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02A" w:rsidRDefault="002624A3" w:rsidP="00290C63">
      <w:pPr>
        <w:rPr>
          <w:rFonts w:eastAsiaTheme="majorEastAsia" w:cstheme="majorBidi"/>
          <w:noProof/>
          <w:sz w:val="36"/>
          <w:szCs w:val="36"/>
          <w:lang w:eastAsia="en-AU"/>
        </w:rPr>
      </w:pPr>
      <w:bookmarkStart w:id="0" w:name="_GoBack"/>
      <w:bookmarkEnd w:id="0"/>
      <w:r w:rsidRPr="00290C63">
        <w:rPr>
          <w:noProof/>
          <w:lang w:eastAsia="en-AU"/>
        </w:rPr>
        <w:drawing>
          <wp:anchor distT="0" distB="0" distL="114300" distR="114300" simplePos="0" relativeHeight="251659264" behindDoc="1" locked="0" layoutInCell="1" allowOverlap="1" wp14:anchorId="2DA59297" wp14:editId="43F56F1D">
            <wp:simplePos x="0" y="0"/>
            <wp:positionH relativeFrom="column">
              <wp:posOffset>-1090600</wp:posOffset>
            </wp:positionH>
            <wp:positionV relativeFrom="paragraph">
              <wp:posOffset>-890270</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r w:rsidR="00B039D3">
        <w:t xml:space="preserve"> </w:t>
      </w:r>
      <w:r w:rsidR="00F3702A">
        <w:t xml:space="preserve"> </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A608C9">
            <w:t xml:space="preserve">FINAL </w:t>
          </w:r>
          <w:r w:rsidR="00DA4752">
            <w:t>DECISION</w:t>
          </w:r>
        </w:p>
        <w:p w:rsidR="00415F31" w:rsidRDefault="009E05E3" w:rsidP="008F07A3">
          <w:pPr>
            <w:pStyle w:val="ReportSubtitle"/>
          </w:pPr>
          <w:r>
            <w:t>TasNetworks</w:t>
          </w:r>
          <w:r w:rsidR="00415F31">
            <w:t xml:space="preserve"> </w:t>
          </w:r>
          <w:r>
            <w:t xml:space="preserve">distribution </w:t>
          </w:r>
          <w:r w:rsidR="00DA4752">
            <w:t>determination</w:t>
          </w:r>
        </w:p>
        <w:p w:rsidR="000A6C7B" w:rsidRDefault="00DA4752" w:rsidP="008F07A3">
          <w:pPr>
            <w:pStyle w:val="ReportSubtitle"/>
          </w:pPr>
          <w:r>
            <w:t xml:space="preserve"> </w:t>
          </w:r>
          <w:r w:rsidR="00122F86">
            <w:t>2017-20</w:t>
          </w:r>
          <w:r w:rsidR="009E05E3">
            <w:t>19</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7682C">
            <w:t>3</w:t>
          </w:r>
          <w:r>
            <w:t xml:space="preserve"> </w:t>
          </w:r>
          <w:r w:rsidR="00415F31">
            <w:rPr>
              <w:rFonts w:cs="Arial"/>
            </w:rPr>
            <w:t>–</w:t>
          </w:r>
          <w:r>
            <w:t xml:space="preserve"> </w:t>
          </w:r>
          <w:r w:rsidR="00E7682C">
            <w:t>Rate of return</w:t>
          </w:r>
        </w:p>
        <w:p w:rsidR="00B9733D" w:rsidRDefault="00B9733D" w:rsidP="00327A1E">
          <w:pPr>
            <w:pStyle w:val="ReportDate"/>
          </w:pPr>
        </w:p>
        <w:p w:rsidR="000A6C7B" w:rsidRPr="00327A1E" w:rsidRDefault="00122F86" w:rsidP="00327A1E">
          <w:pPr>
            <w:pStyle w:val="ReportDate"/>
          </w:pPr>
          <w:r>
            <w:t>April 2017</w:t>
          </w:r>
        </w:p>
      </w:sdtContent>
    </w:sdt>
    <w:p w:rsidR="00327A1E" w:rsidRPr="00290C63" w:rsidRDefault="00327A1E" w:rsidP="00290C63">
      <w:r>
        <w:br w:type="page"/>
      </w:r>
    </w:p>
    <w:p w:rsidR="000A6C7B" w:rsidRDefault="008F07A3" w:rsidP="00961A4A">
      <w:pPr>
        <w:pStyle w:val="Copyright"/>
      </w:pPr>
      <w:r>
        <w:lastRenderedPageBreak/>
        <w:t>© Commonwealth of Australia 201</w:t>
      </w:r>
      <w:r w:rsidR="00FD4060">
        <w:t>7</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B9562D" w:rsidRDefault="000A6C7B" w:rsidP="00B9562D">
      <w:pPr>
        <w:pStyle w:val="Copyright"/>
      </w:pPr>
      <w:r>
        <w:t>Tel:</w:t>
      </w:r>
      <w:r w:rsidR="002C3581">
        <w:t xml:space="preserve"> 1300 585 165</w:t>
      </w:r>
      <w:r w:rsidR="00951978">
        <w:br/>
      </w:r>
      <w:r>
        <w:t xml:space="preserve">Email: </w:t>
      </w:r>
      <w:hyperlink r:id="rId10" w:history="1">
        <w:r w:rsidRPr="00D64888">
          <w:rPr>
            <w:rStyle w:val="Hyperlink"/>
          </w:rPr>
          <w:t>AERInquiry@aer.gov.au</w:t>
        </w:r>
      </w:hyperlink>
      <w:r w:rsidR="00951978">
        <w:rPr>
          <w:rStyle w:val="Hyperlink"/>
        </w:rPr>
        <w:br/>
      </w:r>
    </w:p>
    <w:p w:rsidR="008F07A3" w:rsidRPr="009D3906" w:rsidRDefault="00415F31" w:rsidP="00B9562D">
      <w:pPr>
        <w:pStyle w:val="Copyright"/>
      </w:pPr>
      <w:r w:rsidRPr="009D3906">
        <w:t>AER reference:</w:t>
      </w:r>
      <w:r w:rsidRPr="009D3906">
        <w:tab/>
        <w:t>53444</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CC7A1C">
      <w:pPr>
        <w:pStyle w:val="UnnumberedHeading"/>
        <w:numPr>
          <w:ilvl w:val="0"/>
          <w:numId w:val="23"/>
        </w:numPr>
      </w:pPr>
      <w:bookmarkStart w:id="5" w:name="_Toc481057053"/>
      <w:r>
        <w:lastRenderedPageBreak/>
        <w:t>N</w:t>
      </w:r>
      <w:r w:rsidR="008F07A3">
        <w:t>ote</w:t>
      </w:r>
      <w:bookmarkEnd w:id="1"/>
      <w:bookmarkEnd w:id="2"/>
      <w:bookmarkEnd w:id="3"/>
      <w:bookmarkEnd w:id="4"/>
      <w:bookmarkEnd w:id="5"/>
    </w:p>
    <w:p w:rsidR="002C3581" w:rsidRDefault="002C3581" w:rsidP="002C3581">
      <w:pPr>
        <w:numPr>
          <w:ilvl w:val="0"/>
          <w:numId w:val="24"/>
        </w:numPr>
      </w:pPr>
      <w:r>
        <w:t>This attachment forms part of the AER's final decision on TasNetworks' distribution determination for 2017–19. It should be read with all other parts of the final decision.</w:t>
      </w:r>
    </w:p>
    <w:p w:rsidR="002C3581" w:rsidRDefault="002C3581" w:rsidP="002C3581">
      <w:r>
        <w:t xml:space="preserve">This final decision consists of an Overview and 8 attachments. As many issues were settled at the draft decision stage or required only minor updates we have not prepared final decision attachments for: </w:t>
      </w:r>
    </w:p>
    <w:p w:rsidR="002C3581" w:rsidRPr="002C3581" w:rsidRDefault="002C3581" w:rsidP="002C3581">
      <w:pPr>
        <w:pStyle w:val="AERbulletlistfirststyle"/>
      </w:pPr>
      <w:r>
        <w:t xml:space="preserve">Regulatory asset base </w:t>
      </w:r>
    </w:p>
    <w:p w:rsidR="002C3581" w:rsidRPr="002C3581" w:rsidRDefault="002C3581" w:rsidP="002C3581">
      <w:pPr>
        <w:pStyle w:val="AERbulletlistfirststyle"/>
      </w:pPr>
      <w:r>
        <w:t>Regulatory depreciation</w:t>
      </w:r>
    </w:p>
    <w:p w:rsidR="002C3581" w:rsidRPr="002C3581" w:rsidRDefault="002C3581" w:rsidP="002C3581">
      <w:pPr>
        <w:pStyle w:val="AERbulletlistfirststyle"/>
      </w:pPr>
      <w:r>
        <w:t>Capital expenditure</w:t>
      </w:r>
    </w:p>
    <w:p w:rsidR="002C3581" w:rsidRPr="002C3581" w:rsidRDefault="002C3581" w:rsidP="002C3581">
      <w:pPr>
        <w:pStyle w:val="AERbulletlistfirststyle"/>
      </w:pPr>
      <w:r>
        <w:t>Operating expenditure</w:t>
      </w:r>
    </w:p>
    <w:p w:rsidR="002C3581" w:rsidRPr="002C3581" w:rsidRDefault="002C3581" w:rsidP="002C3581">
      <w:pPr>
        <w:pStyle w:val="AERbulletlistfirststyle"/>
      </w:pPr>
      <w:r>
        <w:t>Corporate income tax</w:t>
      </w:r>
    </w:p>
    <w:p w:rsidR="002C3581" w:rsidRPr="002C3581" w:rsidRDefault="002C3581" w:rsidP="002C3581">
      <w:pPr>
        <w:pStyle w:val="AERbulletlistfirststyle"/>
      </w:pPr>
      <w:r>
        <w:t>Capital expenditure sharing scheme</w:t>
      </w:r>
    </w:p>
    <w:p w:rsidR="002C3581" w:rsidRPr="002C3581" w:rsidRDefault="002C3581" w:rsidP="002C3581">
      <w:pPr>
        <w:pStyle w:val="AERbulletlistfirststyle"/>
      </w:pPr>
      <w:r>
        <w:t>Service target performance incentive scheme</w:t>
      </w:r>
    </w:p>
    <w:p w:rsidR="002C3581" w:rsidRPr="002C3581" w:rsidRDefault="002C3581" w:rsidP="002C3581">
      <w:pPr>
        <w:pStyle w:val="AERbulletlistfirststyle"/>
      </w:pPr>
      <w:r>
        <w:t>Demand management incentive scheme</w:t>
      </w:r>
    </w:p>
    <w:p w:rsidR="002C3581" w:rsidRPr="002C3581" w:rsidRDefault="002C3581" w:rsidP="002C3581">
      <w:pPr>
        <w:pStyle w:val="AERbulletlistfirststyle"/>
      </w:pPr>
      <w:r>
        <w:t>Classification of services</w:t>
      </w:r>
    </w:p>
    <w:p w:rsidR="002C3581" w:rsidRPr="002C3581" w:rsidRDefault="002C3581" w:rsidP="002C3581">
      <w:pPr>
        <w:pStyle w:val="AERbulletlistfirststyle"/>
      </w:pPr>
      <w:r>
        <w:t>Pass through events</w:t>
      </w:r>
    </w:p>
    <w:p w:rsidR="002C3581" w:rsidRPr="002C3581" w:rsidRDefault="002C3581" w:rsidP="002C3581">
      <w:pPr>
        <w:pStyle w:val="AERbulletlistfirststyle"/>
      </w:pPr>
      <w:r>
        <w:t xml:space="preserve">Connection policy. </w:t>
      </w:r>
    </w:p>
    <w:p w:rsidR="002C3581" w:rsidRDefault="002C3581" w:rsidP="002C3581">
      <w:pPr>
        <w:numPr>
          <w:ilvl w:val="0"/>
          <w:numId w:val="24"/>
        </w:numPr>
      </w:pPr>
      <w:r>
        <w:t xml:space="preserve">The AER's final decision on these matters is set out in the Overview. For ease of reference the remaining attachments have been numbered consistently with the attachment numbering in our draft decision. </w:t>
      </w:r>
    </w:p>
    <w:p w:rsidR="002C3581" w:rsidRDefault="002C3581" w:rsidP="002C3581">
      <w:pPr>
        <w:numPr>
          <w:ilvl w:val="0"/>
          <w:numId w:val="24"/>
        </w:numPr>
      </w:pPr>
      <w:r>
        <w:t>The final decision therefore includes the following documents:</w:t>
      </w:r>
    </w:p>
    <w:p w:rsidR="002C3581" w:rsidRDefault="002C3581" w:rsidP="002C3581">
      <w:pPr>
        <w:numPr>
          <w:ilvl w:val="0"/>
          <w:numId w:val="24"/>
        </w:numPr>
      </w:pPr>
      <w:r>
        <w:t>Overview</w:t>
      </w:r>
    </w:p>
    <w:p w:rsidR="002C3581" w:rsidRDefault="002C3581" w:rsidP="002C3581">
      <w:pPr>
        <w:numPr>
          <w:ilvl w:val="0"/>
          <w:numId w:val="24"/>
        </w:numPr>
      </w:pPr>
      <w:r>
        <w:t>Attachment 1 – Annual revenue requirement</w:t>
      </w:r>
    </w:p>
    <w:p w:rsidR="002C3581" w:rsidRDefault="002C3581" w:rsidP="002C3581">
      <w:pPr>
        <w:numPr>
          <w:ilvl w:val="0"/>
          <w:numId w:val="24"/>
        </w:numPr>
      </w:pPr>
      <w:r>
        <w:t>Attachment 3 – Rate of return</w:t>
      </w:r>
    </w:p>
    <w:p w:rsidR="002C3581" w:rsidRDefault="002C3581" w:rsidP="002C3581">
      <w:pPr>
        <w:numPr>
          <w:ilvl w:val="0"/>
          <w:numId w:val="24"/>
        </w:numPr>
      </w:pPr>
      <w:r>
        <w:t>Attachment 4 – Value of imputation credits</w:t>
      </w:r>
    </w:p>
    <w:p w:rsidR="002C3581" w:rsidRDefault="002C3581" w:rsidP="002C3581">
      <w:pPr>
        <w:numPr>
          <w:ilvl w:val="0"/>
          <w:numId w:val="24"/>
        </w:numPr>
      </w:pPr>
      <w:r>
        <w:t>Attachment 9 – Efficiency benefit sharing scheme</w:t>
      </w:r>
    </w:p>
    <w:p w:rsidR="002C3581" w:rsidRDefault="002C3581" w:rsidP="002C3581">
      <w:pPr>
        <w:numPr>
          <w:ilvl w:val="0"/>
          <w:numId w:val="24"/>
        </w:numPr>
      </w:pPr>
      <w:r>
        <w:t>Attachment 14 – Control mechanisms</w:t>
      </w:r>
    </w:p>
    <w:p w:rsidR="002C3581" w:rsidRDefault="002C3581" w:rsidP="002C3581">
      <w:pPr>
        <w:numPr>
          <w:ilvl w:val="0"/>
          <w:numId w:val="24"/>
        </w:numPr>
      </w:pPr>
      <w:r>
        <w:t>Attachment 16 – Alternative control services</w:t>
      </w:r>
    </w:p>
    <w:p w:rsidR="002C3581" w:rsidRDefault="002C3581" w:rsidP="002C3581">
      <w:pPr>
        <w:numPr>
          <w:ilvl w:val="0"/>
          <w:numId w:val="24"/>
        </w:numPr>
      </w:pPr>
      <w:r>
        <w:t>Attachment 17 – Negotiated services framework and criteria</w:t>
      </w:r>
    </w:p>
    <w:p w:rsidR="002C3581" w:rsidRPr="008F07A3" w:rsidRDefault="002C3581" w:rsidP="007A451A">
      <w:pPr>
        <w:sectPr w:rsidR="002C3581" w:rsidRPr="008F07A3" w:rsidSect="002C3581">
          <w:headerReference w:type="even" r:id="rId11"/>
          <w:headerReference w:type="default" r:id="rId12"/>
          <w:footerReference w:type="even" r:id="rId13"/>
          <w:footerReference w:type="default" r:id="rId14"/>
          <w:headerReference w:type="first" r:id="rId15"/>
          <w:footerReference w:type="first" r:id="rId16"/>
          <w:pgSz w:w="11906" w:h="16838" w:code="9"/>
          <w:pgMar w:top="1440" w:right="1700" w:bottom="1582" w:left="1729" w:header="720" w:footer="0" w:gutter="0"/>
          <w:pgNumType w:start="0" w:chapStyle="1"/>
          <w:cols w:space="720"/>
          <w:docGrid w:linePitch="326"/>
        </w:sectPr>
      </w:pPr>
      <w:r>
        <w:t>Attachment 19 – Tariff structure statement</w:t>
      </w:r>
    </w:p>
    <w:p w:rsidR="00DE563D" w:rsidRPr="00A72B34" w:rsidRDefault="00DE563D" w:rsidP="00CC7A1C">
      <w:pPr>
        <w:pStyle w:val="UnnumberedHeading"/>
        <w:numPr>
          <w:ilvl w:val="0"/>
          <w:numId w:val="23"/>
        </w:numPr>
      </w:pPr>
      <w:bookmarkStart w:id="6" w:name="_Toc403144133"/>
      <w:bookmarkStart w:id="7" w:name="_Toc481057054"/>
      <w:r>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B36EA9" w:rsidRDefault="006308A6">
          <w:pPr>
            <w:pStyle w:val="TOC1"/>
            <w:rPr>
              <w:rFonts w:asciiTheme="minorHAnsi" w:eastAsiaTheme="minorEastAsia" w:hAnsiTheme="minorHAnsi"/>
              <w:b w:val="0"/>
              <w:color w:val="auto"/>
              <w:sz w:val="22"/>
              <w:lang w:val="en-AU" w:eastAsia="en-AU"/>
            </w:rPr>
          </w:pPr>
          <w:r>
            <w:fldChar w:fldCharType="begin"/>
          </w:r>
          <w:r>
            <w:instrText xml:space="preserve"> TOC \o "1-2" \h \z \u \t "Heading 7,1,Heading 8,2" </w:instrText>
          </w:r>
          <w:r>
            <w:fldChar w:fldCharType="separate"/>
          </w:r>
          <w:hyperlink w:anchor="_Toc481057053" w:history="1">
            <w:r w:rsidR="00B36EA9" w:rsidRPr="00DC5C3C">
              <w:rPr>
                <w:rStyle w:val="Hyperlink"/>
              </w:rPr>
              <w:t>Note</w:t>
            </w:r>
            <w:r w:rsidR="00B36EA9">
              <w:rPr>
                <w:webHidden/>
              </w:rPr>
              <w:tab/>
            </w:r>
            <w:r w:rsidR="00B36EA9">
              <w:rPr>
                <w:webHidden/>
              </w:rPr>
              <w:fldChar w:fldCharType="begin"/>
            </w:r>
            <w:r w:rsidR="00B36EA9">
              <w:rPr>
                <w:webHidden/>
              </w:rPr>
              <w:instrText xml:space="preserve"> PAGEREF _Toc481057053 \h </w:instrText>
            </w:r>
            <w:r w:rsidR="00B36EA9">
              <w:rPr>
                <w:webHidden/>
              </w:rPr>
            </w:r>
            <w:r w:rsidR="00B36EA9">
              <w:rPr>
                <w:webHidden/>
              </w:rPr>
              <w:fldChar w:fldCharType="separate"/>
            </w:r>
            <w:r w:rsidR="00F23F3F">
              <w:rPr>
                <w:webHidden/>
              </w:rPr>
              <w:t>3-2</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54" w:history="1">
            <w:r w:rsidR="00B36EA9" w:rsidRPr="00DC5C3C">
              <w:rPr>
                <w:rStyle w:val="Hyperlink"/>
              </w:rPr>
              <w:t>Contents</w:t>
            </w:r>
            <w:r w:rsidR="00B36EA9">
              <w:rPr>
                <w:webHidden/>
              </w:rPr>
              <w:tab/>
            </w:r>
            <w:r w:rsidR="00B36EA9">
              <w:rPr>
                <w:webHidden/>
              </w:rPr>
              <w:fldChar w:fldCharType="begin"/>
            </w:r>
            <w:r w:rsidR="00B36EA9">
              <w:rPr>
                <w:webHidden/>
              </w:rPr>
              <w:instrText xml:space="preserve"> PAGEREF _Toc481057054 \h </w:instrText>
            </w:r>
            <w:r w:rsidR="00B36EA9">
              <w:rPr>
                <w:webHidden/>
              </w:rPr>
            </w:r>
            <w:r w:rsidR="00B36EA9">
              <w:rPr>
                <w:webHidden/>
              </w:rPr>
              <w:fldChar w:fldCharType="separate"/>
            </w:r>
            <w:r w:rsidR="00F23F3F">
              <w:rPr>
                <w:webHidden/>
              </w:rPr>
              <w:t>3-3</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55" w:history="1">
            <w:r w:rsidR="00B36EA9" w:rsidRPr="00DC5C3C">
              <w:rPr>
                <w:rStyle w:val="Hyperlink"/>
              </w:rPr>
              <w:t>Shortened forms</w:t>
            </w:r>
            <w:r w:rsidR="00B36EA9">
              <w:rPr>
                <w:webHidden/>
              </w:rPr>
              <w:tab/>
            </w:r>
            <w:r w:rsidR="00B36EA9">
              <w:rPr>
                <w:webHidden/>
              </w:rPr>
              <w:fldChar w:fldCharType="begin"/>
            </w:r>
            <w:r w:rsidR="00B36EA9">
              <w:rPr>
                <w:webHidden/>
              </w:rPr>
              <w:instrText xml:space="preserve"> PAGEREF _Toc481057055 \h </w:instrText>
            </w:r>
            <w:r w:rsidR="00B36EA9">
              <w:rPr>
                <w:webHidden/>
              </w:rPr>
            </w:r>
            <w:r w:rsidR="00B36EA9">
              <w:rPr>
                <w:webHidden/>
              </w:rPr>
              <w:fldChar w:fldCharType="separate"/>
            </w:r>
            <w:r w:rsidR="00F23F3F">
              <w:rPr>
                <w:webHidden/>
              </w:rPr>
              <w:t>3-6</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56" w:history="1">
            <w:r w:rsidR="00B36EA9" w:rsidRPr="00DC5C3C">
              <w:rPr>
                <w:rStyle w:val="Hyperlink"/>
              </w:rPr>
              <w:t>3</w:t>
            </w:r>
            <w:r w:rsidR="00B36EA9">
              <w:rPr>
                <w:rFonts w:asciiTheme="minorHAnsi" w:eastAsiaTheme="minorEastAsia" w:hAnsiTheme="minorHAnsi"/>
                <w:b w:val="0"/>
                <w:color w:val="auto"/>
                <w:sz w:val="22"/>
                <w:lang w:val="en-AU" w:eastAsia="en-AU"/>
              </w:rPr>
              <w:tab/>
            </w:r>
            <w:r w:rsidR="00B36EA9" w:rsidRPr="00DC5C3C">
              <w:rPr>
                <w:rStyle w:val="Hyperlink"/>
              </w:rPr>
              <w:t>Rate of return</w:t>
            </w:r>
            <w:r w:rsidR="00B36EA9">
              <w:rPr>
                <w:webHidden/>
              </w:rPr>
              <w:tab/>
            </w:r>
            <w:r w:rsidR="00B36EA9">
              <w:rPr>
                <w:webHidden/>
              </w:rPr>
              <w:fldChar w:fldCharType="begin"/>
            </w:r>
            <w:r w:rsidR="00B36EA9">
              <w:rPr>
                <w:webHidden/>
              </w:rPr>
              <w:instrText xml:space="preserve"> PAGEREF _Toc481057056 \h </w:instrText>
            </w:r>
            <w:r w:rsidR="00B36EA9">
              <w:rPr>
                <w:webHidden/>
              </w:rPr>
            </w:r>
            <w:r w:rsidR="00B36EA9">
              <w:rPr>
                <w:webHidden/>
              </w:rPr>
              <w:fldChar w:fldCharType="separate"/>
            </w:r>
            <w:r w:rsidR="00F23F3F">
              <w:rPr>
                <w:webHidden/>
              </w:rPr>
              <w:t>3-8</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57" w:history="1">
            <w:r w:rsidR="00B36EA9" w:rsidRPr="00DC5C3C">
              <w:rPr>
                <w:rStyle w:val="Hyperlink"/>
              </w:rPr>
              <w:t>3.1</w:t>
            </w:r>
            <w:r w:rsidR="00B36EA9">
              <w:rPr>
                <w:rFonts w:asciiTheme="minorHAnsi" w:eastAsiaTheme="minorEastAsia" w:hAnsiTheme="minorHAnsi"/>
                <w:b w:val="0"/>
                <w:color w:val="auto"/>
                <w:sz w:val="22"/>
                <w:lang w:eastAsia="en-AU"/>
              </w:rPr>
              <w:tab/>
            </w:r>
            <w:r w:rsidR="00B36EA9" w:rsidRPr="00DC5C3C">
              <w:rPr>
                <w:rStyle w:val="Hyperlink"/>
              </w:rPr>
              <w:t>Final decision</w:t>
            </w:r>
            <w:r w:rsidR="00B36EA9">
              <w:rPr>
                <w:webHidden/>
              </w:rPr>
              <w:tab/>
            </w:r>
            <w:r w:rsidR="00B36EA9">
              <w:rPr>
                <w:webHidden/>
              </w:rPr>
              <w:fldChar w:fldCharType="begin"/>
            </w:r>
            <w:r w:rsidR="00B36EA9">
              <w:rPr>
                <w:webHidden/>
              </w:rPr>
              <w:instrText xml:space="preserve"> PAGEREF _Toc481057057 \h </w:instrText>
            </w:r>
            <w:r w:rsidR="00B36EA9">
              <w:rPr>
                <w:webHidden/>
              </w:rPr>
            </w:r>
            <w:r w:rsidR="00B36EA9">
              <w:rPr>
                <w:webHidden/>
              </w:rPr>
              <w:fldChar w:fldCharType="separate"/>
            </w:r>
            <w:r w:rsidR="00F23F3F">
              <w:rPr>
                <w:webHidden/>
              </w:rPr>
              <w:t>3-8</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58" w:history="1">
            <w:r w:rsidR="00B36EA9" w:rsidRPr="00DC5C3C">
              <w:rPr>
                <w:rStyle w:val="Hyperlink"/>
              </w:rPr>
              <w:t>3.2</w:t>
            </w:r>
            <w:r w:rsidR="00B36EA9">
              <w:rPr>
                <w:rFonts w:asciiTheme="minorHAnsi" w:eastAsiaTheme="minorEastAsia" w:hAnsiTheme="minorHAnsi"/>
                <w:b w:val="0"/>
                <w:color w:val="auto"/>
                <w:sz w:val="22"/>
                <w:lang w:eastAsia="en-AU"/>
              </w:rPr>
              <w:tab/>
            </w:r>
            <w:r w:rsidR="00B36EA9" w:rsidRPr="00DC5C3C">
              <w:rPr>
                <w:rStyle w:val="Hyperlink"/>
              </w:rPr>
              <w:t>TasNetworks' revised proposal</w:t>
            </w:r>
            <w:r w:rsidR="00B36EA9">
              <w:rPr>
                <w:webHidden/>
              </w:rPr>
              <w:tab/>
            </w:r>
            <w:r w:rsidR="00B36EA9">
              <w:rPr>
                <w:webHidden/>
              </w:rPr>
              <w:fldChar w:fldCharType="begin"/>
            </w:r>
            <w:r w:rsidR="00B36EA9">
              <w:rPr>
                <w:webHidden/>
              </w:rPr>
              <w:instrText xml:space="preserve"> PAGEREF _Toc481057058 \h </w:instrText>
            </w:r>
            <w:r w:rsidR="00B36EA9">
              <w:rPr>
                <w:webHidden/>
              </w:rPr>
            </w:r>
            <w:r w:rsidR="00B36EA9">
              <w:rPr>
                <w:webHidden/>
              </w:rPr>
              <w:fldChar w:fldCharType="separate"/>
            </w:r>
            <w:r w:rsidR="00F23F3F">
              <w:rPr>
                <w:webHidden/>
              </w:rPr>
              <w:t>3-13</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59" w:history="1">
            <w:r w:rsidR="00B36EA9" w:rsidRPr="00DC5C3C">
              <w:rPr>
                <w:rStyle w:val="Hyperlink"/>
              </w:rPr>
              <w:t>3.3</w:t>
            </w:r>
            <w:r w:rsidR="00B36EA9">
              <w:rPr>
                <w:rFonts w:asciiTheme="minorHAnsi" w:eastAsiaTheme="minorEastAsia" w:hAnsiTheme="minorHAnsi"/>
                <w:b w:val="0"/>
                <w:color w:val="auto"/>
                <w:sz w:val="22"/>
                <w:lang w:eastAsia="en-AU"/>
              </w:rPr>
              <w:tab/>
            </w:r>
            <w:r w:rsidR="00B36EA9" w:rsidRPr="00DC5C3C">
              <w:rPr>
                <w:rStyle w:val="Hyperlink"/>
              </w:rPr>
              <w:t>AER’s assessment approach</w:t>
            </w:r>
            <w:r w:rsidR="00B36EA9">
              <w:rPr>
                <w:webHidden/>
              </w:rPr>
              <w:tab/>
            </w:r>
            <w:r w:rsidR="00B36EA9">
              <w:rPr>
                <w:webHidden/>
              </w:rPr>
              <w:fldChar w:fldCharType="begin"/>
            </w:r>
            <w:r w:rsidR="00B36EA9">
              <w:rPr>
                <w:webHidden/>
              </w:rPr>
              <w:instrText xml:space="preserve"> PAGEREF _Toc481057059 \h </w:instrText>
            </w:r>
            <w:r w:rsidR="00B36EA9">
              <w:rPr>
                <w:webHidden/>
              </w:rPr>
            </w:r>
            <w:r w:rsidR="00B36EA9">
              <w:rPr>
                <w:webHidden/>
              </w:rPr>
              <w:fldChar w:fldCharType="separate"/>
            </w:r>
            <w:r w:rsidR="00F23F3F">
              <w:rPr>
                <w:webHidden/>
              </w:rPr>
              <w:t>3-14</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60" w:history="1">
            <w:r w:rsidR="00B36EA9" w:rsidRPr="00DC5C3C">
              <w:rPr>
                <w:rStyle w:val="Hyperlink"/>
              </w:rPr>
              <w:t>3.4</w:t>
            </w:r>
            <w:r w:rsidR="00B36EA9">
              <w:rPr>
                <w:rFonts w:asciiTheme="minorHAnsi" w:eastAsiaTheme="minorEastAsia" w:hAnsiTheme="minorHAnsi"/>
                <w:b w:val="0"/>
                <w:color w:val="auto"/>
                <w:sz w:val="22"/>
                <w:lang w:eastAsia="en-AU"/>
              </w:rPr>
              <w:tab/>
            </w:r>
            <w:r w:rsidR="00B36EA9" w:rsidRPr="00DC5C3C">
              <w:rPr>
                <w:rStyle w:val="Hyperlink"/>
              </w:rPr>
              <w:t>Reasons for final decision</w:t>
            </w:r>
            <w:r w:rsidR="00B36EA9">
              <w:rPr>
                <w:webHidden/>
              </w:rPr>
              <w:tab/>
            </w:r>
            <w:r w:rsidR="00B36EA9">
              <w:rPr>
                <w:webHidden/>
              </w:rPr>
              <w:fldChar w:fldCharType="begin"/>
            </w:r>
            <w:r w:rsidR="00B36EA9">
              <w:rPr>
                <w:webHidden/>
              </w:rPr>
              <w:instrText xml:space="preserve"> PAGEREF _Toc481057060 \h </w:instrText>
            </w:r>
            <w:r w:rsidR="00B36EA9">
              <w:rPr>
                <w:webHidden/>
              </w:rPr>
            </w:r>
            <w:r w:rsidR="00B36EA9">
              <w:rPr>
                <w:webHidden/>
              </w:rPr>
              <w:fldChar w:fldCharType="separate"/>
            </w:r>
            <w:r w:rsidR="00F23F3F">
              <w:rPr>
                <w:webHidden/>
              </w:rPr>
              <w:t>3-42</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61" w:history="1">
            <w:r w:rsidR="00B36EA9" w:rsidRPr="00DC5C3C">
              <w:rPr>
                <w:rStyle w:val="Hyperlink"/>
              </w:rPr>
              <w:t>A</w:t>
            </w:r>
            <w:r w:rsidR="00B36EA9">
              <w:rPr>
                <w:rFonts w:asciiTheme="minorHAnsi" w:eastAsiaTheme="minorEastAsia" w:hAnsiTheme="minorHAnsi"/>
                <w:b w:val="0"/>
                <w:color w:val="auto"/>
                <w:sz w:val="22"/>
                <w:lang w:val="en-AU" w:eastAsia="en-AU"/>
              </w:rPr>
              <w:tab/>
            </w:r>
            <w:r w:rsidR="00B36EA9" w:rsidRPr="00DC5C3C">
              <w:rPr>
                <w:rStyle w:val="Hyperlink"/>
              </w:rPr>
              <w:t>Our foundation model approach</w:t>
            </w:r>
            <w:r w:rsidR="00B36EA9">
              <w:rPr>
                <w:webHidden/>
              </w:rPr>
              <w:tab/>
            </w:r>
            <w:r w:rsidR="00B36EA9">
              <w:rPr>
                <w:webHidden/>
              </w:rPr>
              <w:fldChar w:fldCharType="begin"/>
            </w:r>
            <w:r w:rsidR="00B36EA9">
              <w:rPr>
                <w:webHidden/>
              </w:rPr>
              <w:instrText xml:space="preserve"> PAGEREF _Toc481057061 \h </w:instrText>
            </w:r>
            <w:r w:rsidR="00B36EA9">
              <w:rPr>
                <w:webHidden/>
              </w:rPr>
            </w:r>
            <w:r w:rsidR="00B36EA9">
              <w:rPr>
                <w:webHidden/>
              </w:rPr>
              <w:fldChar w:fldCharType="separate"/>
            </w:r>
            <w:r w:rsidR="00F23F3F">
              <w:rPr>
                <w:webHidden/>
              </w:rPr>
              <w:t>3-165</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62" w:history="1">
            <w:r w:rsidR="00B36EA9" w:rsidRPr="00DC5C3C">
              <w:rPr>
                <w:rStyle w:val="Hyperlink"/>
              </w:rPr>
              <w:t>B</w:t>
            </w:r>
            <w:r w:rsidR="00B36EA9">
              <w:rPr>
                <w:rFonts w:asciiTheme="minorHAnsi" w:eastAsiaTheme="minorEastAsia" w:hAnsiTheme="minorHAnsi"/>
                <w:b w:val="0"/>
                <w:color w:val="auto"/>
                <w:sz w:val="22"/>
                <w:lang w:val="en-AU" w:eastAsia="en-AU"/>
              </w:rPr>
              <w:tab/>
            </w:r>
            <w:r w:rsidR="00B36EA9" w:rsidRPr="00DC5C3C">
              <w:rPr>
                <w:rStyle w:val="Hyperlink"/>
              </w:rPr>
              <w:t>Equity models</w:t>
            </w:r>
            <w:r w:rsidR="00B36EA9">
              <w:rPr>
                <w:webHidden/>
              </w:rPr>
              <w:tab/>
            </w:r>
            <w:r w:rsidR="00B36EA9">
              <w:rPr>
                <w:webHidden/>
              </w:rPr>
              <w:fldChar w:fldCharType="begin"/>
            </w:r>
            <w:r w:rsidR="00B36EA9">
              <w:rPr>
                <w:webHidden/>
              </w:rPr>
              <w:instrText xml:space="preserve"> PAGEREF _Toc481057062 \h </w:instrText>
            </w:r>
            <w:r w:rsidR="00B36EA9">
              <w:rPr>
                <w:webHidden/>
              </w:rPr>
            </w:r>
            <w:r w:rsidR="00B36EA9">
              <w:rPr>
                <w:webHidden/>
              </w:rPr>
              <w:fldChar w:fldCharType="separate"/>
            </w:r>
            <w:r w:rsidR="00F23F3F">
              <w:rPr>
                <w:webHidden/>
              </w:rPr>
              <w:t>3-169</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63" w:history="1">
            <w:r w:rsidR="00B36EA9" w:rsidRPr="00DC5C3C">
              <w:rPr>
                <w:rStyle w:val="Hyperlink"/>
                <w14:scene3d>
                  <w14:camera w14:prst="orthographicFront"/>
                  <w14:lightRig w14:rig="threePt" w14:dir="t">
                    <w14:rot w14:lat="0" w14:lon="0" w14:rev="0"/>
                  </w14:lightRig>
                </w14:scene3d>
              </w:rPr>
              <w:t>B.1</w:t>
            </w:r>
            <w:r w:rsidR="00B36EA9">
              <w:rPr>
                <w:rFonts w:asciiTheme="minorHAnsi" w:eastAsiaTheme="minorEastAsia" w:hAnsiTheme="minorHAnsi"/>
                <w:b w:val="0"/>
                <w:color w:val="auto"/>
                <w:sz w:val="22"/>
                <w:lang w:eastAsia="en-AU"/>
              </w:rPr>
              <w:tab/>
            </w:r>
            <w:r w:rsidR="00B36EA9" w:rsidRPr="00DC5C3C">
              <w:rPr>
                <w:rStyle w:val="Hyperlink"/>
              </w:rPr>
              <w:t>Sharpe-Lintner CAPM</w:t>
            </w:r>
            <w:r w:rsidR="00B36EA9">
              <w:rPr>
                <w:webHidden/>
              </w:rPr>
              <w:tab/>
            </w:r>
            <w:r w:rsidR="00B36EA9">
              <w:rPr>
                <w:webHidden/>
              </w:rPr>
              <w:fldChar w:fldCharType="begin"/>
            </w:r>
            <w:r w:rsidR="00B36EA9">
              <w:rPr>
                <w:webHidden/>
              </w:rPr>
              <w:instrText xml:space="preserve"> PAGEREF _Toc481057063 \h </w:instrText>
            </w:r>
            <w:r w:rsidR="00B36EA9">
              <w:rPr>
                <w:webHidden/>
              </w:rPr>
            </w:r>
            <w:r w:rsidR="00B36EA9">
              <w:rPr>
                <w:webHidden/>
              </w:rPr>
              <w:fldChar w:fldCharType="separate"/>
            </w:r>
            <w:r w:rsidR="00F23F3F">
              <w:rPr>
                <w:webHidden/>
              </w:rPr>
              <w:t>3-170</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64" w:history="1">
            <w:r w:rsidR="00B36EA9" w:rsidRPr="00DC5C3C">
              <w:rPr>
                <w:rStyle w:val="Hyperlink"/>
                <w14:scene3d>
                  <w14:camera w14:prst="orthographicFront"/>
                  <w14:lightRig w14:rig="threePt" w14:dir="t">
                    <w14:rot w14:lat="0" w14:lon="0" w14:rev="0"/>
                  </w14:lightRig>
                </w14:scene3d>
              </w:rPr>
              <w:t>B.2</w:t>
            </w:r>
            <w:r w:rsidR="00B36EA9">
              <w:rPr>
                <w:rFonts w:asciiTheme="minorHAnsi" w:eastAsiaTheme="minorEastAsia" w:hAnsiTheme="minorHAnsi"/>
                <w:b w:val="0"/>
                <w:color w:val="auto"/>
                <w:sz w:val="22"/>
                <w:lang w:eastAsia="en-AU"/>
              </w:rPr>
              <w:tab/>
            </w:r>
            <w:r w:rsidR="00B36EA9" w:rsidRPr="00DC5C3C">
              <w:rPr>
                <w:rStyle w:val="Hyperlink"/>
              </w:rPr>
              <w:t>Black CAPM</w:t>
            </w:r>
            <w:r w:rsidR="00B36EA9">
              <w:rPr>
                <w:webHidden/>
              </w:rPr>
              <w:tab/>
            </w:r>
            <w:r w:rsidR="00B36EA9">
              <w:rPr>
                <w:webHidden/>
              </w:rPr>
              <w:fldChar w:fldCharType="begin"/>
            </w:r>
            <w:r w:rsidR="00B36EA9">
              <w:rPr>
                <w:webHidden/>
              </w:rPr>
              <w:instrText xml:space="preserve"> PAGEREF _Toc481057064 \h </w:instrText>
            </w:r>
            <w:r w:rsidR="00B36EA9">
              <w:rPr>
                <w:webHidden/>
              </w:rPr>
            </w:r>
            <w:r w:rsidR="00B36EA9">
              <w:rPr>
                <w:webHidden/>
              </w:rPr>
              <w:fldChar w:fldCharType="separate"/>
            </w:r>
            <w:r w:rsidR="00F23F3F">
              <w:rPr>
                <w:webHidden/>
              </w:rPr>
              <w:t>3-181</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65" w:history="1">
            <w:r w:rsidR="00B36EA9" w:rsidRPr="00DC5C3C">
              <w:rPr>
                <w:rStyle w:val="Hyperlink"/>
                <w14:scene3d>
                  <w14:camera w14:prst="orthographicFront"/>
                  <w14:lightRig w14:rig="threePt" w14:dir="t">
                    <w14:rot w14:lat="0" w14:lon="0" w14:rev="0"/>
                  </w14:lightRig>
                </w14:scene3d>
              </w:rPr>
              <w:t>B.3</w:t>
            </w:r>
            <w:r w:rsidR="00B36EA9">
              <w:rPr>
                <w:rFonts w:asciiTheme="minorHAnsi" w:eastAsiaTheme="minorEastAsia" w:hAnsiTheme="minorHAnsi"/>
                <w:b w:val="0"/>
                <w:color w:val="auto"/>
                <w:sz w:val="22"/>
                <w:lang w:eastAsia="en-AU"/>
              </w:rPr>
              <w:tab/>
            </w:r>
            <w:r w:rsidR="00B36EA9" w:rsidRPr="00DC5C3C">
              <w:rPr>
                <w:rStyle w:val="Hyperlink"/>
              </w:rPr>
              <w:t>Fama-French model</w:t>
            </w:r>
            <w:r w:rsidR="00B36EA9">
              <w:rPr>
                <w:webHidden/>
              </w:rPr>
              <w:tab/>
            </w:r>
            <w:r w:rsidR="00B36EA9">
              <w:rPr>
                <w:webHidden/>
              </w:rPr>
              <w:fldChar w:fldCharType="begin"/>
            </w:r>
            <w:r w:rsidR="00B36EA9">
              <w:rPr>
                <w:webHidden/>
              </w:rPr>
              <w:instrText xml:space="preserve"> PAGEREF _Toc481057065 \h </w:instrText>
            </w:r>
            <w:r w:rsidR="00B36EA9">
              <w:rPr>
                <w:webHidden/>
              </w:rPr>
            </w:r>
            <w:r w:rsidR="00B36EA9">
              <w:rPr>
                <w:webHidden/>
              </w:rPr>
              <w:fldChar w:fldCharType="separate"/>
            </w:r>
            <w:r w:rsidR="00F23F3F">
              <w:rPr>
                <w:webHidden/>
              </w:rPr>
              <w:t>3-196</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66" w:history="1">
            <w:r w:rsidR="00B36EA9" w:rsidRPr="00DC5C3C">
              <w:rPr>
                <w:rStyle w:val="Hyperlink"/>
                <w14:scene3d>
                  <w14:camera w14:prst="orthographicFront"/>
                  <w14:lightRig w14:rig="threePt" w14:dir="t">
                    <w14:rot w14:lat="0" w14:lon="0" w14:rev="0"/>
                  </w14:lightRig>
                </w14:scene3d>
              </w:rPr>
              <w:t>B.4</w:t>
            </w:r>
            <w:r w:rsidR="00B36EA9">
              <w:rPr>
                <w:rFonts w:asciiTheme="minorHAnsi" w:eastAsiaTheme="minorEastAsia" w:hAnsiTheme="minorHAnsi"/>
                <w:b w:val="0"/>
                <w:color w:val="auto"/>
                <w:sz w:val="22"/>
                <w:lang w:eastAsia="en-AU"/>
              </w:rPr>
              <w:tab/>
            </w:r>
            <w:r w:rsidR="00B36EA9" w:rsidRPr="00DC5C3C">
              <w:rPr>
                <w:rStyle w:val="Hyperlink"/>
              </w:rPr>
              <w:t>Dividend growth model</w:t>
            </w:r>
            <w:r w:rsidR="00B36EA9">
              <w:rPr>
                <w:webHidden/>
              </w:rPr>
              <w:tab/>
            </w:r>
            <w:r w:rsidR="00B36EA9">
              <w:rPr>
                <w:webHidden/>
              </w:rPr>
              <w:fldChar w:fldCharType="begin"/>
            </w:r>
            <w:r w:rsidR="00B36EA9">
              <w:rPr>
                <w:webHidden/>
              </w:rPr>
              <w:instrText xml:space="preserve"> PAGEREF _Toc481057066 \h </w:instrText>
            </w:r>
            <w:r w:rsidR="00B36EA9">
              <w:rPr>
                <w:webHidden/>
              </w:rPr>
            </w:r>
            <w:r w:rsidR="00B36EA9">
              <w:rPr>
                <w:webHidden/>
              </w:rPr>
              <w:fldChar w:fldCharType="separate"/>
            </w:r>
            <w:r w:rsidR="00F23F3F">
              <w:rPr>
                <w:webHidden/>
              </w:rPr>
              <w:t>3-205</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67" w:history="1">
            <w:r w:rsidR="00B36EA9" w:rsidRPr="00DC5C3C">
              <w:rPr>
                <w:rStyle w:val="Hyperlink"/>
                <w14:scene3d>
                  <w14:camera w14:prst="orthographicFront"/>
                  <w14:lightRig w14:rig="threePt" w14:dir="t">
                    <w14:rot w14:lat="0" w14:lon="0" w14:rev="0"/>
                  </w14:lightRig>
                </w14:scene3d>
              </w:rPr>
              <w:t>B.5</w:t>
            </w:r>
            <w:r w:rsidR="00B36EA9">
              <w:rPr>
                <w:rFonts w:asciiTheme="minorHAnsi" w:eastAsiaTheme="minorEastAsia" w:hAnsiTheme="minorHAnsi"/>
                <w:b w:val="0"/>
                <w:color w:val="auto"/>
                <w:sz w:val="22"/>
                <w:lang w:eastAsia="en-AU"/>
              </w:rPr>
              <w:tab/>
            </w:r>
            <w:r w:rsidR="00B36EA9" w:rsidRPr="00DC5C3C">
              <w:rPr>
                <w:rStyle w:val="Hyperlink"/>
              </w:rPr>
              <w:t>Wright CAPM and historical CAPM</w:t>
            </w:r>
            <w:r w:rsidR="00B36EA9">
              <w:rPr>
                <w:webHidden/>
              </w:rPr>
              <w:tab/>
            </w:r>
            <w:r w:rsidR="00B36EA9">
              <w:rPr>
                <w:webHidden/>
              </w:rPr>
              <w:fldChar w:fldCharType="begin"/>
            </w:r>
            <w:r w:rsidR="00B36EA9">
              <w:rPr>
                <w:webHidden/>
              </w:rPr>
              <w:instrText xml:space="preserve"> PAGEREF _Toc481057067 \h </w:instrText>
            </w:r>
            <w:r w:rsidR="00B36EA9">
              <w:rPr>
                <w:webHidden/>
              </w:rPr>
            </w:r>
            <w:r w:rsidR="00B36EA9">
              <w:rPr>
                <w:webHidden/>
              </w:rPr>
              <w:fldChar w:fldCharType="separate"/>
            </w:r>
            <w:r w:rsidR="00F23F3F">
              <w:rPr>
                <w:webHidden/>
              </w:rPr>
              <w:t>3-212</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68" w:history="1">
            <w:r w:rsidR="00B36EA9" w:rsidRPr="00DC5C3C">
              <w:rPr>
                <w:rStyle w:val="Hyperlink"/>
              </w:rPr>
              <w:t>C</w:t>
            </w:r>
            <w:r w:rsidR="00B36EA9">
              <w:rPr>
                <w:rFonts w:asciiTheme="minorHAnsi" w:eastAsiaTheme="minorEastAsia" w:hAnsiTheme="minorHAnsi"/>
                <w:b w:val="0"/>
                <w:color w:val="auto"/>
                <w:sz w:val="22"/>
                <w:lang w:val="en-AU" w:eastAsia="en-AU"/>
              </w:rPr>
              <w:tab/>
            </w:r>
            <w:r w:rsidR="00B36EA9" w:rsidRPr="00DC5C3C">
              <w:rPr>
                <w:rStyle w:val="Hyperlink"/>
              </w:rPr>
              <w:t>Historical stock returns</w:t>
            </w:r>
            <w:r w:rsidR="00B36EA9">
              <w:rPr>
                <w:webHidden/>
              </w:rPr>
              <w:tab/>
            </w:r>
            <w:r w:rsidR="00B36EA9">
              <w:rPr>
                <w:webHidden/>
              </w:rPr>
              <w:fldChar w:fldCharType="begin"/>
            </w:r>
            <w:r w:rsidR="00B36EA9">
              <w:rPr>
                <w:webHidden/>
              </w:rPr>
              <w:instrText xml:space="preserve"> PAGEREF _Toc481057068 \h </w:instrText>
            </w:r>
            <w:r w:rsidR="00B36EA9">
              <w:rPr>
                <w:webHidden/>
              </w:rPr>
            </w:r>
            <w:r w:rsidR="00B36EA9">
              <w:rPr>
                <w:webHidden/>
              </w:rPr>
              <w:fldChar w:fldCharType="separate"/>
            </w:r>
            <w:r w:rsidR="00F23F3F">
              <w:rPr>
                <w:webHidden/>
              </w:rPr>
              <w:t>3-216</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69" w:history="1">
            <w:r w:rsidR="00B36EA9" w:rsidRPr="00DC5C3C">
              <w:rPr>
                <w:rStyle w:val="Hyperlink"/>
                <w14:scene3d>
                  <w14:camera w14:prst="orthographicFront"/>
                  <w14:lightRig w14:rig="threePt" w14:dir="t">
                    <w14:rot w14:lat="0" w14:lon="0" w14:rev="0"/>
                  </w14:lightRig>
                </w14:scene3d>
              </w:rPr>
              <w:t>C.1</w:t>
            </w:r>
            <w:r w:rsidR="00B36EA9">
              <w:rPr>
                <w:rFonts w:asciiTheme="minorHAnsi" w:eastAsiaTheme="minorEastAsia" w:hAnsiTheme="minorHAnsi"/>
                <w:b w:val="0"/>
                <w:color w:val="auto"/>
                <w:sz w:val="22"/>
                <w:lang w:eastAsia="en-AU"/>
              </w:rPr>
              <w:tab/>
            </w:r>
            <w:r w:rsidR="00B36EA9" w:rsidRPr="00DC5C3C">
              <w:rPr>
                <w:rStyle w:val="Hyperlink"/>
              </w:rPr>
              <w:t>Prevailing estimates: excess returns</w:t>
            </w:r>
            <w:r w:rsidR="00B36EA9">
              <w:rPr>
                <w:webHidden/>
              </w:rPr>
              <w:tab/>
            </w:r>
            <w:r w:rsidR="00B36EA9">
              <w:rPr>
                <w:webHidden/>
              </w:rPr>
              <w:fldChar w:fldCharType="begin"/>
            </w:r>
            <w:r w:rsidR="00B36EA9">
              <w:rPr>
                <w:webHidden/>
              </w:rPr>
              <w:instrText xml:space="preserve"> PAGEREF _Toc481057069 \h </w:instrText>
            </w:r>
            <w:r w:rsidR="00B36EA9">
              <w:rPr>
                <w:webHidden/>
              </w:rPr>
            </w:r>
            <w:r w:rsidR="00B36EA9">
              <w:rPr>
                <w:webHidden/>
              </w:rPr>
              <w:fldChar w:fldCharType="separate"/>
            </w:r>
            <w:r w:rsidR="00F23F3F">
              <w:rPr>
                <w:webHidden/>
              </w:rPr>
              <w:t>3-216</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70" w:history="1">
            <w:r w:rsidR="00B36EA9" w:rsidRPr="00DC5C3C">
              <w:rPr>
                <w:rStyle w:val="Hyperlink"/>
                <w14:scene3d>
                  <w14:camera w14:prst="orthographicFront"/>
                  <w14:lightRig w14:rig="threePt" w14:dir="t">
                    <w14:rot w14:lat="0" w14:lon="0" w14:rev="0"/>
                  </w14:lightRig>
                </w14:scene3d>
              </w:rPr>
              <w:t>C.2</w:t>
            </w:r>
            <w:r w:rsidR="00B36EA9">
              <w:rPr>
                <w:rFonts w:asciiTheme="minorHAnsi" w:eastAsiaTheme="minorEastAsia" w:hAnsiTheme="minorHAnsi"/>
                <w:b w:val="0"/>
                <w:color w:val="auto"/>
                <w:sz w:val="22"/>
                <w:lang w:eastAsia="en-AU"/>
              </w:rPr>
              <w:tab/>
            </w:r>
            <w:r w:rsidR="00B36EA9" w:rsidRPr="00DC5C3C">
              <w:rPr>
                <w:rStyle w:val="Hyperlink"/>
              </w:rPr>
              <w:t>Prevailing estimates: total returns</w:t>
            </w:r>
            <w:r w:rsidR="00B36EA9">
              <w:rPr>
                <w:webHidden/>
              </w:rPr>
              <w:tab/>
            </w:r>
            <w:r w:rsidR="00B36EA9">
              <w:rPr>
                <w:webHidden/>
              </w:rPr>
              <w:fldChar w:fldCharType="begin"/>
            </w:r>
            <w:r w:rsidR="00B36EA9">
              <w:rPr>
                <w:webHidden/>
              </w:rPr>
              <w:instrText xml:space="preserve"> PAGEREF _Toc481057070 \h </w:instrText>
            </w:r>
            <w:r w:rsidR="00B36EA9">
              <w:rPr>
                <w:webHidden/>
              </w:rPr>
            </w:r>
            <w:r w:rsidR="00B36EA9">
              <w:rPr>
                <w:webHidden/>
              </w:rPr>
              <w:fldChar w:fldCharType="separate"/>
            </w:r>
            <w:r w:rsidR="00F23F3F">
              <w:rPr>
                <w:webHidden/>
              </w:rPr>
              <w:t>3-217</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71" w:history="1">
            <w:r w:rsidR="00B36EA9" w:rsidRPr="00DC5C3C">
              <w:rPr>
                <w:rStyle w:val="Hyperlink"/>
                <w14:scene3d>
                  <w14:camera w14:prst="orthographicFront"/>
                  <w14:lightRig w14:rig="threePt" w14:dir="t">
                    <w14:rot w14:lat="0" w14:lon="0" w14:rev="0"/>
                  </w14:lightRig>
                </w14:scene3d>
              </w:rPr>
              <w:t>C.3</w:t>
            </w:r>
            <w:r w:rsidR="00B36EA9">
              <w:rPr>
                <w:rFonts w:asciiTheme="minorHAnsi" w:eastAsiaTheme="minorEastAsia" w:hAnsiTheme="minorHAnsi"/>
                <w:b w:val="0"/>
                <w:color w:val="auto"/>
                <w:sz w:val="22"/>
                <w:lang w:eastAsia="en-AU"/>
              </w:rPr>
              <w:tab/>
            </w:r>
            <w:r w:rsidR="00B36EA9" w:rsidRPr="00DC5C3C">
              <w:rPr>
                <w:rStyle w:val="Hyperlink"/>
              </w:rPr>
              <w:t>Arithmetic and geometric averages</w:t>
            </w:r>
            <w:r w:rsidR="00B36EA9">
              <w:rPr>
                <w:webHidden/>
              </w:rPr>
              <w:tab/>
            </w:r>
            <w:r w:rsidR="00B36EA9">
              <w:rPr>
                <w:webHidden/>
              </w:rPr>
              <w:fldChar w:fldCharType="begin"/>
            </w:r>
            <w:r w:rsidR="00B36EA9">
              <w:rPr>
                <w:webHidden/>
              </w:rPr>
              <w:instrText xml:space="preserve"> PAGEREF _Toc481057071 \h </w:instrText>
            </w:r>
            <w:r w:rsidR="00B36EA9">
              <w:rPr>
                <w:webHidden/>
              </w:rPr>
            </w:r>
            <w:r w:rsidR="00B36EA9">
              <w:rPr>
                <w:webHidden/>
              </w:rPr>
              <w:fldChar w:fldCharType="separate"/>
            </w:r>
            <w:r w:rsidR="00F23F3F">
              <w:rPr>
                <w:webHidden/>
              </w:rPr>
              <w:t>3-218</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72" w:history="1">
            <w:r w:rsidR="00B36EA9" w:rsidRPr="00DC5C3C">
              <w:rPr>
                <w:rStyle w:val="Hyperlink"/>
              </w:rPr>
              <w:t>D</w:t>
            </w:r>
            <w:r w:rsidR="00B36EA9">
              <w:rPr>
                <w:rFonts w:asciiTheme="minorHAnsi" w:eastAsiaTheme="minorEastAsia" w:hAnsiTheme="minorHAnsi"/>
                <w:b w:val="0"/>
                <w:color w:val="auto"/>
                <w:sz w:val="22"/>
                <w:lang w:val="en-AU" w:eastAsia="en-AU"/>
              </w:rPr>
              <w:tab/>
            </w:r>
            <w:r w:rsidR="00B36EA9" w:rsidRPr="00DC5C3C">
              <w:rPr>
                <w:rStyle w:val="Hyperlink"/>
              </w:rPr>
              <w:t>AER's dividend growth model</w:t>
            </w:r>
            <w:r w:rsidR="00B36EA9">
              <w:rPr>
                <w:webHidden/>
              </w:rPr>
              <w:tab/>
            </w:r>
            <w:r w:rsidR="00B36EA9">
              <w:rPr>
                <w:webHidden/>
              </w:rPr>
              <w:fldChar w:fldCharType="begin"/>
            </w:r>
            <w:r w:rsidR="00B36EA9">
              <w:rPr>
                <w:webHidden/>
              </w:rPr>
              <w:instrText xml:space="preserve"> PAGEREF _Toc481057072 \h </w:instrText>
            </w:r>
            <w:r w:rsidR="00B36EA9">
              <w:rPr>
                <w:webHidden/>
              </w:rPr>
            </w:r>
            <w:r w:rsidR="00B36EA9">
              <w:rPr>
                <w:webHidden/>
              </w:rPr>
              <w:fldChar w:fldCharType="separate"/>
            </w:r>
            <w:r w:rsidR="00F23F3F">
              <w:rPr>
                <w:webHidden/>
              </w:rPr>
              <w:t>3-223</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73" w:history="1">
            <w:r w:rsidR="00B36EA9" w:rsidRPr="00DC5C3C">
              <w:rPr>
                <w:rStyle w:val="Hyperlink"/>
                <w14:scene3d>
                  <w14:camera w14:prst="orthographicFront"/>
                  <w14:lightRig w14:rig="threePt" w14:dir="t">
                    <w14:rot w14:lat="0" w14:lon="0" w14:rev="0"/>
                  </w14:lightRig>
                </w14:scene3d>
              </w:rPr>
              <w:t>D.1</w:t>
            </w:r>
            <w:r w:rsidR="00B36EA9">
              <w:rPr>
                <w:rFonts w:asciiTheme="minorHAnsi" w:eastAsiaTheme="minorEastAsia" w:hAnsiTheme="minorHAnsi"/>
                <w:b w:val="0"/>
                <w:color w:val="auto"/>
                <w:sz w:val="22"/>
                <w:lang w:eastAsia="en-AU"/>
              </w:rPr>
              <w:tab/>
            </w:r>
            <w:r w:rsidR="00B36EA9" w:rsidRPr="00DC5C3C">
              <w:rPr>
                <w:rStyle w:val="Hyperlink"/>
              </w:rPr>
              <w:t>Prevailing estimates</w:t>
            </w:r>
            <w:r w:rsidR="00B36EA9">
              <w:rPr>
                <w:webHidden/>
              </w:rPr>
              <w:tab/>
            </w:r>
            <w:r w:rsidR="00B36EA9">
              <w:rPr>
                <w:webHidden/>
              </w:rPr>
              <w:fldChar w:fldCharType="begin"/>
            </w:r>
            <w:r w:rsidR="00B36EA9">
              <w:rPr>
                <w:webHidden/>
              </w:rPr>
              <w:instrText xml:space="preserve"> PAGEREF _Toc481057073 \h </w:instrText>
            </w:r>
            <w:r w:rsidR="00B36EA9">
              <w:rPr>
                <w:webHidden/>
              </w:rPr>
            </w:r>
            <w:r w:rsidR="00B36EA9">
              <w:rPr>
                <w:webHidden/>
              </w:rPr>
              <w:fldChar w:fldCharType="separate"/>
            </w:r>
            <w:r w:rsidR="00F23F3F">
              <w:rPr>
                <w:webHidden/>
              </w:rPr>
              <w:t>3-223</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74" w:history="1">
            <w:r w:rsidR="00B36EA9" w:rsidRPr="00DC5C3C">
              <w:rPr>
                <w:rStyle w:val="Hyperlink"/>
                <w14:scene3d>
                  <w14:camera w14:prst="orthographicFront"/>
                  <w14:lightRig w14:rig="threePt" w14:dir="t">
                    <w14:rot w14:lat="0" w14:lon="0" w14:rev="0"/>
                  </w14:lightRig>
                </w14:scene3d>
              </w:rPr>
              <w:t>D.2</w:t>
            </w:r>
            <w:r w:rsidR="00B36EA9">
              <w:rPr>
                <w:rFonts w:asciiTheme="minorHAnsi" w:eastAsiaTheme="minorEastAsia" w:hAnsiTheme="minorHAnsi"/>
                <w:b w:val="0"/>
                <w:color w:val="auto"/>
                <w:sz w:val="22"/>
                <w:lang w:eastAsia="en-AU"/>
              </w:rPr>
              <w:tab/>
            </w:r>
            <w:r w:rsidR="00B36EA9" w:rsidRPr="00DC5C3C">
              <w:rPr>
                <w:rStyle w:val="Hyperlink"/>
              </w:rPr>
              <w:t>Sensitivity analysis</w:t>
            </w:r>
            <w:r w:rsidR="00B36EA9">
              <w:rPr>
                <w:webHidden/>
              </w:rPr>
              <w:tab/>
            </w:r>
            <w:r w:rsidR="00B36EA9">
              <w:rPr>
                <w:webHidden/>
              </w:rPr>
              <w:fldChar w:fldCharType="begin"/>
            </w:r>
            <w:r w:rsidR="00B36EA9">
              <w:rPr>
                <w:webHidden/>
              </w:rPr>
              <w:instrText xml:space="preserve"> PAGEREF _Toc481057074 \h </w:instrText>
            </w:r>
            <w:r w:rsidR="00B36EA9">
              <w:rPr>
                <w:webHidden/>
              </w:rPr>
            </w:r>
            <w:r w:rsidR="00B36EA9">
              <w:rPr>
                <w:webHidden/>
              </w:rPr>
              <w:fldChar w:fldCharType="separate"/>
            </w:r>
            <w:r w:rsidR="00F23F3F">
              <w:rPr>
                <w:webHidden/>
              </w:rPr>
              <w:t>3-224</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75" w:history="1">
            <w:r w:rsidR="00B36EA9" w:rsidRPr="00DC5C3C">
              <w:rPr>
                <w:rStyle w:val="Hyperlink"/>
                <w14:scene3d>
                  <w14:camera w14:prst="orthographicFront"/>
                  <w14:lightRig w14:rig="threePt" w14:dir="t">
                    <w14:rot w14:lat="0" w14:lon="0" w14:rev="0"/>
                  </w14:lightRig>
                </w14:scene3d>
              </w:rPr>
              <w:t>D.3</w:t>
            </w:r>
            <w:r w:rsidR="00B36EA9">
              <w:rPr>
                <w:rFonts w:asciiTheme="minorHAnsi" w:eastAsiaTheme="minorEastAsia" w:hAnsiTheme="minorHAnsi"/>
                <w:b w:val="0"/>
                <w:color w:val="auto"/>
                <w:sz w:val="22"/>
                <w:lang w:eastAsia="en-AU"/>
              </w:rPr>
              <w:tab/>
            </w:r>
            <w:r w:rsidR="00B36EA9" w:rsidRPr="00DC5C3C">
              <w:rPr>
                <w:rStyle w:val="Hyperlink"/>
              </w:rPr>
              <w:t>Preferred construction of the dividend growth model</w:t>
            </w:r>
            <w:r w:rsidR="00B36EA9">
              <w:rPr>
                <w:webHidden/>
              </w:rPr>
              <w:tab/>
            </w:r>
            <w:r w:rsidR="00B36EA9">
              <w:rPr>
                <w:webHidden/>
              </w:rPr>
              <w:fldChar w:fldCharType="begin"/>
            </w:r>
            <w:r w:rsidR="00B36EA9">
              <w:rPr>
                <w:webHidden/>
              </w:rPr>
              <w:instrText xml:space="preserve"> PAGEREF _Toc481057075 \h </w:instrText>
            </w:r>
            <w:r w:rsidR="00B36EA9">
              <w:rPr>
                <w:webHidden/>
              </w:rPr>
            </w:r>
            <w:r w:rsidR="00B36EA9">
              <w:rPr>
                <w:webHidden/>
              </w:rPr>
              <w:fldChar w:fldCharType="separate"/>
            </w:r>
            <w:r w:rsidR="00F23F3F">
              <w:rPr>
                <w:webHidden/>
              </w:rPr>
              <w:t>3-225</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76" w:history="1">
            <w:r w:rsidR="00B36EA9" w:rsidRPr="00DC5C3C">
              <w:rPr>
                <w:rStyle w:val="Hyperlink"/>
                <w14:scene3d>
                  <w14:camera w14:prst="orthographicFront"/>
                  <w14:lightRig w14:rig="threePt" w14:dir="t">
                    <w14:rot w14:lat="0" w14:lon="0" w14:rev="0"/>
                  </w14:lightRig>
                </w14:scene3d>
              </w:rPr>
              <w:t>D.4</w:t>
            </w:r>
            <w:r w:rsidR="00B36EA9">
              <w:rPr>
                <w:rFonts w:asciiTheme="minorHAnsi" w:eastAsiaTheme="minorEastAsia" w:hAnsiTheme="minorHAnsi"/>
                <w:b w:val="0"/>
                <w:color w:val="auto"/>
                <w:sz w:val="22"/>
                <w:lang w:eastAsia="en-AU"/>
              </w:rPr>
              <w:tab/>
            </w:r>
            <w:r w:rsidR="00B36EA9" w:rsidRPr="00DC5C3C">
              <w:rPr>
                <w:rStyle w:val="Hyperlink"/>
              </w:rPr>
              <w:t>Sources of potential upward bias</w:t>
            </w:r>
            <w:r w:rsidR="00B36EA9">
              <w:rPr>
                <w:webHidden/>
              </w:rPr>
              <w:tab/>
            </w:r>
            <w:r w:rsidR="00B36EA9">
              <w:rPr>
                <w:webHidden/>
              </w:rPr>
              <w:fldChar w:fldCharType="begin"/>
            </w:r>
            <w:r w:rsidR="00B36EA9">
              <w:rPr>
                <w:webHidden/>
              </w:rPr>
              <w:instrText xml:space="preserve"> PAGEREF _Toc481057076 \h </w:instrText>
            </w:r>
            <w:r w:rsidR="00B36EA9">
              <w:rPr>
                <w:webHidden/>
              </w:rPr>
            </w:r>
            <w:r w:rsidR="00B36EA9">
              <w:rPr>
                <w:webHidden/>
              </w:rPr>
              <w:fldChar w:fldCharType="separate"/>
            </w:r>
            <w:r w:rsidR="00F23F3F">
              <w:rPr>
                <w:webHidden/>
              </w:rPr>
              <w:t>3-227</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77" w:history="1">
            <w:r w:rsidR="00B36EA9" w:rsidRPr="00DC5C3C">
              <w:rPr>
                <w:rStyle w:val="Hyperlink"/>
              </w:rPr>
              <w:t>E</w:t>
            </w:r>
            <w:r w:rsidR="00B36EA9">
              <w:rPr>
                <w:rFonts w:asciiTheme="minorHAnsi" w:eastAsiaTheme="minorEastAsia" w:hAnsiTheme="minorHAnsi"/>
                <w:b w:val="0"/>
                <w:color w:val="auto"/>
                <w:sz w:val="22"/>
                <w:lang w:val="en-AU" w:eastAsia="en-AU"/>
              </w:rPr>
              <w:tab/>
            </w:r>
            <w:r w:rsidR="00B36EA9" w:rsidRPr="00DC5C3C">
              <w:rPr>
                <w:rStyle w:val="Hyperlink"/>
              </w:rPr>
              <w:t>Return on equity conditioning variables</w:t>
            </w:r>
            <w:r w:rsidR="00B36EA9">
              <w:rPr>
                <w:webHidden/>
              </w:rPr>
              <w:tab/>
            </w:r>
            <w:r w:rsidR="00B36EA9">
              <w:rPr>
                <w:webHidden/>
              </w:rPr>
              <w:fldChar w:fldCharType="begin"/>
            </w:r>
            <w:r w:rsidR="00B36EA9">
              <w:rPr>
                <w:webHidden/>
              </w:rPr>
              <w:instrText xml:space="preserve"> PAGEREF _Toc481057077 \h </w:instrText>
            </w:r>
            <w:r w:rsidR="00B36EA9">
              <w:rPr>
                <w:webHidden/>
              </w:rPr>
            </w:r>
            <w:r w:rsidR="00B36EA9">
              <w:rPr>
                <w:webHidden/>
              </w:rPr>
              <w:fldChar w:fldCharType="separate"/>
            </w:r>
            <w:r w:rsidR="00F23F3F">
              <w:rPr>
                <w:webHidden/>
              </w:rPr>
              <w:t>3-232</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78" w:history="1">
            <w:r w:rsidR="00B36EA9" w:rsidRPr="00DC5C3C">
              <w:rPr>
                <w:rStyle w:val="Hyperlink"/>
                <w14:scene3d>
                  <w14:camera w14:prst="orthographicFront"/>
                  <w14:lightRig w14:rig="threePt" w14:dir="t">
                    <w14:rot w14:lat="0" w14:lon="0" w14:rev="0"/>
                  </w14:lightRig>
                </w14:scene3d>
              </w:rPr>
              <w:t>E.1</w:t>
            </w:r>
            <w:r w:rsidR="00B36EA9">
              <w:rPr>
                <w:rFonts w:asciiTheme="minorHAnsi" w:eastAsiaTheme="minorEastAsia" w:hAnsiTheme="minorHAnsi"/>
                <w:b w:val="0"/>
                <w:color w:val="auto"/>
                <w:sz w:val="22"/>
                <w:lang w:eastAsia="en-AU"/>
              </w:rPr>
              <w:tab/>
            </w:r>
            <w:r w:rsidR="00B36EA9" w:rsidRPr="00DC5C3C">
              <w:rPr>
                <w:rStyle w:val="Hyperlink"/>
              </w:rPr>
              <w:t>Implied volatility</w:t>
            </w:r>
            <w:r w:rsidR="00B36EA9">
              <w:rPr>
                <w:webHidden/>
              </w:rPr>
              <w:tab/>
            </w:r>
            <w:r w:rsidR="00B36EA9">
              <w:rPr>
                <w:webHidden/>
              </w:rPr>
              <w:fldChar w:fldCharType="begin"/>
            </w:r>
            <w:r w:rsidR="00B36EA9">
              <w:rPr>
                <w:webHidden/>
              </w:rPr>
              <w:instrText xml:space="preserve"> PAGEREF _Toc481057078 \h </w:instrText>
            </w:r>
            <w:r w:rsidR="00B36EA9">
              <w:rPr>
                <w:webHidden/>
              </w:rPr>
            </w:r>
            <w:r w:rsidR="00B36EA9">
              <w:rPr>
                <w:webHidden/>
              </w:rPr>
              <w:fldChar w:fldCharType="separate"/>
            </w:r>
            <w:r w:rsidR="00F23F3F">
              <w:rPr>
                <w:webHidden/>
              </w:rPr>
              <w:t>3-233</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79" w:history="1">
            <w:r w:rsidR="00B36EA9" w:rsidRPr="00DC5C3C">
              <w:rPr>
                <w:rStyle w:val="Hyperlink"/>
                <w14:scene3d>
                  <w14:camera w14:prst="orthographicFront"/>
                  <w14:lightRig w14:rig="threePt" w14:dir="t">
                    <w14:rot w14:lat="0" w14:lon="0" w14:rev="0"/>
                  </w14:lightRig>
                </w14:scene3d>
              </w:rPr>
              <w:t>E.2</w:t>
            </w:r>
            <w:r w:rsidR="00B36EA9">
              <w:rPr>
                <w:rFonts w:asciiTheme="minorHAnsi" w:eastAsiaTheme="minorEastAsia" w:hAnsiTheme="minorHAnsi"/>
                <w:b w:val="0"/>
                <w:color w:val="auto"/>
                <w:sz w:val="22"/>
                <w:lang w:eastAsia="en-AU"/>
              </w:rPr>
              <w:tab/>
            </w:r>
            <w:r w:rsidR="00B36EA9" w:rsidRPr="00DC5C3C">
              <w:rPr>
                <w:rStyle w:val="Hyperlink"/>
              </w:rPr>
              <w:t>Dividend yields</w:t>
            </w:r>
            <w:r w:rsidR="00B36EA9">
              <w:rPr>
                <w:webHidden/>
              </w:rPr>
              <w:tab/>
            </w:r>
            <w:r w:rsidR="00B36EA9">
              <w:rPr>
                <w:webHidden/>
              </w:rPr>
              <w:fldChar w:fldCharType="begin"/>
            </w:r>
            <w:r w:rsidR="00B36EA9">
              <w:rPr>
                <w:webHidden/>
              </w:rPr>
              <w:instrText xml:space="preserve"> PAGEREF _Toc481057079 \h </w:instrText>
            </w:r>
            <w:r w:rsidR="00B36EA9">
              <w:rPr>
                <w:webHidden/>
              </w:rPr>
            </w:r>
            <w:r w:rsidR="00B36EA9">
              <w:rPr>
                <w:webHidden/>
              </w:rPr>
              <w:fldChar w:fldCharType="separate"/>
            </w:r>
            <w:r w:rsidR="00F23F3F">
              <w:rPr>
                <w:webHidden/>
              </w:rPr>
              <w:t>3-234</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80" w:history="1">
            <w:r w:rsidR="00B36EA9" w:rsidRPr="00DC5C3C">
              <w:rPr>
                <w:rStyle w:val="Hyperlink"/>
                <w14:scene3d>
                  <w14:camera w14:prst="orthographicFront"/>
                  <w14:lightRig w14:rig="threePt" w14:dir="t">
                    <w14:rot w14:lat="0" w14:lon="0" w14:rev="0"/>
                  </w14:lightRig>
                </w14:scene3d>
              </w:rPr>
              <w:t>E.3</w:t>
            </w:r>
            <w:r w:rsidR="00B36EA9">
              <w:rPr>
                <w:rFonts w:asciiTheme="minorHAnsi" w:eastAsiaTheme="minorEastAsia" w:hAnsiTheme="minorHAnsi"/>
                <w:b w:val="0"/>
                <w:color w:val="auto"/>
                <w:sz w:val="22"/>
                <w:lang w:eastAsia="en-AU"/>
              </w:rPr>
              <w:tab/>
            </w:r>
            <w:r w:rsidR="00B36EA9" w:rsidRPr="00DC5C3C">
              <w:rPr>
                <w:rStyle w:val="Hyperlink"/>
              </w:rPr>
              <w:t>Yield spreads</w:t>
            </w:r>
            <w:r w:rsidR="00B36EA9">
              <w:rPr>
                <w:webHidden/>
              </w:rPr>
              <w:tab/>
            </w:r>
            <w:r w:rsidR="00B36EA9">
              <w:rPr>
                <w:webHidden/>
              </w:rPr>
              <w:fldChar w:fldCharType="begin"/>
            </w:r>
            <w:r w:rsidR="00B36EA9">
              <w:rPr>
                <w:webHidden/>
              </w:rPr>
              <w:instrText xml:space="preserve"> PAGEREF _Toc481057080 \h </w:instrText>
            </w:r>
            <w:r w:rsidR="00B36EA9">
              <w:rPr>
                <w:webHidden/>
              </w:rPr>
            </w:r>
            <w:r w:rsidR="00B36EA9">
              <w:rPr>
                <w:webHidden/>
              </w:rPr>
              <w:fldChar w:fldCharType="separate"/>
            </w:r>
            <w:r w:rsidR="00F23F3F">
              <w:rPr>
                <w:webHidden/>
              </w:rPr>
              <w:t>3-235</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81" w:history="1">
            <w:r w:rsidR="00B36EA9" w:rsidRPr="00DC5C3C">
              <w:rPr>
                <w:rStyle w:val="Hyperlink"/>
              </w:rPr>
              <w:t>F</w:t>
            </w:r>
            <w:r w:rsidR="00B36EA9">
              <w:rPr>
                <w:rFonts w:asciiTheme="minorHAnsi" w:eastAsiaTheme="minorEastAsia" w:hAnsiTheme="minorHAnsi"/>
                <w:b w:val="0"/>
                <w:color w:val="auto"/>
                <w:sz w:val="22"/>
                <w:lang w:val="en-AU" w:eastAsia="en-AU"/>
              </w:rPr>
              <w:tab/>
            </w:r>
            <w:r w:rsidR="00B36EA9" w:rsidRPr="00DC5C3C">
              <w:rPr>
                <w:rStyle w:val="Hyperlink"/>
              </w:rPr>
              <w:t>Other practitioner's return on equity estimates</w:t>
            </w:r>
            <w:r w:rsidR="00B36EA9">
              <w:rPr>
                <w:webHidden/>
              </w:rPr>
              <w:tab/>
            </w:r>
            <w:r w:rsidR="00B36EA9">
              <w:rPr>
                <w:webHidden/>
              </w:rPr>
              <w:fldChar w:fldCharType="begin"/>
            </w:r>
            <w:r w:rsidR="00B36EA9">
              <w:rPr>
                <w:webHidden/>
              </w:rPr>
              <w:instrText xml:space="preserve"> PAGEREF _Toc481057081 \h </w:instrText>
            </w:r>
            <w:r w:rsidR="00B36EA9">
              <w:rPr>
                <w:webHidden/>
              </w:rPr>
            </w:r>
            <w:r w:rsidR="00B36EA9">
              <w:rPr>
                <w:webHidden/>
              </w:rPr>
              <w:fldChar w:fldCharType="separate"/>
            </w:r>
            <w:r w:rsidR="00F23F3F">
              <w:rPr>
                <w:webHidden/>
              </w:rPr>
              <w:t>3-241</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82" w:history="1">
            <w:r w:rsidR="00B36EA9" w:rsidRPr="00DC5C3C">
              <w:rPr>
                <w:rStyle w:val="Hyperlink"/>
                <w14:scene3d>
                  <w14:camera w14:prst="orthographicFront"/>
                  <w14:lightRig w14:rig="threePt" w14:dir="t">
                    <w14:rot w14:lat="0" w14:lon="0" w14:rev="0"/>
                  </w14:lightRig>
                </w14:scene3d>
              </w:rPr>
              <w:t>F.1</w:t>
            </w:r>
            <w:r w:rsidR="00B36EA9">
              <w:rPr>
                <w:rFonts w:asciiTheme="minorHAnsi" w:eastAsiaTheme="minorEastAsia" w:hAnsiTheme="minorHAnsi"/>
                <w:b w:val="0"/>
                <w:color w:val="auto"/>
                <w:sz w:val="22"/>
                <w:lang w:eastAsia="en-AU"/>
              </w:rPr>
              <w:tab/>
            </w:r>
            <w:r w:rsidR="00B36EA9" w:rsidRPr="00DC5C3C">
              <w:rPr>
                <w:rStyle w:val="Hyperlink"/>
              </w:rPr>
              <w:t>Prevailing estimates: surveys</w:t>
            </w:r>
            <w:r w:rsidR="00B36EA9">
              <w:rPr>
                <w:webHidden/>
              </w:rPr>
              <w:tab/>
            </w:r>
            <w:r w:rsidR="00B36EA9">
              <w:rPr>
                <w:webHidden/>
              </w:rPr>
              <w:fldChar w:fldCharType="begin"/>
            </w:r>
            <w:r w:rsidR="00B36EA9">
              <w:rPr>
                <w:webHidden/>
              </w:rPr>
              <w:instrText xml:space="preserve"> PAGEREF _Toc481057082 \h </w:instrText>
            </w:r>
            <w:r w:rsidR="00B36EA9">
              <w:rPr>
                <w:webHidden/>
              </w:rPr>
            </w:r>
            <w:r w:rsidR="00B36EA9">
              <w:rPr>
                <w:webHidden/>
              </w:rPr>
              <w:fldChar w:fldCharType="separate"/>
            </w:r>
            <w:r w:rsidR="00F23F3F">
              <w:rPr>
                <w:webHidden/>
              </w:rPr>
              <w:t>3-242</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83" w:history="1">
            <w:r w:rsidR="00B36EA9" w:rsidRPr="00DC5C3C">
              <w:rPr>
                <w:rStyle w:val="Hyperlink"/>
                <w14:scene3d>
                  <w14:camera w14:prst="orthographicFront"/>
                  <w14:lightRig w14:rig="threePt" w14:dir="t">
                    <w14:rot w14:lat="0" w14:lon="0" w14:rev="0"/>
                  </w14:lightRig>
                </w14:scene3d>
              </w:rPr>
              <w:t>F.2</w:t>
            </w:r>
            <w:r w:rsidR="00B36EA9">
              <w:rPr>
                <w:rFonts w:asciiTheme="minorHAnsi" w:eastAsiaTheme="minorEastAsia" w:hAnsiTheme="minorHAnsi"/>
                <w:b w:val="0"/>
                <w:color w:val="auto"/>
                <w:sz w:val="22"/>
                <w:lang w:eastAsia="en-AU"/>
              </w:rPr>
              <w:tab/>
            </w:r>
            <w:r w:rsidR="00B36EA9" w:rsidRPr="00DC5C3C">
              <w:rPr>
                <w:rStyle w:val="Hyperlink"/>
              </w:rPr>
              <w:t>Prevailing estimates: broker reports</w:t>
            </w:r>
            <w:r w:rsidR="00B36EA9">
              <w:rPr>
                <w:webHidden/>
              </w:rPr>
              <w:tab/>
            </w:r>
            <w:r w:rsidR="00B36EA9">
              <w:rPr>
                <w:webHidden/>
              </w:rPr>
              <w:fldChar w:fldCharType="begin"/>
            </w:r>
            <w:r w:rsidR="00B36EA9">
              <w:rPr>
                <w:webHidden/>
              </w:rPr>
              <w:instrText xml:space="preserve"> PAGEREF _Toc481057083 \h </w:instrText>
            </w:r>
            <w:r w:rsidR="00B36EA9">
              <w:rPr>
                <w:webHidden/>
              </w:rPr>
            </w:r>
            <w:r w:rsidR="00B36EA9">
              <w:rPr>
                <w:webHidden/>
              </w:rPr>
              <w:fldChar w:fldCharType="separate"/>
            </w:r>
            <w:r w:rsidR="00F23F3F">
              <w:rPr>
                <w:webHidden/>
              </w:rPr>
              <w:t>3-244</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84" w:history="1">
            <w:r w:rsidR="00B36EA9" w:rsidRPr="00DC5C3C">
              <w:rPr>
                <w:rStyle w:val="Hyperlink"/>
                <w14:scene3d>
                  <w14:camera w14:prst="orthographicFront"/>
                  <w14:lightRig w14:rig="threePt" w14:dir="t">
                    <w14:rot w14:lat="0" w14:lon="0" w14:rev="0"/>
                  </w14:lightRig>
                </w14:scene3d>
              </w:rPr>
              <w:t>F.3</w:t>
            </w:r>
            <w:r w:rsidR="00B36EA9">
              <w:rPr>
                <w:rFonts w:asciiTheme="minorHAnsi" w:eastAsiaTheme="minorEastAsia" w:hAnsiTheme="minorHAnsi"/>
                <w:b w:val="0"/>
                <w:color w:val="auto"/>
                <w:sz w:val="22"/>
                <w:lang w:eastAsia="en-AU"/>
              </w:rPr>
              <w:tab/>
            </w:r>
            <w:r w:rsidR="00B36EA9" w:rsidRPr="00DC5C3C">
              <w:rPr>
                <w:rStyle w:val="Hyperlink"/>
              </w:rPr>
              <w:t>Prevailing estimates: valuation reports</w:t>
            </w:r>
            <w:r w:rsidR="00B36EA9">
              <w:rPr>
                <w:webHidden/>
              </w:rPr>
              <w:tab/>
            </w:r>
            <w:r w:rsidR="00B36EA9">
              <w:rPr>
                <w:webHidden/>
              </w:rPr>
              <w:fldChar w:fldCharType="begin"/>
            </w:r>
            <w:r w:rsidR="00B36EA9">
              <w:rPr>
                <w:webHidden/>
              </w:rPr>
              <w:instrText xml:space="preserve"> PAGEREF _Toc481057084 \h </w:instrText>
            </w:r>
            <w:r w:rsidR="00B36EA9">
              <w:rPr>
                <w:webHidden/>
              </w:rPr>
            </w:r>
            <w:r w:rsidR="00B36EA9">
              <w:rPr>
                <w:webHidden/>
              </w:rPr>
              <w:fldChar w:fldCharType="separate"/>
            </w:r>
            <w:r w:rsidR="00F23F3F">
              <w:rPr>
                <w:webHidden/>
              </w:rPr>
              <w:t>3-245</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85" w:history="1">
            <w:r w:rsidR="00B36EA9" w:rsidRPr="00DC5C3C">
              <w:rPr>
                <w:rStyle w:val="Hyperlink"/>
                <w14:scene3d>
                  <w14:camera w14:prst="orthographicFront"/>
                  <w14:lightRig w14:rig="threePt" w14:dir="t">
                    <w14:rot w14:lat="0" w14:lon="0" w14:rev="0"/>
                  </w14:lightRig>
                </w14:scene3d>
              </w:rPr>
              <w:t>F.4</w:t>
            </w:r>
            <w:r w:rsidR="00B36EA9">
              <w:rPr>
                <w:rFonts w:asciiTheme="minorHAnsi" w:eastAsiaTheme="minorEastAsia" w:hAnsiTheme="minorHAnsi"/>
                <w:b w:val="0"/>
                <w:color w:val="auto"/>
                <w:sz w:val="22"/>
                <w:lang w:eastAsia="en-AU"/>
              </w:rPr>
              <w:tab/>
            </w:r>
            <w:r w:rsidR="00B36EA9" w:rsidRPr="00DC5C3C">
              <w:rPr>
                <w:rStyle w:val="Hyperlink"/>
              </w:rPr>
              <w:t>Prevailing estimates: other regulators</w:t>
            </w:r>
            <w:r w:rsidR="00B36EA9">
              <w:rPr>
                <w:webHidden/>
              </w:rPr>
              <w:tab/>
            </w:r>
            <w:r w:rsidR="00B36EA9">
              <w:rPr>
                <w:webHidden/>
              </w:rPr>
              <w:fldChar w:fldCharType="begin"/>
            </w:r>
            <w:r w:rsidR="00B36EA9">
              <w:rPr>
                <w:webHidden/>
              </w:rPr>
              <w:instrText xml:space="preserve"> PAGEREF _Toc481057085 \h </w:instrText>
            </w:r>
            <w:r w:rsidR="00B36EA9">
              <w:rPr>
                <w:webHidden/>
              </w:rPr>
            </w:r>
            <w:r w:rsidR="00B36EA9">
              <w:rPr>
                <w:webHidden/>
              </w:rPr>
              <w:fldChar w:fldCharType="separate"/>
            </w:r>
            <w:r w:rsidR="00F23F3F">
              <w:rPr>
                <w:webHidden/>
              </w:rPr>
              <w:t>3-248</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86" w:history="1">
            <w:r w:rsidR="00B36EA9" w:rsidRPr="00DC5C3C">
              <w:rPr>
                <w:rStyle w:val="Hyperlink"/>
                <w14:scene3d>
                  <w14:camera w14:prst="orthographicFront"/>
                  <w14:lightRig w14:rig="threePt" w14:dir="t">
                    <w14:rot w14:lat="0" w14:lon="0" w14:rev="0"/>
                  </w14:lightRig>
                </w14:scene3d>
              </w:rPr>
              <w:t>F.5</w:t>
            </w:r>
            <w:r w:rsidR="00B36EA9">
              <w:rPr>
                <w:rFonts w:asciiTheme="minorHAnsi" w:eastAsiaTheme="minorEastAsia" w:hAnsiTheme="minorHAnsi"/>
                <w:b w:val="0"/>
                <w:color w:val="auto"/>
                <w:sz w:val="22"/>
                <w:lang w:eastAsia="en-AU"/>
              </w:rPr>
              <w:tab/>
            </w:r>
            <w:r w:rsidR="00B36EA9" w:rsidRPr="00DC5C3C">
              <w:rPr>
                <w:rStyle w:val="Hyperlink"/>
              </w:rPr>
              <w:t>Relationship between risk free rate and market risk premium in valuation reports</w:t>
            </w:r>
            <w:r w:rsidR="00B36EA9">
              <w:rPr>
                <w:webHidden/>
              </w:rPr>
              <w:tab/>
            </w:r>
            <w:r w:rsidR="00B36EA9">
              <w:rPr>
                <w:webHidden/>
              </w:rPr>
              <w:fldChar w:fldCharType="begin"/>
            </w:r>
            <w:r w:rsidR="00B36EA9">
              <w:rPr>
                <w:webHidden/>
              </w:rPr>
              <w:instrText xml:space="preserve"> PAGEREF _Toc481057086 \h </w:instrText>
            </w:r>
            <w:r w:rsidR="00B36EA9">
              <w:rPr>
                <w:webHidden/>
              </w:rPr>
            </w:r>
            <w:r w:rsidR="00B36EA9">
              <w:rPr>
                <w:webHidden/>
              </w:rPr>
              <w:fldChar w:fldCharType="separate"/>
            </w:r>
            <w:r w:rsidR="00F23F3F">
              <w:rPr>
                <w:webHidden/>
              </w:rPr>
              <w:t>3-251</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87" w:history="1">
            <w:r w:rsidR="00B36EA9" w:rsidRPr="00DC5C3C">
              <w:rPr>
                <w:rStyle w:val="Hyperlink"/>
              </w:rPr>
              <w:t>G</w:t>
            </w:r>
            <w:r w:rsidR="00B36EA9">
              <w:rPr>
                <w:rFonts w:asciiTheme="minorHAnsi" w:eastAsiaTheme="minorEastAsia" w:hAnsiTheme="minorHAnsi"/>
                <w:b w:val="0"/>
                <w:color w:val="auto"/>
                <w:sz w:val="22"/>
                <w:lang w:val="en-AU" w:eastAsia="en-AU"/>
              </w:rPr>
              <w:tab/>
            </w:r>
            <w:r w:rsidR="00B36EA9" w:rsidRPr="00DC5C3C">
              <w:rPr>
                <w:rStyle w:val="Hyperlink"/>
              </w:rPr>
              <w:t>Empirical estimates of equity beta</w:t>
            </w:r>
            <w:r w:rsidR="00B36EA9">
              <w:rPr>
                <w:webHidden/>
              </w:rPr>
              <w:tab/>
            </w:r>
            <w:r w:rsidR="00B36EA9">
              <w:rPr>
                <w:webHidden/>
              </w:rPr>
              <w:fldChar w:fldCharType="begin"/>
            </w:r>
            <w:r w:rsidR="00B36EA9">
              <w:rPr>
                <w:webHidden/>
              </w:rPr>
              <w:instrText xml:space="preserve"> PAGEREF _Toc481057087 \h </w:instrText>
            </w:r>
            <w:r w:rsidR="00B36EA9">
              <w:rPr>
                <w:webHidden/>
              </w:rPr>
            </w:r>
            <w:r w:rsidR="00B36EA9">
              <w:rPr>
                <w:webHidden/>
              </w:rPr>
              <w:fldChar w:fldCharType="separate"/>
            </w:r>
            <w:r w:rsidR="00F23F3F">
              <w:rPr>
                <w:webHidden/>
              </w:rPr>
              <w:t>3-253</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88" w:history="1">
            <w:r w:rsidR="00B36EA9" w:rsidRPr="00DC5C3C">
              <w:rPr>
                <w:rStyle w:val="Hyperlink"/>
                <w14:scene3d>
                  <w14:camera w14:prst="orthographicFront"/>
                  <w14:lightRig w14:rig="threePt" w14:dir="t">
                    <w14:rot w14:lat="0" w14:lon="0" w14:rev="0"/>
                  </w14:lightRig>
                </w14:scene3d>
              </w:rPr>
              <w:t>G.1</w:t>
            </w:r>
            <w:r w:rsidR="00B36EA9">
              <w:rPr>
                <w:rFonts w:asciiTheme="minorHAnsi" w:eastAsiaTheme="minorEastAsia" w:hAnsiTheme="minorHAnsi"/>
                <w:b w:val="0"/>
                <w:color w:val="auto"/>
                <w:sz w:val="22"/>
                <w:lang w:eastAsia="en-AU"/>
              </w:rPr>
              <w:tab/>
            </w:r>
            <w:r w:rsidR="00B36EA9" w:rsidRPr="00DC5C3C">
              <w:rPr>
                <w:rStyle w:val="Hyperlink"/>
              </w:rPr>
              <w:t>Australian empirical estimates from Henry's 2014 report</w:t>
            </w:r>
            <w:r w:rsidR="00B36EA9">
              <w:rPr>
                <w:webHidden/>
              </w:rPr>
              <w:tab/>
            </w:r>
            <w:r w:rsidR="00B36EA9">
              <w:rPr>
                <w:webHidden/>
              </w:rPr>
              <w:fldChar w:fldCharType="begin"/>
            </w:r>
            <w:r w:rsidR="00B36EA9">
              <w:rPr>
                <w:webHidden/>
              </w:rPr>
              <w:instrText xml:space="preserve"> PAGEREF _Toc481057088 \h </w:instrText>
            </w:r>
            <w:r w:rsidR="00B36EA9">
              <w:rPr>
                <w:webHidden/>
              </w:rPr>
            </w:r>
            <w:r w:rsidR="00B36EA9">
              <w:rPr>
                <w:webHidden/>
              </w:rPr>
              <w:fldChar w:fldCharType="separate"/>
            </w:r>
            <w:r w:rsidR="00F23F3F">
              <w:rPr>
                <w:webHidden/>
              </w:rPr>
              <w:t>3-254</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89" w:history="1">
            <w:r w:rsidR="00B36EA9" w:rsidRPr="00DC5C3C">
              <w:rPr>
                <w:rStyle w:val="Hyperlink"/>
                <w14:scene3d>
                  <w14:camera w14:prst="orthographicFront"/>
                  <w14:lightRig w14:rig="threePt" w14:dir="t">
                    <w14:rot w14:lat="0" w14:lon="0" w14:rev="0"/>
                  </w14:lightRig>
                </w14:scene3d>
              </w:rPr>
              <w:t>G.2</w:t>
            </w:r>
            <w:r w:rsidR="00B36EA9">
              <w:rPr>
                <w:rFonts w:asciiTheme="minorHAnsi" w:eastAsiaTheme="minorEastAsia" w:hAnsiTheme="minorHAnsi"/>
                <w:b w:val="0"/>
                <w:color w:val="auto"/>
                <w:sz w:val="22"/>
                <w:lang w:eastAsia="en-AU"/>
              </w:rPr>
              <w:tab/>
            </w:r>
            <w:r w:rsidR="00B36EA9" w:rsidRPr="00DC5C3C">
              <w:rPr>
                <w:rStyle w:val="Hyperlink"/>
              </w:rPr>
              <w:t>Australian empirical estimates from other studies</w:t>
            </w:r>
            <w:r w:rsidR="00B36EA9">
              <w:rPr>
                <w:webHidden/>
              </w:rPr>
              <w:tab/>
            </w:r>
            <w:r w:rsidR="00B36EA9">
              <w:rPr>
                <w:webHidden/>
              </w:rPr>
              <w:fldChar w:fldCharType="begin"/>
            </w:r>
            <w:r w:rsidR="00B36EA9">
              <w:rPr>
                <w:webHidden/>
              </w:rPr>
              <w:instrText xml:space="preserve"> PAGEREF _Toc481057089 \h </w:instrText>
            </w:r>
            <w:r w:rsidR="00B36EA9">
              <w:rPr>
                <w:webHidden/>
              </w:rPr>
            </w:r>
            <w:r w:rsidR="00B36EA9">
              <w:rPr>
                <w:webHidden/>
              </w:rPr>
              <w:fldChar w:fldCharType="separate"/>
            </w:r>
            <w:r w:rsidR="00F23F3F">
              <w:rPr>
                <w:webHidden/>
              </w:rPr>
              <w:t>3-257</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90" w:history="1">
            <w:r w:rsidR="00B36EA9" w:rsidRPr="00DC5C3C">
              <w:rPr>
                <w:rStyle w:val="Hyperlink"/>
                <w14:scene3d>
                  <w14:camera w14:prst="orthographicFront"/>
                  <w14:lightRig w14:rig="threePt" w14:dir="t">
                    <w14:rot w14:lat="0" w14:lon="0" w14:rev="0"/>
                  </w14:lightRig>
                </w14:scene3d>
              </w:rPr>
              <w:t>G.3</w:t>
            </w:r>
            <w:r w:rsidR="00B36EA9">
              <w:rPr>
                <w:rFonts w:asciiTheme="minorHAnsi" w:eastAsiaTheme="minorEastAsia" w:hAnsiTheme="minorHAnsi"/>
                <w:b w:val="0"/>
                <w:color w:val="auto"/>
                <w:sz w:val="22"/>
                <w:lang w:eastAsia="en-AU"/>
              </w:rPr>
              <w:tab/>
            </w:r>
            <w:r w:rsidR="00B36EA9" w:rsidRPr="00DC5C3C">
              <w:rPr>
                <w:rStyle w:val="Hyperlink"/>
              </w:rPr>
              <w:t>International empirical estimates</w:t>
            </w:r>
            <w:r w:rsidR="00B36EA9">
              <w:rPr>
                <w:webHidden/>
              </w:rPr>
              <w:tab/>
            </w:r>
            <w:r w:rsidR="00B36EA9">
              <w:rPr>
                <w:webHidden/>
              </w:rPr>
              <w:fldChar w:fldCharType="begin"/>
            </w:r>
            <w:r w:rsidR="00B36EA9">
              <w:rPr>
                <w:webHidden/>
              </w:rPr>
              <w:instrText xml:space="preserve"> PAGEREF _Toc481057090 \h </w:instrText>
            </w:r>
            <w:r w:rsidR="00B36EA9">
              <w:rPr>
                <w:webHidden/>
              </w:rPr>
            </w:r>
            <w:r w:rsidR="00B36EA9">
              <w:rPr>
                <w:webHidden/>
              </w:rPr>
              <w:fldChar w:fldCharType="separate"/>
            </w:r>
            <w:r w:rsidR="00F23F3F">
              <w:rPr>
                <w:webHidden/>
              </w:rPr>
              <w:t>3-262</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91" w:history="1">
            <w:r w:rsidR="00B36EA9" w:rsidRPr="00DC5C3C">
              <w:rPr>
                <w:rStyle w:val="Hyperlink"/>
                <w14:scene3d>
                  <w14:camera w14:prst="orthographicFront"/>
                  <w14:lightRig w14:rig="threePt" w14:dir="t">
                    <w14:rot w14:lat="0" w14:lon="0" w14:rev="0"/>
                  </w14:lightRig>
                </w14:scene3d>
              </w:rPr>
              <w:t>G.4</w:t>
            </w:r>
            <w:r w:rsidR="00B36EA9">
              <w:rPr>
                <w:rFonts w:asciiTheme="minorHAnsi" w:eastAsiaTheme="minorEastAsia" w:hAnsiTheme="minorHAnsi"/>
                <w:b w:val="0"/>
                <w:color w:val="auto"/>
                <w:sz w:val="22"/>
                <w:lang w:eastAsia="en-AU"/>
              </w:rPr>
              <w:tab/>
            </w:r>
            <w:r w:rsidR="00B36EA9" w:rsidRPr="00DC5C3C">
              <w:rPr>
                <w:rStyle w:val="Hyperlink"/>
              </w:rPr>
              <w:t>Choice of comparator set</w:t>
            </w:r>
            <w:r w:rsidR="00B36EA9">
              <w:rPr>
                <w:webHidden/>
              </w:rPr>
              <w:tab/>
            </w:r>
            <w:r w:rsidR="00B36EA9">
              <w:rPr>
                <w:webHidden/>
              </w:rPr>
              <w:fldChar w:fldCharType="begin"/>
            </w:r>
            <w:r w:rsidR="00B36EA9">
              <w:rPr>
                <w:webHidden/>
              </w:rPr>
              <w:instrText xml:space="preserve"> PAGEREF _Toc481057091 \h </w:instrText>
            </w:r>
            <w:r w:rsidR="00B36EA9">
              <w:rPr>
                <w:webHidden/>
              </w:rPr>
            </w:r>
            <w:r w:rsidR="00B36EA9">
              <w:rPr>
                <w:webHidden/>
              </w:rPr>
              <w:fldChar w:fldCharType="separate"/>
            </w:r>
            <w:r w:rsidR="00F23F3F">
              <w:rPr>
                <w:webHidden/>
              </w:rPr>
              <w:t>3-264</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92" w:history="1">
            <w:r w:rsidR="00B36EA9" w:rsidRPr="00DC5C3C">
              <w:rPr>
                <w:rStyle w:val="Hyperlink"/>
              </w:rPr>
              <w:t>H</w:t>
            </w:r>
            <w:r w:rsidR="00B36EA9">
              <w:rPr>
                <w:rFonts w:asciiTheme="minorHAnsi" w:eastAsiaTheme="minorEastAsia" w:hAnsiTheme="minorHAnsi"/>
                <w:b w:val="0"/>
                <w:color w:val="auto"/>
                <w:sz w:val="22"/>
                <w:lang w:val="en-AU" w:eastAsia="en-AU"/>
              </w:rPr>
              <w:tab/>
            </w:r>
            <w:r w:rsidR="00B36EA9" w:rsidRPr="00DC5C3C">
              <w:rPr>
                <w:rStyle w:val="Hyperlink"/>
              </w:rPr>
              <w:t>Return on debt approach</w:t>
            </w:r>
            <w:r w:rsidR="00B36EA9">
              <w:rPr>
                <w:webHidden/>
              </w:rPr>
              <w:tab/>
            </w:r>
            <w:r w:rsidR="00B36EA9">
              <w:rPr>
                <w:webHidden/>
              </w:rPr>
              <w:fldChar w:fldCharType="begin"/>
            </w:r>
            <w:r w:rsidR="00B36EA9">
              <w:rPr>
                <w:webHidden/>
              </w:rPr>
              <w:instrText xml:space="preserve"> PAGEREF _Toc481057092 \h </w:instrText>
            </w:r>
            <w:r w:rsidR="00B36EA9">
              <w:rPr>
                <w:webHidden/>
              </w:rPr>
            </w:r>
            <w:r w:rsidR="00B36EA9">
              <w:rPr>
                <w:webHidden/>
              </w:rPr>
              <w:fldChar w:fldCharType="separate"/>
            </w:r>
            <w:r w:rsidR="00F23F3F">
              <w:rPr>
                <w:webHidden/>
              </w:rPr>
              <w:t>3-276</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93" w:history="1">
            <w:r w:rsidR="00B36EA9" w:rsidRPr="00DC5C3C">
              <w:rPr>
                <w:rStyle w:val="Hyperlink"/>
                <w14:scene3d>
                  <w14:camera w14:prst="orthographicFront"/>
                  <w14:lightRig w14:rig="threePt" w14:dir="t">
                    <w14:rot w14:lat="0" w14:lon="0" w14:rev="0"/>
                  </w14:lightRig>
                </w14:scene3d>
              </w:rPr>
              <w:t>H.1</w:t>
            </w:r>
            <w:r w:rsidR="00B36EA9">
              <w:rPr>
                <w:rFonts w:asciiTheme="minorHAnsi" w:eastAsiaTheme="minorEastAsia" w:hAnsiTheme="minorHAnsi"/>
                <w:b w:val="0"/>
                <w:color w:val="auto"/>
                <w:sz w:val="22"/>
                <w:lang w:eastAsia="en-AU"/>
              </w:rPr>
              <w:tab/>
            </w:r>
            <w:r w:rsidR="00B36EA9" w:rsidRPr="00DC5C3C">
              <w:rPr>
                <w:rStyle w:val="Hyperlink"/>
              </w:rPr>
              <w:t>Interpretation of the ARORO</w:t>
            </w:r>
            <w:r w:rsidR="00B36EA9">
              <w:rPr>
                <w:webHidden/>
              </w:rPr>
              <w:tab/>
            </w:r>
            <w:r w:rsidR="00B36EA9">
              <w:rPr>
                <w:webHidden/>
              </w:rPr>
              <w:fldChar w:fldCharType="begin"/>
            </w:r>
            <w:r w:rsidR="00B36EA9">
              <w:rPr>
                <w:webHidden/>
              </w:rPr>
              <w:instrText xml:space="preserve"> PAGEREF _Toc481057093 \h </w:instrText>
            </w:r>
            <w:r w:rsidR="00B36EA9">
              <w:rPr>
                <w:webHidden/>
              </w:rPr>
            </w:r>
            <w:r w:rsidR="00B36EA9">
              <w:rPr>
                <w:webHidden/>
              </w:rPr>
              <w:fldChar w:fldCharType="separate"/>
            </w:r>
            <w:r w:rsidR="00F23F3F">
              <w:rPr>
                <w:webHidden/>
              </w:rPr>
              <w:t>3-277</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94" w:history="1">
            <w:r w:rsidR="00B36EA9" w:rsidRPr="00DC5C3C">
              <w:rPr>
                <w:rStyle w:val="Hyperlink"/>
                <w14:scene3d>
                  <w14:camera w14:prst="orthographicFront"/>
                  <w14:lightRig w14:rig="threePt" w14:dir="t">
                    <w14:rot w14:lat="0" w14:lon="0" w14:rev="0"/>
                  </w14:lightRig>
                </w14:scene3d>
              </w:rPr>
              <w:t>H.2</w:t>
            </w:r>
            <w:r w:rsidR="00B36EA9">
              <w:rPr>
                <w:rFonts w:asciiTheme="minorHAnsi" w:eastAsiaTheme="minorEastAsia" w:hAnsiTheme="minorHAnsi"/>
                <w:b w:val="0"/>
                <w:color w:val="auto"/>
                <w:sz w:val="22"/>
                <w:lang w:eastAsia="en-AU"/>
              </w:rPr>
              <w:tab/>
            </w:r>
            <w:r w:rsidR="00B36EA9" w:rsidRPr="00DC5C3C">
              <w:rPr>
                <w:rStyle w:val="Hyperlink"/>
              </w:rPr>
              <w:t>Requirements under the ARORO</w:t>
            </w:r>
            <w:r w:rsidR="00B36EA9">
              <w:rPr>
                <w:webHidden/>
              </w:rPr>
              <w:tab/>
            </w:r>
            <w:r w:rsidR="00B36EA9">
              <w:rPr>
                <w:webHidden/>
              </w:rPr>
              <w:fldChar w:fldCharType="begin"/>
            </w:r>
            <w:r w:rsidR="00B36EA9">
              <w:rPr>
                <w:webHidden/>
              </w:rPr>
              <w:instrText xml:space="preserve"> PAGEREF _Toc481057094 \h </w:instrText>
            </w:r>
            <w:r w:rsidR="00B36EA9">
              <w:rPr>
                <w:webHidden/>
              </w:rPr>
            </w:r>
            <w:r w:rsidR="00B36EA9">
              <w:rPr>
                <w:webHidden/>
              </w:rPr>
              <w:fldChar w:fldCharType="separate"/>
            </w:r>
            <w:r w:rsidR="00F23F3F">
              <w:rPr>
                <w:webHidden/>
              </w:rPr>
              <w:t>3-282</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95" w:history="1">
            <w:r w:rsidR="00B36EA9" w:rsidRPr="00DC5C3C">
              <w:rPr>
                <w:rStyle w:val="Hyperlink"/>
                <w14:scene3d>
                  <w14:camera w14:prst="orthographicFront"/>
                  <w14:lightRig w14:rig="threePt" w14:dir="t">
                    <w14:rot w14:lat="0" w14:lon="0" w14:rev="0"/>
                  </w14:lightRig>
                </w14:scene3d>
              </w:rPr>
              <w:t>H.3</w:t>
            </w:r>
            <w:r w:rsidR="00B36EA9">
              <w:rPr>
                <w:rFonts w:asciiTheme="minorHAnsi" w:eastAsiaTheme="minorEastAsia" w:hAnsiTheme="minorHAnsi"/>
                <w:b w:val="0"/>
                <w:color w:val="auto"/>
                <w:sz w:val="22"/>
                <w:lang w:eastAsia="en-AU"/>
              </w:rPr>
              <w:tab/>
            </w:r>
            <w:r w:rsidR="00B36EA9" w:rsidRPr="00DC5C3C">
              <w:rPr>
                <w:rStyle w:val="Hyperlink"/>
              </w:rPr>
              <w:t>On-the-day and trailing average approaches</w:t>
            </w:r>
            <w:r w:rsidR="00B36EA9">
              <w:rPr>
                <w:webHidden/>
              </w:rPr>
              <w:tab/>
            </w:r>
            <w:r w:rsidR="00B36EA9">
              <w:rPr>
                <w:webHidden/>
              </w:rPr>
              <w:fldChar w:fldCharType="begin"/>
            </w:r>
            <w:r w:rsidR="00B36EA9">
              <w:rPr>
                <w:webHidden/>
              </w:rPr>
              <w:instrText xml:space="preserve"> PAGEREF _Toc481057095 \h </w:instrText>
            </w:r>
            <w:r w:rsidR="00B36EA9">
              <w:rPr>
                <w:webHidden/>
              </w:rPr>
            </w:r>
            <w:r w:rsidR="00B36EA9">
              <w:rPr>
                <w:webHidden/>
              </w:rPr>
              <w:fldChar w:fldCharType="separate"/>
            </w:r>
            <w:r w:rsidR="00F23F3F">
              <w:rPr>
                <w:webHidden/>
              </w:rPr>
              <w:t>3-294</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96" w:history="1">
            <w:r w:rsidR="00B36EA9" w:rsidRPr="00DC5C3C">
              <w:rPr>
                <w:rStyle w:val="Hyperlink"/>
                <w14:scene3d>
                  <w14:camera w14:prst="orthographicFront"/>
                  <w14:lightRig w14:rig="threePt" w14:dir="t">
                    <w14:rot w14:lat="0" w14:lon="0" w14:rev="0"/>
                  </w14:lightRig>
                </w14:scene3d>
              </w:rPr>
              <w:t>H.4</w:t>
            </w:r>
            <w:r w:rsidR="00B36EA9">
              <w:rPr>
                <w:rFonts w:asciiTheme="minorHAnsi" w:eastAsiaTheme="minorEastAsia" w:hAnsiTheme="minorHAnsi"/>
                <w:b w:val="0"/>
                <w:color w:val="auto"/>
                <w:sz w:val="22"/>
                <w:lang w:eastAsia="en-AU"/>
              </w:rPr>
              <w:tab/>
            </w:r>
            <w:r w:rsidR="00B36EA9" w:rsidRPr="00DC5C3C">
              <w:rPr>
                <w:rStyle w:val="Hyperlink"/>
              </w:rPr>
              <w:t>A full transition satisfies the ARORO</w:t>
            </w:r>
            <w:r w:rsidR="00B36EA9">
              <w:rPr>
                <w:webHidden/>
              </w:rPr>
              <w:tab/>
            </w:r>
            <w:r w:rsidR="00B36EA9">
              <w:rPr>
                <w:webHidden/>
              </w:rPr>
              <w:fldChar w:fldCharType="begin"/>
            </w:r>
            <w:r w:rsidR="00B36EA9">
              <w:rPr>
                <w:webHidden/>
              </w:rPr>
              <w:instrText xml:space="preserve"> PAGEREF _Toc481057096 \h </w:instrText>
            </w:r>
            <w:r w:rsidR="00B36EA9">
              <w:rPr>
                <w:webHidden/>
              </w:rPr>
            </w:r>
            <w:r w:rsidR="00B36EA9">
              <w:rPr>
                <w:webHidden/>
              </w:rPr>
              <w:fldChar w:fldCharType="separate"/>
            </w:r>
            <w:r w:rsidR="00F23F3F">
              <w:rPr>
                <w:webHidden/>
              </w:rPr>
              <w:t>3-309</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97" w:history="1">
            <w:r w:rsidR="00B36EA9" w:rsidRPr="00DC5C3C">
              <w:rPr>
                <w:rStyle w:val="Hyperlink"/>
                <w14:scene3d>
                  <w14:camera w14:prst="orthographicFront"/>
                  <w14:lightRig w14:rig="threePt" w14:dir="t">
                    <w14:rot w14:lat="0" w14:lon="0" w14:rev="0"/>
                  </w14:lightRig>
                </w14:scene3d>
              </w:rPr>
              <w:t>H.5</w:t>
            </w:r>
            <w:r w:rsidR="00B36EA9">
              <w:rPr>
                <w:rFonts w:asciiTheme="minorHAnsi" w:eastAsiaTheme="minorEastAsia" w:hAnsiTheme="minorHAnsi"/>
                <w:b w:val="0"/>
                <w:color w:val="auto"/>
                <w:sz w:val="22"/>
                <w:lang w:eastAsia="en-AU"/>
              </w:rPr>
              <w:tab/>
            </w:r>
            <w:r w:rsidR="00B36EA9" w:rsidRPr="00DC5C3C">
              <w:rPr>
                <w:rStyle w:val="Hyperlink"/>
              </w:rPr>
              <w:t>An immediate (or hybrid) transition will not satisfy the ARORO</w:t>
            </w:r>
            <w:r w:rsidR="00B36EA9">
              <w:rPr>
                <w:webHidden/>
              </w:rPr>
              <w:tab/>
            </w:r>
            <w:r w:rsidR="00B36EA9">
              <w:rPr>
                <w:webHidden/>
              </w:rPr>
              <w:fldChar w:fldCharType="begin"/>
            </w:r>
            <w:r w:rsidR="00B36EA9">
              <w:rPr>
                <w:webHidden/>
              </w:rPr>
              <w:instrText xml:space="preserve"> PAGEREF _Toc481057097 \h </w:instrText>
            </w:r>
            <w:r w:rsidR="00B36EA9">
              <w:rPr>
                <w:webHidden/>
              </w:rPr>
            </w:r>
            <w:r w:rsidR="00B36EA9">
              <w:rPr>
                <w:webHidden/>
              </w:rPr>
              <w:fldChar w:fldCharType="separate"/>
            </w:r>
            <w:r w:rsidR="00F23F3F">
              <w:rPr>
                <w:webHidden/>
              </w:rPr>
              <w:t>3-310</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098" w:history="1">
            <w:r w:rsidR="00B36EA9" w:rsidRPr="00DC5C3C">
              <w:rPr>
                <w:rStyle w:val="Hyperlink"/>
              </w:rPr>
              <w:t>I</w:t>
            </w:r>
            <w:r w:rsidR="00B36EA9">
              <w:rPr>
                <w:rFonts w:asciiTheme="minorHAnsi" w:eastAsiaTheme="minorEastAsia" w:hAnsiTheme="minorHAnsi"/>
                <w:b w:val="0"/>
                <w:color w:val="auto"/>
                <w:sz w:val="22"/>
                <w:lang w:val="en-AU" w:eastAsia="en-AU"/>
              </w:rPr>
              <w:tab/>
            </w:r>
            <w:r w:rsidR="00B36EA9" w:rsidRPr="00DC5C3C">
              <w:rPr>
                <w:rStyle w:val="Hyperlink"/>
              </w:rPr>
              <w:t>Return on debt implementation</w:t>
            </w:r>
            <w:r w:rsidR="00B36EA9">
              <w:rPr>
                <w:webHidden/>
              </w:rPr>
              <w:tab/>
            </w:r>
            <w:r w:rsidR="00B36EA9">
              <w:rPr>
                <w:webHidden/>
              </w:rPr>
              <w:fldChar w:fldCharType="begin"/>
            </w:r>
            <w:r w:rsidR="00B36EA9">
              <w:rPr>
                <w:webHidden/>
              </w:rPr>
              <w:instrText xml:space="preserve"> PAGEREF _Toc481057098 \h </w:instrText>
            </w:r>
            <w:r w:rsidR="00B36EA9">
              <w:rPr>
                <w:webHidden/>
              </w:rPr>
            </w:r>
            <w:r w:rsidR="00B36EA9">
              <w:rPr>
                <w:webHidden/>
              </w:rPr>
              <w:fldChar w:fldCharType="separate"/>
            </w:r>
            <w:r w:rsidR="00F23F3F">
              <w:rPr>
                <w:webHidden/>
              </w:rPr>
              <w:t>3-329</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099" w:history="1">
            <w:r w:rsidR="00B36EA9" w:rsidRPr="00DC5C3C">
              <w:rPr>
                <w:rStyle w:val="Hyperlink"/>
                <w14:scene3d>
                  <w14:camera w14:prst="orthographicFront"/>
                  <w14:lightRig w14:rig="threePt" w14:dir="t">
                    <w14:rot w14:lat="0" w14:lon="0" w14:rev="0"/>
                  </w14:lightRig>
                </w14:scene3d>
              </w:rPr>
              <w:t>I.1</w:t>
            </w:r>
            <w:r w:rsidR="00B36EA9">
              <w:rPr>
                <w:rFonts w:asciiTheme="minorHAnsi" w:eastAsiaTheme="minorEastAsia" w:hAnsiTheme="minorHAnsi"/>
                <w:b w:val="0"/>
                <w:color w:val="auto"/>
                <w:sz w:val="22"/>
                <w:lang w:eastAsia="en-AU"/>
              </w:rPr>
              <w:tab/>
            </w:r>
            <w:r w:rsidR="00B36EA9" w:rsidRPr="00DC5C3C">
              <w:rPr>
                <w:rStyle w:val="Hyperlink"/>
              </w:rPr>
              <w:t>Criticisms of our current approach</w:t>
            </w:r>
            <w:r w:rsidR="00B36EA9">
              <w:rPr>
                <w:webHidden/>
              </w:rPr>
              <w:tab/>
            </w:r>
            <w:r w:rsidR="00B36EA9">
              <w:rPr>
                <w:webHidden/>
              </w:rPr>
              <w:fldChar w:fldCharType="begin"/>
            </w:r>
            <w:r w:rsidR="00B36EA9">
              <w:rPr>
                <w:webHidden/>
              </w:rPr>
              <w:instrText xml:space="preserve"> PAGEREF _Toc481057099 \h </w:instrText>
            </w:r>
            <w:r w:rsidR="00B36EA9">
              <w:rPr>
                <w:webHidden/>
              </w:rPr>
            </w:r>
            <w:r w:rsidR="00B36EA9">
              <w:rPr>
                <w:webHidden/>
              </w:rPr>
              <w:fldChar w:fldCharType="separate"/>
            </w:r>
            <w:r w:rsidR="00F23F3F">
              <w:rPr>
                <w:webHidden/>
              </w:rPr>
              <w:t>3-329</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00" w:history="1">
            <w:r w:rsidR="00B36EA9" w:rsidRPr="00DC5C3C">
              <w:rPr>
                <w:rStyle w:val="Hyperlink"/>
                <w14:scene3d>
                  <w14:camera w14:prst="orthographicFront"/>
                  <w14:lightRig w14:rig="threePt" w14:dir="t">
                    <w14:rot w14:lat="0" w14:lon="0" w14:rev="0"/>
                  </w14:lightRig>
                </w14:scene3d>
              </w:rPr>
              <w:t>I.2</w:t>
            </w:r>
            <w:r w:rsidR="00B36EA9">
              <w:rPr>
                <w:rFonts w:asciiTheme="minorHAnsi" w:eastAsiaTheme="minorEastAsia" w:hAnsiTheme="minorHAnsi"/>
                <w:b w:val="0"/>
                <w:color w:val="auto"/>
                <w:sz w:val="22"/>
                <w:lang w:eastAsia="en-AU"/>
              </w:rPr>
              <w:tab/>
            </w:r>
            <w:r w:rsidR="00B36EA9" w:rsidRPr="00DC5C3C">
              <w:rPr>
                <w:rStyle w:val="Hyperlink"/>
              </w:rPr>
              <w:t>The Thomson Reuters curve</w:t>
            </w:r>
            <w:r w:rsidR="00B36EA9">
              <w:rPr>
                <w:webHidden/>
              </w:rPr>
              <w:tab/>
            </w:r>
            <w:r w:rsidR="00B36EA9">
              <w:rPr>
                <w:webHidden/>
              </w:rPr>
              <w:fldChar w:fldCharType="begin"/>
            </w:r>
            <w:r w:rsidR="00B36EA9">
              <w:rPr>
                <w:webHidden/>
              </w:rPr>
              <w:instrText xml:space="preserve"> PAGEREF _Toc481057100 \h </w:instrText>
            </w:r>
            <w:r w:rsidR="00B36EA9">
              <w:rPr>
                <w:webHidden/>
              </w:rPr>
            </w:r>
            <w:r w:rsidR="00B36EA9">
              <w:rPr>
                <w:webHidden/>
              </w:rPr>
              <w:fldChar w:fldCharType="separate"/>
            </w:r>
            <w:r w:rsidR="00F23F3F">
              <w:rPr>
                <w:webHidden/>
              </w:rPr>
              <w:t>3-340</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01" w:history="1">
            <w:r w:rsidR="00B36EA9" w:rsidRPr="00DC5C3C">
              <w:rPr>
                <w:rStyle w:val="Hyperlink"/>
                <w14:scene3d>
                  <w14:camera w14:prst="orthographicFront"/>
                  <w14:lightRig w14:rig="threePt" w14:dir="t">
                    <w14:rot w14:lat="0" w14:lon="0" w14:rev="0"/>
                  </w14:lightRig>
                </w14:scene3d>
              </w:rPr>
              <w:t>I.3</w:t>
            </w:r>
            <w:r w:rsidR="00B36EA9">
              <w:rPr>
                <w:rFonts w:asciiTheme="minorHAnsi" w:eastAsiaTheme="minorEastAsia" w:hAnsiTheme="minorHAnsi"/>
                <w:b w:val="0"/>
                <w:color w:val="auto"/>
                <w:sz w:val="22"/>
                <w:lang w:eastAsia="en-AU"/>
              </w:rPr>
              <w:tab/>
            </w:r>
            <w:r w:rsidR="00B36EA9" w:rsidRPr="00DC5C3C">
              <w:rPr>
                <w:rStyle w:val="Hyperlink"/>
              </w:rPr>
              <w:t>Other issues</w:t>
            </w:r>
            <w:r w:rsidR="00B36EA9">
              <w:rPr>
                <w:webHidden/>
              </w:rPr>
              <w:tab/>
            </w:r>
            <w:r w:rsidR="00B36EA9">
              <w:rPr>
                <w:webHidden/>
              </w:rPr>
              <w:fldChar w:fldCharType="begin"/>
            </w:r>
            <w:r w:rsidR="00B36EA9">
              <w:rPr>
                <w:webHidden/>
              </w:rPr>
              <w:instrText xml:space="preserve"> PAGEREF _Toc481057101 \h </w:instrText>
            </w:r>
            <w:r w:rsidR="00B36EA9">
              <w:rPr>
                <w:webHidden/>
              </w:rPr>
            </w:r>
            <w:r w:rsidR="00B36EA9">
              <w:rPr>
                <w:webHidden/>
              </w:rPr>
              <w:fldChar w:fldCharType="separate"/>
            </w:r>
            <w:r w:rsidR="00F23F3F">
              <w:rPr>
                <w:webHidden/>
              </w:rPr>
              <w:t>3-346</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02" w:history="1">
            <w:r w:rsidR="00B36EA9" w:rsidRPr="00DC5C3C">
              <w:rPr>
                <w:rStyle w:val="Hyperlink"/>
                <w14:scene3d>
                  <w14:camera w14:prst="orthographicFront"/>
                  <w14:lightRig w14:rig="threePt" w14:dir="t">
                    <w14:rot w14:lat="0" w14:lon="0" w14:rev="0"/>
                  </w14:lightRig>
                </w14:scene3d>
              </w:rPr>
              <w:t>I.4</w:t>
            </w:r>
            <w:r w:rsidR="00B36EA9">
              <w:rPr>
                <w:rFonts w:asciiTheme="minorHAnsi" w:eastAsiaTheme="minorEastAsia" w:hAnsiTheme="minorHAnsi"/>
                <w:b w:val="0"/>
                <w:color w:val="auto"/>
                <w:sz w:val="22"/>
                <w:lang w:eastAsia="en-AU"/>
              </w:rPr>
              <w:tab/>
            </w:r>
            <w:r w:rsidR="00B36EA9" w:rsidRPr="00DC5C3C">
              <w:rPr>
                <w:rStyle w:val="Hyperlink"/>
              </w:rPr>
              <w:t>Credit rating</w:t>
            </w:r>
            <w:r w:rsidR="00B36EA9">
              <w:rPr>
                <w:webHidden/>
              </w:rPr>
              <w:tab/>
            </w:r>
            <w:r w:rsidR="00B36EA9">
              <w:rPr>
                <w:webHidden/>
              </w:rPr>
              <w:fldChar w:fldCharType="begin"/>
            </w:r>
            <w:r w:rsidR="00B36EA9">
              <w:rPr>
                <w:webHidden/>
              </w:rPr>
              <w:instrText xml:space="preserve"> PAGEREF _Toc481057102 \h </w:instrText>
            </w:r>
            <w:r w:rsidR="00B36EA9">
              <w:rPr>
                <w:webHidden/>
              </w:rPr>
            </w:r>
            <w:r w:rsidR="00B36EA9">
              <w:rPr>
                <w:webHidden/>
              </w:rPr>
              <w:fldChar w:fldCharType="separate"/>
            </w:r>
            <w:r w:rsidR="00F23F3F">
              <w:rPr>
                <w:webHidden/>
              </w:rPr>
              <w:t>3-347</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103" w:history="1">
            <w:r w:rsidR="00B36EA9" w:rsidRPr="00DC5C3C">
              <w:rPr>
                <w:rStyle w:val="Hyperlink"/>
              </w:rPr>
              <w:t>J</w:t>
            </w:r>
            <w:r w:rsidR="00B36EA9">
              <w:rPr>
                <w:rFonts w:asciiTheme="minorHAnsi" w:eastAsiaTheme="minorEastAsia" w:hAnsiTheme="minorHAnsi"/>
                <w:b w:val="0"/>
                <w:color w:val="auto"/>
                <w:sz w:val="22"/>
                <w:lang w:val="en-AU" w:eastAsia="en-AU"/>
              </w:rPr>
              <w:tab/>
            </w:r>
            <w:r w:rsidR="00B36EA9" w:rsidRPr="00DC5C3C">
              <w:rPr>
                <w:rStyle w:val="Hyperlink"/>
              </w:rPr>
              <w:t>Annually updating the return on debt</w:t>
            </w:r>
            <w:r w:rsidR="00B36EA9">
              <w:rPr>
                <w:webHidden/>
              </w:rPr>
              <w:tab/>
            </w:r>
            <w:r w:rsidR="00B36EA9">
              <w:rPr>
                <w:webHidden/>
              </w:rPr>
              <w:fldChar w:fldCharType="begin"/>
            </w:r>
            <w:r w:rsidR="00B36EA9">
              <w:rPr>
                <w:webHidden/>
              </w:rPr>
              <w:instrText xml:space="preserve"> PAGEREF _Toc481057103 \h </w:instrText>
            </w:r>
            <w:r w:rsidR="00B36EA9">
              <w:rPr>
                <w:webHidden/>
              </w:rPr>
            </w:r>
            <w:r w:rsidR="00B36EA9">
              <w:rPr>
                <w:webHidden/>
              </w:rPr>
              <w:fldChar w:fldCharType="separate"/>
            </w:r>
            <w:r w:rsidR="00F23F3F">
              <w:rPr>
                <w:webHidden/>
              </w:rPr>
              <w:t>3-353</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04" w:history="1">
            <w:r w:rsidR="00B36EA9" w:rsidRPr="00DC5C3C">
              <w:rPr>
                <w:rStyle w:val="Hyperlink"/>
                <w14:scene3d>
                  <w14:camera w14:prst="orthographicFront"/>
                  <w14:lightRig w14:rig="threePt" w14:dir="t">
                    <w14:rot w14:lat="0" w14:lon="0" w14:rev="0"/>
                  </w14:lightRig>
                </w14:scene3d>
              </w:rPr>
              <w:t>J.1</w:t>
            </w:r>
            <w:r w:rsidR="00B36EA9">
              <w:rPr>
                <w:rFonts w:asciiTheme="minorHAnsi" w:eastAsiaTheme="minorEastAsia" w:hAnsiTheme="minorHAnsi"/>
                <w:b w:val="0"/>
                <w:color w:val="auto"/>
                <w:sz w:val="22"/>
                <w:lang w:eastAsia="en-AU"/>
              </w:rPr>
              <w:tab/>
            </w:r>
            <w:r w:rsidR="00B36EA9" w:rsidRPr="00DC5C3C">
              <w:rPr>
                <w:rStyle w:val="Hyperlink"/>
              </w:rPr>
              <w:t>Approach to estimating the return on debt</w:t>
            </w:r>
            <w:r w:rsidR="00B36EA9">
              <w:rPr>
                <w:webHidden/>
              </w:rPr>
              <w:tab/>
            </w:r>
            <w:r w:rsidR="00B36EA9">
              <w:rPr>
                <w:webHidden/>
              </w:rPr>
              <w:fldChar w:fldCharType="begin"/>
            </w:r>
            <w:r w:rsidR="00B36EA9">
              <w:rPr>
                <w:webHidden/>
              </w:rPr>
              <w:instrText xml:space="preserve"> PAGEREF _Toc481057104 \h </w:instrText>
            </w:r>
            <w:r w:rsidR="00B36EA9">
              <w:rPr>
                <w:webHidden/>
              </w:rPr>
            </w:r>
            <w:r w:rsidR="00B36EA9">
              <w:rPr>
                <w:webHidden/>
              </w:rPr>
              <w:fldChar w:fldCharType="separate"/>
            </w:r>
            <w:r w:rsidR="00F23F3F">
              <w:rPr>
                <w:webHidden/>
              </w:rPr>
              <w:t>3-353</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05" w:history="1">
            <w:r w:rsidR="00B36EA9" w:rsidRPr="00DC5C3C">
              <w:rPr>
                <w:rStyle w:val="Hyperlink"/>
                <w14:scene3d>
                  <w14:camera w14:prst="orthographicFront"/>
                  <w14:lightRig w14:rig="threePt" w14:dir="t">
                    <w14:rot w14:lat="0" w14:lon="0" w14:rev="0"/>
                  </w14:lightRig>
                </w14:scene3d>
              </w:rPr>
              <w:t>J.2</w:t>
            </w:r>
            <w:r w:rsidR="00B36EA9">
              <w:rPr>
                <w:rFonts w:asciiTheme="minorHAnsi" w:eastAsiaTheme="minorEastAsia" w:hAnsiTheme="minorHAnsi"/>
                <w:b w:val="0"/>
                <w:color w:val="auto"/>
                <w:sz w:val="22"/>
                <w:lang w:eastAsia="en-AU"/>
              </w:rPr>
              <w:tab/>
            </w:r>
            <w:r w:rsidR="00B36EA9" w:rsidRPr="00DC5C3C">
              <w:rPr>
                <w:rStyle w:val="Hyperlink"/>
              </w:rPr>
              <w:t>Implementing the return on debt approach</w:t>
            </w:r>
            <w:r w:rsidR="00B36EA9">
              <w:rPr>
                <w:webHidden/>
              </w:rPr>
              <w:tab/>
            </w:r>
            <w:r w:rsidR="00B36EA9">
              <w:rPr>
                <w:webHidden/>
              </w:rPr>
              <w:fldChar w:fldCharType="begin"/>
            </w:r>
            <w:r w:rsidR="00B36EA9">
              <w:rPr>
                <w:webHidden/>
              </w:rPr>
              <w:instrText xml:space="preserve"> PAGEREF _Toc481057105 \h </w:instrText>
            </w:r>
            <w:r w:rsidR="00B36EA9">
              <w:rPr>
                <w:webHidden/>
              </w:rPr>
            </w:r>
            <w:r w:rsidR="00B36EA9">
              <w:rPr>
                <w:webHidden/>
              </w:rPr>
              <w:fldChar w:fldCharType="separate"/>
            </w:r>
            <w:r w:rsidR="00F23F3F">
              <w:rPr>
                <w:webHidden/>
              </w:rPr>
              <w:t>3-355</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106" w:history="1">
            <w:r w:rsidR="00B36EA9" w:rsidRPr="00DC5C3C">
              <w:rPr>
                <w:rStyle w:val="Hyperlink"/>
              </w:rPr>
              <w:t>K</w:t>
            </w:r>
            <w:r w:rsidR="00B36EA9">
              <w:rPr>
                <w:rFonts w:asciiTheme="minorHAnsi" w:eastAsiaTheme="minorEastAsia" w:hAnsiTheme="minorHAnsi"/>
                <w:b w:val="0"/>
                <w:color w:val="auto"/>
                <w:sz w:val="22"/>
                <w:lang w:val="en-AU" w:eastAsia="en-AU"/>
              </w:rPr>
              <w:tab/>
            </w:r>
            <w:r w:rsidR="00B36EA9" w:rsidRPr="00DC5C3C">
              <w:rPr>
                <w:rStyle w:val="Hyperlink"/>
              </w:rPr>
              <w:t>Expected inflation</w:t>
            </w:r>
            <w:r w:rsidR="00B36EA9">
              <w:rPr>
                <w:webHidden/>
              </w:rPr>
              <w:tab/>
            </w:r>
            <w:r w:rsidR="00B36EA9">
              <w:rPr>
                <w:webHidden/>
              </w:rPr>
              <w:fldChar w:fldCharType="begin"/>
            </w:r>
            <w:r w:rsidR="00B36EA9">
              <w:rPr>
                <w:webHidden/>
              </w:rPr>
              <w:instrText xml:space="preserve"> PAGEREF _Toc481057106 \h </w:instrText>
            </w:r>
            <w:r w:rsidR="00B36EA9">
              <w:rPr>
                <w:webHidden/>
              </w:rPr>
            </w:r>
            <w:r w:rsidR="00B36EA9">
              <w:rPr>
                <w:webHidden/>
              </w:rPr>
              <w:fldChar w:fldCharType="separate"/>
            </w:r>
            <w:r w:rsidR="00F23F3F">
              <w:rPr>
                <w:webHidden/>
              </w:rPr>
              <w:t>3-369</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07" w:history="1">
            <w:r w:rsidR="00B36EA9" w:rsidRPr="00DC5C3C">
              <w:rPr>
                <w:rStyle w:val="Hyperlink"/>
                <w14:scene3d>
                  <w14:camera w14:prst="orthographicFront"/>
                  <w14:lightRig w14:rig="threePt" w14:dir="t">
                    <w14:rot w14:lat="0" w14:lon="0" w14:rev="0"/>
                  </w14:lightRig>
                </w14:scene3d>
              </w:rPr>
              <w:t>K.1</w:t>
            </w:r>
            <w:r w:rsidR="00B36EA9">
              <w:rPr>
                <w:rFonts w:asciiTheme="minorHAnsi" w:eastAsiaTheme="minorEastAsia" w:hAnsiTheme="minorHAnsi"/>
                <w:b w:val="0"/>
                <w:color w:val="auto"/>
                <w:sz w:val="22"/>
                <w:lang w:eastAsia="en-AU"/>
              </w:rPr>
              <w:tab/>
            </w:r>
            <w:r w:rsidR="00B36EA9" w:rsidRPr="00DC5C3C">
              <w:rPr>
                <w:rStyle w:val="Hyperlink"/>
              </w:rPr>
              <w:t>Issues with the RBA approach</w:t>
            </w:r>
            <w:r w:rsidR="00B36EA9">
              <w:rPr>
                <w:webHidden/>
              </w:rPr>
              <w:tab/>
            </w:r>
            <w:r w:rsidR="00B36EA9">
              <w:rPr>
                <w:webHidden/>
              </w:rPr>
              <w:fldChar w:fldCharType="begin"/>
            </w:r>
            <w:r w:rsidR="00B36EA9">
              <w:rPr>
                <w:webHidden/>
              </w:rPr>
              <w:instrText xml:space="preserve"> PAGEREF _Toc481057107 \h </w:instrText>
            </w:r>
            <w:r w:rsidR="00B36EA9">
              <w:rPr>
                <w:webHidden/>
              </w:rPr>
            </w:r>
            <w:r w:rsidR="00B36EA9">
              <w:rPr>
                <w:webHidden/>
              </w:rPr>
              <w:fldChar w:fldCharType="separate"/>
            </w:r>
            <w:r w:rsidR="00F23F3F">
              <w:rPr>
                <w:webHidden/>
              </w:rPr>
              <w:t>3-369</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08" w:history="1">
            <w:r w:rsidR="00B36EA9" w:rsidRPr="00DC5C3C">
              <w:rPr>
                <w:rStyle w:val="Hyperlink"/>
                <w14:scene3d>
                  <w14:camera w14:prst="orthographicFront"/>
                  <w14:lightRig w14:rig="threePt" w14:dir="t">
                    <w14:rot w14:lat="0" w14:lon="0" w14:rev="0"/>
                  </w14:lightRig>
                </w14:scene3d>
              </w:rPr>
              <w:t>K.2</w:t>
            </w:r>
            <w:r w:rsidR="00B36EA9">
              <w:rPr>
                <w:rFonts w:asciiTheme="minorHAnsi" w:eastAsiaTheme="minorEastAsia" w:hAnsiTheme="minorHAnsi"/>
                <w:b w:val="0"/>
                <w:color w:val="auto"/>
                <w:sz w:val="22"/>
                <w:lang w:eastAsia="en-AU"/>
              </w:rPr>
              <w:tab/>
            </w:r>
            <w:r w:rsidR="00B36EA9" w:rsidRPr="00DC5C3C">
              <w:rPr>
                <w:rStyle w:val="Hyperlink"/>
              </w:rPr>
              <w:t>Break-even estimates as a direct market measure</w:t>
            </w:r>
            <w:r w:rsidR="00B36EA9">
              <w:rPr>
                <w:webHidden/>
              </w:rPr>
              <w:tab/>
            </w:r>
            <w:r w:rsidR="00B36EA9">
              <w:rPr>
                <w:webHidden/>
              </w:rPr>
              <w:fldChar w:fldCharType="begin"/>
            </w:r>
            <w:r w:rsidR="00B36EA9">
              <w:rPr>
                <w:webHidden/>
              </w:rPr>
              <w:instrText xml:space="preserve"> PAGEREF _Toc481057108 \h </w:instrText>
            </w:r>
            <w:r w:rsidR="00B36EA9">
              <w:rPr>
                <w:webHidden/>
              </w:rPr>
            </w:r>
            <w:r w:rsidR="00B36EA9">
              <w:rPr>
                <w:webHidden/>
              </w:rPr>
              <w:fldChar w:fldCharType="separate"/>
            </w:r>
            <w:r w:rsidR="00F23F3F">
              <w:rPr>
                <w:webHidden/>
              </w:rPr>
              <w:t>3-379</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09" w:history="1">
            <w:r w:rsidR="00B36EA9" w:rsidRPr="00DC5C3C">
              <w:rPr>
                <w:rStyle w:val="Hyperlink"/>
                <w14:scene3d>
                  <w14:camera w14:prst="orthographicFront"/>
                  <w14:lightRig w14:rig="threePt" w14:dir="t">
                    <w14:rot w14:lat="0" w14:lon="0" w14:rev="0"/>
                  </w14:lightRig>
                </w14:scene3d>
              </w:rPr>
              <w:t>K.3</w:t>
            </w:r>
            <w:r w:rsidR="00B36EA9">
              <w:rPr>
                <w:rFonts w:asciiTheme="minorHAnsi" w:eastAsiaTheme="minorEastAsia" w:hAnsiTheme="minorHAnsi"/>
                <w:b w:val="0"/>
                <w:color w:val="auto"/>
                <w:sz w:val="22"/>
                <w:lang w:eastAsia="en-AU"/>
              </w:rPr>
              <w:tab/>
            </w:r>
            <w:r w:rsidR="00B36EA9" w:rsidRPr="00DC5C3C">
              <w:rPr>
                <w:rStyle w:val="Hyperlink"/>
              </w:rPr>
              <w:t>Biases and premia in the break-even and swaps estimates</w:t>
            </w:r>
            <w:r w:rsidR="00B36EA9">
              <w:rPr>
                <w:webHidden/>
              </w:rPr>
              <w:tab/>
            </w:r>
            <w:r w:rsidR="00B36EA9">
              <w:rPr>
                <w:webHidden/>
              </w:rPr>
              <w:fldChar w:fldCharType="begin"/>
            </w:r>
            <w:r w:rsidR="00B36EA9">
              <w:rPr>
                <w:webHidden/>
              </w:rPr>
              <w:instrText xml:space="preserve"> PAGEREF _Toc481057109 \h </w:instrText>
            </w:r>
            <w:r w:rsidR="00B36EA9">
              <w:rPr>
                <w:webHidden/>
              </w:rPr>
            </w:r>
            <w:r w:rsidR="00B36EA9">
              <w:rPr>
                <w:webHidden/>
              </w:rPr>
              <w:fldChar w:fldCharType="separate"/>
            </w:r>
            <w:r w:rsidR="00F23F3F">
              <w:rPr>
                <w:webHidden/>
              </w:rPr>
              <w:t>3-381</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10" w:history="1">
            <w:r w:rsidR="00B36EA9" w:rsidRPr="00DC5C3C">
              <w:rPr>
                <w:rStyle w:val="Hyperlink"/>
                <w14:scene3d>
                  <w14:camera w14:prst="orthographicFront"/>
                  <w14:lightRig w14:rig="threePt" w14:dir="t">
                    <w14:rot w14:lat="0" w14:lon="0" w14:rev="0"/>
                  </w14:lightRig>
                </w14:scene3d>
              </w:rPr>
              <w:t>K.4</w:t>
            </w:r>
            <w:r w:rsidR="00B36EA9">
              <w:rPr>
                <w:rFonts w:asciiTheme="minorHAnsi" w:eastAsiaTheme="minorEastAsia" w:hAnsiTheme="minorHAnsi"/>
                <w:b w:val="0"/>
                <w:color w:val="auto"/>
                <w:sz w:val="22"/>
                <w:lang w:eastAsia="en-AU"/>
              </w:rPr>
              <w:tab/>
            </w:r>
            <w:r w:rsidR="00B36EA9" w:rsidRPr="00DC5C3C">
              <w:rPr>
                <w:rStyle w:val="Hyperlink"/>
              </w:rPr>
              <w:t>Effect of inflation outcomes on inflation expectations</w:t>
            </w:r>
            <w:r w:rsidR="00B36EA9">
              <w:rPr>
                <w:webHidden/>
              </w:rPr>
              <w:tab/>
            </w:r>
            <w:r w:rsidR="00B36EA9">
              <w:rPr>
                <w:webHidden/>
              </w:rPr>
              <w:fldChar w:fldCharType="begin"/>
            </w:r>
            <w:r w:rsidR="00B36EA9">
              <w:rPr>
                <w:webHidden/>
              </w:rPr>
              <w:instrText xml:space="preserve"> PAGEREF _Toc481057110 \h </w:instrText>
            </w:r>
            <w:r w:rsidR="00B36EA9">
              <w:rPr>
                <w:webHidden/>
              </w:rPr>
            </w:r>
            <w:r w:rsidR="00B36EA9">
              <w:rPr>
                <w:webHidden/>
              </w:rPr>
              <w:fldChar w:fldCharType="separate"/>
            </w:r>
            <w:r w:rsidR="00F23F3F">
              <w:rPr>
                <w:webHidden/>
              </w:rPr>
              <w:t>3-391</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11" w:history="1">
            <w:r w:rsidR="00B36EA9" w:rsidRPr="00DC5C3C">
              <w:rPr>
                <w:rStyle w:val="Hyperlink"/>
                <w14:scene3d>
                  <w14:camera w14:prst="orthographicFront"/>
                  <w14:lightRig w14:rig="threePt" w14:dir="t">
                    <w14:rot w14:lat="0" w14:lon="0" w14:rev="0"/>
                  </w14:lightRig>
                </w14:scene3d>
              </w:rPr>
              <w:t>K.5</w:t>
            </w:r>
            <w:r w:rsidR="00B36EA9">
              <w:rPr>
                <w:rFonts w:asciiTheme="minorHAnsi" w:eastAsiaTheme="minorEastAsia" w:hAnsiTheme="minorHAnsi"/>
                <w:b w:val="0"/>
                <w:color w:val="auto"/>
                <w:sz w:val="22"/>
                <w:lang w:eastAsia="en-AU"/>
              </w:rPr>
              <w:tab/>
            </w:r>
            <w:r w:rsidR="00B36EA9" w:rsidRPr="00DC5C3C">
              <w:rPr>
                <w:rStyle w:val="Hyperlink"/>
              </w:rPr>
              <w:t>Break-even estimates are a statistically significant predictor of nominal CGS yields</w:t>
            </w:r>
            <w:r w:rsidR="00B36EA9">
              <w:rPr>
                <w:webHidden/>
              </w:rPr>
              <w:tab/>
            </w:r>
            <w:r w:rsidR="00B36EA9">
              <w:rPr>
                <w:webHidden/>
              </w:rPr>
              <w:fldChar w:fldCharType="begin"/>
            </w:r>
            <w:r w:rsidR="00B36EA9">
              <w:rPr>
                <w:webHidden/>
              </w:rPr>
              <w:instrText xml:space="preserve"> PAGEREF _Toc481057111 \h </w:instrText>
            </w:r>
            <w:r w:rsidR="00B36EA9">
              <w:rPr>
                <w:webHidden/>
              </w:rPr>
            </w:r>
            <w:r w:rsidR="00B36EA9">
              <w:rPr>
                <w:webHidden/>
              </w:rPr>
              <w:fldChar w:fldCharType="separate"/>
            </w:r>
            <w:r w:rsidR="00F23F3F">
              <w:rPr>
                <w:webHidden/>
              </w:rPr>
              <w:t>3-395</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12" w:history="1">
            <w:r w:rsidR="00B36EA9" w:rsidRPr="00DC5C3C">
              <w:rPr>
                <w:rStyle w:val="Hyperlink"/>
                <w14:scene3d>
                  <w14:camera w14:prst="orthographicFront"/>
                  <w14:lightRig w14:rig="threePt" w14:dir="t">
                    <w14:rot w14:lat="0" w14:lon="0" w14:rev="0"/>
                  </w14:lightRig>
                </w14:scene3d>
              </w:rPr>
              <w:t>K.6</w:t>
            </w:r>
            <w:r w:rsidR="00B36EA9">
              <w:rPr>
                <w:rFonts w:asciiTheme="minorHAnsi" w:eastAsiaTheme="minorEastAsia" w:hAnsiTheme="minorHAnsi"/>
                <w:b w:val="0"/>
                <w:color w:val="auto"/>
                <w:sz w:val="22"/>
                <w:lang w:eastAsia="en-AU"/>
              </w:rPr>
              <w:tab/>
            </w:r>
            <w:r w:rsidR="00B36EA9" w:rsidRPr="00DC5C3C">
              <w:rPr>
                <w:rStyle w:val="Hyperlink"/>
              </w:rPr>
              <w:t>Reviewing the Post-Tax Revenue Model</w:t>
            </w:r>
            <w:r w:rsidR="00B36EA9">
              <w:rPr>
                <w:webHidden/>
              </w:rPr>
              <w:tab/>
            </w:r>
            <w:r w:rsidR="00B36EA9">
              <w:rPr>
                <w:webHidden/>
              </w:rPr>
              <w:fldChar w:fldCharType="begin"/>
            </w:r>
            <w:r w:rsidR="00B36EA9">
              <w:rPr>
                <w:webHidden/>
              </w:rPr>
              <w:instrText xml:space="preserve"> PAGEREF _Toc481057112 \h </w:instrText>
            </w:r>
            <w:r w:rsidR="00B36EA9">
              <w:rPr>
                <w:webHidden/>
              </w:rPr>
            </w:r>
            <w:r w:rsidR="00B36EA9">
              <w:rPr>
                <w:webHidden/>
              </w:rPr>
              <w:fldChar w:fldCharType="separate"/>
            </w:r>
            <w:r w:rsidR="00F23F3F">
              <w:rPr>
                <w:webHidden/>
              </w:rPr>
              <w:t>3-397</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113" w:history="1">
            <w:r w:rsidR="00B36EA9" w:rsidRPr="00DC5C3C">
              <w:rPr>
                <w:rStyle w:val="Hyperlink"/>
              </w:rPr>
              <w:t>L</w:t>
            </w:r>
            <w:r w:rsidR="00B36EA9">
              <w:rPr>
                <w:rFonts w:asciiTheme="minorHAnsi" w:eastAsiaTheme="minorEastAsia" w:hAnsiTheme="minorHAnsi"/>
                <w:b w:val="0"/>
                <w:color w:val="auto"/>
                <w:sz w:val="22"/>
                <w:lang w:val="en-AU" w:eastAsia="en-AU"/>
              </w:rPr>
              <w:tab/>
            </w:r>
            <w:r w:rsidR="00B36EA9" w:rsidRPr="00DC5C3C">
              <w:rPr>
                <w:rStyle w:val="Hyperlink"/>
              </w:rPr>
              <w:t>Equity and debt raising costs</w:t>
            </w:r>
            <w:r w:rsidR="00B36EA9">
              <w:rPr>
                <w:webHidden/>
              </w:rPr>
              <w:tab/>
            </w:r>
            <w:r w:rsidR="00B36EA9">
              <w:rPr>
                <w:webHidden/>
              </w:rPr>
              <w:fldChar w:fldCharType="begin"/>
            </w:r>
            <w:r w:rsidR="00B36EA9">
              <w:rPr>
                <w:webHidden/>
              </w:rPr>
              <w:instrText xml:space="preserve"> PAGEREF _Toc481057113 \h </w:instrText>
            </w:r>
            <w:r w:rsidR="00B36EA9">
              <w:rPr>
                <w:webHidden/>
              </w:rPr>
            </w:r>
            <w:r w:rsidR="00B36EA9">
              <w:rPr>
                <w:webHidden/>
              </w:rPr>
              <w:fldChar w:fldCharType="separate"/>
            </w:r>
            <w:r w:rsidR="00F23F3F">
              <w:rPr>
                <w:webHidden/>
              </w:rPr>
              <w:t>3-400</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14" w:history="1">
            <w:r w:rsidR="00B36EA9" w:rsidRPr="00DC5C3C">
              <w:rPr>
                <w:rStyle w:val="Hyperlink"/>
                <w14:scene3d>
                  <w14:camera w14:prst="orthographicFront"/>
                  <w14:lightRig w14:rig="threePt" w14:dir="t">
                    <w14:rot w14:lat="0" w14:lon="0" w14:rev="0"/>
                  </w14:lightRig>
                </w14:scene3d>
              </w:rPr>
              <w:t>L.1</w:t>
            </w:r>
            <w:r w:rsidR="00B36EA9">
              <w:rPr>
                <w:rFonts w:asciiTheme="minorHAnsi" w:eastAsiaTheme="minorEastAsia" w:hAnsiTheme="minorHAnsi"/>
                <w:b w:val="0"/>
                <w:color w:val="auto"/>
                <w:sz w:val="22"/>
                <w:lang w:eastAsia="en-AU"/>
              </w:rPr>
              <w:tab/>
            </w:r>
            <w:r w:rsidR="00B36EA9" w:rsidRPr="00DC5C3C">
              <w:rPr>
                <w:rStyle w:val="Hyperlink"/>
              </w:rPr>
              <w:t>Equity raising costs</w:t>
            </w:r>
            <w:r w:rsidR="00B36EA9">
              <w:rPr>
                <w:webHidden/>
              </w:rPr>
              <w:tab/>
            </w:r>
            <w:r w:rsidR="00B36EA9">
              <w:rPr>
                <w:webHidden/>
              </w:rPr>
              <w:fldChar w:fldCharType="begin"/>
            </w:r>
            <w:r w:rsidR="00B36EA9">
              <w:rPr>
                <w:webHidden/>
              </w:rPr>
              <w:instrText xml:space="preserve"> PAGEREF _Toc481057114 \h </w:instrText>
            </w:r>
            <w:r w:rsidR="00B36EA9">
              <w:rPr>
                <w:webHidden/>
              </w:rPr>
            </w:r>
            <w:r w:rsidR="00B36EA9">
              <w:rPr>
                <w:webHidden/>
              </w:rPr>
              <w:fldChar w:fldCharType="separate"/>
            </w:r>
            <w:r w:rsidR="00F23F3F">
              <w:rPr>
                <w:webHidden/>
              </w:rPr>
              <w:t>3-400</w:t>
            </w:r>
            <w:r w:rsidR="00B36EA9">
              <w:rPr>
                <w:webHidden/>
              </w:rPr>
              <w:fldChar w:fldCharType="end"/>
            </w:r>
          </w:hyperlink>
        </w:p>
        <w:p w:rsidR="00B36EA9" w:rsidRDefault="004A6459">
          <w:pPr>
            <w:pStyle w:val="TOC2"/>
            <w:rPr>
              <w:rFonts w:asciiTheme="minorHAnsi" w:eastAsiaTheme="minorEastAsia" w:hAnsiTheme="minorHAnsi"/>
              <w:b w:val="0"/>
              <w:color w:val="auto"/>
              <w:sz w:val="22"/>
              <w:lang w:eastAsia="en-AU"/>
            </w:rPr>
          </w:pPr>
          <w:hyperlink w:anchor="_Toc481057115" w:history="1">
            <w:r w:rsidR="00B36EA9" w:rsidRPr="00DC5C3C">
              <w:rPr>
                <w:rStyle w:val="Hyperlink"/>
                <w14:scene3d>
                  <w14:camera w14:prst="orthographicFront"/>
                  <w14:lightRig w14:rig="threePt" w14:dir="t">
                    <w14:rot w14:lat="0" w14:lon="0" w14:rev="0"/>
                  </w14:lightRig>
                </w14:scene3d>
              </w:rPr>
              <w:t>L.2</w:t>
            </w:r>
            <w:r w:rsidR="00B36EA9">
              <w:rPr>
                <w:rFonts w:asciiTheme="minorHAnsi" w:eastAsiaTheme="minorEastAsia" w:hAnsiTheme="minorHAnsi"/>
                <w:b w:val="0"/>
                <w:color w:val="auto"/>
                <w:sz w:val="22"/>
                <w:lang w:eastAsia="en-AU"/>
              </w:rPr>
              <w:tab/>
            </w:r>
            <w:r w:rsidR="00B36EA9" w:rsidRPr="00DC5C3C">
              <w:rPr>
                <w:rStyle w:val="Hyperlink"/>
              </w:rPr>
              <w:t>Debt raising costs</w:t>
            </w:r>
            <w:r w:rsidR="00B36EA9">
              <w:rPr>
                <w:webHidden/>
              </w:rPr>
              <w:tab/>
            </w:r>
            <w:r w:rsidR="00B36EA9">
              <w:rPr>
                <w:webHidden/>
              </w:rPr>
              <w:fldChar w:fldCharType="begin"/>
            </w:r>
            <w:r w:rsidR="00B36EA9">
              <w:rPr>
                <w:webHidden/>
              </w:rPr>
              <w:instrText xml:space="preserve"> PAGEREF _Toc481057115 \h </w:instrText>
            </w:r>
            <w:r w:rsidR="00B36EA9">
              <w:rPr>
                <w:webHidden/>
              </w:rPr>
            </w:r>
            <w:r w:rsidR="00B36EA9">
              <w:rPr>
                <w:webHidden/>
              </w:rPr>
              <w:fldChar w:fldCharType="separate"/>
            </w:r>
            <w:r w:rsidR="00F23F3F">
              <w:rPr>
                <w:webHidden/>
              </w:rPr>
              <w:t>3-401</w:t>
            </w:r>
            <w:r w:rsidR="00B36EA9">
              <w:rPr>
                <w:webHidden/>
              </w:rPr>
              <w:fldChar w:fldCharType="end"/>
            </w:r>
          </w:hyperlink>
        </w:p>
        <w:p w:rsidR="00B36EA9" w:rsidRDefault="004A6459">
          <w:pPr>
            <w:pStyle w:val="TOC1"/>
            <w:rPr>
              <w:rFonts w:asciiTheme="minorHAnsi" w:eastAsiaTheme="minorEastAsia" w:hAnsiTheme="minorHAnsi"/>
              <w:b w:val="0"/>
              <w:color w:val="auto"/>
              <w:sz w:val="22"/>
              <w:lang w:val="en-AU" w:eastAsia="en-AU"/>
            </w:rPr>
          </w:pPr>
          <w:hyperlink w:anchor="_Toc481057116" w:history="1">
            <w:r w:rsidR="00B36EA9" w:rsidRPr="00DC5C3C">
              <w:rPr>
                <w:rStyle w:val="Hyperlink"/>
              </w:rPr>
              <w:t>M</w:t>
            </w:r>
            <w:r w:rsidR="00B36EA9">
              <w:rPr>
                <w:rFonts w:asciiTheme="minorHAnsi" w:eastAsiaTheme="minorEastAsia" w:hAnsiTheme="minorHAnsi"/>
                <w:b w:val="0"/>
                <w:color w:val="auto"/>
                <w:sz w:val="22"/>
                <w:lang w:val="en-AU" w:eastAsia="en-AU"/>
              </w:rPr>
              <w:tab/>
            </w:r>
            <w:r w:rsidR="00B36EA9" w:rsidRPr="00DC5C3C">
              <w:rPr>
                <w:rStyle w:val="Hyperlink"/>
              </w:rPr>
              <w:t>Averaging periods - confidential appendix</w:t>
            </w:r>
            <w:r w:rsidR="00B36EA9">
              <w:rPr>
                <w:webHidden/>
              </w:rPr>
              <w:tab/>
            </w:r>
            <w:r w:rsidR="00B36EA9">
              <w:rPr>
                <w:webHidden/>
              </w:rPr>
              <w:fldChar w:fldCharType="begin"/>
            </w:r>
            <w:r w:rsidR="00B36EA9">
              <w:rPr>
                <w:webHidden/>
              </w:rPr>
              <w:instrText xml:space="preserve"> PAGEREF _Toc481057116 \h </w:instrText>
            </w:r>
            <w:r w:rsidR="00B36EA9">
              <w:rPr>
                <w:webHidden/>
              </w:rPr>
            </w:r>
            <w:r w:rsidR="00B36EA9">
              <w:rPr>
                <w:webHidden/>
              </w:rPr>
              <w:fldChar w:fldCharType="separate"/>
            </w:r>
            <w:r w:rsidR="00F23F3F">
              <w:rPr>
                <w:webHidden/>
              </w:rPr>
              <w:t>3-403</w:t>
            </w:r>
            <w:r w:rsidR="00B36EA9">
              <w:rPr>
                <w:webHidden/>
              </w:rPr>
              <w:fldChar w:fldCharType="end"/>
            </w:r>
          </w:hyperlink>
        </w:p>
        <w:p w:rsidR="00DE563D" w:rsidRDefault="006308A6" w:rsidP="007A451A">
          <w:pPr>
            <w:pStyle w:val="TOC1"/>
          </w:pPr>
          <w:r>
            <w:fldChar w:fldCharType="end"/>
          </w:r>
        </w:p>
      </w:sdtContent>
    </w:sdt>
    <w:p w:rsidR="00DE563D" w:rsidRDefault="00C84560">
      <w:pPr>
        <w:spacing w:line="240" w:lineRule="auto"/>
      </w:pPr>
      <w:r>
        <w:t xml:space="preserve"> </w:t>
      </w:r>
    </w:p>
    <w:p w:rsidR="00DE563D" w:rsidRDefault="00DE563D" w:rsidP="00CC7A1C">
      <w:pPr>
        <w:pStyle w:val="UnnumberedHeading"/>
        <w:numPr>
          <w:ilvl w:val="0"/>
          <w:numId w:val="23"/>
        </w:numPr>
      </w:pPr>
      <w:bookmarkStart w:id="8" w:name="_Toc404700925"/>
      <w:bookmarkStart w:id="9" w:name="_Toc481057055"/>
      <w:r>
        <w:t>Shortened forms</w:t>
      </w:r>
      <w:bookmarkEnd w:id="8"/>
      <w:bookmarkEnd w:id="9"/>
    </w:p>
    <w:p w:rsidR="00DE563D" w:rsidRDefault="00DE563D" w:rsidP="00415F31"/>
    <w:tbl>
      <w:tblPr>
        <w:tblStyle w:val="AERtable-numbers"/>
        <w:tblW w:w="0" w:type="auto"/>
        <w:tblLook w:val="04A0" w:firstRow="1" w:lastRow="0" w:firstColumn="1" w:lastColumn="0" w:noHBand="0" w:noVBand="1"/>
      </w:tblPr>
      <w:tblGrid>
        <w:gridCol w:w="4340"/>
        <w:gridCol w:w="4353"/>
      </w:tblGrid>
      <w:tr w:rsidR="00415F31" w:rsidTr="00E76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Shortened form</w:t>
            </w:r>
          </w:p>
        </w:tc>
        <w:tc>
          <w:tcPr>
            <w:tcW w:w="4621" w:type="dxa"/>
          </w:tcPr>
          <w:p w:rsidR="00415F31" w:rsidRDefault="00415F31" w:rsidP="00CC7A1C">
            <w:pPr>
              <w:numPr>
                <w:ilvl w:val="0"/>
                <w:numId w:val="24"/>
              </w:numPr>
              <w:spacing w:after="240" w:line="288" w:lineRule="auto"/>
              <w:jc w:val="both"/>
              <w:cnfStyle w:val="100000000000" w:firstRow="1" w:lastRow="0" w:firstColumn="0" w:lastColumn="0" w:oddVBand="0" w:evenVBand="0" w:oddHBand="0" w:evenHBand="0" w:firstRowFirstColumn="0" w:firstRowLastColumn="0" w:lastRowFirstColumn="0" w:lastRowLastColumn="0"/>
            </w:pPr>
            <w:r>
              <w:t>Extended form</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AARR</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AEMC</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AEMO</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Australian Energy Market Operator</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AER</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Regulator</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ASRR</w:t>
            </w:r>
          </w:p>
        </w:tc>
        <w:tc>
          <w:tcPr>
            <w:tcW w:w="4621" w:type="dxa"/>
          </w:tcPr>
          <w:p w:rsidR="00415F31" w:rsidRDefault="009D3906"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annual</w:t>
            </w:r>
            <w:r w:rsidR="00415F31">
              <w:t xml:space="preserve"> service revenue requirement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augex</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augmentation expenditure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capex</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CCP</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Challenge Panel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CESS</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 sharing scheme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CPI</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price index</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DRP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debt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EBSS</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efficiency benefit sharing scheme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ERP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equity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MAR</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maximum allowed revenue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MRP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market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NEL</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law</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NEM</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market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NEO</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objective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NER</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rules</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NSP</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network service provider</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NTSC</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negotiated transmission service criteria</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opex</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operating expenditure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PPI</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partial performance indicators</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PTRM</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post-tax revenue model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RAB</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asset base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RBA</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Reserve Bank of Australia</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repex</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replacement expenditure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RFM</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roll forward model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RIN</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information notice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RPP</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 xml:space="preserve">revenue </w:t>
            </w:r>
            <w:r w:rsidR="002D72E8">
              <w:t xml:space="preserve">and </w:t>
            </w:r>
            <w:r>
              <w:t>pricing principles</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SLCAPM</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Sharpe-Lintner capital asset pricing model</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STPIS</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service target performance incentive scheme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TNSP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transmission network service provider</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TUoS</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transmission use of system</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WACC</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weighted average cost of capital</w:t>
            </w:r>
          </w:p>
        </w:tc>
      </w:tr>
    </w:tbl>
    <w:p w:rsidR="00415F31" w:rsidRPr="00271F7C" w:rsidRDefault="00415F31" w:rsidP="00415F31"/>
    <w:p w:rsidR="00DE563D" w:rsidRPr="00436A39" w:rsidRDefault="00DE563D" w:rsidP="00CC7A1C">
      <w:pPr>
        <w:numPr>
          <w:ilvl w:val="0"/>
          <w:numId w:val="24"/>
        </w:numPr>
      </w:pPr>
    </w:p>
    <w:p w:rsidR="00DE563D" w:rsidRDefault="00DE563D" w:rsidP="00DE563D"/>
    <w:p w:rsidR="00351675" w:rsidRDefault="00351675" w:rsidP="00351675">
      <w:pPr>
        <w:pStyle w:val="Heading1"/>
      </w:pPr>
      <w:bookmarkStart w:id="10" w:name="_Toc481057056"/>
      <w:bookmarkStart w:id="11" w:name="_Toc403144138"/>
      <w:r>
        <w:t>Rate of return</w:t>
      </w:r>
      <w:bookmarkEnd w:id="10"/>
    </w:p>
    <w:p w:rsidR="00351675" w:rsidRPr="00874B16" w:rsidRDefault="00351675" w:rsidP="00351675">
      <w:bookmarkStart w:id="12" w:name="_Toc403144136"/>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w:t>
      </w:r>
      <w:r>
        <w:t>d</w:t>
      </w:r>
      <w:r w:rsidRPr="00796C00">
        <w:t xml:space="preserve"> as a product of the rate of return and the value of the regulatory asset base (RAB). The rate of return is discussed in this attachment.</w:t>
      </w:r>
    </w:p>
    <w:p w:rsidR="00351675" w:rsidRPr="001754EE" w:rsidRDefault="00351675" w:rsidP="00351675">
      <w:pPr>
        <w:pStyle w:val="Heading2"/>
      </w:pPr>
      <w:bookmarkStart w:id="13" w:name="_Toc481057057"/>
      <w:r>
        <w:t>Final</w:t>
      </w:r>
      <w:r w:rsidRPr="001754EE">
        <w:t xml:space="preserve"> decision</w:t>
      </w:r>
      <w:bookmarkEnd w:id="12"/>
      <w:bookmarkEnd w:id="13"/>
    </w:p>
    <w:p w:rsidR="00351675" w:rsidRDefault="00A4740A" w:rsidP="00CC7A1C">
      <w:pPr>
        <w:numPr>
          <w:ilvl w:val="0"/>
          <w:numId w:val="24"/>
        </w:numPr>
      </w:pPr>
      <w:bookmarkStart w:id="14" w:name="_Toc403144137"/>
      <w:r>
        <w:t>Our final decision is to accept TasNetworks proposal to adopt the Rate of Return Guideline (Guideline) foundation model approach for determining its rate of return.</w:t>
      </w:r>
      <w:r>
        <w:rPr>
          <w:rStyle w:val="FootnoteReference"/>
        </w:rPr>
        <w:footnoteReference w:id="2"/>
      </w:r>
      <w:r>
        <w:t xml:space="preserve"> This results in an allowed rate of return of 6.0 per cent (nominal vanilla). We are satisfied that this rate of return (determined through the Guideline foundation model approach) </w:t>
      </w:r>
      <w:r w:rsidR="00351675">
        <w:t xml:space="preserve">achieves the </w:t>
      </w:r>
      <w:r w:rsidR="00351675" w:rsidRPr="00E75E61">
        <w:t xml:space="preserve">allowed </w:t>
      </w:r>
      <w:r w:rsidR="00351675">
        <w:t>rate of return objective (ARORO).</w:t>
      </w:r>
      <w:r w:rsidR="00351675">
        <w:rPr>
          <w:rStyle w:val="FootnoteReference"/>
        </w:rPr>
        <w:footnoteReference w:id="3"/>
      </w:r>
      <w:r w:rsidR="00351675">
        <w:t xml:space="preserve"> That is, we are satisfied that this allowed rate of return is commensurate with the efficient financing costs of a benchmark efficient entity with a similar degree of risk as that which applies </w:t>
      </w:r>
      <w:r>
        <w:t>TasNetworks</w:t>
      </w:r>
      <w:r w:rsidR="00351675">
        <w:t xml:space="preserve"> in providing </w:t>
      </w:r>
      <w:r w:rsidR="00C75E74">
        <w:t>prescribed transmission services</w:t>
      </w:r>
      <w:r w:rsidR="00351675">
        <w:t>.</w:t>
      </w:r>
      <w:r w:rsidR="00351675">
        <w:rPr>
          <w:rStyle w:val="FootnoteReference"/>
        </w:rPr>
        <w:footnoteReference w:id="4"/>
      </w:r>
    </w:p>
    <w:p w:rsidR="00351675" w:rsidRDefault="00351675" w:rsidP="00CC7A1C">
      <w:pPr>
        <w:numPr>
          <w:ilvl w:val="0"/>
          <w:numId w:val="24"/>
        </w:numPr>
      </w:pPr>
      <w:r>
        <w:t xml:space="preserve">This allowed rate of return will apply to </w:t>
      </w:r>
      <w:r w:rsidR="00A4740A">
        <w:t>TasNetworks</w:t>
      </w:r>
      <w:r>
        <w:t xml:space="preserve"> for 2017</w:t>
      </w:r>
      <w:r w:rsidR="00C75E74">
        <w:t>-18</w:t>
      </w:r>
      <w:r>
        <w:t xml:space="preserve">. A different rate of return will apply to </w:t>
      </w:r>
      <w:r w:rsidR="00DE084F">
        <w:t>TasNetworks</w:t>
      </w:r>
      <w:r>
        <w:t xml:space="preserve"> for the remaining regulatory years of the</w:t>
      </w:r>
      <w:r w:rsidR="00C75E74">
        <w:t xml:space="preserve"> </w:t>
      </w:r>
      <w:r>
        <w:t>2017-</w:t>
      </w:r>
      <w:r w:rsidR="00A4740A">
        <w:t>19</w:t>
      </w:r>
      <w:r w:rsidR="00C75E74">
        <w:t xml:space="preserve"> regulatory control period</w:t>
      </w:r>
      <w:r>
        <w:t xml:space="preserve">. This is because we will update the return on debt component of the rate of return each year to partially reflect prevailing debt market conditions in each year. We discuss this annual update further below. </w:t>
      </w:r>
    </w:p>
    <w:p w:rsidR="00351675" w:rsidRDefault="00351675" w:rsidP="006E5878">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We are to determine the allowed rate of return such that it </w:t>
      </w:r>
      <w:r w:rsidRPr="003248EB">
        <w:t xml:space="preserve">achieves the </w:t>
      </w:r>
      <w:r>
        <w:t>ARORO.</w:t>
      </w:r>
      <w:r>
        <w:rPr>
          <w:rStyle w:val="FootnoteReference"/>
        </w:rPr>
        <w:footnoteReference w:id="6"/>
      </w:r>
      <w:r>
        <w:t xml:space="preserve"> Also, in arriving at our decision we have taken into account the revenue and pricing principles (RPPs) and are also satisfied that our decision will or is likely to contribute to the achievement of the National Electricity Objective (NEO).</w:t>
      </w:r>
      <w:r>
        <w:rPr>
          <w:rStyle w:val="FootnoteReference"/>
        </w:rPr>
        <w:footnoteReference w:id="7"/>
      </w:r>
      <w:r>
        <w:t xml:space="preserve"> Our rate of return and </w:t>
      </w:r>
      <w:r w:rsidR="00DE084F">
        <w:t>TasNetworks'</w:t>
      </w:r>
      <w:r>
        <w:t xml:space="preserve"> proposed rate of return is set out in the following</w:t>
      </w:r>
      <w:r w:rsidR="00DE084F">
        <w:t xml:space="preserve"> table </w:t>
      </w:r>
      <w:r w:rsidR="00DE084F" w:rsidRPr="00DE084F">
        <w:t>3</w:t>
      </w:r>
      <w:r w:rsidR="00DE084F" w:rsidRPr="00DE084F">
        <w:noBreakHyphen/>
        <w:t>1</w:t>
      </w:r>
      <w:r>
        <w:t>.</w:t>
      </w:r>
      <w:bookmarkStart w:id="15" w:name="_Ref451439268"/>
    </w:p>
    <w:p w:rsidR="00351675" w:rsidRDefault="00351675" w:rsidP="00CC7A1C">
      <w:pPr>
        <w:pStyle w:val="Caption"/>
        <w:numPr>
          <w:ilvl w:val="0"/>
          <w:numId w:val="24"/>
        </w:numPr>
      </w:pPr>
      <w:r>
        <w:t xml:space="preserve">Table </w:t>
      </w:r>
      <w:fldSimple w:instr=" STYLEREF 1 \s ">
        <w:r w:rsidR="00C6448C">
          <w:rPr>
            <w:noProof/>
          </w:rPr>
          <w:t>3</w:t>
        </w:r>
      </w:fldSimple>
      <w:r w:rsidR="00882F3D">
        <w:noBreakHyphen/>
      </w:r>
      <w:fldSimple w:instr=" SEQ Table \* ARABIC \s 1 ">
        <w:r w:rsidR="00C6448C">
          <w:rPr>
            <w:noProof/>
          </w:rPr>
          <w:t>1</w:t>
        </w:r>
      </w:fldSimple>
      <w:bookmarkEnd w:id="15"/>
      <w:r>
        <w:tab/>
        <w:t xml:space="preserve">Final decision on </w:t>
      </w:r>
      <w:r w:rsidR="009F0978">
        <w:t>TasNetworks'</w:t>
      </w:r>
      <w:r>
        <w:t xml:space="preserve"> 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351675" w:rsidRPr="0036067E" w:rsidTr="0084079E">
        <w:trPr>
          <w:cnfStyle w:val="100000000000" w:firstRow="1" w:lastRow="0" w:firstColumn="0" w:lastColumn="0" w:oddVBand="0" w:evenVBand="0" w:oddHBand="0" w:evenHBand="0" w:firstRowFirstColumn="0" w:firstRowLastColumn="0" w:lastRowFirstColumn="0" w:lastRowLastColumn="0"/>
        </w:trPr>
        <w:tc>
          <w:tcPr>
            <w:tcW w:w="1123" w:type="pct"/>
          </w:tcPr>
          <w:p w:rsidR="00351675" w:rsidRPr="00796C00" w:rsidRDefault="00351675" w:rsidP="00351675"/>
        </w:tc>
        <w:tc>
          <w:tcPr>
            <w:tcW w:w="970" w:type="pct"/>
          </w:tcPr>
          <w:p w:rsidR="00351675" w:rsidRPr="00351675" w:rsidRDefault="002E20F1" w:rsidP="00A4740A">
            <w:r>
              <w:t>Previous allowed return</w:t>
            </w:r>
            <w:r w:rsidRPr="000954D7">
              <w:t xml:space="preserve"> </w:t>
            </w:r>
            <w:r w:rsidR="00351675" w:rsidRPr="00351675">
              <w:t>(201</w:t>
            </w:r>
            <w:r w:rsidR="00A4740A">
              <w:t>2</w:t>
            </w:r>
            <w:r w:rsidR="00351675" w:rsidRPr="00351675">
              <w:t>–17)</w:t>
            </w:r>
          </w:p>
        </w:tc>
        <w:tc>
          <w:tcPr>
            <w:tcW w:w="1067" w:type="pct"/>
          </w:tcPr>
          <w:p w:rsidR="00351675" w:rsidRPr="00351675" w:rsidRDefault="00A4740A" w:rsidP="00351675">
            <w:r>
              <w:t>TasNetworks'</w:t>
            </w:r>
            <w:r w:rsidR="00351675" w:rsidRPr="00351675">
              <w:t xml:space="preserve"> revised proposal</w:t>
            </w:r>
            <w:r>
              <w:t>/AER draft decision</w:t>
            </w:r>
            <w:r w:rsidR="00351675" w:rsidRPr="00351675">
              <w:t xml:space="preserve"> (2017-18)</w:t>
            </w:r>
          </w:p>
        </w:tc>
        <w:tc>
          <w:tcPr>
            <w:tcW w:w="736" w:type="pct"/>
          </w:tcPr>
          <w:p w:rsidR="00351675" w:rsidRPr="00351675" w:rsidRDefault="00351675" w:rsidP="00351675">
            <w:r w:rsidRPr="00381B0E">
              <w:t>AER final decision</w:t>
            </w:r>
            <w:r w:rsidRPr="00351675">
              <w:t xml:space="preserve"> (2017-18)</w:t>
            </w:r>
          </w:p>
        </w:tc>
        <w:tc>
          <w:tcPr>
            <w:tcW w:w="1104" w:type="pct"/>
          </w:tcPr>
          <w:p w:rsidR="00351675" w:rsidRPr="00351675" w:rsidRDefault="00351675" w:rsidP="009F0978">
            <w:r>
              <w:t>Allowed r</w:t>
            </w:r>
            <w:r w:rsidRPr="00351675">
              <w:t>eturn over 2017–</w:t>
            </w:r>
            <w:r w:rsidR="009F0978">
              <w:t>19</w:t>
            </w:r>
            <w:r w:rsidRPr="00351675">
              <w:t xml:space="preserve"> regulatory  control period</w:t>
            </w:r>
          </w:p>
        </w:tc>
      </w:tr>
      <w:tr w:rsidR="00351675" w:rsidRPr="00BD56F3" w:rsidTr="0084079E">
        <w:tc>
          <w:tcPr>
            <w:tcW w:w="1123" w:type="pct"/>
          </w:tcPr>
          <w:p w:rsidR="00351675" w:rsidRPr="00351675" w:rsidRDefault="00351675" w:rsidP="00351675">
            <w:r>
              <w:t>R</w:t>
            </w:r>
            <w:r w:rsidRPr="00351675">
              <w:t xml:space="preserve">eturn on equity    (nominal post–tax) </w:t>
            </w:r>
          </w:p>
        </w:tc>
        <w:tc>
          <w:tcPr>
            <w:tcW w:w="970" w:type="pct"/>
          </w:tcPr>
          <w:p w:rsidR="00351675" w:rsidRPr="00351675" w:rsidRDefault="00A4740A" w:rsidP="00351675">
            <w:r>
              <w:t>8.69</w:t>
            </w:r>
          </w:p>
        </w:tc>
        <w:tc>
          <w:tcPr>
            <w:tcW w:w="1067" w:type="pct"/>
          </w:tcPr>
          <w:p w:rsidR="00351675" w:rsidRPr="00351675" w:rsidRDefault="009F0978" w:rsidP="00351675">
            <w:r>
              <w:t>6.5</w:t>
            </w:r>
          </w:p>
        </w:tc>
        <w:tc>
          <w:tcPr>
            <w:tcW w:w="736" w:type="pct"/>
          </w:tcPr>
          <w:p w:rsidR="00351675" w:rsidRPr="00351675" w:rsidRDefault="00A4740A" w:rsidP="00351675">
            <w:r>
              <w:t>7.4</w:t>
            </w:r>
          </w:p>
        </w:tc>
        <w:tc>
          <w:tcPr>
            <w:tcW w:w="1104" w:type="pct"/>
          </w:tcPr>
          <w:p w:rsidR="00351675" w:rsidRPr="00351675" w:rsidRDefault="00351675" w:rsidP="00A4740A">
            <w:r>
              <w:t>Constant</w:t>
            </w:r>
            <w:r w:rsidRPr="00351675">
              <w:t xml:space="preserve">   </w:t>
            </w:r>
            <w:r w:rsidR="002E20F1">
              <w:t>(</w:t>
            </w:r>
            <w:r w:rsidR="00A4740A">
              <w:t>7.4</w:t>
            </w:r>
            <w:r w:rsidRPr="00351675">
              <w:t>%)</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tcW w:w="1123" w:type="pct"/>
          </w:tcPr>
          <w:p w:rsidR="00351675" w:rsidRPr="00351675" w:rsidRDefault="00351675" w:rsidP="00351675">
            <w:r>
              <w:t>Return on debt</w:t>
            </w:r>
            <w:r w:rsidRPr="00351675">
              <w:t xml:space="preserve">      (nominal pre–tax)</w:t>
            </w:r>
          </w:p>
        </w:tc>
        <w:tc>
          <w:tcPr>
            <w:tcW w:w="970" w:type="pct"/>
          </w:tcPr>
          <w:p w:rsidR="00351675" w:rsidRPr="00351675" w:rsidRDefault="00A4740A" w:rsidP="00351675">
            <w:r>
              <w:t>8.00</w:t>
            </w:r>
          </w:p>
        </w:tc>
        <w:tc>
          <w:tcPr>
            <w:tcW w:w="1067" w:type="pct"/>
          </w:tcPr>
          <w:p w:rsidR="00351675" w:rsidRPr="00351675" w:rsidRDefault="009F0978" w:rsidP="00351675">
            <w:r>
              <w:t>4.79</w:t>
            </w:r>
          </w:p>
        </w:tc>
        <w:tc>
          <w:tcPr>
            <w:tcW w:w="736" w:type="pct"/>
          </w:tcPr>
          <w:p w:rsidR="00351675" w:rsidRPr="00351675" w:rsidRDefault="00A4740A" w:rsidP="00351675">
            <w:r>
              <w:t>5.1</w:t>
            </w:r>
          </w:p>
        </w:tc>
        <w:tc>
          <w:tcPr>
            <w:tcW w:w="1104" w:type="pct"/>
          </w:tcPr>
          <w:p w:rsidR="00351675" w:rsidRPr="00351675" w:rsidRDefault="00351675" w:rsidP="00351675">
            <w:r>
              <w:t>Updated annually</w:t>
            </w:r>
          </w:p>
        </w:tc>
      </w:tr>
      <w:tr w:rsidR="00351675" w:rsidRPr="00BD56F3" w:rsidTr="0084079E">
        <w:tc>
          <w:tcPr>
            <w:tcW w:w="1123" w:type="pct"/>
          </w:tcPr>
          <w:p w:rsidR="00351675" w:rsidRPr="00351675" w:rsidRDefault="00351675" w:rsidP="00351675">
            <w:r>
              <w:t>Gearing</w:t>
            </w:r>
          </w:p>
        </w:tc>
        <w:tc>
          <w:tcPr>
            <w:tcW w:w="970" w:type="pct"/>
          </w:tcPr>
          <w:p w:rsidR="00351675" w:rsidRPr="00351675" w:rsidRDefault="00351675" w:rsidP="00351675">
            <w:r>
              <w:t>60</w:t>
            </w:r>
          </w:p>
        </w:tc>
        <w:tc>
          <w:tcPr>
            <w:tcW w:w="1067" w:type="pct"/>
          </w:tcPr>
          <w:p w:rsidR="00351675" w:rsidRPr="00351675" w:rsidRDefault="00351675" w:rsidP="00351675">
            <w:r>
              <w:t>60</w:t>
            </w:r>
          </w:p>
        </w:tc>
        <w:tc>
          <w:tcPr>
            <w:tcW w:w="736" w:type="pct"/>
          </w:tcPr>
          <w:p w:rsidR="00351675" w:rsidRPr="00351675" w:rsidRDefault="00351675" w:rsidP="00351675">
            <w:r>
              <w:t>60</w:t>
            </w:r>
          </w:p>
        </w:tc>
        <w:tc>
          <w:tcPr>
            <w:tcW w:w="1104" w:type="pct"/>
          </w:tcPr>
          <w:p w:rsidR="00351675" w:rsidRPr="00351675" w:rsidRDefault="00351675" w:rsidP="00351675">
            <w:r>
              <w:t>C</w:t>
            </w:r>
            <w:r w:rsidRPr="00351675">
              <w:t>onstant   (60%)</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tcW w:w="1123" w:type="pct"/>
          </w:tcPr>
          <w:p w:rsidR="00351675" w:rsidRPr="00351675" w:rsidRDefault="00351675" w:rsidP="00351675">
            <w:r w:rsidRPr="00796C00">
              <w:t xml:space="preserve">Nominal vanilla </w:t>
            </w:r>
            <w:r w:rsidRPr="00351675">
              <w:t>WACC</w:t>
            </w:r>
          </w:p>
        </w:tc>
        <w:tc>
          <w:tcPr>
            <w:tcW w:w="970" w:type="pct"/>
          </w:tcPr>
          <w:p w:rsidR="00351675" w:rsidRPr="00351675" w:rsidRDefault="00A4740A" w:rsidP="00351675">
            <w:r>
              <w:t>8.28</w:t>
            </w:r>
          </w:p>
        </w:tc>
        <w:tc>
          <w:tcPr>
            <w:tcW w:w="1067" w:type="pct"/>
          </w:tcPr>
          <w:p w:rsidR="00351675" w:rsidRPr="00351675" w:rsidRDefault="009F0978" w:rsidP="00351675">
            <w:r>
              <w:t>5.48</w:t>
            </w:r>
          </w:p>
        </w:tc>
        <w:tc>
          <w:tcPr>
            <w:tcW w:w="736" w:type="pct"/>
          </w:tcPr>
          <w:p w:rsidR="00351675" w:rsidRPr="00351675" w:rsidRDefault="00A4740A" w:rsidP="00351675">
            <w:r>
              <w:t>6.0</w:t>
            </w:r>
          </w:p>
        </w:tc>
        <w:tc>
          <w:tcPr>
            <w:tcW w:w="1104" w:type="pct"/>
          </w:tcPr>
          <w:p w:rsidR="00351675" w:rsidRPr="00351675" w:rsidRDefault="00351675" w:rsidP="00351675">
            <w:r>
              <w:t xml:space="preserve">Updated </w:t>
            </w:r>
            <w:r w:rsidRPr="00351675">
              <w:t>annually for return on debt</w:t>
            </w:r>
          </w:p>
        </w:tc>
      </w:tr>
      <w:tr w:rsidR="00351675" w:rsidRPr="00BD56F3" w:rsidTr="0084079E">
        <w:tc>
          <w:tcPr>
            <w:tcW w:w="1123" w:type="pct"/>
          </w:tcPr>
          <w:p w:rsidR="00351675" w:rsidRPr="00351675" w:rsidRDefault="00351675" w:rsidP="00351675">
            <w:r>
              <w:t>Forecast inflation</w:t>
            </w:r>
          </w:p>
        </w:tc>
        <w:tc>
          <w:tcPr>
            <w:tcW w:w="970" w:type="pct"/>
          </w:tcPr>
          <w:p w:rsidR="00351675" w:rsidRPr="00351675" w:rsidRDefault="00A4740A" w:rsidP="00351675">
            <w:r>
              <w:t>2.6</w:t>
            </w:r>
          </w:p>
        </w:tc>
        <w:tc>
          <w:tcPr>
            <w:tcW w:w="1067" w:type="pct"/>
          </w:tcPr>
          <w:p w:rsidR="00351675" w:rsidRPr="00351675" w:rsidRDefault="009F0978" w:rsidP="00351675">
            <w:r>
              <w:t>2.45</w:t>
            </w:r>
          </w:p>
        </w:tc>
        <w:tc>
          <w:tcPr>
            <w:tcW w:w="736" w:type="pct"/>
          </w:tcPr>
          <w:p w:rsidR="00351675" w:rsidRPr="00351675" w:rsidRDefault="009F0978" w:rsidP="00351675">
            <w:r>
              <w:t>2.45</w:t>
            </w:r>
          </w:p>
        </w:tc>
        <w:tc>
          <w:tcPr>
            <w:tcW w:w="1104" w:type="pct"/>
          </w:tcPr>
          <w:p w:rsidR="00351675" w:rsidRPr="00351675" w:rsidRDefault="00351675" w:rsidP="00526EAA">
            <w:r>
              <w:t>C</w:t>
            </w:r>
            <w:r w:rsidRPr="00351675">
              <w:t>onstant   (%)</w:t>
            </w:r>
          </w:p>
        </w:tc>
      </w:tr>
    </w:tbl>
    <w:p w:rsidR="00351675" w:rsidRDefault="00351675" w:rsidP="00351675">
      <w:pPr>
        <w:pStyle w:val="AERtablesource"/>
      </w:pPr>
      <w:r>
        <w:t>Source:</w:t>
      </w:r>
      <w:r>
        <w:tab/>
        <w:t xml:space="preserve">AER analysis; </w:t>
      </w:r>
      <w:r w:rsidR="009F0978" w:rsidRPr="009F0978">
        <w:t xml:space="preserve">TasNetworks, </w:t>
      </w:r>
      <w:r w:rsidR="009F0978" w:rsidRPr="006E5878">
        <w:rPr>
          <w:rStyle w:val="AERtextitalic"/>
        </w:rPr>
        <w:t>Tasmanian Distribution Regulatory Proposal Regulatory Control Period 1 July 2017 to 30 June 2019</w:t>
      </w:r>
      <w:r w:rsidR="009F0978" w:rsidRPr="009F0978">
        <w:t>, 29 January 2016, p. 117</w:t>
      </w:r>
      <w:r w:rsidR="009F0978">
        <w:t xml:space="preserve">; </w:t>
      </w:r>
      <w:r w:rsidR="009F0978" w:rsidRPr="009F0978">
        <w:t xml:space="preserve">AER, </w:t>
      </w:r>
      <w:r w:rsidR="009F0978" w:rsidRPr="006E5878">
        <w:rPr>
          <w:rStyle w:val="AERtextitalic"/>
        </w:rPr>
        <w:t>Final Distribution Determination: Aurora Energy Pty Ltd 2012-13 to 2016-17</w:t>
      </w:r>
      <w:r w:rsidR="009F0978" w:rsidRPr="009F0978">
        <w:t>, April 2012, p. 29</w:t>
      </w:r>
      <w:r w:rsidR="00232F6B">
        <w:t xml:space="preserve">; AER, </w:t>
      </w:r>
      <w:r w:rsidR="00232F6B" w:rsidRPr="006E5878">
        <w:rPr>
          <w:rStyle w:val="AERtextitalic"/>
        </w:rPr>
        <w:t>Draft Decision TasNetworks distribution determination 2017–18 to 2018–19 Attachment 3 – Rate of return</w:t>
      </w:r>
      <w:r w:rsidR="00232F6B">
        <w:t>, September 2016; TasNetworks</w:t>
      </w:r>
      <w:r w:rsidR="00232F6B" w:rsidRPr="00E91B81">
        <w:rPr>
          <w:rStyle w:val="AERtextitalic"/>
        </w:rPr>
        <w:t xml:space="preserve">, </w:t>
      </w:r>
      <w:r w:rsidR="00232F6B">
        <w:rPr>
          <w:rStyle w:val="AERtextitalic"/>
        </w:rPr>
        <w:t xml:space="preserve">Tasmanian Distribution Revised Regulatory Proposal </w:t>
      </w:r>
      <w:r w:rsidR="00DF0600">
        <w:rPr>
          <w:rStyle w:val="AERtextitalic"/>
        </w:rPr>
        <w:t>Regulatory</w:t>
      </w:r>
      <w:r w:rsidR="00232F6B">
        <w:rPr>
          <w:rStyle w:val="AERtextitalic"/>
        </w:rPr>
        <w:t xml:space="preserve"> Control Period 1 July 2017 to 30 June 2019</w:t>
      </w:r>
      <w:r w:rsidR="00232F6B">
        <w:t>, December 2016, p. 7.</w:t>
      </w:r>
    </w:p>
    <w:p w:rsidR="00351675" w:rsidRDefault="00351675" w:rsidP="00351675">
      <w:r>
        <w:t xml:space="preserve">Our return on equity estimate is </w:t>
      </w:r>
      <w:r w:rsidR="00640B09">
        <w:t>7.</w:t>
      </w:r>
      <w:r w:rsidR="009F0978">
        <w:t>4</w:t>
      </w:r>
      <w:r w:rsidR="008748DA">
        <w:t xml:space="preserve"> </w:t>
      </w:r>
      <w:r>
        <w:t xml:space="preserve">per cent. This rate will apply to </w:t>
      </w:r>
      <w:r w:rsidR="009F0978">
        <w:t>TasNetworks</w:t>
      </w:r>
      <w:r>
        <w:t xml:space="preserve"> in each regulatory year. Our return on debt estimate for the 2017-18 regulatory year is </w:t>
      </w:r>
      <w:r w:rsidR="009F0978">
        <w:t>5.1</w:t>
      </w:r>
      <w:r>
        <w:t xml:space="preserve"> per cent. This estimate will change each year as we partially update the return on debt to reflect prevailing interest rates over </w:t>
      </w:r>
      <w:r w:rsidR="009F0978">
        <w:t>TasNetworks'</w:t>
      </w:r>
      <w:r>
        <w:t xml:space="preserve"> debt averaging period in each year. Our return on debt estimate for future regulatory years will be determined in accordance with the methodology and formulae we have specified in this decision. Due to updating the return on debt each year, the overall rate of return and </w:t>
      </w:r>
      <w:r w:rsidR="009F0978">
        <w:t>TasNetworks'</w:t>
      </w:r>
      <w:r>
        <w:t xml:space="preserve"> revenue will also be updated.</w:t>
      </w:r>
    </w:p>
    <w:p w:rsidR="00351675" w:rsidRDefault="00351675" w:rsidP="00CC7A1C">
      <w:pPr>
        <w:numPr>
          <w:ilvl w:val="0"/>
          <w:numId w:val="24"/>
        </w:numPr>
      </w:pPr>
      <w:r>
        <w:t xml:space="preserve">We agree with </w:t>
      </w:r>
      <w:r w:rsidR="009F0978">
        <w:t>TasNetworks'</w:t>
      </w:r>
      <w:r>
        <w:t xml:space="preserve"> </w:t>
      </w:r>
      <w:r w:rsidR="00DF0600">
        <w:t>adoption</w:t>
      </w:r>
      <w:r w:rsidR="009F0978">
        <w:t xml:space="preserve"> of the Guideline foundation model approach in its </w:t>
      </w:r>
      <w:r>
        <w:t>revised rate of return proposal</w:t>
      </w:r>
      <w:r w:rsidR="009F0978">
        <w:t>, specifically</w:t>
      </w:r>
      <w:r>
        <w:t>:</w:t>
      </w:r>
      <w:r>
        <w:rPr>
          <w:rStyle w:val="FootnoteReference"/>
        </w:rPr>
        <w:footnoteReference w:id="8"/>
      </w:r>
    </w:p>
    <w:p w:rsidR="00351675" w:rsidRPr="00796C00" w:rsidRDefault="00351675" w:rsidP="00351675">
      <w:pPr>
        <w:pStyle w:val="AERbulletlistfirststyle"/>
      </w:pPr>
      <w:r>
        <w:t>adopting a weighted average of the return on equity and return on debt (WACC)</w:t>
      </w:r>
      <w:r w:rsidRPr="00796C00">
        <w:t xml:space="preserve"> determined on a nominal vanilla basis (as required by </w:t>
      </w:r>
      <w:r>
        <w:t>the rules</w:t>
      </w:r>
      <w:r w:rsidRPr="00796C00">
        <w:t>)</w:t>
      </w:r>
    </w:p>
    <w:p w:rsidR="00351675" w:rsidRDefault="00351675" w:rsidP="00351675">
      <w:pPr>
        <w:pStyle w:val="AERbulletlistfirststyle"/>
      </w:pPr>
      <w:r>
        <w:t>adopting a 60</w:t>
      </w:r>
      <w:r w:rsidRPr="00796C00">
        <w:t xml:space="preserve"> per cent gearing ratio</w:t>
      </w:r>
    </w:p>
    <w:p w:rsidR="00351675" w:rsidRDefault="00351675" w:rsidP="00351675">
      <w:pPr>
        <w:pStyle w:val="AERbulletlistfirststyle"/>
      </w:pPr>
      <w:r>
        <w:t>adopting a 10 year term for the return on debt</w:t>
      </w:r>
    </w:p>
    <w:p w:rsidR="00351675" w:rsidRDefault="00351675" w:rsidP="00351675">
      <w:pPr>
        <w:pStyle w:val="AERbulletlistfirststyle"/>
      </w:pPr>
      <w:r>
        <w:t>applying our method of extrapolating third party data series and updating the return on debt each year</w:t>
      </w:r>
    </w:p>
    <w:p w:rsidR="00232F6B" w:rsidRDefault="00351675" w:rsidP="00351675">
      <w:pPr>
        <w:pStyle w:val="AERbulletlistfirststyle"/>
      </w:pPr>
      <w:r>
        <w:t>estimating the return on debt by reference to a third party data series</w:t>
      </w:r>
    </w:p>
    <w:p w:rsidR="00232F6B" w:rsidRDefault="00232F6B" w:rsidP="00232F6B">
      <w:pPr>
        <w:pStyle w:val="AERbulletlistfirststyle"/>
      </w:pPr>
      <w:r>
        <w:t xml:space="preserve">adopting the Guideline foundation model approach to estimate the return on equity and use of the Sharpe-Lintner CAPM as the foundation model </w:t>
      </w:r>
    </w:p>
    <w:p w:rsidR="00351675" w:rsidRDefault="00125A18" w:rsidP="00351675">
      <w:pPr>
        <w:pStyle w:val="AERbulletlistfirststyle"/>
      </w:pPr>
      <w:r>
        <w:t xml:space="preserve">estimating </w:t>
      </w:r>
      <w:r w:rsidR="00351675">
        <w:t xml:space="preserve">the risk free rate used in the return on equity with nominal Commonwealth government securities (CGS) averaged over 20 business days as close as practical to the commencement of the regulatory control period. </w:t>
      </w:r>
    </w:p>
    <w:p w:rsidR="00232F6B" w:rsidRDefault="00232F6B" w:rsidP="00232F6B">
      <w:pPr>
        <w:pStyle w:val="AERbulletlistfirststyle"/>
      </w:pPr>
      <w:r>
        <w:t>adopt a market risk premium of 6.5 per cent</w:t>
      </w:r>
    </w:p>
    <w:p w:rsidR="00232F6B" w:rsidRDefault="00232F6B" w:rsidP="00232F6B">
      <w:pPr>
        <w:pStyle w:val="AERbulletlistfirststyle"/>
      </w:pPr>
      <w:r>
        <w:t>adopt an equity beta of 0.7</w:t>
      </w:r>
    </w:p>
    <w:p w:rsidR="00351675" w:rsidRDefault="00351675" w:rsidP="00CC7A1C">
      <w:pPr>
        <w:numPr>
          <w:ilvl w:val="0"/>
          <w:numId w:val="24"/>
        </w:numPr>
      </w:pPr>
      <w:r>
        <w:t xml:space="preserve">Our </w:t>
      </w:r>
      <w:r w:rsidRPr="00B174EF">
        <w:t>return on equity estimate</w:t>
      </w:r>
      <w:r>
        <w:t xml:space="preserve"> for this final decision</w:t>
      </w:r>
      <w:r w:rsidRPr="00B174EF">
        <w:t xml:space="preserve"> </w:t>
      </w:r>
      <w:r>
        <w:t xml:space="preserve">is </w:t>
      </w:r>
      <w:r w:rsidR="00640B09">
        <w:t>7.</w:t>
      </w:r>
      <w:r w:rsidR="00E92CFA">
        <w:t>4</w:t>
      </w:r>
      <w:r w:rsidR="008748DA">
        <w:t xml:space="preserve"> </w:t>
      </w:r>
      <w:r w:rsidRPr="00B174EF">
        <w:t>per cent</w:t>
      </w:r>
      <w:r>
        <w:t>.</w:t>
      </w:r>
      <w:r w:rsidRPr="0083677A">
        <w:t xml:space="preserve"> </w:t>
      </w:r>
      <w:r>
        <w:t>We derived this estimate by applying the same approach we applied to determine the allowed return on equity in our most recent final decisions.</w:t>
      </w:r>
      <w:r>
        <w:rPr>
          <w:rStyle w:val="FootnoteReference"/>
        </w:rPr>
        <w:footnoteReference w:id="9"/>
      </w:r>
      <w:r>
        <w:t xml:space="preserve"> The Australian Competition Tribunal (Tribunal) recently upheld this approach.</w:t>
      </w:r>
      <w:r>
        <w:rPr>
          <w:rStyle w:val="FootnoteReference"/>
        </w:rPr>
        <w:footnoteReference w:id="10"/>
      </w:r>
      <w:r>
        <w:t xml:space="preserve"> This approach entails applying the Guideline approach referred to as the foundation model approach.</w:t>
      </w:r>
      <w:r>
        <w:rPr>
          <w:rStyle w:val="FootnoteReference"/>
        </w:rPr>
        <w:footnoteReference w:id="11"/>
      </w:r>
      <w:r>
        <w:t xml:space="preserve"> We applied this same approach in the </w:t>
      </w:r>
      <w:r w:rsidR="00A13D81">
        <w:t xml:space="preserve">draft </w:t>
      </w:r>
      <w:r>
        <w:t>decision.</w:t>
      </w:r>
      <w:r>
        <w:rPr>
          <w:rStyle w:val="FootnoteReference"/>
        </w:rPr>
        <w:footnoteReference w:id="12"/>
      </w:r>
      <w:r>
        <w:t xml:space="preserve"> 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C6448C" w:rsidRDefault="00351675" w:rsidP="0030019B">
      <w:r>
        <w:t>Our return on equity point estimate and the parameter inputs are set out in</w:t>
      </w:r>
      <w:r>
        <w:fldChar w:fldCharType="begin"/>
      </w:r>
      <w:r>
        <w:instrText xml:space="preserve"> REF  _Ref451344737 \* Lower \h </w:instrText>
      </w:r>
      <w:r w:rsidR="00BC2F8E">
        <w:instrText xml:space="preserve"> \* MERGEFORMAT </w:instrText>
      </w:r>
      <w:r>
        <w:fldChar w:fldCharType="separate"/>
      </w:r>
    </w:p>
    <w:p w:rsidR="00351675" w:rsidRDefault="00C6448C" w:rsidP="0030019B">
      <w:r>
        <w:t xml:space="preserve">table </w:t>
      </w:r>
      <w:r>
        <w:rPr>
          <w:noProof/>
        </w:rPr>
        <w:t>3</w:t>
      </w:r>
      <w:r>
        <w:rPr>
          <w:noProof/>
        </w:rPr>
        <w:noBreakHyphen/>
        <w:t>2</w:t>
      </w:r>
      <w:r w:rsidR="00351675">
        <w:fldChar w:fldCharType="end"/>
      </w:r>
      <w:r w:rsidR="00351675">
        <w:t xml:space="preserve">. </w:t>
      </w:r>
      <w:bookmarkStart w:id="16" w:name="_Ref451344737"/>
    </w:p>
    <w:p w:rsidR="00351675" w:rsidRDefault="00351675" w:rsidP="00351675">
      <w:pPr>
        <w:pStyle w:val="Caption"/>
      </w:pPr>
      <w:r>
        <w:t xml:space="preserve">Table </w:t>
      </w:r>
      <w:fldSimple w:instr=" STYLEREF 1 \s ">
        <w:r w:rsidR="00C6448C">
          <w:rPr>
            <w:noProof/>
          </w:rPr>
          <w:t>3</w:t>
        </w:r>
      </w:fldSimple>
      <w:r w:rsidR="00882F3D">
        <w:noBreakHyphen/>
      </w:r>
      <w:fldSimple w:instr=" SEQ Table \* ARABIC \s 1 ">
        <w:r w:rsidR="00C6448C">
          <w:rPr>
            <w:noProof/>
          </w:rPr>
          <w:t>2</w:t>
        </w:r>
      </w:fldSimple>
      <w:bookmarkEnd w:id="16"/>
      <w:r>
        <w:tab/>
        <w:t xml:space="preserve">Final decision on </w:t>
      </w:r>
      <w:r w:rsidR="00232F6B">
        <w:t>TasNetworks'</w:t>
      </w:r>
      <w:r>
        <w:t xml:space="preserve">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351675" w:rsidRPr="0036067E" w:rsidTr="00840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51675" w:rsidRPr="00796C00" w:rsidRDefault="00351675" w:rsidP="00351675"/>
        </w:tc>
        <w:tc>
          <w:tcPr>
            <w:tcW w:w="1177" w:type="pct"/>
          </w:tcPr>
          <w:p w:rsidR="00351675" w:rsidRPr="00351675" w:rsidRDefault="00351675" w:rsidP="00232F6B">
            <w:pPr>
              <w:cnfStyle w:val="100000000000" w:firstRow="1" w:lastRow="0" w:firstColumn="0" w:lastColumn="0" w:oddVBand="0" w:evenVBand="0" w:oddHBand="0" w:evenHBand="0" w:firstRowFirstColumn="0" w:firstRowLastColumn="0" w:lastRowFirstColumn="0" w:lastRowLastColumn="0"/>
            </w:pPr>
            <w:r w:rsidRPr="000954D7">
              <w:t xml:space="preserve">AER </w:t>
            </w:r>
            <w:r w:rsidRPr="00351675">
              <w:t>previous decision (201</w:t>
            </w:r>
            <w:r w:rsidR="00232F6B">
              <w:t>2</w:t>
            </w:r>
            <w:r w:rsidRPr="00351675">
              <w:t>–17)</w:t>
            </w:r>
          </w:p>
        </w:tc>
        <w:tc>
          <w:tcPr>
            <w:tcW w:w="1386" w:type="pct"/>
          </w:tcPr>
          <w:p w:rsidR="00351675" w:rsidRPr="00351675" w:rsidRDefault="00232F6B" w:rsidP="00232F6B">
            <w:pPr>
              <w:cnfStyle w:val="100000000000" w:firstRow="1" w:lastRow="0" w:firstColumn="0" w:lastColumn="0" w:oddVBand="0" w:evenVBand="0" w:oddHBand="0" w:evenHBand="0" w:firstRowFirstColumn="0" w:firstRowLastColumn="0" w:lastRowFirstColumn="0" w:lastRowLastColumn="0"/>
            </w:pPr>
            <w:r>
              <w:t>TasNetworks' revised</w:t>
            </w:r>
            <w:r w:rsidR="00351675" w:rsidRPr="00351675">
              <w:t xml:space="preserve"> proposal</w:t>
            </w:r>
            <w:r>
              <w:t>/AER draft decision</w:t>
            </w:r>
            <w:r w:rsidR="00351675" w:rsidRPr="00351675">
              <w:t xml:space="preserve"> (2017-</w:t>
            </w:r>
            <w:r>
              <w:t>19</w:t>
            </w:r>
            <w:r w:rsidR="00351675" w:rsidRPr="00351675">
              <w:t>)</w:t>
            </w:r>
          </w:p>
        </w:tc>
        <w:tc>
          <w:tcPr>
            <w:tcW w:w="1187" w:type="pct"/>
          </w:tcPr>
          <w:p w:rsidR="00351675" w:rsidRPr="00351675" w:rsidRDefault="00351675" w:rsidP="00351675">
            <w:pPr>
              <w:cnfStyle w:val="100000000000" w:firstRow="1" w:lastRow="0" w:firstColumn="0" w:lastColumn="0" w:oddVBand="0" w:evenVBand="0" w:oddHBand="0" w:evenHBand="0" w:firstRowFirstColumn="0" w:firstRowLastColumn="0" w:lastRowFirstColumn="0" w:lastRowLastColumn="0"/>
            </w:pPr>
            <w:r w:rsidRPr="00381B0E">
              <w:t>AER final decision</w:t>
            </w:r>
            <w:r w:rsidRPr="00351675">
              <w:t xml:space="preserve"> (2017–22)</w:t>
            </w:r>
          </w:p>
        </w:tc>
      </w:tr>
      <w:tr w:rsidR="00351675" w:rsidRPr="00BD56F3" w:rsidTr="0084079E">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Nominal risk free rate</w:t>
            </w:r>
            <w:r w:rsidRPr="00351675">
              <w:t xml:space="preserve"> (return on equity only)</w:t>
            </w:r>
          </w:p>
        </w:tc>
        <w:tc>
          <w:tcPr>
            <w:tcW w:w="1177" w:type="pct"/>
          </w:tcPr>
          <w:p w:rsidR="00351675" w:rsidRPr="00351675" w:rsidRDefault="00232F6B" w:rsidP="00351675">
            <w:pPr>
              <w:cnfStyle w:val="000000000000" w:firstRow="0" w:lastRow="0" w:firstColumn="0" w:lastColumn="0" w:oddVBand="0" w:evenVBand="0" w:oddHBand="0" w:evenHBand="0" w:firstRowFirstColumn="0" w:firstRowLastColumn="0" w:lastRowFirstColumn="0" w:lastRowLastColumn="0"/>
            </w:pPr>
            <w:r>
              <w:t>3.89</w:t>
            </w:r>
            <w:r w:rsidR="00351675" w:rsidRPr="00351675">
              <w:t>%</w:t>
            </w:r>
          </w:p>
        </w:tc>
        <w:tc>
          <w:tcPr>
            <w:tcW w:w="1386" w:type="pct"/>
          </w:tcPr>
          <w:p w:rsidR="00351675" w:rsidRPr="00351675" w:rsidRDefault="00232F6B" w:rsidP="00232F6B">
            <w:pPr>
              <w:cnfStyle w:val="000000000000" w:firstRow="0" w:lastRow="0" w:firstColumn="0" w:lastColumn="0" w:oddVBand="0" w:evenVBand="0" w:oddHBand="0" w:evenHBand="0" w:firstRowFirstColumn="0" w:firstRowLastColumn="0" w:lastRowFirstColumn="0" w:lastRowLastColumn="0"/>
              <w:rPr>
                <w:rStyle w:val="AERsuperscript"/>
              </w:rPr>
            </w:pPr>
            <w:r>
              <w:t>1.95</w:t>
            </w:r>
            <w:r w:rsidR="00351675" w:rsidRPr="00351675">
              <w:t>%</w:t>
            </w:r>
          </w:p>
        </w:tc>
        <w:tc>
          <w:tcPr>
            <w:tcW w:w="1187" w:type="pct"/>
          </w:tcPr>
          <w:p w:rsidR="00351675" w:rsidRPr="00351675" w:rsidRDefault="00222E5F" w:rsidP="00232F6B">
            <w:pPr>
              <w:cnfStyle w:val="000000000000" w:firstRow="0" w:lastRow="0" w:firstColumn="0" w:lastColumn="0" w:oddVBand="0" w:evenVBand="0" w:oddHBand="0" w:evenHBand="0" w:firstRowFirstColumn="0" w:firstRowLastColumn="0" w:lastRowFirstColumn="0" w:lastRowLastColumn="0"/>
              <w:rPr>
                <w:rStyle w:val="AERsuperscript"/>
              </w:rPr>
            </w:pPr>
            <w:r>
              <w:t>2.</w:t>
            </w:r>
            <w:r w:rsidR="00232F6B">
              <w:t>85</w:t>
            </w:r>
            <w:r>
              <w:t>%</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 xml:space="preserve">Equity risk premium </w:t>
            </w:r>
          </w:p>
        </w:tc>
        <w:tc>
          <w:tcPr>
            <w:tcW w:w="1177" w:type="pct"/>
          </w:tcPr>
          <w:p w:rsidR="00351675" w:rsidRPr="00351675" w:rsidRDefault="00351675" w:rsidP="00351675">
            <w:pPr>
              <w:cnfStyle w:val="000000010000" w:firstRow="0" w:lastRow="0" w:firstColumn="0" w:lastColumn="0" w:oddVBand="0" w:evenVBand="0" w:oddHBand="0" w:evenHBand="1" w:firstRowFirstColumn="0" w:firstRowLastColumn="0" w:lastRowFirstColumn="0" w:lastRowLastColumn="0"/>
            </w:pPr>
            <w:r>
              <w:t>5.20</w:t>
            </w:r>
            <w:r w:rsidRPr="00351675">
              <w:t>%</w:t>
            </w:r>
          </w:p>
        </w:tc>
        <w:tc>
          <w:tcPr>
            <w:tcW w:w="1386" w:type="pct"/>
          </w:tcPr>
          <w:p w:rsidR="00351675" w:rsidRPr="00351675" w:rsidRDefault="00232F6B" w:rsidP="00351675">
            <w:pPr>
              <w:cnfStyle w:val="000000010000" w:firstRow="0" w:lastRow="0" w:firstColumn="0" w:lastColumn="0" w:oddVBand="0" w:evenVBand="0" w:oddHBand="0" w:evenHBand="1" w:firstRowFirstColumn="0" w:firstRowLastColumn="0" w:lastRowFirstColumn="0" w:lastRowLastColumn="0"/>
            </w:pPr>
            <w:r>
              <w:t>4.55</w:t>
            </w:r>
            <w:r w:rsidR="00351675" w:rsidRPr="00351675">
              <w:t>%</w:t>
            </w:r>
          </w:p>
        </w:tc>
        <w:tc>
          <w:tcPr>
            <w:tcW w:w="1187" w:type="pct"/>
          </w:tcPr>
          <w:p w:rsidR="00351675" w:rsidRPr="00351675" w:rsidRDefault="00222E5F" w:rsidP="00351675">
            <w:pPr>
              <w:cnfStyle w:val="000000010000" w:firstRow="0" w:lastRow="0" w:firstColumn="0" w:lastColumn="0" w:oddVBand="0" w:evenVBand="0" w:oddHBand="0" w:evenHBand="1" w:firstRowFirstColumn="0" w:firstRowLastColumn="0" w:lastRowFirstColumn="0" w:lastRowLastColumn="0"/>
            </w:pPr>
            <w:r>
              <w:t>4.55%</w:t>
            </w:r>
          </w:p>
        </w:tc>
      </w:tr>
      <w:tr w:rsidR="00351675" w:rsidRPr="00BD56F3" w:rsidTr="0084079E">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MRP</w:t>
            </w:r>
          </w:p>
        </w:tc>
        <w:tc>
          <w:tcPr>
            <w:tcW w:w="1177" w:type="pct"/>
          </w:tcPr>
          <w:p w:rsidR="00351675" w:rsidRPr="00351675" w:rsidRDefault="00351675" w:rsidP="00351675">
            <w:pPr>
              <w:cnfStyle w:val="000000000000" w:firstRow="0" w:lastRow="0" w:firstColumn="0" w:lastColumn="0" w:oddVBand="0" w:evenVBand="0" w:oddHBand="0" w:evenHBand="0" w:firstRowFirstColumn="0" w:firstRowLastColumn="0" w:lastRowFirstColumn="0" w:lastRowLastColumn="0"/>
            </w:pPr>
            <w:r w:rsidRPr="00796C00">
              <w:t>6.</w:t>
            </w:r>
            <w:r w:rsidRPr="00351675">
              <w:t>50%</w:t>
            </w:r>
          </w:p>
        </w:tc>
        <w:tc>
          <w:tcPr>
            <w:tcW w:w="1386" w:type="pct"/>
          </w:tcPr>
          <w:p w:rsidR="00351675" w:rsidRPr="00351675" w:rsidRDefault="00232F6B" w:rsidP="00351675">
            <w:pPr>
              <w:cnfStyle w:val="000000000000" w:firstRow="0" w:lastRow="0" w:firstColumn="0" w:lastColumn="0" w:oddVBand="0" w:evenVBand="0" w:oddHBand="0" w:evenHBand="0" w:firstRowFirstColumn="0" w:firstRowLastColumn="0" w:lastRowFirstColumn="0" w:lastRowLastColumn="0"/>
            </w:pPr>
            <w:r>
              <w:t>6</w:t>
            </w:r>
            <w:r w:rsidR="00351675">
              <w:t>.</w:t>
            </w:r>
            <w:r w:rsidR="00A914F3">
              <w:t>5</w:t>
            </w:r>
            <w:r w:rsidR="00351675">
              <w:t>0</w:t>
            </w:r>
            <w:r w:rsidR="00351675" w:rsidRPr="00351675">
              <w:t>%</w:t>
            </w:r>
          </w:p>
        </w:tc>
        <w:tc>
          <w:tcPr>
            <w:tcW w:w="1187" w:type="pct"/>
          </w:tcPr>
          <w:p w:rsidR="00351675" w:rsidRPr="00351675" w:rsidRDefault="00222E5F" w:rsidP="00351675">
            <w:pPr>
              <w:cnfStyle w:val="000000000000" w:firstRow="0" w:lastRow="0" w:firstColumn="0" w:lastColumn="0" w:oddVBand="0" w:evenVBand="0" w:oddHBand="0" w:evenHBand="0" w:firstRowFirstColumn="0" w:firstRowLastColumn="0" w:lastRowFirstColumn="0" w:lastRowLastColumn="0"/>
            </w:pPr>
            <w:r>
              <w:t>6.5%</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Equity beta</w:t>
            </w:r>
          </w:p>
        </w:tc>
        <w:tc>
          <w:tcPr>
            <w:tcW w:w="1177" w:type="pct"/>
          </w:tcPr>
          <w:p w:rsidR="00351675" w:rsidRPr="00351675" w:rsidRDefault="00351675" w:rsidP="00351675">
            <w:pPr>
              <w:cnfStyle w:val="000000010000" w:firstRow="0" w:lastRow="0" w:firstColumn="0" w:lastColumn="0" w:oddVBand="0" w:evenVBand="0" w:oddHBand="0" w:evenHBand="1" w:firstRowFirstColumn="0" w:firstRowLastColumn="0" w:lastRowFirstColumn="0" w:lastRowLastColumn="0"/>
            </w:pPr>
            <w:r>
              <w:t>0.8</w:t>
            </w:r>
          </w:p>
        </w:tc>
        <w:tc>
          <w:tcPr>
            <w:tcW w:w="1386" w:type="pct"/>
          </w:tcPr>
          <w:p w:rsidR="00351675" w:rsidRPr="00351675" w:rsidRDefault="00222E5F" w:rsidP="00222E5F">
            <w:pPr>
              <w:cnfStyle w:val="000000010000" w:firstRow="0" w:lastRow="0" w:firstColumn="0" w:lastColumn="0" w:oddVBand="0" w:evenVBand="0" w:oddHBand="0" w:evenHBand="1" w:firstRowFirstColumn="0" w:firstRowLastColumn="0" w:lastRowFirstColumn="0" w:lastRowLastColumn="0"/>
            </w:pPr>
            <w:r>
              <w:t>0.7</w:t>
            </w:r>
          </w:p>
        </w:tc>
        <w:tc>
          <w:tcPr>
            <w:tcW w:w="1187" w:type="pct"/>
          </w:tcPr>
          <w:p w:rsidR="00351675" w:rsidRPr="00351675" w:rsidRDefault="00222E5F" w:rsidP="00351675">
            <w:pPr>
              <w:cnfStyle w:val="000000010000" w:firstRow="0" w:lastRow="0" w:firstColumn="0" w:lastColumn="0" w:oddVBand="0" w:evenVBand="0" w:oddHBand="0" w:evenHBand="1" w:firstRowFirstColumn="0" w:firstRowLastColumn="0" w:lastRowFirstColumn="0" w:lastRowLastColumn="0"/>
            </w:pPr>
            <w:r>
              <w:t>0.7</w:t>
            </w:r>
          </w:p>
        </w:tc>
      </w:tr>
      <w:tr w:rsidR="00351675" w:rsidRPr="00BD56F3" w:rsidTr="0084079E">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351675">
            <w:r w:rsidRPr="00796C00">
              <w:t xml:space="preserve">Nominal post–tax return on equity </w:t>
            </w:r>
          </w:p>
        </w:tc>
        <w:tc>
          <w:tcPr>
            <w:tcW w:w="1177" w:type="pct"/>
          </w:tcPr>
          <w:p w:rsidR="00351675" w:rsidRPr="00351675" w:rsidRDefault="00232F6B" w:rsidP="00351675">
            <w:pPr>
              <w:cnfStyle w:val="000000000000" w:firstRow="0" w:lastRow="0" w:firstColumn="0" w:lastColumn="0" w:oddVBand="0" w:evenVBand="0" w:oddHBand="0" w:evenHBand="0" w:firstRowFirstColumn="0" w:firstRowLastColumn="0" w:lastRowFirstColumn="0" w:lastRowLastColumn="0"/>
            </w:pPr>
            <w:r>
              <w:t>8.69</w:t>
            </w:r>
            <w:r w:rsidR="00351675" w:rsidRPr="00351675">
              <w:t>%</w:t>
            </w:r>
          </w:p>
        </w:tc>
        <w:tc>
          <w:tcPr>
            <w:tcW w:w="1386" w:type="pct"/>
          </w:tcPr>
          <w:p w:rsidR="00351675" w:rsidRPr="00351675" w:rsidRDefault="00232F6B" w:rsidP="00232F6B">
            <w:pPr>
              <w:cnfStyle w:val="000000000000" w:firstRow="0" w:lastRow="0" w:firstColumn="0" w:lastColumn="0" w:oddVBand="0" w:evenVBand="0" w:oddHBand="0" w:evenHBand="0" w:firstRowFirstColumn="0" w:firstRowLastColumn="0" w:lastRowFirstColumn="0" w:lastRowLastColumn="0"/>
            </w:pPr>
            <w:r>
              <w:t>6.5</w:t>
            </w:r>
            <w:r w:rsidR="008D2F88">
              <w:t>%</w:t>
            </w:r>
          </w:p>
        </w:tc>
        <w:tc>
          <w:tcPr>
            <w:tcW w:w="1187" w:type="pct"/>
          </w:tcPr>
          <w:p w:rsidR="00351675" w:rsidRPr="00351675" w:rsidRDefault="00222E5F" w:rsidP="00232F6B">
            <w:pPr>
              <w:cnfStyle w:val="000000000000" w:firstRow="0" w:lastRow="0" w:firstColumn="0" w:lastColumn="0" w:oddVBand="0" w:evenVBand="0" w:oddHBand="0" w:evenHBand="0" w:firstRowFirstColumn="0" w:firstRowLastColumn="0" w:lastRowFirstColumn="0" w:lastRowLastColumn="0"/>
            </w:pPr>
            <w:r>
              <w:t>7.</w:t>
            </w:r>
            <w:r w:rsidR="00232F6B">
              <w:t>4</w:t>
            </w:r>
            <w:r>
              <w:t>%</w:t>
            </w:r>
          </w:p>
        </w:tc>
      </w:tr>
    </w:tbl>
    <w:p w:rsidR="00B656A7" w:rsidRDefault="00B656A7" w:rsidP="0030019B">
      <w:pPr>
        <w:pStyle w:val="AERtablesource"/>
      </w:pPr>
      <w:r>
        <w:t>Source:</w:t>
      </w:r>
      <w:r>
        <w:tab/>
        <w:t xml:space="preserve">AER analysis; </w:t>
      </w:r>
      <w:r w:rsidR="00232F6B" w:rsidRPr="009F0978">
        <w:t xml:space="preserve">TasNetworks, </w:t>
      </w:r>
      <w:r w:rsidR="00232F6B" w:rsidRPr="00E91B81">
        <w:rPr>
          <w:rStyle w:val="AERtextitalic"/>
        </w:rPr>
        <w:t>Tasmanian Distribution Regulatory Proposal Regulatory Control Period 1 July 2017 to 30 June 2019</w:t>
      </w:r>
      <w:r w:rsidR="00232F6B" w:rsidRPr="009F0978">
        <w:t>, 29 January 2016, p. 117</w:t>
      </w:r>
      <w:r w:rsidR="00232F6B">
        <w:t xml:space="preserve">; </w:t>
      </w:r>
      <w:r w:rsidR="00232F6B" w:rsidRPr="009F0978">
        <w:t xml:space="preserve">AER, </w:t>
      </w:r>
      <w:r w:rsidR="00232F6B" w:rsidRPr="00E91B81">
        <w:rPr>
          <w:rStyle w:val="AERtextitalic"/>
        </w:rPr>
        <w:t>Final Distribution Determination: Aurora Energy Pty Ltd 2012-13 to 2016-17</w:t>
      </w:r>
      <w:r w:rsidR="00232F6B" w:rsidRPr="009F0978">
        <w:t>, April 2012, p. 29</w:t>
      </w:r>
      <w:r w:rsidR="00232F6B">
        <w:t xml:space="preserve">; AER, </w:t>
      </w:r>
      <w:r w:rsidR="00232F6B" w:rsidRPr="00E91B81">
        <w:rPr>
          <w:rStyle w:val="AERtextitalic"/>
        </w:rPr>
        <w:t>Draft Decision TasNetworks distribution determination 2017–18 to 2018–19 Attachment 3 – Rate of return</w:t>
      </w:r>
      <w:r w:rsidR="00232F6B">
        <w:t>, September 2016; TasNetworks</w:t>
      </w:r>
      <w:r w:rsidR="00232F6B" w:rsidRPr="00E91B81">
        <w:rPr>
          <w:rStyle w:val="AERtextitalic"/>
        </w:rPr>
        <w:t xml:space="preserve">, </w:t>
      </w:r>
      <w:r w:rsidR="00232F6B">
        <w:rPr>
          <w:rStyle w:val="AERtextitalic"/>
        </w:rPr>
        <w:t xml:space="preserve">Tasmanian Distribution Revised Regulatory Proposal </w:t>
      </w:r>
      <w:r w:rsidR="00DF0600">
        <w:rPr>
          <w:rStyle w:val="AERtextitalic"/>
        </w:rPr>
        <w:t>Regulatory</w:t>
      </w:r>
      <w:r w:rsidR="00232F6B">
        <w:rPr>
          <w:rStyle w:val="AERtextitalic"/>
        </w:rPr>
        <w:t xml:space="preserve"> Control Period 1 July 2017 to 30 June 2019</w:t>
      </w:r>
      <w:r w:rsidR="00232F6B">
        <w:t>, December 2016, p. 7.</w:t>
      </w:r>
    </w:p>
    <w:p w:rsidR="00351675" w:rsidRPr="00A23B57" w:rsidRDefault="0030019B" w:rsidP="002972FD">
      <w:pPr>
        <w:pStyle w:val="AERtablesource"/>
      </w:pPr>
      <w:r>
        <w:rPr>
          <w:rStyle w:val="AERtextsize8"/>
        </w:rPr>
        <w:tab/>
      </w:r>
      <w:r w:rsidR="008748DA" w:rsidRPr="002972FD">
        <w:rPr>
          <w:rStyle w:val="AERtextsize8"/>
        </w:rPr>
        <w:t xml:space="preserve">*Calculated with an averaging period of 20 business days up to </w:t>
      </w:r>
      <w:r w:rsidR="00232F6B" w:rsidRPr="00A23B57">
        <w:rPr>
          <w:rStyle w:val="AERtextsize8"/>
        </w:rPr>
        <w:t>20 March 2017</w:t>
      </w:r>
      <w:r w:rsidR="00092F0E" w:rsidRPr="00A23B57">
        <w:rPr>
          <w:rStyle w:val="AERtextsize8"/>
        </w:rPr>
        <w:t xml:space="preserve"> </w:t>
      </w:r>
      <w:r w:rsidR="00E64C45" w:rsidRPr="00A23B57">
        <w:rPr>
          <w:rStyle w:val="AERtextsize8"/>
        </w:rPr>
        <w:t>agreed upon in advance of its commencement.</w:t>
      </w:r>
      <w:r w:rsidR="00451C27" w:rsidRPr="00A23B57">
        <w:t xml:space="preserve"> </w:t>
      </w:r>
    </w:p>
    <w:p w:rsidR="00351675" w:rsidRPr="00BF711B" w:rsidRDefault="00351675" w:rsidP="00351675">
      <w:pPr>
        <w:rPr>
          <w:rStyle w:val="AERbody"/>
        </w:rPr>
      </w:pPr>
      <w:r w:rsidRPr="00BF711B">
        <w:rPr>
          <w:rStyle w:val="AERbody"/>
        </w:rPr>
        <w:t>Our final decision on the return on debt approach is to:</w:t>
      </w:r>
    </w:p>
    <w:p w:rsidR="00351675" w:rsidRDefault="00351675" w:rsidP="00351675">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regulatory control period</w:t>
      </w:r>
      <w:r w:rsidRPr="00F17A9D">
        <w:t xml:space="preserve">) in </w:t>
      </w:r>
      <w:r>
        <w:t>2017-18</w:t>
      </w:r>
      <w:r w:rsidR="008D18DD">
        <w:t xml:space="preserve"> </w:t>
      </w:r>
      <w:r w:rsidRPr="00F17A9D">
        <w:t>of</w:t>
      </w:r>
      <w:r>
        <w:t xml:space="preserve"> the 2017–22</w:t>
      </w:r>
      <w:r w:rsidRPr="00F17A9D">
        <w:t xml:space="preserve"> </w:t>
      </w:r>
      <w:r>
        <w:t xml:space="preserve">regulatory control </w:t>
      </w:r>
      <w:r w:rsidRPr="00F17A9D">
        <w:t>period</w:t>
      </w:r>
      <w:r>
        <w:t>, and</w:t>
      </w:r>
    </w:p>
    <w:p w:rsidR="00351675" w:rsidRDefault="00351675" w:rsidP="00351675">
      <w:pPr>
        <w:pStyle w:val="AERbulletlistfirststyle"/>
      </w:pPr>
      <w:r>
        <w:t>gradually transition</w:t>
      </w:r>
      <w:r w:rsidRPr="00F17A9D">
        <w:t xml:space="preserve"> this</w:t>
      </w:r>
      <w:r>
        <w:t xml:space="preserve"> approach </w:t>
      </w:r>
      <w:r w:rsidRPr="00F17A9D">
        <w:t>into a trailing average approach (</w:t>
      </w:r>
      <w:r>
        <w:t xml:space="preserve">that is, </w:t>
      </w:r>
      <w:r w:rsidRPr="00F17A9D">
        <w:t>a moving historical average) over 10 years.</w:t>
      </w:r>
      <w:r>
        <w:rPr>
          <w:rStyle w:val="FootnoteReference"/>
        </w:rPr>
        <w:footnoteReference w:id="13"/>
      </w:r>
    </w:p>
    <w:p w:rsidR="00351675" w:rsidRPr="00235F75" w:rsidRDefault="00351675" w:rsidP="00351675">
      <w:r w:rsidRPr="00F17A9D">
        <w:t xml:space="preserve">This gradual transition will occur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14"/>
      </w:r>
      <w:r>
        <w:t xml:space="preserve"> This approach is consistent with the approached we proposed in the Guideline and adopted in the </w:t>
      </w:r>
      <w:r w:rsidR="00DD2C3C">
        <w:t xml:space="preserve">draft </w:t>
      </w:r>
      <w:r>
        <w:t xml:space="preserve">decision. </w:t>
      </w:r>
      <w:r w:rsidRPr="00235F75">
        <w:t xml:space="preserve">Our </w:t>
      </w:r>
      <w:r>
        <w:t>final decision is to estimate the return on debt in each regulatory year by reference to</w:t>
      </w:r>
      <w:r w:rsidRPr="00235F75">
        <w:t>:</w:t>
      </w:r>
    </w:p>
    <w:p w:rsidR="00351675" w:rsidRPr="00CC2262" w:rsidRDefault="00351675" w:rsidP="00351675">
      <w:pPr>
        <w:pStyle w:val="AERbulletlistfirststyle"/>
      </w:pPr>
      <w:r w:rsidRPr="00235F75">
        <w:t>a benchmark credit rating of BBB+</w:t>
      </w:r>
    </w:p>
    <w:p w:rsidR="00351675" w:rsidRPr="00CC2262" w:rsidRDefault="00351675" w:rsidP="00351675">
      <w:pPr>
        <w:pStyle w:val="AERbulletlistfirststyle"/>
      </w:pPr>
      <w:r w:rsidRPr="00235F75">
        <w:t>a benchmark term of debt of 10 years</w:t>
      </w:r>
    </w:p>
    <w:p w:rsidR="00351675" w:rsidRPr="00CC2262" w:rsidRDefault="00351675" w:rsidP="00351675">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5"/>
      </w:r>
    </w:p>
    <w:p w:rsidR="00351675" w:rsidRPr="00CC2262" w:rsidRDefault="00351675" w:rsidP="00351675">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6"/>
      </w:r>
    </w:p>
    <w:p w:rsidR="00351675" w:rsidRDefault="009D0037" w:rsidP="00CC7A1C">
      <w:pPr>
        <w:numPr>
          <w:ilvl w:val="0"/>
          <w:numId w:val="24"/>
        </w:numPr>
      </w:pPr>
      <w:r>
        <w:t>The</w:t>
      </w:r>
      <w:r w:rsidR="00351675">
        <w:t xml:space="preserve"> Tribunal recently reviewed several aspects of our approach to estimating the allowed return on debt in decisions for ActewAGL, Jemena Gas Networks and Networks NSW</w:t>
      </w:r>
      <w:r w:rsidR="00955B8B">
        <w:rPr>
          <w:rStyle w:val="FootnoteReference"/>
        </w:rPr>
        <w:footnoteReference w:id="17"/>
      </w:r>
      <w:r w:rsidR="00351675">
        <w:t>.</w:t>
      </w:r>
      <w:r w:rsidR="00D22444">
        <w:rPr>
          <w:rStyle w:val="FootnoteReference"/>
        </w:rPr>
        <w:footnoteReference w:id="18"/>
      </w:r>
      <w:r w:rsidR="00351675">
        <w:t xml:space="preserve"> Specifically, the Tribunal was asked to review:</w:t>
      </w:r>
    </w:p>
    <w:p w:rsidR="00351675" w:rsidRPr="00454ED0" w:rsidRDefault="00351675" w:rsidP="00351675">
      <w:pPr>
        <w:pStyle w:val="AERbulletlistfirststyle"/>
      </w:pPr>
      <w:r>
        <w:t>Whether a</w:t>
      </w:r>
      <w:r w:rsidRPr="00454ED0">
        <w:t xml:space="preserve"> benchmark</w:t>
      </w:r>
      <w:r>
        <w:t xml:space="preserve"> efficient entity would have a</w:t>
      </w:r>
      <w:r w:rsidRPr="00454ED0">
        <w:t xml:space="preserve"> credit rating </w:t>
      </w:r>
      <w:r>
        <w:t>of</w:t>
      </w:r>
      <w:r w:rsidRPr="00454ED0">
        <w:t xml:space="preserve"> BBB rather than BBB+. </w:t>
      </w:r>
      <w:r>
        <w:t>It</w:t>
      </w:r>
      <w:r w:rsidRPr="00454ED0">
        <w:t xml:space="preserve"> upheld our decision to define </w:t>
      </w:r>
      <w:r>
        <w:t>a</w:t>
      </w:r>
      <w:r w:rsidRPr="00454ED0">
        <w:t xml:space="preserve"> benchmark credit rating as a BBB+ credit rating.</w:t>
      </w:r>
      <w:r w:rsidRPr="00454ED0">
        <w:rPr>
          <w:rStyle w:val="FootnoteReference"/>
        </w:rPr>
        <w:footnoteReference w:id="19"/>
      </w:r>
    </w:p>
    <w:p w:rsidR="00351675" w:rsidRPr="00454ED0" w:rsidRDefault="00351675" w:rsidP="00351675">
      <w:pPr>
        <w:pStyle w:val="AERbulletlistfirststyle"/>
      </w:pPr>
      <w:r>
        <w:t xml:space="preserve">Whether we should estimate </w:t>
      </w:r>
      <w:r w:rsidRPr="00454ED0">
        <w:t>the allowed return on debt using the RBA data series alone or a simple average of the RBA and Bloomberg data series. It upheld our decision and found that</w:t>
      </w:r>
      <w:r>
        <w:t>, 'a</w:t>
      </w:r>
      <w:r w:rsidRPr="00454ED0">
        <w:t>veraging of the two curves was an acceptable measure of the DR</w:t>
      </w:r>
      <w:r>
        <w:t>P</w:t>
      </w:r>
      <w:r w:rsidR="00615485">
        <w:t xml:space="preserve"> [debt risk premium]</w:t>
      </w:r>
      <w:r>
        <w:t>'.</w:t>
      </w:r>
      <w:r w:rsidRPr="00454ED0">
        <w:rPr>
          <w:rStyle w:val="FootnoteReference"/>
        </w:rPr>
        <w:t xml:space="preserve"> </w:t>
      </w:r>
      <w:r w:rsidRPr="00454ED0">
        <w:rPr>
          <w:rStyle w:val="FootnoteReference"/>
        </w:rPr>
        <w:footnoteReference w:id="20"/>
      </w:r>
    </w:p>
    <w:p w:rsidR="00351675" w:rsidRPr="00454ED0" w:rsidRDefault="00351675" w:rsidP="00351675">
      <w:pPr>
        <w:pStyle w:val="AERbulletlistfirststyle"/>
      </w:pPr>
      <w:r>
        <w:t>Whether we should transition all of the return on debt</w:t>
      </w:r>
      <w:r>
        <w:rPr>
          <w:rStyle w:val="FootnoteReference"/>
        </w:rPr>
        <w:footnoteReference w:id="21"/>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It remitted the determination back to us to make a </w:t>
      </w:r>
      <w:r w:rsidRPr="00454ED0">
        <w:t xml:space="preserve">constituent decision </w:t>
      </w:r>
      <w:r>
        <w:t>on</w:t>
      </w:r>
      <w:r w:rsidRPr="00454ED0">
        <w:t xml:space="preserve"> </w:t>
      </w:r>
      <w:r>
        <w:t>introducing</w:t>
      </w:r>
      <w:r w:rsidRPr="00454ED0">
        <w:t xml:space="preserve"> the trailing average approach</w:t>
      </w:r>
      <w:r>
        <w:t xml:space="preserve"> in accordance with several reasons outlined in its decision.</w:t>
      </w:r>
      <w:r>
        <w:rPr>
          <w:rStyle w:val="FootnoteReference"/>
        </w:rPr>
        <w:footnoteReference w:id="22"/>
      </w:r>
      <w:r>
        <w:t xml:space="preserve"> We note the Tribunal's decision in section </w:t>
      </w:r>
      <w:r w:rsidR="004C69BA">
        <w:fldChar w:fldCharType="begin"/>
      </w:r>
      <w:r w:rsidR="004C69BA">
        <w:instrText xml:space="preserve"> REF _Ref478718271 \r \h </w:instrText>
      </w:r>
      <w:r w:rsidR="004C69BA">
        <w:fldChar w:fldCharType="separate"/>
      </w:r>
      <w:r w:rsidR="00C6448C">
        <w:t>3.4.2</w:t>
      </w:r>
      <w:r w:rsidR="004C69BA">
        <w:fldChar w:fldCharType="end"/>
      </w:r>
      <w:r w:rsidR="004C69BA">
        <w:t xml:space="preserve"> </w:t>
      </w:r>
      <w:r>
        <w:t xml:space="preserve">and Appendix </w:t>
      </w:r>
      <w:r w:rsidR="008D18DD">
        <w:t>A</w:t>
      </w:r>
      <w:r>
        <w:t>.</w:t>
      </w:r>
    </w:p>
    <w:p w:rsidR="00783A3A" w:rsidRDefault="00783A3A" w:rsidP="00CC7A1C">
      <w:pPr>
        <w:numPr>
          <w:ilvl w:val="0"/>
          <w:numId w:val="24"/>
        </w:numPr>
      </w:pPr>
      <w:r>
        <w:t>The Tribunal</w:t>
      </w:r>
      <w:r w:rsidR="00D22444">
        <w:t xml:space="preserve"> </w:t>
      </w:r>
      <w:r>
        <w:t>confirmed our use of a BBB+ credit rating and use of a simple average of debt yields (interpolated or extrapolated as set out in our decision) from the RBA and Bloomberg. While the Tribunal found error in our approach to debt transition, we appealed the Tribunal decision on this point to the F</w:t>
      </w:r>
      <w:r w:rsidR="00C71E6B">
        <w:t>ull F</w:t>
      </w:r>
      <w:r>
        <w:t xml:space="preserve">ederal Court </w:t>
      </w:r>
      <w:r w:rsidR="00C71E6B">
        <w:t xml:space="preserve">and its decision </w:t>
      </w:r>
      <w:r>
        <w:t xml:space="preserve">is currently reserved. </w:t>
      </w:r>
    </w:p>
    <w:p w:rsidR="006F789C" w:rsidRDefault="009D0037" w:rsidP="00CC7A1C">
      <w:pPr>
        <w:numPr>
          <w:ilvl w:val="0"/>
          <w:numId w:val="24"/>
        </w:numPr>
      </w:pPr>
      <w:r>
        <w:t>Following confirmation of our approach in the Tribunal</w:t>
      </w:r>
      <w:r w:rsidR="00783A3A">
        <w:t xml:space="preserve"> in relation to our choice of credit rating and averaging of the RBA and Bloomberg yields</w:t>
      </w:r>
      <w:r>
        <w:t>, we have continued to apply th</w:t>
      </w:r>
      <w:r w:rsidR="00783A3A">
        <w:t>ese</w:t>
      </w:r>
      <w:r>
        <w:t xml:space="preserve"> approach</w:t>
      </w:r>
      <w:r w:rsidR="00783A3A">
        <w:t>es</w:t>
      </w:r>
      <w:r>
        <w:t xml:space="preserve"> in our revenue determinations for network businesses. </w:t>
      </w:r>
      <w:r w:rsidR="00783A3A">
        <w:t>We have also co</w:t>
      </w:r>
      <w:r w:rsidR="006F789C">
        <w:t>n</w:t>
      </w:r>
      <w:r w:rsidR="00783A3A">
        <w:t>tinued to apply our</w:t>
      </w:r>
      <w:r w:rsidR="006F789C">
        <w:t xml:space="preserve"> </w:t>
      </w:r>
      <w:r w:rsidR="00783A3A">
        <w:t xml:space="preserve">(full) debt </w:t>
      </w:r>
      <w:r w:rsidR="00DF0600">
        <w:t>transition</w:t>
      </w:r>
      <w:r w:rsidR="00783A3A">
        <w:t xml:space="preserve"> approach given we remain of the view it is required to achieve the ARORO and we have appealed the Tribunal's decision on this point.</w:t>
      </w:r>
      <w:r>
        <w:t xml:space="preserve"> Th</w:t>
      </w:r>
      <w:r w:rsidR="00D22444">
        <w:t>erefore,</w:t>
      </w:r>
      <w:r>
        <w:t xml:space="preserve"> the approach to estimating debt </w:t>
      </w:r>
      <w:r w:rsidR="00D22444">
        <w:t>used in this decision</w:t>
      </w:r>
      <w:r>
        <w:t xml:space="preserve"> is currently operating for most network businesses including privately owned network businesses.  </w:t>
      </w:r>
    </w:p>
    <w:p w:rsidR="006F789C" w:rsidRDefault="00D22444" w:rsidP="00CC7A1C">
      <w:pPr>
        <w:numPr>
          <w:ilvl w:val="0"/>
          <w:numId w:val="24"/>
        </w:numPr>
      </w:pPr>
      <w:r>
        <w:t>More r</w:t>
      </w:r>
      <w:r w:rsidR="009D0037">
        <w:t xml:space="preserve">ecently, </w:t>
      </w:r>
      <w:r w:rsidR="006F789C">
        <w:t xml:space="preserve">the following </w:t>
      </w:r>
      <w:r>
        <w:t xml:space="preserve">legal </w:t>
      </w:r>
      <w:r w:rsidR="006F789C">
        <w:t>events have occurred:</w:t>
      </w:r>
    </w:p>
    <w:p w:rsidR="006F789C" w:rsidRDefault="006F789C" w:rsidP="006E5878">
      <w:pPr>
        <w:pStyle w:val="AERbulletlistsecondstyle"/>
      </w:pPr>
      <w:r>
        <w:t xml:space="preserve">The Tribunal in </w:t>
      </w:r>
      <w:r w:rsidR="00955B8B">
        <w:t>October 2016</w:t>
      </w:r>
      <w:r w:rsidR="00D22444">
        <w:t>, affirmed our decision to apply</w:t>
      </w:r>
      <w:r>
        <w:t xml:space="preserve"> a full </w:t>
      </w:r>
      <w:r w:rsidR="00D22444">
        <w:t xml:space="preserve">debt </w:t>
      </w:r>
      <w:r>
        <w:t>transition</w:t>
      </w:r>
      <w:r w:rsidR="00B039D3">
        <w:t xml:space="preserve"> in our determination for SAPN</w:t>
      </w:r>
      <w:r w:rsidR="00D22444">
        <w:t>,</w:t>
      </w:r>
      <w:r w:rsidR="00955B8B">
        <w:rPr>
          <w:rStyle w:val="FootnoteReference"/>
        </w:rPr>
        <w:footnoteReference w:id="23"/>
      </w:r>
      <w:r>
        <w:t xml:space="preserve"> altho</w:t>
      </w:r>
      <w:r w:rsidR="00D22444">
        <w:t>u</w:t>
      </w:r>
      <w:r>
        <w:t>gh we note SAPN has appealed this to the Federal Court with the hearing scheduled for early May 2017</w:t>
      </w:r>
      <w:r w:rsidR="00D22444">
        <w:t>;</w:t>
      </w:r>
      <w:r w:rsidR="00955B8B">
        <w:rPr>
          <w:rStyle w:val="FootnoteReference"/>
        </w:rPr>
        <w:footnoteReference w:id="24"/>
      </w:r>
      <w:r w:rsidR="00D22444">
        <w:t xml:space="preserve"> and</w:t>
      </w:r>
    </w:p>
    <w:p w:rsidR="009D0037" w:rsidRDefault="009D0037" w:rsidP="006E5878">
      <w:pPr>
        <w:pStyle w:val="AERbulletlistsecondstyle"/>
      </w:pPr>
      <w:r>
        <w:t>AusNet Services electricity distribution</w:t>
      </w:r>
      <w:r w:rsidR="00D22444">
        <w:t>, ActewAGL Gas Networks, and Jemena Distribution</w:t>
      </w:r>
      <w:r>
        <w:t xml:space="preserve"> brought application</w:t>
      </w:r>
      <w:r w:rsidR="00D22444">
        <w:t>s</w:t>
      </w:r>
      <w:r>
        <w:t xml:space="preserve"> for review by the Tribunal of certain aspects of the approach to determining the return on debt for further consideration by the Tribunal.</w:t>
      </w:r>
      <w:r w:rsidR="006F789C">
        <w:rPr>
          <w:rStyle w:val="FootnoteReference"/>
        </w:rPr>
        <w:footnoteReference w:id="25"/>
      </w:r>
      <w:r>
        <w:t xml:space="preserve"> The Tribunal has not </w:t>
      </w:r>
      <w:r w:rsidR="0074257E">
        <w:t xml:space="preserve">yet </w:t>
      </w:r>
      <w:r>
        <w:t xml:space="preserve">handed down its decision on those issues.  </w:t>
      </w:r>
    </w:p>
    <w:p w:rsidR="0074257E" w:rsidRDefault="0074257E" w:rsidP="00CC7A1C">
      <w:pPr>
        <w:numPr>
          <w:ilvl w:val="0"/>
          <w:numId w:val="24"/>
        </w:numPr>
      </w:pPr>
      <w:r>
        <w:t>In relation to the choice of data series</w:t>
      </w:r>
      <w:r w:rsidR="009D0037">
        <w:t xml:space="preserve"> we note that in </w:t>
      </w:r>
      <w:r w:rsidR="009D0037" w:rsidRPr="00235F75">
        <w:t xml:space="preserve">the </w:t>
      </w:r>
      <w:r w:rsidR="009D0037">
        <w:t>Guideline</w:t>
      </w:r>
      <w:r w:rsidR="009D0037" w:rsidRPr="00235F75">
        <w:t xml:space="preserve"> </w:t>
      </w:r>
      <w:r w:rsidR="00351675" w:rsidRPr="00235F75">
        <w:t>we proposed to use one or more third party data series to estimate the return on debt.</w:t>
      </w:r>
      <w:r w:rsidR="00351675" w:rsidRPr="00135F86">
        <w:rPr>
          <w:rStyle w:val="FootnoteReference"/>
        </w:rPr>
        <w:footnoteReference w:id="26"/>
      </w:r>
      <w:r w:rsidR="00351675" w:rsidRPr="00235F75">
        <w:t xml:space="preserve"> </w:t>
      </w:r>
      <w:r w:rsidR="00351675">
        <w:t>A</w:t>
      </w:r>
      <w:r w:rsidR="00351675" w:rsidRPr="00235F75">
        <w:t>t that time</w:t>
      </w:r>
      <w:r w:rsidR="00351675">
        <w:t>, however,</w:t>
      </w:r>
      <w:r w:rsidR="00351675" w:rsidRPr="00235F75">
        <w:t xml:space="preserve"> we had not formed a view on which data series to use. </w:t>
      </w:r>
      <w:r w:rsidR="00351675">
        <w:t>Our</w:t>
      </w:r>
      <w:r w:rsidR="00351675" w:rsidRPr="00235F75">
        <w:t xml:space="preserve"> April 2014 issues paper </w:t>
      </w:r>
      <w:r w:rsidR="00351675">
        <w:t>outlined how we would make</w:t>
      </w:r>
      <w:r w:rsidR="00351675" w:rsidRPr="00235F75">
        <w:t xml:space="preserve"> this choice and sought submissions from service providers.</w:t>
      </w:r>
      <w:r w:rsidR="00351675">
        <w:rPr>
          <w:rStyle w:val="FootnoteReference"/>
        </w:rPr>
        <w:footnoteReference w:id="27"/>
      </w:r>
      <w:r w:rsidR="00351675" w:rsidRPr="00235F75">
        <w:t xml:space="preserve"> </w:t>
      </w:r>
      <w:r w:rsidR="00C71E6B">
        <w:t>As noted above, w</w:t>
      </w:r>
      <w:r w:rsidR="00E10E75">
        <w:t xml:space="preserve">e </w:t>
      </w:r>
      <w:r w:rsidR="00351675">
        <w:t>adopted a simple average of the RBA and Bloomberg data series</w:t>
      </w:r>
      <w:r w:rsidR="00C71E6B">
        <w:t xml:space="preserve"> and our choice was affirmed by the Tribunal. </w:t>
      </w:r>
      <w:r w:rsidR="00351675">
        <w:t xml:space="preserve">Since then, </w:t>
      </w:r>
      <w:r>
        <w:t xml:space="preserve">however, </w:t>
      </w:r>
      <w:r w:rsidR="00E10E75">
        <w:t>some</w:t>
      </w:r>
      <w:r w:rsidR="00E10E75" w:rsidRPr="002E41F8">
        <w:t xml:space="preserve"> </w:t>
      </w:r>
      <w:r w:rsidR="00351675" w:rsidRPr="002E41F8">
        <w:t xml:space="preserve">service providers </w:t>
      </w:r>
      <w:r>
        <w:t xml:space="preserve">have proposed </w:t>
      </w:r>
      <w:r w:rsidR="00E10E75">
        <w:t>making use of the</w:t>
      </w:r>
      <w:r w:rsidR="00351675" w:rsidRPr="002E41F8">
        <w:t xml:space="preserve"> Thomson Reuters 10 year yield curve in addition to or in place of </w:t>
      </w:r>
      <w:r w:rsidR="00351675">
        <w:t xml:space="preserve">the </w:t>
      </w:r>
      <w:r w:rsidR="00351675" w:rsidRPr="002E41F8">
        <w:t xml:space="preserve">Bloomberg </w:t>
      </w:r>
      <w:r w:rsidR="00351675">
        <w:t>data series</w:t>
      </w:r>
      <w:r w:rsidR="00351675" w:rsidRPr="002E41F8">
        <w:t>.</w:t>
      </w:r>
      <w:r w:rsidR="00615485">
        <w:rPr>
          <w:rStyle w:val="FootnoteReference"/>
        </w:rPr>
        <w:footnoteReference w:id="28"/>
      </w:r>
      <w:r w:rsidR="00351675" w:rsidRPr="002E41F8">
        <w:t xml:space="preserve"> </w:t>
      </w:r>
      <w:r w:rsidR="00351675">
        <w:t xml:space="preserve">We have considered these proposals but maintain our position </w:t>
      </w:r>
      <w:r w:rsidR="00E10E75">
        <w:t xml:space="preserve">of using a simple average of the Bloomberg and RBA curves </w:t>
      </w:r>
      <w:r w:rsidR="00351675">
        <w:t>for reasons discussed in section</w:t>
      </w:r>
      <w:r w:rsidR="00956D15">
        <w:t xml:space="preserve"> </w:t>
      </w:r>
      <w:r w:rsidR="00956D15">
        <w:rPr>
          <w:b/>
          <w:bCs/>
          <w:lang w:val="en-US"/>
        </w:rPr>
        <w:fldChar w:fldCharType="begin"/>
      </w:r>
      <w:r w:rsidR="00956D15">
        <w:instrText xml:space="preserve"> REF _Ref478718271 \r \h </w:instrText>
      </w:r>
      <w:r w:rsidR="00956D15">
        <w:rPr>
          <w:b/>
          <w:bCs/>
          <w:lang w:val="en-US"/>
        </w:rPr>
      </w:r>
      <w:r w:rsidR="00956D15">
        <w:rPr>
          <w:b/>
          <w:bCs/>
          <w:lang w:val="en-US"/>
        </w:rPr>
        <w:fldChar w:fldCharType="separate"/>
      </w:r>
      <w:r w:rsidR="00C6448C">
        <w:t>3.4.2</w:t>
      </w:r>
      <w:r w:rsidR="00956D15">
        <w:rPr>
          <w:b/>
          <w:bCs/>
          <w:lang w:val="en-US"/>
        </w:rPr>
        <w:fldChar w:fldCharType="end"/>
      </w:r>
      <w:r w:rsidR="00351675">
        <w:t>.</w:t>
      </w:r>
    </w:p>
    <w:p w:rsidR="0074257E" w:rsidRDefault="0074257E" w:rsidP="0074257E">
      <w:r>
        <w:t xml:space="preserve">Our formula for automatically updating </w:t>
      </w:r>
      <w:r w:rsidRPr="00C6581F">
        <w:t>the return on debt</w:t>
      </w:r>
      <w:r w:rsidRPr="006C2A62">
        <w:t xml:space="preserve"> </w:t>
      </w:r>
      <w:r>
        <w:t xml:space="preserve">annually is set out in </w:t>
      </w:r>
      <w:r w:rsidRPr="009114E9">
        <w:rPr>
          <w:rStyle w:val="AERbody"/>
        </w:rPr>
        <w:t xml:space="preserve">Appendix </w:t>
      </w:r>
      <w:r>
        <w:rPr>
          <w:rStyle w:val="AERbody"/>
        </w:rPr>
        <w:t xml:space="preserve">H </w:t>
      </w:r>
      <w:r w:rsidRPr="009114E9">
        <w:rPr>
          <w:rStyle w:val="AERbody"/>
        </w:rPr>
        <w:t>of</w:t>
      </w:r>
      <w:r>
        <w:t xml:space="preserve"> this decision.</w:t>
      </w:r>
    </w:p>
    <w:p w:rsidR="00BC2F8E" w:rsidRPr="00874B16" w:rsidRDefault="00B039D3" w:rsidP="00351675">
      <w:r>
        <w:t>We note that in this decision, we have considered and responded to relevant submissions and issues raised in relation to past regulatory determination processes, and concurrent determination processes for</w:t>
      </w:r>
      <w:r w:rsidR="007A451A">
        <w:t>AusNet Service</w:t>
      </w:r>
      <w:r>
        <w:t xml:space="preserve">s' </w:t>
      </w:r>
      <w:r w:rsidR="007A451A">
        <w:t>transmission</w:t>
      </w:r>
      <w:r>
        <w:t xml:space="preserve"> services and Powerlink's transmission services revenue proposals. </w:t>
      </w:r>
      <w:r w:rsidR="00101608">
        <w:t xml:space="preserve"> </w:t>
      </w:r>
    </w:p>
    <w:p w:rsidR="00351675" w:rsidRPr="001754EE" w:rsidRDefault="00232F6B" w:rsidP="00351675">
      <w:pPr>
        <w:pStyle w:val="Heading2"/>
      </w:pPr>
      <w:bookmarkStart w:id="17" w:name="_Toc481057058"/>
      <w:r>
        <w:t>TasNetworks'</w:t>
      </w:r>
      <w:r w:rsidR="00351675">
        <w:t xml:space="preserve"> revised</w:t>
      </w:r>
      <w:r w:rsidR="00351675" w:rsidRPr="001754EE">
        <w:t xml:space="preserve"> proposal</w:t>
      </w:r>
      <w:bookmarkEnd w:id="14"/>
      <w:bookmarkEnd w:id="17"/>
    </w:p>
    <w:p w:rsidR="003D1D59" w:rsidRDefault="003D1D59" w:rsidP="003D1D59">
      <w:pPr>
        <w:pStyle w:val="HeadingBoldBlue"/>
      </w:pPr>
      <w:bookmarkStart w:id="18" w:name="_Toc451171515"/>
      <w:r>
        <w:t>Return on equity</w:t>
      </w:r>
    </w:p>
    <w:p w:rsidR="00232F6B" w:rsidRDefault="00232F6B" w:rsidP="00232F6B">
      <w:pPr>
        <w:numPr>
          <w:ilvl w:val="0"/>
          <w:numId w:val="24"/>
        </w:numPr>
      </w:pPr>
      <w:r>
        <w:t>TasNetworks maintained its proposal to fully adopt the Guideline foundation model approach to estimate the return on equity in its revised proposal.</w:t>
      </w:r>
      <w:r>
        <w:rPr>
          <w:rStyle w:val="FootnoteReference"/>
        </w:rPr>
        <w:footnoteReference w:id="29"/>
      </w:r>
      <w:r>
        <w:t xml:space="preserve"> That is, it adopted the use of the Sharpe-Lintner CAPM as the foundation model, an equity beta of 0.7, a market risk premium of 0.7 and the Guideline approach to estimate the risk free rate.</w:t>
      </w:r>
    </w:p>
    <w:p w:rsidR="00232F6B" w:rsidRDefault="00232F6B" w:rsidP="00232F6B">
      <w:pPr>
        <w:numPr>
          <w:ilvl w:val="0"/>
          <w:numId w:val="24"/>
        </w:numPr>
      </w:pPr>
      <w:r>
        <w:t>TasNetworks accepted our draft decision's placeholder return on equity of 6.5 per cent and agreed that the final return on equity may change in the final decision due to prevailing market conditions and averaging periods for the risk-free rate.</w:t>
      </w:r>
      <w:r>
        <w:rPr>
          <w:rStyle w:val="FootnoteReference"/>
        </w:rPr>
        <w:footnoteReference w:id="30"/>
      </w:r>
    </w:p>
    <w:p w:rsidR="00351675" w:rsidRDefault="00351675" w:rsidP="00CC7A1C">
      <w:pPr>
        <w:pStyle w:val="HeadingBoldBlue"/>
        <w:numPr>
          <w:ilvl w:val="0"/>
          <w:numId w:val="24"/>
        </w:numPr>
      </w:pPr>
      <w:r>
        <w:t>Return on debt</w:t>
      </w:r>
    </w:p>
    <w:p w:rsidR="004926A0" w:rsidRPr="004926A0" w:rsidRDefault="004926A0" w:rsidP="004926A0">
      <w:pPr>
        <w:pStyle w:val="ListParagraph"/>
        <w:numPr>
          <w:ilvl w:val="0"/>
          <w:numId w:val="24"/>
        </w:numPr>
      </w:pPr>
      <w:r>
        <w:t>TasNetworks</w:t>
      </w:r>
      <w:r w:rsidRPr="004926A0">
        <w:t xml:space="preserve"> maintained its proposal to fully adopt the Guideline approach to estimate the return on debt in its revised </w:t>
      </w:r>
      <w:r w:rsidR="00DF0600" w:rsidRPr="004926A0">
        <w:t>proposal</w:t>
      </w:r>
      <w:r w:rsidRPr="004926A0">
        <w:t>.</w:t>
      </w:r>
      <w:r w:rsidRPr="004926A0">
        <w:rPr>
          <w:rStyle w:val="FootnoteReference"/>
        </w:rPr>
        <w:footnoteReference w:id="31"/>
      </w:r>
      <w:r w:rsidRPr="004926A0">
        <w:t xml:space="preserve"> It also maintained its proposal to use an equally weighted average of the yields calculated from data obtained from Bloomberg and the RBA in its revised proposal.</w:t>
      </w:r>
      <w:r w:rsidRPr="004926A0">
        <w:rPr>
          <w:rStyle w:val="FootnoteReference"/>
        </w:rPr>
        <w:footnoteReference w:id="32"/>
      </w:r>
      <w:r w:rsidRPr="004926A0">
        <w:t xml:space="preserve">  </w:t>
      </w:r>
    </w:p>
    <w:p w:rsidR="00DE563D" w:rsidRDefault="00DE563D" w:rsidP="00351675">
      <w:pPr>
        <w:pStyle w:val="Heading2"/>
      </w:pPr>
      <w:bookmarkStart w:id="19" w:name="_Toc481057059"/>
      <w:bookmarkEnd w:id="18"/>
      <w:r w:rsidRPr="001754EE">
        <w:t>AER’s</w:t>
      </w:r>
      <w:r>
        <w:t xml:space="preserve"> assessment approach</w:t>
      </w:r>
      <w:bookmarkEnd w:id="11"/>
      <w:bookmarkEnd w:id="19"/>
    </w:p>
    <w:p w:rsidR="00F90257" w:rsidRDefault="00F90257" w:rsidP="00CC7A1C">
      <w:pPr>
        <w:numPr>
          <w:ilvl w:val="0"/>
          <w:numId w:val="24"/>
        </w:numPr>
      </w:pPr>
      <w:r>
        <w:t>The National Electricity Law/National Gas Law (NEL/NGL) and rules (NER/NGR) form our framework for determining the rate of return. The key components of this framework include:</w:t>
      </w:r>
    </w:p>
    <w:p w:rsidR="00F90257" w:rsidRDefault="00F90257" w:rsidP="00F90257">
      <w:pPr>
        <w:pStyle w:val="AERbulletlistfirststyle"/>
      </w:pPr>
      <w:r>
        <w:t>national electricity/gas objective (NEO/NGO) and the RPPs in the</w:t>
      </w:r>
      <w:r w:rsidRPr="004919CC">
        <w:t xml:space="preserve"> </w:t>
      </w:r>
      <w:r>
        <w:t>NEL/NGL</w:t>
      </w:r>
    </w:p>
    <w:p w:rsidR="00F90257" w:rsidRDefault="00F90257" w:rsidP="00F90257">
      <w:pPr>
        <w:pStyle w:val="AERbulletlistfirststyle"/>
      </w:pPr>
      <w:r>
        <w:t>the overall rate of return</w:t>
      </w:r>
      <w:r w:rsidRPr="003337B3">
        <w:t>―</w:t>
      </w:r>
      <w:r>
        <w:t>consisting of the allowed return on equity and debt</w:t>
      </w:r>
    </w:p>
    <w:p w:rsidR="00F90257" w:rsidRDefault="00F90257" w:rsidP="00F90257">
      <w:pPr>
        <w:pStyle w:val="AERbulletlistfirststyle"/>
      </w:pPr>
      <w:r>
        <w:t>the ARORO and its elements</w:t>
      </w:r>
    </w:p>
    <w:p w:rsidR="00F90257" w:rsidRDefault="00F90257" w:rsidP="00F90257">
      <w:pPr>
        <w:pStyle w:val="AERbulletlistfirststyle"/>
      </w:pPr>
      <w:r>
        <w:t>return on debt factors</w:t>
      </w:r>
    </w:p>
    <w:p w:rsidR="00F90257" w:rsidRDefault="00F90257" w:rsidP="00F90257">
      <w:pPr>
        <w:pStyle w:val="AERbulletlistfirststyle"/>
      </w:pPr>
      <w:r>
        <w:t>considering i</w:t>
      </w:r>
      <w:r w:rsidRPr="009A2092">
        <w:t>nterrelationships within the rate of return</w:t>
      </w:r>
    </w:p>
    <w:p w:rsidR="00F90257" w:rsidRPr="00A77770" w:rsidRDefault="00F90257" w:rsidP="00F90257">
      <w:pPr>
        <w:pStyle w:val="AERbulletlistfirststyle"/>
      </w:pPr>
      <w:r>
        <w:t xml:space="preserve">use of the </w:t>
      </w:r>
      <w:r w:rsidRPr="00A77770">
        <w:t xml:space="preserve">Guideline </w:t>
      </w:r>
    </w:p>
    <w:p w:rsidR="00F90257" w:rsidRDefault="00F90257" w:rsidP="00F90257">
      <w:pPr>
        <w:pStyle w:val="AERbulletlistfirststyle"/>
      </w:pPr>
      <w:r>
        <w:t>consideration of information before us.</w:t>
      </w:r>
    </w:p>
    <w:p w:rsidR="00F90257" w:rsidRPr="00F90257" w:rsidRDefault="00F90257" w:rsidP="00F90257">
      <w:pPr>
        <w:pStyle w:val="Heading3"/>
      </w:pPr>
      <w:bookmarkStart w:id="20" w:name="_Toc451171518"/>
      <w:bookmarkStart w:id="21" w:name="_Toc451947990"/>
      <w:r>
        <w:t>National electricity and gas laws</w:t>
      </w:r>
      <w:bookmarkEnd w:id="20"/>
      <w:bookmarkEnd w:id="21"/>
    </w:p>
    <w:p w:rsidR="00F90257" w:rsidRPr="00762AAF" w:rsidRDefault="00F90257" w:rsidP="00CC7A1C">
      <w:pPr>
        <w:numPr>
          <w:ilvl w:val="0"/>
          <w:numId w:val="24"/>
        </w:numPr>
      </w:pPr>
      <w:r w:rsidRPr="00762AAF">
        <w:t xml:space="preserve">In performing or exercising an economic regulatory function or power, we must do so in a manner that will or is likely to contribute to the </w:t>
      </w:r>
      <w:r>
        <w:t>NEO</w:t>
      </w:r>
      <w:r w:rsidRPr="00762AAF">
        <w:t>.</w:t>
      </w:r>
      <w:r w:rsidRPr="00762AAF">
        <w:rPr>
          <w:rStyle w:val="FootnoteReference"/>
        </w:rPr>
        <w:footnoteReference w:id="33"/>
      </w:r>
      <w:r w:rsidRPr="00762AAF">
        <w:t xml:space="preserve"> The </w:t>
      </w:r>
      <w:r>
        <w:t>NEO</w:t>
      </w:r>
      <w:r w:rsidRPr="00762AAF">
        <w:t xml:space="preserve"> states:</w:t>
      </w:r>
    </w:p>
    <w:p w:rsidR="00F90257" w:rsidRPr="00BF711B" w:rsidRDefault="00F90257" w:rsidP="00F90257">
      <w:pPr>
        <w:pStyle w:val="AERquote"/>
      </w:pPr>
      <w:r w:rsidRPr="00BF711B">
        <w:t>The objective of this Law is to promote efficient investment in, and efficient operation and use of, electricity services for the long term interests of consumers of electricity with respect to —</w:t>
      </w:r>
    </w:p>
    <w:p w:rsidR="00F90257" w:rsidRPr="00BF711B" w:rsidRDefault="00F90257" w:rsidP="00F90257">
      <w:pPr>
        <w:pStyle w:val="AERquote"/>
      </w:pPr>
      <w:r w:rsidRPr="00BF711B">
        <w:tab/>
        <w:t xml:space="preserve">(a) price, quality, safety, reliability and security of supply of electricity; </w:t>
      </w:r>
    </w:p>
    <w:p w:rsidR="00F90257" w:rsidRPr="00BF711B" w:rsidRDefault="00F90257" w:rsidP="00F90257">
      <w:pPr>
        <w:pStyle w:val="AERquote"/>
      </w:pPr>
      <w:r w:rsidRPr="00BF711B">
        <w:tab/>
        <w:t xml:space="preserve">(b) and the reliability, safety and security of the national electricity system. </w:t>
      </w:r>
    </w:p>
    <w:p w:rsidR="00F90257" w:rsidRDefault="00F90257" w:rsidP="00CC7A1C">
      <w:pPr>
        <w:numPr>
          <w:ilvl w:val="0"/>
          <w:numId w:val="24"/>
        </w:numPr>
      </w:pPr>
      <w:r>
        <w:t>When we make a</w:t>
      </w:r>
      <w:r w:rsidRPr="00762AAF">
        <w:t xml:space="preserve"> distribution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F90257" w:rsidRPr="00762AAF" w:rsidRDefault="00F90257" w:rsidP="00CC7A1C">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34"/>
      </w:r>
      <w:r w:rsidRPr="00762AAF">
        <w:t xml:space="preserve"> In the context of the rate of return decision, we take particular account of the following </w:t>
      </w:r>
      <w:r>
        <w:t>RPPs</w:t>
      </w:r>
      <w:r w:rsidRPr="00762AAF">
        <w:t xml:space="preserve">: </w:t>
      </w:r>
    </w:p>
    <w:p w:rsidR="00F90257" w:rsidRPr="00762AAF" w:rsidRDefault="00F90257" w:rsidP="00F90257">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35"/>
      </w:r>
    </w:p>
    <w:p w:rsidR="00F90257" w:rsidRPr="00762AAF" w:rsidRDefault="00F90257" w:rsidP="00F90257">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36"/>
      </w:r>
      <w:r w:rsidRPr="00762AAF">
        <w:rPr>
          <w:rStyle w:val="FootnoteReference"/>
        </w:rPr>
        <w:t xml:space="preserve"> </w:t>
      </w:r>
    </w:p>
    <w:p w:rsidR="00F90257" w:rsidRPr="00762AAF" w:rsidRDefault="00F90257" w:rsidP="00F90257">
      <w:pPr>
        <w:pStyle w:val="AERbulletlistfirststyle"/>
      </w:pPr>
      <w:r w:rsidRPr="00762AAF">
        <w:t xml:space="preserve">A price or charge should allow for a return that matches the regulatory and commercial risks </w:t>
      </w:r>
      <w:r>
        <w:t>involved in</w:t>
      </w:r>
      <w:r w:rsidRPr="00762AAF">
        <w:t xml:space="preserve"> providing the regulated service </w:t>
      </w:r>
      <w:r>
        <w:t>to which that</w:t>
      </w:r>
      <w:r w:rsidRPr="00762AAF">
        <w:t xml:space="preserve"> charge relates.</w:t>
      </w:r>
      <w:r w:rsidRPr="00762AAF">
        <w:rPr>
          <w:rStyle w:val="FootnoteReference"/>
        </w:rPr>
        <w:footnoteReference w:id="37"/>
      </w:r>
    </w:p>
    <w:p w:rsidR="00F90257" w:rsidRPr="00762AAF" w:rsidRDefault="00F90257" w:rsidP="00F90257">
      <w:pPr>
        <w:pStyle w:val="AERbulletlistfirststyle"/>
      </w:pPr>
      <w:r w:rsidRPr="00762AAF">
        <w:t>The economic costs and risks of the potential for under or over investment by a service provider in a distribution or transmission system that the service provider uses to provide regulated network services.</w:t>
      </w:r>
      <w:r w:rsidRPr="00762AAF">
        <w:rPr>
          <w:rStyle w:val="FootnoteReference"/>
        </w:rPr>
        <w:footnoteReference w:id="38"/>
      </w:r>
      <w:r w:rsidRPr="00762AAF">
        <w:t xml:space="preserve"> </w:t>
      </w:r>
    </w:p>
    <w:p w:rsidR="00F90257" w:rsidRDefault="00F90257" w:rsidP="00F90257">
      <w:pPr>
        <w:pStyle w:val="AERbulletlistfirststyle"/>
      </w:pPr>
      <w:r w:rsidRPr="00762AAF">
        <w:t>The economic costs and risks of the potential for under or over utilisation of a distribution or transmission system that the service provider uses to provide regulated network services.</w:t>
      </w:r>
      <w:r w:rsidRPr="00762AAF">
        <w:rPr>
          <w:rStyle w:val="FootnoteReference"/>
        </w:rPr>
        <w:footnoteReference w:id="39"/>
      </w:r>
      <w:r w:rsidRPr="00762AAF">
        <w:t xml:space="preserve"> </w:t>
      </w:r>
    </w:p>
    <w:p w:rsidR="00F90257" w:rsidRPr="00F90257" w:rsidRDefault="00F90257" w:rsidP="00F90257">
      <w:pPr>
        <w:pStyle w:val="Heading3"/>
      </w:pPr>
      <w:bookmarkStart w:id="22" w:name="_Toc451171519"/>
      <w:bookmarkStart w:id="23" w:name="_Toc451947991"/>
      <w:r>
        <w:t>The overall rate of return</w:t>
      </w:r>
      <w:bookmarkEnd w:id="22"/>
      <w:bookmarkEnd w:id="23"/>
    </w:p>
    <w:p w:rsidR="00F90257" w:rsidRDefault="00D369E5" w:rsidP="00CC7A1C">
      <w:pPr>
        <w:numPr>
          <w:ilvl w:val="0"/>
          <w:numId w:val="24"/>
        </w:numPr>
      </w:pPr>
      <w:r>
        <w:t>We</w:t>
      </w:r>
      <w:r w:rsidR="00F90257">
        <w:t xml:space="preserve"> determine the</w:t>
      </w:r>
      <w:r w:rsidR="00F90257" w:rsidRPr="003248EB">
        <w:t xml:space="preserve"> allowed rate of return for a regulatory year </w:t>
      </w:r>
      <w:r w:rsidR="00F90257">
        <w:t xml:space="preserve">as </w:t>
      </w:r>
      <w:r w:rsidR="00F90257" w:rsidRPr="003248EB">
        <w:t xml:space="preserve">a weighted average of the return on equity for the </w:t>
      </w:r>
      <w:r w:rsidR="00F90257">
        <w:t xml:space="preserve">regulatory control period </w:t>
      </w:r>
      <w:r w:rsidR="00F90257" w:rsidRPr="003248EB">
        <w:t>in which that regulatory year occurs and the return o</w:t>
      </w:r>
      <w:r w:rsidR="00F90257">
        <w:t>n debt for that regulatory year. This must be determined on a nominal vanilla basis that is consistent with the estimate of the value of imputation credits.</w:t>
      </w:r>
      <w:r w:rsidR="00F90257" w:rsidRPr="00D5405B">
        <w:rPr>
          <w:rStyle w:val="FootnoteReference"/>
        </w:rPr>
        <w:footnoteReference w:id="40"/>
      </w:r>
      <w:r w:rsidR="00F90257">
        <w:t xml:space="preserve"> </w:t>
      </w:r>
      <w:r w:rsidR="00F90257" w:rsidRPr="00E75E61">
        <w:t xml:space="preserve">In </w:t>
      </w:r>
      <w:r w:rsidR="00F90257">
        <w:t>determining</w:t>
      </w:r>
      <w:r w:rsidR="00F90257" w:rsidRPr="00E75E61">
        <w:t xml:space="preserve"> the allowed rate of return, </w:t>
      </w:r>
      <w:r w:rsidR="00F90257">
        <w:t xml:space="preserve">we must have regard to </w:t>
      </w:r>
      <w:r w:rsidR="00F90257" w:rsidRPr="00E75E61">
        <w:t>the desirability of consistent application of financi</w:t>
      </w:r>
      <w:r w:rsidR="00F90257">
        <w:t xml:space="preserve">al parameters that are relevant </w:t>
      </w:r>
      <w:r>
        <w:t xml:space="preserve">and </w:t>
      </w:r>
      <w:r w:rsidR="00F90257">
        <w:t>common to</w:t>
      </w:r>
      <w:r w:rsidR="00F90257" w:rsidRPr="00E75E61">
        <w:t xml:space="preserve"> the return on equity and debt</w:t>
      </w:r>
      <w:r w:rsidR="00F90257">
        <w:t>.</w:t>
      </w:r>
      <w:r w:rsidR="00F90257">
        <w:rPr>
          <w:rStyle w:val="FootnoteReference"/>
        </w:rPr>
        <w:footnoteReference w:id="41"/>
      </w:r>
    </w:p>
    <w:p w:rsidR="00F90257" w:rsidRDefault="00F90257" w:rsidP="00CC7A1C">
      <w:pPr>
        <w:numPr>
          <w:ilvl w:val="0"/>
          <w:numId w:val="24"/>
        </w:numPr>
      </w:pPr>
      <w:r>
        <w:t>The rules require that we estimate the return on equity</w:t>
      </w:r>
      <w:r w:rsidRPr="00D14E31">
        <w:t xml:space="preserve"> for a regulatory</w:t>
      </w:r>
      <w:r>
        <w:t xml:space="preserve"> control</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42"/>
      </w:r>
    </w:p>
    <w:p w:rsidR="00F90257" w:rsidRPr="00762AAF" w:rsidRDefault="00F90257" w:rsidP="00CC7A1C">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43"/>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44"/>
      </w:r>
      <w:r>
        <w:t xml:space="preserve"> </w:t>
      </w:r>
      <w:r w:rsidRPr="00762AAF">
        <w:t>In estimating the return on debt we have regard to the following factors:</w:t>
      </w:r>
    </w:p>
    <w:p w:rsidR="00F90257" w:rsidRPr="00762AAF" w:rsidRDefault="00F90257" w:rsidP="00F90257">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F90257" w:rsidRPr="00762AAF" w:rsidRDefault="00F90257" w:rsidP="00F90257">
      <w:pPr>
        <w:pStyle w:val="AERbulletlistfirststyle"/>
      </w:pPr>
      <w:r>
        <w:t>t</w:t>
      </w:r>
      <w:r w:rsidRPr="00762AAF">
        <w:t>he interrelationship between the return on equity and the return on debt</w:t>
      </w:r>
      <w:r>
        <w:t>.</w:t>
      </w:r>
    </w:p>
    <w:p w:rsidR="00F90257" w:rsidRPr="00762AAF" w:rsidRDefault="00F90257" w:rsidP="00F90257">
      <w:pPr>
        <w:pStyle w:val="AERbulletlistfirststyle"/>
      </w:pPr>
      <w:r>
        <w:t>t</w:t>
      </w:r>
      <w:r w:rsidRPr="00762AAF">
        <w:t>he incentive</w:t>
      </w:r>
      <w:r w:rsidR="00D369E5">
        <w:t>s</w:t>
      </w:r>
      <w:r w:rsidRPr="00762AAF">
        <w:t xml:space="preserve"> that the return on debt may provide in relation to capital expenditure over the regulatory control period, including as to the timing of capital expenditure</w:t>
      </w:r>
      <w:r>
        <w:t>.</w:t>
      </w:r>
    </w:p>
    <w:p w:rsidR="00F90257" w:rsidRPr="00796C00" w:rsidRDefault="00F90257" w:rsidP="00F90257">
      <w:pPr>
        <w:pStyle w:val="AERbulletlistfirststyle"/>
      </w:pPr>
      <w:r>
        <w:t>a</w:t>
      </w:r>
      <w:r w:rsidRPr="00762AAF">
        <w:t>ny impacts (including in relation to the costs of servicing debt across regulatory control periods) on a benchmark efficient en</w:t>
      </w:r>
      <w:r>
        <w:t>tity referred to in the ARORO</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45"/>
      </w:r>
      <w:r w:rsidRPr="00762AAF">
        <w:t xml:space="preserve"> </w:t>
      </w:r>
    </w:p>
    <w:p w:rsidR="00F90257" w:rsidRPr="00F90257" w:rsidRDefault="00F90257" w:rsidP="00F90257">
      <w:pPr>
        <w:pStyle w:val="Heading3"/>
      </w:pPr>
      <w:bookmarkStart w:id="24" w:name="_Toc451171520"/>
      <w:bookmarkStart w:id="25" w:name="_Ref451345117"/>
      <w:bookmarkStart w:id="26" w:name="_Ref451541367"/>
      <w:bookmarkStart w:id="27" w:name="_Ref451542323"/>
      <w:bookmarkStart w:id="28" w:name="_Ref451730547"/>
      <w:bookmarkStart w:id="29" w:name="_Toc451947992"/>
      <w:bookmarkStart w:id="30" w:name="_Ref479168317"/>
      <w:bookmarkStart w:id="31" w:name="_Ref479168847"/>
      <w:r w:rsidRPr="00BB2CB7">
        <w:t>Allowed rate of return objective</w:t>
      </w:r>
      <w:bookmarkEnd w:id="24"/>
      <w:bookmarkEnd w:id="25"/>
      <w:bookmarkEnd w:id="26"/>
      <w:bookmarkEnd w:id="27"/>
      <w:bookmarkEnd w:id="28"/>
      <w:bookmarkEnd w:id="29"/>
      <w:bookmarkEnd w:id="30"/>
      <w:bookmarkEnd w:id="31"/>
    </w:p>
    <w:p w:rsidR="00F90257" w:rsidRPr="005100A9" w:rsidRDefault="00F90257" w:rsidP="00CC7A1C">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6"/>
      </w:r>
    </w:p>
    <w:p w:rsidR="00F90257" w:rsidRDefault="00F90257" w:rsidP="00F90257">
      <w:pPr>
        <w:pStyle w:val="AERquote"/>
      </w:pPr>
      <w:r w:rsidRPr="005100A9">
        <w:t xml:space="preserve">…that the rate of return for a </w:t>
      </w:r>
      <w:r w:rsidR="00763E2F">
        <w:t xml:space="preserve">transmission </w:t>
      </w:r>
      <w:r>
        <w:t>network service provider</w:t>
      </w:r>
      <w:r w:rsidRPr="005100A9">
        <w:t xml:space="preserve"> is to be commensurate with the efficient financing costs of a benchmark efficient entity with a similar degree of ris</w:t>
      </w:r>
      <w:r>
        <w:t xml:space="preserve">k as that which applies to the </w:t>
      </w:r>
      <w:r w:rsidR="00763E2F">
        <w:t xml:space="preserve">transmission </w:t>
      </w:r>
      <w:r>
        <w:t xml:space="preserve">network </w:t>
      </w:r>
      <w:r w:rsidRPr="005100A9">
        <w:t>service</w:t>
      </w:r>
      <w:r>
        <w:t xml:space="preserve"> provider</w:t>
      </w:r>
      <w:r w:rsidRPr="005100A9">
        <w:t xml:space="preserve"> in respect of the provision of </w:t>
      </w:r>
      <w:r w:rsidR="00763E2F">
        <w:t>prescribed transmission services</w:t>
      </w:r>
      <w:r w:rsidRPr="005100A9">
        <w:t>.</w:t>
      </w:r>
    </w:p>
    <w:p w:rsidR="00F90257" w:rsidRDefault="00F90257" w:rsidP="00F90257">
      <w:r w:rsidRPr="00F21B32">
        <w:t>The regulat</w:t>
      </w:r>
      <w:r>
        <w:t>ory regime is an ex-ante (forward looking) regime.</w:t>
      </w:r>
      <w:r>
        <w:rPr>
          <w:rStyle w:val="FootnoteReference"/>
        </w:rPr>
        <w:footnoteReference w:id="47"/>
      </w:r>
      <w:r>
        <w:t xml:space="preserve"> As such, we consider a </w:t>
      </w:r>
      <w:r w:rsidRPr="00723710">
        <w:t>rate of return that meets the ARORO must provide ex-ante compensation for efficient financing costs.</w:t>
      </w:r>
      <w:r>
        <w:rPr>
          <w:rStyle w:val="FootnoteReference"/>
        </w:rPr>
        <w:footnoteReference w:id="48"/>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49"/>
      </w:r>
      <w:r>
        <w:t xml:space="preserve"> </w:t>
      </w:r>
    </w:p>
    <w:p w:rsidR="00F90257" w:rsidRDefault="00F90257" w:rsidP="00F90257">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F90257" w:rsidRDefault="00F90257" w:rsidP="00F90257">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50"/>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51"/>
      </w:r>
      <w:r>
        <w:t xml:space="preserve"> </w:t>
      </w:r>
    </w:p>
    <w:p w:rsidR="00E20018" w:rsidRDefault="00E20018" w:rsidP="00E20018">
      <w:pPr>
        <w:pStyle w:val="HeadingBoldBlue"/>
      </w:pPr>
      <w:bookmarkStart w:id="32" w:name="_Toc450922714"/>
      <w:r>
        <w:t>Elements of the ARORO—efficient financing costs</w:t>
      </w:r>
      <w:bookmarkEnd w:id="32"/>
    </w:p>
    <w:p w:rsidR="00E20018" w:rsidRDefault="00E20018" w:rsidP="00E20018">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52"/>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53"/>
      </w:r>
    </w:p>
    <w:p w:rsidR="00E20018" w:rsidRDefault="00E20018" w:rsidP="00E20018">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54"/>
      </w:r>
      <w:r>
        <w:t xml:space="preserve"> Similarly, Partington and Satchell interpret efficient financing costs as the opportunity cost of capital, which is a market rate of return for assets with a given level of risk.</w:t>
      </w:r>
      <w:r>
        <w:rPr>
          <w:rStyle w:val="FootnoteReference"/>
        </w:rPr>
        <w:footnoteReference w:id="55"/>
      </w:r>
      <w:r>
        <w:t xml:space="preserve"> </w:t>
      </w:r>
    </w:p>
    <w:p w:rsidR="00E20018" w:rsidRDefault="00E20018" w:rsidP="00E20018">
      <w:pPr>
        <w:pStyle w:val="HeadingBoldBlue"/>
      </w:pPr>
      <w:bookmarkStart w:id="33" w:name="_Toc450922715"/>
      <w:r>
        <w:t>Elements of the ARORO—benchmark efficient entity</w:t>
      </w:r>
      <w:bookmarkEnd w:id="33"/>
    </w:p>
    <w:p w:rsidR="00E20018" w:rsidRDefault="00E20018" w:rsidP="00CC7A1C">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Pr>
          <w:rStyle w:val="AERtextitalic"/>
        </w:rPr>
        <w:t>prescribed transmission</w:t>
      </w:r>
      <w:r w:rsidRPr="00D85725">
        <w:rPr>
          <w:rStyle w:val="AERtextitalic"/>
        </w:rPr>
        <w:t xml:space="preserve"> services</w:t>
      </w:r>
      <w:r>
        <w:t>. Given this, three important concepts to consider are: 'risk', 'similar' and 'prescribed transmission services'. Having understood these concepts, we can better understand a benchmark efficient entity to give effect to the ARORO.</w:t>
      </w:r>
    </w:p>
    <w:p w:rsidR="00E20018" w:rsidRPr="00E76063" w:rsidRDefault="00E20018" w:rsidP="00E20018">
      <w:pPr>
        <w:pStyle w:val="HeadingBoldItalic"/>
      </w:pPr>
      <w:r>
        <w:t>'</w:t>
      </w:r>
      <w:r w:rsidRPr="00E76063">
        <w:t>Risk</w:t>
      </w:r>
      <w:r>
        <w:t>'</w:t>
      </w:r>
    </w:p>
    <w:p w:rsidR="00E20018" w:rsidRDefault="00E20018" w:rsidP="00CC7A1C">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6"/>
      </w:r>
      <w:r>
        <w:t xml:space="preserve"> It is strictly a </w:t>
      </w:r>
      <w:r w:rsidRPr="00855447">
        <w:t>forward looking concept</w:t>
      </w:r>
      <w:r>
        <w:t xml:space="preserve"> as no event is uncertain after it has occurred. </w:t>
      </w:r>
    </w:p>
    <w:p w:rsidR="00E20018" w:rsidRDefault="00E20018" w:rsidP="00CC7A1C">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57"/>
      </w:r>
    </w:p>
    <w:p w:rsidR="00E20018" w:rsidRDefault="00E20018" w:rsidP="00E20018">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E20018" w:rsidRDefault="00E20018" w:rsidP="00E20018">
      <w:r>
        <w:t>Similarly, McKenzie and Partington advise:</w:t>
      </w:r>
      <w:r>
        <w:rPr>
          <w:rStyle w:val="FootnoteReference"/>
        </w:rPr>
        <w:footnoteReference w:id="58"/>
      </w:r>
    </w:p>
    <w:p w:rsidR="00E20018" w:rsidRPr="0039604A" w:rsidRDefault="00E20018" w:rsidP="00E20018">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E20018" w:rsidRDefault="00E20018" w:rsidP="00E20018">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fldChar w:fldCharType="begin"/>
      </w:r>
      <w:r>
        <w:instrText xml:space="preserve"> REF _Ref451345947 \r \h </w:instrText>
      </w:r>
      <w:r>
        <w:fldChar w:fldCharType="separate"/>
      </w:r>
      <w:r w:rsidR="00C6448C">
        <w:t>3.4.1</w:t>
      </w:r>
      <w:r>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59"/>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60"/>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61"/>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62"/>
      </w:r>
    </w:p>
    <w:p w:rsidR="00E20018" w:rsidRDefault="00E20018" w:rsidP="00E20018">
      <w:r>
        <w:t xml:space="preserve">As such, </w:t>
      </w:r>
      <w:r w:rsidRPr="00CF5809">
        <w:t xml:space="preserve">when looking at the risks of supplying </w:t>
      </w:r>
      <w:r>
        <w:t>prescribed transmission</w:t>
      </w:r>
      <w:r w:rsidRPr="00CF5809">
        <w:t xml:space="preserve">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63"/>
      </w:r>
      <w:r>
        <w:t xml:space="preserve">    </w:t>
      </w:r>
    </w:p>
    <w:p w:rsidR="00E20018" w:rsidRPr="00CF5809" w:rsidRDefault="00E20018" w:rsidP="00E20018">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xml:space="preserve">. This will reflect an ex-ante return that includes a risk premium over the risk free rate for bearing this level of compensable risk.   </w:t>
      </w:r>
    </w:p>
    <w:p w:rsidR="00E20018" w:rsidRPr="004F02FD" w:rsidRDefault="00E20018" w:rsidP="00E20018">
      <w:pPr>
        <w:pStyle w:val="HeadingBoldItalic"/>
      </w:pPr>
      <w:r w:rsidRPr="00E76063">
        <w:t>'</w:t>
      </w:r>
      <w:r w:rsidRPr="004F02FD">
        <w:t>Similar'</w:t>
      </w:r>
    </w:p>
    <w:p w:rsidR="00E20018" w:rsidRDefault="00E20018" w:rsidP="00E20018">
      <w:pPr>
        <w:rPr>
          <w:rStyle w:val="AERbody"/>
        </w:rPr>
      </w:pPr>
      <w:r>
        <w:t xml:space="preserve">A benchmark efficient entity </w:t>
      </w:r>
      <w:r w:rsidR="0080518E">
        <w:t>has</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64"/>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5"/>
      </w:r>
      <w:r>
        <w:t xml:space="preserve"> We concluded the compensable risks facing the different service providers</w:t>
      </w:r>
      <w:r>
        <w:rPr>
          <w:rStyle w:val="FootnoteReference"/>
        </w:rPr>
        <w:footnoteReference w:id="66"/>
      </w:r>
      <w:r>
        <w:t xml:space="preserve"> were 'similar' for the purposes of characterising a benchmark efficient entity.</w:t>
      </w:r>
      <w:r>
        <w:rPr>
          <w:rStyle w:val="FootnoteReference"/>
        </w:rPr>
        <w:footnoteReference w:id="67"/>
      </w:r>
      <w:r>
        <w:t xml:space="preserve"> For this analysis, see chapter three of the Guideline's explanatory statement.</w:t>
      </w:r>
      <w:r>
        <w:rPr>
          <w:rStyle w:val="FootnoteReference"/>
        </w:rPr>
        <w:footnoteReference w:id="68"/>
      </w:r>
    </w:p>
    <w:p w:rsidR="00E20018" w:rsidRDefault="00836286" w:rsidP="00E20018">
      <w:pPr>
        <w:pStyle w:val="HeadingBoldItalic"/>
        <w:rPr>
          <w:rStyle w:val="AERbody"/>
        </w:rPr>
      </w:pPr>
      <w:r>
        <w:rPr>
          <w:rStyle w:val="AERbody"/>
        </w:rPr>
        <w:t>Standard control</w:t>
      </w:r>
      <w:r w:rsidR="00E20018">
        <w:rPr>
          <w:rStyle w:val="AERbody"/>
        </w:rPr>
        <w:t xml:space="preserve"> </w:t>
      </w:r>
      <w:r w:rsidR="00E20018" w:rsidRPr="00785554">
        <w:rPr>
          <w:rStyle w:val="AERbody"/>
        </w:rPr>
        <w:t>services'</w:t>
      </w:r>
    </w:p>
    <w:p w:rsidR="00836286" w:rsidRPr="00785554" w:rsidRDefault="00836286" w:rsidP="00836286">
      <w:r>
        <w:t>T</w:t>
      </w:r>
      <w:r w:rsidRPr="00785554">
        <w:t xml:space="preserve">he allowed rate of return is to be commensurate with the efficient financing costs of a benchmark efficient entity with a similar degree of risk as that which applies to the service provider in respect to the provision of </w:t>
      </w:r>
      <w:r>
        <w:t>standard control</w:t>
      </w:r>
      <w:r w:rsidRPr="00785554">
        <w:t xml:space="preserve"> services.</w:t>
      </w:r>
      <w:r w:rsidRPr="00785554">
        <w:rPr>
          <w:rStyle w:val="FootnoteReference"/>
        </w:rPr>
        <w:footnoteReference w:id="69"/>
      </w:r>
      <w:r w:rsidRPr="00785554">
        <w:t xml:space="preserve"> As such, it is important to understand how the rules characterise '</w:t>
      </w:r>
      <w:r>
        <w:t>standard control</w:t>
      </w:r>
      <w:r w:rsidRPr="00785554">
        <w:t xml:space="preserve"> services'.</w:t>
      </w:r>
    </w:p>
    <w:p w:rsidR="00836286" w:rsidRDefault="00836286" w:rsidP="00836286">
      <w:r w:rsidRPr="005772E3">
        <w:rPr>
          <w:rStyle w:val="AERbody"/>
        </w:rPr>
        <w:t xml:space="preserve">The rules define </w:t>
      </w:r>
      <w:r>
        <w:rPr>
          <w:rStyle w:val="AERbody"/>
        </w:rPr>
        <w:t>standard control</w:t>
      </w:r>
      <w:r w:rsidRPr="005772E3">
        <w:rPr>
          <w:rStyle w:val="AERbody"/>
        </w:rPr>
        <w:t xml:space="preserve"> services as a </w:t>
      </w:r>
      <w:r>
        <w:rPr>
          <w:rStyle w:val="AERbody"/>
        </w:rPr>
        <w:t xml:space="preserve">direct control </w:t>
      </w:r>
      <w:r w:rsidRPr="005772E3">
        <w:rPr>
          <w:rStyle w:val="AERbody"/>
        </w:rPr>
        <w:t>service that is subject to a control mechanism based on a service</w:t>
      </w:r>
      <w:r>
        <w:t xml:space="preserve"> provider's</w:t>
      </w:r>
      <w:r w:rsidRPr="000466C9">
        <w:t xml:space="preserve"> total revenue requirement</w:t>
      </w:r>
      <w:r>
        <w:t>.</w:t>
      </w:r>
      <w:r>
        <w:rPr>
          <w:rStyle w:val="FootnoteReference"/>
        </w:rPr>
        <w:footnoteReference w:id="70"/>
      </w:r>
      <w:r>
        <w:t xml:space="preserve"> The rules define a direct control</w:t>
      </w:r>
      <w:r w:rsidRPr="000466C9">
        <w:t xml:space="preserve"> service</w:t>
      </w:r>
      <w:r>
        <w:t xml:space="preserve"> as </w:t>
      </w:r>
      <w:r w:rsidRPr="000466C9">
        <w:t xml:space="preserve">a direct control network service within the meaning of section 2B of the </w:t>
      </w:r>
      <w:r>
        <w:t>NEL.</w:t>
      </w:r>
      <w:r>
        <w:rPr>
          <w:rStyle w:val="FootnoteReference"/>
        </w:rPr>
        <w:footnoteReference w:id="71"/>
      </w:r>
      <w:r>
        <w:t xml:space="preserve"> The NEL then specifies (underline added):</w:t>
      </w:r>
      <w:r>
        <w:rPr>
          <w:rStyle w:val="FootnoteReference"/>
        </w:rPr>
        <w:footnoteReference w:id="72"/>
      </w:r>
    </w:p>
    <w:p w:rsidR="00836286" w:rsidRPr="003C2B73" w:rsidRDefault="00836286" w:rsidP="00836286">
      <w:pPr>
        <w:pStyle w:val="AERquote"/>
      </w:pPr>
      <w:r w:rsidRPr="003C2B73">
        <w:t>A direct control network service is an electricity network service—</w:t>
      </w:r>
    </w:p>
    <w:p w:rsidR="00836286" w:rsidRDefault="00836286" w:rsidP="006E5878">
      <w:pPr>
        <w:pStyle w:val="AERquoteindent2"/>
      </w:pPr>
      <w:r w:rsidRPr="003C2B73">
        <w:t xml:space="preserve">(a) the Rules specify as a service the price for which, or the revenue to be earned from which, </w:t>
      </w:r>
      <w:r w:rsidRPr="00E76F13">
        <w:rPr>
          <w:rStyle w:val="AERtextunderline"/>
        </w:rPr>
        <w:t>must be regulated under a distribution determination or transmission determination</w:t>
      </w:r>
      <w:r w:rsidRPr="003C2B73">
        <w:t>; or</w:t>
      </w:r>
    </w:p>
    <w:p w:rsidR="00E20018" w:rsidRPr="00785554" w:rsidRDefault="00836286" w:rsidP="00E20018">
      <w:pPr>
        <w:pStyle w:val="AERquoteindent2"/>
        <w:rPr>
          <w:rStyle w:val="AERbody"/>
        </w:rPr>
      </w:pPr>
      <w:r w:rsidRPr="003C2B73">
        <w:t>(b) if the Rules do not do so, the AER specifies, in a distribution determination or transmission determination, as a service the price for which, or the revenue to be earned from which, must be regulated under the distribution determination or transmission determination</w:t>
      </w:r>
      <w:r w:rsidR="00DF0600" w:rsidRPr="003C2B73">
        <w:t>.</w:t>
      </w:r>
    </w:p>
    <w:p w:rsidR="00E20018" w:rsidRPr="00785554" w:rsidRDefault="00E20018" w:rsidP="00E20018">
      <w:pPr>
        <w:pStyle w:val="HeadingBoldItalic"/>
        <w:rPr>
          <w:rStyle w:val="AERbody"/>
        </w:rPr>
      </w:pPr>
      <w:r w:rsidRPr="00785554">
        <w:rPr>
          <w:rStyle w:val="AERbody"/>
        </w:rPr>
        <w:t>Risk, regulation and a benchmark efficient entity</w:t>
      </w:r>
    </w:p>
    <w:p w:rsidR="00E20018" w:rsidRDefault="00E20018" w:rsidP="00E20018">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73"/>
      </w:r>
    </w:p>
    <w:p w:rsidR="00E20018" w:rsidRDefault="00E20018" w:rsidP="00E20018">
      <w:pPr>
        <w:pStyle w:val="AERbulletlistfirststyle"/>
      </w:pPr>
      <w:r w:rsidRPr="005F4630">
        <w:t xml:space="preserve"> to the </w:t>
      </w:r>
      <w:r>
        <w:t xml:space="preserve">service provider in which the decision relates (which will always be a business that is regulated under the rules and NEL/NGL) </w:t>
      </w:r>
    </w:p>
    <w:p w:rsidR="00E20018" w:rsidRDefault="00E20018" w:rsidP="00E20018">
      <w:pPr>
        <w:pStyle w:val="AERbulletlistfirststyle"/>
      </w:pPr>
      <w:r w:rsidRPr="005F4630">
        <w:t xml:space="preserve">in respect to the provision of </w:t>
      </w:r>
      <w:r>
        <w:t>prescribed transmission</w:t>
      </w:r>
      <w:r w:rsidRPr="005F4630">
        <w:t xml:space="preserve"> services</w:t>
      </w:r>
      <w:r>
        <w:t xml:space="preserve"> (which are regulated services by definition),</w:t>
      </w:r>
      <w:r>
        <w:rPr>
          <w:rStyle w:val="FootnoteReference"/>
        </w:rPr>
        <w:footnoteReference w:id="74"/>
      </w:r>
      <w:r>
        <w:t xml:space="preserve"> which can only be provided by businesses regulated under the rules.</w:t>
      </w:r>
    </w:p>
    <w:p w:rsidR="00E20018" w:rsidRPr="00785554" w:rsidRDefault="00E20018" w:rsidP="00E20018">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75"/>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76"/>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77"/>
      </w:r>
      <w:r w:rsidRPr="00785554">
        <w:t xml:space="preserve"> </w:t>
      </w:r>
    </w:p>
    <w:p w:rsidR="00E20018" w:rsidRPr="00785554" w:rsidRDefault="00E20018" w:rsidP="00E20018">
      <w:r>
        <w:t xml:space="preserve">Brealey et.al. use the figure </w:t>
      </w:r>
      <w:r w:rsidRPr="00785554">
        <w:t xml:space="preserve">we have presented as </w:t>
      </w:r>
      <w:r>
        <w:fldChar w:fldCharType="begin"/>
      </w:r>
      <w:r>
        <w:instrText xml:space="preserve"> REF  _Ref451345901 \* Lower \h </w:instrText>
      </w:r>
      <w:r>
        <w:fldChar w:fldCharType="separate"/>
      </w:r>
      <w:r w:rsidR="00C6448C">
        <w:t xml:space="preserve">figure </w:t>
      </w:r>
      <w:r w:rsidR="00C6448C">
        <w:rPr>
          <w:noProof/>
        </w:rPr>
        <w:t>3</w:t>
      </w:r>
      <w:r w:rsidR="00C6448C">
        <w:noBreakHyphen/>
      </w:r>
      <w:r w:rsidR="00C6448C">
        <w:rPr>
          <w:noProof/>
        </w:rPr>
        <w:t>1</w:t>
      </w:r>
      <w:r>
        <w:fldChar w:fldCharType="end"/>
      </w:r>
      <w:r>
        <w:t xml:space="preserve"> </w:t>
      </w:r>
      <w:r w:rsidRPr="00785554">
        <w:t>to illustrate the following.</w:t>
      </w:r>
      <w:r w:rsidRPr="00785554">
        <w:rPr>
          <w:rStyle w:val="FootnoteReference"/>
        </w:rPr>
        <w:footnoteReference w:id="78"/>
      </w:r>
    </w:p>
    <w:p w:rsidR="00E20018" w:rsidRDefault="00E20018" w:rsidP="00E20018">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E20018" w:rsidRPr="00C75038" w:rsidRDefault="00E20018" w:rsidP="00E20018">
      <w:pPr>
        <w:pStyle w:val="Caption"/>
      </w:pPr>
      <w:bookmarkStart w:id="34" w:name="_Ref451345901"/>
      <w:r>
        <w:t xml:space="preserve">Figure </w:t>
      </w:r>
      <w:fldSimple w:instr=" STYLEREF 1 \s ">
        <w:r w:rsidR="00C6448C">
          <w:rPr>
            <w:noProof/>
          </w:rPr>
          <w:t>3</w:t>
        </w:r>
      </w:fldSimple>
      <w:r w:rsidR="00882F3D">
        <w:noBreakHyphen/>
      </w:r>
      <w:fldSimple w:instr=" SEQ Figure \* ARABIC \s 1 ">
        <w:r w:rsidR="00C6448C">
          <w:rPr>
            <w:noProof/>
          </w:rPr>
          <w:t>1</w:t>
        </w:r>
      </w:fldSimple>
      <w:bookmarkEnd w:id="34"/>
      <w:r>
        <w:tab/>
        <w:t>Risk versus expected return</w:t>
      </w:r>
    </w:p>
    <w:p w:rsidR="00E20018" w:rsidRPr="00785554" w:rsidRDefault="00E20018" w:rsidP="00E20018">
      <w:r w:rsidRPr="00E20018">
        <w:rPr>
          <w:noProof/>
          <w:lang w:eastAsia="en-AU"/>
        </w:rPr>
        <w:drawing>
          <wp:inline distT="0" distB="0" distL="0" distR="0" wp14:anchorId="6A374892" wp14:editId="65E7E952">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2895" cy="7706511"/>
                    </a:xfrm>
                    <a:prstGeom prst="rect">
                      <a:avLst/>
                    </a:prstGeom>
                  </pic:spPr>
                </pic:pic>
              </a:graphicData>
            </a:graphic>
          </wp:inline>
        </w:drawing>
      </w:r>
    </w:p>
    <w:p w:rsidR="00E20018" w:rsidRDefault="00E20018" w:rsidP="00E20018">
      <w:pPr>
        <w:pStyle w:val="AERtablesource"/>
      </w:pPr>
      <w:r>
        <w:t xml:space="preserve">Source: </w:t>
      </w:r>
      <w:r>
        <w:tab/>
        <w:t>Brealey</w:t>
      </w:r>
      <w:r w:rsidRPr="001326E8">
        <w:t>, Myers, Allen</w:t>
      </w:r>
      <w:r>
        <w:t xml:space="preserve"> (2011), </w:t>
      </w:r>
      <w:r w:rsidRPr="001326E8">
        <w:t>Figure 8.2</w:t>
      </w:r>
      <w:r>
        <w:t>.</w:t>
      </w:r>
    </w:p>
    <w:p w:rsidR="00E20018" w:rsidRDefault="00E20018" w:rsidP="00E20018">
      <w:r>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'efficient' market portfolios, it is an investment's non-diversifiable (or systematic) risk that is relevant. In the case of equity investments, as discussed above, this is measured by the equity beta of the investment. </w:t>
      </w:r>
    </w:p>
    <w:p w:rsidR="00CE1A2A" w:rsidRDefault="00E20018" w:rsidP="00E20018">
      <w:pPr>
        <w:rPr>
          <w:rStyle w:val="AERbody"/>
        </w:rPr>
      </w:pPr>
      <w:r>
        <w:t xml:space="preserve">We consider </w:t>
      </w:r>
      <w:r w:rsidRPr="00785554">
        <w:t xml:space="preserve">a benchmark efficient entity </w:t>
      </w:r>
      <w:r w:rsidRPr="00785554">
        <w:rPr>
          <w:rStyle w:val="AERtextitalic"/>
        </w:rPr>
        <w:t>with a similar degree of risk as that which applies to the service provider in the provision of its regulated services</w:t>
      </w:r>
      <w:r w:rsidRPr="00785554">
        <w:t xml:space="preserve"> would be 'a pure play, regulated energy network business operating within Australia' acting efficiently.</w:t>
      </w:r>
      <w:r w:rsidRPr="00785554">
        <w:rPr>
          <w:rStyle w:val="FootnoteReference"/>
        </w:rPr>
        <w:footnoteReference w:id="79"/>
      </w:r>
      <w:r w:rsidRPr="00785554">
        <w:t xml:space="preserve"> </w:t>
      </w:r>
      <w:r w:rsidRPr="00785554">
        <w:rPr>
          <w:rStyle w:val="AERbody"/>
        </w:rPr>
        <w:t xml:space="preserve"> </w:t>
      </w:r>
      <w:r w:rsidR="00CE1A2A">
        <w:rPr>
          <w:rStyle w:val="AERbody"/>
        </w:rPr>
        <w:t xml:space="preserve">In any case, it would be an entity, whether it is conceived as regulated or not, that has a similar degree of systematic risk as that which applies to </w:t>
      </w:r>
      <w:r w:rsidR="00CF143A">
        <w:rPr>
          <w:rStyle w:val="AERbody"/>
        </w:rPr>
        <w:t>TasNetworks</w:t>
      </w:r>
      <w:r w:rsidR="00CE1A2A">
        <w:rPr>
          <w:rStyle w:val="AERbody"/>
        </w:rPr>
        <w:t xml:space="preserve"> in the provision of its regulated services.</w:t>
      </w:r>
    </w:p>
    <w:p w:rsidR="00E20018" w:rsidRPr="00785554" w:rsidRDefault="00E20018" w:rsidP="00E20018">
      <w:r w:rsidRPr="00785554">
        <w:rPr>
          <w:rStyle w:val="AERbody"/>
        </w:rPr>
        <w:t xml:space="preserve">To understand this position, </w:t>
      </w:r>
      <w:r w:rsidRPr="00785554">
        <w:t xml:space="preserve">it is essential to understand the relationship and distinction between risk and expected returns. All else being equal, we consider an </w:t>
      </w:r>
      <w:r w:rsidR="00CE1A2A">
        <w:t>entity providing unregulated services</w:t>
      </w:r>
      <w:r w:rsidRPr="00785554">
        <w:t xml:space="preserve"> will have </w:t>
      </w:r>
      <w:r w:rsidR="00CE1A2A">
        <w:t xml:space="preserve">a </w:t>
      </w:r>
      <w:r w:rsidRPr="00785554">
        <w:t xml:space="preserve">higher risk and </w:t>
      </w:r>
      <w:r w:rsidR="00CE1A2A">
        <w:t>more variable</w:t>
      </w:r>
      <w:r w:rsidR="00CE1A2A" w:rsidRPr="00785554">
        <w:t xml:space="preserve"> </w:t>
      </w:r>
      <w:r w:rsidRPr="00785554">
        <w:t>expected returns than a monopoly</w:t>
      </w:r>
      <w:r w:rsidR="00CE1A2A">
        <w:t xml:space="preserve"> business such as </w:t>
      </w:r>
      <w:r w:rsidR="00DE084F">
        <w:t>TasNetworks</w:t>
      </w:r>
      <w:r w:rsidR="00CE1A2A">
        <w:t xml:space="preserve"> in its provision of prescribed transmission services</w:t>
      </w:r>
      <w:r w:rsidRPr="00785554">
        <w:t>. This is because regulation:</w:t>
      </w:r>
    </w:p>
    <w:p w:rsidR="00E20018" w:rsidRDefault="00E20018" w:rsidP="00E20018">
      <w:pPr>
        <w:pStyle w:val="AERbulletlistfirststyle"/>
      </w:pPr>
      <w:r>
        <w:t>mitigates monopolies from being able to extract monopoly rents, thereby constraining potential profits</w:t>
      </w:r>
    </w:p>
    <w:p w:rsidR="00E20018" w:rsidRDefault="00E20018" w:rsidP="00E20018">
      <w:pPr>
        <w:pStyle w:val="AERbulletlistfirststyle"/>
      </w:pPr>
      <w:r>
        <w:t>increases the certainty of the revenue stream, thereby reducing risk.</w:t>
      </w:r>
    </w:p>
    <w:p w:rsidR="00E20018" w:rsidRPr="00785554" w:rsidRDefault="00E20018" w:rsidP="00E20018">
      <w:r>
        <w:t xml:space="preserve">For clarity, </w:t>
      </w:r>
      <w:r w:rsidRPr="00785554">
        <w:t>regulation</w:t>
      </w:r>
      <w:r w:rsidR="00CE1A2A">
        <w:t xml:space="preserve"> of the kind embodied in the national electricity and gas legislation</w:t>
      </w:r>
      <w:r w:rsidRPr="00785554">
        <w:t xml:space="preserve">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E20018" w:rsidRPr="00785554" w:rsidRDefault="00E20018" w:rsidP="00E20018">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80"/>
      </w:r>
      <w:r w:rsidRPr="00785554">
        <w:t xml:space="preserve"> Frontier has also recognised the role of regulation in affecting risk in advising:</w:t>
      </w:r>
      <w:r w:rsidRPr="00785554">
        <w:rPr>
          <w:rStyle w:val="FootnoteReference"/>
        </w:rPr>
        <w:footnoteReference w:id="81"/>
      </w:r>
    </w:p>
    <w:p w:rsidR="00E20018" w:rsidRPr="00F23C1C" w:rsidRDefault="00E20018" w:rsidP="00E20018">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E20018" w:rsidRDefault="00E20018" w:rsidP="00E20018">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82"/>
      </w:r>
    </w:p>
    <w:p w:rsidR="00E20018" w:rsidRPr="003E0036" w:rsidRDefault="00E20018" w:rsidP="00E20018">
      <w:pPr>
        <w:pStyle w:val="AERbulletlistfirststyle"/>
      </w:pPr>
      <w:r w:rsidRPr="003E0036">
        <w:t>a revenue cap</w:t>
      </w:r>
      <w:r>
        <w:t>,</w:t>
      </w:r>
      <w:r w:rsidRPr="003E0036">
        <w:t xml:space="preserve"> which removes volume risk</w:t>
      </w:r>
    </w:p>
    <w:p w:rsidR="00E20018" w:rsidRPr="003E0036" w:rsidRDefault="00E20018" w:rsidP="00E20018">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E20018" w:rsidRPr="003E0036" w:rsidRDefault="00E20018" w:rsidP="00E20018">
      <w:pPr>
        <w:pStyle w:val="AERbulletlistfirststyle"/>
      </w:pPr>
      <w:r w:rsidRPr="003E0036">
        <w:t>the progressive transition to a 10</w:t>
      </w:r>
      <w:r w:rsidRPr="00E20018">
        <w:rPr>
          <w:rFonts w:ascii="Cambria Math" w:hAnsi="Cambria Math" w:cs="Cambria Math"/>
        </w:rPr>
        <w:t>‐</w:t>
      </w:r>
      <w:r w:rsidRPr="003E0036">
        <w:t xml:space="preserve">year trailing average, including annual updating of the </w:t>
      </w:r>
      <w:r>
        <w:t>return on debt.</w:t>
      </w:r>
    </w:p>
    <w:p w:rsidR="00E20018" w:rsidRDefault="00E20018" w:rsidP="00E20018">
      <w:r>
        <w:t>M</w:t>
      </w:r>
      <w:r w:rsidRPr="00785554">
        <w:t xml:space="preserve">any of the risks that the regulatory regime affects are systematic and therefore affect the cost of capital (or rate of return). From being inherently less exposed to systematic risk, regulated service providers have lower </w:t>
      </w:r>
      <w:r w:rsidRPr="00785554">
        <w:rPr>
          <w:rStyle w:val="AERbody"/>
        </w:rPr>
        <w:t>equity betas than if they were unregulated and therefore lower costs of equity. Also</w:t>
      </w:r>
      <w:r w:rsidRPr="00785554">
        <w:t>, given their lower risk cash flows</w:t>
      </w:r>
      <w:r w:rsidRPr="00785554">
        <w:rPr>
          <w:rStyle w:val="AERbody"/>
        </w:rPr>
        <w:t xml:space="preserve">, regulated service providers might issue a </w:t>
      </w:r>
      <w:r w:rsidRPr="00785554">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36289C" w:rsidRDefault="0036289C" w:rsidP="0036289C">
      <w:pPr>
        <w:rPr>
          <w:rStyle w:val="AERbody"/>
        </w:rPr>
      </w:pPr>
      <w:r>
        <w:rPr>
          <w:rStyle w:val="AERbody"/>
        </w:rPr>
        <w:t>Significantly then, even if the benchmark efficient entity is envisioned as an unregulated entity, in order to achieve the allowed rate of return objective, we must consider it has a similar degree of risk as that which applies to the service provider in the provision of its regulated services.</w:t>
      </w:r>
    </w:p>
    <w:p w:rsidR="00E20018" w:rsidRPr="00785554" w:rsidRDefault="00E20018" w:rsidP="00E20018">
      <w:r>
        <w:rPr>
          <w:rStyle w:val="AERbody"/>
        </w:rPr>
        <w:t xml:space="preserve">Some systematic risks that regulation </w:t>
      </w:r>
      <w:r w:rsidRPr="00785554">
        <w:rPr>
          <w:rStyle w:val="AERbody"/>
        </w:rPr>
        <w:t>reduces include:</w:t>
      </w:r>
    </w:p>
    <w:p w:rsidR="00E20018" w:rsidRDefault="00E20018" w:rsidP="00E20018">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 Further, in most cases, a transmission service provider will determine prices based on historical demand which reduces intra year revenue variations. This effectively mitigates the risk associated with demand volatility.</w:t>
      </w:r>
    </w:p>
    <w:p w:rsidR="00E20018" w:rsidRDefault="00E20018" w:rsidP="00E20018">
      <w:pPr>
        <w:pStyle w:val="AERbulletlistfirststyle"/>
      </w:pPr>
      <w:r>
        <w:t xml:space="preserve">Inflation risk: Regulated service providers face less inflation risk than unregulated businesses. Under the regulatory framework, they effectively expect to receive </w:t>
      </w:r>
      <w:r w:rsidR="00DF0600">
        <w:t>a real</w:t>
      </w:r>
      <w:r>
        <w:t xml:space="preserve"> return on their investments in their RABs.</w:t>
      </w:r>
    </w:p>
    <w:p w:rsidR="00E20018" w:rsidRDefault="00E20018" w:rsidP="00E20018">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E20018" w:rsidRDefault="00E20018" w:rsidP="00E20018">
      <w:r>
        <w:fldChar w:fldCharType="begin"/>
      </w:r>
      <w:r>
        <w:instrText xml:space="preserve"> REF _Ref451345798 \h </w:instrText>
      </w:r>
      <w:r>
        <w:fldChar w:fldCharType="separate"/>
      </w:r>
      <w:r w:rsidR="00C6448C">
        <w:t xml:space="preserve">Table </w:t>
      </w:r>
      <w:r w:rsidR="00C6448C">
        <w:rPr>
          <w:noProof/>
        </w:rPr>
        <w:t>3</w:t>
      </w:r>
      <w:r w:rsidR="00C6448C">
        <w:noBreakHyphen/>
      </w:r>
      <w:r w:rsidR="00C6448C">
        <w:rPr>
          <w:noProof/>
        </w:rPr>
        <w:t>3</w:t>
      </w:r>
      <w:r>
        <w:fldChar w:fldCharType="end"/>
      </w:r>
      <w:r>
        <w:t xml:space="preserve"> summarises a selection of provisions in the rules that have the effect of mitigating various systematic and non-systematic risks.</w:t>
      </w:r>
    </w:p>
    <w:p w:rsidR="00E20018" w:rsidRDefault="00E20018" w:rsidP="00E20018">
      <w:pPr>
        <w:pStyle w:val="Caption"/>
      </w:pPr>
      <w:bookmarkStart w:id="35" w:name="_Ref451345798"/>
      <w:r>
        <w:t xml:space="preserve">Table </w:t>
      </w:r>
      <w:fldSimple w:instr=" STYLEREF 1 \s ">
        <w:r w:rsidR="00C6448C">
          <w:rPr>
            <w:noProof/>
          </w:rPr>
          <w:t>3</w:t>
        </w:r>
      </w:fldSimple>
      <w:r w:rsidR="00882F3D">
        <w:noBreakHyphen/>
      </w:r>
      <w:fldSimple w:instr=" SEQ Table \* ARABIC \s 1 ">
        <w:r w:rsidR="00C6448C">
          <w:rPr>
            <w:noProof/>
          </w:rPr>
          <w:t>3</w:t>
        </w:r>
      </w:fldSimple>
      <w:bookmarkEnd w:id="35"/>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E20018" w:rsidTr="00E20018">
        <w:trPr>
          <w:cnfStyle w:val="100000000000" w:firstRow="1" w:lastRow="0" w:firstColumn="0" w:lastColumn="0" w:oddVBand="0" w:evenVBand="0" w:oddHBand="0" w:evenHBand="0" w:firstRowFirstColumn="0" w:firstRowLastColumn="0" w:lastRowFirstColumn="0" w:lastRowLastColumn="0"/>
        </w:trPr>
        <w:tc>
          <w:tcPr>
            <w:tcW w:w="1526" w:type="dxa"/>
          </w:tcPr>
          <w:p w:rsidR="00E20018" w:rsidRPr="00E20018" w:rsidRDefault="00E20018" w:rsidP="00E20018">
            <w:r>
              <w:t>Rule</w:t>
            </w:r>
          </w:p>
        </w:tc>
        <w:tc>
          <w:tcPr>
            <w:tcW w:w="7167" w:type="dxa"/>
          </w:tcPr>
          <w:p w:rsidR="00E20018" w:rsidRPr="00E20018" w:rsidRDefault="00E20018" w:rsidP="00E20018">
            <w:r>
              <w:t>Effect on risk</w:t>
            </w:r>
          </w:p>
        </w:tc>
      </w:tr>
      <w:tr w:rsidR="00E20018" w:rsidTr="00E20018">
        <w:tc>
          <w:tcPr>
            <w:tcW w:w="1526" w:type="dxa"/>
            <w:vAlign w:val="top"/>
          </w:tcPr>
          <w:p w:rsidR="00E20018" w:rsidRPr="00E20018" w:rsidRDefault="00E20018" w:rsidP="00E20018">
            <w:r w:rsidRPr="009378AE">
              <w:t>6.3.2(b)</w:t>
            </w:r>
          </w:p>
          <w:p w:rsidR="00E20018" w:rsidRPr="00E20018" w:rsidRDefault="00E20018" w:rsidP="00E20018">
            <w:r>
              <w:t>6A.4.2(c)</w:t>
            </w:r>
          </w:p>
        </w:tc>
        <w:tc>
          <w:tcPr>
            <w:tcW w:w="7167" w:type="dxa"/>
            <w:vAlign w:val="top"/>
          </w:tcPr>
          <w:p w:rsidR="00E20018" w:rsidRPr="00E20018" w:rsidRDefault="00E20018" w:rsidP="00E20018">
            <w:r w:rsidRPr="009378AE">
              <w:t xml:space="preserve">The term of </w:t>
            </w:r>
            <w:r w:rsidRPr="00E20018">
              <w:t>each regulatory control period is at least 5 years, providing a fixed duration in which a service provider has a regulated return on its assets, revenue certainty, and fixed terms of access for its services.</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6.2.6</w:t>
            </w:r>
          </w:p>
          <w:p w:rsidR="00E20018" w:rsidRPr="00E20018" w:rsidRDefault="00E20018" w:rsidP="00E20018">
            <w:r>
              <w:t>6A.3</w:t>
            </w:r>
          </w:p>
        </w:tc>
        <w:tc>
          <w:tcPr>
            <w:tcW w:w="7167" w:type="dxa"/>
            <w:vAlign w:val="top"/>
          </w:tcPr>
          <w:p w:rsidR="00E20018" w:rsidRPr="00E20018" w:rsidRDefault="00E20018" w:rsidP="00E20018">
            <w:r>
              <w:t xml:space="preserve">The AER adopts a </w:t>
            </w:r>
            <w:r w:rsidRPr="00E20018">
              <w:t xml:space="preserve">control mechanism formula to calculate the total revenue that service providers may collect over a regulatory control period (and for each year of a regulatory control period). This control mechanism automatically accounts for indexation and annual increases in efficient input costs.  The control mechanism that the AER adopts (typically in the form of a revenue cap), also ensures a service provider has a guaranteed level of total revenue that it may collect across the regulatory control period, regardless of unexpected changes in demand.  This significantly limits risks to revenue. </w:t>
            </w:r>
          </w:p>
        </w:tc>
      </w:tr>
      <w:tr w:rsidR="00E20018" w:rsidTr="00E20018">
        <w:tc>
          <w:tcPr>
            <w:tcW w:w="1526" w:type="dxa"/>
            <w:vAlign w:val="top"/>
          </w:tcPr>
          <w:p w:rsidR="00E20018" w:rsidRPr="00E20018" w:rsidRDefault="00E20018" w:rsidP="00E20018">
            <w:r w:rsidRPr="009378AE">
              <w:t>6.5.9</w:t>
            </w:r>
          </w:p>
          <w:p w:rsidR="00E20018" w:rsidRPr="00E20018" w:rsidRDefault="00E20018" w:rsidP="00E20018">
            <w:r>
              <w:t>6A.6.8</w:t>
            </w:r>
          </w:p>
        </w:tc>
        <w:tc>
          <w:tcPr>
            <w:tcW w:w="7167" w:type="dxa"/>
            <w:vAlign w:val="top"/>
          </w:tcPr>
          <w:p w:rsidR="00E20018" w:rsidRPr="00E20018" w:rsidRDefault="00E20018" w:rsidP="00E20018">
            <w:r w:rsidRPr="009378AE">
              <w:t xml:space="preserve">X factors </w:t>
            </w:r>
            <w:r w:rsidRPr="00E20018">
              <w:t>in the control mechanism smooth revenues across the regulatory control period and limit shocks from the last year of a regulatory control period before the start of the next. The AER sets X factors, among other things, to allow service providers to recover a revenue shortfall in one year in a subsequent year. Through X factors, service providers have a stable and certain level of revenue over each regulatory control period, with reduced risks of short term revenue volatility.</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6.18</w:t>
            </w:r>
          </w:p>
          <w:p w:rsidR="00E20018" w:rsidRPr="00E20018" w:rsidRDefault="00E20018" w:rsidP="00E20018">
            <w:r>
              <w:t>6A.23</w:t>
            </w:r>
          </w:p>
        </w:tc>
        <w:tc>
          <w:tcPr>
            <w:tcW w:w="7167" w:type="dxa"/>
            <w:vAlign w:val="top"/>
          </w:tcPr>
          <w:p w:rsidR="00E20018" w:rsidRPr="00E20018" w:rsidRDefault="00E20018" w:rsidP="00E20018">
            <w:r w:rsidRPr="009378AE">
              <w:t xml:space="preserve">The prices </w:t>
            </w:r>
            <w:r w:rsidRPr="00E20018">
              <w:t xml:space="preserve">service providers may charge annually are certain.  They are set through a regulatory process to approve annual pricing proposals. </w:t>
            </w:r>
          </w:p>
        </w:tc>
      </w:tr>
      <w:tr w:rsidR="00E20018" w:rsidTr="00E20018">
        <w:tc>
          <w:tcPr>
            <w:tcW w:w="1526" w:type="dxa"/>
            <w:vAlign w:val="top"/>
          </w:tcPr>
          <w:p w:rsidR="00E20018" w:rsidRPr="00E20018" w:rsidRDefault="00E20018" w:rsidP="00E20018">
            <w:r w:rsidRPr="009378AE">
              <w:t xml:space="preserve">6.4.3(a)(1)-(3), 6.5.1, </w:t>
            </w:r>
            <w:r w:rsidRPr="00E20018">
              <w:t>6.5.2, 6.5.5, S6.2.1, S6.2.2B, S6.2.3,</w:t>
            </w:r>
          </w:p>
          <w:p w:rsidR="00E20018" w:rsidRPr="00E20018" w:rsidRDefault="00E20018" w:rsidP="00E20018">
            <w:r>
              <w:t>6A.5.4(a)(1)-(3), 6A.6.1, 6A.6.2, 6A.6.3, S6A.2.1, S6A.2.2B, S6A.2.4</w:t>
            </w:r>
            <w:r w:rsidRPr="00E20018">
              <w:t xml:space="preserve"> </w:t>
            </w:r>
          </w:p>
        </w:tc>
        <w:tc>
          <w:tcPr>
            <w:tcW w:w="7167" w:type="dxa"/>
            <w:vAlign w:val="top"/>
          </w:tcPr>
          <w:p w:rsidR="00E20018" w:rsidRPr="00E20018" w:rsidRDefault="00E20018" w:rsidP="00E20018">
            <w:r w:rsidRPr="009378AE">
              <w:t>The total revenue</w:t>
            </w:r>
            <w:r w:rsidRPr="00E20018">
              <w:t xml:space="preserve"> that the AER determines incorporates a return on and of the service provider's asset base.  The historical asset base rolls forward from one regulatory control period to the next and from year to year within each regulatory control period.  The NER guarantees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An asset that is not utilised or productive may still provide a return under the NER through the setting and rolling forward of the asset base, the return on and of the asset base and the application of indexation.</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6.5.2</w:t>
            </w:r>
          </w:p>
          <w:p w:rsidR="00E20018" w:rsidRPr="00E20018" w:rsidRDefault="00E20018" w:rsidP="00E20018">
            <w:r>
              <w:t>6A.6.2</w:t>
            </w:r>
          </w:p>
        </w:tc>
        <w:tc>
          <w:tcPr>
            <w:tcW w:w="7167" w:type="dxa"/>
            <w:vAlign w:val="top"/>
          </w:tcPr>
          <w:p w:rsidR="00E20018" w:rsidRPr="00E20018" w:rsidRDefault="00E20018" w:rsidP="00E20018">
            <w:r>
              <w:t>T</w:t>
            </w:r>
            <w:r w:rsidRPr="00E20018">
              <w:t>he AER sets the rate of return on the asset base by reference to the risks faced by the service provider.  The AER updates this each regulatory control period to account for changed market conditions.</w:t>
            </w:r>
          </w:p>
        </w:tc>
      </w:tr>
      <w:tr w:rsidR="00E20018" w:rsidTr="00E20018">
        <w:tc>
          <w:tcPr>
            <w:tcW w:w="1526" w:type="dxa"/>
            <w:vAlign w:val="top"/>
          </w:tcPr>
          <w:p w:rsidR="00E20018" w:rsidRPr="00E20018" w:rsidRDefault="00E20018" w:rsidP="00E20018">
            <w:r w:rsidRPr="009378AE">
              <w:t>6.5.3</w:t>
            </w:r>
          </w:p>
          <w:p w:rsidR="00E20018" w:rsidRPr="00E20018" w:rsidRDefault="00E20018" w:rsidP="00E20018">
            <w:r>
              <w:t>6A.6.4</w:t>
            </w:r>
          </w:p>
        </w:tc>
        <w:tc>
          <w:tcPr>
            <w:tcW w:w="7167" w:type="dxa"/>
            <w:vAlign w:val="top"/>
          </w:tcPr>
          <w:p w:rsidR="00E20018" w:rsidRPr="00E20018" w:rsidRDefault="00E20018" w:rsidP="00E20018">
            <w:r>
              <w:t>Provision for tax in</w:t>
            </w:r>
            <w:r w:rsidRPr="00E20018">
              <w:t xml:space="preserve"> determining total revenue is required regardless of whether the service provider pays tax.</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6.5.6 and 6.5.7</w:t>
            </w:r>
          </w:p>
          <w:p w:rsidR="00E20018" w:rsidRPr="00E20018" w:rsidRDefault="00E20018" w:rsidP="00E20018">
            <w:r>
              <w:t>6A.6.6 and 6A.6.7</w:t>
            </w:r>
          </w:p>
        </w:tc>
        <w:tc>
          <w:tcPr>
            <w:tcW w:w="7167" w:type="dxa"/>
            <w:vAlign w:val="top"/>
          </w:tcPr>
          <w:p w:rsidR="00E20018" w:rsidRPr="00E20018" w:rsidRDefault="00E20018" w:rsidP="00E20018">
            <w:r w:rsidRPr="009378AE">
              <w:t>The</w:t>
            </w:r>
            <w:r w:rsidRPr="00E20018">
              <w:t xml:space="preserve"> AER assesses expenditure requirements for each service provider by reference to the amount necessary to meet a set of standards and objectives.  These include the need to meet the expected demand for services and to meet quality, reliability, security, and safety standards.  The AER does not assess expenditure by reference to the capacity of consumers to pay.  This removes risks that could otherwise arise in providing a reliable and safe service.  The AER reassesses the requirements of service providers for each regulatory control period to account for changes in market conditions and trends.</w:t>
            </w:r>
          </w:p>
        </w:tc>
      </w:tr>
      <w:tr w:rsidR="00E20018" w:rsidTr="00E20018">
        <w:tc>
          <w:tcPr>
            <w:tcW w:w="1526" w:type="dxa"/>
            <w:vAlign w:val="top"/>
          </w:tcPr>
          <w:p w:rsidR="00E20018" w:rsidRPr="00E20018" w:rsidRDefault="00E20018" w:rsidP="00E20018">
            <w:r w:rsidRPr="009378AE">
              <w:t>6.5.10</w:t>
            </w:r>
          </w:p>
          <w:p w:rsidR="00E20018" w:rsidRPr="00E20018" w:rsidRDefault="00E20018" w:rsidP="00E20018">
            <w:r>
              <w:t>6A.6.9</w:t>
            </w:r>
          </w:p>
        </w:tc>
        <w:tc>
          <w:tcPr>
            <w:tcW w:w="7167" w:type="dxa"/>
            <w:vAlign w:val="top"/>
          </w:tcPr>
          <w:p w:rsidR="00E20018" w:rsidRPr="00E20018" w:rsidRDefault="00E20018" w:rsidP="00E20018">
            <w:r>
              <w:t>Allows service providers to pass through c</w:t>
            </w:r>
            <w:r w:rsidRPr="00E20018">
              <w:t>ertain costs to consumers in circumstances where this might not be possible in a workably competitive market.  For instance, the pass through provisions provide for a pass through of costs that arise through regulatory change.</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6.5.7(f), 6.6A, chapter 5</w:t>
            </w:r>
          </w:p>
          <w:p w:rsidR="00E20018" w:rsidRPr="00E20018" w:rsidRDefault="00E20018" w:rsidP="00E20018">
            <w:r>
              <w:t>6A.6.7(g), 6A.8, chapter 5</w:t>
            </w:r>
          </w:p>
        </w:tc>
        <w:tc>
          <w:tcPr>
            <w:tcW w:w="7167" w:type="dxa"/>
            <w:vAlign w:val="top"/>
          </w:tcPr>
          <w:p w:rsidR="00E20018" w:rsidRPr="00E20018" w:rsidRDefault="00E20018" w:rsidP="00E20018">
            <w:r>
              <w:t>E</w:t>
            </w:r>
            <w:r w:rsidRPr="00E20018">
              <w:t>stablishes a planning regime for DNSPs that assists in predicting future costs and appropriate planning for changes in the commercial environment.  This includes provision for contingent projects during a regulatory control period and longer term projects through the RIT-D process.</w:t>
            </w:r>
          </w:p>
        </w:tc>
      </w:tr>
      <w:tr w:rsidR="00E20018" w:rsidTr="00E20018">
        <w:tc>
          <w:tcPr>
            <w:tcW w:w="1526" w:type="dxa"/>
            <w:vAlign w:val="top"/>
          </w:tcPr>
          <w:p w:rsidR="00E20018" w:rsidRPr="00E20018" w:rsidRDefault="00E20018" w:rsidP="00E20018">
            <w:r w:rsidRPr="009378AE">
              <w:t xml:space="preserve">6.20, </w:t>
            </w:r>
            <w:r w:rsidRPr="00E20018">
              <w:t>6.21, 6.6.1(a1)(d), and RoLR provisions</w:t>
            </w:r>
          </w:p>
          <w:p w:rsidR="00E20018" w:rsidRPr="00E20018" w:rsidRDefault="00E20018" w:rsidP="00E20018">
            <w:r>
              <w:t>6A.27, 6A.28, 6A.7.3</w:t>
            </w:r>
          </w:p>
        </w:tc>
        <w:tc>
          <w:tcPr>
            <w:tcW w:w="7167" w:type="dxa"/>
            <w:vAlign w:val="top"/>
          </w:tcPr>
          <w:p w:rsidR="00E20018" w:rsidRPr="00E20018" w:rsidRDefault="00E20018" w:rsidP="00E20018">
            <w:r>
              <w:t>Provides</w:t>
            </w:r>
            <w:r w:rsidRPr="00E20018">
              <w:t xml:space="preserve">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E20018" w:rsidRDefault="00E20018" w:rsidP="00E20018">
      <w:pPr>
        <w:pStyle w:val="AERtablesource"/>
      </w:pPr>
      <w:r>
        <w:t xml:space="preserve">Source: </w:t>
      </w:r>
      <w:r>
        <w:tab/>
        <w:t>NER, AER analysis.</w:t>
      </w:r>
    </w:p>
    <w:p w:rsidR="00E20018" w:rsidRPr="00785554" w:rsidRDefault="00E20018" w:rsidP="00E20018">
      <w:pPr>
        <w:pStyle w:val="HeadingBoldItalic"/>
        <w:rPr>
          <w:rStyle w:val="AERbody"/>
        </w:rPr>
      </w:pPr>
      <w:r w:rsidRPr="00785554">
        <w:rPr>
          <w:rStyle w:val="AERbody"/>
        </w:rPr>
        <w:t>Outcomes of a workably competitive market</w:t>
      </w:r>
    </w:p>
    <w:p w:rsidR="00E20018" w:rsidRDefault="00E20018" w:rsidP="00CC7A1C">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83"/>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84"/>
      </w:r>
    </w:p>
    <w:p w:rsidR="00E20018" w:rsidRDefault="00E20018" w:rsidP="00CC7A1C">
      <w:pPr>
        <w:numPr>
          <w:ilvl w:val="0"/>
          <w:numId w:val="24"/>
        </w:numPr>
      </w:pPr>
      <w:r>
        <w:t>Incentive regulation aims to replicate workably competitive market outcomes by:</w:t>
      </w:r>
    </w:p>
    <w:p w:rsidR="00E20018" w:rsidRDefault="00E20018" w:rsidP="00E20018">
      <w:pPr>
        <w:pStyle w:val="AERbulletlistfirststyle"/>
      </w:pPr>
      <w:r>
        <w:t>Constraining monopoly rents by seeking for customers to only pay for efficient costs of providing the service. This results in service providers having a lower rate of return than if they were unregulated.</w:t>
      </w:r>
    </w:p>
    <w:p w:rsidR="00E20018" w:rsidRPr="00E64F99" w:rsidRDefault="00E20018" w:rsidP="00E20018">
      <w:pPr>
        <w:pStyle w:val="AERbulletlistfirststyle"/>
      </w:pPr>
      <w:r>
        <w:t>Incentivising service providers to operate efficiently.</w:t>
      </w:r>
    </w:p>
    <w:p w:rsidR="00E20018" w:rsidRDefault="00E20018" w:rsidP="00E20018">
      <w:r>
        <w:t>Applying the first point to the allowed rate of return, the allowed rate of return should be consistent with the efficient financing cost of providing regulated services.</w:t>
      </w:r>
      <w:r>
        <w:rPr>
          <w:rStyle w:val="FootnoteReference"/>
        </w:rPr>
        <w:footnoteReference w:id="85"/>
      </w:r>
      <w:r>
        <w:t xml:space="preserve"> As we discuss above and in Appendix </w:t>
      </w:r>
      <w:r w:rsidR="004C69BA">
        <w:fldChar w:fldCharType="begin"/>
      </w:r>
      <w:r w:rsidR="004C69BA">
        <w:instrText xml:space="preserve"> REF _Ref448871343 \r \h </w:instrText>
      </w:r>
      <w:r w:rsidR="004C69BA">
        <w:fldChar w:fldCharType="separate"/>
      </w:r>
      <w:r w:rsidR="00C6448C">
        <w:t>A</w:t>
      </w:r>
      <w:r w:rsidR="004C69BA">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6"/>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87"/>
      </w:r>
    </w:p>
    <w:p w:rsidR="00E20018" w:rsidRDefault="00E20018" w:rsidP="00E20018">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E20018" w:rsidRDefault="00E20018" w:rsidP="00E20018">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E20018" w:rsidRDefault="00E20018" w:rsidP="00E20018">
      <w:pPr>
        <w:pStyle w:val="AERbulletlistfirststyle"/>
        <w:rPr>
          <w:rStyle w:val="AERbody"/>
        </w:rPr>
      </w:pPr>
      <w:r>
        <w:rPr>
          <w:rStyle w:val="AERbody"/>
        </w:rPr>
        <w:t xml:space="preserve">Is </w:t>
      </w:r>
      <w:r w:rsidRPr="00650403">
        <w:rPr>
          <w:rStyle w:val="AERbody"/>
        </w:rPr>
        <w:t>consistent with the expected return in the competitive capital market (determined by demand and supply) for an investment of similar degree of risk as a service provider supplying regulated services.</w:t>
      </w:r>
    </w:p>
    <w:p w:rsidR="00E20018" w:rsidRDefault="00E20018" w:rsidP="00E20018">
      <w:pPr>
        <w:pStyle w:val="AERbulletlistfirststyle"/>
      </w:pPr>
      <w:r w:rsidRPr="00650403">
        <w:rPr>
          <w:rStyle w:val="AERbody"/>
        </w:rPr>
        <w:t>Incentivises service providers to seek the lowest cost financing (all else being equal).</w:t>
      </w:r>
    </w:p>
    <w:p w:rsidR="00E20018" w:rsidRPr="00E64F99" w:rsidRDefault="0036289C" w:rsidP="00E20018">
      <w:r>
        <w:t>P</w:t>
      </w:r>
      <w:r w:rsidR="00E20018">
        <w:t xml:space="preserve">romoting an efficient competitive outcome would not necessarily </w:t>
      </w:r>
      <w:r w:rsidR="00E20018" w:rsidRPr="00E64F99">
        <w:t xml:space="preserve">entail </w:t>
      </w:r>
      <w:r w:rsidR="00E20018">
        <w:t>assuming a benchmark efficient entity would</w:t>
      </w:r>
      <w:r w:rsidR="00E20018" w:rsidRPr="00E64F99">
        <w:t xml:space="preserve"> conduct </w:t>
      </w:r>
      <w:r w:rsidR="00E20018">
        <w:t>all of its</w:t>
      </w:r>
      <w:r w:rsidR="00E20018" w:rsidRPr="00E64F99">
        <w:t xml:space="preserve"> </w:t>
      </w:r>
      <w:r w:rsidR="00E20018">
        <w:t>activities</w:t>
      </w:r>
      <w:r w:rsidR="00E20018" w:rsidRPr="00E64F99">
        <w:t xml:space="preserve"> as we would imagine an unregulated firm would. </w:t>
      </w:r>
      <w:r w:rsidR="00DB15A8">
        <w:t>We must consider, after all, that our benchmark entity is 'efficient' in the context of the national electricity objective.  It is investing efficiently,</w:t>
      </w:r>
      <w:r w:rsidR="0034344E">
        <w:t xml:space="preserve"> incurring costs efficiently,</w:t>
      </w:r>
      <w:r w:rsidR="00DB15A8">
        <w:t xml:space="preserve"> charging prices that are efficient, in a system where the use and provision of services is efficient and it earns an efficient return. As Partington and Satchell advise, an unregulated benchmark with monopoly power is not appropriate because, '</w:t>
      </w:r>
      <w:r w:rsidR="00DB15A8" w:rsidRPr="00247802">
        <w:t>if the benchmark entity is an unregulated firm which has monopoly power, then it will be extracting economic rents</w:t>
      </w:r>
      <w:r w:rsidR="00DB15A8">
        <w:t>'.</w:t>
      </w:r>
      <w:r w:rsidR="00DB15A8">
        <w:rPr>
          <w:rStyle w:val="FootnoteReference"/>
        </w:rPr>
        <w:footnoteReference w:id="88"/>
      </w:r>
      <w:r w:rsidR="00DB15A8">
        <w:t xml:space="preserve">  It will not be a benchmark 'efficient' entity.  An unregulated monopoly service provider would therefore be unlikely to have the characteristics of a benchmark efficient entity with a similar degree of risk as a service provider in the provision of its regulated services.</w:t>
      </w:r>
    </w:p>
    <w:p w:rsidR="00E20018" w:rsidRPr="00B575CE" w:rsidRDefault="00E20018" w:rsidP="00E20018">
      <w:pPr>
        <w:pStyle w:val="Heading3"/>
      </w:pPr>
      <w:bookmarkStart w:id="36" w:name="_Toc450922716"/>
      <w:bookmarkStart w:id="37" w:name="_Toc451938951"/>
      <w:bookmarkStart w:id="38" w:name="_Toc456686699"/>
      <w:r>
        <w:t>Return on debt factors in the rules</w:t>
      </w:r>
      <w:bookmarkEnd w:id="36"/>
      <w:bookmarkEnd w:id="37"/>
      <w:bookmarkEnd w:id="38"/>
    </w:p>
    <w:p w:rsidR="00E20018" w:rsidRPr="002F1CCA" w:rsidRDefault="00E20018" w:rsidP="00CC7A1C">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89"/>
      </w:r>
    </w:p>
    <w:p w:rsidR="00E20018" w:rsidRPr="002F1CCA" w:rsidRDefault="00E20018" w:rsidP="00E20018">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90"/>
      </w:r>
      <w:r w:rsidRPr="002F1CCA">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r w:rsidR="001E2BC8">
        <w:t xml:space="preserve"> having the relevant degree of risk</w:t>
      </w:r>
      <w:r w:rsidR="001E2BC8" w:rsidRPr="002F1CCA">
        <w:t>.</w:t>
      </w:r>
    </w:p>
    <w:p w:rsidR="00E20018" w:rsidRPr="002F1CCA" w:rsidRDefault="00E20018" w:rsidP="00E20018">
      <w:pPr>
        <w:pStyle w:val="AERbulletlistfirststyle"/>
      </w:pPr>
      <w:r w:rsidRPr="002F1CCA">
        <w:t>The interrelationship between the return on equity and the return on debt.</w:t>
      </w:r>
      <w:r w:rsidRPr="001437CB">
        <w:rPr>
          <w:rStyle w:val="AERsuperscript"/>
        </w:rPr>
        <w:footnoteReference w:id="91"/>
      </w:r>
    </w:p>
    <w:p w:rsidR="00E20018" w:rsidRPr="002F1CCA" w:rsidRDefault="00E20018" w:rsidP="00E20018">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92"/>
      </w:r>
    </w:p>
    <w:p w:rsidR="00E20018" w:rsidRPr="002F1CCA" w:rsidRDefault="00E20018" w:rsidP="00E20018">
      <w:pPr>
        <w:pStyle w:val="AERbulletlistfirststyle"/>
      </w:pPr>
      <w:r w:rsidRPr="002F1CCA">
        <w:t xml:space="preserve">Any impacts (including in relation to the costs of servicing debt across </w:t>
      </w:r>
      <w:r>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Pr="0091529E">
        <w:t xml:space="preserve"> </w:t>
      </w:r>
      <w:r>
        <w:t>control</w:t>
      </w:r>
      <w:r w:rsidRPr="002F1CCA">
        <w:t xml:space="preserve"> period to the next.</w:t>
      </w:r>
      <w:r w:rsidRPr="001437CB">
        <w:rPr>
          <w:rStyle w:val="AERsuperscript"/>
        </w:rPr>
        <w:footnoteReference w:id="93"/>
      </w:r>
    </w:p>
    <w:p w:rsidR="00E20018" w:rsidRDefault="00E20018" w:rsidP="00E20018">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t xml:space="preserve">regulatory control </w:t>
      </w:r>
      <w:r w:rsidRPr="002F1CCA">
        <w:t>period.</w:t>
      </w:r>
      <w:r w:rsidRPr="001437CB">
        <w:rPr>
          <w:rStyle w:val="AERsuperscript"/>
        </w:rPr>
        <w:footnoteReference w:id="94"/>
      </w:r>
      <w:r w:rsidRPr="001437CB">
        <w:rPr>
          <w:rStyle w:val="AERsuperscript"/>
        </w:rPr>
        <w:t xml:space="preserve"> </w:t>
      </w:r>
      <w:r w:rsidRPr="00FA6A21">
        <w:rPr>
          <w:rStyle w:val="AERbody"/>
        </w:rPr>
        <w:t xml:space="preserve"> </w:t>
      </w:r>
    </w:p>
    <w:p w:rsidR="00E20018" w:rsidRDefault="00E20018" w:rsidP="00E20018">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5"/>
      </w:r>
      <w:r w:rsidRPr="00FA6A21">
        <w:t xml:space="preserve"> </w:t>
      </w:r>
      <w:r>
        <w:t xml:space="preserve">flowing between a benchmark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t>regulatory</w:t>
      </w:r>
      <w:r w:rsidRPr="002F1CCA">
        <w:t xml:space="preserve"> </w:t>
      </w:r>
      <w:r>
        <w:t xml:space="preserve">control </w:t>
      </w:r>
      <w:r w:rsidRPr="002F1CCA">
        <w:t>period to the next</w:t>
      </w:r>
      <w:r>
        <w:rPr>
          <w:rStyle w:val="AERbody"/>
        </w:rPr>
        <w:t xml:space="preserve">. </w:t>
      </w:r>
    </w:p>
    <w:p w:rsidR="00E20018" w:rsidRDefault="00E20018" w:rsidP="00E20018">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E20018" w:rsidRPr="008D480D" w:rsidRDefault="00E20018" w:rsidP="00E20018">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for that regulatory</w:t>
      </w:r>
      <w:r w:rsidRPr="0091529E">
        <w:t xml:space="preserve"> </w:t>
      </w:r>
      <w:r>
        <w:t>control period</w:t>
      </w:r>
      <w:r w:rsidRPr="002F1CCA">
        <w:t>.</w:t>
      </w:r>
      <w:r w:rsidRPr="002F1CCA">
        <w:rPr>
          <w:rStyle w:val="AERsuperscript"/>
        </w:rPr>
        <w:footnoteReference w:id="96"/>
      </w:r>
      <w:r>
        <w:t xml:space="preserve"> We address this in our section on debt implementation.</w:t>
      </w:r>
    </w:p>
    <w:p w:rsidR="00E20018" w:rsidRPr="00B575CE" w:rsidRDefault="00E20018" w:rsidP="00E20018">
      <w:pPr>
        <w:pStyle w:val="Heading3"/>
      </w:pPr>
      <w:bookmarkStart w:id="39" w:name="_Toc450922717"/>
      <w:bookmarkStart w:id="40" w:name="_Toc451938952"/>
      <w:bookmarkStart w:id="41" w:name="_Toc456686700"/>
      <w:r>
        <w:t>R</w:t>
      </w:r>
      <w:r w:rsidRPr="00B575CE">
        <w:t>ate of return Guideline</w:t>
      </w:r>
      <w:bookmarkEnd w:id="39"/>
      <w:bookmarkEnd w:id="40"/>
      <w:bookmarkEnd w:id="41"/>
    </w:p>
    <w:p w:rsidR="00E20018" w:rsidRDefault="00E20018" w:rsidP="00E20018">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97"/>
      </w:r>
    </w:p>
    <w:p w:rsidR="00E20018" w:rsidRDefault="00E20018" w:rsidP="00E20018">
      <w:pPr>
        <w:pStyle w:val="HeadingBoldBlue"/>
      </w:pPr>
      <w:bookmarkStart w:id="42" w:name="_Toc450922718"/>
      <w:r>
        <w:t>Role of the Guideline</w:t>
      </w:r>
      <w:bookmarkEnd w:id="42"/>
    </w:p>
    <w:p w:rsidR="00E20018" w:rsidRDefault="00E20018" w:rsidP="00CC7A1C">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98"/>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99"/>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E20018" w:rsidRDefault="00E20018" w:rsidP="00CC7A1C">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100"/>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101"/>
      </w:r>
    </w:p>
    <w:p w:rsidR="00E20018" w:rsidRPr="00762AAF" w:rsidRDefault="00E20018" w:rsidP="00CC7A1C">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102"/>
      </w:r>
      <w:r w:rsidRPr="00762AAF">
        <w:t xml:space="preserve"> </w:t>
      </w:r>
      <w:r>
        <w:t>The Guideline specifies</w:t>
      </w:r>
      <w:r w:rsidRPr="00762AAF">
        <w:t>:</w:t>
      </w:r>
      <w:r w:rsidRPr="00762AAF">
        <w:rPr>
          <w:rStyle w:val="FootnoteReference"/>
        </w:rPr>
        <w:footnoteReference w:id="103"/>
      </w:r>
    </w:p>
    <w:p w:rsidR="00E20018" w:rsidRPr="00762AAF" w:rsidRDefault="00E20018" w:rsidP="00E20018">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E20018" w:rsidRPr="00762AAF" w:rsidRDefault="00E20018" w:rsidP="00E20018">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E20018" w:rsidRDefault="00E20018" w:rsidP="00E20018">
      <w:pPr>
        <w:pStyle w:val="AERbulletlistfirststyle"/>
      </w:pPr>
      <w:r>
        <w:t>h</w:t>
      </w:r>
      <w:r w:rsidRPr="00762AAF">
        <w:t xml:space="preserve">ow these methods will result in an allowed return on equity and return on debt which we are satisfied achieves the </w:t>
      </w:r>
      <w:r>
        <w:t>ARORO</w:t>
      </w:r>
      <w:r w:rsidRPr="00762AAF">
        <w:t>.</w:t>
      </w:r>
    </w:p>
    <w:p w:rsidR="00E20018" w:rsidRDefault="00E20018" w:rsidP="00CC7A1C">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E20018" w:rsidRDefault="00E20018" w:rsidP="00CC7A1C">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104"/>
      </w:r>
      <w:r>
        <w:t xml:space="preserve"> Details of the Guideline development process are also on our website.</w:t>
      </w:r>
      <w:r>
        <w:rPr>
          <w:rStyle w:val="FootnoteReference"/>
        </w:rPr>
        <w:footnoteReference w:id="105"/>
      </w:r>
      <w:r>
        <w:t xml:space="preserve"> </w:t>
      </w:r>
    </w:p>
    <w:p w:rsidR="00E20018" w:rsidRDefault="00E20018" w:rsidP="00E20018">
      <w:pPr>
        <w:pStyle w:val="HeadingBoldBlue"/>
      </w:pPr>
      <w:bookmarkStart w:id="43" w:name="_Toc450922719"/>
      <w:r>
        <w:t>Key elements of the Guideline</w:t>
      </w:r>
      <w:bookmarkEnd w:id="43"/>
      <w:r>
        <w:t xml:space="preserve"> </w:t>
      </w:r>
    </w:p>
    <w:p w:rsidR="00E20018" w:rsidRDefault="00E20018" w:rsidP="00E20018">
      <w:pPr>
        <w:rPr>
          <w:rStyle w:val="AERbody"/>
        </w:rPr>
      </w:pPr>
      <w:r>
        <w:rPr>
          <w:rStyle w:val="AERbody"/>
        </w:rPr>
        <w:t>The Guideline provides transparency on how we propose to estimate key components of the allowed rate of return. We summarise these below.</w:t>
      </w:r>
    </w:p>
    <w:p w:rsidR="00E20018" w:rsidRPr="00762AAF" w:rsidRDefault="00E20018" w:rsidP="00E20018">
      <w:pPr>
        <w:pStyle w:val="HeadingBoldItalic"/>
      </w:pPr>
      <w:r w:rsidRPr="00762AAF">
        <w:t>Application of criteria for assessing information</w:t>
      </w:r>
    </w:p>
    <w:p w:rsidR="00E20018" w:rsidRPr="00762AAF" w:rsidRDefault="00E20018" w:rsidP="00CC7A1C">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6"/>
      </w:r>
      <w:r w:rsidRPr="00762AAF">
        <w:t xml:space="preserve"> </w:t>
      </w:r>
    </w:p>
    <w:p w:rsidR="00E20018" w:rsidRPr="00762AAF" w:rsidRDefault="00E20018" w:rsidP="00CC7A1C">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E20018" w:rsidRPr="00762AAF" w:rsidRDefault="00E20018" w:rsidP="00CC7A1C">
      <w:pPr>
        <w:numPr>
          <w:ilvl w:val="4"/>
          <w:numId w:val="24"/>
        </w:numPr>
      </w:pPr>
      <w:r w:rsidRPr="00762AAF">
        <w:t>where applicable, reflective of economic and finance principles and market information</w:t>
      </w:r>
    </w:p>
    <w:p w:rsidR="00E20018" w:rsidRPr="00762AAF" w:rsidRDefault="00E20018" w:rsidP="00CC7A1C">
      <w:pPr>
        <w:numPr>
          <w:ilvl w:val="5"/>
          <w:numId w:val="24"/>
        </w:numPr>
      </w:pPr>
      <w:r w:rsidRPr="00762AAF">
        <w:t>estimation methods and financial models are consistent with well accepted economic and finance principles and informed by sound empirical analysis and robust data</w:t>
      </w:r>
    </w:p>
    <w:p w:rsidR="00E20018" w:rsidRPr="00762AAF" w:rsidRDefault="00E20018" w:rsidP="00CC7A1C">
      <w:pPr>
        <w:numPr>
          <w:ilvl w:val="4"/>
          <w:numId w:val="24"/>
        </w:numPr>
      </w:pPr>
      <w:r w:rsidRPr="00762AAF">
        <w:t>fit for purpose</w:t>
      </w:r>
    </w:p>
    <w:p w:rsidR="00E20018" w:rsidRPr="00762AAF" w:rsidRDefault="00E20018" w:rsidP="00CC7A1C">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E20018" w:rsidRPr="00762AAF" w:rsidRDefault="00E20018" w:rsidP="00CC7A1C">
      <w:pPr>
        <w:numPr>
          <w:ilvl w:val="5"/>
          <w:numId w:val="24"/>
        </w:numPr>
      </w:pPr>
      <w:r w:rsidRPr="00762AAF">
        <w:t xml:space="preserve">promote simple over complex approaches where appropriate </w:t>
      </w:r>
    </w:p>
    <w:p w:rsidR="00E20018" w:rsidRPr="00762AAF" w:rsidRDefault="00E20018" w:rsidP="00CC7A1C">
      <w:pPr>
        <w:numPr>
          <w:ilvl w:val="4"/>
          <w:numId w:val="24"/>
        </w:numPr>
      </w:pPr>
      <w:r w:rsidRPr="00762AAF">
        <w:t>implemented in accordance with good practice</w:t>
      </w:r>
    </w:p>
    <w:p w:rsidR="00E20018" w:rsidRPr="00762AAF" w:rsidRDefault="00E20018" w:rsidP="00CC7A1C">
      <w:pPr>
        <w:numPr>
          <w:ilvl w:val="5"/>
          <w:numId w:val="24"/>
        </w:numPr>
      </w:pPr>
      <w:r w:rsidRPr="00762AAF">
        <w:t>supported by robust, transparent and replicable analysis that is derived from available credible datasets</w:t>
      </w:r>
    </w:p>
    <w:p w:rsidR="00E20018" w:rsidRPr="00762AAF" w:rsidRDefault="00E20018" w:rsidP="00CC7A1C">
      <w:pPr>
        <w:numPr>
          <w:ilvl w:val="4"/>
          <w:numId w:val="24"/>
        </w:numPr>
      </w:pPr>
      <w:r w:rsidRPr="00762AAF">
        <w:t>where models of the return on equity and debt are used these are</w:t>
      </w:r>
    </w:p>
    <w:p w:rsidR="00E20018" w:rsidRPr="00762AAF" w:rsidRDefault="00E20018" w:rsidP="00CC7A1C">
      <w:pPr>
        <w:numPr>
          <w:ilvl w:val="5"/>
          <w:numId w:val="24"/>
        </w:numPr>
      </w:pPr>
      <w:r w:rsidRPr="00762AAF">
        <w:t>based on quantitative modelling that is sufficiently robust as to not be unduly sensitive to errors in inputs estimation</w:t>
      </w:r>
    </w:p>
    <w:p w:rsidR="00E20018" w:rsidRPr="00762AAF" w:rsidRDefault="00E20018" w:rsidP="00CC7A1C">
      <w:pPr>
        <w:numPr>
          <w:ilvl w:val="5"/>
          <w:numId w:val="24"/>
        </w:numPr>
      </w:pPr>
      <w:r w:rsidRPr="00762AAF">
        <w:t>based on quantitative modelling which avoids arbitrary filtering or adjustment of data, which does not have a sound rationale</w:t>
      </w:r>
    </w:p>
    <w:p w:rsidR="00E20018" w:rsidRPr="00762AAF" w:rsidRDefault="00E20018" w:rsidP="00CC7A1C">
      <w:pPr>
        <w:numPr>
          <w:ilvl w:val="4"/>
          <w:numId w:val="24"/>
        </w:numPr>
      </w:pPr>
      <w:r w:rsidRPr="00762AAF">
        <w:t>where market data and other information is used, this information is</w:t>
      </w:r>
    </w:p>
    <w:p w:rsidR="00E20018" w:rsidRPr="00762AAF" w:rsidRDefault="00E20018" w:rsidP="00CC7A1C">
      <w:pPr>
        <w:numPr>
          <w:ilvl w:val="5"/>
          <w:numId w:val="24"/>
        </w:numPr>
      </w:pPr>
      <w:r w:rsidRPr="00762AAF">
        <w:t>credible and verifiable</w:t>
      </w:r>
    </w:p>
    <w:p w:rsidR="00E20018" w:rsidRPr="00762AAF" w:rsidRDefault="00E20018" w:rsidP="00CC7A1C">
      <w:pPr>
        <w:numPr>
          <w:ilvl w:val="5"/>
          <w:numId w:val="24"/>
        </w:numPr>
      </w:pPr>
      <w:r w:rsidRPr="00762AAF">
        <w:t>comparable and timely</w:t>
      </w:r>
    </w:p>
    <w:p w:rsidR="00E20018" w:rsidRPr="00762AAF" w:rsidRDefault="00E20018" w:rsidP="00CC7A1C">
      <w:pPr>
        <w:numPr>
          <w:ilvl w:val="5"/>
          <w:numId w:val="24"/>
        </w:numPr>
      </w:pPr>
      <w:r w:rsidRPr="00762AAF">
        <w:t>clearly sourced</w:t>
      </w:r>
    </w:p>
    <w:p w:rsidR="00E20018" w:rsidRPr="00762AAF" w:rsidRDefault="00E20018" w:rsidP="00CC7A1C">
      <w:pPr>
        <w:numPr>
          <w:ilvl w:val="4"/>
          <w:numId w:val="24"/>
        </w:numPr>
      </w:pPr>
      <w:r w:rsidRPr="00762AAF">
        <w:t>sufficiently flexible as to allow changing market conditions and new information to be reflected in regulatory outcomes, as appropriate.</w:t>
      </w:r>
    </w:p>
    <w:p w:rsidR="00E20018" w:rsidRPr="00762AAF" w:rsidRDefault="00E20018" w:rsidP="00E20018">
      <w:r>
        <w:t>We applied t</w:t>
      </w:r>
      <w:r w:rsidRPr="00762AAF">
        <w:t>hese criteria in this decision to guide us in deciding on the merits of the material before us and the best place to employ the material (if at all).</w:t>
      </w:r>
    </w:p>
    <w:p w:rsidR="00E20018" w:rsidRPr="00762AAF" w:rsidRDefault="00E20018" w:rsidP="00E20018">
      <w:pPr>
        <w:pStyle w:val="HeadingBoldItalic"/>
      </w:pPr>
      <w:r w:rsidRPr="00762AAF">
        <w:t xml:space="preserve">Benchmark efficient entity </w:t>
      </w:r>
    </w:p>
    <w:p w:rsidR="00DF65C9" w:rsidRDefault="00E20018" w:rsidP="00CC7A1C">
      <w:pPr>
        <w:numPr>
          <w:ilvl w:val="0"/>
          <w:numId w:val="24"/>
        </w:numPr>
      </w:pPr>
      <w:r>
        <w:t>We generally see</w:t>
      </w:r>
      <w:r w:rsidRPr="00762AAF">
        <w:t xml:space="preserve"> a benchmark efficient entity</w:t>
      </w:r>
      <w:r>
        <w:t xml:space="preserve"> with a similar degree of risk as that applying to the service provider in respect of the provision of prescribed transmission services  as being </w:t>
      </w:r>
      <w:r w:rsidRPr="00762AAF">
        <w:t>'a pure play, regulated energy network business operating within Australia'.</w:t>
      </w:r>
      <w:r w:rsidR="00DF65C9">
        <w:t xml:space="preserve"> We say 'generally' because these characteristics are set out for guidance.  They are not applied as if amounting to a fixed rule.  This includes the following components which we think assist in informing us about relevant benchmarks with a similar degree of risk to the service provider in the provision of regulated services:</w:t>
      </w:r>
      <w:r w:rsidR="00DF65C9" w:rsidRPr="00762AAF">
        <w:rPr>
          <w:rStyle w:val="FootnoteReference"/>
        </w:rPr>
        <w:footnoteReference w:id="107"/>
      </w:r>
    </w:p>
    <w:p w:rsidR="00DF65C9" w:rsidRDefault="00DF65C9" w:rsidP="00DF65C9">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Pr="00762AAF">
        <w:t>.</w:t>
      </w:r>
      <w:r>
        <w:t xml:space="preserve"> </w:t>
      </w:r>
    </w:p>
    <w:p w:rsidR="00E20018" w:rsidRDefault="00E20018" w:rsidP="00E20018">
      <w:pPr>
        <w:pStyle w:val="AERbulletlistfirststyle"/>
      </w:pPr>
      <w:r>
        <w:t>Regulated:</w:t>
      </w:r>
      <w:r w:rsidRPr="006E696E">
        <w:t xml:space="preserve"> </w:t>
      </w:r>
      <w:r>
        <w:t>An entity</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 services. Comparable risk is an important component of the ARORO.</w:t>
      </w:r>
    </w:p>
    <w:p w:rsidR="00E20018" w:rsidRPr="00762AAF" w:rsidRDefault="00E20018" w:rsidP="00E20018">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E20018" w:rsidRPr="006E696E" w:rsidRDefault="00E20018" w:rsidP="00E20018">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E20018" w:rsidRPr="00762AAF" w:rsidRDefault="00E20018" w:rsidP="00E20018">
      <w:pPr>
        <w:pStyle w:val="HeadingBoldItalic"/>
      </w:pPr>
      <w:r w:rsidRPr="00762AAF">
        <w:t>Gearing</w:t>
      </w:r>
    </w:p>
    <w:p w:rsidR="00E20018" w:rsidRPr="00762AAF" w:rsidRDefault="00E20018" w:rsidP="00CC7A1C">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08"/>
      </w:r>
    </w:p>
    <w:p w:rsidR="00E20018" w:rsidRPr="00762AAF" w:rsidRDefault="00E20018" w:rsidP="00E20018">
      <w:pPr>
        <w:pStyle w:val="HeadingBoldItalic"/>
      </w:pPr>
      <w:r w:rsidRPr="00762AAF">
        <w:t>Return on equity</w:t>
      </w:r>
    </w:p>
    <w:p w:rsidR="00E20018" w:rsidRPr="00762AAF" w:rsidRDefault="00E20018" w:rsidP="00CC7A1C">
      <w:pPr>
        <w:numPr>
          <w:ilvl w:val="0"/>
          <w:numId w:val="24"/>
        </w:numPr>
      </w:pPr>
      <w:r w:rsidRPr="00762AAF">
        <w:t xml:space="preserve">We estimate the </w:t>
      </w:r>
      <w:r>
        <w:t>allowed</w:t>
      </w:r>
      <w:r w:rsidRPr="00762AAF">
        <w:t xml:space="preserve"> return on equity using the six steps set out in the flow chart in</w:t>
      </w:r>
      <w:r>
        <w:t xml:space="preserve"> </w:t>
      </w:r>
      <w:r>
        <w:fldChar w:fldCharType="begin"/>
      </w:r>
      <w:r>
        <w:instrText xml:space="preserve"> REF  _Ref451351195 \* Lower \h </w:instrText>
      </w:r>
      <w:r>
        <w:fldChar w:fldCharType="separate"/>
      </w:r>
      <w:r w:rsidR="00C6448C" w:rsidRPr="00762AAF">
        <w:t xml:space="preserve">figure </w:t>
      </w:r>
      <w:r w:rsidR="00C6448C">
        <w:rPr>
          <w:noProof/>
        </w:rPr>
        <w:t>3</w:t>
      </w:r>
      <w:r w:rsidR="00C6448C">
        <w:noBreakHyphen/>
      </w:r>
      <w:r w:rsidR="00C6448C">
        <w:rPr>
          <w:noProof/>
        </w:rPr>
        <w:t>2</w:t>
      </w:r>
      <w:r>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09"/>
      </w:r>
    </w:p>
    <w:p w:rsidR="00E20018" w:rsidRPr="00762AAF" w:rsidRDefault="00E20018" w:rsidP="00E20018">
      <w:pPr>
        <w:pStyle w:val="Caption"/>
      </w:pPr>
      <w:bookmarkStart w:id="44" w:name="_Ref451351195"/>
      <w:r w:rsidRPr="00762AAF">
        <w:t xml:space="preserve">Figure </w:t>
      </w:r>
      <w:fldSimple w:instr=" STYLEREF 1 \s ">
        <w:r w:rsidR="00C6448C">
          <w:rPr>
            <w:noProof/>
          </w:rPr>
          <w:t>3</w:t>
        </w:r>
      </w:fldSimple>
      <w:r w:rsidR="00882F3D">
        <w:noBreakHyphen/>
      </w:r>
      <w:fldSimple w:instr=" SEQ Figure \* ARABIC \s 1 ">
        <w:r w:rsidR="00C6448C">
          <w:rPr>
            <w:noProof/>
          </w:rPr>
          <w:t>2</w:t>
        </w:r>
      </w:fldSimple>
      <w:bookmarkEnd w:id="44"/>
      <w:r w:rsidRPr="00762AAF">
        <w:tab/>
        <w:t xml:space="preserve">Flowchart of the AER’s proposed approach to estimating the </w:t>
      </w:r>
      <w:r>
        <w:t>allowed</w:t>
      </w:r>
      <w:r w:rsidRPr="00762AAF">
        <w:t xml:space="preserve"> return on equity</w:t>
      </w:r>
    </w:p>
    <w:p w:rsidR="00E20018" w:rsidRPr="00762AAF" w:rsidRDefault="00E20018" w:rsidP="00CC7A1C">
      <w:pPr>
        <w:numPr>
          <w:ilvl w:val="0"/>
          <w:numId w:val="24"/>
        </w:numPr>
      </w:pPr>
      <w:r w:rsidRPr="00E20018">
        <w:rPr>
          <w:noProof/>
          <w:lang w:eastAsia="en-AU"/>
        </w:rPr>
        <w:drawing>
          <wp:inline distT="0" distB="0" distL="0" distR="0" wp14:anchorId="47C1F5B6" wp14:editId="76FC2F44">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8">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E20018" w:rsidRPr="00F06EAD" w:rsidRDefault="00E20018" w:rsidP="00E20018">
      <w:pPr>
        <w:rPr>
          <w:rStyle w:val="AERbody"/>
        </w:rPr>
      </w:pPr>
    </w:p>
    <w:p w:rsidR="00E20018" w:rsidRPr="00762AAF" w:rsidRDefault="00E20018" w:rsidP="00E20018"/>
    <w:p w:rsidR="00E20018" w:rsidRPr="00762AAF" w:rsidRDefault="00E20018" w:rsidP="00E20018">
      <w:pPr>
        <w:pStyle w:val="HeadingBoldItalic"/>
      </w:pPr>
      <w:r w:rsidRPr="00762AAF">
        <w:t>Return on debt</w:t>
      </w:r>
    </w:p>
    <w:p w:rsidR="00E20018" w:rsidRDefault="00E20018" w:rsidP="00CC7A1C">
      <w:pPr>
        <w:pStyle w:val="ListParagraph"/>
        <w:numPr>
          <w:ilvl w:val="0"/>
          <w:numId w:val="24"/>
        </w:numPr>
      </w:pPr>
      <w:r>
        <w:t>We:</w:t>
      </w:r>
    </w:p>
    <w:p w:rsidR="00E20018" w:rsidRPr="00762AAF" w:rsidRDefault="00E20018" w:rsidP="00E20018">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2017–18</w:t>
      </w:r>
      <w:r w:rsidR="00DD2C3C">
        <w:t xml:space="preserve"> </w:t>
      </w:r>
      <w:r>
        <w:t>of the 2017</w:t>
      </w:r>
      <w:r w:rsidRPr="00762AAF">
        <w:t>–</w:t>
      </w:r>
      <w:r w:rsidR="007938E5">
        <w:t>19</w:t>
      </w:r>
      <w:r w:rsidR="007938E5" w:rsidRPr="00762AAF">
        <w:t xml:space="preserve"> </w:t>
      </w:r>
      <w:r>
        <w:t xml:space="preserve">regulatory control </w:t>
      </w:r>
      <w:r w:rsidRPr="00762AAF">
        <w:t>period, and</w:t>
      </w:r>
    </w:p>
    <w:p w:rsidR="00E20018" w:rsidRPr="00762AAF" w:rsidRDefault="00E20018" w:rsidP="00E20018">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110"/>
      </w:r>
    </w:p>
    <w:p w:rsidR="00E20018" w:rsidRPr="00762AAF" w:rsidRDefault="00E20018" w:rsidP="00E20018">
      <w:r>
        <w:t>We also proposed</w:t>
      </w:r>
      <w:r w:rsidRPr="00762AAF">
        <w:t xml:space="preserve"> to estimate the return on debt in each regulatory year by reference to:</w:t>
      </w:r>
    </w:p>
    <w:p w:rsidR="00E20018" w:rsidRPr="00762AAF" w:rsidRDefault="00E20018" w:rsidP="00E20018">
      <w:pPr>
        <w:pStyle w:val="AERbulletlistfirststyle"/>
      </w:pPr>
      <w:r w:rsidRPr="00762AAF">
        <w:t>a benchmark credit rating of BBB+</w:t>
      </w:r>
    </w:p>
    <w:p w:rsidR="00E20018" w:rsidRPr="00762AAF" w:rsidRDefault="00E20018" w:rsidP="00E20018">
      <w:pPr>
        <w:pStyle w:val="AERbulletlistfirststyle"/>
      </w:pPr>
      <w:r w:rsidRPr="00762AAF">
        <w:t>a benchmark term of debt of 10 years</w:t>
      </w:r>
    </w:p>
    <w:p w:rsidR="00E20018" w:rsidRPr="00762AAF" w:rsidRDefault="00E20018" w:rsidP="00E20018">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111"/>
      </w:r>
    </w:p>
    <w:p w:rsidR="00E20018" w:rsidRPr="00762AAF" w:rsidRDefault="00E20018" w:rsidP="00E20018">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112"/>
      </w:r>
    </w:p>
    <w:p w:rsidR="00E20018" w:rsidRPr="00762AAF" w:rsidRDefault="00E20018" w:rsidP="00E20018">
      <w:pPr>
        <w:pStyle w:val="HeadingBoldItalic"/>
      </w:pPr>
      <w:r w:rsidRPr="00762AAF">
        <w:t>Mid period WACC adjustment</w:t>
      </w:r>
    </w:p>
    <w:p w:rsidR="00E20018" w:rsidRDefault="00E20018" w:rsidP="00CC7A1C">
      <w:pPr>
        <w:numPr>
          <w:ilvl w:val="0"/>
          <w:numId w:val="24"/>
        </w:numPr>
      </w:pPr>
      <w:r w:rsidRPr="00762AAF">
        <w:t>We 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13"/>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14"/>
      </w:r>
    </w:p>
    <w:p w:rsidR="00E20018" w:rsidRPr="00B575CE" w:rsidRDefault="00E20018" w:rsidP="00E20018">
      <w:pPr>
        <w:pStyle w:val="Heading3"/>
      </w:pPr>
      <w:bookmarkStart w:id="45" w:name="_Toc450922720"/>
      <w:bookmarkStart w:id="46" w:name="_Toc451938953"/>
      <w:bookmarkStart w:id="47" w:name="_Toc456686701"/>
      <w:r>
        <w:t>Interrelationships</w:t>
      </w:r>
      <w:bookmarkEnd w:id="45"/>
      <w:bookmarkEnd w:id="46"/>
      <w:bookmarkEnd w:id="47"/>
    </w:p>
    <w:p w:rsidR="00E20018" w:rsidRPr="00785554" w:rsidRDefault="00E20018" w:rsidP="00E20018">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15"/>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E20018" w:rsidRPr="00762AAF" w:rsidRDefault="00E20018" w:rsidP="00CC7A1C">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6"/>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t>prescribed transmission</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17"/>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18"/>
      </w:r>
    </w:p>
    <w:p w:rsidR="00E20018" w:rsidRPr="00762AAF" w:rsidRDefault="00E20018" w:rsidP="00CC7A1C">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E20018" w:rsidRPr="00762AAF" w:rsidRDefault="00E20018" w:rsidP="00E20018">
      <w:pPr>
        <w:rPr>
          <w:rStyle w:val="Strong"/>
        </w:rPr>
      </w:pPr>
      <w:r>
        <w:rPr>
          <w:rStyle w:val="Strong"/>
        </w:rPr>
        <w:t>A</w:t>
      </w:r>
      <w:r w:rsidRPr="00762AAF">
        <w:rPr>
          <w:rStyle w:val="Strong"/>
        </w:rPr>
        <w:t xml:space="preserve"> benchmark </w:t>
      </w:r>
    </w:p>
    <w:p w:rsidR="00E20018" w:rsidRPr="00762AAF" w:rsidRDefault="00E20018" w:rsidP="00CC7A1C">
      <w:pPr>
        <w:numPr>
          <w:ilvl w:val="0"/>
          <w:numId w:val="24"/>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w:t>
      </w:r>
      <w:r w:rsidR="00AA15E7">
        <w:t xml:space="preserve"> appropriately</w:t>
      </w:r>
      <w:r w:rsidRPr="00762AAF">
        <w:t xml:space="preserve"> compensated at all.</w:t>
      </w:r>
      <w:r w:rsidRPr="00762AAF">
        <w:rPr>
          <w:rStyle w:val="FootnoteReference"/>
        </w:rPr>
        <w:footnoteReference w:id="119"/>
      </w:r>
      <w:r w:rsidRPr="00762AAF">
        <w:t xml:space="preserve"> These interrelationships between the types of risk and the required compensation via the rate of return are an important factor.</w:t>
      </w:r>
      <w:r w:rsidRPr="00762AAF">
        <w:rPr>
          <w:rStyle w:val="FootnoteReference"/>
        </w:rPr>
        <w:footnoteReference w:id="120"/>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E20018" w:rsidRPr="00762AAF" w:rsidRDefault="00E20018" w:rsidP="00E20018">
      <w:pPr>
        <w:pStyle w:val="AERbulletlistfirststyle"/>
      </w:pPr>
      <w:r w:rsidRPr="00762AAF">
        <w:t>energy type (gas or electricity)</w:t>
      </w:r>
    </w:p>
    <w:p w:rsidR="00E20018" w:rsidRPr="00762AAF" w:rsidRDefault="00E20018" w:rsidP="00E20018">
      <w:pPr>
        <w:pStyle w:val="AERbulletlistfirststyle"/>
      </w:pPr>
      <w:r w:rsidRPr="00762AAF">
        <w:t>network type (distribution or transmission)</w:t>
      </w:r>
    </w:p>
    <w:p w:rsidR="00E20018" w:rsidRPr="00762AAF" w:rsidRDefault="00E20018" w:rsidP="00E20018">
      <w:pPr>
        <w:pStyle w:val="AERbulletlistfirststyle"/>
      </w:pPr>
      <w:r w:rsidRPr="00762AAF">
        <w:t>ownership type (government or private)</w:t>
      </w:r>
    </w:p>
    <w:p w:rsidR="00E20018" w:rsidRPr="00762AAF" w:rsidRDefault="00E20018" w:rsidP="00E20018">
      <w:pPr>
        <w:pStyle w:val="AERbulletlistfirststyle"/>
      </w:pPr>
      <w:r w:rsidRPr="00762AAF">
        <w:t>size of the service provider (big or small).</w:t>
      </w:r>
    </w:p>
    <w:p w:rsidR="00E20018" w:rsidRPr="00762AAF" w:rsidRDefault="00E20018" w:rsidP="00CC7A1C">
      <w:pPr>
        <w:numPr>
          <w:ilvl w:val="0"/>
          <w:numId w:val="24"/>
        </w:numPr>
        <w:rPr>
          <w:rStyle w:val="Strong"/>
        </w:rPr>
      </w:pPr>
      <w:r w:rsidRPr="00762AAF">
        <w:rPr>
          <w:rStyle w:val="Strong"/>
        </w:rPr>
        <w:t>Domestic market</w:t>
      </w:r>
    </w:p>
    <w:p w:rsidR="00E20018" w:rsidRPr="00762AAF" w:rsidRDefault="00E20018" w:rsidP="00CC7A1C">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E20018" w:rsidRPr="00762AAF" w:rsidRDefault="00E20018" w:rsidP="00E20018">
      <w:pPr>
        <w:rPr>
          <w:rStyle w:val="Strong"/>
        </w:rPr>
      </w:pPr>
      <w:r w:rsidRPr="00762AAF">
        <w:rPr>
          <w:rStyle w:val="Strong"/>
        </w:rPr>
        <w:t>Benchmark gearing</w:t>
      </w:r>
    </w:p>
    <w:p w:rsidR="00E20018" w:rsidRPr="00762AAF" w:rsidRDefault="00E20018" w:rsidP="00E20018">
      <w:r w:rsidRPr="00762AAF">
        <w:t>We apply a benchmark efficient level of gearing of 60 per cent, as noted above. This benchmark gearing level is used:</w:t>
      </w:r>
    </w:p>
    <w:p w:rsidR="00E20018" w:rsidRPr="00762AAF" w:rsidRDefault="00E20018" w:rsidP="00E20018">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E20018" w:rsidRPr="00762AAF" w:rsidRDefault="00E20018" w:rsidP="00E20018">
      <w:pPr>
        <w:pStyle w:val="AERbulletlistfirststyle"/>
      </w:pPr>
      <w:r w:rsidRPr="00762AAF">
        <w:t>to re-lever asset betas for the purposes of comparing the levels of systematic risk across businesses which is relevant for the equity beta estimate.</w:t>
      </w:r>
    </w:p>
    <w:p w:rsidR="00E20018" w:rsidRPr="00762AAF" w:rsidRDefault="00E20018" w:rsidP="00E20018">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21"/>
      </w:r>
    </w:p>
    <w:p w:rsidR="00E20018" w:rsidRPr="00762AAF" w:rsidRDefault="00E20018" w:rsidP="00E20018">
      <w:pPr>
        <w:rPr>
          <w:rStyle w:val="Strong"/>
        </w:rPr>
      </w:pPr>
      <w:r w:rsidRPr="00762AAF">
        <w:rPr>
          <w:rStyle w:val="Strong"/>
        </w:rPr>
        <w:t>Term of the rate of return</w:t>
      </w:r>
    </w:p>
    <w:p w:rsidR="00E20018" w:rsidRPr="00762AAF" w:rsidRDefault="00E20018" w:rsidP="00CC7A1C">
      <w:pPr>
        <w:numPr>
          <w:ilvl w:val="0"/>
          <w:numId w:val="24"/>
        </w:numPr>
      </w:pPr>
      <w:r w:rsidRPr="00762AAF">
        <w:t>We adopt a 10 year term for our overall rate of return.</w:t>
      </w:r>
      <w:r w:rsidRPr="00762AAF">
        <w:rPr>
          <w:rStyle w:val="FootnoteReference"/>
        </w:rPr>
        <w:footnoteReference w:id="122"/>
      </w:r>
      <w:r w:rsidRPr="00762AAF">
        <w:t xml:space="preserve"> This results in the following economic interdependencies that impact on the implementation of our return on equity and debt estimation methods:</w:t>
      </w:r>
    </w:p>
    <w:p w:rsidR="00E20018" w:rsidRPr="00762AAF" w:rsidRDefault="00E20018" w:rsidP="00E20018">
      <w:pPr>
        <w:pStyle w:val="AERbulletlistfirststyle"/>
      </w:pPr>
      <w:r>
        <w:t>t</w:t>
      </w:r>
      <w:r w:rsidRPr="00762AAF">
        <w:t>he risk free rate used for estimating the return on equity is a 10 year forward looking rate</w:t>
      </w:r>
    </w:p>
    <w:p w:rsidR="00E20018" w:rsidRPr="00762AAF" w:rsidRDefault="00E20018" w:rsidP="00E20018">
      <w:pPr>
        <w:pStyle w:val="AERbulletlistfirststyle"/>
      </w:pPr>
      <w:r>
        <w:t>t</w:t>
      </w:r>
      <w:r w:rsidRPr="00762AAF">
        <w:t>he market risk premium (MRP) estimate is for a 10 year forward looking period</w:t>
      </w:r>
    </w:p>
    <w:p w:rsidR="00E20018" w:rsidRPr="003337B3" w:rsidRDefault="00E20018" w:rsidP="00E20018">
      <w:pPr>
        <w:pStyle w:val="AERbulletlistfirststyle"/>
      </w:pPr>
      <w:r>
        <w:t>w</w:t>
      </w:r>
      <w:r w:rsidRPr="00762AAF">
        <w:t>e adopt a 10 year debt term for estimating the return on debt.</w:t>
      </w:r>
    </w:p>
    <w:p w:rsidR="00E20018" w:rsidRPr="00B575CE" w:rsidRDefault="00E20018" w:rsidP="00E20018">
      <w:pPr>
        <w:pStyle w:val="Heading3"/>
      </w:pPr>
      <w:bookmarkStart w:id="48" w:name="_Toc450922721"/>
      <w:bookmarkStart w:id="49" w:name="_Toc451938954"/>
      <w:bookmarkStart w:id="50" w:name="_Toc456686702"/>
      <w:r>
        <w:t>Consideration of relevant material</w:t>
      </w:r>
      <w:bookmarkEnd w:id="48"/>
      <w:bookmarkEnd w:id="49"/>
      <w:bookmarkEnd w:id="50"/>
    </w:p>
    <w:p w:rsidR="00E20018" w:rsidRDefault="00E20018" w:rsidP="00E20018">
      <w:r>
        <w:t>In making regulatory decisions, we are to have regard to information provided in regulatory proposals and submissions.</w:t>
      </w:r>
      <w:r>
        <w:rPr>
          <w:rStyle w:val="FootnoteReference"/>
        </w:rPr>
        <w:footnoteReference w:id="123"/>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24"/>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5"/>
      </w:r>
      <w:r w:rsidRPr="00284B79">
        <w:t xml:space="preserve"> </w:t>
      </w:r>
    </w:p>
    <w:p w:rsidR="00E20018" w:rsidRDefault="00E20018" w:rsidP="00E20018">
      <w:r>
        <w:t>In the following sections, we summarise how we have considered a large range of material. This includes, but is not limited to:</w:t>
      </w:r>
    </w:p>
    <w:p w:rsidR="00E20018" w:rsidRDefault="00E20018" w:rsidP="00E20018">
      <w:pPr>
        <w:pStyle w:val="AERbulletlistfirststyle"/>
      </w:pPr>
      <w:r>
        <w:t>service provider proposals</w:t>
      </w:r>
    </w:p>
    <w:p w:rsidR="00E20018" w:rsidRDefault="00E20018" w:rsidP="00E20018">
      <w:pPr>
        <w:pStyle w:val="AERbulletlistfirststyle"/>
      </w:pPr>
      <w:r>
        <w:t>expert reports</w:t>
      </w:r>
    </w:p>
    <w:p w:rsidR="00E20018" w:rsidRDefault="00E20018" w:rsidP="00E20018">
      <w:pPr>
        <w:pStyle w:val="AERbulletlistfirststyle"/>
      </w:pPr>
      <w:r>
        <w:t>stakeholder submissions</w:t>
      </w:r>
    </w:p>
    <w:p w:rsidR="00E20018" w:rsidRPr="00A77770" w:rsidRDefault="00E20018" w:rsidP="00E20018">
      <w:pPr>
        <w:pStyle w:val="AERbulletlistfirststyle"/>
      </w:pPr>
      <w:r>
        <w:t>recent Tribunal decisions.</w:t>
      </w:r>
    </w:p>
    <w:p w:rsidR="00E20018" w:rsidRDefault="00E20018" w:rsidP="00E20018">
      <w:pPr>
        <w:pStyle w:val="HeadingBoldBlue"/>
      </w:pPr>
      <w:bookmarkStart w:id="51" w:name="_Toc450922722"/>
      <w:r>
        <w:t>Service providers' proposals</w:t>
      </w:r>
      <w:bookmarkEnd w:id="51"/>
    </w:p>
    <w:p w:rsidR="00E20018" w:rsidRDefault="00063EEC" w:rsidP="00E20018">
      <w:r>
        <w:t>We observe two different approaches in service providers' proposals</w:t>
      </w:r>
      <w:r w:rsidR="0065573A">
        <w:t xml:space="preserve"> for the return on equity</w:t>
      </w:r>
      <w:r>
        <w:t>. TasNetworks and Powerlink fully adopt the Guideline foundation model approach (that is, for all parameters) in their revised regulatory proposal.</w:t>
      </w:r>
      <w:r w:rsidR="005B24D0">
        <w:rPr>
          <w:rStyle w:val="FootnoteReference"/>
        </w:rPr>
        <w:footnoteReference w:id="126"/>
      </w:r>
      <w:r w:rsidR="0031162C">
        <w:t xml:space="preserve"> </w:t>
      </w:r>
      <w:r w:rsidR="00E20018">
        <w:t>AusNet Services in its revised transmission proposal</w:t>
      </w:r>
      <w:r w:rsidR="001D12C1">
        <w:t>,</w:t>
      </w:r>
      <w:r w:rsidR="0031162C">
        <w:rPr>
          <w:rStyle w:val="FootnoteReference"/>
        </w:rPr>
        <w:footnoteReference w:id="127"/>
      </w:r>
      <w:r w:rsidR="00621BB0">
        <w:t xml:space="preserve"> claim reliance on our Guideline for estimating </w:t>
      </w:r>
      <w:r w:rsidR="001D12C1">
        <w:t xml:space="preserve">the return on equity. While </w:t>
      </w:r>
      <w:r w:rsidR="00673895">
        <w:t>it has</w:t>
      </w:r>
      <w:r w:rsidR="00621BB0">
        <w:t xml:space="preserve"> departed from the multi-model approach proposed in previous regulatory determinations, </w:t>
      </w:r>
      <w:r w:rsidR="00673895">
        <w:t xml:space="preserve">it </w:t>
      </w:r>
      <w:r w:rsidR="00E20018">
        <w:t>continue</w:t>
      </w:r>
      <w:r w:rsidR="00673895">
        <w:t>s</w:t>
      </w:r>
      <w:r w:rsidR="00E20018">
        <w:t xml:space="preserve"> to challenge </w:t>
      </w:r>
      <w:r w:rsidR="00621BB0">
        <w:t xml:space="preserve">key </w:t>
      </w:r>
      <w:r w:rsidR="00E20018">
        <w:t>aspects of the Guideline approach (and methods) to estimating the return on equity.</w:t>
      </w:r>
      <w:r w:rsidR="00E20018">
        <w:rPr>
          <w:rStyle w:val="FootnoteReference"/>
        </w:rPr>
        <w:footnoteReference w:id="128"/>
      </w:r>
      <w:r w:rsidR="00E20018">
        <w:t xml:space="preserve"> We have reviewed the material submitted and considered the reasons for the proposed departures from the Guideline. We have taken into account stakeholder submissions on our decisions, and on service providers' revised and initial proposals.</w:t>
      </w:r>
    </w:p>
    <w:p w:rsidR="00E20018" w:rsidRDefault="00E20018" w:rsidP="00CC7A1C">
      <w:pPr>
        <w:numPr>
          <w:ilvl w:val="0"/>
          <w:numId w:val="24"/>
        </w:numPr>
      </w:pPr>
      <w:r>
        <w:t>In doing so, we have undertaken two interdependent tasks as required by the rules:</w:t>
      </w:r>
    </w:p>
    <w:p w:rsidR="00E20018" w:rsidRPr="00796C00" w:rsidRDefault="00E20018" w:rsidP="00E20018">
      <w:pPr>
        <w:pStyle w:val="AERbulletlistfirststyle"/>
      </w:pPr>
      <w:r>
        <w:t xml:space="preserve">consider whether the proposed departures would better achieve the ARORO such that we should depart from the </w:t>
      </w:r>
      <w:r w:rsidRPr="00796C00">
        <w:t>Guideline</w:t>
      </w:r>
    </w:p>
    <w:p w:rsidR="00E20018" w:rsidRDefault="00E20018" w:rsidP="00E20018">
      <w:pPr>
        <w:pStyle w:val="AERbulletlistfirststyle"/>
      </w:pPr>
      <w:r>
        <w:t xml:space="preserve">determine a rate of return that we are satisfied achieves the ARORO.  </w:t>
      </w:r>
    </w:p>
    <w:p w:rsidR="00E20018" w:rsidRPr="00785554" w:rsidRDefault="006B74FD" w:rsidP="00E20018">
      <w:r>
        <w:t>AusNet Services Transmission</w:t>
      </w:r>
      <w:r w:rsidR="00E20018" w:rsidRPr="00785554">
        <w:t xml:space="preserve"> submitted a large volume of material in support of </w:t>
      </w:r>
      <w:r>
        <w:t>its</w:t>
      </w:r>
      <w:r w:rsidR="00E20018" w:rsidRPr="00785554">
        <w:t xml:space="preserve"> proposal. </w:t>
      </w:r>
      <w:r w:rsidR="002A118C">
        <w:t>We</w:t>
      </w:r>
      <w:r w:rsidR="00E20018" w:rsidRPr="00785554">
        <w:t xml:space="preserve"> reviewed this and considered its implications in determining the return that meets the ARORO and whether we should depart from the Guideline. We also referred material to our consultants for their consideration prior to making our preliminary</w:t>
      </w:r>
      <w:r w:rsidR="00E20018">
        <w:t>/draft</w:t>
      </w:r>
      <w:r w:rsidR="00E20018" w:rsidRPr="00785554">
        <w:t xml:space="preserve"> and final decisions. Our considerations are</w:t>
      </w:r>
      <w:r w:rsidR="002A118C">
        <w:t xml:space="preserve"> set out</w:t>
      </w:r>
      <w:r w:rsidR="00E20018" w:rsidRPr="00785554">
        <w:t xml:space="preserve"> throughout this rate of return attachment and relevant appendices.</w:t>
      </w:r>
    </w:p>
    <w:p w:rsidR="002A118C" w:rsidRDefault="00E20018" w:rsidP="00E20018">
      <w:r>
        <w:t>W</w:t>
      </w:r>
      <w:r w:rsidRPr="00785554">
        <w:t xml:space="preserve">hile we consider each regulatory proposal afresh, much of the material currently before us is the same material we </w:t>
      </w:r>
      <w:r w:rsidR="002A118C">
        <w:t xml:space="preserve">have </w:t>
      </w:r>
      <w:r w:rsidRPr="00785554">
        <w:t>considered in making our</w:t>
      </w:r>
      <w:r w:rsidR="002A118C">
        <w:t xml:space="preserve"> various</w:t>
      </w:r>
      <w:r w:rsidRPr="00785554">
        <w:t xml:space="preserve"> decisions </w:t>
      </w:r>
      <w:r w:rsidR="002A118C">
        <w:t>since</w:t>
      </w:r>
      <w:r w:rsidR="002A118C" w:rsidRPr="00785554">
        <w:t xml:space="preserve"> </w:t>
      </w:r>
      <w:r w:rsidRPr="00785554">
        <w:t>2015.</w:t>
      </w:r>
      <w:r w:rsidRPr="00785554">
        <w:rPr>
          <w:rStyle w:val="FootnoteReference"/>
        </w:rPr>
        <w:footnoteReference w:id="129"/>
      </w:r>
      <w:r w:rsidRPr="00785554">
        <w:t xml:space="preserve"> </w:t>
      </w:r>
    </w:p>
    <w:p w:rsidR="002A118C" w:rsidRPr="00785554" w:rsidRDefault="002A118C" w:rsidP="002A118C">
      <w:r w:rsidRPr="00785554">
        <w:t xml:space="preserve">For this </w:t>
      </w:r>
      <w:r>
        <w:t>final</w:t>
      </w:r>
      <w:r w:rsidRPr="00785554">
        <w:t xml:space="preserve"> decision, unless stated otherwise, we </w:t>
      </w:r>
      <w:r>
        <w:t>have built on</w:t>
      </w:r>
      <w:r w:rsidRPr="00785554">
        <w:t xml:space="preserve"> the rate of return analysis and reasoning as set out in our</w:t>
      </w:r>
      <w:r>
        <w:t xml:space="preserve"> draft decision, and our other recent decisions on rate return since 2015.  These earlier decisions are still relevant to understanding the changes in approaches that have been proposed by different service providers and stakeholders, and how our analysis and reasoning has developed</w:t>
      </w:r>
      <w:r w:rsidRPr="00785554">
        <w:t>.</w:t>
      </w:r>
      <w:r w:rsidRPr="00785554">
        <w:rPr>
          <w:rStyle w:val="FootnoteReference"/>
        </w:rPr>
        <w:footnoteReference w:id="130"/>
      </w:r>
    </w:p>
    <w:p w:rsidR="00E20018" w:rsidRPr="00FC3B81" w:rsidRDefault="00E20018" w:rsidP="00CC7A1C">
      <w:pPr>
        <w:pStyle w:val="HeadingBoldBlue"/>
        <w:numPr>
          <w:ilvl w:val="0"/>
          <w:numId w:val="24"/>
        </w:numPr>
      </w:pPr>
      <w:bookmarkStart w:id="52" w:name="_Toc450922723"/>
      <w:r>
        <w:t>Expert reports</w:t>
      </w:r>
      <w:bookmarkEnd w:id="52"/>
    </w:p>
    <w:p w:rsidR="00E20018" w:rsidRPr="00AC1D0D" w:rsidRDefault="00E20018" w:rsidP="00CC7A1C">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E20018" w:rsidRDefault="00E20018" w:rsidP="00E20018">
      <w:pPr>
        <w:pStyle w:val="AERbulletlistfirststyle"/>
      </w:pPr>
      <w:r>
        <w:t>Professor Michael McKenzie, University of Liverpool</w:t>
      </w:r>
      <w:r w:rsidRPr="00796C00">
        <w:t>.</w:t>
      </w:r>
      <w:r w:rsidRPr="00796C00">
        <w:rPr>
          <w:rStyle w:val="FootnoteReference"/>
        </w:rPr>
        <w:footnoteReference w:id="131"/>
      </w:r>
    </w:p>
    <w:p w:rsidR="00E20018" w:rsidRPr="00796C00" w:rsidRDefault="00E20018" w:rsidP="00E20018">
      <w:pPr>
        <w:pStyle w:val="AERbulletlistfirststyle"/>
      </w:pPr>
      <w:r>
        <w:t>Professor Stephen Satchell, Trinity College, Cambridge University</w:t>
      </w:r>
      <w:r>
        <w:rPr>
          <w:rStyle w:val="FootnoteReference"/>
        </w:rPr>
        <w:footnoteReference w:id="132"/>
      </w:r>
    </w:p>
    <w:p w:rsidR="00E20018" w:rsidRPr="00796C00" w:rsidRDefault="00E20018" w:rsidP="00E20018">
      <w:pPr>
        <w:pStyle w:val="AERbulletlistfirststyle"/>
      </w:pPr>
      <w:r>
        <w:t>Associate professor Graham Partington, University of Sydney</w:t>
      </w:r>
      <w:r w:rsidRPr="00796C00">
        <w:t>.</w:t>
      </w:r>
      <w:r w:rsidRPr="00796C00">
        <w:rPr>
          <w:rStyle w:val="FootnoteReference"/>
        </w:rPr>
        <w:footnoteReference w:id="133"/>
      </w:r>
    </w:p>
    <w:p w:rsidR="00E20018" w:rsidRDefault="00E20018" w:rsidP="00E20018">
      <w:pPr>
        <w:pStyle w:val="AERbulletlistfirststyle"/>
      </w:pPr>
      <w:r>
        <w:t>Associate professor John Handley, University of Melbourne</w:t>
      </w:r>
      <w:r w:rsidRPr="00796C00">
        <w:t>.</w:t>
      </w:r>
      <w:r w:rsidRPr="00796C00">
        <w:rPr>
          <w:rStyle w:val="FootnoteReference"/>
        </w:rPr>
        <w:footnoteReference w:id="134"/>
      </w:r>
    </w:p>
    <w:p w:rsidR="00E20018" w:rsidRDefault="00E20018" w:rsidP="00E20018">
      <w:pPr>
        <w:pStyle w:val="AERbulletlistfirststyle"/>
      </w:pPr>
      <w:r>
        <w:t>Dr Martin Lally, Capital Financial Consultants</w:t>
      </w:r>
      <w:r w:rsidRPr="00796C00">
        <w:t>.</w:t>
      </w:r>
      <w:r w:rsidRPr="00796C00">
        <w:rPr>
          <w:rStyle w:val="FootnoteReference"/>
        </w:rPr>
        <w:footnoteReference w:id="135"/>
      </w:r>
    </w:p>
    <w:p w:rsidR="00E20018" w:rsidRPr="00796C00" w:rsidRDefault="00E20018" w:rsidP="00E20018">
      <w:pPr>
        <w:pStyle w:val="AERbulletlistfirststyle"/>
      </w:pPr>
      <w:r>
        <w:t>Chairmont, a financial market practitioner.</w:t>
      </w:r>
      <w:r>
        <w:rPr>
          <w:rStyle w:val="FootnoteReference"/>
        </w:rPr>
        <w:footnoteReference w:id="136"/>
      </w:r>
    </w:p>
    <w:p w:rsidR="00E20018" w:rsidRDefault="00E20018" w:rsidP="00CC7A1C">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37"/>
      </w:r>
      <w:r>
        <w:t xml:space="preserve"> We also received advice on return on debt estimation from the ACCC Regulatory Economic Unit (REU).</w:t>
      </w:r>
      <w:r>
        <w:rPr>
          <w:rStyle w:val="FootnoteReference"/>
        </w:rPr>
        <w:footnoteReference w:id="138"/>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E20018" w:rsidRDefault="00E20018" w:rsidP="00CC7A1C">
      <w:pPr>
        <w:pStyle w:val="HeadingBoldBlue"/>
        <w:numPr>
          <w:ilvl w:val="0"/>
          <w:numId w:val="24"/>
        </w:numPr>
      </w:pPr>
      <w:bookmarkStart w:id="53" w:name="_Toc450922724"/>
      <w:r>
        <w:t>Stakeholder submissions</w:t>
      </w:r>
      <w:bookmarkEnd w:id="53"/>
    </w:p>
    <w:p w:rsidR="00E20018" w:rsidRPr="002E5985" w:rsidRDefault="00E20018" w:rsidP="00CC7A1C">
      <w:pPr>
        <w:pStyle w:val="ListParagraph"/>
        <w:numPr>
          <w:ilvl w:val="0"/>
          <w:numId w:val="24"/>
        </w:numPr>
      </w:pPr>
      <w:r w:rsidRPr="00A164C0">
        <w:rPr>
          <w:rStyle w:val="AERbody"/>
        </w:rPr>
        <w:t xml:space="preserve">Stakeholders made submissions specific to </w:t>
      </w:r>
      <w:r w:rsidR="00836286">
        <w:rPr>
          <w:rStyle w:val="AERbody"/>
        </w:rPr>
        <w:t>TasNetworks</w:t>
      </w:r>
      <w:r w:rsidRPr="00A164C0">
        <w:rPr>
          <w:rStyle w:val="AERbody"/>
        </w:rPr>
        <w:t xml:space="preserve"> which we have considered. In making this decision, we have also considered material that was submitted for the recent decisions published in April, June and October 2015 and in May 2016</w:t>
      </w:r>
      <w:r w:rsidR="00CD2633">
        <w:rPr>
          <w:rStyle w:val="AERbody"/>
        </w:rPr>
        <w:t xml:space="preserve"> that may remain relevant</w:t>
      </w:r>
      <w:r w:rsidRPr="00A164C0">
        <w:rPr>
          <w:rStyle w:val="AERbody"/>
        </w:rPr>
        <w:t>. Overall, in making these recent decisions we received a large number of submissions on the original proposals, preliminary</w:t>
      </w:r>
      <w:r w:rsidR="00DD2C3C" w:rsidRPr="00A164C0">
        <w:rPr>
          <w:rStyle w:val="AERbody"/>
        </w:rPr>
        <w:t>/draft</w:t>
      </w:r>
      <w:r w:rsidRPr="00A164C0">
        <w:rPr>
          <w:rStyle w:val="AERbody"/>
        </w:rPr>
        <w:t xml:space="preserve"> decisions and revised rate of return proposals.</w:t>
      </w:r>
      <w:r w:rsidRPr="007A3121">
        <w:rPr>
          <w:rStyle w:val="FootnoteReference"/>
        </w:rPr>
        <w:footnoteReference w:id="139"/>
      </w:r>
      <w:r w:rsidRPr="00A164C0">
        <w:rPr>
          <w:rStyle w:val="AERbody"/>
        </w:rPr>
        <w:t xml:space="preserve"> A range of submissions, including those on </w:t>
      </w:r>
      <w:r w:rsidR="00836286">
        <w:rPr>
          <w:rStyle w:val="AERbody"/>
        </w:rPr>
        <w:t>TasNetworks'</w:t>
      </w:r>
      <w:r w:rsidRPr="00A164C0">
        <w:rPr>
          <w:rStyle w:val="AERbody"/>
        </w:rPr>
        <w:t xml:space="preserve"> proposal had commentary relating to the rate of return.</w:t>
      </w:r>
      <w:r>
        <w:rPr>
          <w:rStyle w:val="FootnoteReference"/>
        </w:rPr>
        <w:footnoteReference w:id="140"/>
      </w:r>
      <w:r w:rsidRPr="002E5985">
        <w:t xml:space="preserve"> </w:t>
      </w:r>
    </w:p>
    <w:p w:rsidR="00E20018" w:rsidRDefault="00E20018" w:rsidP="00E20018">
      <w:pPr>
        <w:pStyle w:val="HeadingBoldBlue"/>
      </w:pPr>
      <w:bookmarkStart w:id="54" w:name="_Toc450922725"/>
      <w:r>
        <w:t>Consideration of recent Tribunal decisions</w:t>
      </w:r>
      <w:bookmarkEnd w:id="54"/>
    </w:p>
    <w:p w:rsidR="00E20018" w:rsidRDefault="00E20018" w:rsidP="00CC7A1C">
      <w:pPr>
        <w:numPr>
          <w:ilvl w:val="0"/>
          <w:numId w:val="24"/>
        </w:numPr>
      </w:pPr>
      <w:r>
        <w:t>The Tribunal recently reviewed and upheld several aspects of our approach to estimating the rate of return. These included:</w:t>
      </w:r>
      <w:r>
        <w:rPr>
          <w:rStyle w:val="FootnoteReference"/>
        </w:rPr>
        <w:footnoteReference w:id="141"/>
      </w:r>
    </w:p>
    <w:p w:rsidR="00E20018" w:rsidRDefault="00E20018" w:rsidP="00E20018">
      <w:pPr>
        <w:pStyle w:val="AERbulletlistfirststyle"/>
      </w:pPr>
      <w:r>
        <w:t xml:space="preserve">our approach to estimating the return on equity by applying the Guideline approach referred to as the foundation model approach </w:t>
      </w:r>
    </w:p>
    <w:p w:rsidR="00E20018" w:rsidRPr="00454ED0" w:rsidRDefault="00E20018" w:rsidP="00E20018">
      <w:pPr>
        <w:pStyle w:val="AERbulletlistfirststyle"/>
      </w:pPr>
      <w:r>
        <w:t>our approach to specifying t</w:t>
      </w:r>
      <w:r w:rsidRPr="00454ED0">
        <w:t xml:space="preserve">he benchmark credit rating </w:t>
      </w:r>
      <w:r>
        <w:t>at BBB+ rather than BBB as preferred by some of the service providers</w:t>
      </w:r>
    </w:p>
    <w:p w:rsidR="00E20018" w:rsidRDefault="00E20018" w:rsidP="00E20018">
      <w:pPr>
        <w:pStyle w:val="AERbulletlistfirststyle"/>
      </w:pPr>
      <w:r>
        <w:t xml:space="preserve">our approach to estimating </w:t>
      </w:r>
      <w:r w:rsidRPr="000C234A">
        <w:t xml:space="preserve">the allowed return on debt using </w:t>
      </w:r>
      <w:r>
        <w:t xml:space="preserve">a </w:t>
      </w:r>
      <w:r w:rsidRPr="000C234A">
        <w:t>simple average of the RBA and Bloomberg data series</w:t>
      </w:r>
      <w:r>
        <w:t>, rather than the</w:t>
      </w:r>
      <w:r w:rsidRPr="000C234A">
        <w:t xml:space="preserve"> RBA data series alone </w:t>
      </w:r>
      <w:r>
        <w:t xml:space="preserve">as preferred by some of the service providers. </w:t>
      </w:r>
    </w:p>
    <w:p w:rsidR="00867D79" w:rsidRPr="00867D79" w:rsidRDefault="00867D79" w:rsidP="00A164C0">
      <w:pPr>
        <w:pStyle w:val="AERbulletlistfirststyle"/>
        <w:numPr>
          <w:ilvl w:val="0"/>
          <w:numId w:val="0"/>
        </w:numPr>
      </w:pPr>
      <w:r w:rsidRPr="00867D79">
        <w:t xml:space="preserve">The Tribunal is </w:t>
      </w:r>
      <w:r w:rsidR="00270218">
        <w:t xml:space="preserve">also </w:t>
      </w:r>
      <w:r w:rsidRPr="00867D79">
        <w:t>considering but is yet to hand down its decision on one further review of our approach to estimating return on debt parameters.</w:t>
      </w:r>
      <w:r w:rsidR="007E21A1">
        <w:rPr>
          <w:rStyle w:val="FootnoteReference"/>
        </w:rPr>
        <w:footnoteReference w:id="142"/>
      </w:r>
      <w:r w:rsidRPr="00867D79">
        <w:t xml:space="preserve">  That decision is due on or before 2</w:t>
      </w:r>
      <w:r w:rsidR="00270218">
        <w:t>4</w:t>
      </w:r>
      <w:r w:rsidRPr="00867D79">
        <w:t xml:space="preserve"> May 2017.</w:t>
      </w:r>
    </w:p>
    <w:p w:rsidR="00E20018" w:rsidRPr="00785554" w:rsidRDefault="00E20018" w:rsidP="00E20018">
      <w:r>
        <w:t>We have maintained our approach to estimating these components of the allowed rate of return in th</w:t>
      </w:r>
      <w:r w:rsidRPr="00785554">
        <w:t>is decision.</w:t>
      </w:r>
    </w:p>
    <w:p w:rsidR="00E20018" w:rsidRPr="00785554" w:rsidRDefault="00E20018" w:rsidP="00E20018">
      <w:r>
        <w:t xml:space="preserve">The Tribunal also recently reviewed our approach to applying a full </w:t>
      </w:r>
      <w:r w:rsidRPr="00785554">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785554">
        <w:rPr>
          <w:rStyle w:val="FootnoteReference"/>
        </w:rPr>
        <w:footnoteReference w:id="143"/>
      </w:r>
      <w:r w:rsidRPr="00785554">
        <w:t xml:space="preserve"> On 24 March 2016, we applied to the Federal Court for judicial review of this aspect of the Tribunal's decision. In particular, we have applied for review on:</w:t>
      </w:r>
    </w:p>
    <w:p w:rsidR="00E20018" w:rsidRDefault="00E20018" w:rsidP="00E20018">
      <w:pPr>
        <w:pStyle w:val="AERbulletlistfirststyle"/>
      </w:pPr>
      <w:r>
        <w:t>the Tribunal's finding that a</w:t>
      </w:r>
      <w:r w:rsidRPr="001F6E19">
        <w:t xml:space="preserve"> benchmark efficient entity referred to in the NER</w:t>
      </w:r>
      <w:r>
        <w:t xml:space="preserve"> </w:t>
      </w:r>
      <w:r w:rsidRPr="001F6E19">
        <w:t xml:space="preserve">6.5.2(c) </w:t>
      </w:r>
      <w:r>
        <w:t>would be an un</w:t>
      </w:r>
      <w:r w:rsidRPr="001F6E19">
        <w:t>regulated entity</w:t>
      </w:r>
      <w:r w:rsidRPr="004D4000">
        <w:rPr>
          <w:rStyle w:val="FootnoteReference"/>
        </w:rPr>
        <w:t xml:space="preserve"> </w:t>
      </w:r>
      <w:r>
        <w:rPr>
          <w:rStyle w:val="FootnoteReference"/>
        </w:rPr>
        <w:footnoteReference w:id="144"/>
      </w:r>
      <w:r>
        <w:t xml:space="preserve"> </w:t>
      </w:r>
    </w:p>
    <w:p w:rsidR="00E20018" w:rsidRDefault="00E20018" w:rsidP="00E20018">
      <w:pPr>
        <w:pStyle w:val="AERbulletlistfirststyle"/>
      </w:pPr>
      <w:r>
        <w:t>t</w:t>
      </w:r>
      <w:r w:rsidRPr="00323742">
        <w:t>he Tribunal's rejection of a single benchmark efficient entity for those service providers</w:t>
      </w:r>
    </w:p>
    <w:p w:rsidR="00867D79" w:rsidRDefault="00867D79" w:rsidP="00867D79">
      <w:pPr>
        <w:pStyle w:val="AERbulletlistfirststyle"/>
      </w:pPr>
      <w:r>
        <w:t>t</w:t>
      </w:r>
      <w:r w:rsidRPr="00323742">
        <w:t>he Tribunal's approach to the interpretation of cl.</w:t>
      </w:r>
      <w:r>
        <w:t xml:space="preserve"> 6.5.2(k)(4) of the NER</w:t>
      </w:r>
      <w:r w:rsidRPr="001F6E19">
        <w:t>.</w:t>
      </w:r>
      <w:r>
        <w:rPr>
          <w:rStyle w:val="FootnoteReference"/>
        </w:rPr>
        <w:footnoteReference w:id="145"/>
      </w:r>
      <w:r w:rsidRPr="001F6E19">
        <w:t xml:space="preserve"> </w:t>
      </w:r>
    </w:p>
    <w:p w:rsidR="00867D79" w:rsidRPr="00867D79" w:rsidRDefault="00867D79" w:rsidP="00A164C0">
      <w:pPr>
        <w:pStyle w:val="AERbulletlistfirststyle"/>
        <w:numPr>
          <w:ilvl w:val="0"/>
          <w:numId w:val="0"/>
        </w:numPr>
      </w:pPr>
      <w:r>
        <w:t>The Full Federal Court has not</w:t>
      </w:r>
      <w:r w:rsidRPr="00867D79">
        <w:t xml:space="preserve"> yet handed down its decision on these issues.</w:t>
      </w:r>
    </w:p>
    <w:p w:rsidR="00867D79" w:rsidRPr="00867D79" w:rsidRDefault="00867D79" w:rsidP="00A164C0">
      <w:pPr>
        <w:pStyle w:val="AERbulletlistfirststyle"/>
        <w:numPr>
          <w:ilvl w:val="0"/>
          <w:numId w:val="0"/>
        </w:numPr>
      </w:pPr>
      <w:r>
        <w:t xml:space="preserve">The Tribunal </w:t>
      </w:r>
      <w:r w:rsidRPr="00867D79">
        <w:t>has upheld our approach to transitioning to a trailing average approach following a review brought by SAPN.  However, SAPN has sought a review of the Tribunal's decision in the Full Federal Court. That review is scheduled to be heard on 1-3 May 2017.</w:t>
      </w:r>
    </w:p>
    <w:p w:rsidR="00867D79" w:rsidRPr="00867D79" w:rsidRDefault="00867D79" w:rsidP="00A164C0">
      <w:pPr>
        <w:pStyle w:val="AERbulletlistfirststyle"/>
        <w:numPr>
          <w:ilvl w:val="0"/>
          <w:numId w:val="0"/>
        </w:numPr>
      </w:pPr>
      <w:r>
        <w:t>Overall</w:t>
      </w:r>
      <w:r w:rsidRPr="00867D79">
        <w:t xml:space="preserve">, </w:t>
      </w:r>
      <w:r w:rsidR="00BE7ED0">
        <w:t>the majority of</w:t>
      </w:r>
      <w:r w:rsidRPr="00867D79">
        <w:t xml:space="preserve"> businesses have accepted our approach to transitioning to a trailing average to estimate the allowed return on debt, including most private businesses. However, Jemena Electricity and ActewAGL gas recently sought review of our approach in the Tribunal on similar issues and the Tribunals' decisions are due to be released on or before 2</w:t>
      </w:r>
      <w:r w:rsidR="007E21A1">
        <w:t>4</w:t>
      </w:r>
      <w:r w:rsidRPr="00867D79">
        <w:t xml:space="preserve"> May 2017.</w:t>
      </w:r>
    </w:p>
    <w:p w:rsidR="00DE563D" w:rsidRDefault="00DE563D" w:rsidP="001754EE">
      <w:pPr>
        <w:pStyle w:val="Heading2"/>
      </w:pPr>
      <w:bookmarkStart w:id="55" w:name="_Toc403144140"/>
      <w:bookmarkStart w:id="56" w:name="_Toc481057060"/>
      <w:r w:rsidRPr="001754EE">
        <w:t>Reasons</w:t>
      </w:r>
      <w:r>
        <w:t xml:space="preserve"> for </w:t>
      </w:r>
      <w:r w:rsidR="00122F86">
        <w:t>final</w:t>
      </w:r>
      <w:r>
        <w:t xml:space="preserve"> decision</w:t>
      </w:r>
      <w:bookmarkEnd w:id="55"/>
      <w:bookmarkEnd w:id="56"/>
      <w:r>
        <w:t xml:space="preserve"> </w:t>
      </w:r>
    </w:p>
    <w:p w:rsidR="00345EDF" w:rsidRPr="00D67998" w:rsidRDefault="00345EDF" w:rsidP="00CC7A1C">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6"/>
      </w:r>
      <w:r w:rsidRPr="00D67998">
        <w:rPr>
          <w:rStyle w:val="FootnoteReference"/>
        </w:rPr>
        <w:t xml:space="preserve"> </w:t>
      </w:r>
      <w:r w:rsidRPr="00D67998">
        <w:t xml:space="preserve"> </w:t>
      </w:r>
    </w:p>
    <w:p w:rsidR="00345EDF" w:rsidRPr="00D67998" w:rsidRDefault="00345EDF" w:rsidP="00CC7A1C">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47"/>
      </w:r>
      <w:r w:rsidRPr="00D67998">
        <w:t xml:space="preserve"> </w:t>
      </w:r>
    </w:p>
    <w:p w:rsidR="00836286" w:rsidRPr="00836286" w:rsidRDefault="00836286" w:rsidP="00836286">
      <w:pPr>
        <w:pStyle w:val="ListParagraph"/>
        <w:numPr>
          <w:ilvl w:val="0"/>
          <w:numId w:val="24"/>
        </w:numPr>
      </w:pPr>
      <w:r w:rsidRPr="00836286">
        <w:t>In making this decision</w:t>
      </w:r>
      <w:r>
        <w:t>, we accept (and agree with) TasNetworks'</w:t>
      </w:r>
      <w:r w:rsidRPr="00836286">
        <w:t xml:space="preserve"> adoption of the Guideline foundation model approach for estimate the allowed rate of return. </w:t>
      </w:r>
    </w:p>
    <w:p w:rsidR="00345EDF" w:rsidRDefault="00BA4C69" w:rsidP="00345EDF">
      <w:r>
        <w:t>We have also considered issues that have been raised by AusNet Services as well as different service providers and stakeholders in our recently published regulatory determinations.</w:t>
      </w:r>
      <w:r>
        <w:rPr>
          <w:rStyle w:val="FootnoteReference"/>
        </w:rPr>
        <w:footnoteReference w:id="148"/>
      </w:r>
      <w:r>
        <w:t xml:space="preserve"> While we have addressed matters specifically raised by AusNet Services</w:t>
      </w:r>
      <w:r w:rsidRPr="00D67998">
        <w:t xml:space="preserve"> </w:t>
      </w:r>
      <w:r>
        <w:t>and/or stakeholders in this decision process, much of our analysis and reasoning also addresses matters raised by other service providers and stakeholders in past and concurrent regulatory determination processes.</w:t>
      </w:r>
      <w:r w:rsidR="00836286" w:rsidRPr="00836286">
        <w:t>We have also</w:t>
      </w:r>
      <w:r w:rsidR="006B74FD">
        <w:t xml:space="preserve"> </w:t>
      </w:r>
      <w:r w:rsidR="00836286" w:rsidRPr="00836286">
        <w:t>considered issues that have been raised by different service providers  and stakeholders in our recently published regulatory determinations.</w:t>
      </w:r>
      <w:r w:rsidR="00836286" w:rsidRPr="00836286">
        <w:rPr>
          <w:rStyle w:val="FootnoteReference"/>
        </w:rPr>
        <w:footnoteReference w:id="149"/>
      </w:r>
      <w:r w:rsidR="00836286" w:rsidRPr="00836286">
        <w:t xml:space="preserve"> </w:t>
      </w:r>
      <w:r w:rsidR="00345EDF">
        <w:t xml:space="preserve">All of this material informs our view on </w:t>
      </w:r>
      <w:r w:rsidR="00836286">
        <w:t>TasNetworks'</w:t>
      </w:r>
      <w:r w:rsidR="00345EDF">
        <w:t xml:space="preserve"> proposal and also underpins our decision on the return on equity that contributes to the achievement of the ARORO. That is, a return commensurate with the efficient financing costs of a benchmark efficient entity with a similar degree of risk as that which applies to </w:t>
      </w:r>
      <w:r w:rsidR="00836286">
        <w:t>TasNetworks</w:t>
      </w:r>
      <w:r w:rsidR="00345EDF" w:rsidRPr="00D67998">
        <w:t xml:space="preserve"> </w:t>
      </w:r>
      <w:r w:rsidR="00345EDF">
        <w:t xml:space="preserve">in respect of the provision of </w:t>
      </w:r>
      <w:r w:rsidR="0013097A">
        <w:t>standard control</w:t>
      </w:r>
      <w:r w:rsidR="00345EDF">
        <w:t xml:space="preserve"> services.</w:t>
      </w:r>
      <w:r w:rsidR="00345EDF">
        <w:rPr>
          <w:rStyle w:val="FootnoteReference"/>
        </w:rPr>
        <w:footnoteReference w:id="150"/>
      </w:r>
    </w:p>
    <w:p w:rsidR="00345EDF" w:rsidRDefault="00345EDF" w:rsidP="00CC7A1C">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C6448C">
        <w:t>3.4.1</w:t>
      </w:r>
      <w:r>
        <w:fldChar w:fldCharType="end"/>
      </w:r>
      <w:r w:rsidR="004C69BA">
        <w:t>,</w:t>
      </w:r>
      <w:r>
        <w:t xml:space="preserve"> and </w:t>
      </w:r>
      <w:r w:rsidR="001A7089">
        <w:fldChar w:fldCharType="begin"/>
      </w:r>
      <w:r w:rsidR="001A7089">
        <w:instrText xml:space="preserve"> REF _Ref478718271 \r \h </w:instrText>
      </w:r>
      <w:r w:rsidR="001A7089">
        <w:fldChar w:fldCharType="separate"/>
      </w:r>
      <w:r w:rsidR="00C6448C">
        <w:t>3.4.2</w:t>
      </w:r>
      <w:r w:rsidR="001A7089">
        <w:fldChar w:fldCharType="end"/>
      </w:r>
      <w:r>
        <w:t xml:space="preserve">, respectively. Subsections </w:t>
      </w:r>
      <w:r w:rsidR="009211CA">
        <w:t>3.4.</w:t>
      </w:r>
      <w:r w:rsidR="0013097A">
        <w:t>3</w:t>
      </w:r>
      <w:r>
        <w:t xml:space="preserve"> and </w:t>
      </w:r>
      <w:r w:rsidR="009211CA">
        <w:t>3.4.</w:t>
      </w:r>
      <w:r w:rsidR="0013097A">
        <w:t>4</w:t>
      </w:r>
      <w:r>
        <w:t xml:space="preserve"> set out the gearing ratio and our expected inflation rate for the 2017–</w:t>
      </w:r>
      <w:r w:rsidR="0013097A">
        <w:t>19</w:t>
      </w:r>
      <w:r>
        <w:t xml:space="preserve"> regulatory control period.</w:t>
      </w:r>
    </w:p>
    <w:p w:rsidR="00345EDF" w:rsidRDefault="00345EDF" w:rsidP="00345EDF">
      <w:pPr>
        <w:pStyle w:val="Heading3"/>
      </w:pPr>
      <w:bookmarkStart w:id="57" w:name="_Ref430958591"/>
      <w:bookmarkStart w:id="58" w:name="_Toc433446503"/>
      <w:bookmarkStart w:id="59" w:name="_Ref451345947"/>
      <w:bookmarkStart w:id="60" w:name="_Toc451938956"/>
      <w:bookmarkStart w:id="61" w:name="_Toc456686704"/>
      <w:r w:rsidRPr="00796C00">
        <w:t>Return on equity</w:t>
      </w:r>
      <w:bookmarkEnd w:id="57"/>
      <w:bookmarkEnd w:id="58"/>
      <w:bookmarkEnd w:id="59"/>
      <w:bookmarkEnd w:id="60"/>
      <w:bookmarkEnd w:id="61"/>
      <w:r w:rsidRPr="00796C00">
        <w:t xml:space="preserve"> </w:t>
      </w:r>
    </w:p>
    <w:p w:rsidR="00D24E42" w:rsidRPr="00D24E42" w:rsidRDefault="00345EDF" w:rsidP="00654111">
      <w:r>
        <w:t>Our return on equity estimate is 7.</w:t>
      </w:r>
      <w:r w:rsidR="0013097A">
        <w:t>4</w:t>
      </w:r>
      <w:r>
        <w:t xml:space="preserve"> per cent</w:t>
      </w:r>
      <w:r w:rsidR="00654111">
        <w:t xml:space="preserve"> based on an</w:t>
      </w:r>
      <w:r w:rsidR="00D24E42">
        <w:t xml:space="preserve"> application of the Guideline foundation model approach </w:t>
      </w:r>
      <w:r w:rsidR="00654111">
        <w:t>(a</w:t>
      </w:r>
      <w:r w:rsidR="00D24E42" w:rsidRPr="00D24E42">
        <w:t xml:space="preserve"> more detailed </w:t>
      </w:r>
      <w:r w:rsidR="00123E0C">
        <w:t>discussion of why we use</w:t>
      </w:r>
      <w:r w:rsidR="00D24E42" w:rsidRPr="00D24E42">
        <w:t xml:space="preserve"> the Guideline foundation model approach to estimate the return on equity is in Appendix A</w:t>
      </w:r>
      <w:r w:rsidR="00654111">
        <w:t>)</w:t>
      </w:r>
      <w:r w:rsidR="00D24E42" w:rsidRPr="00D24E42">
        <w:t>.</w:t>
      </w:r>
      <w:r w:rsidR="0013097A">
        <w:t xml:space="preserve"> We accept (and agree with) TasNetworks' revised proposal to </w:t>
      </w:r>
      <w:r w:rsidR="00DF0600">
        <w:t>adopt</w:t>
      </w:r>
      <w:r w:rsidR="0013097A">
        <w:t xml:space="preserve"> the Guideline foundation model approach to estimate the return on equity.</w:t>
      </w:r>
      <w:r w:rsidR="0013097A">
        <w:rPr>
          <w:rStyle w:val="FootnoteReference"/>
        </w:rPr>
        <w:footnoteReference w:id="151"/>
      </w:r>
    </w:p>
    <w:p w:rsidR="00345EDF" w:rsidRDefault="00345EDF" w:rsidP="00CC7A1C">
      <w:pPr>
        <w:numPr>
          <w:ilvl w:val="0"/>
          <w:numId w:val="24"/>
        </w:numPr>
      </w:pPr>
      <w:r>
        <w:t>We consider that 7.</w:t>
      </w:r>
      <w:r w:rsidR="0013097A">
        <w:t>4</w:t>
      </w:r>
      <w:r>
        <w:t xml:space="preserve"> per cent is the best estimate to combine with a return on debt estimate to form an overall allowed rate of return that achieves the ARORO. We also consider that 7.</w:t>
      </w:r>
      <w:r w:rsidR="0013097A">
        <w:t>4</w:t>
      </w:r>
      <w:r>
        <w:t xml:space="preserve"> per cent is consistent with the prevailing conditions in the market for equity funds.</w:t>
      </w:r>
    </w:p>
    <w:p w:rsidR="00345EDF" w:rsidRDefault="00345EDF" w:rsidP="00CC7A1C">
      <w:pPr>
        <w:numPr>
          <w:ilvl w:val="0"/>
          <w:numId w:val="24"/>
        </w:numPr>
      </w:pPr>
      <w:r>
        <w:t>We hold these views because:</w:t>
      </w:r>
    </w:p>
    <w:p w:rsidR="00345EDF" w:rsidRDefault="00345EDF" w:rsidP="00345EDF">
      <w:pPr>
        <w:pStyle w:val="AERbulletlistfirststyle"/>
      </w:pPr>
      <w:r>
        <w:t>We derive our estimate using the Sharpe–Lintner CAPM</w:t>
      </w:r>
      <w:r w:rsidR="00F84447">
        <w:t xml:space="preserve"> as our foundation model</w:t>
      </w:r>
      <w:r>
        <w:t>, which:</w:t>
      </w:r>
    </w:p>
    <w:p w:rsidR="00345EDF" w:rsidRDefault="00345EDF" w:rsidP="00345EDF">
      <w:pPr>
        <w:pStyle w:val="AERbulletlistsecondstyle"/>
      </w:pPr>
      <w:r w:rsidRPr="001174B8">
        <w:t>transparently presents the key risk and reward trade-off</w:t>
      </w:r>
      <w:r>
        <w:rPr>
          <w:rStyle w:val="FootnoteReference"/>
        </w:rPr>
        <w:footnoteReference w:id="152"/>
      </w:r>
      <w:r w:rsidRPr="001174B8">
        <w:t xml:space="preserve"> that is at the heart of our task</w:t>
      </w:r>
      <w:r>
        <w:rPr>
          <w:rStyle w:val="FootnoteReference"/>
        </w:rPr>
        <w:footnoteReference w:id="153"/>
      </w:r>
    </w:p>
    <w:p w:rsidR="00345EDF" w:rsidRDefault="00345EDF" w:rsidP="00345EDF">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54"/>
      </w:r>
    </w:p>
    <w:p w:rsidR="00345EDF" w:rsidRDefault="00345EDF" w:rsidP="00345EDF">
      <w:pPr>
        <w:pStyle w:val="AERbulletlistsecondstyle"/>
      </w:pPr>
      <w:r>
        <w:t>has well-accepted and unbiased methods for estimating its parameters, and these parameters can be estimated with tolerable accuracy, unlike the alternative models</w:t>
      </w:r>
      <w:r w:rsidR="00F84447">
        <w:t xml:space="preserve"> that have been proposed in the past (such as the dividend growth model, the Black CAPM and the Fama-French model)</w:t>
      </w:r>
      <w:r>
        <w:t>.</w:t>
      </w:r>
    </w:p>
    <w:p w:rsidR="00345EDF" w:rsidRPr="00345EDF" w:rsidRDefault="00345EDF" w:rsidP="00345EDF">
      <w:pPr>
        <w:pStyle w:val="AERbulletlistfirststyle"/>
        <w:rPr>
          <w:rStyle w:val="AERtexthighlight"/>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 (see </w:t>
      </w:r>
      <w:r w:rsidRPr="002F6FA6">
        <w:t>Appendix D and E for more discussions).</w:t>
      </w:r>
    </w:p>
    <w:p w:rsidR="00345EDF" w:rsidRPr="00146770" w:rsidRDefault="00345EDF" w:rsidP="00BE7E8C">
      <w:pPr>
        <w:pStyle w:val="AERbulletlistfirststyle"/>
        <w:rPr>
          <w:rStyle w:val="AERtexthighlight"/>
          <w:shd w:val="clear" w:color="auto" w:fill="auto"/>
        </w:rPr>
      </w:pPr>
      <w:r w:rsidRPr="002C045A">
        <w:rPr>
          <w:rStyle w:val="AERtexthighlight"/>
          <w:shd w:val="clear" w:color="auto" w:fill="auto"/>
        </w:rPr>
        <w:t>Our estimate is supported by comparison to estimates from the Wright specification of the CA</w:t>
      </w:r>
      <w:r w:rsidRPr="00146770">
        <w:rPr>
          <w:rStyle w:val="AERtexthighlight"/>
          <w:shd w:val="clear" w:color="auto" w:fill="auto"/>
        </w:rPr>
        <w:t>PM, broker reports, valuation reports, and other regulators' decisions.</w:t>
      </w:r>
    </w:p>
    <w:p w:rsidR="00345EDF" w:rsidRDefault="00345EDF" w:rsidP="00345EDF">
      <w:pPr>
        <w:pStyle w:val="AERbulletlistfirststyle"/>
      </w:pPr>
      <w:r w:rsidRPr="002F6FA6">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4D20D1">
        <w:rPr>
          <w:rStyle w:val="FootnoteReference"/>
        </w:rPr>
        <w:footnoteReference w:id="155"/>
      </w:r>
      <w:r w:rsidRPr="002F6FA6">
        <w:t xml:space="preserve"> service providers have continued to invest</w:t>
      </w:r>
      <w:r>
        <w:t xml:space="preserve"> in their networks and propose to continue to grow their asset bases.</w:t>
      </w:r>
      <w:r w:rsidRPr="00B005DF">
        <w:rPr>
          <w:rStyle w:val="FootnoteReference"/>
        </w:rPr>
        <w:footnoteReference w:id="156"/>
      </w:r>
      <w:r>
        <w:rPr>
          <w:rStyle w:val="AERtexthighlight"/>
        </w:rPr>
        <w:t xml:space="preserve"> </w:t>
      </w:r>
    </w:p>
    <w:p w:rsidR="00345EDF" w:rsidRPr="00B005DF" w:rsidRDefault="00345EDF" w:rsidP="00345EDF">
      <w:pPr>
        <w:pStyle w:val="AERbulletlistfirststyle"/>
      </w:pPr>
      <w:r>
        <w:t xml:space="preserve">Our return on equity estimate is approximately </w:t>
      </w:r>
      <w:r w:rsidR="00F84447">
        <w:t>2</w:t>
      </w:r>
      <w:r w:rsidR="0013097A">
        <w:t>30</w:t>
      </w:r>
      <w:r w:rsidR="00F84447">
        <w:t xml:space="preserve"> </w:t>
      </w:r>
      <w:r>
        <w:t>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rsidR="0013097A">
        <w:t>TasNetworks</w:t>
      </w:r>
      <w:r w:rsidRPr="00B005DF">
        <w:t>, we would not expect the return on equity to be a long way above the prevailing return on debt.</w:t>
      </w:r>
      <w:r w:rsidRPr="00B005DF">
        <w:rPr>
          <w:rStyle w:val="FootnoteReference"/>
        </w:rPr>
        <w:footnoteReference w:id="157"/>
      </w:r>
    </w:p>
    <w:p w:rsidR="00345EDF" w:rsidRDefault="00345EDF" w:rsidP="00345EDF">
      <w:pPr>
        <w:pStyle w:val="AERbulletlistfirststyle"/>
      </w:pPr>
      <w:r>
        <w:t>We have come to this estimate following the application of our foundation model approach, which:</w:t>
      </w:r>
    </w:p>
    <w:p w:rsidR="00345EDF" w:rsidRDefault="00345EDF" w:rsidP="00345EDF">
      <w:pPr>
        <w:pStyle w:val="AERbulletlistsecondstyle"/>
      </w:pPr>
      <w:r>
        <w:t>involves consideration of all relevant material submitted to us, and the role for each piece of material that would best achieve the ARORO; and</w:t>
      </w:r>
    </w:p>
    <w:p w:rsidR="00345EDF" w:rsidRDefault="00345EDF" w:rsidP="00345EDF">
      <w:pPr>
        <w:pStyle w:val="AERbulletlistsecondstyle"/>
      </w:pPr>
      <w:r>
        <w:t>was developed through extensive consultation during our Guideline review process.</w:t>
      </w:r>
    </w:p>
    <w:p w:rsidR="00D94CDE" w:rsidRPr="00D94CDE" w:rsidRDefault="00D94CDE" w:rsidP="00D94CDE">
      <w:pPr>
        <w:pStyle w:val="AERbulletlistsecondstyle"/>
      </w:pPr>
      <w:r w:rsidRPr="00D94CDE">
        <w:t>Was reviewed and upheld by the Tribunal</w:t>
      </w:r>
      <w:r w:rsidRPr="00D94CDE">
        <w:rPr>
          <w:rStyle w:val="FootnoteReference"/>
        </w:rPr>
        <w:footnoteReference w:id="158"/>
      </w:r>
    </w:p>
    <w:p w:rsidR="00C23EDE" w:rsidRDefault="00345EDF" w:rsidP="00CC7A1C">
      <w:pPr>
        <w:numPr>
          <w:ilvl w:val="0"/>
          <w:numId w:val="24"/>
        </w:numPr>
      </w:pPr>
      <w:r>
        <w:t xml:space="preserve">The Sharpe-Lintner CAPM provides that the return on equity can be calculated as the risk-free return and a premium for risk above the risk-free rate, with the risk premium </w:t>
      </w:r>
      <w:r w:rsidRPr="00033144">
        <w:t>calculated as the product of the market risk premium and equity beta.</w:t>
      </w:r>
      <w:r w:rsidRPr="00033144">
        <w:rPr>
          <w:rStyle w:val="FootnoteReference"/>
        </w:rPr>
        <w:footnoteReference w:id="159"/>
      </w:r>
      <w:r w:rsidRPr="00033144">
        <w:t xml:space="preserve"> </w:t>
      </w:r>
    </w:p>
    <w:p w:rsidR="00345EDF" w:rsidRPr="00033144" w:rsidRDefault="00345EDF" w:rsidP="00CC7A1C">
      <w:pPr>
        <w:numPr>
          <w:ilvl w:val="0"/>
          <w:numId w:val="24"/>
        </w:numPr>
      </w:pPr>
      <w:r w:rsidRPr="00033144">
        <w:t>Our Sharpe-Lintner CAPM estimate is based on:</w:t>
      </w:r>
    </w:p>
    <w:p w:rsidR="00345EDF" w:rsidRPr="002F6FA6" w:rsidRDefault="00345EDF" w:rsidP="00345EDF">
      <w:pPr>
        <w:pStyle w:val="AERbulletlistfirststyle"/>
      </w:pPr>
      <w:r w:rsidRPr="00033144">
        <w:t>a risk free rate estimate of 2.</w:t>
      </w:r>
      <w:r w:rsidR="0013097A">
        <w:t>85</w:t>
      </w:r>
      <w:r w:rsidR="0013097A" w:rsidRPr="002F6FA6">
        <w:t xml:space="preserve"> </w:t>
      </w:r>
      <w:r w:rsidRPr="002F6FA6">
        <w:t>per cent</w:t>
      </w:r>
    </w:p>
    <w:p w:rsidR="00345EDF" w:rsidRPr="002F6FA6" w:rsidRDefault="00345EDF" w:rsidP="00345EDF">
      <w:pPr>
        <w:pStyle w:val="AERbulletlistfirststyle"/>
      </w:pPr>
      <w:r w:rsidRPr="00033144">
        <w:t xml:space="preserve">a market risk premium estimate of 6.5 per cent, and </w:t>
      </w:r>
    </w:p>
    <w:p w:rsidR="00345EDF" w:rsidRPr="002F6FA6" w:rsidRDefault="00345EDF" w:rsidP="00345EDF">
      <w:pPr>
        <w:pStyle w:val="AERbulletlistfirststyle"/>
      </w:pPr>
      <w:r w:rsidRPr="00033144">
        <w:t>an equity beta estimate of 0.7.</w:t>
      </w:r>
      <w:r w:rsidRPr="002F6FA6">
        <w:rPr>
          <w:rStyle w:val="FootnoteReference"/>
        </w:rPr>
        <w:footnoteReference w:id="160"/>
      </w:r>
      <w:r w:rsidRPr="002F6FA6">
        <w:t xml:space="preserve"> </w:t>
      </w:r>
    </w:p>
    <w:p w:rsidR="00345EDF" w:rsidRDefault="00345EDF" w:rsidP="00CC7A1C">
      <w:pPr>
        <w:numPr>
          <w:ilvl w:val="0"/>
          <w:numId w:val="24"/>
        </w:numPr>
      </w:pPr>
      <w:r>
        <w:t xml:space="preserve">Our derivation of these parameter estimates </w:t>
      </w:r>
      <w:r w:rsidR="00FD5DFE">
        <w:t xml:space="preserve">for </w:t>
      </w:r>
      <w:r w:rsidR="0013097A">
        <w:t>TasNetworks'</w:t>
      </w:r>
      <w:r w:rsidR="00FD5DFE">
        <w:t xml:space="preserve"> final decision </w:t>
      </w:r>
      <w:r>
        <w:t xml:space="preserve">is outlined in the subsections below. </w:t>
      </w:r>
    </w:p>
    <w:p w:rsidR="00345EDF" w:rsidRDefault="00345EDF" w:rsidP="00CC7A1C">
      <w:pPr>
        <w:numPr>
          <w:ilvl w:val="0"/>
          <w:numId w:val="24"/>
        </w:numPr>
      </w:pPr>
      <w:r>
        <w:t xml:space="preserve">The following aspects of our return on equity estimate have </w:t>
      </w:r>
      <w:r w:rsidR="00FD5DFE">
        <w:t xml:space="preserve">had </w:t>
      </w:r>
      <w:r>
        <w:t>broad agreement from both service providers and consumer groups:</w:t>
      </w:r>
    </w:p>
    <w:p w:rsidR="00345EDF" w:rsidRDefault="00345EDF" w:rsidP="00345EDF">
      <w:pPr>
        <w:pStyle w:val="AERbulletlistfirststyle"/>
      </w:pPr>
      <w:r>
        <w:t xml:space="preserve">The Sharpe-Lintner CAPM, at least in combination with other relevant material, </w:t>
      </w:r>
      <w:r w:rsidR="0025059A">
        <w:t xml:space="preserve"> </w:t>
      </w:r>
      <w:r>
        <w:t>is valuable for estimating return on equity</w:t>
      </w:r>
      <w:r w:rsidR="00665696">
        <w:rPr>
          <w:rStyle w:val="FootnoteReference"/>
        </w:rPr>
        <w:footnoteReference w:id="161"/>
      </w:r>
    </w:p>
    <w:p w:rsidR="00345EDF" w:rsidRDefault="00345EDF" w:rsidP="00345EDF">
      <w:pPr>
        <w:pStyle w:val="AERbulletlistfirststyle"/>
      </w:pPr>
      <w:r>
        <w:t>The risk free rate should be estimated as the yield, averaged over a 20 business day averaging period, on Australian government securities with a ten-year term-to-maturity.</w:t>
      </w:r>
      <w:r>
        <w:rPr>
          <w:rStyle w:val="FootnoteReference"/>
        </w:rPr>
        <w:footnoteReference w:id="162"/>
      </w:r>
    </w:p>
    <w:p w:rsidR="00345EDF" w:rsidRDefault="00345EDF" w:rsidP="00345EDF">
      <w:pPr>
        <w:pStyle w:val="AERbulletlistfirststyle"/>
      </w:pPr>
      <w:r>
        <w:t>Market risk premium estimates should be informed by historical stock returns and (to some extent) dividend growth model estimates.</w:t>
      </w:r>
      <w:r w:rsidR="00665696">
        <w:rPr>
          <w:rStyle w:val="FootnoteReference"/>
        </w:rPr>
        <w:footnoteReference w:id="163"/>
      </w:r>
    </w:p>
    <w:p w:rsidR="00345EDF" w:rsidRDefault="00345EDF" w:rsidP="00345EDF">
      <w:pPr>
        <w:pStyle w:val="AERbulletlistfirststyle"/>
      </w:pPr>
      <w:r>
        <w:t>Equity beta estimates should be informed by regression estimates of the equity beta of relevant Australian and, to some extent, international energy network businesses.</w:t>
      </w:r>
      <w:r w:rsidR="00665696">
        <w:rPr>
          <w:rStyle w:val="FootnoteReference"/>
        </w:rPr>
        <w:footnoteReference w:id="164"/>
      </w:r>
    </w:p>
    <w:p w:rsidR="00345EDF" w:rsidRDefault="00BA4C69" w:rsidP="006E5878">
      <w:pPr>
        <w:pStyle w:val="AERbulletlistfirststyle"/>
        <w:numPr>
          <w:ilvl w:val="0"/>
          <w:numId w:val="0"/>
        </w:numPr>
      </w:pPr>
      <w:r>
        <w:t xml:space="preserve">Some </w:t>
      </w:r>
      <w:r w:rsidR="004972C2">
        <w:t>services providers have also submitted that t</w:t>
      </w:r>
      <w:r w:rsidR="00345EDF">
        <w:t>he Wright specification of the CAPM, and return on equity estimates from broker and valuation reports, are relevant material that can inform return on equity estimation.</w:t>
      </w:r>
      <w:r w:rsidR="004972C2">
        <w:rPr>
          <w:rStyle w:val="FootnoteReference"/>
        </w:rPr>
        <w:footnoteReference w:id="165"/>
      </w:r>
    </w:p>
    <w:p w:rsidR="00345EDF" w:rsidRDefault="00345EDF" w:rsidP="00345EDF">
      <w:r>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Pr>
          <w:rStyle w:val="FootnoteReference"/>
        </w:rPr>
        <w:footnoteReference w:id="166"/>
      </w:r>
      <w:r>
        <w:t xml:space="preserve"> while others submitted that these parameters should be lower.</w:t>
      </w:r>
      <w:r>
        <w:rPr>
          <w:rStyle w:val="FootnoteReference"/>
        </w:rPr>
        <w:footnoteReference w:id="167"/>
      </w:r>
    </w:p>
    <w:p w:rsidR="0087773E" w:rsidRDefault="0087773E" w:rsidP="00CC7A1C">
      <w:pPr>
        <w:numPr>
          <w:ilvl w:val="0"/>
          <w:numId w:val="24"/>
        </w:numPr>
      </w:pPr>
      <w:r>
        <w:t xml:space="preserve">We note </w:t>
      </w:r>
      <w:r w:rsidR="00BA4C69">
        <w:t xml:space="preserve">some </w:t>
      </w:r>
      <w:r>
        <w:t>service providers</w:t>
      </w:r>
      <w:r w:rsidR="00BA4C69">
        <w:t xml:space="preserve"> have</w:t>
      </w:r>
      <w:r>
        <w:t xml:space="preserve"> previously </w:t>
      </w:r>
      <w:r w:rsidRPr="0029294F">
        <w:t>propose</w:t>
      </w:r>
      <w:r>
        <w:t>d</w:t>
      </w:r>
      <w:r w:rsidRPr="0029294F">
        <w:t xml:space="preserve"> </w:t>
      </w:r>
      <w:r>
        <w:t xml:space="preserve">the </w:t>
      </w:r>
      <w:r w:rsidRPr="0029294F">
        <w:t>multi-model approach</w:t>
      </w:r>
      <w:r w:rsidRPr="005E2D1E">
        <w:rPr>
          <w:rStyle w:val="FootnoteReference"/>
        </w:rPr>
        <w:footnoteReference w:id="168"/>
      </w:r>
      <w:r w:rsidRPr="0029294F">
        <w:t xml:space="preserve"> </w:t>
      </w:r>
      <w:r>
        <w:t>(</w:t>
      </w:r>
      <w:r w:rsidRPr="001D35A1">
        <w:t>seen in previous regulatory processes</w:t>
      </w:r>
      <w:r>
        <w:t>)</w:t>
      </w:r>
      <w:r w:rsidRPr="001D35A1">
        <w:rPr>
          <w:rStyle w:val="FootnoteReference"/>
        </w:rPr>
        <w:footnoteReference w:id="169"/>
      </w:r>
      <w:r w:rsidRPr="001D35A1">
        <w:t xml:space="preserve"> </w:t>
      </w:r>
      <w:r w:rsidRPr="0029294F">
        <w:t>for estimating the return on equity</w:t>
      </w:r>
      <w:r>
        <w:t>. We have consistently rejected this approach for a range of reasons including:</w:t>
      </w:r>
    </w:p>
    <w:p w:rsidR="0087773E" w:rsidRDefault="0087773E" w:rsidP="0087773E">
      <w:pPr>
        <w:pStyle w:val="AERbulletlistfirststyle"/>
      </w:pPr>
      <w:r>
        <w:t>Our foundation model approach uses the Sharpe-Lintner CAPM as the foundation model. This model is widely and consistently used, and has well-accepted and unbiased methods for estimating its parameters.</w:t>
      </w:r>
    </w:p>
    <w:p w:rsidR="0087773E" w:rsidRDefault="0087773E" w:rsidP="0087773E">
      <w:pPr>
        <w:pStyle w:val="AERbulletlistfirststyle"/>
      </w:pPr>
      <w:r>
        <w:t xml:space="preserve">Models other the Sharpe-Lintner CAPM are too reliable and at risk of potential bias to be relied upon for determining the return on equity. </w:t>
      </w:r>
    </w:p>
    <w:p w:rsidR="0087773E" w:rsidRPr="0087773E" w:rsidRDefault="0087773E" w:rsidP="0087773E">
      <w:pPr>
        <w:pStyle w:val="AERbulletlistfirststyle"/>
      </w:pPr>
      <w:r>
        <w:t>And the Tribunal has upheld our approach.</w:t>
      </w:r>
      <w:r w:rsidRPr="0087773E">
        <w:rPr>
          <w:rStyle w:val="FootnoteReference"/>
        </w:rPr>
        <w:footnoteReference w:id="170"/>
      </w:r>
    </w:p>
    <w:p w:rsidR="0087773E" w:rsidRPr="0087773E" w:rsidRDefault="0087773E" w:rsidP="007C7B20">
      <w:pPr>
        <w:pStyle w:val="AERbulletlistfirststyle"/>
        <w:numPr>
          <w:ilvl w:val="0"/>
          <w:numId w:val="0"/>
        </w:numPr>
      </w:pPr>
      <w:r w:rsidRPr="0087773E">
        <w:t xml:space="preserve">Following this, the current service providers' </w:t>
      </w:r>
      <w:r w:rsidR="001A63AF">
        <w:t xml:space="preserve">(including AusNet Services') </w:t>
      </w:r>
      <w:r w:rsidRPr="0087773E">
        <w:t>proposals all adopt (or claim guidance from) the Guideline foundation model approach for estimating the return on equity.</w:t>
      </w:r>
      <w:r w:rsidRPr="0087773E">
        <w:rPr>
          <w:rStyle w:val="FootnoteReference"/>
        </w:rPr>
        <w:footnoteReference w:id="171"/>
      </w:r>
      <w:r>
        <w:t xml:space="preserve"> We discuss the current service providers' application of the Guideline approach below.</w:t>
      </w:r>
      <w:r w:rsidRPr="0087773E">
        <w:t xml:space="preserve"> </w:t>
      </w:r>
    </w:p>
    <w:p w:rsidR="0087773E" w:rsidRPr="00E147BE" w:rsidRDefault="0087773E" w:rsidP="00CC7A1C">
      <w:pPr>
        <w:pStyle w:val="HeadingBoldBlue"/>
        <w:numPr>
          <w:ilvl w:val="0"/>
          <w:numId w:val="24"/>
        </w:numPr>
        <w:rPr>
          <w:rStyle w:val="AERtextorange"/>
        </w:rPr>
      </w:pPr>
      <w:r w:rsidRPr="002C045A">
        <w:rPr>
          <w:rStyle w:val="AERtextorange"/>
        </w:rPr>
        <w:t xml:space="preserve">Service providers' </w:t>
      </w:r>
      <w:r>
        <w:rPr>
          <w:rStyle w:val="AERtextorange"/>
        </w:rPr>
        <w:t>proposed application of the Guideline</w:t>
      </w:r>
    </w:p>
    <w:p w:rsidR="0087773E" w:rsidRDefault="006F0977" w:rsidP="00A164C0">
      <w:pPr>
        <w:pStyle w:val="AERbulletlistfirststyle"/>
        <w:numPr>
          <w:ilvl w:val="0"/>
          <w:numId w:val="0"/>
        </w:numPr>
      </w:pPr>
      <w:r>
        <w:t>In applying the Guideline foundation model approach, we note only</w:t>
      </w:r>
      <w:r w:rsidR="0087773E">
        <w:t xml:space="preserve"> </w:t>
      </w:r>
      <w:r w:rsidR="0087773E" w:rsidRPr="0087773E">
        <w:t>TasNetworks and Powerlink</w:t>
      </w:r>
      <w:r>
        <w:t xml:space="preserve"> have</w:t>
      </w:r>
      <w:r w:rsidR="0087773E" w:rsidRPr="0087773E">
        <w:t xml:space="preserve"> adopt</w:t>
      </w:r>
      <w:r>
        <w:t>ed</w:t>
      </w:r>
      <w:r w:rsidR="0087773E" w:rsidRPr="0087773E">
        <w:t xml:space="preserve"> the</w:t>
      </w:r>
      <w:r w:rsidR="0087773E">
        <w:t xml:space="preserve"> Guideline</w:t>
      </w:r>
      <w:r w:rsidR="0087773E" w:rsidRPr="0087773E">
        <w:t xml:space="preserve"> approach in full (that is, for all parameters). We </w:t>
      </w:r>
      <w:r>
        <w:t>observe</w:t>
      </w:r>
      <w:r w:rsidR="0087773E" w:rsidRPr="0087773E">
        <w:t xml:space="preserve"> departures from the Guideline arise at the parameter level in AusNet </w:t>
      </w:r>
      <w:r w:rsidR="007C4678">
        <w:t>Services' proposal</w:t>
      </w:r>
      <w:r>
        <w:t>.</w:t>
      </w:r>
    </w:p>
    <w:p w:rsidR="00666644" w:rsidRDefault="00CF13CB" w:rsidP="00A164C0">
      <w:pPr>
        <w:pStyle w:val="AERbulletlistfirststyle"/>
        <w:numPr>
          <w:ilvl w:val="0"/>
          <w:numId w:val="0"/>
        </w:numPr>
      </w:pPr>
      <w:r>
        <w:t xml:space="preserve">We </w:t>
      </w:r>
      <w:r w:rsidR="008F49AA">
        <w:t xml:space="preserve">note </w:t>
      </w:r>
      <w:r w:rsidR="00666644">
        <w:t>(and accept)</w:t>
      </w:r>
      <w:r w:rsidR="001A63AF">
        <w:t xml:space="preserve"> that</w:t>
      </w:r>
      <w:r w:rsidR="00666644">
        <w:t xml:space="preserve"> </w:t>
      </w:r>
      <w:r w:rsidR="008F49AA">
        <w:t xml:space="preserve">AusNet Services adopted the Guideline foundation model approach for the following parameters: </w:t>
      </w:r>
      <w:r w:rsidR="001A63AF">
        <w:t>the Sharpe-Lintner CAPM as the foundation model</w:t>
      </w:r>
      <w:r w:rsidR="008F49AA">
        <w:t xml:space="preserve"> and risk free rate.</w:t>
      </w:r>
      <w:r w:rsidRPr="00CF13CB">
        <w:rPr>
          <w:rStyle w:val="FootnoteReference"/>
        </w:rPr>
        <w:footnoteReference w:id="172"/>
      </w:r>
      <w:r w:rsidR="008F49AA">
        <w:t xml:space="preserve"> Although it </w:t>
      </w:r>
      <w:r w:rsidR="00666644">
        <w:t>adopted</w:t>
      </w:r>
      <w:r w:rsidR="008F49AA">
        <w:t xml:space="preserve"> the Guideline's equity beta of 0.7 </w:t>
      </w:r>
      <w:r w:rsidR="00666644">
        <w:t xml:space="preserve">(which we accept) </w:t>
      </w:r>
      <w:r w:rsidR="00C566E8">
        <w:t>AusNet Services</w:t>
      </w:r>
      <w:r w:rsidR="008F49AA">
        <w:t xml:space="preserve"> submitted a CEG report (dated September 2016) suggesting a higher value.</w:t>
      </w:r>
      <w:r w:rsidR="007E1FD6">
        <w:rPr>
          <w:rStyle w:val="FootnoteReference"/>
        </w:rPr>
        <w:footnoteReference w:id="173"/>
      </w:r>
      <w:r w:rsidR="008F49AA">
        <w:t xml:space="preserve"> </w:t>
      </w:r>
      <w:r w:rsidR="00666644">
        <w:t>We discuss th</w:t>
      </w:r>
      <w:r w:rsidR="001A63AF">
        <w:t>e CEG report</w:t>
      </w:r>
      <w:r w:rsidR="00666644">
        <w:t xml:space="preserve"> in the equity beta subsection below.</w:t>
      </w:r>
    </w:p>
    <w:p w:rsidR="00066857" w:rsidRDefault="00442B70" w:rsidP="006E5878">
      <w:pPr>
        <w:pStyle w:val="AERbulletlistfirststyle"/>
        <w:numPr>
          <w:ilvl w:val="0"/>
          <w:numId w:val="0"/>
        </w:numPr>
      </w:pPr>
      <w:r w:rsidRPr="00442B70">
        <w:t xml:space="preserve">We </w:t>
      </w:r>
      <w:r w:rsidR="008F49AA">
        <w:t>also note</w:t>
      </w:r>
      <w:r w:rsidRPr="00442B70">
        <w:t xml:space="preserve"> AusNet Services proposed</w:t>
      </w:r>
      <w:r w:rsidR="008F49AA">
        <w:t xml:space="preserve"> a</w:t>
      </w:r>
      <w:r w:rsidRPr="00442B70">
        <w:t xml:space="preserve"> market risk premium of 7.5 per cent</w:t>
      </w:r>
      <w:r w:rsidR="00666644">
        <w:t>.</w:t>
      </w:r>
      <w:r w:rsidRPr="00442B70">
        <w:t xml:space="preserve"> </w:t>
      </w:r>
      <w:r w:rsidR="00666644">
        <w:t>However, this</w:t>
      </w:r>
      <w:r w:rsidRPr="00442B70">
        <w:t xml:space="preserve"> </w:t>
      </w:r>
      <w:r w:rsidR="008F49AA">
        <w:t>appears</w:t>
      </w:r>
      <w:r w:rsidRPr="00442B70">
        <w:t xml:space="preserve"> </w:t>
      </w:r>
      <w:r w:rsidR="00666644">
        <w:t xml:space="preserve">to be </w:t>
      </w:r>
      <w:r w:rsidRPr="00442B70">
        <w:t>largely based on a mischaracterised</w:t>
      </w:r>
      <w:r w:rsidR="001A63AF">
        <w:t xml:space="preserve"> (and mechanistic)</w:t>
      </w:r>
      <w:r w:rsidRPr="00442B70">
        <w:t xml:space="preserve"> application of the Guideline</w:t>
      </w:r>
      <w:r w:rsidR="00666644">
        <w:t xml:space="preserve"> which we reject</w:t>
      </w:r>
      <w:r w:rsidRPr="00442B70">
        <w:t>.</w:t>
      </w:r>
      <w:r w:rsidR="00666644">
        <w:t xml:space="preserve"> We consider the correct application of the Guideline approach (as upheld by the Tribunal) results in a market risk premium of 6.5 per cent</w:t>
      </w:r>
      <w:r w:rsidR="001A63AF">
        <w:t xml:space="preserve"> after considering all the relevant evidence in accordance with their relative merits and suitability for our regulatory task</w:t>
      </w:r>
      <w:r w:rsidR="00666644">
        <w:t xml:space="preserve">. We discuss this in the market risk premium subsection </w:t>
      </w:r>
      <w:r w:rsidR="00DF0600">
        <w:t>below. Overall</w:t>
      </w:r>
      <w:r w:rsidR="00EE15B9">
        <w:t>, w</w:t>
      </w:r>
      <w:r w:rsidR="00CF13CB" w:rsidRPr="00B005DF">
        <w:t>e are not satisfied that</w:t>
      </w:r>
      <w:r w:rsidR="00CF13CB">
        <w:t xml:space="preserve"> </w:t>
      </w:r>
      <w:r w:rsidR="00CF13CB" w:rsidRPr="00B005DF">
        <w:t xml:space="preserve">information </w:t>
      </w:r>
      <w:r w:rsidR="00CF13CB">
        <w:t xml:space="preserve">submitted to us </w:t>
      </w:r>
      <w:r w:rsidR="00CF13CB" w:rsidRPr="00B005DF">
        <w:t xml:space="preserve">indicates </w:t>
      </w:r>
      <w:r w:rsidR="00CF13CB">
        <w:t xml:space="preserve">that </w:t>
      </w:r>
      <w:r w:rsidR="00CF13CB" w:rsidRPr="00B005DF">
        <w:t>a departure from</w:t>
      </w:r>
      <w:r w:rsidR="00CF13CB">
        <w:t xml:space="preserve"> </w:t>
      </w:r>
      <w:r w:rsidR="00CF13CB" w:rsidRPr="00B005DF">
        <w:t xml:space="preserve">the </w:t>
      </w:r>
      <w:r w:rsidR="00CF13CB">
        <w:t>G</w:t>
      </w:r>
      <w:r w:rsidR="00CF13CB" w:rsidRPr="00B005DF">
        <w:t xml:space="preserve">uideline would </w:t>
      </w:r>
      <w:r w:rsidR="00CF13CB">
        <w:t>contribute to the achievement of</w:t>
      </w:r>
      <w:r w:rsidR="00CF13CB" w:rsidRPr="00B005DF">
        <w:t xml:space="preserve"> the </w:t>
      </w:r>
      <w:r w:rsidR="00CF13CB">
        <w:t>ARORO</w:t>
      </w:r>
      <w:r w:rsidR="00CF13CB" w:rsidRPr="00B005DF">
        <w:t xml:space="preserve">. </w:t>
      </w:r>
      <w:r w:rsidR="00CF13CB">
        <w:t>In addition to the reasons outlined in the subsections below, w</w:t>
      </w:r>
      <w:r w:rsidR="00CF13CB" w:rsidRPr="00B005DF">
        <w:t xml:space="preserve">e </w:t>
      </w:r>
      <w:r w:rsidR="00CF13CB">
        <w:t>consider</w:t>
      </w:r>
      <w:r w:rsidR="00CF13CB" w:rsidRPr="00B005DF">
        <w:t xml:space="preserve"> the importance placed by all stakeholders on predictability and </w:t>
      </w:r>
      <w:r w:rsidR="00CF13CB">
        <w:t>transparency</w:t>
      </w:r>
      <w:r w:rsidR="00CF13CB" w:rsidRPr="00B005DF">
        <w:t xml:space="preserve"> </w:t>
      </w:r>
      <w:r w:rsidR="00CF13CB">
        <w:t>in</w:t>
      </w:r>
      <w:r w:rsidR="00CF13CB" w:rsidRPr="00B005DF">
        <w:t xml:space="preserve"> </w:t>
      </w:r>
      <w:r w:rsidR="00CF13CB">
        <w:t xml:space="preserve">contributing to the </w:t>
      </w:r>
      <w:r w:rsidR="00CF13CB" w:rsidRPr="00B005DF">
        <w:t>achiev</w:t>
      </w:r>
      <w:r w:rsidR="00CF13CB">
        <w:t>ement of</w:t>
      </w:r>
      <w:r w:rsidR="00CF13CB" w:rsidRPr="00B005DF">
        <w:t xml:space="preserve"> the </w:t>
      </w:r>
      <w:r w:rsidR="00CF13CB">
        <w:t>ARORO.</w:t>
      </w:r>
      <w:r w:rsidR="00CF13CB">
        <w:rPr>
          <w:rStyle w:val="FootnoteReference"/>
        </w:rPr>
        <w:footnoteReference w:id="174"/>
      </w:r>
    </w:p>
    <w:p w:rsidR="00066857" w:rsidRDefault="00066857" w:rsidP="00A164C0">
      <w:r>
        <w:t xml:space="preserve">We step through </w:t>
      </w:r>
      <w:r w:rsidR="00010955">
        <w:t>the six-step foundation model approach below.</w:t>
      </w:r>
    </w:p>
    <w:p w:rsidR="00066857" w:rsidRDefault="00066857" w:rsidP="00066857">
      <w:pPr>
        <w:pStyle w:val="HeadingBoldBlue"/>
        <w:rPr>
          <w:rStyle w:val="AERtextorange"/>
        </w:rPr>
      </w:pPr>
      <w:r>
        <w:rPr>
          <w:rStyle w:val="AERtextorange"/>
        </w:rPr>
        <w:t>Step one and two: identify relevant material and role</w:t>
      </w:r>
    </w:p>
    <w:p w:rsidR="00066857" w:rsidRDefault="00066857" w:rsidP="007C7B20">
      <w:r w:rsidRPr="007C7B20">
        <w:rPr>
          <w:rStyle w:val="AERbody"/>
        </w:rPr>
        <w:t xml:space="preserve">We have had regard to a large amount of material including estimation methods, financial models, market data and other evidence and determined the role we consider that each piece of material should play in estimating the return on equity. </w:t>
      </w:r>
      <w:r w:rsidR="00FA0354">
        <w:rPr>
          <w:rStyle w:val="AERbody"/>
        </w:rPr>
        <w:t xml:space="preserve">In previous regulatory decisions, we set out in detail </w:t>
      </w:r>
      <w:r w:rsidRPr="007C7B20">
        <w:rPr>
          <w:rStyle w:val="AERbody"/>
        </w:rPr>
        <w:t>the way in which the information is used either as the foundation model, to inform our foundation model input parameters</w:t>
      </w:r>
      <w:r w:rsidR="0031715E">
        <w:rPr>
          <w:rStyle w:val="AERbody"/>
        </w:rPr>
        <w:t>,</w:t>
      </w:r>
      <w:r w:rsidRPr="007C7B20">
        <w:rPr>
          <w:rStyle w:val="AERbody"/>
        </w:rPr>
        <w:t xml:space="preserve"> or as other information—other than as the foundation model, to inform our return on equity estimate.</w:t>
      </w:r>
      <w:r w:rsidR="00FA0354">
        <w:rPr>
          <w:rStyle w:val="FootnoteReference"/>
        </w:rPr>
        <w:footnoteReference w:id="175"/>
      </w:r>
      <w:r w:rsidRPr="00066857">
        <w:t xml:space="preserve"> </w:t>
      </w:r>
      <w:r w:rsidR="00853443">
        <w:t xml:space="preserve">We also discuss this in the subsections below and appendices B to G of this decision. </w:t>
      </w:r>
      <w:r w:rsidR="00FA0354">
        <w:t>We do not repeat the</w:t>
      </w:r>
      <w:r w:rsidR="00853443">
        <w:t>se discussions</w:t>
      </w:r>
      <w:r w:rsidR="00FA0354">
        <w:t xml:space="preserve"> here and progress to step three of the Guideline foundation model approach.</w:t>
      </w:r>
      <w:r w:rsidRPr="00066857">
        <w:t xml:space="preserve"> </w:t>
      </w:r>
    </w:p>
    <w:p w:rsidR="00066857" w:rsidRDefault="00066857" w:rsidP="00066857">
      <w:pPr>
        <w:pStyle w:val="HeadingBoldBlue"/>
        <w:rPr>
          <w:rStyle w:val="AERtextorange"/>
        </w:rPr>
      </w:pPr>
      <w:r>
        <w:rPr>
          <w:rStyle w:val="AERtextorange"/>
        </w:rPr>
        <w:t>Step three: implementing the foundation model</w:t>
      </w:r>
    </w:p>
    <w:p w:rsidR="006A07DE" w:rsidRPr="00E31230" w:rsidRDefault="006A07DE" w:rsidP="00E31230">
      <w:pPr>
        <w:pStyle w:val="HeadingBoldItalic"/>
        <w:rPr>
          <w:rStyle w:val="AERtextorange"/>
          <w:color w:val="51626F"/>
        </w:rPr>
      </w:pPr>
      <w:r w:rsidRPr="0034234A">
        <w:rPr>
          <w:rStyle w:val="AERtextorange"/>
          <w:color w:val="51626F"/>
        </w:rPr>
        <w:t>Choice of equity models</w:t>
      </w:r>
    </w:p>
    <w:p w:rsidR="000D24A6" w:rsidRDefault="00066857" w:rsidP="000D24A6">
      <w:r>
        <w:t>We apply the</w:t>
      </w:r>
      <w:r w:rsidR="000D24A6">
        <w:t xml:space="preserve"> Sharpe-Lintner CAPM as our foundation model. We consider the Sharpe-Lintner CAPM is the best model for estimating the efficient costs of equity financing because it:</w:t>
      </w:r>
    </w:p>
    <w:p w:rsidR="000D24A6" w:rsidRDefault="000D24A6" w:rsidP="000D24A6">
      <w:pPr>
        <w:pStyle w:val="AERbulletlistfirststyle"/>
      </w:pPr>
      <w:r w:rsidRPr="001174B8">
        <w:t>transparently presents the key risk and reward trade-off</w:t>
      </w:r>
      <w:r w:rsidR="00D60AEA">
        <w:rPr>
          <w:rStyle w:val="FootnoteReference"/>
        </w:rPr>
        <w:footnoteReference w:id="176"/>
      </w:r>
      <w:r w:rsidRPr="001174B8">
        <w:t xml:space="preserve"> that is at the heart of our task</w:t>
      </w:r>
      <w:r w:rsidR="00D60AEA">
        <w:rPr>
          <w:rStyle w:val="FootnoteReference"/>
        </w:rPr>
        <w:footnoteReference w:id="177"/>
      </w:r>
    </w:p>
    <w:p w:rsidR="000D24A6" w:rsidRDefault="000D24A6" w:rsidP="000D24A6">
      <w:pPr>
        <w:pStyle w:val="AERbulletlistfirst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00D60AEA">
        <w:rPr>
          <w:rStyle w:val="FootnoteReference"/>
        </w:rPr>
        <w:footnoteReference w:id="178"/>
      </w:r>
    </w:p>
    <w:p w:rsidR="000D24A6" w:rsidRDefault="000D24A6" w:rsidP="000D24A6">
      <w:pPr>
        <w:pStyle w:val="AERbulletlistfirststyle"/>
      </w:pPr>
      <w:r>
        <w:t>has well-accepted and unbiased methods for estimating its parameters, and these parameters can be estimated with tolerable accuracy, unlike the alternative models proposed by</w:t>
      </w:r>
      <w:r w:rsidR="00BA4C69">
        <w:t xml:space="preserve"> some</w:t>
      </w:r>
      <w:r>
        <w:t xml:space="preserve"> service providers.</w:t>
      </w:r>
    </w:p>
    <w:p w:rsidR="000D24A6" w:rsidRPr="0051262A" w:rsidRDefault="000D24A6" w:rsidP="000D24A6">
      <w:r w:rsidRPr="0051262A">
        <w:t>Our consultants have also agreed with our use of the Sharpe-Lintner CAPM as the foundation model. Handley stated:</w:t>
      </w:r>
      <w:r w:rsidR="00D60AEA">
        <w:rPr>
          <w:rStyle w:val="FootnoteReference"/>
        </w:rPr>
        <w:footnoteReference w:id="179"/>
      </w:r>
    </w:p>
    <w:p w:rsidR="000D24A6" w:rsidRPr="00D50D12" w:rsidRDefault="000D24A6" w:rsidP="000D24A6">
      <w:pPr>
        <w:pStyle w:val="AERquote"/>
      </w:pPr>
      <w:r w:rsidRPr="00D50D12">
        <w:t>[t]he AER's choice of the Sharpe-CAPM as foundation model</w:t>
      </w:r>
      <w:r>
        <w:t xml:space="preserve"> is</w:t>
      </w:r>
      <w:r w:rsidRPr="00D50D12">
        <w:t xml:space="preserve"> entirely appropriate and reasonable for this purpose. </w:t>
      </w:r>
      <w:r w:rsidR="00DF0600" w:rsidRPr="00D50D12">
        <w:t xml:space="preserve">The Sharpe-CAPM is the standard (equilibrium) asset pricing model. </w:t>
      </w:r>
      <w:r w:rsidRPr="00D50D12">
        <w:t>It has a long established and well understood theoretical foundation and is a transparent representation of one of the most fundamental paradigms of finan</w:t>
      </w:r>
      <w:r>
        <w:t>ce - the risk-return trade off.</w:t>
      </w:r>
    </w:p>
    <w:p w:rsidR="000D24A6" w:rsidRPr="0051262A" w:rsidRDefault="000D24A6" w:rsidP="000D24A6">
      <w:r w:rsidRPr="0051262A">
        <w:t>McKenzie and Partington indicated with respect to the Sharpe–Lintner CAPM:</w:t>
      </w:r>
      <w:r w:rsidR="00D60AEA">
        <w:rPr>
          <w:rStyle w:val="FootnoteReference"/>
        </w:rPr>
        <w:footnoteReference w:id="180"/>
      </w:r>
    </w:p>
    <w:p w:rsidR="000D24A6" w:rsidRDefault="000D24A6" w:rsidP="000D24A6">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2479C8" w:rsidRDefault="002479C8" w:rsidP="002479C8">
      <w:r>
        <w:t xml:space="preserve">The current service providers have all adopted the Sharpe-Lintner CAPM as the foundation model for estimating the return on equity. </w:t>
      </w:r>
    </w:p>
    <w:p w:rsidR="000D24A6" w:rsidRDefault="002479C8" w:rsidP="000D24A6">
      <w:r>
        <w:t>We note s</w:t>
      </w:r>
      <w:r w:rsidR="000D24A6">
        <w:t xml:space="preserve">ince publishing our Guideline </w:t>
      </w:r>
      <w:r w:rsidR="00BA4C69">
        <w:t xml:space="preserve">some </w:t>
      </w:r>
      <w:r w:rsidR="000D24A6">
        <w:t>service providers have submitted that the use of additional models</w:t>
      </w:r>
      <w:r w:rsidR="000D24A6" w:rsidRPr="0051262A">
        <w:t xml:space="preserve"> </w:t>
      </w:r>
      <w:r w:rsidR="000D24A6">
        <w:t xml:space="preserve">for estimating the return on equity, and various methods for combining the models, would result in an improved estimate. The additional models submitted by </w:t>
      </w:r>
      <w:r w:rsidR="00BA4C69">
        <w:t xml:space="preserve">some </w:t>
      </w:r>
      <w:r w:rsidR="000D24A6">
        <w:t>service providers are the Black CAPM, Fama-French model, the dividend growth model, and the historical and Wright specifications to the Sharpe-Lintner CAPM.</w:t>
      </w:r>
      <w:r w:rsidR="000D24A6" w:rsidRPr="00050D2D">
        <w:t xml:space="preserve"> </w:t>
      </w:r>
      <w:r w:rsidR="000D24A6">
        <w:t xml:space="preserve"> </w:t>
      </w:r>
    </w:p>
    <w:p w:rsidR="00F65A1C" w:rsidRDefault="00F65A1C" w:rsidP="00F65A1C">
      <w:r>
        <w:t xml:space="preserve">We note that similar arguments </w:t>
      </w:r>
      <w:r w:rsidR="00BA4C69">
        <w:t xml:space="preserve">have been raised </w:t>
      </w:r>
      <w:r>
        <w:t>in previous submissions and revenue determinations.</w:t>
      </w:r>
      <w:r>
        <w:rPr>
          <w:rStyle w:val="FootnoteReference"/>
        </w:rPr>
        <w:footnoteReference w:id="181"/>
      </w:r>
      <w:r w:rsidRPr="00177FBB">
        <w:rPr>
          <w:rStyle w:val="FootnoteReference"/>
        </w:rPr>
        <w:t xml:space="preserve"> </w:t>
      </w:r>
      <w:r>
        <w:t xml:space="preserve">They effectively revolve around the following claims: </w:t>
      </w:r>
    </w:p>
    <w:p w:rsidR="00F65A1C" w:rsidRDefault="00F65A1C" w:rsidP="00F65A1C">
      <w:pPr>
        <w:pStyle w:val="AERbulletlistfirststyle"/>
      </w:pPr>
      <w:r>
        <w:t>That</w:t>
      </w:r>
      <w:r w:rsidRPr="004A6CD1">
        <w:t xml:space="preserve"> </w:t>
      </w:r>
      <w:r>
        <w:t>empirical</w:t>
      </w:r>
      <w:r w:rsidRPr="004A6CD1">
        <w:t xml:space="preserve"> evid</w:t>
      </w:r>
      <w:r>
        <w:t xml:space="preserve">ence shows that the Sharpe-Lintner </w:t>
      </w:r>
      <w:r w:rsidRPr="004A6CD1">
        <w:t xml:space="preserve">CAPM </w:t>
      </w:r>
      <w:r>
        <w:t>is downwardly biased</w:t>
      </w:r>
      <w:r w:rsidRPr="004A6CD1">
        <w:t xml:space="preserve"> and that there are alternative models available</w:t>
      </w:r>
      <w:r>
        <w:t xml:space="preserve"> that can reliably</w:t>
      </w:r>
      <w:r w:rsidRPr="004A6CD1">
        <w:t xml:space="preserve"> address </w:t>
      </w:r>
      <w:r>
        <w:t>these</w:t>
      </w:r>
      <w:r w:rsidRPr="004A6CD1">
        <w:t xml:space="preserve"> </w:t>
      </w:r>
      <w:r>
        <w:t>biases,</w:t>
      </w:r>
      <w:r w:rsidR="00C77169">
        <w:rPr>
          <w:rStyle w:val="FootnoteReference"/>
        </w:rPr>
        <w:footnoteReference w:id="182"/>
      </w:r>
      <w:r w:rsidRPr="00177FBB">
        <w:t xml:space="preserve"> </w:t>
      </w:r>
      <w:r>
        <w:t xml:space="preserve"> specifically:</w:t>
      </w:r>
    </w:p>
    <w:p w:rsidR="00F65A1C" w:rsidRDefault="00F65A1C" w:rsidP="00F65A1C">
      <w:pPr>
        <w:pStyle w:val="AERbulletlistsecondstyle"/>
      </w:pPr>
      <w:r>
        <w:t xml:space="preserve">the Black CAPM can address low beta bias in the Sharpe-Lintner CAPM (a tendency for the Sharpe-Lintner CAPM to estimate a downwardly-biased return on equity for stocks with an equity beta less than one), and </w:t>
      </w:r>
    </w:p>
    <w:p w:rsidR="00F65A1C" w:rsidRDefault="00F65A1C" w:rsidP="00F65A1C">
      <w:pPr>
        <w:pStyle w:val="AERbulletlistsecondstyle"/>
      </w:pPr>
      <w:r>
        <w:t>the Fama-French model can address book-to-market bias in the Sharpe-Lintner CAPM (a tendency for the Sharpe-Lintner CAPM to estimate a downwardly-biased return on equity for stocks with low book-to-market ratios)</w:t>
      </w:r>
    </w:p>
    <w:p w:rsidR="00F65A1C" w:rsidRPr="00A75D2F" w:rsidRDefault="00F65A1C" w:rsidP="00F65A1C">
      <w:pPr>
        <w:pStyle w:val="AERbulletlistfirststyle"/>
      </w:pPr>
      <w:r w:rsidRPr="00A75D2F">
        <w:t xml:space="preserve">The dividend growth model more accurately and reliably reflects investors' prevailing </w:t>
      </w:r>
      <w:r>
        <w:t>required</w:t>
      </w:r>
      <w:r w:rsidRPr="00A75D2F">
        <w:t xml:space="preserve"> return on equity, and provides a better consideration of prevailing market conditions, than the Sharpe-Lintner CAPM. </w:t>
      </w:r>
    </w:p>
    <w:p w:rsidR="00F65A1C" w:rsidRDefault="00F65A1C" w:rsidP="00CC7A1C">
      <w:pPr>
        <w:numPr>
          <w:ilvl w:val="0"/>
          <w:numId w:val="24"/>
        </w:numPr>
      </w:pPr>
      <w:r>
        <w:t xml:space="preserve">We are not satisfied that </w:t>
      </w:r>
      <w:r w:rsidR="00AB32EC">
        <w:t xml:space="preserve">the previously </w:t>
      </w:r>
      <w:r>
        <w:t>proposed application of other equity models</w:t>
      </w:r>
      <w:r w:rsidR="00C77169">
        <w:rPr>
          <w:rStyle w:val="FootnoteReference"/>
        </w:rPr>
        <w:footnoteReference w:id="183"/>
      </w:r>
      <w:r>
        <w:t xml:space="preserve"> will result in a return on equity that is commensurate with efficient financing costs (given the risk of AusNet Services' regulated services).</w:t>
      </w:r>
      <w:r w:rsidR="00C77169">
        <w:rPr>
          <w:rStyle w:val="FootnoteReference"/>
        </w:rPr>
        <w:footnoteReference w:id="184"/>
      </w:r>
      <w:r>
        <w:t xml:space="preserve"> We consider there is overwhelming evidence that the Sharpe-Lintner CAPM is the current standard-bearer for estimating expected equity returns. </w:t>
      </w:r>
    </w:p>
    <w:p w:rsidR="000D24A6" w:rsidRDefault="000D24A6" w:rsidP="000D24A6">
      <w:r>
        <w:t>We consider</w:t>
      </w:r>
      <w:r w:rsidR="00A10224">
        <w:t>ed</w:t>
      </w:r>
      <w:r>
        <w:t xml:space="preserve"> the relative merits of this material in detail in section </w:t>
      </w:r>
      <w:r>
        <w:fldChar w:fldCharType="begin"/>
      </w:r>
      <w:r>
        <w:instrText xml:space="preserve"> REF _Ref451685041 \r \h </w:instrText>
      </w:r>
      <w:r>
        <w:fldChar w:fldCharType="separate"/>
      </w:r>
      <w:r w:rsidR="00C6448C">
        <w:t>B</w:t>
      </w:r>
      <w:r>
        <w:fldChar w:fldCharType="end"/>
      </w:r>
      <w:r>
        <w:t xml:space="preserve"> of this attachment. </w:t>
      </w:r>
      <w:r w:rsidRPr="00CB12BC">
        <w:t>G</w:t>
      </w:r>
      <w:r>
        <w:t xml:space="preserve">iven the limitations of the other equity models proposed by </w:t>
      </w:r>
      <w:r w:rsidR="00CD2633">
        <w:t xml:space="preserve">some </w:t>
      </w:r>
      <w:r>
        <w:t>service providers, we consider that:</w:t>
      </w:r>
    </w:p>
    <w:p w:rsidR="000D24A6" w:rsidRPr="00B005DF" w:rsidRDefault="000D24A6" w:rsidP="000D24A6">
      <w:pPr>
        <w:pStyle w:val="AERbulletlistfirststyle"/>
      </w:pPr>
      <w:r>
        <w:t>These models should not form part of our approach, either as the sole model or as part of a multi-model approach</w:t>
      </w:r>
      <w:r w:rsidRPr="00B005DF">
        <w:t>.</w:t>
      </w:r>
    </w:p>
    <w:p w:rsidR="000D24A6" w:rsidRPr="00B005DF" w:rsidRDefault="000D24A6" w:rsidP="000D24A6">
      <w:pPr>
        <w:pStyle w:val="AERbulletlistfirststyle"/>
      </w:pPr>
      <w:r>
        <w:t xml:space="preserve">The Wright approach, the dividend growth model, and the theory underpinning the Black CAPM may provide some (albeit limited) insights. This material has been used to inform our overall return on equity estimate (Wright) or the estimation of Sharpe-Lintner CAPM </w:t>
      </w:r>
      <w:r w:rsidRPr="00B005DF">
        <w:t xml:space="preserve">parameters (Black CAPM and </w:t>
      </w:r>
      <w:r>
        <w:t>dividend growth model</w:t>
      </w:r>
      <w:r w:rsidRPr="00B005DF">
        <w:t>).</w:t>
      </w:r>
      <w:r w:rsidR="00C77169">
        <w:rPr>
          <w:rStyle w:val="FootnoteReference"/>
        </w:rPr>
        <w:footnoteReference w:id="185"/>
      </w:r>
    </w:p>
    <w:p w:rsidR="000D24A6" w:rsidRDefault="000D24A6" w:rsidP="000D24A6">
      <w:pPr>
        <w:pStyle w:val="AERbulletlistfirststyle"/>
      </w:pPr>
      <w:r>
        <w:t xml:space="preserve">The Fama-French model and historical specification of the Sharpe-Lintner CAPM should not be used to inform our return on equity estimate in any capacity. </w:t>
      </w:r>
    </w:p>
    <w:p w:rsidR="000D24A6" w:rsidRDefault="000D24A6" w:rsidP="000D24A6">
      <w:r>
        <w:t xml:space="preserve">Consumers and other stakeholders </w:t>
      </w:r>
      <w:r w:rsidR="00CD2633">
        <w:t xml:space="preserve">have </w:t>
      </w:r>
      <w:r>
        <w:t>generally supported our use of the Sharp-Lintner CAPM and our foundation model approach.</w:t>
      </w:r>
      <w:r w:rsidR="00C77169">
        <w:rPr>
          <w:rStyle w:val="FootnoteReference"/>
        </w:rPr>
        <w:footnoteReference w:id="186"/>
      </w:r>
      <w:r>
        <w:t xml:space="preserve"> </w:t>
      </w:r>
    </w:p>
    <w:p w:rsidR="000D24A6" w:rsidRDefault="000D24A6" w:rsidP="00CC7A1C">
      <w:pPr>
        <w:numPr>
          <w:ilvl w:val="0"/>
          <w:numId w:val="24"/>
        </w:numPr>
      </w:pPr>
      <w:r>
        <w:t>Partington and Satchell</w:t>
      </w:r>
      <w:r w:rsidR="007C6250">
        <w:t xml:space="preserve"> has</w:t>
      </w:r>
      <w:r>
        <w:t xml:space="preserve">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sidR="00C77169">
        <w:rPr>
          <w:rStyle w:val="FootnoteReference"/>
        </w:rPr>
        <w:footnoteReference w:id="187"/>
      </w:r>
    </w:p>
    <w:p w:rsidR="000D24A6" w:rsidRDefault="000D24A6" w:rsidP="00CC7A1C">
      <w:pPr>
        <w:numPr>
          <w:ilvl w:val="0"/>
          <w:numId w:val="24"/>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sidR="00C77169">
        <w:rPr>
          <w:rStyle w:val="FootnoteReference"/>
        </w:rPr>
        <w:footnoteReference w:id="188"/>
      </w:r>
    </w:p>
    <w:p w:rsidR="000D24A6" w:rsidRDefault="000D24A6" w:rsidP="00CC7A1C">
      <w:pPr>
        <w:numPr>
          <w:ilvl w:val="0"/>
          <w:numId w:val="24"/>
        </w:numPr>
        <w:rPr>
          <w:rStyle w:val="AERbody"/>
        </w:rPr>
      </w:pPr>
      <w:r w:rsidRPr="009423EC">
        <w:rPr>
          <w:rStyle w:val="AERbody"/>
        </w:rPr>
        <w:t>We do not agree that our application of the Sharpe-Lintner CAPM</w:t>
      </w:r>
      <w:r>
        <w:rPr>
          <w:rStyle w:val="AERbody"/>
        </w:rPr>
        <w:t xml:space="preserve">, given our choice of appropriate parameters, </w:t>
      </w:r>
      <w:r w:rsidRPr="009423EC">
        <w:rPr>
          <w:rStyle w:val="AERbody"/>
        </w:rPr>
        <w:t>is downwardly biased for either low beta bias or book-to-market bias.</w:t>
      </w:r>
      <w:r>
        <w:rPr>
          <w:rStyle w:val="AERbody"/>
        </w:rPr>
        <w:t xml:space="preserve"> We do not consider that reliable estimates of the return on equity can be derived from the Black CAPM, Fama-French model, or dividend growth model. </w:t>
      </w:r>
    </w:p>
    <w:p w:rsidR="000D24A6" w:rsidRDefault="000D24A6" w:rsidP="00CC7A1C">
      <w:pPr>
        <w:numPr>
          <w:ilvl w:val="0"/>
          <w:numId w:val="24"/>
        </w:numPr>
      </w:pPr>
      <w:r>
        <w:t>We have considered these issues and the associated supporting material in our previous decisions.</w:t>
      </w:r>
      <w:r>
        <w:rPr>
          <w:rStyle w:val="FootnoteReference"/>
        </w:rPr>
        <w:footnoteReference w:id="189"/>
      </w:r>
      <w:r>
        <w:t xml:space="preserve"> </w:t>
      </w:r>
    </w:p>
    <w:p w:rsidR="000D24A6" w:rsidRDefault="000D24A6" w:rsidP="000D24A6">
      <w:pPr>
        <w:rPr>
          <w:rStyle w:val="AERbody"/>
        </w:rPr>
      </w:pPr>
      <w:r>
        <w:rPr>
          <w:rStyle w:val="AERbody"/>
        </w:rPr>
        <w:t>We also note that o</w:t>
      </w:r>
      <w:r w:rsidRPr="002F6C93">
        <w:rPr>
          <w:rStyle w:val="AERbody"/>
        </w:rPr>
        <w:t>ur consideration of the relative merits of the Sharpe-Lintner CAPM, Black CAPM, Fama-French model, and dividend growth model are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sidR="005E5104">
        <w:rPr>
          <w:rStyle w:val="FootnoteReference"/>
        </w:rPr>
        <w:footnoteReference w:id="190"/>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return on equity estimate </w:t>
      </w:r>
      <w:r>
        <w:t>are</w:t>
      </w:r>
      <w:r w:rsidRPr="00971D38">
        <w:t xml:space="preserve"> </w:t>
      </w:r>
      <w:r>
        <w:t>supported by</w:t>
      </w:r>
      <w:r w:rsidRPr="00971D38">
        <w:t xml:space="preserve"> a range of relevant material including market-based evidence (</w:t>
      </w:r>
      <w:r>
        <w:t xml:space="preserve">see </w:t>
      </w:r>
      <w:r w:rsidR="009211CA">
        <w:rPr>
          <w:rStyle w:val="AERbody"/>
        </w:rPr>
        <w:t>'Steps four and five: other information and evaluation of information set on overall return on equity' subsection</w:t>
      </w:r>
      <w:r w:rsidRPr="007D2133">
        <w:rPr>
          <w:rStyle w:val="AERbody"/>
        </w:rPr>
        <w:t>).</w:t>
      </w:r>
    </w:p>
    <w:p w:rsidR="00BF5906" w:rsidRPr="00E31230" w:rsidRDefault="00BF5906" w:rsidP="00E31230">
      <w:pPr>
        <w:pStyle w:val="HeadingBoldItalic"/>
        <w:rPr>
          <w:rStyle w:val="Emphasis"/>
        </w:rPr>
      </w:pPr>
      <w:r w:rsidRPr="00E31230">
        <w:rPr>
          <w:rStyle w:val="Emphasis"/>
        </w:rPr>
        <w:t>Risk free rate</w:t>
      </w:r>
    </w:p>
    <w:p w:rsidR="002C045A" w:rsidRDefault="002C045A" w:rsidP="00CC7A1C">
      <w:pPr>
        <w:pStyle w:val="AERbulletlistfirststyle"/>
        <w:numPr>
          <w:ilvl w:val="0"/>
          <w:numId w:val="24"/>
        </w:numPr>
      </w:pPr>
      <w:r>
        <w:t>Applying the Sharpe-Lintner CAPM requires estimating the risk free rate.</w:t>
      </w:r>
    </w:p>
    <w:p w:rsidR="008B2351" w:rsidRDefault="008B2351" w:rsidP="00CC7A1C">
      <w:pPr>
        <w:pStyle w:val="ListParagraph"/>
        <w:numPr>
          <w:ilvl w:val="0"/>
          <w:numId w:val="24"/>
        </w:numPr>
      </w:pPr>
      <w:r w:rsidRPr="008B2351">
        <w:t>Th</w:t>
      </w:r>
      <w:r>
        <w:t>e risk free rate</w:t>
      </w:r>
      <w:r w:rsidRPr="008B2351">
        <w:t xml:space="preserve"> compensates investors for the time value of money. That is, committing funds for a period of time and therefore forgoing the opportunity to immediately spend money or consume goods.</w:t>
      </w:r>
      <w:r w:rsidR="00664F75">
        <w:rPr>
          <w:rStyle w:val="FootnoteReference"/>
        </w:rPr>
        <w:footnoteReference w:id="191"/>
      </w:r>
      <w:r w:rsidRPr="008B2351">
        <w:t xml:space="preserve"> For the benchmark efficient entity, we estimate this period of time to be 10 years.</w:t>
      </w:r>
      <w:r w:rsidRPr="008B2351">
        <w:rPr>
          <w:rStyle w:val="FootnoteReference"/>
        </w:rPr>
        <w:footnoteReference w:id="192"/>
      </w:r>
      <w:r w:rsidRPr="008B2351">
        <w:t xml:space="preserve"> We are satisfied that the risk free rate is a suitable starting point of comparison for what other investments must beat, given risk is involved. While the risk free rate varies over time, it still indicates the rate that other investments must beat. </w:t>
      </w:r>
    </w:p>
    <w:p w:rsidR="00146770" w:rsidRDefault="00385F4D" w:rsidP="00CC7A1C">
      <w:pPr>
        <w:pStyle w:val="ListParagraph"/>
        <w:numPr>
          <w:ilvl w:val="0"/>
          <w:numId w:val="24"/>
        </w:numPr>
      </w:pPr>
      <w:r w:rsidRPr="00385F4D">
        <w:t>We consider 10 year CGS yields are the most suitable proxy for the risk free rate. CGSs are low default risk securities issued by the Australian Government, and are therefore an appropriate proxy for the risk free rate.</w:t>
      </w:r>
      <w:r w:rsidRPr="00385F4D">
        <w:rPr>
          <w:rStyle w:val="FootnoteReference"/>
        </w:rPr>
        <w:footnoteReference w:id="193"/>
      </w:r>
      <w:r w:rsidRPr="00385F4D">
        <w:t xml:space="preserve"> The three major credit rating agencies issued their highest possible ratings to the Australian Government.</w:t>
      </w:r>
      <w:r w:rsidRPr="00385F4D">
        <w:rPr>
          <w:rStyle w:val="FootnoteReference"/>
        </w:rPr>
        <w:footnoteReference w:id="194"/>
      </w:r>
      <w:r w:rsidRPr="00385F4D">
        <w:t xml:space="preserve"> There is broad consensus with this position. For instance, market practitioners widely use CGS yields to proxy the risk free rate.</w:t>
      </w:r>
      <w:r w:rsidRPr="00385F4D">
        <w:rPr>
          <w:rStyle w:val="FootnoteReference"/>
        </w:rPr>
        <w:footnoteReference w:id="195"/>
      </w:r>
      <w:r w:rsidRPr="00385F4D">
        <w:t xml:space="preserve"> Stakeholders also widely supported using CGS yields as a proxy during the Guideline development process.</w:t>
      </w:r>
      <w:r w:rsidRPr="00385F4D">
        <w:rPr>
          <w:rStyle w:val="FootnoteReference"/>
        </w:rPr>
        <w:footnoteReference w:id="196"/>
      </w:r>
      <w:r w:rsidRPr="00385F4D">
        <w:t xml:space="preserve"> We use 10 year CGS yields because we adopt a 10 year term. A 10 year term emphasises the long term nature of cash flows in equity investments and the long lived nature the benchmark efficient entity's assets.</w:t>
      </w:r>
      <w:r w:rsidRPr="00385F4D">
        <w:rPr>
          <w:rStyle w:val="FootnoteReference"/>
        </w:rPr>
        <w:footnoteReference w:id="197"/>
      </w:r>
    </w:p>
    <w:p w:rsidR="00C91BAB" w:rsidRDefault="002C045A" w:rsidP="00E31230">
      <w:pPr>
        <w:pStyle w:val="AERbulletlistfirststyle"/>
        <w:numPr>
          <w:ilvl w:val="0"/>
          <w:numId w:val="0"/>
        </w:numPr>
      </w:pPr>
      <w:r>
        <w:t xml:space="preserve">We </w:t>
      </w:r>
      <w:r w:rsidR="008B2351">
        <w:t>apply</w:t>
      </w:r>
      <w:r>
        <w:t xml:space="preserve"> a risk free rate of </w:t>
      </w:r>
      <w:r w:rsidR="00853443">
        <w:t>2.</w:t>
      </w:r>
      <w:r w:rsidR="0013097A">
        <w:t>85</w:t>
      </w:r>
      <w:r>
        <w:t xml:space="preserve"> per cent in this decision.</w:t>
      </w:r>
      <w:r w:rsidR="00E147BE">
        <w:t xml:space="preserve"> This risk free rate is based on a 20 business day averaging period, from </w:t>
      </w:r>
      <w:r w:rsidR="0013097A">
        <w:t>21 February 2017 to 20 March 2017</w:t>
      </w:r>
      <w:r w:rsidR="00E147BE">
        <w:t xml:space="preserve">. </w:t>
      </w:r>
      <w:r w:rsidR="00C91BAB">
        <w:t>We use this to inform our final decision on the return on equity</w:t>
      </w:r>
      <w:r w:rsidR="00C91BAB" w:rsidRPr="00C91BAB">
        <w:t xml:space="preserve"> for </w:t>
      </w:r>
      <w:r w:rsidR="0013097A">
        <w:t>TasNetworks'</w:t>
      </w:r>
      <w:r w:rsidR="00C91BAB" w:rsidRPr="00C91BAB">
        <w:t xml:space="preserve"> regulatory period (2017–20</w:t>
      </w:r>
      <w:r w:rsidR="0013097A">
        <w:t>19</w:t>
      </w:r>
      <w:r w:rsidR="00C91BAB" w:rsidRPr="00C91BAB">
        <w:t>).</w:t>
      </w:r>
      <w:r w:rsidR="00F16C7A">
        <w:t xml:space="preserve"> </w:t>
      </w:r>
      <w:r w:rsidR="00EC3862">
        <w:t>This is consistent with T</w:t>
      </w:r>
      <w:r w:rsidR="00F16C7A">
        <w:t>asNetworks</w:t>
      </w:r>
      <w:r w:rsidR="00EC3862">
        <w:t>' revised proposal which</w:t>
      </w:r>
      <w:r w:rsidR="00F16C7A">
        <w:t xml:space="preserve"> accepted our draft decision</w:t>
      </w:r>
      <w:r w:rsidR="00EC3862">
        <w:t xml:space="preserve"> to</w:t>
      </w:r>
      <w:r w:rsidR="00F16C7A">
        <w:t xml:space="preserve"> </w:t>
      </w:r>
      <w:r w:rsidR="00EC3862">
        <w:t>s</w:t>
      </w:r>
      <w:r w:rsidR="00EC3862" w:rsidRPr="00EC3862">
        <w:t xml:space="preserve">et </w:t>
      </w:r>
      <w:r w:rsidR="009E33AA">
        <w:t>a placeholder</w:t>
      </w:r>
      <w:r w:rsidR="00EC3862" w:rsidRPr="00EC3862">
        <w:t xml:space="preserve"> averaging period of 20 business days ending 29 July</w:t>
      </w:r>
      <w:r w:rsidR="009E33AA">
        <w:t xml:space="preserve"> and a final averaging period of 21 February 2017 to 20 March 2017</w:t>
      </w:r>
      <w:r w:rsidR="00EC3862" w:rsidRPr="00EC3862">
        <w:t xml:space="preserve"> for the final decision</w:t>
      </w:r>
      <w:r w:rsidR="00C91BAB" w:rsidRPr="00C91BAB">
        <w:t>.</w:t>
      </w:r>
      <w:r w:rsidR="00C91BAB" w:rsidRPr="00C91BAB">
        <w:rPr>
          <w:rStyle w:val="FootnoteReference"/>
        </w:rPr>
        <w:footnoteReference w:id="198"/>
      </w:r>
      <w:r w:rsidR="00C91BAB" w:rsidRPr="00C91BAB">
        <w:t xml:space="preserve"> </w:t>
      </w:r>
    </w:p>
    <w:p w:rsidR="008B2351" w:rsidRDefault="008B2351" w:rsidP="00CC7A1C">
      <w:pPr>
        <w:pStyle w:val="ListParagraph"/>
        <w:numPr>
          <w:ilvl w:val="0"/>
          <w:numId w:val="24"/>
        </w:numPr>
      </w:pPr>
      <w:r w:rsidRPr="001174B8">
        <w:t>We are satisfied the risk free rate we apply provides for a return on equity that contributes to the achievement of the al</w:t>
      </w:r>
      <w:r>
        <w:t>lowed rate of return objective.</w:t>
      </w:r>
      <w:r>
        <w:rPr>
          <w:rStyle w:val="FootnoteReference"/>
        </w:rPr>
        <w:footnoteReference w:id="199"/>
      </w:r>
      <w:r w:rsidRPr="001174B8">
        <w:t xml:space="preserve"> That is, it is a forward looking risk free rate commensurate with prevailing conditions in the market for funds at the commencement of</w:t>
      </w:r>
      <w:r>
        <w:t xml:space="preserve"> the regulatory control period.</w:t>
      </w:r>
      <w:r>
        <w:rPr>
          <w:rStyle w:val="FootnoteReference"/>
        </w:rPr>
        <w:footnoteReference w:id="200"/>
      </w:r>
      <w:r w:rsidRPr="001174B8">
        <w:t xml:space="preserve"> As such, this risk free rate also has regard to the prevailing conditions in the market for equity funds, as the rules require.</w:t>
      </w:r>
      <w:r w:rsidRPr="00587384">
        <w:rPr>
          <w:rStyle w:val="FootnoteReference"/>
        </w:rPr>
        <w:footnoteReference w:id="201"/>
      </w:r>
      <w:r w:rsidRPr="001174B8">
        <w:t xml:space="preserve">  </w:t>
      </w:r>
    </w:p>
    <w:p w:rsidR="00C663E7" w:rsidRDefault="00C663E7" w:rsidP="00CC7A1C">
      <w:pPr>
        <w:pStyle w:val="AERbulletlistfirststyle"/>
        <w:numPr>
          <w:ilvl w:val="0"/>
          <w:numId w:val="24"/>
        </w:numPr>
      </w:pPr>
      <w:r>
        <w:t xml:space="preserve">While we recognise that the 10 year CGS yields have changed since </w:t>
      </w:r>
      <w:r w:rsidR="0013097A">
        <w:t>20 March 2017</w:t>
      </w:r>
      <w:r w:rsidRPr="00C91BAB">
        <w:t>, these rates after the averaging period do not inform our decision.</w:t>
      </w:r>
    </w:p>
    <w:p w:rsidR="008B2351" w:rsidRDefault="008B2351" w:rsidP="00CC7A1C">
      <w:pPr>
        <w:numPr>
          <w:ilvl w:val="0"/>
          <w:numId w:val="24"/>
        </w:numPr>
      </w:pPr>
      <w:r>
        <w:t>We are satisfied with our estimate of the risk free rate, and how this informs our estimate of the return on equity. This is because of the following:</w:t>
      </w:r>
    </w:p>
    <w:p w:rsidR="008B2351" w:rsidRDefault="008B2351" w:rsidP="008B2351">
      <w:pPr>
        <w:pStyle w:val="AERbulletlistfirststyle"/>
      </w:pPr>
      <w:r>
        <w:t xml:space="preserve">We are satisfied that our risk free rate, based on an averaging period of </w:t>
      </w:r>
      <w:r w:rsidR="0013097A">
        <w:t>21 February 2017 to 20 March 2017</w:t>
      </w:r>
      <w:r>
        <w:t xml:space="preserve"> contributes to the achievement of the allowed rate of return objective.</w:t>
      </w:r>
      <w:r>
        <w:rPr>
          <w:rStyle w:val="FootnoteReference"/>
        </w:rPr>
        <w:footnoteReference w:id="202"/>
      </w:r>
      <w:r>
        <w:t xml:space="preserve"> </w:t>
      </w:r>
    </w:p>
    <w:p w:rsidR="008B2351" w:rsidRDefault="008B2351" w:rsidP="008B2351">
      <w:pPr>
        <w:pStyle w:val="AERbulletlistfirststyle"/>
      </w:pPr>
      <w:r>
        <w:t xml:space="preserve">The averaging period of </w:t>
      </w:r>
      <w:r w:rsidR="0013097A">
        <w:t>21 February 2017 to 20 March 2017</w:t>
      </w:r>
      <w:r w:rsidR="00C663E7">
        <w:t xml:space="preserve"> </w:t>
      </w:r>
      <w:r>
        <w:t>is consistent with the conditions set out in the Guideline.</w:t>
      </w:r>
      <w:r>
        <w:rPr>
          <w:rStyle w:val="FootnoteReference"/>
        </w:rPr>
        <w:footnoteReference w:id="203"/>
      </w:r>
    </w:p>
    <w:p w:rsidR="008B2351" w:rsidRDefault="008B2351" w:rsidP="008B2351">
      <w:pPr>
        <w:pStyle w:val="AERbulletlistfirststyle"/>
      </w:pPr>
      <w:r w:rsidRPr="00266149">
        <w:t xml:space="preserve">Our approach to estimating the </w:t>
      </w:r>
      <w:r w:rsidR="00C91BAB">
        <w:t>market risk premium</w:t>
      </w:r>
      <w:r w:rsidRPr="00266149">
        <w:t xml:space="preserve"> and risk free rate is internally </w:t>
      </w:r>
      <w:r>
        <w:t xml:space="preserve">consistent </w:t>
      </w:r>
      <w:r w:rsidRPr="00B3368A">
        <w:t>bec</w:t>
      </w:r>
      <w:r>
        <w:t>ause both are 10 year forward</w:t>
      </w:r>
      <w:r w:rsidRPr="00B3368A">
        <w:t xml:space="preserve"> looking estimates.</w:t>
      </w:r>
      <w:r w:rsidRPr="00B3368A">
        <w:rPr>
          <w:rStyle w:val="FootnoteReference"/>
        </w:rPr>
        <w:footnoteReference w:id="204"/>
      </w:r>
      <w:r w:rsidRPr="005C299E">
        <w:t xml:space="preserve"> </w:t>
      </w:r>
    </w:p>
    <w:p w:rsidR="008B2351" w:rsidRDefault="008B2351" w:rsidP="008B2351">
      <w:pPr>
        <w:pStyle w:val="AERbulletlistfirststyle"/>
      </w:pPr>
      <w:r>
        <w:t xml:space="preserve">We are satisfied that an estimate of </w:t>
      </w:r>
      <w:r w:rsidRPr="00E43E1A">
        <w:t>2.</w:t>
      </w:r>
      <w:r w:rsidR="0013097A">
        <w:t>85</w:t>
      </w:r>
      <w:r w:rsidR="00AB6832">
        <w:t xml:space="preserve"> </w:t>
      </w:r>
      <w:r>
        <w:t>per cent is the best estimate of the risk free rate at this time (over the specified averaging period).</w:t>
      </w:r>
    </w:p>
    <w:p w:rsidR="008B2351" w:rsidRPr="00C81BBE" w:rsidRDefault="008B2351" w:rsidP="008B2351">
      <w:r w:rsidRPr="00C81BBE">
        <w:t xml:space="preserve">We consider an averaging period of </w:t>
      </w:r>
      <w:r w:rsidR="0013097A">
        <w:t>21 February 2017 to 20 March 2017</w:t>
      </w:r>
      <w:r w:rsidR="00C663E7">
        <w:t xml:space="preserve"> </w:t>
      </w:r>
      <w:r w:rsidRPr="00C81BBE">
        <w:t>contribute</w:t>
      </w:r>
      <w:r>
        <w:t>s</w:t>
      </w:r>
      <w:r w:rsidRPr="00C81BBE">
        <w:t xml:space="preserve"> to the achievement of the allowed rate of return objective and ha</w:t>
      </w:r>
      <w:r>
        <w:t>s</w:t>
      </w:r>
      <w:r w:rsidRPr="00C81BBE">
        <w:t xml:space="preserve"> regard to the prevailing conditions in the market for equity funds.</w:t>
      </w:r>
      <w:r w:rsidRPr="00C81BBE">
        <w:rPr>
          <w:rStyle w:val="FootnoteReference"/>
        </w:rPr>
        <w:footnoteReference w:id="205"/>
      </w:r>
      <w:r w:rsidRPr="00C81BBE">
        <w:t xml:space="preserve"> This is because:</w:t>
      </w:r>
    </w:p>
    <w:p w:rsidR="008B2351" w:rsidRDefault="008B2351" w:rsidP="008B2351">
      <w:pPr>
        <w:pStyle w:val="AERbulletlistfirststyle"/>
      </w:pPr>
      <w:r w:rsidRPr="0086086E">
        <w:t>It is an unbiased estimate</w:t>
      </w:r>
      <w:r>
        <w:t xml:space="preserve"> because</w:t>
      </w:r>
      <w:r w:rsidRPr="0086086E">
        <w:t xml:space="preserve"> </w:t>
      </w:r>
      <w:r>
        <w:t xml:space="preserve">the </w:t>
      </w:r>
      <w:r w:rsidRPr="0086086E">
        <w:t>averaging period was chosen in advance of it occurring.</w:t>
      </w:r>
      <w:r w:rsidRPr="003B6A08">
        <w:rPr>
          <w:rStyle w:val="FootnoteReference"/>
        </w:rPr>
        <w:t xml:space="preserve"> </w:t>
      </w:r>
      <w:r>
        <w:rPr>
          <w:rStyle w:val="FootnoteReference"/>
        </w:rPr>
        <w:footnoteReference w:id="206"/>
      </w:r>
      <w:r>
        <w:t xml:space="preserve"> </w:t>
      </w:r>
      <w:r w:rsidRPr="0094233D">
        <w:t xml:space="preserve">If an averaging period is chosen after the period </w:t>
      </w:r>
      <w:r>
        <w:t>occurs</w:t>
      </w:r>
      <w:r w:rsidRPr="0094233D">
        <w:t>, the knowledge of the risk free rate at any past point of time influences the choice</w:t>
      </w:r>
      <w:r>
        <w:t>, creating an inherent bias</w:t>
      </w:r>
      <w:r w:rsidRPr="0094233D">
        <w:t xml:space="preserve">. It would not matter if the period were chosen by the AER, the service provider, a user or consumer, the Australian Competition Tribunal or another stakeholder. </w:t>
      </w:r>
      <w:r>
        <w:t>This view has been recognised by consultants and in the G</w:t>
      </w:r>
      <w:r w:rsidRPr="0094233D">
        <w:t>uideline.</w:t>
      </w:r>
      <w:r w:rsidRPr="0094233D">
        <w:rPr>
          <w:rStyle w:val="FootnoteReference"/>
        </w:rPr>
        <w:footnoteReference w:id="207"/>
      </w:r>
      <w:r w:rsidRPr="0094233D">
        <w:t xml:space="preserve"> </w:t>
      </w:r>
      <w:r>
        <w:t>We consider a</w:t>
      </w:r>
      <w:r w:rsidRPr="0094233D">
        <w:t xml:space="preserve">n unbiased estimate </w:t>
      </w:r>
      <w:r>
        <w:t xml:space="preserve">contributes to estimating a </w:t>
      </w:r>
      <w:r w:rsidRPr="0094233D">
        <w:t xml:space="preserve">rate of return </w:t>
      </w:r>
      <w:r>
        <w:t>that is</w:t>
      </w:r>
      <w:r w:rsidRPr="0094233D">
        <w:t xml:space="preserve"> commensurate with the efficient financing costs of a benchmark efficient entity. </w:t>
      </w:r>
      <w:r>
        <w:t>Setting a risk free rate with foreknowledge of the outcome does not reward efficient decision making or allow a comparison to benchmark performance. It does not provide the appropriate incentive for efficient investment, as contemplated in both the NEO/NGO and the revenue and pricing principles.</w:t>
      </w:r>
      <w:r>
        <w:rPr>
          <w:rStyle w:val="FootnoteReference"/>
        </w:rPr>
        <w:footnoteReference w:id="208"/>
      </w:r>
      <w:r>
        <w:t xml:space="preserve"> This is because regulated service providers are to use the forward looking allowed rate of return to value their investment decisions.</w:t>
      </w:r>
      <w:r>
        <w:rPr>
          <w:rStyle w:val="FootnoteReference"/>
        </w:rPr>
        <w:footnoteReference w:id="209"/>
      </w:r>
      <w:r>
        <w:t xml:space="preserve"> </w:t>
      </w:r>
    </w:p>
    <w:p w:rsidR="008B2351" w:rsidRDefault="008B2351" w:rsidP="008B2351">
      <w:pPr>
        <w:pStyle w:val="AERbulletlistfirststyle"/>
      </w:pPr>
      <w:r>
        <w:t>It is a fair estimate because we gave service providers the opportunity to submit different periods and to formalise any arrangements for their financing needs resulting from our determination. In this way</w:t>
      </w:r>
      <w:r w:rsidRPr="0094233D">
        <w:t>, we consider this promotes efficient decision making in a manner that also fairly respects the interests of service providers and other stakeholders.</w:t>
      </w:r>
    </w:p>
    <w:p w:rsidR="008B2351" w:rsidRDefault="008B2351" w:rsidP="008B2351">
      <w:pPr>
        <w:pStyle w:val="AERbulletlistfirststyle"/>
      </w:pPr>
      <w:r>
        <w:t xml:space="preserve">This produces a risk free rate that informs a </w:t>
      </w:r>
      <w:r w:rsidRPr="00B3368A">
        <w:t>return on equity estimate</w:t>
      </w:r>
      <w:r>
        <w:t xml:space="preserve"> that</w:t>
      </w:r>
      <w:r w:rsidRPr="00B3368A">
        <w:t xml:space="preserve"> has regard to the prevailing conditions in the ma</w:t>
      </w:r>
      <w:r>
        <w:t>rket for equity funds, as the rules</w:t>
      </w:r>
      <w:r w:rsidRPr="00B3368A">
        <w:t xml:space="preserve"> require.</w:t>
      </w:r>
      <w:r w:rsidRPr="00B3368A">
        <w:rPr>
          <w:rStyle w:val="FootnoteReference"/>
        </w:rPr>
        <w:footnoteReference w:id="210"/>
      </w:r>
      <w:r w:rsidRPr="00B3368A">
        <w:t xml:space="preserve"> </w:t>
      </w:r>
      <w:r>
        <w:t>This is because:</w:t>
      </w:r>
    </w:p>
    <w:p w:rsidR="008B2351" w:rsidRDefault="008B2351" w:rsidP="008B2351">
      <w:pPr>
        <w:pStyle w:val="AERbulletlistsecondstyle"/>
      </w:pPr>
      <w:r>
        <w:t xml:space="preserve">It is based on </w:t>
      </w:r>
      <w:r w:rsidRPr="00B3368A">
        <w:t>a short term (20 consecutive business days) averaging period close to the time at which we make our decision.</w:t>
      </w:r>
      <w:r w:rsidRPr="00B3368A">
        <w:rPr>
          <w:rStyle w:val="FootnoteReference"/>
        </w:rPr>
        <w:footnoteReference w:id="211"/>
      </w:r>
      <w:r w:rsidRPr="00B3368A">
        <w:t xml:space="preserve"> </w:t>
      </w:r>
      <w:r w:rsidRPr="00BB442C">
        <w:t xml:space="preserve">We use a short term averaging period as a </w:t>
      </w:r>
      <w:r>
        <w:t>pragmatic alternative to using the</w:t>
      </w:r>
      <w:r w:rsidRPr="00BB442C">
        <w:t xml:space="preserve"> </w:t>
      </w:r>
      <w:r>
        <w:t>prevailing rate</w:t>
      </w:r>
      <w:r w:rsidRPr="00BB442C">
        <w:t>.</w:t>
      </w:r>
      <w:r w:rsidRPr="00BB442C">
        <w:rPr>
          <w:rStyle w:val="AERsuperscript"/>
        </w:rPr>
        <w:footnoteReference w:id="212"/>
      </w:r>
      <w:r w:rsidRPr="00BB442C">
        <w:rPr>
          <w:rStyle w:val="AERsuperscript"/>
        </w:rPr>
        <w:t xml:space="preserve"> </w:t>
      </w:r>
      <w:r>
        <w:t>This recognises that t</w:t>
      </w:r>
      <w:r w:rsidRPr="00BB442C">
        <w:t>he prevailing risk free rate is the benchmark that returns on risky investments must outperform.</w:t>
      </w:r>
      <w:r w:rsidRPr="00BB442C">
        <w:rPr>
          <w:rStyle w:val="FootnoteReference"/>
        </w:rPr>
        <w:footnoteReference w:id="213"/>
      </w:r>
      <w:r w:rsidRPr="00BB442C">
        <w:t xml:space="preserve"> To estimate this, we use 10 year CGS yields because this is a suitable, easily observable proxy that reflects expectations of the risk free rate over a 10 year forward looking investment horizon.</w:t>
      </w:r>
      <w:r w:rsidRPr="00BB442C">
        <w:rPr>
          <w:rStyle w:val="AERsuperscript"/>
        </w:rPr>
        <w:footnoteReference w:id="214"/>
      </w:r>
      <w:r w:rsidRPr="00BB442C">
        <w:t xml:space="preserve"> </w:t>
      </w:r>
    </w:p>
    <w:p w:rsidR="008B2351" w:rsidRDefault="008B2351" w:rsidP="008B2351">
      <w:pPr>
        <w:pStyle w:val="AERbulletlistsecondstyle"/>
      </w:pPr>
      <w:r>
        <w:t>When using this estimate to inform our return on equity, we also had regard to a range of other prevailing market information. This included but was not limited to comparisons with the prevailing return on debt and a range of information to inform our MRP estimate, including DGM estimates and conditioning variables. Under step four and five of our foundation model approach, we have regard to other information when considering whether our return on equity estimate is reasonable. Further, our foundation model within our foundation model approach is a forward looking model.</w:t>
      </w:r>
      <w:r>
        <w:rPr>
          <w:rStyle w:val="FootnoteReference"/>
        </w:rPr>
        <w:footnoteReference w:id="215"/>
      </w:r>
      <w:r>
        <w:t xml:space="preserve"> </w:t>
      </w:r>
    </w:p>
    <w:p w:rsidR="002A4528" w:rsidRDefault="002A4528" w:rsidP="002A4528">
      <w:pPr>
        <w:pStyle w:val="AERbulletlistsecondstyle"/>
      </w:pPr>
      <w:r>
        <w:t xml:space="preserve">The agreed averaging period ends as close as practically possible to the commencement of the regulatory control period given the uncertainty with the date the final decision would be released and the time needed for modelling to be completed. </w:t>
      </w:r>
    </w:p>
    <w:p w:rsidR="008B2351" w:rsidRDefault="008B2351" w:rsidP="008B2351">
      <w:r>
        <w:t>O</w:t>
      </w:r>
      <w:r w:rsidRPr="00AF6956">
        <w:t>ur practice is to keep the dates of averaging periods confidential until they have expired</w:t>
      </w:r>
      <w:r>
        <w:t>. This</w:t>
      </w:r>
      <w:r w:rsidRPr="00AF6956">
        <w:t xml:space="preserve"> allows </w:t>
      </w:r>
      <w:r>
        <w:t>service providers</w:t>
      </w:r>
      <w:r w:rsidRPr="00AF6956">
        <w:t xml:space="preserve"> to manage </w:t>
      </w:r>
      <w:r>
        <w:t>their</w:t>
      </w:r>
      <w:r w:rsidRPr="00AF6956">
        <w:t xml:space="preserve"> financing arrangements without </w:t>
      </w:r>
      <w:r>
        <w:t>the possibility of the public announcement of the potential timing of their arrangements putting them in a disadvantaged bargaining position</w:t>
      </w:r>
      <w:r w:rsidRPr="00AF6956">
        <w:t>.</w:t>
      </w:r>
      <w:r>
        <w:t xml:space="preserve"> </w:t>
      </w:r>
    </w:p>
    <w:p w:rsidR="003379AF" w:rsidRPr="00A42F74" w:rsidRDefault="003379AF" w:rsidP="00E31230">
      <w:pPr>
        <w:pStyle w:val="HeadingBoldItalic"/>
        <w:rPr>
          <w:rStyle w:val="AERtextorange"/>
          <w:rFonts w:eastAsiaTheme="minorHAnsi" w:cstheme="minorBidi"/>
          <w:b w:val="0"/>
          <w:bCs w:val="0"/>
          <w:color w:val="51626F"/>
          <w:sz w:val="22"/>
        </w:rPr>
      </w:pPr>
      <w:bookmarkStart w:id="62" w:name="_Toc443923184"/>
      <w:r w:rsidRPr="00A42F74">
        <w:rPr>
          <w:rStyle w:val="AERtextorange"/>
          <w:color w:val="51626F"/>
        </w:rPr>
        <w:t>Estimating equity beta</w:t>
      </w:r>
      <w:bookmarkEnd w:id="62"/>
    </w:p>
    <w:p w:rsidR="001D4715" w:rsidRDefault="001D4715" w:rsidP="00CC7A1C">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16"/>
      </w:r>
      <w:r>
        <w:t xml:space="preserve"> </w:t>
      </w:r>
    </w:p>
    <w:p w:rsidR="001D4715" w:rsidRDefault="001D4715" w:rsidP="00CC7A1C">
      <w:pPr>
        <w:numPr>
          <w:ilvl w:val="0"/>
          <w:numId w:val="24"/>
        </w:numPr>
      </w:pPr>
      <w:r w:rsidRPr="003A198B">
        <w:rPr>
          <w:rStyle w:val="AERbody"/>
        </w:rPr>
        <w:t>We adopt an equity beta point estimate of 0.7 from a range of 0.4 to 0.7</w:t>
      </w:r>
      <w:r w:rsidRPr="00B90B7A">
        <w:rPr>
          <w:rStyle w:val="AERbody"/>
        </w:rPr>
        <w:t xml:space="preserve">. </w:t>
      </w:r>
      <w:r>
        <w:rPr>
          <w:rStyle w:val="AERbody"/>
        </w:rPr>
        <w:t xml:space="preserve">Our equity beta estimate is required to be commensurate with a similar degree of risk as that which applies to </w:t>
      </w:r>
      <w:r w:rsidR="00EC3862">
        <w:rPr>
          <w:rStyle w:val="AERbody"/>
        </w:rPr>
        <w:t>TasNetworks</w:t>
      </w:r>
      <w:r>
        <w:rPr>
          <w:rStyle w:val="AERbody"/>
        </w:rPr>
        <w:t xml:space="preserve"> provision of prescribed transmission services.</w:t>
      </w:r>
      <w:r>
        <w:rPr>
          <w:rStyle w:val="FootnoteReference"/>
        </w:rPr>
        <w:footnoteReference w:id="217"/>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sidR="00EC3862">
        <w:rPr>
          <w:rStyle w:val="AERbody"/>
        </w:rPr>
        <w:t>TasNetworks</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1D4715" w:rsidRDefault="001D4715" w:rsidP="001D4715">
      <w:pPr>
        <w:pStyle w:val="AERbulletlistfirststyle"/>
      </w:pPr>
      <w:r>
        <w:t xml:space="preserve">Our range and point estimate are based on direct measurements (that is, empirical estimates) of the equity beta that businesses with a similar degree of risk as </w:t>
      </w:r>
      <w:r w:rsidR="00EC3862">
        <w:t>TasNetworks</w:t>
      </w:r>
      <w:r>
        <w:t xml:space="preserve"> have exhibited in the past. We consider these are reliable indicators of the prevailing, forward-looking equity beta for an efficient business (or benchmark efficient entity) with a similar degree of risk as </w:t>
      </w:r>
      <w:r w:rsidR="00DE084F">
        <w:t>TasNetworks</w:t>
      </w:r>
      <w:r>
        <w:t xml:space="preserve">. </w:t>
      </w:r>
    </w:p>
    <w:p w:rsidR="001D4715" w:rsidRDefault="001D4715" w:rsidP="001D4715">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sidR="00EC3862">
        <w:rPr>
          <w:rStyle w:val="AERbody"/>
        </w:rPr>
        <w:t>TasNetworks</w:t>
      </w:r>
      <w:r>
        <w:rPr>
          <w:rStyle w:val="FootnoteReference"/>
        </w:rPr>
        <w:footnoteReference w:id="218"/>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19"/>
      </w:r>
    </w:p>
    <w:p w:rsidR="001D4715" w:rsidRDefault="001D4715" w:rsidP="001D4715">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 xml:space="preserve">those estimated from businesses with a similar degree of risk as </w:t>
      </w:r>
      <w:r w:rsidR="00EC3862">
        <w:rPr>
          <w:rStyle w:val="AERbody"/>
        </w:rPr>
        <w:t>TasNetworks</w:t>
      </w:r>
      <w:r>
        <w:rPr>
          <w:rStyle w:val="AERbody"/>
        </w:rPr>
        <w:t xml:space="preserve"> 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220"/>
      </w:r>
      <w:r w:rsidRPr="00482D74">
        <w:rPr>
          <w:rStyle w:val="AERbody"/>
        </w:rPr>
        <w:t xml:space="preserve"> However, we do not consider the theory underlying the Black CAPM warrants a specific uplift or adjustment to the equity beta point estimate. </w:t>
      </w:r>
      <w:r>
        <w:rPr>
          <w:rStyle w:val="AERbody"/>
        </w:rPr>
        <w:t>The reasons for our use of the Black CAPM theory are set out in more detail in section</w:t>
      </w:r>
      <w:r w:rsidR="00395B78">
        <w:rPr>
          <w:rStyle w:val="AERbody"/>
        </w:rPr>
        <w:fldChar w:fldCharType="begin"/>
      </w:r>
      <w:r w:rsidR="00395B78">
        <w:rPr>
          <w:rStyle w:val="AERbody"/>
        </w:rPr>
        <w:instrText xml:space="preserve"> REF _Ref449007419 \r \h </w:instrText>
      </w:r>
      <w:r w:rsidR="00395B78">
        <w:rPr>
          <w:rStyle w:val="AERbody"/>
        </w:rPr>
      </w:r>
      <w:r w:rsidR="00395B78">
        <w:rPr>
          <w:rStyle w:val="AERbody"/>
        </w:rPr>
        <w:fldChar w:fldCharType="separate"/>
      </w:r>
      <w:r w:rsidR="00C6448C">
        <w:rPr>
          <w:rStyle w:val="AERbody"/>
        </w:rPr>
        <w:t>B.2</w:t>
      </w:r>
      <w:r w:rsidR="00395B78">
        <w:rPr>
          <w:rStyle w:val="AERbody"/>
        </w:rPr>
        <w:fldChar w:fldCharType="end"/>
      </w:r>
      <w:r>
        <w:rPr>
          <w:rStyle w:val="AERbody"/>
        </w:rPr>
        <w:t>.</w:t>
      </w:r>
    </w:p>
    <w:p w:rsidR="001D4715" w:rsidRDefault="001D4715" w:rsidP="001D4715">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t>ARORO</w:t>
      </w:r>
      <w:r>
        <w:rPr>
          <w:rStyle w:val="AERbody"/>
        </w:rPr>
        <w:t>.</w:t>
      </w:r>
      <w:r>
        <w:rPr>
          <w:rStyle w:val="FootnoteReference"/>
        </w:rPr>
        <w:footnoteReference w:id="221"/>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222"/>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1D4715" w:rsidRDefault="001D4715" w:rsidP="001D4715">
      <w:r>
        <w:t xml:space="preserve">Our direct measurements of the equity beta for businesses with a similar degree of risk as </w:t>
      </w:r>
      <w:r w:rsidR="00EC3862">
        <w:t>TasNetworks</w:t>
      </w:r>
      <w:r>
        <w:t xml:space="preserve">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23"/>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24"/>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w:t>
      </w:r>
      <w:r w:rsidR="00DE084F">
        <w:t>TasNetworks</w:t>
      </w:r>
      <w:r>
        <w:t xml:space="preserve">. More information on empirical estimates can be found in section </w:t>
      </w:r>
      <w:r w:rsidR="009211CA">
        <w:fldChar w:fldCharType="begin"/>
      </w:r>
      <w:r w:rsidR="009211CA">
        <w:instrText xml:space="preserve"> REF _Ref478460051 \r \h </w:instrText>
      </w:r>
      <w:r w:rsidR="009211CA">
        <w:fldChar w:fldCharType="separate"/>
      </w:r>
      <w:r w:rsidR="00C6448C">
        <w:t>G</w:t>
      </w:r>
      <w:r w:rsidR="009211CA">
        <w:fldChar w:fldCharType="end"/>
      </w:r>
      <w:r>
        <w:t>.</w:t>
      </w:r>
    </w:p>
    <w:p w:rsidR="001D4715" w:rsidRPr="002D3111" w:rsidRDefault="001D4715" w:rsidP="001D4715">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25"/>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rsidR="00884E51">
        <w:t>figure 3–3</w:t>
      </w:r>
      <w:r>
        <w:t xml:space="preserve">. </w:t>
      </w:r>
    </w:p>
    <w:p w:rsidR="001D4715" w:rsidRDefault="001D4715" w:rsidP="001D4715">
      <w:pPr>
        <w:pStyle w:val="Caption"/>
      </w:pPr>
      <w:r>
        <w:t xml:space="preserve">Figure </w:t>
      </w:r>
      <w:fldSimple w:instr=" STYLEREF 1 \s ">
        <w:r w:rsidR="00C6448C">
          <w:rPr>
            <w:noProof/>
          </w:rPr>
          <w:t>3</w:t>
        </w:r>
      </w:fldSimple>
      <w:r w:rsidR="00882F3D">
        <w:noBreakHyphen/>
      </w:r>
      <w:fldSimple w:instr=" SEQ Figure \* ARABIC \s 1 ">
        <w:r w:rsidR="00C6448C">
          <w:rPr>
            <w:noProof/>
          </w:rPr>
          <w:t>3</w:t>
        </w:r>
      </w:fldSimple>
      <w:r>
        <w:tab/>
        <w:t xml:space="preserve">Submissions on the value of the equity beta </w:t>
      </w:r>
    </w:p>
    <w:p w:rsidR="002106AB" w:rsidRPr="002106AB" w:rsidRDefault="002106AB" w:rsidP="007A451A">
      <w:r w:rsidRPr="007A451A">
        <w:rPr>
          <w:noProof/>
          <w:lang w:eastAsia="en-AU"/>
        </w:rPr>
        <w:drawing>
          <wp:inline distT="0" distB="0" distL="0" distR="0" wp14:anchorId="26832E25" wp14:editId="118E0E52">
            <wp:extent cx="4974590" cy="3517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4590" cy="3517900"/>
                    </a:xfrm>
                    <a:prstGeom prst="rect">
                      <a:avLst/>
                    </a:prstGeom>
                    <a:noFill/>
                  </pic:spPr>
                </pic:pic>
              </a:graphicData>
            </a:graphic>
          </wp:inline>
        </w:drawing>
      </w:r>
    </w:p>
    <w:p w:rsidR="001D4715" w:rsidRPr="00812033" w:rsidRDefault="001D4715" w:rsidP="00CC7A1C">
      <w:pPr>
        <w:numPr>
          <w:ilvl w:val="0"/>
          <w:numId w:val="24"/>
        </w:numPr>
        <w:rPr>
          <w:rStyle w:val="AERbody"/>
        </w:rPr>
      </w:pPr>
    </w:p>
    <w:p w:rsidR="001D4715" w:rsidRPr="00F474B9" w:rsidRDefault="001D4715" w:rsidP="001D4715">
      <w:pPr>
        <w:pStyle w:val="AERtablesource"/>
      </w:pPr>
      <w:r>
        <w:t>Source:</w:t>
      </w:r>
      <w:r>
        <w:tab/>
      </w:r>
      <w:r w:rsidRPr="00F474B9">
        <w:t>AER analysis</w:t>
      </w:r>
      <w:r w:rsidRPr="00F474B9">
        <w:rPr>
          <w:rStyle w:val="FootnoteReference"/>
        </w:rPr>
        <w:footnoteReference w:id="226"/>
      </w:r>
    </w:p>
    <w:p w:rsidR="001D4715" w:rsidRDefault="001D4715" w:rsidP="001D4715">
      <w:pPr>
        <w:pStyle w:val="AERtablesource"/>
      </w:pPr>
      <w:r w:rsidRPr="00F474B9">
        <w:t>Note:</w:t>
      </w:r>
      <w:r w:rsidRPr="00F474B9">
        <w:tab/>
      </w:r>
      <w:r w:rsidRPr="00E04BEF">
        <w:t xml:space="preserve">Henry 2014 presents the range specified in Henry’s 2014 report (0.3 to 0.8). The stakeholder submissions range is intended to reflect the views of consumer groups and those who use/engage with the energy network (or pipeline).  The lower bound of this range is based on the </w:t>
      </w:r>
      <w:r w:rsidR="0056513F" w:rsidRPr="00E04BEF">
        <w:t xml:space="preserve">CCP4 </w:t>
      </w:r>
      <w:r w:rsidR="0056513F">
        <w:t xml:space="preserve">(Hugh Grant) submission to Powerlink's revised proposal </w:t>
      </w:r>
      <w:r w:rsidR="0056513F" w:rsidRPr="00E04BEF">
        <w:t xml:space="preserve">and CCP5's submissions </w:t>
      </w:r>
      <w:r w:rsidR="0056513F">
        <w:t xml:space="preserve">to AusNet Services revised proposal </w:t>
      </w:r>
      <w:r w:rsidR="0056513F" w:rsidRPr="00E04BEF">
        <w:t xml:space="preserve">and the upper bound is based on </w:t>
      </w:r>
      <w:r w:rsidR="0056513F">
        <w:t>multiple submissions accepting the use of Guideline foundation model</w:t>
      </w:r>
      <w:r w:rsidRPr="00E04BEF">
        <w:t>. The SFG 2014 and 2015 range lower bound is based on multiple model regression analysis of Australian and US firms and the upper bound is based on SFG multiple model based equity beta estimates (under its ‘foundation model' approach for the return on equity).</w:t>
      </w:r>
      <w:r>
        <w:t xml:space="preserve"> CEG 2015 figures are from CEG January 2015 paper on estimating the cost of equity, equity beta and MRP.  CEG 2016 beta range is the result of the CEG re-estimation of the Henry 2014 paper with extension to 30 June 2016 submitted with AusNet Services Revised revenue proposal in September 2016. The CEG 2016 range is a shaded because the original Henry 2014 results were not replicated.  </w:t>
      </w:r>
      <w:r w:rsidRPr="00E04BEF">
        <w:t>Frontier Economics range is drawn from their Jan</w:t>
      </w:r>
      <w:r>
        <w:t>uary</w:t>
      </w:r>
      <w:r w:rsidRPr="00E04BEF">
        <w:t xml:space="preserve"> 2016 reports for Jemena, ActewAGL, AusNet Services, Australian Gas Networks, Citipower, Powercor and United Energy on beta estimations.</w:t>
      </w:r>
    </w:p>
    <w:p w:rsidR="001D4715" w:rsidRDefault="001D4715" w:rsidP="00CC7A1C">
      <w:pPr>
        <w:numPr>
          <w:ilvl w:val="0"/>
          <w:numId w:val="24"/>
        </w:numPr>
      </w:pPr>
      <w:r>
        <w:t xml:space="preserve">We note </w:t>
      </w:r>
      <w:r w:rsidR="0031715E">
        <w:t>all</w:t>
      </w:r>
      <w:r>
        <w:t xml:space="preserve"> of the current service providers (TasNetworks, Powerlink and AusNet Services) accepted our Guideline equity beta of 0.7. </w:t>
      </w:r>
    </w:p>
    <w:p w:rsidR="001D4715" w:rsidRDefault="001D4715" w:rsidP="00CC7A1C">
      <w:pPr>
        <w:numPr>
          <w:ilvl w:val="0"/>
          <w:numId w:val="24"/>
        </w:numPr>
      </w:pPr>
      <w:r>
        <w:t>However, AusNet Services noted its preference for a higher equity beta and submitted a report from CEG.</w:t>
      </w:r>
      <w:r>
        <w:rPr>
          <w:rStyle w:val="FootnoteReference"/>
        </w:rPr>
        <w:footnoteReference w:id="227"/>
      </w:r>
      <w:r>
        <w:t xml:space="preserve">  This report attempted to replicate and extend results from the Henry (2014) paper to 2016 to show a material increase in beta estimates. CEG raised a number of issues in support of a higher equity beta, for example:</w:t>
      </w:r>
      <w:r>
        <w:rPr>
          <w:rStyle w:val="FootnoteReference"/>
        </w:rPr>
        <w:footnoteReference w:id="228"/>
      </w:r>
    </w:p>
    <w:p w:rsidR="001D4715" w:rsidRPr="001D4715" w:rsidRDefault="001D4715" w:rsidP="00F54369">
      <w:pPr>
        <w:pStyle w:val="AERbulletlistfirststyle"/>
      </w:pPr>
      <w:r w:rsidRPr="001D4715">
        <w:t>CEG's extension of Henry's estimates to June 2016 suggest that empirical estimates of equity have increased since Henry's 2014 report</w:t>
      </w:r>
    </w:p>
    <w:p w:rsidR="001D4715" w:rsidRPr="001D4715" w:rsidRDefault="001D4715" w:rsidP="00F54369">
      <w:pPr>
        <w:pStyle w:val="AERbulletlistfirststyle"/>
      </w:pPr>
      <w:r>
        <w:t>CEG</w:t>
      </w:r>
      <w:r w:rsidRPr="001D4715">
        <w:t>'s more recent estimates (one year and five year estimates to June 2016) for still listed firms indicate a more prominent increase in the equity beta</w:t>
      </w:r>
    </w:p>
    <w:p w:rsidR="001D4715" w:rsidRDefault="001D4715" w:rsidP="00CC7A1C">
      <w:pPr>
        <w:numPr>
          <w:ilvl w:val="0"/>
          <w:numId w:val="24"/>
        </w:numPr>
      </w:pPr>
      <w:r>
        <w:t>We have carefully consider</w:t>
      </w:r>
      <w:r w:rsidR="007C4678">
        <w:t>ed AusNet Services’</w:t>
      </w:r>
      <w:r>
        <w:t xml:space="preserve"> new material. </w:t>
      </w:r>
    </w:p>
    <w:p w:rsidR="001D4715" w:rsidRDefault="001D4715" w:rsidP="00CC7A1C">
      <w:pPr>
        <w:numPr>
          <w:ilvl w:val="0"/>
          <w:numId w:val="24"/>
        </w:numPr>
      </w:pPr>
      <w:r>
        <w:t xml:space="preserve">We acknowledge there is some change in empirical estimates of equity beta since 2014. However, this small change is not significant evidence of a material increase to warrant adjusting our empirical range of 0.4–0.7 or point estimate 0.7. We have reservations about </w:t>
      </w:r>
      <w:r w:rsidRPr="00994793">
        <w:t>CEG</w:t>
      </w:r>
      <w:r>
        <w:t>’s report for a number of reasons including:</w:t>
      </w:r>
    </w:p>
    <w:p w:rsidR="001D4715" w:rsidRPr="001D4715" w:rsidRDefault="001D4715" w:rsidP="00F07C14">
      <w:pPr>
        <w:pStyle w:val="AERbulletlistfirststyle"/>
      </w:pPr>
      <w:r w:rsidRPr="001D4715">
        <w:t xml:space="preserve">CEG's extension does not indicate a significant change in empirical estimates of the equity beta. For example, the average re-levered firm-level estimates </w:t>
      </w:r>
      <w:r w:rsidR="00B556DC">
        <w:t xml:space="preserve">(using Henry's longest sampling period extended until June 2016 using weekly data) </w:t>
      </w:r>
      <w:r w:rsidRPr="001D4715">
        <w:t>increased slightly (by 0.042) from 0.554 to 0.596. The average re-levered portfolio estimates increased by a similar magnitude.</w:t>
      </w:r>
    </w:p>
    <w:p w:rsidR="001D4715" w:rsidRPr="001D4715" w:rsidRDefault="001D4715" w:rsidP="00F07C14">
      <w:pPr>
        <w:pStyle w:val="AERbulletlistfirststyle"/>
      </w:pPr>
      <w:r>
        <w:t xml:space="preserve">The </w:t>
      </w:r>
      <w:r w:rsidRPr="001D4715">
        <w:t xml:space="preserve">57 per cent discrepancy in SKI's gearing assumption would be a key contributor to the higher estimates in CEG's extension.   </w:t>
      </w:r>
    </w:p>
    <w:p w:rsidR="001D4715" w:rsidRPr="001D4715" w:rsidRDefault="001D4715" w:rsidP="00F07C14">
      <w:pPr>
        <w:pStyle w:val="AERbulletlistfirststyle"/>
      </w:pPr>
      <w:r>
        <w:t>Partington and Satchell ha</w:t>
      </w:r>
      <w:r w:rsidR="00363461">
        <w:t>ve</w:t>
      </w:r>
      <w:r>
        <w:t xml:space="preserve"> advised that they are not ‘convinced that there has been material change in beta’ due to some weak evidence of increased beta</w:t>
      </w:r>
      <w:r w:rsidRPr="001D4715">
        <w:rPr>
          <w:rStyle w:val="FootnoteReference"/>
        </w:rPr>
        <w:footnoteReference w:id="229"/>
      </w:r>
    </w:p>
    <w:p w:rsidR="001D4715" w:rsidRPr="001D4715" w:rsidRDefault="007C4678" w:rsidP="00F07C14">
      <w:r>
        <w:t>We discuss CEG’s</w:t>
      </w:r>
      <w:r w:rsidR="001D4715">
        <w:t xml:space="preserve"> material in more detail in Table </w:t>
      </w:r>
      <w:r w:rsidR="00A24DED">
        <w:t>3–4</w:t>
      </w:r>
      <w:r w:rsidR="001D4715" w:rsidRPr="001D4715">
        <w:t xml:space="preserve">. We note that some stakeholders submitted that we place too much reliance on some material, that we did not have appropriate regard to information from other relevant sources, or that we made inappropriate methodological choices in our empirical analysis. </w:t>
      </w:r>
      <w:r w:rsidR="009211CA">
        <w:t xml:space="preserve">Table 3–4 </w:t>
      </w:r>
      <w:r w:rsidR="001D4715" w:rsidRPr="001D4715">
        <w:t>sets out stakeholder views on our use of relevant material.</w:t>
      </w:r>
    </w:p>
    <w:p w:rsidR="001D4715" w:rsidRDefault="001D4715" w:rsidP="00CC7A1C">
      <w:pPr>
        <w:numPr>
          <w:ilvl w:val="0"/>
          <w:numId w:val="24"/>
        </w:numPr>
      </w:pPr>
      <w:r w:rsidRPr="00B005DF">
        <w:t xml:space="preserve">Having considered the overall information and </w:t>
      </w:r>
      <w:r>
        <w:t xml:space="preserve">all </w:t>
      </w:r>
      <w:r w:rsidRPr="00B005DF">
        <w:t>material</w:t>
      </w:r>
      <w:r>
        <w:t xml:space="preserve"> currently</w:t>
      </w:r>
      <w:r w:rsidRPr="00B005DF">
        <w:t xml:space="preserve"> before us, at this time we are not satisfied that </w:t>
      </w:r>
      <w:r>
        <w:t>an increase to our equity beta estimate of 0.7 will better contribute to the achievement of the ARORO</w:t>
      </w:r>
      <w:r w:rsidRPr="00762AAF">
        <w:t xml:space="preserve"> </w:t>
      </w:r>
      <w:r>
        <w:t>and the NEO.</w:t>
      </w:r>
      <w:r>
        <w:rPr>
          <w:rStyle w:val="FootnoteReference"/>
        </w:rPr>
        <w:footnoteReference w:id="230"/>
      </w:r>
    </w:p>
    <w:p w:rsidR="00A24DED" w:rsidRPr="00A24DED" w:rsidRDefault="00A24DED" w:rsidP="00CC7A1C">
      <w:pPr>
        <w:pStyle w:val="Caption"/>
        <w:numPr>
          <w:ilvl w:val="0"/>
          <w:numId w:val="24"/>
        </w:numPr>
      </w:pPr>
      <w:bookmarkStart w:id="63" w:name="_Ref478718840"/>
      <w:r w:rsidRPr="00A24DED">
        <w:t xml:space="preserve">Table </w:t>
      </w:r>
      <w:fldSimple w:instr=" STYLEREF 1 \s ">
        <w:r w:rsidR="00C6448C">
          <w:rPr>
            <w:noProof/>
          </w:rPr>
          <w:t>3</w:t>
        </w:r>
      </w:fldSimple>
      <w:r w:rsidR="00882F3D">
        <w:noBreakHyphen/>
      </w:r>
      <w:fldSimple w:instr=" SEQ Table \* ARABIC \s 1 ">
        <w:r w:rsidR="00C6448C">
          <w:rPr>
            <w:noProof/>
          </w:rPr>
          <w:t>4</w:t>
        </w:r>
      </w:fldSimple>
      <w:r w:rsidRPr="00A24DED">
        <w:tab/>
      </w:r>
      <w:r>
        <w:t>Issues raised on the estimation of equity beta</w:t>
      </w:r>
      <w:bookmarkEnd w:id="63"/>
    </w:p>
    <w:tbl>
      <w:tblPr>
        <w:tblStyle w:val="AERtable-text0"/>
        <w:tblW w:w="0" w:type="auto"/>
        <w:tblLook w:val="04A0" w:firstRow="1" w:lastRow="0" w:firstColumn="1" w:lastColumn="0" w:noHBand="0" w:noVBand="1"/>
      </w:tblPr>
      <w:tblGrid>
        <w:gridCol w:w="3788"/>
        <w:gridCol w:w="4905"/>
      </w:tblGrid>
      <w:tr w:rsidR="001D4715" w:rsidTr="00A164C0">
        <w:trPr>
          <w:cnfStyle w:val="100000000000" w:firstRow="1" w:lastRow="0" w:firstColumn="0" w:lastColumn="0" w:oddVBand="0" w:evenVBand="0" w:oddHBand="0" w:evenHBand="0" w:firstRowFirstColumn="0" w:firstRowLastColumn="0" w:lastRowFirstColumn="0" w:lastRowLastColumn="0"/>
        </w:trPr>
        <w:tc>
          <w:tcPr>
            <w:tcW w:w="0" w:type="auto"/>
          </w:tcPr>
          <w:p w:rsidR="001D4715" w:rsidRPr="001D4715" w:rsidRDefault="001D4715" w:rsidP="001D4715">
            <w:r>
              <w:t>Issue</w:t>
            </w:r>
          </w:p>
        </w:tc>
        <w:tc>
          <w:tcPr>
            <w:tcW w:w="0" w:type="auto"/>
          </w:tcPr>
          <w:p w:rsidR="001D4715" w:rsidRPr="001D4715" w:rsidRDefault="001D4715" w:rsidP="001D4715">
            <w:r>
              <w:t>Our response</w:t>
            </w:r>
          </w:p>
        </w:tc>
      </w:tr>
      <w:tr w:rsidR="001D4715" w:rsidTr="00A164C0">
        <w:tc>
          <w:tcPr>
            <w:tcW w:w="0" w:type="auto"/>
            <w:gridSpan w:val="2"/>
          </w:tcPr>
          <w:p w:rsidR="001D4715" w:rsidRPr="001D4715" w:rsidRDefault="001D4715" w:rsidP="001D4715">
            <w:pPr>
              <w:rPr>
                <w:rStyle w:val="AERtextsize8"/>
              </w:rPr>
            </w:pPr>
            <w:r>
              <w:rPr>
                <w:rStyle w:val="Strong"/>
              </w:rPr>
              <w:t>E</w:t>
            </w:r>
            <w:r w:rsidRPr="001D4715">
              <w:rPr>
                <w:rStyle w:val="Strong"/>
              </w:rPr>
              <w:t>mpirical analysis</w:t>
            </w:r>
          </w:p>
        </w:tc>
      </w:tr>
      <w:tr w:rsidR="001D4715" w:rsidTr="00A164C0">
        <w:trPr>
          <w:cnfStyle w:val="000000010000" w:firstRow="0" w:lastRow="0" w:firstColumn="0" w:lastColumn="0" w:oddVBand="0" w:evenVBand="0" w:oddHBand="0" w:evenHBand="1" w:firstRowFirstColumn="0" w:firstRowLastColumn="0" w:lastRowFirstColumn="0" w:lastRowLastColumn="0"/>
        </w:trPr>
        <w:tc>
          <w:tcPr>
            <w:tcW w:w="0" w:type="auto"/>
          </w:tcPr>
          <w:p w:rsidR="001D4715" w:rsidRPr="001D4715" w:rsidRDefault="001D4715" w:rsidP="001D4715">
            <w:pPr>
              <w:rPr>
                <w:rStyle w:val="AERtextsize8"/>
              </w:rPr>
            </w:pPr>
            <w:r>
              <w:rPr>
                <w:rStyle w:val="AERtextsize8"/>
              </w:rPr>
              <w:t>Our comparator set of Australian energy network firms is too small and results in unreliable equity beta estimates</w:t>
            </w:r>
            <w:r w:rsidRPr="001D4715">
              <w:rPr>
                <w:rStyle w:val="FootnoteReference"/>
              </w:rPr>
              <w:footnoteReference w:id="231"/>
            </w:r>
          </w:p>
        </w:tc>
        <w:tc>
          <w:tcPr>
            <w:tcW w:w="0" w:type="auto"/>
          </w:tcPr>
          <w:p w:rsidR="001D4715" w:rsidRDefault="001D4715" w:rsidP="00CC7A1C">
            <w:pPr>
              <w:numPr>
                <w:ilvl w:val="0"/>
                <w:numId w:val="24"/>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1D4715" w:rsidRDefault="001D4715" w:rsidP="00CC7A1C">
            <w:pPr>
              <w:numPr>
                <w:ilvl w:val="0"/>
                <w:numId w:val="24"/>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the </w:t>
            </w:r>
            <w:r>
              <w:t>ARORO</w:t>
            </w:r>
            <w:r w:rsidRPr="00DF4B12">
              <w:rPr>
                <w:rStyle w:val="AERtextsize8"/>
              </w:rPr>
              <w:t>.</w:t>
            </w:r>
            <w:r>
              <w:t xml:space="preserve"> The comparator set contains firms with a similar degree of risk as that which applies to AusNet Services'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1D4715" w:rsidRPr="007C153E" w:rsidRDefault="001D4715" w:rsidP="00CC7A1C">
            <w:pPr>
              <w:numPr>
                <w:ilvl w:val="0"/>
                <w:numId w:val="24"/>
              </w:numPr>
              <w:rPr>
                <w:rStyle w:val="AERtextsize8"/>
              </w:rPr>
            </w:pPr>
            <w:r>
              <w:rPr>
                <w:rStyle w:val="AERtextsize8"/>
              </w:rPr>
              <w:t xml:space="preserve">We consider this issue in more detail in section </w:t>
            </w:r>
            <w:r w:rsidR="00884E51">
              <w:rPr>
                <w:rStyle w:val="AERtextsize8"/>
              </w:rPr>
              <w:fldChar w:fldCharType="begin"/>
            </w:r>
            <w:r w:rsidR="00884E51">
              <w:rPr>
                <w:rStyle w:val="AERtextsize8"/>
              </w:rPr>
              <w:instrText xml:space="preserve"> REF _Ref478460051 \r \h </w:instrText>
            </w:r>
            <w:r w:rsidR="00884E51">
              <w:rPr>
                <w:rStyle w:val="AERtextsize8"/>
              </w:rPr>
            </w:r>
            <w:r w:rsidR="00884E51">
              <w:rPr>
                <w:rStyle w:val="AERtextsize8"/>
              </w:rPr>
              <w:fldChar w:fldCharType="separate"/>
            </w:r>
            <w:r w:rsidR="00C6448C">
              <w:rPr>
                <w:rStyle w:val="AERtextsize8"/>
              </w:rPr>
              <w:t>G</w:t>
            </w:r>
            <w:r w:rsidR="00884E51">
              <w:rPr>
                <w:rStyle w:val="AERtextsize8"/>
              </w:rPr>
              <w:fldChar w:fldCharType="end"/>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C6448C">
              <w:rPr>
                <w:rStyle w:val="AERtextsize8"/>
              </w:rPr>
              <w:t>G.4.2</w:t>
            </w:r>
            <w:r>
              <w:rPr>
                <w:rStyle w:val="AERtextsize8"/>
              </w:rPr>
              <w:fldChar w:fldCharType="end"/>
            </w:r>
            <w:r>
              <w:rPr>
                <w:rStyle w:val="AERtextsize8"/>
              </w:rPr>
              <w:t xml:space="preserve"> of this attachment. We also considered this issue in detail in sections D.2.1, D.2.3, and D.5.1 of Attachment 3 to SAPN' final decision and section G.4 of AusNet Services' final decision for its distribution services. Those reasoning remain relevant.</w:t>
            </w:r>
          </w:p>
        </w:tc>
      </w:tr>
      <w:tr w:rsidR="001D4715" w:rsidTr="002F5AB4">
        <w:tc>
          <w:tcPr>
            <w:tcW w:w="0" w:type="auto"/>
          </w:tcPr>
          <w:p w:rsidR="001D4715" w:rsidRPr="001D4715" w:rsidRDefault="001D4715" w:rsidP="001D4715">
            <w:pPr>
              <w:rPr>
                <w:rStyle w:val="AERtextsize8"/>
              </w:rPr>
            </w:pPr>
            <w:r>
              <w:rPr>
                <w:rStyle w:val="AERtextsize8"/>
              </w:rPr>
              <w:t xml:space="preserve">An equity beta estimate </w:t>
            </w:r>
            <w:r w:rsidRPr="001D4715">
              <w:rPr>
                <w:rStyle w:val="AERtextsize8"/>
              </w:rPr>
              <w:t>implied from SFG's construction of the dividend growth model should be used as a cross check on our foundation model equity beta estimate</w:t>
            </w:r>
            <w:r w:rsidRPr="001D4715">
              <w:rPr>
                <w:rStyle w:val="FootnoteReference"/>
              </w:rPr>
              <w:footnoteReference w:id="232"/>
            </w:r>
          </w:p>
        </w:tc>
        <w:tc>
          <w:tcPr>
            <w:tcW w:w="0" w:type="auto"/>
          </w:tcPr>
          <w:p w:rsidR="001D4715" w:rsidRPr="001D4715" w:rsidRDefault="001D4715" w:rsidP="001D4715">
            <w:pPr>
              <w:rPr>
                <w:rStyle w:val="AERtextsize8"/>
              </w:rPr>
            </w:pPr>
            <w:r w:rsidRPr="00716187">
              <w:rPr>
                <w:rStyle w:val="AERtextsize8"/>
              </w:rPr>
              <w:t xml:space="preserve">SFG's </w:t>
            </w:r>
            <w:r w:rsidRPr="001D4715">
              <w:rPr>
                <w:rStyle w:val="AERtextsize8"/>
              </w:rPr>
              <w:t>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1D4715">
              <w:t xml:space="preserve"> </w:t>
            </w:r>
            <w:r w:rsidRPr="001D4715">
              <w:rPr>
                <w:rStyle w:val="AERtextsize8"/>
              </w:rPr>
              <w:t xml:space="preserve">weightings in the estimation process. For more detail see sections B.3 and D.5.3 of Attachment 3 to SAPN's final decision and section 3.4.1 of AusNet Services' final decision for its distribution services. </w:t>
            </w:r>
          </w:p>
        </w:tc>
      </w:tr>
      <w:tr w:rsidR="001D4715"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1D4715" w:rsidRPr="001D4715" w:rsidRDefault="001D4715" w:rsidP="001D4715">
            <w:pPr>
              <w:rPr>
                <w:rStyle w:val="AERtextsize8"/>
              </w:rPr>
            </w:pPr>
            <w:r>
              <w:rPr>
                <w:rStyle w:val="AERtextsize8"/>
              </w:rPr>
              <w:t>O</w:t>
            </w:r>
            <w:r w:rsidRPr="001D4715">
              <w:rPr>
                <w:rStyle w:val="AERtextsize8"/>
              </w:rPr>
              <w:t>ur approach is inconsistent with the approach we used to estimate equity beta in the 2009 WACC review because we have selected a different point estimate from the same range</w:t>
            </w:r>
            <w:r w:rsidRPr="001D4715">
              <w:rPr>
                <w:rStyle w:val="FootnoteReference"/>
              </w:rPr>
              <w:footnoteReference w:id="233"/>
            </w:r>
          </w:p>
        </w:tc>
        <w:tc>
          <w:tcPr>
            <w:tcW w:w="0" w:type="auto"/>
          </w:tcPr>
          <w:p w:rsidR="001D4715" w:rsidRPr="001D4715" w:rsidRDefault="001D4715" w:rsidP="001D4715">
            <w:pPr>
              <w:rPr>
                <w:rStyle w:val="AERtextsize8"/>
              </w:rPr>
            </w:pPr>
            <w:r>
              <w:rPr>
                <w:rStyle w:val="AERtextsize8"/>
              </w:rPr>
              <w:t xml:space="preserve">We disagree. </w:t>
            </w:r>
            <w:r w:rsidRPr="001D4715">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1D4715">
              <w:rPr>
                <w:rStyle w:val="FootnoteReference"/>
              </w:rPr>
              <w:footnoteReference w:id="234"/>
            </w:r>
          </w:p>
          <w:p w:rsidR="001D4715" w:rsidRPr="001D4715" w:rsidRDefault="001D4715" w:rsidP="001D4715">
            <w:pPr>
              <w:rPr>
                <w:rStyle w:val="AERtextsize8"/>
              </w:rPr>
            </w:pPr>
            <w:r w:rsidRPr="00C42F32">
              <w:rPr>
                <w:rStyle w:val="AERtextsize8"/>
              </w:rPr>
              <w:t xml:space="preserve"> For more detail see section D.5.2 of Attachment 3 to </w:t>
            </w:r>
            <w:r w:rsidRPr="001D4715">
              <w:rPr>
                <w:rStyle w:val="AERtextsize8"/>
              </w:rPr>
              <w:t>SAPN's final decision.</w:t>
            </w:r>
          </w:p>
        </w:tc>
      </w:tr>
      <w:tr w:rsidR="00BA1869" w:rsidTr="002F5AB4">
        <w:tc>
          <w:tcPr>
            <w:tcW w:w="0" w:type="auto"/>
          </w:tcPr>
          <w:p w:rsidR="00BA1869" w:rsidRPr="00BA1869" w:rsidRDefault="00BA1869" w:rsidP="00BA1869">
            <w:pPr>
              <w:rPr>
                <w:rStyle w:val="AERtextsize8"/>
              </w:rPr>
            </w:pPr>
            <w:r>
              <w:rPr>
                <w:rStyle w:val="AERtextsize8"/>
              </w:rPr>
              <w:t>Our multi-stage approach to estimating the equity beta</w:t>
            </w:r>
            <w:r w:rsidRPr="00BA1869">
              <w:t xml:space="preserve"> </w:t>
            </w:r>
            <w:r w:rsidRPr="00BA1869">
              <w:rPr>
                <w:rStyle w:val="AERtextsize8"/>
              </w:rPr>
              <w:t>pre-emptively dilutes or eliminates the impact of other relevant evidence</w:t>
            </w:r>
            <w:r w:rsidRPr="00BA1869">
              <w:rPr>
                <w:rStyle w:val="FootnoteReference"/>
              </w:rPr>
              <w:footnoteReference w:id="235"/>
            </w:r>
          </w:p>
        </w:tc>
        <w:tc>
          <w:tcPr>
            <w:tcW w:w="0" w:type="auto"/>
          </w:tcPr>
          <w:p w:rsidR="00BA1869" w:rsidRPr="00BA1869" w:rsidRDefault="00BA1869" w:rsidP="00BA1869">
            <w:pPr>
              <w:rPr>
                <w:rStyle w:val="AERtextsize8"/>
              </w:rPr>
            </w:pPr>
            <w:r>
              <w:rPr>
                <w:rStyle w:val="AERtextsize8"/>
              </w:rPr>
              <w:t>O</w:t>
            </w:r>
            <w:r w:rsidRPr="00BA1869">
              <w:rPr>
                <w:rStyle w:val="AERtextsize8"/>
              </w:rPr>
              <w:t>ur use of relevant material is based on their relative merits (see section D.5.3 of Attachment 3 to SAPN's final decision and section 3.4.1 of AusNet Services' final decision for its distribution services</w:t>
            </w:r>
            <w:r w:rsidRPr="00BA1869">
              <w:t>)</w:t>
            </w:r>
            <w:r w:rsidRPr="00BA1869">
              <w:rPr>
                <w:rStyle w:val="AERtextsize8"/>
              </w:rPr>
              <w:t>.</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Our comparator set should include </w:t>
            </w:r>
            <w:r w:rsidRPr="00BA1869">
              <w:rPr>
                <w:rStyle w:val="AERtextsize8"/>
              </w:rPr>
              <w:t>international energy firms (specifically, 56 US firms) and Australian non-energy infrastructure firms</w:t>
            </w:r>
            <w:r w:rsidRPr="00BA1869">
              <w:rPr>
                <w:rStyle w:val="FootnoteReference"/>
              </w:rPr>
              <w:footnoteReference w:id="236"/>
            </w:r>
          </w:p>
        </w:tc>
        <w:tc>
          <w:tcPr>
            <w:tcW w:w="0" w:type="auto"/>
          </w:tcPr>
          <w:p w:rsidR="00BA1869" w:rsidRPr="00BA1869" w:rsidRDefault="00BA1869" w:rsidP="00BA1869">
            <w:pPr>
              <w:rPr>
                <w:rStyle w:val="AERtextsize8"/>
              </w:rPr>
            </w:pPr>
            <w:r w:rsidRPr="00DF4B12">
              <w:rPr>
                <w:rStyle w:val="AERtextsize8"/>
              </w:rPr>
              <w:t xml:space="preserve">We consider international energy firms are </w:t>
            </w:r>
            <w:r w:rsidRPr="00BA1869">
              <w:rPr>
                <w:rStyle w:val="AERtextsize8"/>
              </w:rPr>
              <w:t xml:space="preserve">unlikely to have a similar degree of risk as AusNet Services (in the provision of regulated services), for several reasons set out in section </w:t>
            </w:r>
            <w:r w:rsidRPr="00BA1869">
              <w:rPr>
                <w:rStyle w:val="AERtextsize8"/>
              </w:rPr>
              <w:fldChar w:fldCharType="begin"/>
            </w:r>
            <w:r w:rsidRPr="00BA1869">
              <w:rPr>
                <w:rStyle w:val="AERtextsize8"/>
              </w:rPr>
              <w:instrText xml:space="preserve"> REF _Ref446254445 \r \h </w:instrText>
            </w:r>
            <w:r w:rsidRPr="00BA1869">
              <w:rPr>
                <w:rStyle w:val="AERtextsize8"/>
              </w:rPr>
            </w:r>
            <w:r w:rsidRPr="00BA1869">
              <w:rPr>
                <w:rStyle w:val="AERtextsize8"/>
              </w:rPr>
              <w:fldChar w:fldCharType="separate"/>
            </w:r>
            <w:r w:rsidR="00C6448C">
              <w:rPr>
                <w:rStyle w:val="AERtextsize8"/>
              </w:rPr>
              <w:t>G.4.3</w:t>
            </w:r>
            <w:r w:rsidRPr="00BA1869">
              <w:rPr>
                <w:rStyle w:val="AERtextsize8"/>
              </w:rPr>
              <w:fldChar w:fldCharType="end"/>
            </w:r>
            <w:r w:rsidRPr="00BA1869">
              <w:rPr>
                <w:rStyle w:val="AERtextsize8"/>
              </w:rPr>
              <w:t xml:space="preserve"> of this attachment. We also considered this issue in detail in section D.2.1 of Attachment 3 to SAPN's final decision.</w:t>
            </w:r>
            <w:r w:rsidRPr="00BA1869">
              <w:rPr>
                <w:rStyle w:val="CommentReference"/>
              </w:rPr>
              <w:t xml:space="preserve"> </w:t>
            </w:r>
          </w:p>
          <w:p w:rsidR="00BA1869" w:rsidRPr="00BA1869" w:rsidRDefault="00BA1869" w:rsidP="00BA1869">
            <w:pPr>
              <w:rPr>
                <w:rStyle w:val="AERtextsize8"/>
              </w:rPr>
            </w:pPr>
            <w:r>
              <w:rPr>
                <w:rStyle w:val="AERtextsize8"/>
              </w:rPr>
              <w:t>W</w:t>
            </w:r>
            <w:r w:rsidRPr="00BA1869">
              <w:rPr>
                <w:rStyle w:val="AERtextsize8"/>
              </w:rPr>
              <w:t xml:space="preserve">e also consider other (Australian) infrastructure firms are not suitable comparators to the benchmark efficient entity in this case, for several reasons set out in section </w:t>
            </w:r>
            <w:r w:rsidRPr="00BA1869">
              <w:rPr>
                <w:rStyle w:val="AERtextsize8"/>
              </w:rPr>
              <w:fldChar w:fldCharType="begin"/>
            </w:r>
            <w:r w:rsidRPr="00BA1869">
              <w:rPr>
                <w:rStyle w:val="AERtextsize8"/>
              </w:rPr>
              <w:instrText xml:space="preserve"> REF _Ref446254437 \r \h </w:instrText>
            </w:r>
            <w:r w:rsidRPr="00BA1869">
              <w:rPr>
                <w:rStyle w:val="AERtextsize8"/>
              </w:rPr>
            </w:r>
            <w:r w:rsidRPr="00BA1869">
              <w:rPr>
                <w:rStyle w:val="AERtextsize8"/>
              </w:rPr>
              <w:fldChar w:fldCharType="separate"/>
            </w:r>
            <w:r w:rsidR="00C6448C">
              <w:rPr>
                <w:rStyle w:val="AERtextsize8"/>
              </w:rPr>
              <w:t>G.4.4</w:t>
            </w:r>
            <w:r w:rsidRPr="00BA1869">
              <w:rPr>
                <w:rStyle w:val="AERtextsize8"/>
              </w:rPr>
              <w:fldChar w:fldCharType="end"/>
            </w:r>
            <w:r w:rsidRPr="00BA1869">
              <w:rPr>
                <w:rStyle w:val="AERtextsize8"/>
              </w:rPr>
              <w:t xml:space="preserve"> of this attachment. </w:t>
            </w:r>
          </w:p>
        </w:tc>
      </w:tr>
      <w:tr w:rsidR="00BA1869" w:rsidTr="00A164C0">
        <w:tc>
          <w:tcPr>
            <w:tcW w:w="0" w:type="auto"/>
          </w:tcPr>
          <w:p w:rsidR="00BA1869" w:rsidRPr="00BA1869" w:rsidRDefault="00BA1869" w:rsidP="00BA1869">
            <w:pPr>
              <w:rPr>
                <w:rStyle w:val="AERtextsize8"/>
              </w:rPr>
            </w:pPr>
            <w:r>
              <w:rPr>
                <w:rStyle w:val="AERtextsize8"/>
              </w:rPr>
              <w:t>O</w:t>
            </w:r>
            <w:r w:rsidRPr="00BA1869">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BA1869">
              <w:rPr>
                <w:rStyle w:val="FootnoteReference"/>
              </w:rPr>
              <w:footnoteReference w:id="237"/>
            </w:r>
          </w:p>
        </w:tc>
        <w:tc>
          <w:tcPr>
            <w:tcW w:w="0" w:type="auto"/>
          </w:tcPr>
          <w:p w:rsidR="00BA1869" w:rsidRPr="00BA1869" w:rsidRDefault="00BA1869" w:rsidP="00BA1869">
            <w:pPr>
              <w:rPr>
                <w:rStyle w:val="AERtextsize8"/>
              </w:rPr>
            </w:pPr>
            <w:r w:rsidRPr="00245C96">
              <w:rPr>
                <w:rStyle w:val="AERtextsize8"/>
              </w:rPr>
              <w:t>We do not consider our use of the S</w:t>
            </w:r>
            <w:r w:rsidRPr="00BA1869">
              <w:rPr>
                <w:rStyle w:val="AERtextsize8"/>
              </w:rPr>
              <w:t>harpe-Lintner CAPM in our foundation model approach will result in a downward biased estimate of the return on equity.</w:t>
            </w:r>
            <w:r w:rsidRPr="00BA1869">
              <w:t xml:space="preserve"> </w:t>
            </w:r>
            <w:r w:rsidRPr="00BA1869">
              <w:rPr>
                <w:rStyle w:val="AERtextsize8"/>
              </w:rPr>
              <w:t>We provide extensive reasoning for these views in the 'service providers' proposed multi-model approach' subsection in section 3.4.1</w:t>
            </w:r>
            <w:r w:rsidRPr="00BA1869">
              <w:rPr>
                <w:rStyle w:val="AERtextsize8"/>
              </w:rPr>
              <w:fldChar w:fldCharType="begin"/>
            </w:r>
            <w:r w:rsidRPr="00BA1869">
              <w:rPr>
                <w:rStyle w:val="AERtextsize8"/>
              </w:rPr>
              <w:instrText xml:space="preserve"> REF _Ref430958591 \r \h </w:instrText>
            </w:r>
            <w:r w:rsidRPr="00BA1869">
              <w:rPr>
                <w:rStyle w:val="AERtextsize8"/>
              </w:rPr>
            </w:r>
            <w:r w:rsidRPr="00BA1869">
              <w:rPr>
                <w:rStyle w:val="AERtextsize8"/>
              </w:rPr>
              <w:fldChar w:fldCharType="separate"/>
            </w:r>
            <w:r w:rsidR="00C6448C">
              <w:rPr>
                <w:rStyle w:val="AERtextsize8"/>
              </w:rPr>
              <w:t>3.4.1</w:t>
            </w:r>
            <w:r w:rsidRPr="00BA1869">
              <w:rPr>
                <w:rStyle w:val="AERtextsize8"/>
              </w:rPr>
              <w:fldChar w:fldCharType="end"/>
            </w:r>
            <w:r w:rsidRPr="00BA1869">
              <w:rPr>
                <w:rStyle w:val="AERtextsize8"/>
              </w:rPr>
              <w:t xml:space="preserve"> of this attachment. Also see sections </w:t>
            </w:r>
            <w:r w:rsidRPr="00BA1869">
              <w:t>D.5.3, A.2, A.3 of Attachment 3 to SAPN's final decision, and section 3.4.1 and Appendix G of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Our comparator set should not be restricted to regulated entities as the benchmark efficient entity should </w:t>
            </w:r>
            <w:r w:rsidRPr="00BA1869">
              <w:rPr>
                <w:rStyle w:val="AERtextsize8"/>
              </w:rPr>
              <w:t>be defined as an unregulated entity operating in a workably competitive market</w:t>
            </w:r>
            <w:r w:rsidRPr="00BA1869">
              <w:rPr>
                <w:rStyle w:val="FootnoteReference"/>
              </w:rPr>
              <w:footnoteReference w:id="238"/>
            </w:r>
            <w:r w:rsidRPr="00BA1869">
              <w:rPr>
                <w:rStyle w:val="AERtextsize8"/>
              </w:rPr>
              <w:t xml:space="preserve"> </w:t>
            </w:r>
          </w:p>
        </w:tc>
        <w:tc>
          <w:tcPr>
            <w:tcW w:w="0" w:type="auto"/>
          </w:tcPr>
          <w:p w:rsidR="00BA1869" w:rsidRPr="00BA1869" w:rsidRDefault="00BA1869" w:rsidP="00BA1869">
            <w:pPr>
              <w:rPr>
                <w:rStyle w:val="AERtextsize8"/>
              </w:rPr>
            </w:pPr>
            <w:r w:rsidRPr="00FB32AD">
              <w:rPr>
                <w:rStyle w:val="AERtextsize8"/>
              </w:rPr>
              <w:t>We do not agree</w:t>
            </w:r>
            <w:r w:rsidRPr="00BA1869">
              <w:rPr>
                <w:rStyle w:val="AERtextsize8"/>
              </w:rPr>
              <w:t xml:space="preserve">. </w:t>
            </w:r>
            <w:r w:rsidRPr="00BA1869">
              <w:t>We consider the regulatory framework for the provision of prescribed transmission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BA1869" w:rsidTr="002F5AB4">
        <w:tc>
          <w:tcPr>
            <w:tcW w:w="0" w:type="auto"/>
          </w:tcPr>
          <w:p w:rsidR="00BA1869" w:rsidRPr="00BA1869" w:rsidRDefault="00BA1869" w:rsidP="00BA1869">
            <w:pPr>
              <w:rPr>
                <w:rStyle w:val="AERtextsize8"/>
              </w:rPr>
            </w:pPr>
            <w:r>
              <w:rPr>
                <w:rStyle w:val="AERtextsize8"/>
              </w:rPr>
              <w:t xml:space="preserve">Our comparator set should exclude firms that are less comparable to the benchmark efficient </w:t>
            </w:r>
            <w:r w:rsidRPr="00BA1869">
              <w:rPr>
                <w:rStyle w:val="AERtextsize8"/>
              </w:rPr>
              <w:t>entity (e.g. have a low proportion of regulated assets)</w:t>
            </w:r>
            <w:r w:rsidRPr="00BA1869">
              <w:rPr>
                <w:rStyle w:val="FootnoteReference"/>
              </w:rPr>
              <w:footnoteReference w:id="239"/>
            </w:r>
          </w:p>
        </w:tc>
        <w:tc>
          <w:tcPr>
            <w:tcW w:w="0" w:type="auto"/>
          </w:tcPr>
          <w:p w:rsidR="00BA1869" w:rsidRPr="00BA1869" w:rsidRDefault="00BA1869" w:rsidP="00BA1869">
            <w:pPr>
              <w:rPr>
                <w:rStyle w:val="AERtextsize8"/>
              </w:rPr>
            </w:pPr>
            <w:r w:rsidRPr="00FB32AD">
              <w:rPr>
                <w:rStyle w:val="AERtextsize8"/>
              </w:rPr>
              <w:t>We are satisfied</w:t>
            </w:r>
            <w:r w:rsidRPr="00BA1869">
              <w:rPr>
                <w:rStyle w:val="AERtextsize8"/>
              </w:rPr>
              <w:t xml:space="preserve"> at this time that our comparator set is sufficiently reflective of the benchmark efficient entity, given the trade-off between increased statistical precision from a larger comparator set and comparability of the firms to the benchmark efficient entity. For more detail, see section D.2.1 of Attachment 3 to SAPN's final decision and Appendix G of Attachment 3 to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Our comparator set should exclude delisted </w:t>
            </w:r>
            <w:r w:rsidRPr="00BA1869">
              <w:rPr>
                <w:rStyle w:val="AERtextsize8"/>
              </w:rPr>
              <w:t>firms whose data are outdated</w:t>
            </w:r>
            <w:r w:rsidRPr="00BA1869">
              <w:rPr>
                <w:rStyle w:val="FootnoteReference"/>
              </w:rPr>
              <w:footnoteReference w:id="240"/>
            </w:r>
          </w:p>
        </w:tc>
        <w:tc>
          <w:tcPr>
            <w:tcW w:w="0" w:type="auto"/>
          </w:tcPr>
          <w:p w:rsidR="00BA1869" w:rsidRPr="00BA1869" w:rsidRDefault="00BA1869" w:rsidP="00837438">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Pr="00BA1869">
              <w:t xml:space="preserve">d and GasNet (who only have relevant data to 2006 or 2007). The average estimate from this estimation period is not substantially different from the longer estimation periods (in fact, it is slightly lower, see </w:t>
            </w:r>
            <w:r w:rsidRPr="00BA1869">
              <w:fldChar w:fldCharType="begin"/>
            </w:r>
            <w:r w:rsidRPr="00BA1869">
              <w:instrText xml:space="preserve"> REF _Ref446197185 \h </w:instrText>
            </w:r>
            <w:r w:rsidRPr="00BA1869">
              <w:fldChar w:fldCharType="separate"/>
            </w:r>
            <w:r w:rsidR="00C6448C">
              <w:t xml:space="preserve">Table </w:t>
            </w:r>
            <w:r w:rsidR="00C6448C">
              <w:rPr>
                <w:noProof/>
              </w:rPr>
              <w:t>3</w:t>
            </w:r>
            <w:r w:rsidR="00C6448C">
              <w:noBreakHyphen/>
            </w:r>
            <w:r w:rsidR="00C6448C">
              <w:rPr>
                <w:noProof/>
              </w:rPr>
              <w:t>31</w:t>
            </w:r>
            <w:r w:rsidRPr="00BA1869">
              <w:fldChar w:fldCharType="end"/>
            </w:r>
            <w:r w:rsidRPr="00BA1869">
              <w:t>). The two most recent portfolios we consider (P4 and P5) also provide estimates that are, overall, not substantially different from the portfolios that include older data (see</w:t>
            </w:r>
            <w:r w:rsidR="00837438">
              <w:t xml:space="preserve"> </w:t>
            </w:r>
            <w:r w:rsidRPr="00BA1869">
              <w:fldChar w:fldCharType="begin"/>
            </w:r>
            <w:r w:rsidRPr="00BA1869">
              <w:instrText xml:space="preserve"> REF _Ref446197176 \h </w:instrText>
            </w:r>
            <w:r w:rsidRPr="00BA1869">
              <w:fldChar w:fldCharType="separate"/>
            </w:r>
            <w:r w:rsidR="00C6448C">
              <w:t xml:space="preserve">Table </w:t>
            </w:r>
            <w:r w:rsidR="00C6448C">
              <w:rPr>
                <w:noProof/>
              </w:rPr>
              <w:t>3</w:t>
            </w:r>
            <w:r w:rsidR="00C6448C">
              <w:noBreakHyphen/>
            </w:r>
            <w:r w:rsidR="00C6448C">
              <w:rPr>
                <w:noProof/>
              </w:rPr>
              <w:t>32</w:t>
            </w:r>
            <w:r w:rsidRPr="00BA1869">
              <w:fldChar w:fldCharType="end"/>
            </w:r>
            <w:r w:rsidRPr="00BA1869">
              <w:t>). We consider these results suggest that including older data in our empirical analysis (which increases the size of our dataset) does not bias the results.</w:t>
            </w:r>
          </w:p>
        </w:tc>
      </w:tr>
      <w:tr w:rsidR="00BA1869" w:rsidTr="002F5AB4">
        <w:tc>
          <w:tcPr>
            <w:tcW w:w="0" w:type="auto"/>
          </w:tcPr>
          <w:p w:rsidR="00BA1869" w:rsidRPr="00BA1869" w:rsidRDefault="00BA1869" w:rsidP="00BA1869">
            <w:pPr>
              <w:rPr>
                <w:rStyle w:val="AERtextsize8"/>
              </w:rPr>
            </w:pPr>
            <w:r>
              <w:rPr>
                <w:rStyle w:val="AERtextsize8"/>
              </w:rPr>
              <w:t xml:space="preserve">The </w:t>
            </w:r>
            <w:r w:rsidRPr="00BA1869">
              <w:rPr>
                <w:rStyle w:val="AERtextsize8"/>
              </w:rPr>
              <w:t>Least Absolute Deviations (LAD) estimation method produces systematically downward biased equity beta estimates and should not be used</w:t>
            </w:r>
            <w:r w:rsidRPr="00BA1869">
              <w:rPr>
                <w:rStyle w:val="FootnoteReference"/>
              </w:rPr>
              <w:footnoteReference w:id="241"/>
            </w:r>
          </w:p>
        </w:tc>
        <w:tc>
          <w:tcPr>
            <w:tcW w:w="0" w:type="auto"/>
          </w:tcPr>
          <w:p w:rsidR="00BA1869" w:rsidRPr="00BA1869" w:rsidRDefault="00BA1869" w:rsidP="00BA1869">
            <w:pPr>
              <w:rPr>
                <w:rStyle w:val="AERtextsize8"/>
              </w:rPr>
            </w:pPr>
            <w:r>
              <w:t>We are not satisfied that SFG has produced compelling evidence to infer the LAD estimator produces systematically downward biased estimates of equity beta.</w:t>
            </w:r>
            <w:r w:rsidRPr="00BA1869">
              <w:t xml:space="preserve">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BA1869">
              <w:rPr>
                <w:rStyle w:val="AERtextsize8"/>
              </w:rPr>
              <w:t>We considered this issue in section D.2.2 of Attachment 3 to SAPN's final decision and sections 3.4.1 and G.1 of Attachment 3 to AusNet Services' final decision for its distribution services. Those reasoning remain relevant.</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The mining boom should be excluded from the estimation periods</w:t>
            </w:r>
            <w:r w:rsidRPr="00BA1869">
              <w:rPr>
                <w:rStyle w:val="FootnoteReference"/>
              </w:rPr>
              <w:footnoteReference w:id="242"/>
            </w:r>
          </w:p>
        </w:tc>
        <w:tc>
          <w:tcPr>
            <w:tcW w:w="0" w:type="auto"/>
          </w:tcPr>
          <w:p w:rsidR="00BA1869" w:rsidRPr="00BA1869" w:rsidRDefault="00BA1869" w:rsidP="00BA1869">
            <w:pPr>
              <w:rPr>
                <w:rStyle w:val="AERtextsize8"/>
              </w:rPr>
            </w:pPr>
            <w:r>
              <w:rPr>
                <w:rStyle w:val="AERtextsize8"/>
              </w:rPr>
              <w:t>W</w:t>
            </w:r>
            <w:r w:rsidRPr="00BA1869">
              <w:rPr>
                <w:rStyle w:val="AERtextsize8"/>
              </w:rPr>
              <w:t>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For more detail see section D.2.2 of Attachment 3 to SAPN's final decision.</w:t>
            </w:r>
          </w:p>
        </w:tc>
      </w:tr>
      <w:tr w:rsidR="00BA1869" w:rsidTr="002F5AB4">
        <w:tc>
          <w:tcPr>
            <w:tcW w:w="0" w:type="auto"/>
          </w:tcPr>
          <w:p w:rsidR="00BA1869" w:rsidRPr="00BA1869" w:rsidRDefault="00BA1869" w:rsidP="00BA1869">
            <w:pPr>
              <w:rPr>
                <w:rStyle w:val="AERtextsize8"/>
              </w:rPr>
            </w:pPr>
            <w:r>
              <w:rPr>
                <w:rStyle w:val="AERtextsize8"/>
              </w:rPr>
              <w:t xml:space="preserve">We do not </w:t>
            </w:r>
            <w:r w:rsidRPr="00BA1869">
              <w:rPr>
                <w:rStyle w:val="AERtextsize8"/>
              </w:rPr>
              <w:t>account for variation in equity beta estimates based on how the return interval is defined (in particular, what reference day is chosen to calculate weekly or monthly returns)</w:t>
            </w:r>
            <w:r w:rsidRPr="00BA1869">
              <w:rPr>
                <w:rStyle w:val="FootnoteReference"/>
              </w:rPr>
              <w:footnoteReference w:id="243"/>
            </w:r>
          </w:p>
        </w:tc>
        <w:tc>
          <w:tcPr>
            <w:tcW w:w="0" w:type="auto"/>
          </w:tcPr>
          <w:p w:rsidR="00BA1869" w:rsidRPr="00BA1869" w:rsidRDefault="00BA1869" w:rsidP="00BA1869">
            <w:pPr>
              <w:rPr>
                <w:rStyle w:val="AERtextsize8"/>
              </w:rPr>
            </w:pPr>
            <w:r w:rsidRPr="00F62774">
              <w:rPr>
                <w:rStyle w:val="AERtextsize8"/>
              </w:rPr>
              <w:t xml:space="preserve">We do not consider that SFG has provided any basis to expect that returns based </w:t>
            </w:r>
            <w:r w:rsidRPr="00BA1869">
              <w:rPr>
                <w:rStyle w:val="AERtextsize8"/>
              </w:rPr>
              <w:t>on a particular day of the week will underestimate or overestimate equity beta for the benchmark efficient entity. For more detail see section D.2.2 of Attachment 3 to SAPN's final decision and section 3.4.1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Only re-levered equity beta estimates should be relied on</w:t>
            </w:r>
            <w:r w:rsidRPr="00BA1869">
              <w:rPr>
                <w:rStyle w:val="FootnoteReference"/>
              </w:rPr>
              <w:footnoteReference w:id="244"/>
            </w:r>
          </w:p>
        </w:tc>
        <w:tc>
          <w:tcPr>
            <w:tcW w:w="0" w:type="auto"/>
          </w:tcPr>
          <w:p w:rsidR="00BA1869" w:rsidRPr="00BA1869" w:rsidRDefault="00BA1869" w:rsidP="00BA1869">
            <w:pPr>
              <w:rPr>
                <w:rStyle w:val="AERtextsize8"/>
              </w:rPr>
            </w:pPr>
            <w:r>
              <w:rPr>
                <w:rStyle w:val="AERtextsize8"/>
              </w:rPr>
              <w:t xml:space="preserve">We consider </w:t>
            </w:r>
            <w:r w:rsidRPr="00BA1869">
              <w:rPr>
                <w:rStyle w:val="AERtextsize8"/>
              </w:rPr>
              <w:t>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sections D.2.2 and D.3 of Attachment 3 to SAPN's final decision and section 3.4.1 of Attachment 3 in AusNet Services' final decision for its distribution services. Partington and Satchell also advised that re-levering equity betas is problematic.</w:t>
            </w:r>
            <w:r w:rsidRPr="00BA1869">
              <w:rPr>
                <w:rStyle w:val="FootnoteReference"/>
              </w:rPr>
              <w:footnoteReference w:id="245"/>
            </w:r>
          </w:p>
        </w:tc>
      </w:tr>
      <w:tr w:rsidR="00BA1869" w:rsidTr="002F5AB4">
        <w:tc>
          <w:tcPr>
            <w:tcW w:w="0" w:type="auto"/>
          </w:tcPr>
          <w:p w:rsidR="00BA1869" w:rsidRPr="00BA1869" w:rsidRDefault="00BA1869" w:rsidP="00BA1869">
            <w:pPr>
              <w:rPr>
                <w:rStyle w:val="AERtextsize8"/>
              </w:rPr>
            </w:pPr>
            <w:r>
              <w:rPr>
                <w:rStyle w:val="AERtextsize8"/>
              </w:rPr>
              <w:t>Averages of individual firm estimates are largely meaningless</w:t>
            </w:r>
            <w:r w:rsidRPr="00BA1869">
              <w:rPr>
                <w:rStyle w:val="FootnoteReference"/>
              </w:rPr>
              <w:footnoteReference w:id="246"/>
            </w:r>
            <w:r w:rsidRPr="00BA1869">
              <w:rPr>
                <w:rStyle w:val="AERtextsize8"/>
              </w:rPr>
              <w:t xml:space="preserve"> </w:t>
            </w:r>
          </w:p>
        </w:tc>
        <w:tc>
          <w:tcPr>
            <w:tcW w:w="0" w:type="auto"/>
          </w:tcPr>
          <w:p w:rsidR="00BA1869" w:rsidRPr="00BA1869" w:rsidRDefault="00BA1869" w:rsidP="00BA1869">
            <w:pPr>
              <w:rPr>
                <w:rStyle w:val="AERtextsize8"/>
              </w:rPr>
            </w:pPr>
            <w:r w:rsidRPr="00B14F38">
              <w:rPr>
                <w:rStyle w:val="AERtextsize8"/>
              </w:rPr>
              <w:t xml:space="preserve">Because no one comparator firm is perfectly reflective of </w:t>
            </w:r>
            <w:r w:rsidRPr="00BA1869">
              <w:rPr>
                <w:rStyle w:val="AERtextsize8"/>
              </w:rPr>
              <w:t>a benchmark efficient entity with a similar degree of risk as that which applies to AusNet Services in providing regulated services, we rely on averages of individual firm estimates to determine an equity beta range. SFG, Frontier Economics, CEG and NERA, in their reports for several service providers, also rely on averages of individual firm estimates.</w:t>
            </w:r>
            <w:r w:rsidRPr="00BA1869">
              <w:rPr>
                <w:rStyle w:val="FootnoteReference"/>
              </w:rPr>
              <w:footnoteReference w:id="247"/>
            </w:r>
            <w:r w:rsidRPr="00BA1869">
              <w:rPr>
                <w:rStyle w:val="AERtextsize8"/>
              </w:rPr>
              <w:t xml:space="preserve"> For more detail see section D.2.2 of Attachment 3 to SAPN's final decision and section 3.4.1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The basis of the portfolio formations in Henry's 2014 report is unclear</w:t>
            </w:r>
            <w:r w:rsidRPr="00BA1869">
              <w:rPr>
                <w:rStyle w:val="FootnoteReference"/>
              </w:rPr>
              <w:footnoteReference w:id="248"/>
            </w:r>
          </w:p>
        </w:tc>
        <w:tc>
          <w:tcPr>
            <w:tcW w:w="0" w:type="auto"/>
          </w:tcPr>
          <w:p w:rsidR="00BA1869" w:rsidRPr="00BA1869" w:rsidRDefault="003707F4" w:rsidP="00BA1869">
            <w:pPr>
              <w:rPr>
                <w:rStyle w:val="AERtextsize8"/>
              </w:rPr>
            </w:pPr>
            <w:r>
              <w:rPr>
                <w:rStyle w:val="AERtextsize8"/>
              </w:rPr>
              <w:t>W</w:t>
            </w:r>
            <w:r w:rsidR="00B556DC">
              <w:rPr>
                <w:rStyle w:val="AERtextsize8"/>
              </w:rPr>
              <w:t>e consider e</w:t>
            </w:r>
            <w:r w:rsidR="00BA1869" w:rsidRPr="00B428B6">
              <w:rPr>
                <w:rStyle w:val="AERtextsize8"/>
              </w:rPr>
              <w:t xml:space="preserve">ach firm </w:t>
            </w:r>
            <w:r w:rsidR="00BA1869" w:rsidRPr="00BA1869">
              <w:rPr>
                <w:rStyle w:val="AERtextsize8"/>
              </w:rPr>
              <w:t xml:space="preserve">in a particular portfolio </w:t>
            </w:r>
            <w:r w:rsidR="00B556DC">
              <w:rPr>
                <w:rStyle w:val="AERtextsize8"/>
              </w:rPr>
              <w:t>should</w:t>
            </w:r>
            <w:r w:rsidR="00BA1869" w:rsidRPr="00BA1869">
              <w:rPr>
                <w:rStyle w:val="AERtextsize8"/>
              </w:rPr>
              <w:t xml:space="preserve"> have returns data over the same period. For example, we </w:t>
            </w:r>
            <w:r w:rsidR="00B556DC">
              <w:rPr>
                <w:rStyle w:val="AERtextsize8"/>
              </w:rPr>
              <w:t xml:space="preserve">consider you should </w:t>
            </w:r>
            <w:r w:rsidR="00BA1869" w:rsidRPr="00BA1869">
              <w:rPr>
                <w:rStyle w:val="AERtextsize8"/>
              </w:rPr>
              <w:t>not include a firm with data from 2000 to 2007 in a portfolio with another firm with data from 2005 to 2013. A portfolio can only be formed in this scenario if common data from 2005 to 2007 is used.</w:t>
            </w:r>
          </w:p>
          <w:p w:rsidR="00BA1869" w:rsidRPr="00BA1869" w:rsidRDefault="00BA1869" w:rsidP="00BA1869">
            <w:pPr>
              <w:rPr>
                <w:rStyle w:val="AERtextsize8"/>
              </w:rPr>
            </w:pPr>
            <w:r>
              <w:rPr>
                <w:rStyle w:val="AERtextsize8"/>
              </w:rPr>
              <w:t>T</w:t>
            </w:r>
            <w:r w:rsidRPr="00BA1869">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BA1869">
              <w:rPr>
                <w:rStyle w:val="FootnoteReference"/>
              </w:rPr>
              <w:footnoteReference w:id="249"/>
            </w:r>
          </w:p>
        </w:tc>
      </w:tr>
      <w:tr w:rsidR="00BA1869" w:rsidTr="002F5AB4">
        <w:tc>
          <w:tcPr>
            <w:tcW w:w="0" w:type="auto"/>
          </w:tcPr>
          <w:p w:rsidR="00BA1869" w:rsidRPr="00BA1869" w:rsidRDefault="00BA1869" w:rsidP="00BA1869">
            <w:pPr>
              <w:rPr>
                <w:rStyle w:val="AERtextsize8"/>
              </w:rPr>
            </w:pPr>
            <w:r>
              <w:rPr>
                <w:rStyle w:val="AERtextsize8"/>
              </w:rPr>
              <w:t>The Vasicek adjustment mitigates systematic estimation error</w:t>
            </w:r>
            <w:r w:rsidRPr="00BA1869">
              <w:rPr>
                <w:rStyle w:val="FootnoteReference"/>
              </w:rPr>
              <w:footnoteReference w:id="250"/>
            </w:r>
          </w:p>
        </w:tc>
        <w:tc>
          <w:tcPr>
            <w:tcW w:w="0" w:type="auto"/>
          </w:tcPr>
          <w:p w:rsidR="00BA1869" w:rsidRPr="00BA1869" w:rsidRDefault="00BA1869" w:rsidP="00BA1869">
            <w:pPr>
              <w:rPr>
                <w:rStyle w:val="AERtextsize8"/>
              </w:rPr>
            </w:pPr>
            <w:r w:rsidRPr="00A357BE">
              <w:rPr>
                <w:rStyle w:val="AERtextsize8"/>
              </w:rPr>
              <w:t xml:space="preserve">We do not apply </w:t>
            </w:r>
            <w:r w:rsidRPr="00BA1869">
              <w:rPr>
                <w:rStyle w:val="AERtextsize8"/>
              </w:rPr>
              <w:t>a Vasicek adjustment. We note that SFG has applied the Vasicek adjustment in their beta estimates however report that this makes less difference due to the increasing size of the data set.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For more detail see section D.2.2 of Attachment 3 to SAPN's final decision.</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sidRPr="001D4715">
              <w:t xml:space="preserve">CEG compared its estimates with the 'Raw beta' from Bloomberg’s 'Historical Beta' field and found that its estimates are consistent with the figures from Bloomberg based on Henry’s sample and benchmark index </w:t>
            </w:r>
            <w:r w:rsidRPr="00BA1869">
              <w:rPr>
                <w:rStyle w:val="FootnoteReference"/>
              </w:rPr>
              <w:footnoteReference w:id="251"/>
            </w:r>
          </w:p>
        </w:tc>
        <w:tc>
          <w:tcPr>
            <w:tcW w:w="0" w:type="auto"/>
          </w:tcPr>
          <w:p w:rsidR="00BA1869" w:rsidRPr="00BA1869" w:rsidRDefault="00BA1869" w:rsidP="00BA1869">
            <w:pPr>
              <w:rPr>
                <w:rStyle w:val="AERtextsize8"/>
              </w:rPr>
            </w:pPr>
            <w:r w:rsidRPr="003379AF">
              <w:rPr>
                <w:rStyle w:val="AERtextsize8"/>
              </w:rPr>
              <w:t xml:space="preserve">CEG </w:t>
            </w:r>
            <w:r w:rsidRPr="00BA1869">
              <w:rPr>
                <w:rStyle w:val="AERtextsize8"/>
              </w:rPr>
              <w:t>was not able to completely replicated Henry’s 2014 estimations. And it acknowledged that this is due to gearing estimates.</w:t>
            </w:r>
            <w:r w:rsidRPr="00BA1869">
              <w:rPr>
                <w:rStyle w:val="FootnoteReference"/>
              </w:rPr>
              <w:footnoteReference w:id="252"/>
            </w:r>
          </w:p>
          <w:p w:rsidR="00BA1869" w:rsidRPr="00BA1869" w:rsidRDefault="00BA1869" w:rsidP="00BA1869">
            <w:pPr>
              <w:rPr>
                <w:rStyle w:val="AERtextsize8"/>
              </w:rPr>
            </w:pPr>
            <w:r w:rsidRPr="003379AF">
              <w:rPr>
                <w:rStyle w:val="AERtextsize8"/>
              </w:rPr>
              <w:t>Once the differences between CEG replication and Henry 2014 estimations is accounted for the difference between CEG extension and Henry 2014 results is not significant</w:t>
            </w:r>
            <w:r w:rsidRPr="00BA1869">
              <w:rPr>
                <w:rStyle w:val="AERtextsize8"/>
              </w:rPr>
              <w:t>.  We do not take a mechanistic approach to the estimation of beta.  There are other factors that require consideration in CEG’s report for example. whether the difference is due to higher gearing or whether there may be other explanations for changes in systematic risk.</w:t>
            </w:r>
          </w:p>
          <w:p w:rsidR="00BA1869" w:rsidRPr="00BA1869" w:rsidRDefault="00BA1869" w:rsidP="00BA1869">
            <w:pPr>
              <w:rPr>
                <w:rStyle w:val="AERtextsize8"/>
              </w:rPr>
            </w:pPr>
            <w:r w:rsidRPr="003379AF">
              <w:rPr>
                <w:rStyle w:val="AERtextsize8"/>
              </w:rPr>
              <w:t xml:space="preserve">We discuss in more detail in appendix </w:t>
            </w:r>
            <w:r w:rsidRPr="00BA1869">
              <w:rPr>
                <w:rStyle w:val="AERtextsize8"/>
              </w:rPr>
              <w:t>G</w:t>
            </w:r>
          </w:p>
        </w:tc>
      </w:tr>
      <w:tr w:rsidR="00BA1869" w:rsidTr="002F5AB4">
        <w:tc>
          <w:tcPr>
            <w:tcW w:w="0" w:type="auto"/>
          </w:tcPr>
          <w:p w:rsidR="00BA1869" w:rsidRPr="00BA1869" w:rsidRDefault="00BA1869" w:rsidP="00BA1869">
            <w:pPr>
              <w:rPr>
                <w:rStyle w:val="Strong"/>
              </w:rPr>
            </w:pPr>
            <w:r w:rsidRPr="007353C8">
              <w:rPr>
                <w:rStyle w:val="Strong"/>
              </w:rPr>
              <w:t>Australian empirical estimates</w:t>
            </w:r>
          </w:p>
        </w:tc>
        <w:tc>
          <w:tcPr>
            <w:tcW w:w="0" w:type="auto"/>
          </w:tcPr>
          <w:p w:rsidR="00BA1869" w:rsidRDefault="00BA1869" w:rsidP="00BA1869">
            <w:pPr>
              <w:rPr>
                <w:rStyle w:val="AERtextsize8"/>
              </w:rPr>
            </w:pP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Our range derived from Australian empirical estimates (0.4 to 0.7) is incorrect and inconsistent with Henry's 2014 report</w:t>
            </w:r>
            <w:r w:rsidRPr="00BA1869">
              <w:rPr>
                <w:rStyle w:val="FootnoteReference"/>
              </w:rPr>
              <w:footnoteReference w:id="253"/>
            </w:r>
          </w:p>
        </w:tc>
        <w:tc>
          <w:tcPr>
            <w:tcW w:w="0" w:type="auto"/>
          </w:tcPr>
          <w:p w:rsidR="00BA1869" w:rsidRPr="00BA1869" w:rsidRDefault="00BA1869" w:rsidP="00BA1869">
            <w:pPr>
              <w:rPr>
                <w:rStyle w:val="AERtextsize8"/>
              </w:rPr>
            </w:pPr>
            <w:r>
              <w:rPr>
                <w:rStyle w:val="AERtextsize8"/>
              </w:rPr>
              <w:t xml:space="preserve">We recognise </w:t>
            </w:r>
            <w:r w:rsidRPr="00BA1869">
              <w:rPr>
                <w:rStyle w:val="AERtextsize8"/>
              </w:rPr>
              <w:t>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SAPN's final decision and Appendix G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sidRPr="001D4715">
              <w:rPr>
                <w:rStyle w:val="AERtextsize8"/>
              </w:rPr>
              <w:t>The equity beta estimates in Henry's 2014 report are highly variable and imprecise</w:t>
            </w:r>
            <w:r w:rsidRPr="00BA1869">
              <w:rPr>
                <w:rStyle w:val="FootnoteReference"/>
              </w:rPr>
              <w:footnoteReference w:id="254"/>
            </w:r>
          </w:p>
          <w:p w:rsidR="00BA1869" w:rsidRPr="00BA1869" w:rsidRDefault="00BA1869" w:rsidP="00BA1869">
            <w:pPr>
              <w:rPr>
                <w:rStyle w:val="AERtextsize8"/>
              </w:rPr>
            </w:pPr>
            <w:r>
              <w:rPr>
                <w:rStyle w:val="AERtextsize8"/>
              </w:rPr>
              <w:t>Other stakeholders submit that t</w:t>
            </w:r>
            <w:r w:rsidRPr="00BA1869">
              <w:rPr>
                <w:rStyle w:val="AERtextsize8"/>
              </w:rPr>
              <w:t>he equity beta estimates in Henry's 2014 report are clustered around a range of 0.3 to 0.5</w:t>
            </w:r>
            <w:r w:rsidRPr="00BA1869">
              <w:rPr>
                <w:rStyle w:val="FootnoteReference"/>
              </w:rPr>
              <w:footnoteReference w:id="255"/>
            </w:r>
          </w:p>
        </w:tc>
        <w:tc>
          <w:tcPr>
            <w:tcW w:w="0" w:type="auto"/>
          </w:tcPr>
          <w:p w:rsidR="00BA1869" w:rsidRPr="00BA1869" w:rsidRDefault="00BA1869" w:rsidP="00BA1869">
            <w:pPr>
              <w:rPr>
                <w:rStyle w:val="AERtextsize8"/>
              </w:rPr>
            </w:pPr>
            <w:r>
              <w:rPr>
                <w:rStyle w:val="AERtextsize8"/>
              </w:rPr>
              <w:t>Both</w:t>
            </w:r>
            <w:r w:rsidRPr="00BA1869">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SAPN's final decision and sections G.4.1 and G.4.2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Australian empirical estimates support an equity beta </w:t>
            </w:r>
            <w:r w:rsidRPr="00BA1869">
              <w:rPr>
                <w:rStyle w:val="AERtextsize8"/>
              </w:rPr>
              <w:t>within the range of 0.5 to 0.6</w:t>
            </w:r>
            <w:r w:rsidRPr="00BA1869">
              <w:rPr>
                <w:rStyle w:val="FootnoteReference"/>
              </w:rPr>
              <w:footnoteReference w:id="256"/>
            </w:r>
          </w:p>
        </w:tc>
        <w:tc>
          <w:tcPr>
            <w:tcW w:w="0" w:type="auto"/>
          </w:tcPr>
          <w:p w:rsidR="00BA1869" w:rsidRPr="00BA1869" w:rsidRDefault="00BA1869" w:rsidP="00BA1869">
            <w:pPr>
              <w:rPr>
                <w:rStyle w:val="AERtextsize8"/>
              </w:rPr>
            </w:pPr>
            <w:r>
              <w:rPr>
                <w:rStyle w:val="AERtextsize8"/>
              </w:rPr>
              <w:t>We are satisfied the Australian empirical estimates we consider support an equity beta range of 0.4 to</w:t>
            </w:r>
            <w:r w:rsidRPr="00BA1869">
              <w:rPr>
                <w:rStyle w:val="AERtextsize8"/>
              </w:rPr>
              <w:t xml:space="preserve"> 0.7. Our range is based on averages of individual firm estimates and fixed weight portfolio estimates from Henry's 2014 report. We also consider equity beta estimates from a number of other Australia empirical studies. This includes the ERA's 2013 study, which appears to contain the same estimates as the Vo, Mero and Gellard study discussed in the Consumer Challenge Panel's report.</w:t>
            </w:r>
            <w:r w:rsidRPr="00BA1869">
              <w:rPr>
                <w:rStyle w:val="FootnoteReference"/>
              </w:rPr>
              <w:footnoteReference w:id="257"/>
            </w:r>
            <w:r w:rsidRPr="00BA1869">
              <w:rPr>
                <w:rStyle w:val="AERtextsize8"/>
              </w:rPr>
              <w:t xml:space="preserve"> See sections </w:t>
            </w:r>
            <w:r w:rsidRPr="00BA1869">
              <w:rPr>
                <w:rStyle w:val="AERtextsize8"/>
              </w:rPr>
              <w:fldChar w:fldCharType="begin"/>
            </w:r>
            <w:r w:rsidRPr="00BA1869">
              <w:rPr>
                <w:rStyle w:val="AERtextsize8"/>
              </w:rPr>
              <w:instrText xml:space="preserve"> REF _Ref446255169 \r \h </w:instrText>
            </w:r>
            <w:r w:rsidRPr="00BA1869">
              <w:rPr>
                <w:rStyle w:val="AERtextsize8"/>
              </w:rPr>
            </w:r>
            <w:r w:rsidRPr="00BA1869">
              <w:rPr>
                <w:rStyle w:val="AERtextsize8"/>
              </w:rPr>
              <w:fldChar w:fldCharType="separate"/>
            </w:r>
            <w:r w:rsidR="00C6448C">
              <w:rPr>
                <w:rStyle w:val="AERtextsize8"/>
              </w:rPr>
              <w:t>G.1</w:t>
            </w:r>
            <w:r w:rsidRPr="00BA1869">
              <w:rPr>
                <w:rStyle w:val="AERtextsize8"/>
              </w:rPr>
              <w:fldChar w:fldCharType="end"/>
            </w:r>
            <w:r w:rsidRPr="00BA1869">
              <w:rPr>
                <w:rStyle w:val="AERtextsize8"/>
              </w:rPr>
              <w:t xml:space="preserve"> and G.2.</w:t>
            </w:r>
          </w:p>
          <w:p w:rsidR="00BA1869" w:rsidRPr="00BA1869" w:rsidRDefault="00BA1869" w:rsidP="00BA1869">
            <w:pPr>
              <w:rPr>
                <w:rStyle w:val="AERtextsize8"/>
              </w:rPr>
            </w:pPr>
            <w:r>
              <w:rPr>
                <w:rStyle w:val="AERtextsize8"/>
              </w:rPr>
              <w:t xml:space="preserve">We have regard to other information when selecting our equity beta point estimate from within this range. </w:t>
            </w:r>
            <w:r w:rsidRPr="00BA1869">
              <w:rPr>
                <w:rStyle w:val="AERtextsize8"/>
              </w:rPr>
              <w:t>This includes international empirical estimates and the theoretical principles underpinning the Black CAPM. See section D.5 of Attachment 3 to SAPN's final decision and section G.1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sidRPr="00AD5FDC">
              <w:rPr>
                <w:rStyle w:val="AERtextsize8"/>
              </w:rPr>
              <w:t xml:space="preserve">We have incorrectly analysed the </w:t>
            </w:r>
            <w:r w:rsidRPr="00BA1869">
              <w:rPr>
                <w:rStyle w:val="AERtextsize8"/>
              </w:rPr>
              <w:t>equity beta estimates in Grant Samuel's 2014 independent expert report</w:t>
            </w:r>
            <w:r w:rsidRPr="00BA1869">
              <w:rPr>
                <w:rStyle w:val="FootnoteReference"/>
              </w:rPr>
              <w:footnoteReference w:id="258"/>
            </w:r>
          </w:p>
        </w:tc>
        <w:tc>
          <w:tcPr>
            <w:tcW w:w="0" w:type="auto"/>
          </w:tcPr>
          <w:p w:rsidR="00BA1869" w:rsidRPr="00BA1869" w:rsidRDefault="00BA1869" w:rsidP="00BA1869">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BA1869">
              <w:rPr>
                <w:rStyle w:val="AERtextsize8"/>
              </w:rPr>
              <w:t>. For more detail see section D.2.4 of Attachment 3 to SAPN's final decision and section G.2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EE5661">
            <w:r w:rsidRPr="005400CA">
              <w:t>CCP</w:t>
            </w:r>
            <w:r w:rsidR="00EE5661">
              <w:t>5</w:t>
            </w:r>
            <w:r w:rsidRPr="005400CA">
              <w:t xml:space="preserve"> </w:t>
            </w:r>
            <w:r w:rsidRPr="00BA1869">
              <w:t xml:space="preserve">maintained its view that the AER’s value for β of 0.7 is too high, citing the Olan Henry analysis commissioned by the AER in 2014 as rationale for a lower β. The CCP suggested a value of 0.5 would be in the better long term interests of consumers, while still meeting the requirements of the NER. </w:t>
            </w:r>
            <w:r w:rsidRPr="00BA1869">
              <w:rPr>
                <w:rStyle w:val="FootnoteReference"/>
              </w:rPr>
              <w:footnoteReference w:id="259"/>
            </w:r>
            <w:r w:rsidRPr="00BA1869">
              <w:t xml:space="preserve"> </w:t>
            </w:r>
          </w:p>
        </w:tc>
        <w:tc>
          <w:tcPr>
            <w:tcW w:w="0" w:type="auto"/>
            <w:vAlign w:val="top"/>
          </w:tcPr>
          <w:p w:rsidR="00BA1869" w:rsidRPr="00BA1869" w:rsidRDefault="00BA1869" w:rsidP="00BA1869">
            <w:r w:rsidRPr="003379AF">
              <w:t>We have considered the CCP’s submission however this is based on only one source of relevant evidence. Our consideration of the relevant evidence for the equity beta is based on all the relevant information follo</w:t>
            </w:r>
            <w:r w:rsidRPr="00BA1869">
              <w:t>wing an assessment of their relative merits and suitability for our regulatory task: conceptual analysis, Australian empirical estimates, international empirical estimates and theory of the Black CAPM.</w:t>
            </w:r>
            <w:r w:rsidRPr="00BA1869">
              <w:rPr>
                <w:rStyle w:val="FootnoteReference"/>
              </w:rPr>
              <w:footnoteReference w:id="260"/>
            </w:r>
          </w:p>
          <w:p w:rsidR="00BA1869" w:rsidRPr="00BA1869" w:rsidRDefault="00BA1869" w:rsidP="00BA1869">
            <w:r>
              <w:t xml:space="preserve">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w:t>
            </w:r>
            <w:r w:rsidR="003707F4">
              <w:t>of</w:t>
            </w:r>
            <w:r>
              <w:t xml:space="preserve"> an estimate towards the top of our range.</w:t>
            </w:r>
            <w:r w:rsidRPr="00BA1869">
              <w:rPr>
                <w:rStyle w:val="FootnoteReference"/>
              </w:rPr>
              <w:footnoteReference w:id="261"/>
            </w:r>
            <w:r w:rsidRPr="00BA1869">
              <w:t xml:space="preserve">  </w:t>
            </w:r>
          </w:p>
          <w:p w:rsidR="00BA1869" w:rsidRPr="00BA1869" w:rsidRDefault="00BA1869" w:rsidP="00BA1869">
            <w:r>
              <w:t>We consider our approach and estimate contributes to the ARORO and this has been upheld by the Tribunal.</w:t>
            </w:r>
            <w:r w:rsidRPr="00BA1869">
              <w:rPr>
                <w:rStyle w:val="FootnoteReference"/>
              </w:rPr>
              <w:footnoteReference w:id="262"/>
            </w:r>
          </w:p>
        </w:tc>
      </w:tr>
      <w:tr w:rsidR="00BA1869" w:rsidTr="002F5AB4">
        <w:tc>
          <w:tcPr>
            <w:tcW w:w="0" w:type="auto"/>
            <w:vAlign w:val="top"/>
          </w:tcPr>
          <w:p w:rsidR="00BA1869" w:rsidRPr="00BA1869" w:rsidRDefault="00BA1869" w:rsidP="00BA1869">
            <w:r>
              <w:t xml:space="preserve">CEG considered that its </w:t>
            </w:r>
            <w:r w:rsidRPr="00BA1869">
              <w:t>replication of Henry’s original results is sufficiently close so as to warrant using its methodology to extend results to 2016.</w:t>
            </w:r>
            <w:r w:rsidRPr="00BA1869">
              <w:rPr>
                <w:rStyle w:val="FootnoteReference"/>
              </w:rPr>
              <w:footnoteReference w:id="263"/>
            </w:r>
          </w:p>
        </w:tc>
        <w:tc>
          <w:tcPr>
            <w:tcW w:w="0" w:type="auto"/>
            <w:vAlign w:val="top"/>
          </w:tcPr>
          <w:p w:rsidR="00BA1869" w:rsidRPr="00BA1869" w:rsidRDefault="00BA1869" w:rsidP="00BA1869">
            <w:r>
              <w:rPr>
                <w:rStyle w:val="AERtextsize8"/>
              </w:rPr>
              <w:t>We note that CEG was not able to completely replicate Henry’s original results.</w:t>
            </w:r>
            <w:r w:rsidRPr="00BA1869">
              <w:rPr>
                <w:rStyle w:val="AERtextsize8"/>
              </w:rPr>
              <w:t xml:space="preserve"> In particular, there is a 57 per cent discrepancy in SKI’s gearing estimate which would materially affect re-levered betas at the firm and portfolio level. </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BA1869">
            <w:r>
              <w:t xml:space="preserve">CEG’s </w:t>
            </w:r>
            <w:r w:rsidRPr="00BA1869">
              <w:t>extension of Henry’s estimates to June 2016 suggest that empirical estimates of equity beta have increased since Henry’s 2014 report.</w:t>
            </w:r>
            <w:r w:rsidRPr="00BA1869">
              <w:rPr>
                <w:rStyle w:val="FootnoteReference"/>
              </w:rPr>
              <w:footnoteReference w:id="264"/>
            </w:r>
            <w:r w:rsidRPr="00BA1869">
              <w:t xml:space="preserve"> </w:t>
            </w:r>
          </w:p>
          <w:p w:rsidR="00BA1869" w:rsidRPr="001D4715" w:rsidRDefault="00BA1869" w:rsidP="006E5878">
            <w:pPr>
              <w:pStyle w:val="AERbulletlistfirststyle"/>
              <w:numPr>
                <w:ilvl w:val="0"/>
                <w:numId w:val="0"/>
              </w:numPr>
              <w:ind w:left="357" w:hanging="357"/>
            </w:pPr>
          </w:p>
          <w:p w:rsidR="00BA1869" w:rsidRPr="003379AF" w:rsidRDefault="00BA1869" w:rsidP="006E5878">
            <w:pPr>
              <w:pStyle w:val="AERbulletlistsecondstyle"/>
              <w:numPr>
                <w:ilvl w:val="0"/>
                <w:numId w:val="0"/>
              </w:numPr>
              <w:ind w:left="998"/>
            </w:pPr>
          </w:p>
        </w:tc>
        <w:tc>
          <w:tcPr>
            <w:tcW w:w="0" w:type="auto"/>
            <w:vAlign w:val="top"/>
          </w:tcPr>
          <w:p w:rsidR="00BA1869" w:rsidRPr="00BA1869" w:rsidRDefault="00BA1869" w:rsidP="00BA1869">
            <w:pPr>
              <w:rPr>
                <w:rStyle w:val="AERtextsize8"/>
              </w:rPr>
            </w:pPr>
            <w:r>
              <w:rPr>
                <w:rStyle w:val="AERtextsize8"/>
              </w:rPr>
              <w:t xml:space="preserve">Having analysed CEG’s results, </w:t>
            </w:r>
            <w:r w:rsidRPr="00BA1869">
              <w:rPr>
                <w:rStyle w:val="AERtextsize8"/>
              </w:rPr>
              <w:t xml:space="preserve">we do not consider that CEG’s extension provides satisfactory evidence of a material change in equity beta estimates. We note CEG's extension are still consistent with Henry's original estimates such that our empirical range remains 0.4–0.7 and our point estimate 0.7. </w:t>
            </w:r>
          </w:p>
          <w:p w:rsidR="00BA1869" w:rsidRPr="00BA1869" w:rsidRDefault="00BA1869" w:rsidP="00BA1869">
            <w:r>
              <w:rPr>
                <w:rStyle w:val="AERtextsize8"/>
              </w:rPr>
              <w:t xml:space="preserve">Our views are supported by </w:t>
            </w:r>
            <w:r w:rsidRPr="00BA1869">
              <w:t>Partington and Satchell who also noted that they ‘are not convinced that there has been material change in beta’ after reviewing CEG’s estimates.</w:t>
            </w:r>
            <w:r w:rsidR="00EE10F2">
              <w:rPr>
                <w:rStyle w:val="FootnoteReference"/>
              </w:rPr>
              <w:footnoteReference w:id="265"/>
            </w:r>
            <w:r w:rsidRPr="00BA1869">
              <w:t xml:space="preserve"> </w:t>
            </w:r>
          </w:p>
          <w:p w:rsidR="00BA1869" w:rsidRPr="00BA1869" w:rsidRDefault="00BA1869" w:rsidP="00BA1869">
            <w:r>
              <w:t xml:space="preserve">We discuss this in more detail in Appendix </w:t>
            </w:r>
            <w:r w:rsidRPr="00BA1869">
              <w:t>G.</w:t>
            </w:r>
          </w:p>
        </w:tc>
      </w:tr>
      <w:tr w:rsidR="00BA1869" w:rsidTr="002F5AB4">
        <w:tc>
          <w:tcPr>
            <w:tcW w:w="0" w:type="auto"/>
            <w:vAlign w:val="top"/>
          </w:tcPr>
          <w:p w:rsidR="00BA1869" w:rsidRPr="00BA1869" w:rsidRDefault="00BA1869" w:rsidP="00BA1869">
            <w:r>
              <w:t>CEG submitted that more recent estimates</w:t>
            </w:r>
            <w:r w:rsidRPr="00BA1869">
              <w:t xml:space="preserve"> (one year and five year estimates) of equity beta for still-listed firms indicate a more prominent increase in the equity beta.</w:t>
            </w:r>
            <w:r w:rsidRPr="00BA1869">
              <w:rPr>
                <w:rStyle w:val="FootnoteReference"/>
              </w:rPr>
              <w:footnoteReference w:id="266"/>
            </w:r>
          </w:p>
          <w:p w:rsidR="00BA1869" w:rsidRPr="001D4715" w:rsidDel="000551F3" w:rsidRDefault="00BA1869" w:rsidP="006E5878">
            <w:pPr>
              <w:pStyle w:val="AERbulletlistfirststyle"/>
              <w:numPr>
                <w:ilvl w:val="0"/>
                <w:numId w:val="0"/>
              </w:numPr>
              <w:ind w:left="357"/>
            </w:pPr>
          </w:p>
        </w:tc>
        <w:tc>
          <w:tcPr>
            <w:tcW w:w="0" w:type="auto"/>
            <w:vAlign w:val="top"/>
          </w:tcPr>
          <w:p w:rsidR="00BA1869" w:rsidRPr="00BA1869" w:rsidRDefault="00BA1869" w:rsidP="00BA1869">
            <w:pPr>
              <w:rPr>
                <w:rStyle w:val="AERtextsize8"/>
              </w:rPr>
            </w:pPr>
            <w:r w:rsidRPr="00BA1869">
              <w:rPr>
                <w:rStyle w:val="AERtextsize8"/>
              </w:rPr>
              <w:t>We do not consider, as proposed by CEG, that more recent estimates of equity sufficiently justify an increase to our range and/or point estimates because short term data is more prone to one-off events, fluctuations and volatility which may obscure the 'true' equity beta for a benchmark efficient entity.</w:t>
            </w:r>
          </w:p>
          <w:p w:rsidR="00BA1869" w:rsidRPr="00BA1869" w:rsidRDefault="00BA1869" w:rsidP="00BA1869">
            <w:r w:rsidRPr="00180347">
              <w:rPr>
                <w:rStyle w:val="AERtextsize8"/>
              </w:rPr>
              <w:t>We discuss this in more detail in Appendix G.</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7A451A">
            <w:pPr>
              <w:pStyle w:val="AERbulletlistfirststyle"/>
              <w:numPr>
                <w:ilvl w:val="0"/>
                <w:numId w:val="0"/>
              </w:numPr>
              <w:rPr>
                <w:rFonts w:eastAsiaTheme="minorHAnsi"/>
                <w:sz w:val="22"/>
                <w:szCs w:val="22"/>
                <w:lang w:eastAsia="en-US"/>
              </w:rPr>
            </w:pPr>
            <w:r>
              <w:t xml:space="preserve">CEG compared results of its extension against Henry's </w:t>
            </w:r>
            <w:r w:rsidRPr="00BA1869">
              <w:t>original results and note that beta has increased by around 0.1 or more since the end of Henry's sampling period</w:t>
            </w:r>
            <w:r w:rsidRPr="00BA1869">
              <w:rPr>
                <w:rStyle w:val="FootnoteReference"/>
              </w:rPr>
              <w:footnoteReference w:id="267"/>
            </w:r>
          </w:p>
        </w:tc>
        <w:tc>
          <w:tcPr>
            <w:tcW w:w="0" w:type="auto"/>
            <w:vAlign w:val="top"/>
          </w:tcPr>
          <w:p w:rsidR="00BA1869" w:rsidRPr="00BA1869" w:rsidRDefault="00BA1869" w:rsidP="00BA1869">
            <w:r>
              <w:t xml:space="preserve">We note CEG compares results of its extension against Henry's original results in Table 13 and 14 of its report as support of a material increase in </w:t>
            </w:r>
            <w:r w:rsidRPr="00BA1869">
              <w:t>the equity beta.</w:t>
            </w:r>
          </w:p>
          <w:p w:rsidR="00BA1869" w:rsidRPr="00BA1869" w:rsidRDefault="00BA1869" w:rsidP="00BA1869">
            <w:r>
              <w:t>However, th</w:t>
            </w:r>
            <w:r w:rsidRPr="00BA1869">
              <w:t>is is misleading because CEG is not making the correct comparison. CEG should have compared its extension results against its own replication instead of Henry's original results. As observed in CEG's report, its re-levered betas (from the replication) are generally higher than Henry's results. And this difference would overstate the increase since Henry's original's results.</w:t>
            </w:r>
          </w:p>
        </w:tc>
      </w:tr>
      <w:tr w:rsidR="00BA1869" w:rsidTr="002F5AB4">
        <w:tc>
          <w:tcPr>
            <w:tcW w:w="0" w:type="auto"/>
            <w:vAlign w:val="top"/>
          </w:tcPr>
          <w:p w:rsidR="00BA1869" w:rsidRPr="00BA1869" w:rsidRDefault="00BA1869" w:rsidP="007A451A">
            <w:pPr>
              <w:pStyle w:val="AERbulletlistfirststyle"/>
              <w:numPr>
                <w:ilvl w:val="0"/>
                <w:numId w:val="0"/>
              </w:numPr>
              <w:rPr>
                <w:rFonts w:eastAsiaTheme="minorHAnsi"/>
                <w:sz w:val="22"/>
                <w:szCs w:val="22"/>
                <w:lang w:eastAsia="en-US"/>
              </w:rPr>
            </w:pPr>
            <w:r>
              <w:t>CEG stated</w:t>
            </w:r>
            <w:r w:rsidRPr="00BA1869">
              <w:t xml:space="preserve"> increases in the most recent 5 year data  reflected increases in the raw equity betas, decreases in gearing ratios of the remaining listed stocks (APA, DUE, SKI, AST) increase and an increase in the weighting of high-beta stocks (APA) in the value-weighted portfolios.</w:t>
            </w:r>
            <w:r w:rsidRPr="00BA1869">
              <w:rPr>
                <w:rStyle w:val="FootnoteReference"/>
              </w:rPr>
              <w:footnoteReference w:id="268"/>
            </w:r>
            <w:r w:rsidRPr="00BA1869">
              <w:t xml:space="preserve">  </w:t>
            </w:r>
          </w:p>
        </w:tc>
        <w:tc>
          <w:tcPr>
            <w:tcW w:w="0" w:type="auto"/>
            <w:vAlign w:val="top"/>
          </w:tcPr>
          <w:p w:rsidR="0060124E" w:rsidRPr="0060124E" w:rsidRDefault="0060124E" w:rsidP="0060124E">
            <w:pPr>
              <w:rPr>
                <w:rStyle w:val="AERtextsize8"/>
              </w:rPr>
            </w:pPr>
            <w:r w:rsidRPr="0060124E">
              <w:rPr>
                <w:rStyle w:val="AERtextsize8"/>
              </w:rPr>
              <w:t>Since the Guideline, some of the still-listed firms have undertaken a range of transactions (some of these transactions would be expected to increase their exposure to systematic risk from unregulated assets and/or assets that are different from the regulated services) that should not affect their systematic risk of supplying regulated services.</w:t>
            </w:r>
            <w:r w:rsidRPr="0060124E">
              <w:rPr>
                <w:rStyle w:val="FootnoteReference"/>
              </w:rPr>
              <w:footnoteReference w:id="269"/>
            </w:r>
            <w:r w:rsidRPr="0060124E">
              <w:rPr>
                <w:rStyle w:val="AERtextsize8"/>
              </w:rPr>
              <w:t xml:space="preserve"> Therefore it is not clear that CEG’s result, even if reflective of a true increase in the underlying beta of the sample, is indicative of a material change in the equity beta of a benchmark efficient entity in providing regulated services. </w:t>
            </w:r>
          </w:p>
          <w:p w:rsidR="00BA1869" w:rsidRPr="00BA1869" w:rsidRDefault="0060124E" w:rsidP="0060124E">
            <w:pPr>
              <w:rPr>
                <w:rStyle w:val="AERtextsize8"/>
              </w:rPr>
            </w:pPr>
            <w:r w:rsidRPr="0060124E">
              <w:rPr>
                <w:rStyle w:val="AERtextsize8"/>
              </w:rPr>
              <w:t>Partington and Satchell has also advised that there is overall only 'weak evidence of increased bea at the individual firm level based on last five years data set'.</w:t>
            </w:r>
            <w:r w:rsidRPr="0060124E">
              <w:rPr>
                <w:rStyle w:val="FootnoteReference"/>
              </w:rPr>
              <w:footnoteReference w:id="270"/>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BA1869">
            <w:r w:rsidRPr="003379AF">
              <w:t>The AER could set a lower return on equity by specifying an equity beta closer to 0.4 than 0.7, which would be within the AER’s range but lower than that set</w:t>
            </w:r>
            <w:r w:rsidRPr="00BA1869">
              <w:t xml:space="preserve"> by the AER to date.</w:t>
            </w:r>
            <w:r w:rsidRPr="00BA1869">
              <w:rPr>
                <w:rStyle w:val="FootnoteReference"/>
              </w:rPr>
              <w:footnoteReference w:id="271"/>
            </w:r>
            <w:r w:rsidRPr="00BA1869">
              <w:t xml:space="preserve">  </w:t>
            </w:r>
          </w:p>
        </w:tc>
        <w:tc>
          <w:tcPr>
            <w:tcW w:w="0" w:type="auto"/>
            <w:vAlign w:val="top"/>
          </w:tcPr>
          <w:p w:rsidR="00BA1869" w:rsidRPr="00BA1869" w:rsidRDefault="00BA1869" w:rsidP="00BA1869">
            <w:pPr>
              <w:rPr>
                <w:rStyle w:val="AERtextsize8"/>
              </w:rPr>
            </w:pPr>
            <w:r>
              <w:rPr>
                <w:rStyle w:val="AERtextsize8"/>
              </w:rPr>
              <w:t xml:space="preserve">As noted above, we apply the Guideline approach to setting the equity beta. </w:t>
            </w:r>
            <w:r w:rsidRPr="00BA1869">
              <w:rPr>
                <w:rStyle w:val="AERtextsize8"/>
              </w:rPr>
              <w:t xml:space="preserve">We outline our analysis and consideration of the relevant evidence in this chapter and do not only rely on one piece of material. </w:t>
            </w:r>
          </w:p>
          <w:p w:rsidR="00BA1869" w:rsidRPr="00BA1869" w:rsidRDefault="00BA1869" w:rsidP="00BA1869">
            <w:r>
              <w:rPr>
                <w:rStyle w:val="AERtextsize8"/>
              </w:rPr>
              <w:t xml:space="preserve">Our analysis of Australian empirical estimates indicates an empirical range of 0.4–0.7. And considerations of the theory of the Black CAPM and international empirical estimates lead us </w:t>
            </w:r>
            <w:r w:rsidRPr="00BA1869">
              <w:rPr>
                <w:rStyle w:val="AERtextsize8"/>
              </w:rPr>
              <w:t xml:space="preserve">to set a point estimate </w:t>
            </w:r>
            <w:r w:rsidR="00E94930">
              <w:rPr>
                <w:rStyle w:val="AERtextsize8"/>
              </w:rPr>
              <w:t>towards</w:t>
            </w:r>
            <w:r w:rsidRPr="00BA1869">
              <w:rPr>
                <w:rStyle w:val="AERtextsize8"/>
              </w:rPr>
              <w:t xml:space="preserve"> the top of our range of 0.7.  </w:t>
            </w:r>
          </w:p>
        </w:tc>
      </w:tr>
      <w:tr w:rsidR="00BA1869" w:rsidDel="00667282" w:rsidTr="002F5AB4">
        <w:tc>
          <w:tcPr>
            <w:tcW w:w="0" w:type="auto"/>
            <w:vAlign w:val="top"/>
          </w:tcPr>
          <w:p w:rsidR="00BA1869" w:rsidRPr="00BA1869" w:rsidDel="00667282" w:rsidRDefault="00BA1869" w:rsidP="00BA1869">
            <w:r w:rsidRPr="00742E6B">
              <w:rPr>
                <w:rStyle w:val="AERtextsize8"/>
              </w:rPr>
              <w:t xml:space="preserve">Henry’s (2014) paper commissioned by </w:t>
            </w:r>
            <w:r w:rsidR="00E94930">
              <w:rPr>
                <w:rStyle w:val="AERtextsize8"/>
              </w:rPr>
              <w:t xml:space="preserve">the </w:t>
            </w:r>
            <w:r w:rsidRPr="00742E6B">
              <w:rPr>
                <w:rStyle w:val="AERtextsize8"/>
              </w:rPr>
              <w:t>AER provide evidence that the AER should be applying an equity beta of 0.4 or lower. Of the nineteen calculations on which Henry (2014) based his recommended range on, most are at the lower end with fourteen calculations between 0.3 and 0.5.</w:t>
            </w:r>
            <w:r w:rsidRPr="00BA1869">
              <w:rPr>
                <w:rStyle w:val="FootnoteReference"/>
              </w:rPr>
              <w:footnoteReference w:id="272"/>
            </w:r>
          </w:p>
        </w:tc>
        <w:tc>
          <w:tcPr>
            <w:tcW w:w="0" w:type="auto"/>
            <w:vAlign w:val="top"/>
          </w:tcPr>
          <w:p w:rsidR="00BA1869" w:rsidRPr="00BA1869" w:rsidRDefault="00BA1869" w:rsidP="00BA1869">
            <w:r>
              <w:t xml:space="preserve">As noted above, </w:t>
            </w:r>
            <w:r w:rsidRPr="00BA1869">
              <w:t>we do not only use empirical Australian estimates to inform our equity beta decision. We consider all the relevant evidence and assign them roles following an assessment of their relative merits and suitability for our regulatory task.</w:t>
            </w:r>
            <w:r w:rsidRPr="00BA1869">
              <w:rPr>
                <w:rStyle w:val="FootnoteReference"/>
              </w:rPr>
              <w:footnoteReference w:id="273"/>
            </w:r>
            <w:r w:rsidRPr="00BA1869">
              <w:t xml:space="preserve"> </w:t>
            </w:r>
          </w:p>
          <w:p w:rsidR="00BA1869" w:rsidRPr="00BA1869" w:rsidDel="00667282" w:rsidRDefault="00BA1869" w:rsidP="00BA1869">
            <w:r>
              <w:t>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BA1869">
              <w:rPr>
                <w:rStyle w:val="FootnoteReference"/>
              </w:rPr>
              <w:footnoteReference w:id="274"/>
            </w:r>
            <w:r w:rsidRPr="00BA1869">
              <w:t xml:space="preserve">  </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BA1869">
            <w:r w:rsidRPr="007353C8">
              <w:rPr>
                <w:rStyle w:val="Strong"/>
              </w:rPr>
              <w:t>International empirical estimates</w:t>
            </w:r>
          </w:p>
        </w:tc>
        <w:tc>
          <w:tcPr>
            <w:tcW w:w="0" w:type="auto"/>
            <w:vAlign w:val="top"/>
          </w:tcPr>
          <w:p w:rsidR="00BA1869" w:rsidRPr="00BA79D8" w:rsidRDefault="00BA1869" w:rsidP="00BA1869"/>
        </w:tc>
      </w:tr>
      <w:tr w:rsidR="00BA1869" w:rsidTr="002F5AB4">
        <w:tc>
          <w:tcPr>
            <w:tcW w:w="0" w:type="auto"/>
          </w:tcPr>
          <w:p w:rsidR="00BA1869" w:rsidRPr="00BA1869" w:rsidRDefault="00BA1869" w:rsidP="00BA1869">
            <w:pPr>
              <w:rPr>
                <w:rStyle w:val="AERtextsize8"/>
              </w:rPr>
            </w:pPr>
            <w:r>
              <w:rPr>
                <w:rStyle w:val="AERtextsize8"/>
              </w:rPr>
              <w:t>Our analysis of international empirical estimates is incorrect</w:t>
            </w:r>
            <w:r w:rsidRPr="00BA1869">
              <w:rPr>
                <w:rStyle w:val="AERtextsize8"/>
              </w:rPr>
              <w:t xml:space="preserve"> because we do not consider the relative reliability of different studies</w:t>
            </w:r>
            <w:r w:rsidRPr="00BA1869">
              <w:rPr>
                <w:rStyle w:val="FootnoteReference"/>
              </w:rPr>
              <w:footnoteReference w:id="275"/>
            </w:r>
          </w:p>
        </w:tc>
        <w:tc>
          <w:tcPr>
            <w:tcW w:w="0" w:type="auto"/>
          </w:tcPr>
          <w:p w:rsidR="00BA1869" w:rsidRPr="00BA1869" w:rsidRDefault="00BA1869" w:rsidP="00BA1869">
            <w:pPr>
              <w:rPr>
                <w:rStyle w:val="AERtextsize8"/>
              </w:rPr>
            </w:pPr>
            <w:r w:rsidRPr="0084394E">
              <w:rPr>
                <w:rStyle w:val="AERtextsize8"/>
              </w:rPr>
              <w:t>The reports we review above are from reputable sources.</w:t>
            </w:r>
            <w:r w:rsidRPr="00BA1869">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 For more detail see section D.3 SAPN's final decision and section G.2 and G.4.2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The international empirical estimates we </w:t>
            </w:r>
            <w:r w:rsidRPr="00BA1869">
              <w:rPr>
                <w:rStyle w:val="AERtextsize8"/>
              </w:rPr>
              <w:t>consider (correctly analysed) are consistent with an equity beta estimate materially above 0.7</w:t>
            </w:r>
            <w:r w:rsidRPr="00BA1869">
              <w:rPr>
                <w:rStyle w:val="FootnoteReference"/>
              </w:rPr>
              <w:footnoteReference w:id="276"/>
            </w:r>
          </w:p>
        </w:tc>
        <w:tc>
          <w:tcPr>
            <w:tcW w:w="0" w:type="auto"/>
          </w:tcPr>
          <w:p w:rsidR="00BA1869" w:rsidRPr="00BA1869" w:rsidRDefault="00BA1869" w:rsidP="00BA1869">
            <w:pPr>
              <w:rPr>
                <w:rStyle w:val="AERtextsize8"/>
              </w:rPr>
            </w:pPr>
            <w:r w:rsidRPr="006A40BF">
              <w:rPr>
                <w:rStyle w:val="AERtextsize8"/>
              </w:rPr>
              <w:t xml:space="preserve">We do not agree with SFG's interpretation of the international evidence we </w:t>
            </w:r>
            <w:r w:rsidRPr="00BA1869">
              <w:rPr>
                <w:rStyle w:val="AERtextsize8"/>
              </w:rPr>
              <w:t>consider. We do not consider this evidence implies an equity beta estimate above 0.7 for the benchmark efficient entity. For more detail see section D.3 of Attachment 3 to SAPN's final decision and section G.3 of Attachment 3 in AusNet Services' final decision for its distribution services</w:t>
            </w:r>
          </w:p>
        </w:tc>
      </w:tr>
      <w:tr w:rsidR="00BA1869" w:rsidTr="002F5AB4">
        <w:tc>
          <w:tcPr>
            <w:tcW w:w="0" w:type="auto"/>
            <w:gridSpan w:val="2"/>
          </w:tcPr>
          <w:p w:rsidR="00BA1869" w:rsidRPr="00BA1869" w:rsidRDefault="00BA1869" w:rsidP="00BA1869">
            <w:pPr>
              <w:rPr>
                <w:rStyle w:val="Strong"/>
              </w:rPr>
            </w:pPr>
            <w:r w:rsidRPr="00835F59">
              <w:rPr>
                <w:rStyle w:val="Strong"/>
              </w:rPr>
              <w:t>Theoretical principles underpinning the Black CAPM</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W</w:t>
            </w:r>
            <w:r w:rsidRPr="00BA1869">
              <w:rPr>
                <w:rStyle w:val="AERtextsize8"/>
              </w:rPr>
              <w:t>e use the theory of the Black CAPM to apply a specific uplift to equity beta to correct for 'low beta bias'—however, the adjustment is insufficient to correct for this bias in the Sharpe-Lintner CAPM</w:t>
            </w:r>
            <w:r w:rsidRPr="00BA1869">
              <w:rPr>
                <w:rStyle w:val="FootnoteReference"/>
              </w:rPr>
              <w:footnoteReference w:id="277"/>
            </w:r>
          </w:p>
        </w:tc>
        <w:tc>
          <w:tcPr>
            <w:tcW w:w="0" w:type="auto"/>
          </w:tcPr>
          <w:p w:rsidR="00BA1869" w:rsidRPr="00BA1869" w:rsidRDefault="00BA1869" w:rsidP="00BA1869">
            <w:pPr>
              <w:rPr>
                <w:rStyle w:val="AERtextsize8"/>
              </w:rPr>
            </w:pPr>
            <w:r w:rsidRPr="006A40BF">
              <w:rPr>
                <w:rStyle w:val="AERtextsize8"/>
              </w:rPr>
              <w:t xml:space="preserve">We do not use the theory underlying the Black CAPM to apply a specific </w:t>
            </w:r>
            <w:r w:rsidRPr="00BA1869">
              <w:rPr>
                <w:rStyle w:val="AERtextsize8"/>
              </w:rPr>
              <w:t>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SAPN's final decision and section B.2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Pr>
                <w:rStyle w:val="AERtextsize8"/>
              </w:rPr>
              <w:t>Our use of the theory of the Black CAPM to inform the equity beta point estimate is arbitrary</w:t>
            </w:r>
            <w:r w:rsidRPr="00BA1869">
              <w:rPr>
                <w:rStyle w:val="AERtextsize8"/>
              </w:rPr>
              <w:t xml:space="preserve"> and/or convoluted.</w:t>
            </w:r>
            <w:r w:rsidRPr="00BA1869">
              <w:rPr>
                <w:rStyle w:val="FootnoteReference"/>
              </w:rPr>
              <w:footnoteReference w:id="278"/>
            </w:r>
            <w:r w:rsidRPr="00BA1869">
              <w:rPr>
                <w:rStyle w:val="AERtextsize8"/>
              </w:rPr>
              <w:t xml:space="preserve"> The correct use of the Black CAPM (under our foundation model approach) is to use it empirically—this results in an equity beta estimate materially higher than 0.7</w:t>
            </w:r>
            <w:r w:rsidRPr="00BA1869">
              <w:rPr>
                <w:rStyle w:val="FootnoteReference"/>
              </w:rPr>
              <w:footnoteReference w:id="279"/>
            </w:r>
          </w:p>
        </w:tc>
        <w:tc>
          <w:tcPr>
            <w:tcW w:w="0" w:type="auto"/>
          </w:tcPr>
          <w:p w:rsidR="00BA1869" w:rsidRPr="00BA1869" w:rsidRDefault="00BA1869" w:rsidP="00BA1869">
            <w:pPr>
              <w:rPr>
                <w:rStyle w:val="AERtextsize8"/>
              </w:rPr>
            </w:pPr>
            <w:r>
              <w:rPr>
                <w:rStyle w:val="AERtextsize8"/>
              </w:rPr>
              <w:t>We consider</w:t>
            </w:r>
            <w:r w:rsidRPr="00BA1869">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AusNet Services' final decision for its distribution services and this decision.</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Neither the</w:t>
            </w:r>
            <w:r w:rsidRPr="00BA1869">
              <w:rPr>
                <w:rStyle w:val="AERtextsize8"/>
              </w:rPr>
              <w:t xml:space="preserve"> theory nor empirical evidence from the Black CAPM should be used to inform the equity beta point estimate</w:t>
            </w:r>
            <w:r w:rsidRPr="00BA1869">
              <w:rPr>
                <w:rStyle w:val="FootnoteReference"/>
              </w:rPr>
              <w:footnoteReference w:id="280"/>
            </w:r>
          </w:p>
        </w:tc>
        <w:tc>
          <w:tcPr>
            <w:tcW w:w="0" w:type="auto"/>
          </w:tcPr>
          <w:p w:rsidR="00BA1869" w:rsidRPr="00BA1869" w:rsidRDefault="00BA1869" w:rsidP="00BA1869">
            <w:pPr>
              <w:rPr>
                <w:rStyle w:val="AERtextsize8"/>
              </w:rPr>
            </w:pPr>
            <w:r w:rsidRPr="00AC0ACE">
              <w:rPr>
                <w:rStyle w:val="AERtextsize8"/>
              </w:rPr>
              <w:t>We consider there are merits to the theoretical principles underpinning the Black CAPM</w:t>
            </w:r>
            <w:r w:rsidRPr="00BA1869">
              <w:rPr>
                <w:rStyle w:val="AERtextsize8"/>
              </w:rPr>
              <w:t xml:space="preserve"> (for example, it relaxes an assumption underlying the Sharpe-Lintner CAPM),</w:t>
            </w:r>
            <w:r w:rsidRPr="00BA1869">
              <w:rPr>
                <w:rStyle w:val="FootnoteReference"/>
              </w:rPr>
              <w:footnoteReference w:id="281"/>
            </w:r>
            <w:r w:rsidRPr="00BA1869">
              <w:rPr>
                <w:rStyle w:val="AERtextsize8"/>
              </w:rPr>
              <w:t xml:space="preserve"> and we have assessed this information against the criteria set out in the Guideline. We consider this theory can be useful in informing our equity beta point estimate. For more detail see section D.4 of Attachment 3 to SAPN's final decision and section G.1 of Attachment 3 in AusNet Services' final decision for its distribution services.  And section </w:t>
            </w:r>
            <w:r w:rsidRPr="00BA1869">
              <w:rPr>
                <w:rStyle w:val="AERtextsize8"/>
              </w:rPr>
              <w:fldChar w:fldCharType="begin"/>
            </w:r>
            <w:r w:rsidRPr="00BA1869">
              <w:rPr>
                <w:rStyle w:val="AERtextsize8"/>
              </w:rPr>
              <w:instrText xml:space="preserve"> REF _Ref448924785 \r \h </w:instrText>
            </w:r>
            <w:r w:rsidRPr="00BA1869">
              <w:rPr>
                <w:rStyle w:val="AERtextsize8"/>
              </w:rPr>
            </w:r>
            <w:r w:rsidRPr="00BA1869">
              <w:rPr>
                <w:rStyle w:val="AERtextsize8"/>
              </w:rPr>
              <w:fldChar w:fldCharType="separate"/>
            </w:r>
            <w:r w:rsidR="00C6448C">
              <w:rPr>
                <w:rStyle w:val="AERtextsize8"/>
              </w:rPr>
              <w:t>B.2.3</w:t>
            </w:r>
            <w:r w:rsidRPr="00BA1869">
              <w:rPr>
                <w:rStyle w:val="AERtextsize8"/>
              </w:rPr>
              <w:fldChar w:fldCharType="end"/>
            </w:r>
            <w:r w:rsidRPr="00BA1869">
              <w:rPr>
                <w:rStyle w:val="AERtextsize8"/>
              </w:rPr>
              <w:t xml:space="preserve"> of this decision. </w:t>
            </w:r>
          </w:p>
          <w:p w:rsidR="00BA1869" w:rsidRPr="00BA1869" w:rsidRDefault="00BA1869" w:rsidP="00BA1869">
            <w:pPr>
              <w:rPr>
                <w:rStyle w:val="AERtextsize8"/>
              </w:rPr>
            </w:pPr>
            <w:r>
              <w:rPr>
                <w:rStyle w:val="AERtextsize8"/>
              </w:rPr>
              <w:t xml:space="preserve">We </w:t>
            </w:r>
            <w:r w:rsidRPr="00BA1869">
              <w:rPr>
                <w:rStyle w:val="AERtextsize8"/>
              </w:rPr>
              <w:t>also note that Partington and Handley have both provided support for our foundation model approach.</w:t>
            </w:r>
            <w:r w:rsidRPr="00BA1869">
              <w:rPr>
                <w:rStyle w:val="FootnoteReference"/>
              </w:rPr>
              <w:footnoteReference w:id="282"/>
            </w:r>
            <w:r w:rsidRPr="00BA1869">
              <w:rPr>
                <w:rStyle w:val="AERtextsize8"/>
              </w:rPr>
              <w:t xml:space="preserve"> Our foundation model approach includes our use of the theory of the Black CAPM to inform the equity beta point estimate</w:t>
            </w:r>
          </w:p>
        </w:tc>
      </w:tr>
      <w:tr w:rsidR="00BA1869" w:rsidTr="002F5AB4">
        <w:tc>
          <w:tcPr>
            <w:tcW w:w="0" w:type="auto"/>
            <w:gridSpan w:val="2"/>
          </w:tcPr>
          <w:p w:rsidR="00BA1869" w:rsidRPr="00BA1869" w:rsidRDefault="00BA1869" w:rsidP="00BA1869">
            <w:pPr>
              <w:rPr>
                <w:rStyle w:val="AERtextsize8"/>
              </w:rPr>
            </w:pPr>
            <w:r w:rsidRPr="00835F59">
              <w:rPr>
                <w:rStyle w:val="Strong"/>
              </w:rPr>
              <w:t>Conceptual analysis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T</w:t>
            </w:r>
            <w:r w:rsidRPr="00BA1869">
              <w:rPr>
                <w:rStyle w:val="AERtextsize8"/>
              </w:rPr>
              <w:t>he reduction in systematic risk (specifically, demand risk) from transitioning to a revenue cap from a price cap should be reflected in the equity beta</w:t>
            </w:r>
            <w:r w:rsidRPr="00BA1869">
              <w:rPr>
                <w:rStyle w:val="FootnoteReference"/>
              </w:rPr>
              <w:footnoteReference w:id="283"/>
            </w:r>
            <w:r w:rsidRPr="00BA1869">
              <w:rPr>
                <w:rStyle w:val="AERtextsize8"/>
              </w:rPr>
              <w:t xml:space="preserve"> </w:t>
            </w:r>
            <w:r w:rsidRPr="00BA1869">
              <w:rPr>
                <w:rStyle w:val="FootnoteReference"/>
              </w:rPr>
              <w:footnoteReference w:id="284"/>
            </w:r>
          </w:p>
        </w:tc>
        <w:tc>
          <w:tcPr>
            <w:tcW w:w="0" w:type="auto"/>
          </w:tcPr>
          <w:p w:rsidR="00BA1869" w:rsidRPr="00BA1869" w:rsidRDefault="00BA1869" w:rsidP="005422DC">
            <w:pPr>
              <w:rPr>
                <w:rStyle w:val="AERtextsize8"/>
              </w:rPr>
            </w:pPr>
            <w:r>
              <w:rPr>
                <w:rStyle w:val="AERtextsize8"/>
              </w:rPr>
              <w:t>W</w:t>
            </w:r>
            <w:r w:rsidRPr="00BA1869">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BA1869">
              <w:rPr>
                <w:rStyle w:val="FootnoteReference"/>
              </w:rPr>
              <w:footnoteReference w:id="285"/>
            </w:r>
            <w:r w:rsidRPr="00BA1869">
              <w:t xml:space="preserve"> </w:t>
            </w:r>
          </w:p>
        </w:tc>
      </w:tr>
      <w:tr w:rsidR="00BA1869" w:rsidTr="002F5AB4">
        <w:tc>
          <w:tcPr>
            <w:tcW w:w="0" w:type="auto"/>
          </w:tcPr>
          <w:p w:rsidR="00BA1869" w:rsidRPr="00BA1869" w:rsidRDefault="00BA1869" w:rsidP="00BA1869">
            <w:pPr>
              <w:rPr>
                <w:rStyle w:val="AERtextsize8"/>
              </w:rPr>
            </w:pPr>
            <w:r>
              <w:rPr>
                <w:rStyle w:val="AERtextsize8"/>
              </w:rPr>
              <w:t xml:space="preserve">Our </w:t>
            </w:r>
            <w:r w:rsidRPr="00BA1869">
              <w:rPr>
                <w:rStyle w:val="AERtextsize8"/>
              </w:rPr>
              <w:t>assessment of financial risk and its impact on overall systematic risk is incorrect</w:t>
            </w:r>
            <w:r w:rsidRPr="00BA1869">
              <w:rPr>
                <w:rStyle w:val="FootnoteReference"/>
              </w:rPr>
              <w:footnoteReference w:id="286"/>
            </w:r>
          </w:p>
        </w:tc>
        <w:tc>
          <w:tcPr>
            <w:tcW w:w="0" w:type="auto"/>
          </w:tcPr>
          <w:p w:rsidR="00BA1869" w:rsidRPr="00BA1869" w:rsidRDefault="00BA1869" w:rsidP="00BA1869">
            <w:pPr>
              <w:rPr>
                <w:rStyle w:val="AERtextsize8"/>
              </w:rPr>
            </w:pPr>
            <w:r>
              <w:rPr>
                <w:rStyle w:val="AERtextsize8"/>
              </w:rPr>
              <w:t>We disagree. We</w:t>
            </w:r>
            <w:r w:rsidRPr="00BA1869">
              <w:t xml:space="preserve"> consider </w:t>
            </w:r>
            <w:r w:rsidRPr="00BA1869">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BA1869">
              <w:t xml:space="preserve"> However, </w:t>
            </w:r>
            <w:r w:rsidRPr="00BA1869">
              <w:rPr>
                <w:rStyle w:val="AERtextsize8"/>
              </w:rPr>
              <w:t>the exact relationship between financial risk and financial leverage is not straightforward.</w:t>
            </w:r>
          </w:p>
          <w:p w:rsidR="00BA1869" w:rsidRPr="00BA1869" w:rsidRDefault="00BA1869" w:rsidP="00BA1869">
            <w:pPr>
              <w:rPr>
                <w:rStyle w:val="AERtextsize8"/>
              </w:rPr>
            </w:pPr>
            <w:r>
              <w:rPr>
                <w:rStyle w:val="AERtextsize8"/>
              </w:rPr>
              <w:t xml:space="preserve">We consider our conceptual analysis </w:t>
            </w:r>
            <w:r w:rsidRPr="00BA1869">
              <w:rPr>
                <w:rStyle w:val="AERtextsize8"/>
              </w:rPr>
              <w:t>suggests the intrinsic business risk of a firm is the main driver of its systematic risk. We expect a business with a similar degree of risk as AusNet Services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AusNet Services to be below that of the market average firm. Our views are supported by</w:t>
            </w:r>
            <w:r w:rsidRPr="00BA1869">
              <w:t xml:space="preserve"> </w:t>
            </w:r>
            <w:r w:rsidRPr="00BA1869">
              <w:rPr>
                <w:rStyle w:val="AERtextsize8"/>
              </w:rPr>
              <w:t>McKenzie and Partington. For more detail see section D.1 of Attachment 3 to SAPN's final decision and section 3.4.1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W</w:t>
            </w:r>
            <w:r w:rsidRPr="00BA1869">
              <w:rPr>
                <w:rStyle w:val="AERtextsize8"/>
              </w:rPr>
              <w:t>e have misinterpreted the empirical evidence and expert reports we rely on (including Frontier Economics' 2013 report to the AER)</w:t>
            </w:r>
            <w:r w:rsidRPr="00BA1869">
              <w:rPr>
                <w:rStyle w:val="FootnoteReference"/>
              </w:rPr>
              <w:footnoteReference w:id="287"/>
            </w:r>
          </w:p>
        </w:tc>
        <w:tc>
          <w:tcPr>
            <w:tcW w:w="0" w:type="auto"/>
          </w:tcPr>
          <w:p w:rsidR="00BA1869" w:rsidRPr="00BA1869" w:rsidRDefault="00BA1869" w:rsidP="00BA1869">
            <w:pPr>
              <w:rPr>
                <w:rStyle w:val="AERtextsize8"/>
              </w:rPr>
            </w:pPr>
            <w:r>
              <w:rPr>
                <w:rStyle w:val="AERtextsize8"/>
              </w:rPr>
              <w:t>W</w:t>
            </w:r>
            <w:r w:rsidRPr="00BA1869">
              <w:rPr>
                <w:rStyle w:val="AERtextsize8"/>
              </w:rPr>
              <w:t>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SAPN's final decision and sections G.2 and G.3 of Attachment 3 in AusNet Services' final decision for its distribution services.</w:t>
            </w:r>
          </w:p>
        </w:tc>
      </w:tr>
      <w:tr w:rsidR="00BA1869" w:rsidTr="002F5AB4">
        <w:tc>
          <w:tcPr>
            <w:tcW w:w="0" w:type="auto"/>
          </w:tcPr>
          <w:p w:rsidR="00BA1869" w:rsidRPr="00BA1869" w:rsidRDefault="00BA1869" w:rsidP="00BA1869">
            <w:pPr>
              <w:rPr>
                <w:rStyle w:val="AERtextsize8"/>
              </w:rPr>
            </w:pPr>
            <w:r>
              <w:rPr>
                <w:rStyle w:val="AERtextsize8"/>
              </w:rPr>
              <w:t>Our conceptual analys</w:t>
            </w:r>
            <w:r w:rsidRPr="00BA1869">
              <w:rPr>
                <w:rStyle w:val="AERtextsize8"/>
              </w:rPr>
              <w:t>is is unclear and likely to be counterproductive to good regulatory decisions</w:t>
            </w:r>
            <w:r w:rsidRPr="00BA1869">
              <w:rPr>
                <w:rStyle w:val="FootnoteReference"/>
              </w:rPr>
              <w:footnoteReference w:id="288"/>
            </w:r>
          </w:p>
        </w:tc>
        <w:tc>
          <w:tcPr>
            <w:tcW w:w="0" w:type="auto"/>
          </w:tcPr>
          <w:p w:rsidR="00BA1869" w:rsidRPr="00BA1869" w:rsidRDefault="00BA1869" w:rsidP="00BA1869">
            <w:pPr>
              <w:rPr>
                <w:rStyle w:val="AERtextsize8"/>
              </w:rPr>
            </w:pPr>
            <w:r w:rsidRPr="00635805">
              <w:rPr>
                <w:rStyle w:val="AERtextsize8"/>
              </w:rPr>
              <w:t>We disagree with this view. Frontier's analysis appears to be based on a misunderstanding of the role of our conceptual analysis</w:t>
            </w:r>
            <w:r w:rsidRPr="00BA1869">
              <w:rPr>
                <w:rStyle w:val="AERtextsize8"/>
              </w:rPr>
              <w:t>. For more detail see section D.1.3 of Attachment 3 to SAPN's final decision and section 3.4.1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We have not adequately accounted for the recent risks arising from disruptive technologies</w:t>
            </w:r>
            <w:r w:rsidRPr="00BA1869">
              <w:rPr>
                <w:rStyle w:val="FootnoteReference"/>
              </w:rPr>
              <w:footnoteReference w:id="289"/>
            </w:r>
          </w:p>
        </w:tc>
        <w:tc>
          <w:tcPr>
            <w:tcW w:w="0" w:type="auto"/>
          </w:tcPr>
          <w:p w:rsidR="00BA1869" w:rsidRPr="00BA1869" w:rsidRDefault="00BA1869" w:rsidP="00BA1869">
            <w:pPr>
              <w:rPr>
                <w:rStyle w:val="AERtextsize8"/>
              </w:rPr>
            </w:pPr>
            <w:r w:rsidRPr="00CB54D7">
              <w:rPr>
                <w:rStyle w:val="AERtextsize8"/>
              </w:rPr>
              <w:t>We do not consider the risk arising from disruptive technologies can be reasonably classified as systematic risk</w:t>
            </w:r>
            <w:r w:rsidRPr="00BA1869">
              <w:rPr>
                <w:rStyle w:val="AERtextsize8"/>
              </w:rPr>
              <w:t>, and so should not be compensated for in the return on equity. For more detail see section D.1.4 of Attachment 3 to SAPN's final decision and section 3.4.1 of Attachment 3 in AusNet Services' final decision for its distribution services.</w:t>
            </w:r>
          </w:p>
        </w:tc>
      </w:tr>
      <w:tr w:rsidR="00BA1869" w:rsidTr="002F5AB4">
        <w:tc>
          <w:tcPr>
            <w:tcW w:w="0" w:type="auto"/>
          </w:tcPr>
          <w:p w:rsidR="00BA1869" w:rsidRPr="00BA1869" w:rsidDel="00EA261B" w:rsidRDefault="00BA1869" w:rsidP="00BA1869">
            <w:pPr>
              <w:rPr>
                <w:rStyle w:val="AERtextsize8"/>
              </w:rPr>
            </w:pPr>
            <w:r>
              <w:t xml:space="preserve">The equity beta used by TasNetworks in its cost of equity calculation </w:t>
            </w:r>
            <w:r w:rsidRPr="00BA1869">
              <w:t>should reflect the lower risk produced by being able to transfer risk to customers for pass through events.</w:t>
            </w:r>
            <w:r w:rsidRPr="00BA1869">
              <w:rPr>
                <w:rStyle w:val="FootnoteReference"/>
              </w:rPr>
              <w:footnoteReference w:id="290"/>
            </w:r>
          </w:p>
        </w:tc>
        <w:tc>
          <w:tcPr>
            <w:tcW w:w="0" w:type="auto"/>
          </w:tcPr>
          <w:p w:rsidR="00BA1869" w:rsidRPr="00BA1869" w:rsidDel="00EA261B" w:rsidRDefault="00BA1869" w:rsidP="00BA1869">
            <w:pPr>
              <w:rPr>
                <w:rStyle w:val="AERtextsize8"/>
              </w:rPr>
            </w:pPr>
            <w:r w:rsidRPr="007D21C9">
              <w:t>In determining the equity beta, we focus on risks that are compensated through the return on equity.</w:t>
            </w:r>
            <w:r w:rsidRPr="00BA1869">
              <w:t xml:space="preserve"> </w:t>
            </w:r>
            <w:r w:rsidRPr="00BA1869">
              <w:rPr>
                <w:rStyle w:val="AERtextsize8"/>
              </w:rPr>
              <w:t xml:space="preserve">We note </w:t>
            </w:r>
            <w:r w:rsidRPr="00BA1869">
              <w:t xml:space="preserve">cost pass throughs </w:t>
            </w:r>
            <w:r w:rsidR="005422DC">
              <w:t xml:space="preserve">typically </w:t>
            </w:r>
            <w:r w:rsidRPr="00BA1869">
              <w:t>relate to unsystematic risks such as industry-specific tax changes or geographic-specific natural disasters that are not compensated through the rate of return.</w:t>
            </w:r>
            <w:r w:rsidRPr="00BA1869">
              <w:rPr>
                <w:rStyle w:val="FootnoteReference"/>
              </w:rPr>
              <w:footnoteReference w:id="291"/>
            </w:r>
            <w:r w:rsidRPr="00BA1869">
              <w:t xml:space="preserve"> </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gridSpan w:val="2"/>
          </w:tcPr>
          <w:p w:rsidR="00BA1869" w:rsidRPr="00BA1869" w:rsidRDefault="00BA1869" w:rsidP="00BA1869">
            <w:pPr>
              <w:rPr>
                <w:rStyle w:val="AERtextsize8"/>
              </w:rPr>
            </w:pPr>
            <w:r w:rsidRPr="00835F59">
              <w:rPr>
                <w:rStyle w:val="Strong"/>
              </w:rPr>
              <w:t>Other</w:t>
            </w:r>
          </w:p>
        </w:tc>
      </w:tr>
      <w:tr w:rsidR="00BA1869" w:rsidTr="002F5AB4">
        <w:tc>
          <w:tcPr>
            <w:tcW w:w="0" w:type="auto"/>
          </w:tcPr>
          <w:p w:rsidR="00BA1869" w:rsidRPr="00BA1869" w:rsidDel="00EA261B" w:rsidRDefault="00BA1869" w:rsidP="00BA1869">
            <w:pPr>
              <w:rPr>
                <w:rStyle w:val="AERtextsize8"/>
              </w:rPr>
            </w:pPr>
            <w:r>
              <w:rPr>
                <w:rStyle w:val="AERtextsize8"/>
              </w:rPr>
              <w:t xml:space="preserve">The AER has been conservative with regard to setting the equity beta and it should set </w:t>
            </w:r>
            <w:r w:rsidRPr="00BA1869">
              <w:rPr>
                <w:rStyle w:val="AERtextsize8"/>
              </w:rPr>
              <w:t>the equity beta towards the lower end of its range.</w:t>
            </w:r>
            <w:r w:rsidRPr="00BA1869">
              <w:rPr>
                <w:rStyle w:val="FootnoteReference"/>
              </w:rPr>
              <w:t xml:space="preserve"> </w:t>
            </w:r>
            <w:r w:rsidRPr="00BA1869">
              <w:rPr>
                <w:rStyle w:val="FootnoteReference"/>
              </w:rPr>
              <w:footnoteReference w:id="292"/>
            </w:r>
            <w:r w:rsidRPr="00BA1869">
              <w:t xml:space="preserve"> </w:t>
            </w:r>
          </w:p>
        </w:tc>
        <w:tc>
          <w:tcPr>
            <w:tcW w:w="0" w:type="auto"/>
          </w:tcPr>
          <w:p w:rsidR="00BA1869" w:rsidRPr="00BA1869" w:rsidRDefault="00BA1869" w:rsidP="00BA1869">
            <w:r>
              <w:t xml:space="preserve">We have considered this submission from stakeholders. However this seems to focus on only one source of the relevant evidence we consider: the empirical 2014 study by </w:t>
            </w:r>
            <w:r w:rsidRPr="00BA1869">
              <w:t>Henry. Our consideration of the relevant evidence for the equity beta is based on all the relevant information identified in the Guideline following an assessment of their relative merits and suitability for our regulatory task: conceptual analysis, Australian empirical estimates, international empirical estimates and theory of the Black CAPM.</w:t>
            </w:r>
            <w:r w:rsidRPr="00BA1869">
              <w:rPr>
                <w:rStyle w:val="FootnoteReference"/>
              </w:rPr>
              <w:footnoteReference w:id="293"/>
            </w:r>
          </w:p>
          <w:p w:rsidR="00BA1869" w:rsidRPr="00BA1869" w:rsidRDefault="00BA1869" w:rsidP="00BA1869">
            <w:r>
              <w:t>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BA1869">
              <w:rPr>
                <w:rStyle w:val="FootnoteReference"/>
              </w:rPr>
              <w:footnoteReference w:id="294"/>
            </w:r>
            <w:r w:rsidRPr="00BA1869">
              <w:t xml:space="preserve">  </w:t>
            </w:r>
          </w:p>
          <w:p w:rsidR="00BA1869" w:rsidRPr="00BA1869" w:rsidDel="00EA261B" w:rsidRDefault="00BA1869" w:rsidP="00BA1869">
            <w:pPr>
              <w:rPr>
                <w:rStyle w:val="AERtextsize8"/>
              </w:rPr>
            </w:pPr>
            <w:r>
              <w:t>We consider our approach and estimate contributes to the ARORO and this has been upheld by the Tribunal.</w:t>
            </w:r>
            <w:r w:rsidRPr="00BA1869">
              <w:rPr>
                <w:rStyle w:val="FootnoteReference"/>
              </w:rPr>
              <w:footnoteReference w:id="295"/>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Del="00EA261B" w:rsidRDefault="00BA1869" w:rsidP="00BA1869">
            <w:pPr>
              <w:rPr>
                <w:rStyle w:val="AERtextsize8"/>
              </w:rPr>
            </w:pPr>
            <w:r w:rsidRPr="00742E6B">
              <w:rPr>
                <w:rStyle w:val="AERtextsize8"/>
              </w:rPr>
              <w:t xml:space="preserve">The AER has not provided any substantive evidence that supports its decision to apply an equity beta significantly higher than Henry (2014) </w:t>
            </w:r>
            <w:r w:rsidRPr="00BA1869">
              <w:rPr>
                <w:rStyle w:val="AERtextsize8"/>
              </w:rPr>
              <w:t>estimate of 0.4.</w:t>
            </w:r>
            <w:r w:rsidRPr="00BA1869">
              <w:rPr>
                <w:rStyle w:val="FootnoteReference"/>
              </w:rPr>
              <w:footnoteReference w:id="296"/>
            </w:r>
            <w:r w:rsidRPr="00BA1869">
              <w:rPr>
                <w:rStyle w:val="Strong"/>
              </w:rPr>
              <w:t xml:space="preserve"> </w:t>
            </w:r>
          </w:p>
        </w:tc>
        <w:tc>
          <w:tcPr>
            <w:tcW w:w="0" w:type="auto"/>
          </w:tcPr>
          <w:p w:rsidR="00BA1869" w:rsidRPr="00BA1869" w:rsidRDefault="00BA1869" w:rsidP="00BA1869">
            <w:pPr>
              <w:rPr>
                <w:rStyle w:val="AERtextsize8"/>
              </w:rPr>
            </w:pPr>
            <w:r>
              <w:rPr>
                <w:rStyle w:val="AERtextsize8"/>
              </w:rPr>
              <w:t xml:space="preserve">As noted above, we apply the Guideline approach to setting the equity beta. </w:t>
            </w:r>
            <w:r w:rsidRPr="00BA1869">
              <w:rPr>
                <w:rStyle w:val="AERtextsize8"/>
              </w:rPr>
              <w:t xml:space="preserve">We outline our analysis and consideration of the relevant evidence in this chapter and do not only rely on one piece of material. </w:t>
            </w:r>
          </w:p>
          <w:p w:rsidR="00BA1869" w:rsidRPr="00BA1869" w:rsidDel="00EA261B" w:rsidRDefault="00BA1869" w:rsidP="00BA1869">
            <w:pPr>
              <w:rPr>
                <w:rStyle w:val="AERtextsize8"/>
              </w:rPr>
            </w:pPr>
            <w:r>
              <w:rPr>
                <w:rStyle w:val="AERtextsize8"/>
              </w:rPr>
              <w:t xml:space="preserve">Our analysis of Australian empirical estimates indicates an empirical range of 0.4–0.7. And considerations of the theory of the Black CAPM and international empirical estimates lead us </w:t>
            </w:r>
            <w:r w:rsidRPr="00BA1869">
              <w:rPr>
                <w:rStyle w:val="AERtextsize8"/>
              </w:rPr>
              <w:t xml:space="preserve">to set a point estimate </w:t>
            </w:r>
            <w:r w:rsidR="005422DC">
              <w:rPr>
                <w:rStyle w:val="AERtextsize8"/>
              </w:rPr>
              <w:t>towards</w:t>
            </w:r>
            <w:r w:rsidRPr="00BA1869">
              <w:rPr>
                <w:rStyle w:val="AERtextsize8"/>
              </w:rPr>
              <w:t xml:space="preserve"> the top of our range of 0.7.  </w:t>
            </w:r>
          </w:p>
        </w:tc>
      </w:tr>
      <w:tr w:rsidR="00BA1869" w:rsidTr="002F5AB4">
        <w:tc>
          <w:tcPr>
            <w:tcW w:w="0" w:type="auto"/>
          </w:tcPr>
          <w:p w:rsidR="00BA1869" w:rsidRPr="00BA1869" w:rsidDel="00EA261B" w:rsidRDefault="00BA1869" w:rsidP="00BA1869">
            <w:pPr>
              <w:rPr>
                <w:rStyle w:val="AERtextsize8"/>
              </w:rPr>
            </w:pPr>
            <w:r w:rsidRPr="00742E6B">
              <w:rPr>
                <w:rStyle w:val="AERtextsize8"/>
              </w:rPr>
              <w:t>The AER needs to have greater regard to stakeholders critiques of its equity beta estimation approach and to apply an equity beta at the lower end of the range (i.e. 0.4 or lower).</w:t>
            </w:r>
            <w:r w:rsidRPr="00BA1869">
              <w:rPr>
                <w:rStyle w:val="FootnoteReference"/>
              </w:rPr>
              <w:footnoteReference w:id="297"/>
            </w:r>
          </w:p>
        </w:tc>
        <w:tc>
          <w:tcPr>
            <w:tcW w:w="0" w:type="auto"/>
          </w:tcPr>
          <w:p w:rsidR="00BA1869" w:rsidRPr="00BA1869" w:rsidDel="00EA261B" w:rsidRDefault="00BA1869" w:rsidP="00BA1869">
            <w:pPr>
              <w:rPr>
                <w:rStyle w:val="AERtextsize8"/>
              </w:rPr>
            </w:pPr>
            <w:r>
              <w:rPr>
                <w:rStyle w:val="AERtextsize8"/>
              </w:rPr>
              <w:t xml:space="preserve">We </w:t>
            </w:r>
            <w:r w:rsidRPr="00BA1869">
              <w:rPr>
                <w:rStyle w:val="AERtextsize8"/>
              </w:rPr>
              <w:t xml:space="preserve">consider carefully all submissions to our regulatory processes. We assess them based on their merits like all materials submitted to us.  </w:t>
            </w:r>
          </w:p>
        </w:tc>
      </w:tr>
    </w:tbl>
    <w:p w:rsidR="001D4715" w:rsidRDefault="001D4715" w:rsidP="001D4715">
      <w:pPr>
        <w:pStyle w:val="AERtablesource"/>
      </w:pPr>
      <w:r>
        <w:t>Source:</w:t>
      </w:r>
      <w:r>
        <w:tab/>
        <w:t>AER analysis; numerous stakeholder submissions.</w:t>
      </w:r>
    </w:p>
    <w:p w:rsidR="001D4715" w:rsidRPr="00A42F74" w:rsidRDefault="001D4715" w:rsidP="00F07C14">
      <w:pPr>
        <w:pStyle w:val="HeadingBoldItalic"/>
        <w:rPr>
          <w:rStyle w:val="AERtextorange"/>
          <w:rFonts w:eastAsia="Calibri" w:cs="Times New Roman"/>
          <w:b w:val="0"/>
          <w:bCs w:val="0"/>
          <w:color w:val="51626F"/>
          <w:sz w:val="16"/>
          <w:szCs w:val="20"/>
          <w:lang w:eastAsia="en-AU"/>
        </w:rPr>
      </w:pPr>
      <w:r w:rsidRPr="00A42F74">
        <w:rPr>
          <w:rStyle w:val="AERtextorange"/>
          <w:color w:val="51626F"/>
        </w:rPr>
        <w:t>Estimating the market risk premium</w:t>
      </w:r>
    </w:p>
    <w:p w:rsidR="00772B77" w:rsidRDefault="00772B77" w:rsidP="00772B77">
      <w:r>
        <w:t>Our Guideline, developed after extensive consultation with stakeholders, sets out our preferred approach to estimate the market risk premium. We have consistently applied this approach since publication of the Guideline in 2013 which was upheld by the Tribunal in its decision for AusGrid.</w:t>
      </w:r>
      <w:r>
        <w:rPr>
          <w:rStyle w:val="FootnoteReference"/>
        </w:rPr>
        <w:footnoteReference w:id="298"/>
      </w:r>
      <w:r>
        <w:t xml:space="preserve"> We also note the Tribunal upheld our use of and decision on the various relevant materials we relied upon in making our estimates.</w:t>
      </w:r>
      <w:r>
        <w:rPr>
          <w:rStyle w:val="FootnoteReference"/>
        </w:rPr>
        <w:footnoteReference w:id="299"/>
      </w:r>
      <w:r>
        <w:t xml:space="preserve"> </w:t>
      </w:r>
    </w:p>
    <w:p w:rsidR="00EC3862" w:rsidRDefault="00EC3862" w:rsidP="00772B77">
      <w:r>
        <w:t>We accept TasNetworks' proposal to adopt a market risk premium of 6.5 per cent based on the Guideline approach.</w:t>
      </w:r>
      <w:r>
        <w:rPr>
          <w:rStyle w:val="FootnoteReference"/>
        </w:rPr>
        <w:footnoteReference w:id="300"/>
      </w:r>
    </w:p>
    <w:p w:rsidR="00772B77" w:rsidRDefault="00772B77" w:rsidP="00A164C0">
      <w:pPr>
        <w:pStyle w:val="AERbulletlistfirststyle"/>
        <w:numPr>
          <w:ilvl w:val="0"/>
          <w:numId w:val="0"/>
        </w:numPr>
      </w:pPr>
      <w:r>
        <w:t xml:space="preserve">We have considered </w:t>
      </w:r>
      <w:r w:rsidR="002106AB">
        <w:t>AusNet Services'</w:t>
      </w:r>
      <w:r>
        <w:t xml:space="preserve"> proposal to depart from the Guideline when estimating the market risk premium. </w:t>
      </w:r>
      <w:r w:rsidR="006E7560">
        <w:rPr>
          <w:rStyle w:val="AERbody"/>
        </w:rPr>
        <w:t xml:space="preserve">We also note that AusNet Services' proposal </w:t>
      </w:r>
      <w:r w:rsidR="006E7560">
        <w:t>is</w:t>
      </w:r>
      <w:r w:rsidR="006E7560" w:rsidRPr="00772B77">
        <w:t xml:space="preserve"> similar</w:t>
      </w:r>
      <w:r w:rsidR="006E7560">
        <w:t xml:space="preserve"> in some respects</w:t>
      </w:r>
      <w:r w:rsidR="006E7560" w:rsidRPr="00772B77">
        <w:t xml:space="preserve"> to those submitted previously by other service providers which we have previously rejected. For example, </w:t>
      </w:r>
      <w:r w:rsidR="006E7560">
        <w:t>AusNet</w:t>
      </w:r>
      <w:r w:rsidR="006E7560" w:rsidRPr="00772B77">
        <w:t xml:space="preserve"> propose</w:t>
      </w:r>
      <w:r w:rsidR="006E7560">
        <w:t>s</w:t>
      </w:r>
      <w:r w:rsidR="006E7560" w:rsidRPr="00772B77">
        <w:t xml:space="preserve"> a higher market risk premium by assigning more weight to dividend growth model estimates of the market risk premium</w:t>
      </w:r>
      <w:r w:rsidR="006E7560">
        <w:t xml:space="preserve"> than we consider appropriate</w:t>
      </w:r>
      <w:r w:rsidR="006E7560" w:rsidRPr="00772B77">
        <w:t>.</w:t>
      </w:r>
      <w:r w:rsidR="006E7560" w:rsidRPr="00772B77">
        <w:rPr>
          <w:rStyle w:val="FootnoteReference"/>
        </w:rPr>
        <w:footnoteReference w:id="301"/>
      </w:r>
      <w:r w:rsidR="006E7560" w:rsidRPr="00772B77">
        <w:t xml:space="preserve"> </w:t>
      </w:r>
    </w:p>
    <w:p w:rsidR="00772B77" w:rsidRDefault="00772B77" w:rsidP="00772B77">
      <w:r>
        <w:t xml:space="preserve">Additional material, that has not been considered by us in our previous determinations has, however, been submitted by stakeholders through the consultation process for making this decision. We have taken all of the relevant information obtained through the determination process into account in making our decision. </w:t>
      </w:r>
      <w:r w:rsidRPr="00BF2229">
        <w:t xml:space="preserve">Our estimate of the prevailing market risk premium for this decision is 6.5 per cent. </w:t>
      </w:r>
      <w:r>
        <w:t>We have applied the approach set out in the Guideline to</w:t>
      </w:r>
      <w:r w:rsidR="00CE7579">
        <w:t xml:space="preserve"> derive</w:t>
      </w:r>
      <w:r>
        <w:t xml:space="preserve"> that estimate. </w:t>
      </w:r>
      <w:r w:rsidRPr="00BF2229">
        <w:t>This is a forward-looking estimate of the risk premium – the</w:t>
      </w:r>
      <w:r>
        <w:t xml:space="preserve"> derived market</w:t>
      </w:r>
      <w:r w:rsidRPr="00BF2229">
        <w:t xml:space="preserve"> return above the risk free rate – on the market portfolio required by investors with a ten-year investment horizon. This is in line with the definition stated in the 2013 Guideline.</w:t>
      </w:r>
    </w:p>
    <w:p w:rsidR="00772B77" w:rsidRDefault="00772B77" w:rsidP="00772B77">
      <w:r>
        <w:t>Having considered all the relevant material before us we do not consider there is satisfactory evidence to warrant departure from the Guideline approach and our 6.5 per cent point estimate. For example, the conditioning variables indicate there has not been a material change in market conditions to warrant adjusting the market risk premium.</w:t>
      </w:r>
      <w:r>
        <w:rPr>
          <w:rStyle w:val="FootnoteReference"/>
        </w:rPr>
        <w:footnoteReference w:id="302"/>
      </w:r>
      <w:r>
        <w:t xml:space="preserve"> We consider that the Guideline approach will best contribute to achieving the rate of return objective. Our reasons are set out below.</w:t>
      </w:r>
    </w:p>
    <w:p w:rsidR="00772B77" w:rsidRPr="00BF2229" w:rsidRDefault="00772B77" w:rsidP="00772B77">
      <w:r w:rsidRPr="00BF2229">
        <w:t>We consider 6.5 per cent to be the best estimate of the market risk premium to contribute to the achievement of the ARORO because:</w:t>
      </w:r>
    </w:p>
    <w:p w:rsidR="00772B77" w:rsidRPr="00BF2229" w:rsidRDefault="00772B77" w:rsidP="00772B77">
      <w:pPr>
        <w:pStyle w:val="AERbulletlistfirststyle"/>
      </w:pPr>
      <w:r w:rsidRPr="00BF2229">
        <w:t>It is supported by our consideration of all relevant material submitted to us (following consideration and scrutiny of their relative merits)</w:t>
      </w:r>
    </w:p>
    <w:p w:rsidR="00772B77" w:rsidRPr="00BF2229" w:rsidRDefault="00772B77" w:rsidP="00772B77">
      <w:pPr>
        <w:pStyle w:val="AERbulletlistfirststyle"/>
      </w:pPr>
      <w:r w:rsidRPr="00BF2229">
        <w:t>It is corroborated and verified by our cross-checks on the overall return on equity and equity risk premium. This further supports our estimate of the equity risk premium (of which the market risk premium is a component)</w:t>
      </w:r>
    </w:p>
    <w:p w:rsidR="00E06308" w:rsidRPr="00BF2229" w:rsidRDefault="00772B77" w:rsidP="00772B77">
      <w:pPr>
        <w:pStyle w:val="AERbulletlistfirststyle"/>
      </w:pPr>
      <w:r w:rsidRPr="00BF2229">
        <w:t xml:space="preserve">It provides a balanced outcome </w:t>
      </w:r>
      <w:r w:rsidR="00BA4C69">
        <w:t>taking account of</w:t>
      </w:r>
      <w:r w:rsidR="00BA4C69" w:rsidRPr="00BF2229">
        <w:t xml:space="preserve"> </w:t>
      </w:r>
      <w:r w:rsidRPr="00BF2229">
        <w:t xml:space="preserve">submissions </w:t>
      </w:r>
      <w:r w:rsidR="007A451A">
        <w:t>f</w:t>
      </w:r>
      <w:r w:rsidR="00BA4C69">
        <w:t>rom</w:t>
      </w:r>
      <w:r w:rsidRPr="00BF2229">
        <w:t xml:space="preserve"> service providers and other stakeholders.</w:t>
      </w:r>
    </w:p>
    <w:p w:rsidR="00E06308" w:rsidRPr="006051BD" w:rsidRDefault="00772B77" w:rsidP="00A164C0">
      <w:pPr>
        <w:pStyle w:val="AERbulletlistfirststyle"/>
        <w:numPr>
          <w:ilvl w:val="0"/>
          <w:numId w:val="0"/>
        </w:numPr>
      </w:pPr>
      <w:r w:rsidRPr="00BF2229">
        <w:t xml:space="preserve">The next figure shows the market risk premium estimates from the relevant material that we have used to inform our decision. These estimates range from a low of </w:t>
      </w:r>
      <w:r w:rsidR="00D72913">
        <w:rPr>
          <w:rStyle w:val="AERbody"/>
        </w:rPr>
        <w:t>5.1</w:t>
      </w:r>
      <w:r w:rsidRPr="00BF2229">
        <w:t xml:space="preserve"> percent to a high of </w:t>
      </w:r>
      <w:r w:rsidR="00F11681">
        <w:t>7.72</w:t>
      </w:r>
      <w:r w:rsidRPr="00BF2229">
        <w:t xml:space="preserve"> per cent.</w:t>
      </w:r>
    </w:p>
    <w:p w:rsidR="00772B77" w:rsidRDefault="00772B77" w:rsidP="006E5878">
      <w:pPr>
        <w:pStyle w:val="Caption"/>
      </w:pPr>
      <w:bookmarkStart w:id="64" w:name="_Ref446266907"/>
      <w:bookmarkStart w:id="65" w:name="_Ref417222210"/>
      <w:r w:rsidRPr="00BF2229">
        <w:t xml:space="preserve">Figure </w:t>
      </w:r>
      <w:fldSimple w:instr=" STYLEREF 1 \s ">
        <w:r w:rsidR="00C6448C">
          <w:rPr>
            <w:noProof/>
          </w:rPr>
          <w:t>3</w:t>
        </w:r>
      </w:fldSimple>
      <w:r w:rsidR="00882F3D">
        <w:noBreakHyphen/>
      </w:r>
      <w:fldSimple w:instr=" SEQ Figure \* ARABIC \s 1 ">
        <w:r w:rsidR="00C6448C">
          <w:rPr>
            <w:noProof/>
          </w:rPr>
          <w:t>4</w:t>
        </w:r>
      </w:fldSimple>
      <w:bookmarkEnd w:id="64"/>
      <w:r w:rsidRPr="00BF2229">
        <w:tab/>
        <w:t xml:space="preserve">Comparison of estimates of the market risk premium </w:t>
      </w:r>
      <w:bookmarkEnd w:id="65"/>
    </w:p>
    <w:p w:rsidR="00704113" w:rsidRDefault="00664144" w:rsidP="00772B77">
      <w:r w:rsidRPr="00664144">
        <w:rPr>
          <w:noProof/>
          <w:lang w:eastAsia="en-AU"/>
        </w:rPr>
        <w:drawing>
          <wp:inline distT="0" distB="0" distL="0" distR="0" wp14:anchorId="056A3C05" wp14:editId="578D3447">
            <wp:extent cx="5382895" cy="3042831"/>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3042831"/>
                    </a:xfrm>
                    <a:prstGeom prst="rect">
                      <a:avLst/>
                    </a:prstGeom>
                  </pic:spPr>
                </pic:pic>
              </a:graphicData>
            </a:graphic>
          </wp:inline>
        </w:drawing>
      </w:r>
    </w:p>
    <w:p w:rsidR="00772B77" w:rsidRDefault="00772B77" w:rsidP="00772B77">
      <w:pPr>
        <w:pStyle w:val="AERtablesource"/>
      </w:pPr>
      <w:r>
        <w:t>Source: AER analysis</w:t>
      </w:r>
    </w:p>
    <w:p w:rsidR="00772B77" w:rsidRPr="00772B77" w:rsidRDefault="00772B77" w:rsidP="00BA392B">
      <w:pPr>
        <w:pStyle w:val="AERtablesource"/>
      </w:pPr>
      <w:r>
        <w:t>Note:</w:t>
      </w:r>
      <w:r w:rsidRPr="00772B77">
        <w:t xml:space="preserve"> </w:t>
      </w:r>
      <w:r w:rsidR="00D72913">
        <w:tab/>
      </w:r>
      <w:r w:rsidRPr="00772B77">
        <w:t>The range of regulator's decisions was formed from data from other regulator's most recent decisions. The Top of the range (7.</w:t>
      </w:r>
      <w:r w:rsidR="00FB58FE">
        <w:t>7</w:t>
      </w:r>
      <w:r w:rsidRPr="00772B77">
        <w:t>5 per cent) is from IPART and the bottom of the range from ESCV and ESCOSA</w:t>
      </w:r>
      <w:r w:rsidRPr="00772B77">
        <w:rPr>
          <w:rStyle w:val="FootnoteReference"/>
        </w:rPr>
        <w:footnoteReference w:id="303"/>
      </w:r>
      <w:r w:rsidRPr="00772B77">
        <w:t xml:space="preserve">. The stakeholder submissions range is intended to reflect the views of consumer groups and those who use/engage with the energy network or pipeline, and as such it does not include submissions from service providers. The bottom and top of the stakeholder range comes from the </w:t>
      </w:r>
      <w:r w:rsidR="0056513F">
        <w:t>Consumer Challenger Panel subpanel 4 (CCP4 (Hugh Grant)), CCP5, CCP4 and Queensland Farmers' Federation</w:t>
      </w:r>
      <w:r w:rsidRPr="00772B77">
        <w:t>.</w:t>
      </w:r>
      <w:r w:rsidRPr="00772B77">
        <w:rPr>
          <w:rStyle w:val="FootnoteReference"/>
        </w:rPr>
        <w:footnoteReference w:id="304"/>
      </w:r>
      <w:r w:rsidRPr="00772B77">
        <w:t xml:space="preserve"> The bottom and top of the service provider proposed range comes from submissions by </w:t>
      </w:r>
      <w:r w:rsidR="00BA392B" w:rsidRPr="00772B77">
        <w:t>TasNetworks and Powerlink</w:t>
      </w:r>
      <w:r w:rsidR="00BA392B">
        <w:t>, and</w:t>
      </w:r>
      <w:r w:rsidR="00BA392B" w:rsidRPr="00BA392B">
        <w:t xml:space="preserve"> </w:t>
      </w:r>
      <w:r w:rsidRPr="00772B77">
        <w:t>AusNet</w:t>
      </w:r>
      <w:r w:rsidR="00475EF7">
        <w:t>.</w:t>
      </w:r>
      <w:r w:rsidRPr="00772B77">
        <w:rPr>
          <w:rStyle w:val="FootnoteReference"/>
        </w:rPr>
        <w:footnoteReference w:id="305"/>
      </w:r>
    </w:p>
    <w:p w:rsidR="00772B77" w:rsidRPr="00BF2229" w:rsidRDefault="00772B77" w:rsidP="00772B77">
      <w:r w:rsidRPr="00BF2229">
        <w:t>We derive our point estimate from within this range by considering the relative merits of all of the relevant material. The application of our approach is set out as follows</w:t>
      </w:r>
      <w:r w:rsidR="00E06308">
        <w:t>:</w:t>
      </w:r>
    </w:p>
    <w:p w:rsidR="00772B77" w:rsidRPr="00BF2229" w:rsidRDefault="00772B77">
      <w:pPr>
        <w:pStyle w:val="AERbulletlistfirststyle"/>
      </w:pPr>
      <w:r w:rsidRPr="00BF2229">
        <w:t>Historical excess returns provide a baseline estimate and indicates a market risk premium of approximately</w:t>
      </w:r>
      <w:r w:rsidR="00E06308">
        <w:t xml:space="preserve"> 5.5–6.0 </w:t>
      </w:r>
      <w:r w:rsidRPr="00BF2229">
        <w:t xml:space="preserve">per cent from a range of </w:t>
      </w:r>
      <w:r w:rsidR="005143B3">
        <w:t>5.1</w:t>
      </w:r>
      <w:r w:rsidR="00E06308">
        <w:t xml:space="preserve"> per cent to 6.</w:t>
      </w:r>
      <w:r w:rsidR="001D46AF">
        <w:t>4</w:t>
      </w:r>
      <w:r w:rsidR="00E06308">
        <w:t xml:space="preserve"> per cent</w:t>
      </w:r>
      <w:r w:rsidRPr="00BF2229">
        <w:t>. We consider both geometric and arithmetic averages of historical excess returns when considering this result. However we are aware of evidence that there may be a bias in the geometric averages. We take this into account when forming our result and baseline estimate, and as such our range for historical returns is based on arithmetic averages and informed by the geometric averages.</w:t>
      </w:r>
    </w:p>
    <w:p w:rsidR="00772B77" w:rsidRPr="00BF2229" w:rsidRDefault="00772B77" w:rsidP="00772B77">
      <w:pPr>
        <w:pStyle w:val="AERbulletlistfirststyle"/>
      </w:pPr>
      <w:r w:rsidRPr="00BF2229">
        <w:t xml:space="preserve">Dividend growth model estimates indicate a market risk premium estimate above this baseline with a range of </w:t>
      </w:r>
      <w:r w:rsidR="00054E05">
        <w:t>6.46 to 7.72</w:t>
      </w:r>
      <w:r>
        <w:t xml:space="preserve"> per cent, which when conducting sensitivity analysis expands to </w:t>
      </w:r>
      <w:r w:rsidR="00054E05">
        <w:t>5.90 to 8.94</w:t>
      </w:r>
      <w:r w:rsidR="00E06308">
        <w:t xml:space="preserve"> per cent. </w:t>
      </w:r>
      <w:r w:rsidRPr="00BF2229">
        <w:t xml:space="preserve">We consider our dividend growth model is theoretically sound but that there are many limitations in practically implementing the model. As previously stated in our assessment of the dividend growth model, it may capture current conditions to a certain extent but fails to adequately provide a 'true' estimate of the forward looking MRP. We consider our, and other, dividend growth models are likely to produce upward biased estimates in the current market due to reasons provided in Section B.4. We also take into consideration that our model, and other models, may not accurately track changes in the return on equity for the market. For these reasons, we do not consider that the dividend growth model estimates are reliable on their own, but they do provide an indication for a point estimate above the range derived from the historical returns, as the guideline method shows. The guideline </w:t>
      </w:r>
      <w:r>
        <w:t>designated</w:t>
      </w:r>
      <w:r w:rsidRPr="00BF2229">
        <w:t xml:space="preserve"> the dividend growth model </w:t>
      </w:r>
      <w:r>
        <w:t>to inform on</w:t>
      </w:r>
      <w:r w:rsidRPr="00BF2229">
        <w:t xml:space="preserve"> whether the market risk premium </w:t>
      </w:r>
      <w:r>
        <w:t>may be</w:t>
      </w:r>
      <w:r w:rsidRPr="00BF2229">
        <w:t xml:space="preserve"> above or below the historical estimates.</w:t>
      </w:r>
      <w:r w:rsidRPr="00BF2229">
        <w:rPr>
          <w:rStyle w:val="FootnoteReference"/>
        </w:rPr>
        <w:footnoteReference w:id="306"/>
      </w:r>
      <w:r w:rsidRPr="00BF2229">
        <w:t xml:space="preserve"> The </w:t>
      </w:r>
      <w:r w:rsidR="00CE7579">
        <w:t xml:space="preserve">substantial </w:t>
      </w:r>
      <w:r>
        <w:t>widening</w:t>
      </w:r>
      <w:r w:rsidRPr="00BF2229">
        <w:t xml:space="preserve"> in the range of results</w:t>
      </w:r>
      <w:r w:rsidR="00CE7579">
        <w:t xml:space="preserve"> from the sensitivity analysis</w:t>
      </w:r>
      <w:r w:rsidRPr="00BF2229">
        <w:t xml:space="preserve"> </w:t>
      </w:r>
      <w:r w:rsidR="00CE7579">
        <w:t>is indicative of</w:t>
      </w:r>
      <w:r w:rsidRPr="00BF2229">
        <w:t xml:space="preserve"> the unreliability stressed by the limitations </w:t>
      </w:r>
      <w:r w:rsidR="00CE7579">
        <w:t>we discuss</w:t>
      </w:r>
      <w:r w:rsidRPr="00BF2229">
        <w:t xml:space="preserve"> in Section B.4.</w:t>
      </w:r>
    </w:p>
    <w:p w:rsidR="00772B77" w:rsidRPr="00BF2229" w:rsidRDefault="00772B77" w:rsidP="00772B77">
      <w:pPr>
        <w:pStyle w:val="AERbulletlistfirststyle"/>
      </w:pPr>
      <w:r w:rsidRPr="00BF2229">
        <w:t xml:space="preserve">We also look at other regulator's decisions when considering our estimate of the market risk premium, after we have accounted for differences in objectives and approved calculation methods, as a cross check. Recent decisions indicate a market risk premium estimate of around 6.5 per cent is reasonable. Conditioning variables indicate that there has not been a material change in market conditions since our May and April 2016 decisions. See section </w:t>
      </w:r>
      <w:r w:rsidR="00E06308">
        <w:t xml:space="preserve">F.4 </w:t>
      </w:r>
      <w:r w:rsidRPr="00BF2229">
        <w:t>for more detail on regulators' recent decisions and their estimations</w:t>
      </w:r>
    </w:p>
    <w:p w:rsidR="00772B77" w:rsidRPr="00BF2229" w:rsidRDefault="00772B77" w:rsidP="00772B77">
      <w:pPr>
        <w:pStyle w:val="AERbulletlistfirststyle"/>
      </w:pPr>
      <w:r w:rsidRPr="00BF2229">
        <w:t xml:space="preserve">Survey evidence supports a market risk premium around </w:t>
      </w:r>
      <w:r w:rsidR="00E06308">
        <w:t>6.0 to 6.5 per cent</w:t>
      </w:r>
      <w:r w:rsidRPr="00BF2229">
        <w:t xml:space="preserve">. </w:t>
      </w:r>
    </w:p>
    <w:p w:rsidR="00772B77" w:rsidRPr="00814CDE" w:rsidRDefault="00363461" w:rsidP="006E5878">
      <w:pPr>
        <w:pStyle w:val="AERbulletlistfirststyle"/>
        <w:numPr>
          <w:ilvl w:val="0"/>
          <w:numId w:val="0"/>
        </w:numPr>
      </w:pPr>
      <w:r>
        <w:t>Consumers'</w:t>
      </w:r>
      <w:r w:rsidR="00772B77" w:rsidRPr="00BF2229">
        <w:t xml:space="preserve"> submissions have generally supported a market risk premium at or below the 6.5 per cent. </w:t>
      </w:r>
      <w:r w:rsidR="0087675F">
        <w:t xml:space="preserve">We have considered the submissions and our analysis of the relevant evidence and all material before us indicate that </w:t>
      </w:r>
      <w:r>
        <w:t xml:space="preserve">an appropriate estimate of </w:t>
      </w:r>
      <w:r w:rsidR="0087675F">
        <w:t xml:space="preserve">the forward looking 10 year market risk premium is 6.5 per cent. </w:t>
      </w:r>
      <w:r w:rsidR="00772B77">
        <w:t>Th</w:t>
      </w:r>
      <w:r w:rsidR="0087675F">
        <w:t>ese submissions</w:t>
      </w:r>
      <w:r w:rsidR="00772B77">
        <w:t xml:space="preserve"> </w:t>
      </w:r>
      <w:r w:rsidR="0087675F">
        <w:t>are</w:t>
      </w:r>
      <w:r w:rsidR="00772B77">
        <w:t xml:space="preserve"> summarised in table </w:t>
      </w:r>
      <w:r w:rsidR="00A24DED">
        <w:t>3–5</w:t>
      </w:r>
      <w:r w:rsidR="00772B77">
        <w:t xml:space="preserve"> below</w:t>
      </w:r>
    </w:p>
    <w:p w:rsidR="00772B77" w:rsidRPr="0007286C" w:rsidRDefault="00AC1A83" w:rsidP="00772B77">
      <w:pPr>
        <w:pStyle w:val="Caption"/>
        <w:rPr>
          <w:rStyle w:val="Strong"/>
        </w:rPr>
      </w:pPr>
      <w:r w:rsidRPr="00AC1A83">
        <w:t xml:space="preserve">Table </w:t>
      </w:r>
      <w:fldSimple w:instr=" STYLEREF 1 \s ">
        <w:r w:rsidR="00C6448C">
          <w:rPr>
            <w:noProof/>
          </w:rPr>
          <w:t>3</w:t>
        </w:r>
      </w:fldSimple>
      <w:r w:rsidR="00882F3D">
        <w:noBreakHyphen/>
      </w:r>
      <w:fldSimple w:instr=" SEQ Table \* ARABIC \s 1 ">
        <w:r w:rsidR="00C6448C">
          <w:rPr>
            <w:noProof/>
          </w:rPr>
          <w:t>5</w:t>
        </w:r>
      </w:fldSimple>
      <w:r w:rsidR="00772B77">
        <w:t>: Stakeholder Submissions on the Return on Equity</w:t>
      </w:r>
      <w:r w:rsidR="008D52B7">
        <w:t xml:space="preserve"> and market risk premium</w:t>
      </w:r>
    </w:p>
    <w:tbl>
      <w:tblPr>
        <w:tblStyle w:val="AERtable-text0"/>
        <w:tblW w:w="8977" w:type="dxa"/>
        <w:tblLook w:val="04A0" w:firstRow="1" w:lastRow="0" w:firstColumn="1" w:lastColumn="0" w:noHBand="0" w:noVBand="1"/>
      </w:tblPr>
      <w:tblGrid>
        <w:gridCol w:w="2871"/>
        <w:gridCol w:w="6106"/>
      </w:tblGrid>
      <w:tr w:rsidR="00772B77" w:rsidTr="00772B77">
        <w:trPr>
          <w:cnfStyle w:val="100000000000" w:firstRow="1" w:lastRow="0" w:firstColumn="0" w:lastColumn="0" w:oddVBand="0" w:evenVBand="0" w:oddHBand="0" w:evenHBand="0" w:firstRowFirstColumn="0" w:firstRowLastColumn="0" w:lastRowFirstColumn="0" w:lastRowLastColumn="0"/>
          <w:trHeight w:val="504"/>
        </w:trPr>
        <w:tc>
          <w:tcPr>
            <w:tcW w:w="2871" w:type="dxa"/>
          </w:tcPr>
          <w:p w:rsidR="00772B77" w:rsidRPr="00772B77" w:rsidRDefault="00772B77" w:rsidP="00772B77">
            <w:pPr>
              <w:pStyle w:val="AERtabletextleft"/>
            </w:pPr>
            <w:r>
              <w:t>S</w:t>
            </w:r>
            <w:r w:rsidRPr="00772B77">
              <w:t>takeholder</w:t>
            </w:r>
          </w:p>
        </w:tc>
        <w:tc>
          <w:tcPr>
            <w:tcW w:w="6106" w:type="dxa"/>
          </w:tcPr>
          <w:p w:rsidR="00772B77" w:rsidRPr="00772B77" w:rsidRDefault="00772B77" w:rsidP="00772B77">
            <w:pPr>
              <w:pStyle w:val="AERtabletextleft"/>
            </w:pPr>
            <w:r>
              <w:t>Submission Content</w:t>
            </w:r>
          </w:p>
        </w:tc>
      </w:tr>
      <w:tr w:rsidR="00772B77" w:rsidTr="00772B77">
        <w:trPr>
          <w:trHeight w:val="1935"/>
        </w:trPr>
        <w:tc>
          <w:tcPr>
            <w:tcW w:w="2871" w:type="dxa"/>
          </w:tcPr>
          <w:p w:rsidR="00772B77" w:rsidRPr="00772B77" w:rsidRDefault="00772B77" w:rsidP="00772B77">
            <w:pPr>
              <w:pStyle w:val="AERtabletextleft"/>
            </w:pPr>
            <w:r w:rsidRPr="00BF2229">
              <w:t>Consumer Challenge Panel (CCP</w:t>
            </w:r>
            <w:r w:rsidRPr="00772B77">
              <w:t>5)</w:t>
            </w:r>
          </w:p>
        </w:tc>
        <w:tc>
          <w:tcPr>
            <w:tcW w:w="6106" w:type="dxa"/>
          </w:tcPr>
          <w:p w:rsidR="00772B77" w:rsidRPr="00772B77" w:rsidRDefault="00772B77" w:rsidP="00772B77">
            <w:pPr>
              <w:pStyle w:val="AERtabletextleft"/>
            </w:pPr>
            <w:r>
              <w:t>T</w:t>
            </w:r>
            <w:r w:rsidRPr="00772B77">
              <w:t xml:space="preserve">he AER was “right to reduce” AusNet Service’s proposed Weighted Average Cost of Capital parameters, including the market risk premium which was set as 8.17% in their initial proposal, as the service provider’s parameters were too high for prevailing economic conditions. </w:t>
            </w:r>
            <w:r w:rsidRPr="00772B77">
              <w:rPr>
                <w:rStyle w:val="FootnoteReference"/>
              </w:rPr>
              <w:footnoteReference w:id="307"/>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72B77" w:rsidRPr="00772B77" w:rsidRDefault="00772B77" w:rsidP="00772B77">
            <w:pPr>
              <w:pStyle w:val="AERtabletextleft"/>
            </w:pPr>
            <w:r w:rsidRPr="00BF2229">
              <w:t>Consumer Challenge Panel (CCP</w:t>
            </w:r>
            <w:r w:rsidRPr="00772B77">
              <w:t>5)</w:t>
            </w:r>
          </w:p>
        </w:tc>
        <w:tc>
          <w:tcPr>
            <w:tcW w:w="6106" w:type="dxa"/>
          </w:tcPr>
          <w:p w:rsidR="00772B77" w:rsidRPr="00772B77" w:rsidRDefault="00772B77" w:rsidP="00772B77">
            <w:pPr>
              <w:pStyle w:val="AERtabletextleft"/>
            </w:pPr>
            <w:r>
              <w:t>A</w:t>
            </w:r>
            <w:r w:rsidRPr="00772B77">
              <w:t>ny move from the recommended 6.5 per cent MRP to the service providers’ new recommendation of 7.5 per cent would be a reactionary in light of “short term fluctuation in the risk return relationship”.</w:t>
            </w:r>
            <w:r w:rsidRPr="00772B77">
              <w:rPr>
                <w:rStyle w:val="FootnoteReference"/>
              </w:rPr>
              <w:footnoteReference w:id="308"/>
            </w:r>
          </w:p>
        </w:tc>
      </w:tr>
      <w:tr w:rsidR="00772B77" w:rsidTr="00772B77">
        <w:trPr>
          <w:trHeight w:val="1935"/>
        </w:trPr>
        <w:tc>
          <w:tcPr>
            <w:tcW w:w="2871" w:type="dxa"/>
          </w:tcPr>
          <w:p w:rsidR="00772B77" w:rsidRPr="00772B77" w:rsidRDefault="00772B77" w:rsidP="00772B77">
            <w:pPr>
              <w:pStyle w:val="AERtabletextleft"/>
            </w:pPr>
            <w:r w:rsidRPr="00BF2229">
              <w:t>Consumer Challenge Panel</w:t>
            </w:r>
            <w:r w:rsidR="005F17A2">
              <w:t>-David Headberry</w:t>
            </w:r>
            <w:r w:rsidRPr="00BF2229">
              <w:t xml:space="preserve"> (CCP</w:t>
            </w:r>
            <w:r w:rsidRPr="00772B77">
              <w:t>4</w:t>
            </w:r>
            <w:r w:rsidR="005F17A2">
              <w:t xml:space="preserve"> (David Headberry)</w:t>
            </w:r>
            <w:r w:rsidRPr="00772B77">
              <w:t>)</w:t>
            </w:r>
          </w:p>
        </w:tc>
        <w:tc>
          <w:tcPr>
            <w:tcW w:w="6106" w:type="dxa"/>
          </w:tcPr>
          <w:p w:rsidR="00772B77" w:rsidRPr="00772B77" w:rsidRDefault="00772B77" w:rsidP="005F17A2">
            <w:pPr>
              <w:pStyle w:val="AERtabletextleft"/>
            </w:pPr>
            <w:r>
              <w:t xml:space="preserve">CCP4 </w:t>
            </w:r>
            <w:r w:rsidR="005F17A2">
              <w:t>(David Headberry) submitted</w:t>
            </w:r>
            <w:r>
              <w:t xml:space="preserve"> that with the rising risk free rate the </w:t>
            </w:r>
            <w:r w:rsidRPr="00772B77">
              <w:t>previously acknowledged conservative param</w:t>
            </w:r>
            <w:r w:rsidR="00BA392B">
              <w:t>e</w:t>
            </w:r>
            <w:r w:rsidRPr="00772B77">
              <w:t>ters, namely MRP and Equity Beta, should be adjusted accordingly to take the rise into account.</w:t>
            </w:r>
            <w:r w:rsidRPr="00772B77">
              <w:rPr>
                <w:rStyle w:val="FootnoteReference"/>
              </w:rPr>
              <w:footnoteReference w:id="309"/>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72B77" w:rsidRPr="00772B77" w:rsidRDefault="00772B77" w:rsidP="00772B77">
            <w:pPr>
              <w:pStyle w:val="AERtabletextleft"/>
            </w:pPr>
            <w:r w:rsidRPr="00BF2229">
              <w:t>Consumer Challenge Panel</w:t>
            </w:r>
            <w:r w:rsidR="005F17A2">
              <w:t>-Hugh Grant</w:t>
            </w:r>
            <w:r w:rsidRPr="00BF2229">
              <w:t xml:space="preserve"> (CCP</w:t>
            </w:r>
            <w:r w:rsidRPr="00772B77">
              <w:t>4</w:t>
            </w:r>
            <w:r w:rsidR="005F17A2">
              <w:t xml:space="preserve"> (Hugh Grant)</w:t>
            </w:r>
            <w:r w:rsidRPr="00772B77">
              <w:t>)</w:t>
            </w:r>
          </w:p>
        </w:tc>
        <w:tc>
          <w:tcPr>
            <w:tcW w:w="6106" w:type="dxa"/>
          </w:tcPr>
          <w:p w:rsidR="00772B77" w:rsidRPr="00772B77" w:rsidRDefault="00772B77" w:rsidP="00BA392B">
            <w:pPr>
              <w:pStyle w:val="AERtabletextleft"/>
            </w:pPr>
            <w:r>
              <w:t xml:space="preserve">CCP4 </w:t>
            </w:r>
            <w:r w:rsidR="005F17A2">
              <w:t xml:space="preserve">(Hugh Grant) </w:t>
            </w:r>
            <w:r>
              <w:t xml:space="preserve">also submitted that the AER </w:t>
            </w:r>
            <w:r w:rsidRPr="00772B77">
              <w:t>should propose an MRP closer to 5 per cent.</w:t>
            </w:r>
            <w:r w:rsidRPr="00772B77">
              <w:rPr>
                <w:rStyle w:val="FootnoteReference"/>
              </w:rPr>
              <w:footnoteReference w:id="310"/>
            </w:r>
          </w:p>
        </w:tc>
      </w:tr>
      <w:tr w:rsidR="00E939FE" w:rsidTr="00772B77">
        <w:trPr>
          <w:trHeight w:val="1935"/>
        </w:trPr>
        <w:tc>
          <w:tcPr>
            <w:tcW w:w="2871" w:type="dxa"/>
          </w:tcPr>
          <w:p w:rsidR="00E939FE" w:rsidRPr="00BF2229" w:rsidRDefault="00E939FE" w:rsidP="00772B77">
            <w:pPr>
              <w:pStyle w:val="AERtabletextleft"/>
            </w:pPr>
            <w:r>
              <w:t>Cotton Australia</w:t>
            </w:r>
          </w:p>
        </w:tc>
        <w:tc>
          <w:tcPr>
            <w:tcW w:w="6106" w:type="dxa"/>
          </w:tcPr>
          <w:p w:rsidR="00E939FE" w:rsidRDefault="00E939FE" w:rsidP="00E939FE">
            <w:pPr>
              <w:pStyle w:val="AERtabletextleft"/>
            </w:pPr>
            <w:r>
              <w:t>Cotton Australia were encouraged by the lower rate of return proposed in Powerlink's revised proposal and acknowledges that this is in line with the AER's proposal on the matter.</w:t>
            </w:r>
            <w:r>
              <w:rPr>
                <w:rStyle w:val="FootnoteReference"/>
              </w:rPr>
              <w:footnoteReference w:id="311"/>
            </w:r>
          </w:p>
        </w:tc>
      </w:tr>
      <w:tr w:rsidR="00561DD2" w:rsidTr="00772B77">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561DD2" w:rsidRDefault="00561DD2" w:rsidP="00772B77">
            <w:pPr>
              <w:pStyle w:val="AERtabletextleft"/>
            </w:pPr>
            <w:r>
              <w:t>John Herbst</w:t>
            </w:r>
          </w:p>
        </w:tc>
        <w:tc>
          <w:tcPr>
            <w:tcW w:w="6106" w:type="dxa"/>
          </w:tcPr>
          <w:p w:rsidR="00561DD2" w:rsidRDefault="00561DD2" w:rsidP="00561DD2">
            <w:pPr>
              <w:pStyle w:val="AERtabletextleft"/>
            </w:pPr>
            <w:r>
              <w:t xml:space="preserve">Mr Herbst submits that the AER is not holding the </w:t>
            </w:r>
            <w:r w:rsidR="00486EA0">
              <w:t>s</w:t>
            </w:r>
            <w:r>
              <w:t>ervice providers to account in regards to applying the National Electricity Rules and setting a rate of return that allows consumers to pay for the value the network provides to them</w:t>
            </w:r>
            <w:r>
              <w:rPr>
                <w:rStyle w:val="FootnoteReference"/>
              </w:rPr>
              <w:footnoteReference w:id="312"/>
            </w:r>
          </w:p>
        </w:tc>
      </w:tr>
    </w:tbl>
    <w:p w:rsidR="00772B77" w:rsidRPr="00BF2229" w:rsidRDefault="00772B77">
      <w:pPr>
        <w:pStyle w:val="AERbulletlistfirststyle"/>
        <w:numPr>
          <w:ilvl w:val="0"/>
          <w:numId w:val="0"/>
        </w:numPr>
      </w:pPr>
    </w:p>
    <w:p w:rsidR="00772B77" w:rsidRPr="00BF2229" w:rsidRDefault="00772B77" w:rsidP="002C0B62">
      <w:r w:rsidRPr="00BF2229">
        <w:t xml:space="preserve">The current service providers diverge in their proposed market risk premium. Both </w:t>
      </w:r>
      <w:r w:rsidR="00DF0600" w:rsidRPr="00BF2229">
        <w:t>TasNetworks</w:t>
      </w:r>
      <w:r w:rsidRPr="00BF2229">
        <w:t xml:space="preserve"> and Powerlink adopt</w:t>
      </w:r>
      <w:r w:rsidR="00EF3C65">
        <w:t>ed</w:t>
      </w:r>
      <w:r w:rsidRPr="00BF2229">
        <w:t xml:space="preserve"> the Guideline. AusNet Services depart</w:t>
      </w:r>
      <w:r w:rsidR="00EF3C65">
        <w:t>ed</w:t>
      </w:r>
      <w:r w:rsidRPr="00BF2229">
        <w:t xml:space="preserve"> from the Guideline</w:t>
      </w:r>
      <w:r w:rsidR="0087675F">
        <w:t xml:space="preserve"> foundation model approach</w:t>
      </w:r>
      <w:r w:rsidRPr="00BF2229">
        <w:t xml:space="preserve"> </w:t>
      </w:r>
      <w:r w:rsidR="0087675F">
        <w:t>by</w:t>
      </w:r>
      <w:r w:rsidRPr="00BF2229">
        <w:t xml:space="preserve"> mischaracteris</w:t>
      </w:r>
      <w:r w:rsidR="0087675F">
        <w:t>ing</w:t>
      </w:r>
      <w:r w:rsidRPr="00BF2229">
        <w:t xml:space="preserve"> </w:t>
      </w:r>
      <w:r w:rsidR="0087675F">
        <w:t>it</w:t>
      </w:r>
      <w:r w:rsidRPr="00BF2229">
        <w:t xml:space="preserve"> in proposing a market risk premium of 7.5 per cent. We discuss </w:t>
      </w:r>
      <w:r w:rsidR="00A30F00">
        <w:t>AusNet's mischaracterision of the Guideline below.</w:t>
      </w:r>
    </w:p>
    <w:p w:rsidR="00772B77" w:rsidRPr="00BF2229" w:rsidRDefault="00BF0C3E" w:rsidP="001A7089">
      <w:pPr>
        <w:pStyle w:val="HeadingItalic"/>
      </w:pPr>
      <w:bookmarkStart w:id="66" w:name="_Ref478395602"/>
      <w:r>
        <w:t>AusNet Services' m</w:t>
      </w:r>
      <w:r w:rsidR="00772B77" w:rsidRPr="00BF2229">
        <w:t>ischaracterisation of the Guideline</w:t>
      </w:r>
      <w:bookmarkEnd w:id="66"/>
    </w:p>
    <w:p w:rsidR="00772B77" w:rsidRDefault="00772B77" w:rsidP="00772B77">
      <w:r w:rsidRPr="00BF2229">
        <w:t>AusNet Services claim</w:t>
      </w:r>
      <w:r>
        <w:t>ed</w:t>
      </w:r>
      <w:r w:rsidRPr="00BF2229">
        <w:t xml:space="preserve"> the December 2013 Guideline </w:t>
      </w:r>
      <w:r>
        <w:t xml:space="preserve">used the simple average </w:t>
      </w:r>
      <w:r w:rsidRPr="00BF2229">
        <w:t>of historical excess returns and dividend growth model estimates to set a market risk premium of 6.5 per cent</w:t>
      </w:r>
      <w:r>
        <w:t xml:space="preserve"> while giving 'little' weight to other relevant material</w:t>
      </w:r>
      <w:r w:rsidRPr="00BF2229">
        <w:t>.</w:t>
      </w:r>
      <w:r w:rsidRPr="00BF2229">
        <w:rPr>
          <w:rStyle w:val="FootnoteReference"/>
        </w:rPr>
        <w:footnoteReference w:id="313"/>
      </w:r>
      <w:r w:rsidRPr="00BF2229">
        <w:t xml:space="preserve"> </w:t>
      </w:r>
      <w:r w:rsidR="009E2F4C">
        <w:t>It</w:t>
      </w:r>
      <w:r w:rsidR="009E2F4C" w:rsidRPr="00BF2229">
        <w:t xml:space="preserve"> </w:t>
      </w:r>
      <w:r w:rsidRPr="00BF2229">
        <w:t>argu</w:t>
      </w:r>
      <w:r>
        <w:t>ed</w:t>
      </w:r>
      <w:r w:rsidRPr="00BF2229">
        <w:t xml:space="preserve"> a consistent application (based on </w:t>
      </w:r>
      <w:r>
        <w:t xml:space="preserve">excess return and </w:t>
      </w:r>
      <w:r w:rsidRPr="00BF2229">
        <w:t>dividend growth model data</w:t>
      </w:r>
      <w:r>
        <w:t xml:space="preserve"> in the May 2016 AusNet Services Transmission draft decision</w:t>
      </w:r>
      <w:r w:rsidRPr="00BF2229">
        <w:t xml:space="preserve">) would lead to a market risk premium of 7.5 per cent. </w:t>
      </w:r>
    </w:p>
    <w:p w:rsidR="004A411C" w:rsidRDefault="004A411C" w:rsidP="004A411C">
      <w:r w:rsidRPr="00BF2229">
        <w:t>This is a mischaracterisation of the Guideline</w:t>
      </w:r>
      <w:r>
        <w:t xml:space="preserve"> approach: </w:t>
      </w:r>
    </w:p>
    <w:p w:rsidR="004A411C" w:rsidRPr="00772B77" w:rsidRDefault="004A411C" w:rsidP="004A411C">
      <w:pPr>
        <w:pStyle w:val="AERbulletlistfirststyle"/>
      </w:pPr>
      <w:r>
        <w:t>T</w:t>
      </w:r>
      <w:r w:rsidRPr="00B97F30">
        <w:t>he Guideline</w:t>
      </w:r>
      <w:r>
        <w:t xml:space="preserve"> approach</w:t>
      </w:r>
      <w:r w:rsidRPr="00B97F30">
        <w:t xml:space="preserve"> </w:t>
      </w:r>
      <w:r>
        <w:t>is not to</w:t>
      </w:r>
      <w:r w:rsidRPr="00B97F30">
        <w:t xml:space="preserve"> simply average estimates across historical excess returns and dividend growth models to inform point estimate selections.</w:t>
      </w:r>
      <w:r>
        <w:t xml:space="preserve"> </w:t>
      </w:r>
    </w:p>
    <w:p w:rsidR="004A411C" w:rsidRDefault="004A411C" w:rsidP="004A411C">
      <w:pPr>
        <w:pStyle w:val="AERbulletlistfirststyle"/>
        <w:rPr>
          <w:rStyle w:val="AERtexthighlight"/>
        </w:rPr>
      </w:pPr>
      <w:r>
        <w:t>T</w:t>
      </w:r>
      <w:r w:rsidRPr="00B97F30">
        <w:t>he mechanistic approach suggested by AusNet Services downplays issues with the reliability of dividend growth models, their suitability for our regulatory task and the consequent role/s the Guideline assigns them</w:t>
      </w:r>
      <w:r>
        <w:t xml:space="preserve"> and the manner in which we take different evidence into account when exercising discretionary judgement.</w:t>
      </w:r>
      <w:r w:rsidRPr="00C26886">
        <w:rPr>
          <w:rStyle w:val="AERtexthighlight"/>
        </w:rPr>
        <w:t xml:space="preserve"> </w:t>
      </w:r>
    </w:p>
    <w:p w:rsidR="004A411C" w:rsidRPr="00772B77" w:rsidRDefault="004A411C" w:rsidP="004A411C">
      <w:pPr>
        <w:pStyle w:val="AERbulletlistfirststyle"/>
      </w:pPr>
      <w:r w:rsidRPr="00BF2229">
        <w:t>We have consistently outlined our considerations and methods in the Guideline, and application of the Guideline in regulatory decisions to date.</w:t>
      </w:r>
      <w:r w:rsidRPr="00772B77">
        <w:rPr>
          <w:rStyle w:val="FootnoteReference"/>
        </w:rPr>
        <w:footnoteReference w:id="314"/>
      </w:r>
      <w:r w:rsidRPr="00772B77">
        <w:t xml:space="preserve"> Our estimation of the market risk premium is informed by a range of relevant material:</w:t>
      </w:r>
      <w:r w:rsidRPr="00772B77">
        <w:rPr>
          <w:rStyle w:val="FootnoteReference"/>
        </w:rPr>
        <w:footnoteReference w:id="315"/>
      </w:r>
      <w:r w:rsidRPr="00772B77">
        <w:t xml:space="preserve"> </w:t>
      </w:r>
    </w:p>
    <w:p w:rsidR="004A411C" w:rsidRDefault="004A411C" w:rsidP="00A164C0">
      <w:pPr>
        <w:pStyle w:val="AERbulletlistsecondstyle"/>
      </w:pPr>
      <w:r>
        <w:t>We place most reliance on historical excess returns. Therefore, we use this information to determine a baseline estimate of the market risk premium. We consider 6.0 per cent</w:t>
      </w:r>
      <w:r w:rsidR="00FC0B7B">
        <w:t xml:space="preserve"> (from a range of </w:t>
      </w:r>
      <w:r w:rsidR="00CE2A08">
        <w:t>5.1</w:t>
      </w:r>
      <w:r w:rsidR="00FC0B7B">
        <w:t>–6.3 per cent)</w:t>
      </w:r>
      <w:r>
        <w:t xml:space="preserve"> is, at this time, a reasonable point estimate based on this source of evidence.</w:t>
      </w:r>
    </w:p>
    <w:p w:rsidR="004A411C" w:rsidRDefault="004A411C" w:rsidP="00A164C0">
      <w:pPr>
        <w:pStyle w:val="AERbulletlistsecondstyle"/>
      </w:pPr>
      <w:r>
        <w:t>We place less reliance on our dividend growth model estimates of the market risk premium. This information indicates whether we should select a market risk premium point estimate above or below the baseline estimate.</w:t>
      </w:r>
    </w:p>
    <w:p w:rsidR="004A411C" w:rsidRDefault="004A411C" w:rsidP="00A164C0">
      <w:pPr>
        <w:pStyle w:val="AERbulletlistsecondstyle"/>
      </w:pPr>
      <w:r>
        <w:t xml:space="preserve">We place some reliance on the other information (survey evidence and conditioning variables). This information, in conjunction with dividend growth model evidence, helps to indicate how far above or below the baseline estimate the market risk premium point estimate should be. We use other Australian regulators' market risk premium estimates as a cross check on how we consider information. </w:t>
      </w:r>
    </w:p>
    <w:p w:rsidR="00772B77" w:rsidRPr="00BF2229" w:rsidRDefault="00772B77" w:rsidP="00772B77">
      <w:r w:rsidRPr="00BF2229">
        <w:t>Our use of relevant material is informed by the roles assigned to them which are based on their relative merits and suitability for our regulatory task</w:t>
      </w:r>
      <w:r>
        <w:t>:</w:t>
      </w:r>
      <w:r w:rsidRPr="00BF2229">
        <w:rPr>
          <w:rStyle w:val="FootnoteReference"/>
        </w:rPr>
        <w:footnoteReference w:id="316"/>
      </w:r>
    </w:p>
    <w:p w:rsidR="00772B77" w:rsidRPr="0007286C" w:rsidRDefault="00AC1A83" w:rsidP="00772B77">
      <w:pPr>
        <w:pStyle w:val="Caption"/>
        <w:rPr>
          <w:rStyle w:val="Strong"/>
        </w:rPr>
      </w:pPr>
      <w:r w:rsidRPr="00AC1A83">
        <w:t xml:space="preserve">Table </w:t>
      </w:r>
      <w:fldSimple w:instr=" STYLEREF 1 \s ">
        <w:r w:rsidR="00C6448C">
          <w:rPr>
            <w:noProof/>
          </w:rPr>
          <w:t>3</w:t>
        </w:r>
      </w:fldSimple>
      <w:r w:rsidR="00882F3D">
        <w:noBreakHyphen/>
      </w:r>
      <w:fldSimple w:instr=" SEQ Table \* ARABIC \s 1 ">
        <w:r w:rsidR="00C6448C">
          <w:rPr>
            <w:noProof/>
          </w:rPr>
          <w:t>6</w:t>
        </w:r>
      </w:fldSimple>
      <w:r w:rsidR="00772B77">
        <w:t>: Role assigned to each source of relevant material in determining the market risk pr</w:t>
      </w:r>
      <w:r w:rsidR="00A24DED">
        <w:t>e</w:t>
      </w:r>
      <w:r w:rsidR="00772B77">
        <w:t>mium</w:t>
      </w:r>
    </w:p>
    <w:tbl>
      <w:tblPr>
        <w:tblStyle w:val="AERtable-text0"/>
        <w:tblW w:w="8755" w:type="dxa"/>
        <w:tblLook w:val="04A0" w:firstRow="1" w:lastRow="0" w:firstColumn="1" w:lastColumn="0" w:noHBand="0" w:noVBand="1"/>
      </w:tblPr>
      <w:tblGrid>
        <w:gridCol w:w="2134"/>
        <w:gridCol w:w="2020"/>
        <w:gridCol w:w="4601"/>
      </w:tblGrid>
      <w:tr w:rsidR="00772B77" w:rsidTr="00A164C0">
        <w:trPr>
          <w:cnfStyle w:val="100000000000" w:firstRow="1" w:lastRow="0" w:firstColumn="0" w:lastColumn="0" w:oddVBand="0" w:evenVBand="0" w:oddHBand="0" w:evenHBand="0" w:firstRowFirstColumn="0" w:firstRowLastColumn="0" w:lastRowFirstColumn="0" w:lastRowLastColumn="0"/>
          <w:tblHeader/>
        </w:trPr>
        <w:tc>
          <w:tcPr>
            <w:tcW w:w="2134" w:type="dxa"/>
          </w:tcPr>
          <w:p w:rsidR="00772B77" w:rsidRPr="00772B77" w:rsidRDefault="00772B77" w:rsidP="00772B77">
            <w:pPr>
              <w:pStyle w:val="AERtabletextleft"/>
            </w:pPr>
            <w:r>
              <w:t>Relevant material</w:t>
            </w:r>
          </w:p>
        </w:tc>
        <w:tc>
          <w:tcPr>
            <w:tcW w:w="2020" w:type="dxa"/>
          </w:tcPr>
          <w:p w:rsidR="00772B77" w:rsidRPr="00772B77" w:rsidRDefault="00772B77" w:rsidP="00772B77">
            <w:pPr>
              <w:pStyle w:val="AERtabletextleft"/>
            </w:pPr>
            <w:r>
              <w:t>Role</w:t>
            </w:r>
          </w:p>
        </w:tc>
        <w:tc>
          <w:tcPr>
            <w:tcW w:w="4601" w:type="dxa"/>
          </w:tcPr>
          <w:p w:rsidR="00772B77" w:rsidRPr="00772B77" w:rsidRDefault="00772B77" w:rsidP="00772B77">
            <w:pPr>
              <w:pStyle w:val="AERtabletextleft"/>
            </w:pPr>
            <w:r>
              <w:t xml:space="preserve">Reasons for </w:t>
            </w:r>
            <w:r w:rsidRPr="00772B77">
              <w:t>chosen role</w:t>
            </w:r>
          </w:p>
        </w:tc>
      </w:tr>
      <w:tr w:rsidR="00772B77" w:rsidTr="00A164C0">
        <w:tc>
          <w:tcPr>
            <w:tcW w:w="2134" w:type="dxa"/>
          </w:tcPr>
          <w:p w:rsidR="00772B77" w:rsidRPr="00772B77" w:rsidRDefault="00772B77" w:rsidP="00772B77">
            <w:pPr>
              <w:pStyle w:val="AERtabletextleft"/>
            </w:pPr>
            <w:r>
              <w:t>Historical excess returns</w:t>
            </w:r>
          </w:p>
        </w:tc>
        <w:tc>
          <w:tcPr>
            <w:tcW w:w="2020" w:type="dxa"/>
          </w:tcPr>
          <w:p w:rsidR="00772B77" w:rsidRPr="00772B77" w:rsidRDefault="00772B77" w:rsidP="00772B77">
            <w:pPr>
              <w:pStyle w:val="AERtabletextleft"/>
            </w:pPr>
            <w:r>
              <w:t xml:space="preserve">Given the most reliance </w:t>
            </w:r>
          </w:p>
        </w:tc>
        <w:tc>
          <w:tcPr>
            <w:tcW w:w="4601" w:type="dxa"/>
          </w:tcPr>
          <w:p w:rsidR="00772B77" w:rsidRPr="00772B77" w:rsidRDefault="00772B77" w:rsidP="00772B77">
            <w:pPr>
              <w:pStyle w:val="AERtabletextleft"/>
            </w:pPr>
            <w:r>
              <w:t xml:space="preserve">Meets most of the criteria. </w:t>
            </w:r>
            <w:r w:rsidRPr="00772B77">
              <w:t>The main potential limitation is slow response to changes in market conditions. This is not a limitation if investor expectations of the 10 year forward looking market risk premium move similarly slowly. Further, considering other sources of evidence reduces this limitation.</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Dividend growth models (AER's construction)</w:t>
            </w:r>
          </w:p>
        </w:tc>
        <w:tc>
          <w:tcPr>
            <w:tcW w:w="2020" w:type="dxa"/>
          </w:tcPr>
          <w:p w:rsidR="00772B77" w:rsidRPr="00772B77" w:rsidRDefault="00772B77" w:rsidP="00772B77">
            <w:pPr>
              <w:pStyle w:val="AERtabletextleft"/>
            </w:pPr>
            <w:r>
              <w:t xml:space="preserve">Given </w:t>
            </w:r>
            <w:r w:rsidRPr="00772B77">
              <w:t>the second most reliance</w:t>
            </w:r>
          </w:p>
        </w:tc>
        <w:tc>
          <w:tcPr>
            <w:tcW w:w="4601" w:type="dxa"/>
          </w:tcPr>
          <w:p w:rsidR="00772B77" w:rsidRPr="00772B77" w:rsidRDefault="00772B77" w:rsidP="00772B77">
            <w:pPr>
              <w:pStyle w:val="AERtabletextleft"/>
            </w:pPr>
            <w:r>
              <w:t>Meets most</w:t>
            </w:r>
            <w:r w:rsidRPr="00772B77">
              <w:t xml:space="preserve"> of the criteria. The main limitation is its sensitivity to assumptions, which is significant. It is also likely to produce upward biased estimates.</w:t>
            </w:r>
            <w:r w:rsidRPr="00772B77">
              <w:rPr>
                <w:rStyle w:val="FootnoteReference"/>
              </w:rPr>
              <w:footnoteReference w:id="317"/>
            </w:r>
            <w:r w:rsidRPr="00772B77">
              <w:t xml:space="preserve"> Since it can readily reflect changes in market conditions, it complements our use of historical excess returns. However, its tracking ability is limited if it produces inaccurate results.</w:t>
            </w:r>
          </w:p>
        </w:tc>
      </w:tr>
      <w:tr w:rsidR="00772B77" w:rsidTr="00A164C0">
        <w:tc>
          <w:tcPr>
            <w:tcW w:w="2134" w:type="dxa"/>
          </w:tcPr>
          <w:p w:rsidR="00772B77" w:rsidRPr="00772B77" w:rsidRDefault="00772B77" w:rsidP="00772B77">
            <w:pPr>
              <w:pStyle w:val="AERtabletextleft"/>
            </w:pPr>
            <w:r>
              <w:t>Survey evidence</w:t>
            </w:r>
          </w:p>
        </w:tc>
        <w:tc>
          <w:tcPr>
            <w:tcW w:w="2020" w:type="dxa"/>
          </w:tcPr>
          <w:p w:rsidR="00772B77" w:rsidRPr="00772B77" w:rsidRDefault="00772B77" w:rsidP="00772B77">
            <w:pPr>
              <w:pStyle w:val="AERtabletextleft"/>
            </w:pPr>
            <w:r>
              <w:t>Given some reliance (point in time estimate)</w:t>
            </w:r>
          </w:p>
        </w:tc>
        <w:tc>
          <w:tcPr>
            <w:tcW w:w="4601" w:type="dxa"/>
          </w:tcPr>
          <w:p w:rsidR="00772B77" w:rsidRPr="00772B77" w:rsidRDefault="00772B77" w:rsidP="00772B77">
            <w:pPr>
              <w:pStyle w:val="AERtabletextleft"/>
            </w:pPr>
            <w:r>
              <w:t>Its main strength is that it estimates investor expectations. However, limitations related to survey design and representativeness of respondents can reduce the value of these estimates. T</w:t>
            </w:r>
            <w:r w:rsidRPr="00772B77">
              <w:t>riangulation of survey evidence may reduce these limitations.</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Conditioning variables (dividend yields, credit spreads, implied volatility)</w:t>
            </w:r>
          </w:p>
        </w:tc>
        <w:tc>
          <w:tcPr>
            <w:tcW w:w="2020" w:type="dxa"/>
          </w:tcPr>
          <w:p w:rsidR="00772B77" w:rsidRPr="00772B77" w:rsidRDefault="00772B77" w:rsidP="00772B77">
            <w:pPr>
              <w:pStyle w:val="AERtabletextleft"/>
            </w:pPr>
            <w:r>
              <w:t>Given some reliance  (directional information only)</w:t>
            </w:r>
          </w:p>
        </w:tc>
        <w:tc>
          <w:tcPr>
            <w:tcW w:w="4601" w:type="dxa"/>
          </w:tcPr>
          <w:p w:rsidR="00772B77" w:rsidRPr="00772B77" w:rsidRDefault="00772B77" w:rsidP="00772B77">
            <w:pPr>
              <w:pStyle w:val="AERtabletextleft"/>
            </w:pPr>
            <w:r>
              <w:t xml:space="preserve">Their main strength is their ability to detect changing market conditions. However, it is difficult to derive an MRP estimate from this information in a robust manner. </w:t>
            </w:r>
            <w:r w:rsidRPr="00772B77">
              <w:t>Academic and empirical evidence on this information is mixed.</w:t>
            </w:r>
          </w:p>
        </w:tc>
      </w:tr>
      <w:tr w:rsidR="00772B77" w:rsidTr="00A164C0">
        <w:tc>
          <w:tcPr>
            <w:tcW w:w="2134" w:type="dxa"/>
          </w:tcPr>
          <w:p w:rsidR="00772B77" w:rsidRPr="00772B77" w:rsidRDefault="00772B77" w:rsidP="00772B77">
            <w:pPr>
              <w:pStyle w:val="AERtabletextleft"/>
            </w:pPr>
            <w:r>
              <w:t>Other Australian regulators' market risk premium</w:t>
            </w:r>
            <w:r w:rsidRPr="00772B77">
              <w:t xml:space="preserve"> estimates</w:t>
            </w:r>
          </w:p>
        </w:tc>
        <w:tc>
          <w:tcPr>
            <w:tcW w:w="2020" w:type="dxa"/>
          </w:tcPr>
          <w:p w:rsidR="00772B77" w:rsidRPr="00772B77" w:rsidRDefault="00772B77" w:rsidP="00772B77">
            <w:pPr>
              <w:pStyle w:val="AERtabletextleft"/>
            </w:pPr>
            <w:r>
              <w:t>Cross check on how we consider information</w:t>
            </w:r>
          </w:p>
        </w:tc>
        <w:tc>
          <w:tcPr>
            <w:tcW w:w="4601" w:type="dxa"/>
          </w:tcPr>
          <w:p w:rsidR="00772B77" w:rsidRPr="00772B77" w:rsidRDefault="00772B77" w:rsidP="00772B77">
            <w:pPr>
              <w:pStyle w:val="AERtabletextleft"/>
            </w:pPr>
            <w:r>
              <w:t>This</w:t>
            </w:r>
            <w:r w:rsidRPr="00772B77">
              <w:t xml:space="preserve"> is indirect evidence of the market risk premium, which we do not use to estimate the market risk premium. However, we consider it useful to have regard to the approaches other regulators are taking to consider the evidence before them. </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Dividend growth models (SFG's construction)</w:t>
            </w:r>
          </w:p>
        </w:tc>
        <w:tc>
          <w:tcPr>
            <w:tcW w:w="2020" w:type="dxa"/>
          </w:tcPr>
          <w:p w:rsidR="00772B77" w:rsidRPr="00772B77" w:rsidRDefault="00772B77" w:rsidP="00772B77">
            <w:pPr>
              <w:pStyle w:val="AERtabletextleft"/>
            </w:pPr>
            <w:r>
              <w:t xml:space="preserve">Does not inform our </w:t>
            </w:r>
            <w:r w:rsidRPr="00772B77">
              <w:t>market risk premium estimate</w:t>
            </w:r>
          </w:p>
        </w:tc>
        <w:tc>
          <w:tcPr>
            <w:tcW w:w="4601" w:type="dxa"/>
          </w:tcPr>
          <w:p w:rsidR="00772B77" w:rsidRPr="00772B77" w:rsidRDefault="00772B77" w:rsidP="00772B77">
            <w:pPr>
              <w:pStyle w:val="AERtabletextleft"/>
            </w:pPr>
            <w:r>
              <w:t xml:space="preserve">We consider this </w:t>
            </w:r>
            <w:r w:rsidRPr="00772B77">
              <w:t>dividend growth model is unnecessarily complex and produces unrealistic growth rates. We consider SFG overstates its benefits because it transfers where one makes assumptions, rather than reducing the need to make assumptions. (see appendix B—DGM)</w:t>
            </w:r>
          </w:p>
        </w:tc>
      </w:tr>
      <w:tr w:rsidR="00772B77" w:rsidTr="00A164C0">
        <w:tc>
          <w:tcPr>
            <w:tcW w:w="2134" w:type="dxa"/>
          </w:tcPr>
          <w:p w:rsidR="00772B77" w:rsidRPr="00772B77" w:rsidRDefault="00772B77" w:rsidP="00772B77">
            <w:pPr>
              <w:pStyle w:val="AERtabletextleft"/>
            </w:pPr>
            <w:r>
              <w:t>Imputation credit adjustment (AER, Brailsford et al</w:t>
            </w:r>
            <w:r w:rsidRPr="00772B77">
              <w:t>.)</w:t>
            </w:r>
          </w:p>
        </w:tc>
        <w:tc>
          <w:tcPr>
            <w:tcW w:w="2020" w:type="dxa"/>
          </w:tcPr>
          <w:p w:rsidR="00772B77" w:rsidRPr="00772B77" w:rsidRDefault="00772B77" w:rsidP="00772B77">
            <w:pPr>
              <w:pStyle w:val="AERtabletextleft"/>
            </w:pPr>
            <w:r>
              <w:t xml:space="preserve">Adjust </w:t>
            </w:r>
            <w:r w:rsidRPr="00772B77">
              <w:t>market risk premium estimate under the dividend growth model and historical excess returns</w:t>
            </w:r>
          </w:p>
        </w:tc>
        <w:tc>
          <w:tcPr>
            <w:tcW w:w="4601" w:type="dxa"/>
          </w:tcPr>
          <w:p w:rsidR="00772B77" w:rsidRPr="00772B77" w:rsidRDefault="00772B77" w:rsidP="005422DC">
            <w:pPr>
              <w:pStyle w:val="AERtabletextleft"/>
            </w:pPr>
            <w:r>
              <w:t xml:space="preserve">This is </w:t>
            </w:r>
            <w:r w:rsidRPr="00772B77">
              <w:t xml:space="preserve">consistent with economic and finance principles and empirical analysis. The adjustment is also transparent and replicable. </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Imputation credit adjustment (SFG)</w:t>
            </w:r>
          </w:p>
        </w:tc>
        <w:tc>
          <w:tcPr>
            <w:tcW w:w="2020" w:type="dxa"/>
          </w:tcPr>
          <w:p w:rsidR="00772B77" w:rsidRPr="00772B77" w:rsidRDefault="00772B77" w:rsidP="00772B77">
            <w:pPr>
              <w:pStyle w:val="AERtabletextleft"/>
            </w:pPr>
            <w:r>
              <w:t>Does not inform our</w:t>
            </w:r>
            <w:r w:rsidRPr="00772B77">
              <w:t xml:space="preserve"> market risk premium estimate</w:t>
            </w:r>
          </w:p>
        </w:tc>
        <w:tc>
          <w:tcPr>
            <w:tcW w:w="4601" w:type="dxa"/>
          </w:tcPr>
          <w:p w:rsidR="00772B77" w:rsidRPr="00772B77" w:rsidRDefault="00772B77" w:rsidP="00772B77">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772B77" w:rsidTr="00A164C0">
        <w:tc>
          <w:tcPr>
            <w:tcW w:w="2134" w:type="dxa"/>
          </w:tcPr>
          <w:p w:rsidR="00772B77" w:rsidRPr="00772B77" w:rsidRDefault="00772B77" w:rsidP="00772B77">
            <w:pPr>
              <w:pStyle w:val="AERtabletextleft"/>
            </w:pPr>
            <w:r w:rsidRPr="007F16A5">
              <w:t>Independent valuation reports</w:t>
            </w:r>
          </w:p>
        </w:tc>
        <w:tc>
          <w:tcPr>
            <w:tcW w:w="2020" w:type="dxa"/>
          </w:tcPr>
          <w:p w:rsidR="00772B77" w:rsidRPr="00772B77" w:rsidRDefault="00772B77" w:rsidP="00772B77">
            <w:pPr>
              <w:pStyle w:val="AERtabletextleft"/>
            </w:pPr>
            <w:r w:rsidRPr="007F16A5">
              <w:t xml:space="preserve">Does not inform our </w:t>
            </w:r>
            <w:r w:rsidRPr="00772B77">
              <w:t>market risk premium estimate</w:t>
            </w:r>
          </w:p>
        </w:tc>
        <w:tc>
          <w:tcPr>
            <w:tcW w:w="4601" w:type="dxa"/>
          </w:tcPr>
          <w:p w:rsidR="00772B77" w:rsidRPr="00772B77" w:rsidRDefault="00772B77" w:rsidP="00772B77">
            <w:pPr>
              <w:pStyle w:val="AERtabletextleft"/>
            </w:pPr>
            <w:r w:rsidRPr="007F16A5">
              <w:t>More suitable for use at the overall return on equity level because writers of these reports can adjust individual parameters to obtain an overall result.</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rsidRPr="007F16A5">
              <w:t xml:space="preserve">The </w:t>
            </w:r>
            <w:r w:rsidRPr="00772B77">
              <w:t>Wright approach</w:t>
            </w:r>
          </w:p>
        </w:tc>
        <w:tc>
          <w:tcPr>
            <w:tcW w:w="2020" w:type="dxa"/>
          </w:tcPr>
          <w:p w:rsidR="00772B77" w:rsidRPr="00772B77" w:rsidRDefault="00772B77" w:rsidP="00772B77">
            <w:pPr>
              <w:pStyle w:val="AERtabletextleft"/>
            </w:pPr>
            <w:r w:rsidRPr="007F16A5">
              <w:t xml:space="preserve">Does not inform our </w:t>
            </w:r>
            <w:r w:rsidRPr="00772B77">
              <w:t>market risk premium estimate</w:t>
            </w:r>
          </w:p>
        </w:tc>
        <w:tc>
          <w:tcPr>
            <w:tcW w:w="4601" w:type="dxa"/>
          </w:tcPr>
          <w:p w:rsidR="00772B77" w:rsidRPr="00D36C21" w:rsidRDefault="00772B77" w:rsidP="00D36C21">
            <w:pPr>
              <w:pStyle w:val="AERtabletextleft"/>
            </w:pPr>
            <w:r w:rsidRPr="00D36C21">
              <w:t xml:space="preserve">More suitable for informing the overall return on equity because it is </w:t>
            </w:r>
            <w:r w:rsidRPr="00FD4060">
              <w:rPr>
                <w:rStyle w:val="AERbody"/>
                <w:sz w:val="20"/>
              </w:rPr>
              <w:t xml:space="preserve">designed to provide information at the return on equity level and does not use a direct estimate of the MRP. </w:t>
            </w:r>
          </w:p>
        </w:tc>
      </w:tr>
    </w:tbl>
    <w:p w:rsidR="00E358C3" w:rsidRDefault="00E358C3" w:rsidP="00772B77">
      <w:pPr>
        <w:pStyle w:val="AERtablesource"/>
      </w:pPr>
    </w:p>
    <w:p w:rsidR="00772B77" w:rsidRPr="00772B77" w:rsidRDefault="00772B77" w:rsidP="00772B77">
      <w:pPr>
        <w:pStyle w:val="AERtablesource"/>
        <w:rPr>
          <w:rStyle w:val="AERbody"/>
        </w:rPr>
      </w:pPr>
      <w:r w:rsidRPr="006B6B29">
        <w:t>Source:</w:t>
      </w:r>
      <w:r w:rsidRPr="006B6B29">
        <w:tab/>
        <w:t>AER analysis.</w:t>
      </w:r>
    </w:p>
    <w:p w:rsidR="00F3278A" w:rsidRPr="00772B77" w:rsidRDefault="00F3278A" w:rsidP="00A164C0">
      <w:pPr>
        <w:pStyle w:val="AERbulletlistfirststyle"/>
        <w:numPr>
          <w:ilvl w:val="0"/>
          <w:numId w:val="0"/>
        </w:numPr>
        <w:rPr>
          <w:rStyle w:val="AERbody"/>
          <w:rFonts w:cstheme="minorBidi"/>
        </w:rPr>
      </w:pPr>
      <w:r>
        <w:rPr>
          <w:rStyle w:val="AERbody"/>
        </w:rPr>
        <w:t xml:space="preserve">We also note that AusNet Services' proposal </w:t>
      </w:r>
      <w:r>
        <w:t>is</w:t>
      </w:r>
      <w:r w:rsidRPr="00772B77">
        <w:t xml:space="preserve"> similar</w:t>
      </w:r>
      <w:r>
        <w:t xml:space="preserve"> in some respects</w:t>
      </w:r>
      <w:r w:rsidRPr="00772B77">
        <w:t xml:space="preserve"> to those submitted previously by other service providers which we have previously rejected. For example, </w:t>
      </w:r>
      <w:r>
        <w:t>AusNet</w:t>
      </w:r>
      <w:r w:rsidRPr="00772B77">
        <w:t xml:space="preserve"> propose</w:t>
      </w:r>
      <w:r>
        <w:t>s</w:t>
      </w:r>
      <w:r w:rsidRPr="00772B77">
        <w:t xml:space="preserve"> a higher market risk premium by assigning more weight to dividend growth model estimates of the market risk premium</w:t>
      </w:r>
      <w:r>
        <w:t xml:space="preserve"> than we consider appropriate</w:t>
      </w:r>
      <w:r w:rsidRPr="00772B77">
        <w:t>.</w:t>
      </w:r>
      <w:r w:rsidRPr="00772B77">
        <w:rPr>
          <w:rStyle w:val="FootnoteReference"/>
        </w:rPr>
        <w:footnoteReference w:id="318"/>
      </w:r>
      <w:r w:rsidRPr="00772B77">
        <w:t xml:space="preserve"> </w:t>
      </w:r>
    </w:p>
    <w:p w:rsidR="00772B77" w:rsidRPr="00C26886" w:rsidRDefault="00772B77" w:rsidP="00772B77">
      <w:pPr>
        <w:rPr>
          <w:rStyle w:val="AERtexthighlight"/>
        </w:rPr>
      </w:pPr>
      <w:r>
        <w:rPr>
          <w:rStyle w:val="AERbody"/>
        </w:rPr>
        <w:t xml:space="preserve">Partington and Satchell advised against giving more weight to dividend growth estimates in </w:t>
      </w:r>
      <w:r w:rsidR="00F3278A">
        <w:rPr>
          <w:rStyle w:val="AERbody"/>
        </w:rPr>
        <w:t xml:space="preserve">the </w:t>
      </w:r>
      <w:r>
        <w:rPr>
          <w:rStyle w:val="AERbody"/>
        </w:rPr>
        <w:t>absence of reliable evidence reviewing the accuracy of dividend growth model estimates.</w:t>
      </w:r>
      <w:r>
        <w:rPr>
          <w:rStyle w:val="FootnoteReference"/>
        </w:rPr>
        <w:footnoteReference w:id="319"/>
      </w:r>
      <w:r>
        <w:rPr>
          <w:rStyle w:val="AERbody"/>
        </w:rPr>
        <w:t xml:space="preserve"> </w:t>
      </w:r>
      <w:r w:rsidR="008520D1">
        <w:rPr>
          <w:rStyle w:val="AERbody"/>
        </w:rPr>
        <w:t>They</w:t>
      </w:r>
      <w:r>
        <w:rPr>
          <w:rStyle w:val="AERbody"/>
        </w:rPr>
        <w:t xml:space="preserve"> noted that 'it is not clear</w:t>
      </w:r>
      <w:r w:rsidR="00BA392B">
        <w:rPr>
          <w:rStyle w:val="AERbody"/>
        </w:rPr>
        <w:t xml:space="preserve"> </w:t>
      </w:r>
      <w:r>
        <w:rPr>
          <w:rStyle w:val="AERbody"/>
        </w:rPr>
        <w:t>that it is appropriate to apply equal weights' to historical excess returns and dividend growth model estimates.</w:t>
      </w:r>
      <w:r>
        <w:rPr>
          <w:rStyle w:val="FootnoteReference"/>
        </w:rPr>
        <w:footnoteReference w:id="320"/>
      </w:r>
      <w:r>
        <w:rPr>
          <w:rStyle w:val="AERbody"/>
        </w:rPr>
        <w:t xml:space="preserve"> Further, </w:t>
      </w:r>
      <w:r w:rsidRPr="005B0AFA">
        <w:rPr>
          <w:rStyle w:val="AERbody"/>
        </w:rPr>
        <w:t xml:space="preserve">Partington and Satchell </w:t>
      </w:r>
      <w:r>
        <w:rPr>
          <w:rStyle w:val="AERbody"/>
        </w:rPr>
        <w:t>noted</w:t>
      </w:r>
      <w:r w:rsidRPr="005B0AFA">
        <w:rPr>
          <w:rStyle w:val="AERbody"/>
        </w:rPr>
        <w:t xml:space="preserve"> that issues with dividend growth forecasts</w:t>
      </w:r>
      <w:r>
        <w:rPr>
          <w:rStyle w:val="AERbody"/>
        </w:rPr>
        <w:t>,</w:t>
      </w:r>
      <w:r w:rsidRPr="005B0AFA">
        <w:rPr>
          <w:rStyle w:val="AERbody"/>
        </w:rPr>
        <w:t xml:space="preserve"> as well as bias within analyst reports</w:t>
      </w:r>
      <w:r>
        <w:rPr>
          <w:rStyle w:val="AERbody"/>
        </w:rPr>
        <w:t>,</w:t>
      </w:r>
      <w:r w:rsidRPr="005B0AFA">
        <w:rPr>
          <w:rStyle w:val="FootnoteReference"/>
        </w:rPr>
        <w:footnoteReference w:id="321"/>
      </w:r>
      <w:r w:rsidRPr="008E4F6D">
        <w:rPr>
          <w:rStyle w:val="AERbody"/>
        </w:rPr>
        <w:t xml:space="preserve"> are </w:t>
      </w:r>
      <w:r w:rsidRPr="005B0AFA">
        <w:rPr>
          <w:rStyle w:val="AERbody"/>
        </w:rPr>
        <w:t>still valid and prominent in the current market conditions</w:t>
      </w:r>
      <w:r w:rsidR="0072561F">
        <w:rPr>
          <w:rStyle w:val="AERbody"/>
        </w:rPr>
        <w:t>.</w:t>
      </w:r>
      <w:r w:rsidRPr="005B0AFA">
        <w:rPr>
          <w:rStyle w:val="FootnoteReference"/>
        </w:rPr>
        <w:footnoteReference w:id="322"/>
      </w:r>
    </w:p>
    <w:p w:rsidR="00772B77" w:rsidRDefault="00772B77" w:rsidP="00772B77">
      <w:pPr>
        <w:rPr>
          <w:rStyle w:val="AERbody"/>
        </w:rPr>
      </w:pPr>
      <w:r>
        <w:rPr>
          <w:rStyle w:val="AERbody"/>
        </w:rPr>
        <w:t xml:space="preserve">AusNet Services effectively propose to estimate the market risk premium using a (simple) average of historical excess returns and dividend growth model estimates. This bears </w:t>
      </w:r>
      <w:r w:rsidR="005B3C75">
        <w:rPr>
          <w:rStyle w:val="AERbody"/>
        </w:rPr>
        <w:t xml:space="preserve">some </w:t>
      </w:r>
      <w:r>
        <w:rPr>
          <w:rStyle w:val="AERbody"/>
        </w:rPr>
        <w:t>resemblance to the previously proposed "multi-model" approach</w:t>
      </w:r>
      <w:r>
        <w:rPr>
          <w:rStyle w:val="FootnoteReference"/>
        </w:rPr>
        <w:footnoteReference w:id="323"/>
      </w:r>
      <w:r>
        <w:rPr>
          <w:rStyle w:val="AERbody"/>
        </w:rPr>
        <w:t xml:space="preserve"> which estimated the return on equity and market risk premium using an average of four different sources.</w:t>
      </w:r>
      <w:r w:rsidR="00327929">
        <w:rPr>
          <w:rStyle w:val="FootnoteReference"/>
        </w:rPr>
        <w:footnoteReference w:id="324"/>
      </w:r>
      <w:r>
        <w:rPr>
          <w:rStyle w:val="AERbody"/>
        </w:rPr>
        <w:t xml:space="preserve"> </w:t>
      </w:r>
    </w:p>
    <w:p w:rsidR="00772B77" w:rsidRDefault="00772B77" w:rsidP="00772B77">
      <w:pPr>
        <w:rPr>
          <w:rStyle w:val="AERbody"/>
        </w:rPr>
      </w:pPr>
      <w:r>
        <w:rPr>
          <w:rStyle w:val="AERbody"/>
        </w:rPr>
        <w:t xml:space="preserve">Our assessment of the relevant evidence in the Guideline and regulatory decisions indicates that the dividend growth model is most suited to inform whether the point estimate lies above or below the historical excess returns. AusNet Services' proposal gives insufficient consideration to the relative merits of the relevant evidence.  </w:t>
      </w:r>
    </w:p>
    <w:p w:rsidR="004F088A" w:rsidRDefault="004F088A" w:rsidP="004F088A">
      <w:r>
        <w:t>Partington and Satchell advised that we should not assign more weight to dividend growth model estimates (as AusNet Services seem to suggest) because of inaccuracy, upward bias of the estimates and sensitivity of the model to inputs and assumptions.</w:t>
      </w:r>
      <w:r>
        <w:rPr>
          <w:rStyle w:val="FootnoteReference"/>
        </w:rPr>
        <w:footnoteReference w:id="325"/>
      </w:r>
      <w:r>
        <w:t xml:space="preserve"> They concluded that it is 'very unlikely that the DGM will produce a forward looking MRP commensurate with the prevailing conditions in the market for funds'.</w:t>
      </w:r>
      <w:r>
        <w:rPr>
          <w:rStyle w:val="FootnoteReference"/>
        </w:rPr>
        <w:footnoteReference w:id="326"/>
      </w:r>
      <w:r>
        <w:t xml:space="preserve"> </w:t>
      </w:r>
      <w:r w:rsidR="009E2F4C">
        <w:t>They</w:t>
      </w:r>
      <w:r>
        <w:t xml:space="preserve"> noted that '</w:t>
      </w:r>
      <w:r w:rsidRPr="00135673">
        <w:t>DGM-based estimates of the MRP in a 10 year horizon context, are probably better down-weighted than given more weight</w:t>
      </w:r>
      <w:r>
        <w:t xml:space="preserve">'. </w:t>
      </w:r>
    </w:p>
    <w:p w:rsidR="004F088A" w:rsidRDefault="004F088A" w:rsidP="004F088A">
      <w:r>
        <w:t>Partington and Satchell advised that 'the DGM…</w:t>
      </w:r>
      <w:r w:rsidRPr="00135673">
        <w:t>is more useful as a conceptual tool than a forecasting model</w:t>
      </w:r>
      <w:r>
        <w:t>'.</w:t>
      </w:r>
      <w:r>
        <w:rPr>
          <w:rStyle w:val="FootnoteReference"/>
        </w:rPr>
        <w:footnoteReference w:id="327"/>
      </w:r>
      <w:r>
        <w:t xml:space="preserve"> This is consistent with our Guideline approach of using dividend growth model estimates to inform if a point estimate may be above or below the historical excess estimate.</w:t>
      </w:r>
    </w:p>
    <w:p w:rsidR="00772B77" w:rsidRDefault="00772B77" w:rsidP="00772B77">
      <w:pPr>
        <w:rPr>
          <w:rStyle w:val="AERbody"/>
        </w:rPr>
      </w:pPr>
      <w:r w:rsidRPr="008E4F6D">
        <w:rPr>
          <w:rStyle w:val="AERbody"/>
        </w:rPr>
        <w:t>AusNet Services</w:t>
      </w:r>
      <w:r>
        <w:rPr>
          <w:rStyle w:val="AERbody"/>
        </w:rPr>
        <w:t xml:space="preserve"> also</w:t>
      </w:r>
      <w:r w:rsidRPr="008E4F6D">
        <w:rPr>
          <w:rStyle w:val="AERbody"/>
        </w:rPr>
        <w:t xml:space="preserve"> submitted that </w:t>
      </w:r>
      <w:r>
        <w:rPr>
          <w:rStyle w:val="AERbody"/>
        </w:rPr>
        <w:t>its proposed (7.5 per cent) market risk premium is supported by 'prevailing conditions in the market'</w:t>
      </w:r>
      <w:r w:rsidR="005B3C75">
        <w:rPr>
          <w:rStyle w:val="AERbody"/>
        </w:rPr>
        <w:t xml:space="preserve"> on the basis that</w:t>
      </w:r>
      <w:r>
        <w:rPr>
          <w:rStyle w:val="AERbody"/>
        </w:rPr>
        <w:t>:</w:t>
      </w:r>
    </w:p>
    <w:p w:rsidR="005B3C75" w:rsidRDefault="005B3C75" w:rsidP="005B3C75">
      <w:pPr>
        <w:pStyle w:val="AERbulletlistfirststyle"/>
        <w:rPr>
          <w:rStyle w:val="AERbody"/>
        </w:rPr>
      </w:pPr>
      <w:r>
        <w:rPr>
          <w:rStyle w:val="AERbody"/>
        </w:rPr>
        <w:t xml:space="preserve">Frontier's construction of the historical excess returns and dividend growth model provides an estimate of 7.5 per cent, </w:t>
      </w:r>
      <w:r w:rsidR="0086418D">
        <w:rPr>
          <w:rStyle w:val="AERbody"/>
        </w:rPr>
        <w:t>and</w:t>
      </w:r>
      <w:r>
        <w:rPr>
          <w:rStyle w:val="AERbody"/>
        </w:rPr>
        <w:t xml:space="preserve"> </w:t>
      </w:r>
    </w:p>
    <w:p w:rsidR="005B3C75" w:rsidRDefault="005B3C75" w:rsidP="005B3C75">
      <w:pPr>
        <w:pStyle w:val="AERbulletlistfirststyle"/>
        <w:rPr>
          <w:rStyle w:val="AERbody"/>
        </w:rPr>
      </w:pPr>
      <w:r>
        <w:rPr>
          <w:rStyle w:val="AERbody"/>
        </w:rPr>
        <w:t xml:space="preserve">Frontier's consideration of independent valuation reports, surveys, other regulators' decisions, conditioning variables and market participants </w:t>
      </w:r>
      <w:r w:rsidRPr="00600336">
        <w:rPr>
          <w:rStyle w:val="AERbody"/>
        </w:rPr>
        <w:t>support</w:t>
      </w:r>
      <w:r w:rsidRPr="008E4F6D">
        <w:rPr>
          <w:rStyle w:val="AERbody"/>
        </w:rPr>
        <w:t xml:space="preserve"> a </w:t>
      </w:r>
      <w:r>
        <w:rPr>
          <w:rStyle w:val="AERbody"/>
        </w:rPr>
        <w:t>point estimate</w:t>
      </w:r>
      <w:r w:rsidRPr="008E4F6D">
        <w:rPr>
          <w:rStyle w:val="AERbody"/>
        </w:rPr>
        <w:t xml:space="preserve"> of 7.5 per cent. </w:t>
      </w:r>
    </w:p>
    <w:p w:rsidR="00772B77" w:rsidRPr="00772B77" w:rsidRDefault="00772B77" w:rsidP="00A74F31">
      <w:pPr>
        <w:pStyle w:val="AERbulletlistfirststyle"/>
        <w:numPr>
          <w:ilvl w:val="0"/>
          <w:numId w:val="0"/>
        </w:numPr>
        <w:rPr>
          <w:rStyle w:val="AERbody"/>
          <w:rFonts w:cstheme="minorBidi"/>
        </w:rPr>
      </w:pPr>
      <w:r>
        <w:rPr>
          <w:rStyle w:val="AERbody"/>
        </w:rPr>
        <w:t xml:space="preserve">We </w:t>
      </w:r>
      <w:r w:rsidRPr="00772B77">
        <w:rPr>
          <w:rStyle w:val="AERbody"/>
        </w:rPr>
        <w:t>disagree with AusNet Services view that prevailing market conditions support a market risk premium of 7.5 per cent for the following reasons:</w:t>
      </w:r>
    </w:p>
    <w:p w:rsidR="00772B77" w:rsidRDefault="00772B77" w:rsidP="00772B77">
      <w:pPr>
        <w:pStyle w:val="AERbulletlistfirststyle"/>
        <w:rPr>
          <w:rStyle w:val="AERbody"/>
        </w:rPr>
      </w:pPr>
      <w:r>
        <w:rPr>
          <w:rStyle w:val="AERbody"/>
        </w:rPr>
        <w:t xml:space="preserve">As noted in </w:t>
      </w:r>
      <w:r w:rsidR="009E40AA">
        <w:rPr>
          <w:rStyle w:val="AERbody"/>
        </w:rPr>
        <w:t xml:space="preserve">the 'estimating the market risk premium' </w:t>
      </w:r>
      <w:r>
        <w:rPr>
          <w:rStyle w:val="AERbody"/>
        </w:rPr>
        <w:t>section, AusNet Services has mischaracterised the Guideline approach for estimating the market risk premium. We did not and do not average estimates across historical excess returns and dividend growth model estimates. We have regard to a range of relevant evidence.</w:t>
      </w:r>
    </w:p>
    <w:p w:rsidR="00772B77" w:rsidRDefault="00772B77" w:rsidP="00772B77">
      <w:pPr>
        <w:pStyle w:val="AERbulletlistfirststyle"/>
        <w:rPr>
          <w:rStyle w:val="AERbody"/>
        </w:rPr>
      </w:pPr>
      <w:r>
        <w:rPr>
          <w:rStyle w:val="AERbody"/>
        </w:rPr>
        <w:t>Frontier's historical excess returns are based on computational decisions</w:t>
      </w:r>
      <w:r>
        <w:rPr>
          <w:rStyle w:val="FootnoteReference"/>
        </w:rPr>
        <w:footnoteReference w:id="328"/>
      </w:r>
      <w:r>
        <w:rPr>
          <w:rStyle w:val="AERbody"/>
        </w:rPr>
        <w:t xml:space="preserve"> that we have previously considered and rejected. We continue to consider that historical excess returns should be computed assuming a theta of 0.6, in</w:t>
      </w:r>
      <w:r w:rsidRPr="0092640E">
        <w:rPr>
          <w:rStyle w:val="AERbody"/>
        </w:rPr>
        <w:t>clusion of the post 1980 averaging period</w:t>
      </w:r>
      <w:r w:rsidR="00327929">
        <w:rPr>
          <w:rStyle w:val="AERbody"/>
        </w:rPr>
        <w:t>s</w:t>
      </w:r>
      <w:r w:rsidRPr="0092640E">
        <w:rPr>
          <w:rStyle w:val="AERbody"/>
        </w:rPr>
        <w:t xml:space="preserve"> and </w:t>
      </w:r>
      <w:r>
        <w:rPr>
          <w:rStyle w:val="AERbody"/>
        </w:rPr>
        <w:t xml:space="preserve">without  </w:t>
      </w:r>
      <w:r w:rsidRPr="0092640E">
        <w:rPr>
          <w:rStyle w:val="AERbody"/>
        </w:rPr>
        <w:t>the NERA adjustment.</w:t>
      </w:r>
      <w:r>
        <w:rPr>
          <w:rStyle w:val="FootnoteReference"/>
        </w:rPr>
        <w:footnoteReference w:id="329"/>
      </w:r>
    </w:p>
    <w:p w:rsidR="00772B77" w:rsidRDefault="00772B77" w:rsidP="00772B77">
      <w:pPr>
        <w:pStyle w:val="AERbulletlistfirststyle"/>
        <w:rPr>
          <w:rStyle w:val="AERbody"/>
        </w:rPr>
      </w:pPr>
      <w:r>
        <w:rPr>
          <w:rStyle w:val="AERbody"/>
        </w:rPr>
        <w:t xml:space="preserve">We do not consider the other materials referenced by Frontier support a 7.5 per cent market risk premium. For example, Frontier has </w:t>
      </w:r>
      <w:r w:rsidR="0072561F">
        <w:rPr>
          <w:rStyle w:val="AERbody"/>
        </w:rPr>
        <w:t xml:space="preserve">continued to </w:t>
      </w:r>
      <w:r>
        <w:rPr>
          <w:rStyle w:val="AERbody"/>
        </w:rPr>
        <w:t>depart from the Guideline by using valuation reports to inform the market risk premium.</w:t>
      </w:r>
      <w:r w:rsidR="0072561F">
        <w:rPr>
          <w:rStyle w:val="FootnoteReference"/>
        </w:rPr>
        <w:footnoteReference w:id="330"/>
      </w:r>
      <w:r>
        <w:rPr>
          <w:rStyle w:val="AERbody"/>
        </w:rPr>
        <w:t xml:space="preserve"> The reasons for departing from the guideline in this manner have not been robustly set out and as such we are not satisfied such a movement away from the Guideline is in accordance with the ARORO. This is discussed further in table </w:t>
      </w:r>
      <w:r w:rsidR="00A4295D">
        <w:rPr>
          <w:rStyle w:val="AERbody"/>
        </w:rPr>
        <w:t>3–7</w:t>
      </w:r>
      <w:r>
        <w:rPr>
          <w:rStyle w:val="AERbody"/>
        </w:rPr>
        <w:t>.</w:t>
      </w:r>
    </w:p>
    <w:p w:rsidR="00523509" w:rsidRDefault="00772B77" w:rsidP="006E5878">
      <w:r w:rsidRPr="009D1627">
        <w:rPr>
          <w:rStyle w:val="AERbody"/>
        </w:rPr>
        <w:t xml:space="preserve">Expert advice from Partington and Satchell supports our </w:t>
      </w:r>
      <w:r>
        <w:rPr>
          <w:rStyle w:val="AERbody"/>
        </w:rPr>
        <w:t xml:space="preserve">Guideline </w:t>
      </w:r>
      <w:r w:rsidRPr="009D1627">
        <w:rPr>
          <w:rStyle w:val="AERbody"/>
        </w:rPr>
        <w:t xml:space="preserve">approach for estimating the market risk premium. They observe </w:t>
      </w:r>
      <w:r w:rsidRPr="008E4F6D">
        <w:rPr>
          <w:rStyle w:val="AERbody"/>
        </w:rPr>
        <w:t xml:space="preserve">that the evidence provided by Frontier and AusNet is not convincing </w:t>
      </w:r>
      <w:r>
        <w:rPr>
          <w:rStyle w:val="AERbody"/>
        </w:rPr>
        <w:t xml:space="preserve">them </w:t>
      </w:r>
      <w:r w:rsidR="00327929">
        <w:rPr>
          <w:rStyle w:val="AERbody"/>
        </w:rPr>
        <w:t>that</w:t>
      </w:r>
      <w:r w:rsidR="0072561F">
        <w:rPr>
          <w:rStyle w:val="AERbody"/>
        </w:rPr>
        <w:t xml:space="preserve"> </w:t>
      </w:r>
      <w:r w:rsidRPr="009D1627">
        <w:rPr>
          <w:rStyle w:val="AERbody"/>
        </w:rPr>
        <w:t>there should be a current increase in the market risk premium</w:t>
      </w:r>
      <w:r>
        <w:rPr>
          <w:rStyle w:val="AERbody"/>
        </w:rPr>
        <w:t>.</w:t>
      </w:r>
      <w:r w:rsidRPr="008E4F6D">
        <w:rPr>
          <w:rStyle w:val="FootnoteReference"/>
        </w:rPr>
        <w:footnoteReference w:id="331"/>
      </w:r>
      <w:r w:rsidRPr="008E4F6D">
        <w:rPr>
          <w:rStyle w:val="FootnoteReference"/>
        </w:rPr>
        <w:t xml:space="preserve"> </w:t>
      </w:r>
      <w:r w:rsidR="0072561F">
        <w:rPr>
          <w:rStyle w:val="AERbody"/>
        </w:rPr>
        <w:t>Moreover</w:t>
      </w:r>
      <w:r>
        <w:rPr>
          <w:rStyle w:val="AERbody"/>
        </w:rPr>
        <w:t>,</w:t>
      </w:r>
      <w:r w:rsidRPr="008E4F6D">
        <w:rPr>
          <w:rStyle w:val="AERbody"/>
        </w:rPr>
        <w:t xml:space="preserve"> </w:t>
      </w:r>
      <w:r w:rsidRPr="009D1627">
        <w:rPr>
          <w:rStyle w:val="AERbody"/>
        </w:rPr>
        <w:t xml:space="preserve">many of the arguments regarding a stable return on equity since the </w:t>
      </w:r>
      <w:r>
        <w:rPr>
          <w:rStyle w:val="AERbody"/>
        </w:rPr>
        <w:t>2013 Guideline</w:t>
      </w:r>
      <w:r w:rsidRPr="009D1627">
        <w:rPr>
          <w:rStyle w:val="AERbody"/>
        </w:rPr>
        <w:t xml:space="preserve"> are reforg</w:t>
      </w:r>
      <w:r>
        <w:rPr>
          <w:rStyle w:val="AERbody"/>
        </w:rPr>
        <w:t>ed</w:t>
      </w:r>
      <w:r w:rsidRPr="009D1627">
        <w:rPr>
          <w:rStyle w:val="AERbody"/>
        </w:rPr>
        <w:t xml:space="preserve"> arguments </w:t>
      </w:r>
      <w:r>
        <w:rPr>
          <w:rStyle w:val="AERbody"/>
        </w:rPr>
        <w:t xml:space="preserve">from </w:t>
      </w:r>
      <w:r w:rsidRPr="009D1627">
        <w:rPr>
          <w:rStyle w:val="AERbody"/>
        </w:rPr>
        <w:t>previous</w:t>
      </w:r>
      <w:r>
        <w:rPr>
          <w:rStyle w:val="AERbody"/>
        </w:rPr>
        <w:t xml:space="preserve"> </w:t>
      </w:r>
      <w:r w:rsidRPr="009D1627">
        <w:rPr>
          <w:rStyle w:val="AERbody"/>
        </w:rPr>
        <w:t>Frontier</w:t>
      </w:r>
      <w:r>
        <w:rPr>
          <w:rStyle w:val="AERbody"/>
        </w:rPr>
        <w:t xml:space="preserve"> submissions.</w:t>
      </w:r>
      <w:r w:rsidRPr="009D1627">
        <w:rPr>
          <w:rStyle w:val="FootnoteReference"/>
        </w:rPr>
        <w:footnoteReference w:id="332"/>
      </w:r>
      <w:r w:rsidR="00892103">
        <w:rPr>
          <w:rStyle w:val="AERbody"/>
        </w:rPr>
        <w:t xml:space="preserve"> F</w:t>
      </w:r>
      <w:r>
        <w:rPr>
          <w:rStyle w:val="AERbody"/>
        </w:rPr>
        <w:t xml:space="preserve">or example, </w:t>
      </w:r>
      <w:r w:rsidRPr="009D1627">
        <w:rPr>
          <w:rStyle w:val="AERbody"/>
        </w:rPr>
        <w:t xml:space="preserve">Partington and Satchell </w:t>
      </w:r>
      <w:r>
        <w:rPr>
          <w:rStyle w:val="AERbody"/>
        </w:rPr>
        <w:t>noted</w:t>
      </w:r>
      <w:r w:rsidRPr="009D1627">
        <w:rPr>
          <w:rStyle w:val="AERbody"/>
        </w:rPr>
        <w:t xml:space="preserve"> Frontier's continued reliance on earnings yield and PE based evidence</w:t>
      </w:r>
      <w:r>
        <w:rPr>
          <w:rStyle w:val="AERbody"/>
        </w:rPr>
        <w:t xml:space="preserve"> to argue the required return on equity has remained stable since the Guideline.</w:t>
      </w:r>
      <w:r w:rsidRPr="009D1627">
        <w:rPr>
          <w:rStyle w:val="FootnoteReference"/>
        </w:rPr>
        <w:footnoteReference w:id="333"/>
      </w:r>
      <w:r>
        <w:rPr>
          <w:rStyle w:val="AERbody"/>
        </w:rPr>
        <w:t xml:space="preserve"> Partington and Satchell continue to show that the relationship between the earnings yield </w:t>
      </w:r>
      <w:r w:rsidR="00A6098D">
        <w:rPr>
          <w:rStyle w:val="AERbody"/>
        </w:rPr>
        <w:t xml:space="preserve">(and PE ratio) </w:t>
      </w:r>
      <w:r>
        <w:rPr>
          <w:rStyle w:val="AERbody"/>
        </w:rPr>
        <w:t>and the cost of equity is not a simple linear one but a complex one that does not allow for the assumptions Frontier have made.</w:t>
      </w:r>
      <w:r>
        <w:rPr>
          <w:rStyle w:val="FootnoteReference"/>
        </w:rPr>
        <w:footnoteReference w:id="334"/>
      </w:r>
    </w:p>
    <w:p w:rsidR="00772B77" w:rsidRPr="00BF2229" w:rsidRDefault="00772B77" w:rsidP="001A7089">
      <w:pPr>
        <w:pStyle w:val="HeadingItalic"/>
      </w:pPr>
      <w:r w:rsidRPr="00BF2229">
        <w:t>Issues addressed in previous decisions</w:t>
      </w:r>
    </w:p>
    <w:p w:rsidR="00772B77" w:rsidRDefault="00772B77" w:rsidP="00772B77">
      <w:r>
        <w:t xml:space="preserve">We note that some stakeholders continue to submit on a range of issues we discussed and addressed in previous regulatory decisions. That is, they submitted that we place too much reliance on some material, that we did not have appropriate regard to information from other relevant sources, or that we made inappropriate methodological choices in our empirical analysis. </w:t>
      </w:r>
    </w:p>
    <w:p w:rsidR="00772B77" w:rsidRDefault="00772B77" w:rsidP="00772B77">
      <w:r>
        <w:t xml:space="preserve">The following table </w:t>
      </w:r>
      <w:r w:rsidR="00892103">
        <w:t>3-</w:t>
      </w:r>
      <w:r w:rsidR="001516D1">
        <w:t>7</w:t>
      </w:r>
      <w:r>
        <w:t xml:space="preserve"> sets out stakeholder views on our use of relevant material and our responses. </w:t>
      </w:r>
      <w:r w:rsidR="001516D1">
        <w:t>We have considered the majority of these views in previous regulatory decisions.</w:t>
      </w:r>
      <w:r w:rsidR="001516D1">
        <w:rPr>
          <w:rStyle w:val="FootnoteReference"/>
        </w:rPr>
        <w:footnoteReference w:id="335"/>
      </w:r>
      <w:r w:rsidR="001516D1">
        <w:t xml:space="preserve"> </w:t>
      </w:r>
      <w:r>
        <w:t>Having considered</w:t>
      </w:r>
      <w:r w:rsidR="00EC03D8">
        <w:t xml:space="preserve"> these views,</w:t>
      </w:r>
      <w:r>
        <w:t xml:space="preserve"> the overall information and all material before us, at this time we are not satisfied that these submissions indicate a departure from the Guideline would contribute to the achievement of the ARORO and the National Electricity Objective.</w:t>
      </w:r>
    </w:p>
    <w:p w:rsidR="00772B77" w:rsidRDefault="00772B77" w:rsidP="000A1E5B">
      <w:pPr>
        <w:pStyle w:val="Caption"/>
      </w:pPr>
      <w:bookmarkStart w:id="67" w:name="_Ref446275314"/>
      <w:bookmarkStart w:id="68" w:name="_Ref444171050"/>
      <w:r w:rsidRPr="00D02C72">
        <w:t xml:space="preserve">Table </w:t>
      </w:r>
      <w:fldSimple w:instr=" STYLEREF 1 \s ">
        <w:r w:rsidR="00C6448C">
          <w:rPr>
            <w:noProof/>
          </w:rPr>
          <w:t>3</w:t>
        </w:r>
      </w:fldSimple>
      <w:r w:rsidR="00882F3D">
        <w:noBreakHyphen/>
      </w:r>
      <w:fldSimple w:instr=" SEQ Table \* ARABIC \s 1 ">
        <w:r w:rsidR="00C6448C">
          <w:rPr>
            <w:noProof/>
          </w:rPr>
          <w:t>7</w:t>
        </w:r>
      </w:fldSimple>
      <w:bookmarkEnd w:id="67"/>
      <w:r w:rsidRPr="00D02C72">
        <w:tab/>
        <w:t>Issues raised about estimating market risk premium</w:t>
      </w:r>
      <w:bookmarkEnd w:id="68"/>
    </w:p>
    <w:tbl>
      <w:tblPr>
        <w:tblStyle w:val="AERtable-text0"/>
        <w:tblW w:w="0" w:type="auto"/>
        <w:tblLook w:val="04A0" w:firstRow="1" w:lastRow="0" w:firstColumn="1" w:lastColumn="0" w:noHBand="0" w:noVBand="1"/>
      </w:tblPr>
      <w:tblGrid>
        <w:gridCol w:w="1951"/>
        <w:gridCol w:w="6742"/>
      </w:tblGrid>
      <w:tr w:rsidR="00772B77" w:rsidTr="00772B77">
        <w:trPr>
          <w:cnfStyle w:val="100000000000" w:firstRow="1" w:lastRow="0" w:firstColumn="0" w:lastColumn="0" w:oddVBand="0" w:evenVBand="0" w:oddHBand="0" w:evenHBand="0" w:firstRowFirstColumn="0" w:firstRowLastColumn="0" w:lastRowFirstColumn="0" w:lastRowLastColumn="0"/>
        </w:trPr>
        <w:tc>
          <w:tcPr>
            <w:tcW w:w="1951" w:type="dxa"/>
          </w:tcPr>
          <w:p w:rsidR="00772B77" w:rsidRPr="00772B77" w:rsidRDefault="00772B77" w:rsidP="00772B77">
            <w:r>
              <w:t>Issue</w:t>
            </w:r>
          </w:p>
        </w:tc>
        <w:tc>
          <w:tcPr>
            <w:tcW w:w="6742" w:type="dxa"/>
          </w:tcPr>
          <w:p w:rsidR="00772B77" w:rsidRPr="00772B77" w:rsidRDefault="00772B77" w:rsidP="00772B77">
            <w:r>
              <w:t>O</w:t>
            </w:r>
            <w:r w:rsidRPr="00772B77">
              <w:t>ur response</w:t>
            </w:r>
          </w:p>
        </w:tc>
      </w:tr>
      <w:tr w:rsidR="00772B77" w:rsidTr="00772B77">
        <w:tc>
          <w:tcPr>
            <w:tcW w:w="1951" w:type="dxa"/>
          </w:tcPr>
          <w:p w:rsidR="00772B77" w:rsidRPr="00772B77" w:rsidRDefault="00772B77" w:rsidP="00772B77">
            <w:pPr>
              <w:rPr>
                <w:rStyle w:val="AERtextsize8"/>
              </w:rPr>
            </w:pPr>
            <w:r>
              <w:rPr>
                <w:rStyle w:val="AERtextsize8"/>
              </w:rPr>
              <w:t xml:space="preserve">Our approach </w:t>
            </w:r>
            <w:r w:rsidRPr="00772B77">
              <w:rPr>
                <w:rStyle w:val="AERtextsize8"/>
              </w:rPr>
              <w:t>provides no real regard to the dividend growth model and assigns consistently less weight to them</w:t>
            </w:r>
            <w:r w:rsidRPr="00772B77">
              <w:rPr>
                <w:rStyle w:val="FootnoteReference"/>
              </w:rPr>
              <w:footnoteReference w:id="336"/>
            </w:r>
          </w:p>
        </w:tc>
        <w:tc>
          <w:tcPr>
            <w:tcW w:w="6742" w:type="dxa"/>
          </w:tcPr>
          <w:p w:rsidR="00772B77" w:rsidRPr="00772B77" w:rsidRDefault="00772B77" w:rsidP="00A164C0">
            <w:pPr>
              <w:rPr>
                <w:rStyle w:val="AERtextsize8"/>
                <w:rFonts w:eastAsiaTheme="minorHAnsi" w:cstheme="minorBidi"/>
                <w:szCs w:val="22"/>
                <w:lang w:eastAsia="en-US"/>
              </w:rPr>
            </w:pPr>
            <w:r w:rsidRPr="00133A9B">
              <w:t xml:space="preserve">Consistent </w:t>
            </w:r>
            <w:r w:rsidRPr="00772B77">
              <w:t xml:space="preserve">with the Rate of Return Guideline, we use dividend growth model estimates (from our preferred construction of the dividend growth model) to inform the estimate of the market risk premium, having regard to evidence that the output from the models is very sensitive  to  input  assumptions  and  likely  to  show  an  upward  bias in current market conditions. They inform if a point estimate should be set above or below the baseline estimate. The extent to how much it informs the decision is appropriate given the limitations of dividend growth models. </w:t>
            </w:r>
            <w:r w:rsidRPr="00772B77">
              <w:rPr>
                <w:rStyle w:val="AERtextsize8"/>
              </w:rPr>
              <w:t xml:space="preserve">See </w:t>
            </w:r>
            <w:r w:rsidRPr="0086418D">
              <w:rPr>
                <w:rStyle w:val="AERtextsize8"/>
              </w:rPr>
              <w:t xml:space="preserve">section </w:t>
            </w:r>
            <w:r w:rsidR="008520D1">
              <w:rPr>
                <w:rStyle w:val="AERtextsize8"/>
              </w:rPr>
              <w:t xml:space="preserve">B.4 </w:t>
            </w:r>
            <w:r w:rsidRPr="0086418D">
              <w:rPr>
                <w:rStyle w:val="AERtextsize8"/>
              </w:rPr>
              <w:t>for</w:t>
            </w:r>
            <w:r w:rsidRPr="00772B77">
              <w:rPr>
                <w:rStyle w:val="AERtextsize8"/>
              </w:rPr>
              <w:t xml:space="preserve"> details on the models limitations. </w:t>
            </w:r>
          </w:p>
          <w:p w:rsidR="00772B77" w:rsidRPr="00772B77" w:rsidRDefault="00C33F1F" w:rsidP="00772B77">
            <w:pPr>
              <w:rPr>
                <w:rStyle w:val="AERtextsize8"/>
              </w:rPr>
            </w:pPr>
            <w:r>
              <w:rPr>
                <w:rStyle w:val="AERtextsize8"/>
              </w:rPr>
              <w:t xml:space="preserve">Partington and Satchell </w:t>
            </w:r>
            <w:r w:rsidRPr="00C33F1F">
              <w:rPr>
                <w:rStyle w:val="AERtextsize8"/>
              </w:rPr>
              <w:t>have also advised that the dividend growth model is "unlikely" to produce a 'forward looking MRP commensurate with the prevailing conditions'.'</w:t>
            </w:r>
            <w:r w:rsidRPr="00C33F1F">
              <w:rPr>
                <w:rStyle w:val="FootnoteReference"/>
              </w:rPr>
              <w:footnoteReference w:id="337"/>
            </w:r>
            <w:r w:rsidRPr="00C33F1F">
              <w:rPr>
                <w:rStyle w:val="AERtextsize8"/>
              </w:rPr>
              <w:t xml:space="preserve"> We believe that it provides the evidence from the dividend growth model as much weight as is appropriate at the current time</w:t>
            </w:r>
            <w:r w:rsidR="00F4298C">
              <w:rPr>
                <w:rStyle w:val="AERtextsize8"/>
              </w:rPr>
              <w:t>.</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sidRPr="007C153E">
              <w:rPr>
                <w:rStyle w:val="AERtextsize8"/>
              </w:rPr>
              <w:t>The Wright approach to estimating historical stock returns is useful for estimating market risk premium</w:t>
            </w:r>
            <w:r w:rsidRPr="00772B77">
              <w:rPr>
                <w:rStyle w:val="FootnoteReference"/>
              </w:rPr>
              <w:footnoteReference w:id="338"/>
            </w:r>
            <w:r w:rsidRPr="00772B77">
              <w:rPr>
                <w:rStyle w:val="AERtextsize8"/>
              </w:rPr>
              <w:t xml:space="preserve"> and has remained stable since the Guideline implementation</w:t>
            </w:r>
          </w:p>
        </w:tc>
        <w:tc>
          <w:tcPr>
            <w:tcW w:w="6742" w:type="dxa"/>
          </w:tcPr>
          <w:p w:rsidR="00772B77" w:rsidRPr="007C153E" w:rsidRDefault="00772B77" w:rsidP="00CC7A1C">
            <w:pPr>
              <w:numPr>
                <w:ilvl w:val="0"/>
                <w:numId w:val="24"/>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w:t>
            </w:r>
            <w:r w:rsidR="00826060">
              <w:rPr>
                <w:rStyle w:val="FootnoteReference"/>
              </w:rPr>
              <w:footnoteReference w:id="339"/>
            </w:r>
            <w:r w:rsidRPr="007C153E">
              <w:rPr>
                <w:rStyle w:val="AERtextsize8"/>
              </w:rPr>
              <w:t xml:space="preserve"> The CAPM is a forward looking asset pricing model.</w:t>
            </w:r>
            <w:r w:rsidRPr="007A10C2">
              <w:rPr>
                <w:rStyle w:val="FootnoteReference"/>
              </w:rPr>
              <w:footnoteReference w:id="340"/>
            </w:r>
            <w:r w:rsidRPr="007C153E">
              <w:rPr>
                <w:rStyle w:val="AERtextsize8"/>
              </w:rPr>
              <w:t xml:space="preserve"> Historical data (such as historical excess returns on the market) may be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Pr>
                <w:rStyle w:val="AERtextsize8"/>
              </w:rPr>
              <w:fldChar w:fldCharType="begin"/>
            </w:r>
            <w:r>
              <w:rPr>
                <w:rStyle w:val="AERtextsize8"/>
              </w:rPr>
              <w:instrText xml:space="preserve"> REF _Ref449018117 \r \h </w:instrText>
            </w:r>
            <w:r>
              <w:rPr>
                <w:rStyle w:val="AERtextsize8"/>
              </w:rPr>
            </w:r>
            <w:r>
              <w:rPr>
                <w:rStyle w:val="AERtextsize8"/>
              </w:rPr>
              <w:fldChar w:fldCharType="separate"/>
            </w:r>
            <w:r w:rsidR="00C6448C">
              <w:rPr>
                <w:rStyle w:val="AERtextsize8"/>
              </w:rPr>
              <w:t>B.5</w:t>
            </w:r>
            <w:r>
              <w:rPr>
                <w:rStyle w:val="AERtextsize8"/>
              </w:rPr>
              <w:fldChar w:fldCharType="end"/>
            </w:r>
            <w:r>
              <w:rPr>
                <w:rStyle w:val="AERtextsize8"/>
              </w:rPr>
              <w:t xml:space="preserve"> of this attachment.</w:t>
            </w:r>
          </w:p>
        </w:tc>
      </w:tr>
      <w:tr w:rsidR="00772B77" w:rsidTr="00772B77">
        <w:tc>
          <w:tcPr>
            <w:tcW w:w="1951" w:type="dxa"/>
          </w:tcPr>
          <w:p w:rsidR="00772B77" w:rsidRPr="00772B77" w:rsidRDefault="00772B77" w:rsidP="00772B77">
            <w:pPr>
              <w:rPr>
                <w:rStyle w:val="AERtextsize8"/>
              </w:rPr>
            </w:pPr>
            <w:r w:rsidRPr="007C153E">
              <w:rPr>
                <w:rStyle w:val="AERtextsize8"/>
              </w:rPr>
              <w:t>Information from valuation reports is useful for estimating market risk premium</w:t>
            </w:r>
            <w:r w:rsidRPr="00772B77">
              <w:rPr>
                <w:rStyle w:val="FootnoteReference"/>
              </w:rPr>
              <w:footnoteReference w:id="341"/>
            </w:r>
            <w:r w:rsidRPr="00772B77">
              <w:rPr>
                <w:rStyle w:val="AERtextsize8"/>
              </w:rPr>
              <w:t xml:space="preserve"> </w:t>
            </w:r>
          </w:p>
        </w:tc>
        <w:tc>
          <w:tcPr>
            <w:tcW w:w="6742" w:type="dxa"/>
          </w:tcPr>
          <w:p w:rsidR="00772B77" w:rsidRPr="00772B77" w:rsidRDefault="00772B77" w:rsidP="00892103">
            <w:pPr>
              <w:rPr>
                <w:rStyle w:val="AERtextsize8"/>
              </w:rPr>
            </w:pPr>
            <w:r>
              <w:rPr>
                <w:rStyle w:val="AERtextsize8"/>
              </w:rPr>
              <w:t>Our consideration of valuation reports is informative of our market risk premium estimate: as a cross-check on our overall ret</w:t>
            </w:r>
            <w:r w:rsidRPr="00772B77">
              <w:rPr>
                <w:rStyle w:val="AERtextsize8"/>
              </w:rPr>
              <w:t xml:space="preserve">urn on equity. They are a cross-check on our return on equity parameters, including the market risk premium. </w:t>
            </w:r>
            <w:r w:rsidRPr="00772B77">
              <w:t>Valuation reports have a different objective to the ARORO, which may make their estimates unsuitable for our purpose.</w:t>
            </w:r>
            <w:r w:rsidR="00452704">
              <w:rPr>
                <w:rStyle w:val="FootnoteReference"/>
              </w:rPr>
              <w:footnoteReference w:id="342"/>
            </w:r>
            <w:r w:rsidRPr="00772B77">
              <w:t xml:space="preserve"> This effect is likely more prevalent for input parameters than the overall return on equity. A lack of transparency on the derivation of return on equity estimates prevents adjusting for these effects. Partington and Satchell has also noted that analysts' beliefs 'can seem somewhat unreliable'.</w:t>
            </w:r>
            <w:r w:rsidRPr="00772B77">
              <w:rPr>
                <w:rStyle w:val="FootnoteReference"/>
              </w:rPr>
              <w:footnoteReference w:id="343"/>
            </w:r>
            <w:r w:rsidR="001516D1">
              <w:t xml:space="preserve"> </w:t>
            </w:r>
            <w:r w:rsidRPr="00D02C72">
              <w:t>See section</w:t>
            </w:r>
            <w:r w:rsidR="00892103">
              <w:t xml:space="preserve"> </w:t>
            </w:r>
            <w:r w:rsidR="00892103">
              <w:fldChar w:fldCharType="begin"/>
            </w:r>
            <w:r w:rsidR="00892103">
              <w:instrText xml:space="preserve"> REF _Ref480805208 \r \h </w:instrText>
            </w:r>
            <w:r w:rsidR="00892103">
              <w:fldChar w:fldCharType="separate"/>
            </w:r>
            <w:r w:rsidR="00C6448C">
              <w:t>F.5</w:t>
            </w:r>
            <w:r w:rsidR="00892103">
              <w:fldChar w:fldCharType="end"/>
            </w:r>
            <w:r w:rsidRPr="00D02C72">
              <w:t xml:space="preserve"> </w:t>
            </w:r>
            <w:r w:rsidRPr="00772B77">
              <w:t>for further discussion on these limitations.</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Pr>
                <w:rStyle w:val="AERtextsize8"/>
              </w:rPr>
              <w:t>Valuation report</w:t>
            </w:r>
            <w:r w:rsidRPr="00772B77">
              <w:rPr>
                <w:rStyle w:val="AERtextsize8"/>
              </w:rPr>
              <w:t>s indicate a market risk premium higher than 6.5 per cent.</w:t>
            </w:r>
            <w:r w:rsidRPr="00772B77">
              <w:rPr>
                <w:rStyle w:val="FootnoteReference"/>
              </w:rPr>
              <w:footnoteReference w:id="344"/>
            </w:r>
          </w:p>
        </w:tc>
        <w:tc>
          <w:tcPr>
            <w:tcW w:w="6742" w:type="dxa"/>
          </w:tcPr>
          <w:p w:rsidR="00772B77" w:rsidRPr="00772B77" w:rsidRDefault="00772B77" w:rsidP="00772B77">
            <w:pPr>
              <w:rPr>
                <w:rStyle w:val="AERtextsize8"/>
              </w:rPr>
            </w:pPr>
            <w:r>
              <w:rPr>
                <w:rStyle w:val="AERtextsize8"/>
              </w:rPr>
              <w:t xml:space="preserve">As noted above, </w:t>
            </w:r>
            <w:r w:rsidRPr="00772B77">
              <w:rPr>
                <w:rStyle w:val="AERtextsize8"/>
              </w:rPr>
              <w:t>our assessment of valuation reports is that they should be used to cross-check our overall return on equity.</w:t>
            </w:r>
          </w:p>
          <w:p w:rsidR="00772B77" w:rsidRPr="00772B77" w:rsidRDefault="00772B77" w:rsidP="00772B77">
            <w:r>
              <w:rPr>
                <w:rStyle w:val="AERtextsize8"/>
              </w:rPr>
              <w:t>We</w:t>
            </w:r>
            <w:r w:rsidRPr="00772B77">
              <w:rPr>
                <w:rStyle w:val="AERtextsize8"/>
              </w:rPr>
              <w:t xml:space="preserve"> also observe that </w:t>
            </w:r>
            <w:r w:rsidR="00E81300">
              <w:rPr>
                <w:rStyle w:val="AERtextsize8"/>
              </w:rPr>
              <w:t>Frontier's observation</w:t>
            </w:r>
            <w:r w:rsidRPr="00772B77">
              <w:rPr>
                <w:rStyle w:val="AERtextsize8"/>
              </w:rPr>
              <w:t xml:space="preserve"> is based on uplifted parameters and/or return on equity estimates from valuation reports.</w:t>
            </w:r>
            <w:r w:rsidRPr="00772B77">
              <w:rPr>
                <w:rStyle w:val="FootnoteReference"/>
              </w:rPr>
              <w:footnoteReference w:id="345"/>
            </w:r>
            <w:r w:rsidRPr="00772B77">
              <w:rPr>
                <w:rStyle w:val="AERtextsize8"/>
              </w:rPr>
              <w:t xml:space="preserve"> We have greater regard to unadjusted parameters. This is due to u</w:t>
            </w:r>
            <w:r w:rsidRPr="00772B77">
              <w:t xml:space="preserve">plifts applied by brokers and valuers to initial estimates may be inconsistent with the ARORO. As a result, we prefer to have greater regard to estimates exclusive of these uplifts. </w:t>
            </w:r>
          </w:p>
          <w:p w:rsidR="00772B77" w:rsidRPr="00772B77" w:rsidRDefault="00772B77" w:rsidP="00772B77">
            <w:r>
              <w:t xml:space="preserve">Further, </w:t>
            </w:r>
            <w:r w:rsidRPr="00772B77">
              <w:t>Partington and Satchell has advised that 'there is evidence that valuation practitioners are using an MRP lower than the 6% favoured in Australia and there is no evidence that the MRP being used is going up.'</w:t>
            </w:r>
            <w:r w:rsidRPr="00772B77">
              <w:rPr>
                <w:rStyle w:val="FootnoteReference"/>
              </w:rPr>
              <w:footnoteReference w:id="346"/>
            </w:r>
          </w:p>
          <w:p w:rsidR="00772B77" w:rsidRPr="00772B77" w:rsidRDefault="00772B77" w:rsidP="00772B77">
            <w:pPr>
              <w:rPr>
                <w:rStyle w:val="AERtextsize8"/>
              </w:rPr>
            </w:pPr>
            <w:r w:rsidRPr="0087746B">
              <w:t>For more detail, see sections E.3, E.4 and E.6 in Attachment 3 to our preliminary decision for AusNet Services' 2016-20 distribution determination</w:t>
            </w:r>
            <w:r w:rsidR="00226E14">
              <w:t xml:space="preserve"> and previous decisions</w:t>
            </w:r>
            <w:r w:rsidR="00226E14">
              <w:rPr>
                <w:rStyle w:val="FootnoteReference"/>
              </w:rPr>
              <w:footnoteReference w:id="347"/>
            </w:r>
            <w:r w:rsidRPr="0087746B">
              <w:t>.</w:t>
            </w:r>
          </w:p>
        </w:tc>
      </w:tr>
      <w:tr w:rsidR="00772B77" w:rsidTr="00772B77">
        <w:tc>
          <w:tcPr>
            <w:tcW w:w="1951" w:type="dxa"/>
          </w:tcPr>
          <w:p w:rsidR="00772B77" w:rsidRPr="00772B77" w:rsidRDefault="00772B77" w:rsidP="00772B77">
            <w:pPr>
              <w:rPr>
                <w:rStyle w:val="AERtextsize8"/>
              </w:rPr>
            </w:pPr>
            <w:r w:rsidRPr="007C153E">
              <w:rPr>
                <w:rStyle w:val="AERtextsize8"/>
              </w:rPr>
              <w:t>Surveys should not be relied upon</w:t>
            </w:r>
            <w:r w:rsidRPr="00772B77">
              <w:rPr>
                <w:rStyle w:val="FootnoteReference"/>
              </w:rPr>
              <w:footnoteReference w:id="348"/>
            </w:r>
          </w:p>
        </w:tc>
        <w:tc>
          <w:tcPr>
            <w:tcW w:w="6742" w:type="dxa"/>
          </w:tcPr>
          <w:p w:rsidR="00772B77" w:rsidRPr="00772B77" w:rsidRDefault="00772B77" w:rsidP="00772B77">
            <w:pPr>
              <w:rPr>
                <w:rStyle w:val="AERtextsize8"/>
              </w:rPr>
            </w:pPr>
            <w:r w:rsidRPr="0048679F">
              <w:rPr>
                <w:rStyle w:val="AERtextsize8"/>
              </w:rPr>
              <w:t xml:space="preserve">While survey estimates </w:t>
            </w:r>
            <w:r w:rsidRPr="00772B77">
              <w:rPr>
                <w:rStyle w:val="AERtextsize8"/>
              </w:rPr>
              <w:t>intend to provide an arm’s length assessment, we would not expect them to necessarily have complete impartiality. Survey estimates may strive for objective views but it seems unlikely that they will be entirely uninfluenced by commercial and other external interests. 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 We consider this remains useful for informing our market risk premium estimate.</w:t>
            </w:r>
            <w:r w:rsidR="00226E14">
              <w:rPr>
                <w:rStyle w:val="FootnoteReference"/>
              </w:rPr>
              <w:footnoteReference w:id="349"/>
            </w:r>
          </w:p>
        </w:tc>
      </w:tr>
      <w:tr w:rsidR="00772B77" w:rsidTr="00772B77">
        <w:trPr>
          <w:cnfStyle w:val="000000010000" w:firstRow="0" w:lastRow="0" w:firstColumn="0" w:lastColumn="0" w:oddVBand="0" w:evenVBand="0" w:oddHBand="0" w:evenHBand="1" w:firstRowFirstColumn="0" w:firstRowLastColumn="0" w:lastRowFirstColumn="0" w:lastRowLastColumn="0"/>
          <w:trHeight w:val="1274"/>
        </w:trPr>
        <w:tc>
          <w:tcPr>
            <w:tcW w:w="1951" w:type="dxa"/>
          </w:tcPr>
          <w:p w:rsidR="00772B77" w:rsidRPr="00772B77" w:rsidRDefault="00772B77" w:rsidP="00772B77">
            <w:pPr>
              <w:rPr>
                <w:rStyle w:val="AERtextsize8"/>
              </w:rPr>
            </w:pPr>
            <w:r>
              <w:rPr>
                <w:rStyle w:val="AERtextsize8"/>
              </w:rPr>
              <w:t>Surveys require</w:t>
            </w:r>
            <w:r w:rsidRPr="00772B77">
              <w:rPr>
                <w:rStyle w:val="AERtextsize8"/>
              </w:rPr>
              <w:t xml:space="preserve"> grossing-up for imputation credits</w:t>
            </w:r>
            <w:r w:rsidRPr="00772B77">
              <w:rPr>
                <w:rStyle w:val="FootnoteReference"/>
              </w:rPr>
              <w:footnoteReference w:id="350"/>
            </w:r>
          </w:p>
        </w:tc>
        <w:tc>
          <w:tcPr>
            <w:tcW w:w="6742" w:type="dxa"/>
          </w:tcPr>
          <w:p w:rsidR="00772B77" w:rsidRPr="00772B77" w:rsidRDefault="00772B77" w:rsidP="00772B77">
            <w:r>
              <w:t>I</w:t>
            </w:r>
            <w:r w:rsidRPr="00772B77">
              <w:t>t is not clear whether survey estimates should be adjusted for imputation credits. This was also noted in the QCA's 2014 draft decision for Aurizon.</w:t>
            </w:r>
            <w:r w:rsidRPr="00772B77">
              <w:rPr>
                <w:rStyle w:val="FootnoteReference"/>
              </w:rPr>
              <w:footnoteReference w:id="351"/>
            </w:r>
            <w:r w:rsidRPr="00772B77">
              <w:t xml:space="preserve">   </w:t>
            </w:r>
          </w:p>
          <w:p w:rsidR="00772B77" w:rsidRPr="00772B77" w:rsidRDefault="00772B77" w:rsidP="00772B77">
            <w:r>
              <w:t>W</w:t>
            </w:r>
            <w:r w:rsidRPr="00772B77">
              <w:t>e are inclined to agree with the QCA's view that 'as participants can be considered sophisticated investors and/or market observers (including academics) it seems as likely they would have taken account of all factors, including the need to implicitly adjust for dividend imputation credits'.</w:t>
            </w:r>
            <w:r w:rsidRPr="00772B77">
              <w:rPr>
                <w:rStyle w:val="FootnoteReference"/>
              </w:rPr>
              <w:footnoteReference w:id="352"/>
            </w:r>
            <w:r w:rsidRPr="00772B77">
              <w:t xml:space="preserve"> </w:t>
            </w:r>
          </w:p>
        </w:tc>
      </w:tr>
      <w:tr w:rsidR="00772B77" w:rsidTr="00772B77">
        <w:tc>
          <w:tcPr>
            <w:tcW w:w="1951" w:type="dxa"/>
          </w:tcPr>
          <w:p w:rsidR="00772B77" w:rsidRPr="00772B77" w:rsidRDefault="00772B77" w:rsidP="00772B77">
            <w:pPr>
              <w:rPr>
                <w:rStyle w:val="AERtextsize8"/>
              </w:rPr>
            </w:pPr>
            <w:r w:rsidRPr="00F825D9">
              <w:rPr>
                <w:rStyle w:val="AERtextsize8"/>
              </w:rPr>
              <w:t xml:space="preserve">Our concern about sticky dividends creating bias in the dividend growth model is not material in the current </w:t>
            </w:r>
            <w:r w:rsidRPr="00772B77">
              <w:rPr>
                <w:rStyle w:val="AERtextsize8"/>
              </w:rPr>
              <w:t>market as dividends are forecast to grow from 2015 to 2017</w:t>
            </w:r>
            <w:r w:rsidRPr="00772B77">
              <w:rPr>
                <w:rStyle w:val="FootnoteReference"/>
              </w:rPr>
              <w:footnoteReference w:id="353"/>
            </w:r>
          </w:p>
        </w:tc>
        <w:tc>
          <w:tcPr>
            <w:tcW w:w="6742" w:type="dxa"/>
          </w:tcPr>
          <w:p w:rsidR="00772B77" w:rsidRPr="00772B77" w:rsidRDefault="00772B77" w:rsidP="00772B77">
            <w:r>
              <w:t xml:space="preserve">We consider that sticky dividends </w:t>
            </w:r>
            <w:r w:rsidRPr="00772B77">
              <w:t>may create bias in the dividend growth model, and there is no reason to believe that this bias is not material in the current market.</w:t>
            </w:r>
            <w:r w:rsidR="00AC26B1">
              <w:rPr>
                <w:rStyle w:val="FootnoteReference"/>
              </w:rPr>
              <w:footnoteReference w:id="354"/>
            </w:r>
            <w:r w:rsidRPr="00772B77">
              <w:t xml:space="preserve"> </w:t>
            </w:r>
          </w:p>
          <w:p w:rsidR="00772B77" w:rsidRPr="00D02C72" w:rsidRDefault="00772B77" w:rsidP="00772B77">
            <w:r w:rsidRPr="00D02C72">
              <w:t xml:space="preserve">We </w:t>
            </w:r>
            <w:r w:rsidRPr="00772B77">
              <w:t>continue to consider that expectations reflected in market prices are longer-term than to 2017, such that expectations post-2017 may have greater effect on prices than expectations for 2015 to 2017. Moreover, RBA data suggests that forecast growth in earnings per share will likely slow over the 2016-17 financial year.</w:t>
            </w:r>
            <w:r w:rsidRPr="00772B77">
              <w:rPr>
                <w:rStyle w:val="FootnoteReference"/>
              </w:rPr>
              <w:footnoteReference w:id="355"/>
            </w:r>
            <w:r w:rsidRPr="00772B77">
              <w:t xml:space="preserve"> See Appendix </w:t>
            </w:r>
            <w:r w:rsidR="00A4295D">
              <w:fldChar w:fldCharType="begin"/>
            </w:r>
            <w:r w:rsidR="00A4295D">
              <w:instrText xml:space="preserve"> REF _Ref478395910 \r \h </w:instrText>
            </w:r>
            <w:r w:rsidR="00A4295D">
              <w:fldChar w:fldCharType="separate"/>
            </w:r>
            <w:r w:rsidR="00C6448C">
              <w:t>D</w:t>
            </w:r>
            <w:r w:rsidR="00A4295D">
              <w:fldChar w:fldCharType="end"/>
            </w:r>
            <w:r w:rsidRPr="00772B77">
              <w:t xml:space="preserve"> for more discussion.</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sidRPr="00F825D9">
              <w:rPr>
                <w:rStyle w:val="AERtextsize8"/>
              </w:rPr>
              <w:t>Our concern about upwards bias in analysts' dividend forecasts is not material in the current market</w:t>
            </w:r>
            <w:r w:rsidRPr="00772B77">
              <w:rPr>
                <w:rStyle w:val="FootnoteReference"/>
              </w:rPr>
              <w:footnoteReference w:id="356"/>
            </w:r>
          </w:p>
        </w:tc>
        <w:tc>
          <w:tcPr>
            <w:tcW w:w="6742" w:type="dxa"/>
          </w:tcPr>
          <w:p w:rsidR="00772B77" w:rsidRPr="001135E9" w:rsidRDefault="00C33F1F" w:rsidP="00CC7A1C">
            <w:pPr>
              <w:numPr>
                <w:ilvl w:val="0"/>
                <w:numId w:val="24"/>
              </w:numPr>
            </w:pPr>
            <w:r w:rsidRPr="00B4711B">
              <w:t>Analyst forecasts are well understood to be upward</w:t>
            </w:r>
            <w:r>
              <w:t>ly</w:t>
            </w:r>
            <w:r w:rsidRPr="00B4711B">
              <w:t xml:space="preserve"> biased.</w:t>
            </w:r>
            <w:r>
              <w:rPr>
                <w:rStyle w:val="FootnoteReference"/>
              </w:rPr>
              <w:footnoteReference w:id="357"/>
            </w:r>
            <w:r w:rsidRPr="00B4711B">
              <w:t xml:space="preserve"> </w:t>
            </w:r>
            <w:r>
              <w:t xml:space="preserve">Although we show the effect of potential bias of ten percent (see section in the sensitivity analysis), the extent of any bias is unclear. No stakeholder has proposed methods to estimate the extent of any bias, and such methods may be complex, without widespread acceptance, and open to gaming. For this reason, we do not apply an adjustment. </w:t>
            </w:r>
          </w:p>
        </w:tc>
      </w:tr>
      <w:tr w:rsidR="00772B77" w:rsidTr="00772B77">
        <w:tc>
          <w:tcPr>
            <w:tcW w:w="1951" w:type="dxa"/>
          </w:tcPr>
          <w:p w:rsidR="00772B77" w:rsidRPr="00772B77" w:rsidRDefault="00772B77" w:rsidP="00772B77">
            <w:pPr>
              <w:rPr>
                <w:rStyle w:val="AERtextsize8"/>
              </w:rPr>
            </w:pPr>
            <w:r w:rsidRPr="00F825D9">
              <w:rPr>
                <w:rStyle w:val="AERtextsize8"/>
              </w:rPr>
              <w:t xml:space="preserve">Our concern about upwards bias in analysts' dividend </w:t>
            </w:r>
            <w:r w:rsidRPr="00772B77">
              <w:rPr>
                <w:rStyle w:val="AERtextsize8"/>
              </w:rPr>
              <w:t>forecasts is not relevant as the forecasts reflect analysts' implied discount rates</w:t>
            </w:r>
            <w:r w:rsidRPr="00772B77">
              <w:rPr>
                <w:rStyle w:val="FootnoteReference"/>
              </w:rPr>
              <w:footnoteReference w:id="358"/>
            </w:r>
          </w:p>
        </w:tc>
        <w:tc>
          <w:tcPr>
            <w:tcW w:w="6742" w:type="dxa"/>
          </w:tcPr>
          <w:p w:rsidR="00772B77" w:rsidRDefault="00772B77" w:rsidP="00CC7A1C">
            <w:pPr>
              <w:numPr>
                <w:ilvl w:val="0"/>
                <w:numId w:val="24"/>
              </w:numPr>
            </w:pPr>
            <w:r>
              <w:t>Frontier noted our concern and responded that the AER should focus on estimating the implied return that equates the dividend forecast to the actual stock price, and not on the dividend forecast that the AER thinks the market should have used.</w:t>
            </w:r>
            <w:r>
              <w:rPr>
                <w:rStyle w:val="FootnoteReference"/>
              </w:rPr>
              <w:footnoteReference w:id="359"/>
            </w:r>
          </w:p>
          <w:p w:rsidR="00772B77" w:rsidRPr="00CE0902" w:rsidRDefault="00772B77" w:rsidP="00CC7A1C">
            <w:pPr>
              <w:numPr>
                <w:ilvl w:val="0"/>
                <w:numId w:val="24"/>
              </w:numPr>
            </w:pPr>
            <w:r>
              <w:t>Partington and Satchell noted Frontier's survey of analysts' forecasts for the ASX 20 by stating they would "place little weight on a non-random sample of twenty firms and one year's observations" when assessing the reliability of analyst's forecasts.</w:t>
            </w:r>
            <w:r>
              <w:rPr>
                <w:rStyle w:val="FootnoteReference"/>
              </w:rPr>
              <w:footnoteReference w:id="360"/>
            </w:r>
          </w:p>
          <w:p w:rsidR="00772B77" w:rsidRDefault="00772B77" w:rsidP="00CC7A1C">
            <w:pPr>
              <w:numPr>
                <w:ilvl w:val="0"/>
                <w:numId w:val="24"/>
              </w:numPr>
            </w:pPr>
            <w:r>
              <w:t>We remain of the view that i</w:t>
            </w:r>
            <w:r w:rsidRPr="00952754">
              <w:t>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361"/>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772B77" w:rsidRPr="001566F2" w:rsidRDefault="00772B77" w:rsidP="00CC7A1C">
            <w:pPr>
              <w:numPr>
                <w:ilvl w:val="0"/>
                <w:numId w:val="24"/>
              </w:numPr>
            </w:pPr>
            <w:r>
              <w:t xml:space="preserve">See </w:t>
            </w:r>
            <w:r w:rsidR="00F1397D">
              <w:t>'other information and evaluation of information set on overall return on equity' sub</w:t>
            </w:r>
            <w:r>
              <w:t>section</w:t>
            </w:r>
            <w:r w:rsidR="00F1397D">
              <w:t xml:space="preserve"> of section</w:t>
            </w:r>
            <w:r>
              <w:t xml:space="preserve"> </w:t>
            </w:r>
            <w:r w:rsidR="00F1397D">
              <w:t xml:space="preserve">3.4.2 </w:t>
            </w:r>
            <w:r>
              <w:t xml:space="preserve"> </w:t>
            </w:r>
            <w:r w:rsidR="00A4295D">
              <w:t>and Appendi</w:t>
            </w:r>
            <w:r w:rsidR="00F1397D">
              <w:t>ces B.4 and</w:t>
            </w:r>
            <w:r w:rsidR="00A4295D">
              <w:t xml:space="preserve"> </w:t>
            </w:r>
            <w:r w:rsidR="00F1397D">
              <w:t xml:space="preserve">D </w:t>
            </w:r>
            <w:r>
              <w:t>for more detail.</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sidRPr="00F825D9">
              <w:rPr>
                <w:rStyle w:val="AERtextsize8"/>
              </w:rPr>
              <w:t>NERA's adjustment to historical stock returns is more reliable than the ASX's adjustment</w:t>
            </w:r>
            <w:r w:rsidRPr="00772B77">
              <w:rPr>
                <w:rStyle w:val="FootnoteReference"/>
              </w:rPr>
              <w:footnoteReference w:id="362"/>
            </w:r>
          </w:p>
        </w:tc>
        <w:tc>
          <w:tcPr>
            <w:tcW w:w="6742" w:type="dxa"/>
          </w:tcPr>
          <w:p w:rsidR="00772B77" w:rsidRPr="00772B77" w:rsidRDefault="00772B77" w:rsidP="00892103">
            <w:r>
              <w:rPr>
                <w:rStyle w:val="AERtextsize8"/>
              </w:rPr>
              <w:t xml:space="preserve">We do not consider </w:t>
            </w:r>
            <w:r w:rsidRPr="00772B77">
              <w:rPr>
                <w:rStyle w:val="AERtextsize8"/>
              </w:rPr>
              <w:t>NERA's adjustment, which is based on less than ten data points out of 300, represents a material improvement in reliability</w:t>
            </w:r>
            <w:r w:rsidRPr="00772B77">
              <w:t>.</w:t>
            </w:r>
            <w:r w:rsidR="00F56847">
              <w:rPr>
                <w:rStyle w:val="FootnoteReference"/>
              </w:rPr>
              <w:footnoteReference w:id="363"/>
            </w:r>
            <w:r w:rsidRPr="00772B77">
              <w:t xml:space="preserve"> NERA has also not reconciled the data it uses for its adjustment to the data of the original series. Further details of our reasons are in section</w:t>
            </w:r>
            <w:r w:rsidR="00892103">
              <w:t xml:space="preserve"> </w:t>
            </w:r>
            <w:r w:rsidR="00892103">
              <w:fldChar w:fldCharType="begin"/>
            </w:r>
            <w:r w:rsidR="00892103">
              <w:instrText xml:space="preserve"> REF _Ref449007421 \r \h </w:instrText>
            </w:r>
            <w:r w:rsidR="00892103">
              <w:fldChar w:fldCharType="separate"/>
            </w:r>
            <w:r w:rsidR="00C6448C">
              <w:t>B.4</w:t>
            </w:r>
            <w:r w:rsidR="00892103">
              <w:fldChar w:fldCharType="end"/>
            </w:r>
            <w:r w:rsidR="00892103">
              <w:t xml:space="preserve"> </w:t>
            </w:r>
            <w:r w:rsidRPr="00772B77">
              <w:t xml:space="preserve">of this attachment.   </w:t>
            </w:r>
          </w:p>
        </w:tc>
      </w:tr>
      <w:tr w:rsidR="00772B77" w:rsidTr="00772B77">
        <w:tc>
          <w:tcPr>
            <w:tcW w:w="1951" w:type="dxa"/>
          </w:tcPr>
          <w:p w:rsidR="00772B77" w:rsidRPr="00772B77" w:rsidRDefault="00772B77" w:rsidP="00772B77">
            <w:r>
              <w:t>Arithmetic averaging of historical stock returns is more appropriate than geometric averaging</w:t>
            </w:r>
            <w:r w:rsidRPr="00772B77">
              <w:rPr>
                <w:rStyle w:val="FootnoteReference"/>
              </w:rPr>
              <w:footnoteReference w:id="364"/>
            </w:r>
          </w:p>
        </w:tc>
        <w:tc>
          <w:tcPr>
            <w:tcW w:w="6742" w:type="dxa"/>
          </w:tcPr>
          <w:p w:rsidR="00772B77" w:rsidRPr="00772B77" w:rsidRDefault="00772B77" w:rsidP="00892103">
            <w:pPr>
              <w:rPr>
                <w:rStyle w:val="AERtextsize8"/>
              </w:rPr>
            </w:pPr>
            <w:r>
              <w:t xml:space="preserve">In estimating the </w:t>
            </w:r>
            <w:r w:rsidRPr="00772B77">
              <w:t>market risk premium, we have regard to both arithmetic and geometric average historical excess returns.</w:t>
            </w:r>
            <w:r w:rsidR="00F56847">
              <w:rPr>
                <w:rStyle w:val="FootnoteReference"/>
              </w:rPr>
              <w:footnoteReference w:id="365"/>
            </w:r>
            <w:r w:rsidRPr="00772B77">
              <w:t xml:space="preserve"> Partington and Satchell recommended the consideration of both arithmetic and geometric averages, tempered by an understanding of the potential biases in both.</w:t>
            </w:r>
            <w:r w:rsidRPr="00772B77">
              <w:rPr>
                <w:rStyle w:val="FootnoteReference"/>
              </w:rPr>
              <w:footnoteReference w:id="366"/>
            </w:r>
            <w:r w:rsidRPr="00772B77">
              <w:t xml:space="preserve"> Also, they supported this position in their most recent 2016 report.</w:t>
            </w:r>
            <w:r w:rsidRPr="00772B77">
              <w:rPr>
                <w:rStyle w:val="FootnoteReference"/>
              </w:rPr>
              <w:footnoteReference w:id="367"/>
            </w:r>
            <w:r w:rsidRPr="00772B77">
              <w:t xml:space="preserve"> Further details of our reasons are in section</w:t>
            </w:r>
            <w:r w:rsidR="00892103">
              <w:t xml:space="preserve"> C.3 </w:t>
            </w:r>
            <w:r w:rsidRPr="00772B77">
              <w:t xml:space="preserve">of this attachment.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We should </w:t>
            </w:r>
            <w:r w:rsidRPr="00772B77">
              <w:t>use sample periods that begin pre-1980s, when estimating historical stock returns</w:t>
            </w:r>
            <w:r w:rsidRPr="00772B77">
              <w:rPr>
                <w:rStyle w:val="FootnoteReference"/>
              </w:rPr>
              <w:footnoteReference w:id="368"/>
            </w:r>
          </w:p>
        </w:tc>
        <w:tc>
          <w:tcPr>
            <w:tcW w:w="6742" w:type="dxa"/>
          </w:tcPr>
          <w:p w:rsidR="00772B77" w:rsidRPr="00772B77" w:rsidRDefault="00772B77" w:rsidP="00892103">
            <w:pPr>
              <w:rPr>
                <w:rStyle w:val="AERtextsize8"/>
              </w:rPr>
            </w:pPr>
            <w:r w:rsidRPr="006B7989">
              <w:rPr>
                <w:rStyle w:val="AERtextsize8"/>
              </w:rPr>
              <w:t xml:space="preserve">Partington and Satchell </w:t>
            </w:r>
            <w:r w:rsidRPr="00772B77">
              <w:rPr>
                <w:rStyle w:val="AERtextsize8"/>
              </w:rPr>
              <w:t>considered that, although it reduces the precision of the estimates, there are reasons for using multiple sampling periods, such as possible structural breaks in the data and issues regarding data quality.</w:t>
            </w:r>
            <w:r w:rsidRPr="00772B77">
              <w:rPr>
                <w:rStyle w:val="FootnoteReference"/>
              </w:rPr>
              <w:footnoteReference w:id="369"/>
            </w:r>
            <w:r w:rsidRPr="00772B77">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w:t>
            </w:r>
            <w:r w:rsidR="00892103">
              <w:rPr>
                <w:rStyle w:val="AERtextsize8"/>
              </w:rPr>
              <w:t xml:space="preserve"> C.1.2</w:t>
            </w:r>
            <w:r w:rsidRPr="00772B77">
              <w:rPr>
                <w:rStyle w:val="AERtextsize8"/>
              </w:rPr>
              <w:t xml:space="preserve"> of Attachment 3 to our preliminary decision on AusNet Services' 2016-20 distribution determination </w:t>
            </w:r>
            <w:r w:rsidR="009E2F4C">
              <w:rPr>
                <w:rStyle w:val="AERtextsize8"/>
              </w:rPr>
              <w:t>a</w:t>
            </w:r>
            <w:r w:rsidRPr="00772B77">
              <w:rPr>
                <w:rStyle w:val="AERtextsize8"/>
              </w:rPr>
              <w:t>nd section</w:t>
            </w:r>
            <w:r w:rsidR="00892103">
              <w:rPr>
                <w:rStyle w:val="AERtextsize8"/>
              </w:rPr>
              <w:t xml:space="preserve"> 3.4.1</w:t>
            </w:r>
            <w:r w:rsidRPr="00772B77">
              <w:rPr>
                <w:rStyle w:val="AERtextsize8"/>
              </w:rPr>
              <w:t xml:space="preserve"> of our May 2016 final decision on AusNet Services' 2016-20 distribution determination.</w:t>
            </w:r>
          </w:p>
        </w:tc>
      </w:tr>
      <w:tr w:rsidR="00772B77" w:rsidTr="00772B77">
        <w:tc>
          <w:tcPr>
            <w:tcW w:w="1951" w:type="dxa"/>
          </w:tcPr>
          <w:p w:rsidR="00772B77" w:rsidRPr="00772B77" w:rsidRDefault="00772B77" w:rsidP="00772B77">
            <w:r w:rsidRPr="00A13F56">
              <w:t xml:space="preserve">Other regulators are currently adopting higher </w:t>
            </w:r>
            <w:r w:rsidRPr="00772B77">
              <w:t>market risk premium estimates</w:t>
            </w:r>
            <w:r w:rsidRPr="00772B77">
              <w:rPr>
                <w:rStyle w:val="FootnoteReference"/>
              </w:rPr>
              <w:footnoteReference w:id="370"/>
            </w:r>
          </w:p>
        </w:tc>
        <w:tc>
          <w:tcPr>
            <w:tcW w:w="6742" w:type="dxa"/>
          </w:tcPr>
          <w:p w:rsidR="00772B77" w:rsidRPr="00772B77" w:rsidRDefault="00772B77" w:rsidP="00772B77">
            <w:r w:rsidRPr="00D02C72">
              <w:t xml:space="preserve">Other regulators adopt </w:t>
            </w:r>
            <w:r w:rsidRPr="00772B77">
              <w:t xml:space="preserve">different approaches, have different regulatory tasks (and regimes) and regulate different businesses.  Hence we assign less weight to this material and do not use it to directly estimate the market risk premium after assessing its merits in the Guideline and subsequent regulatory decisions. We use information from other regulators' decision as a cross check to the market risk premium and return on equity point estimate. Further detail of our reasons can be found in Appendix F. </w:t>
            </w:r>
          </w:p>
          <w:p w:rsidR="00772B77" w:rsidRPr="00772B77" w:rsidRDefault="00772B77" w:rsidP="00772B77">
            <w:r>
              <w:t>It is not clear that other regulators are adopting a higher market risk premium.</w:t>
            </w:r>
            <w:r w:rsidRPr="00772B77">
              <w:t xml:space="preserve"> If decisions by foreign regulators and the ERA are excluded, Frontier's submission indicates that most Australian regulators are adopting a market risk premium of 6.5 per cent or below.</w:t>
            </w:r>
          </w:p>
          <w:p w:rsidR="00772B77" w:rsidRPr="00772B77" w:rsidRDefault="00772B77" w:rsidP="00772B77">
            <w:r>
              <w:t>We note that t</w:t>
            </w:r>
            <w:r w:rsidRPr="00772B77">
              <w:t>he ERA has acknowledged that its estimate</w:t>
            </w:r>
            <w:r w:rsidR="00BA1218">
              <w:t xml:space="preserve"> (7.4 per cent)</w:t>
            </w:r>
            <w:r w:rsidRPr="00772B77">
              <w:t xml:space="preserve"> is </w:t>
            </w:r>
            <w:r w:rsidR="00DF0600" w:rsidRPr="00772B77">
              <w:t>com</w:t>
            </w:r>
            <w:r w:rsidR="00DF0600">
              <w:t>parable</w:t>
            </w:r>
            <w:r w:rsidRPr="00772B77">
              <w:t xml:space="preserve"> with our 6.5 per cent market risk premium</w:t>
            </w:r>
            <w:r w:rsidR="00E72090">
              <w:t xml:space="preserve"> once differences in parameter estimates and judgement are accounted for</w:t>
            </w:r>
            <w:r w:rsidRPr="00772B77">
              <w:t>.</w:t>
            </w:r>
            <w:r w:rsidR="00927F59">
              <w:rPr>
                <w:rStyle w:val="FootnoteReference"/>
              </w:rPr>
              <w:footnoteReference w:id="371"/>
            </w:r>
            <w:r w:rsidRPr="00772B77">
              <w:t xml:space="preserve"> We do not consider regulatory decisions by foreign regulators to be useful for informing the market risk premium for the benchmark efficient entity with a similar degree of risk as AusNet Services for supplying </w:t>
            </w:r>
            <w:r w:rsidR="00E81300">
              <w:t>the regulated</w:t>
            </w:r>
            <w:r w:rsidRPr="00772B77">
              <w:t xml:space="preserve"> services.</w:t>
            </w:r>
            <w:r w:rsidRPr="00772B77">
              <w:rPr>
                <w:rStyle w:val="FootnoteReference"/>
              </w:rPr>
              <w:footnoteReference w:id="372"/>
            </w:r>
            <w:r w:rsidRPr="00772B77">
              <w:t xml:space="preserve"> This is because the required return on the market may differ across countries</w:t>
            </w:r>
            <w:r w:rsidRPr="00772B77">
              <w:rPr>
                <w:rStyle w:val="FootnoteReference"/>
              </w:rPr>
              <w:footnoteReference w:id="373"/>
            </w:r>
            <w:r w:rsidRPr="00772B77">
              <w:t xml:space="preserve"> in addition to other caveats we note about other regulators' decisions.</w:t>
            </w:r>
            <w:r w:rsidRPr="00772B77">
              <w:rPr>
                <w:rStyle w:val="FootnoteReference"/>
              </w:rPr>
              <w:footnoteReference w:id="374"/>
            </w:r>
          </w:p>
          <w:p w:rsidR="00772B77" w:rsidRPr="00772B77" w:rsidRDefault="00772B77" w:rsidP="00772B77">
            <w:r>
              <w:t>Partington and Satchell</w:t>
            </w:r>
            <w:r w:rsidRPr="00772B77">
              <w:t xml:space="preserve"> has also advised that "overseas regulators decisions are not likely to be convincing unless one can show great similarities between the economies considered."</w:t>
            </w:r>
            <w:r w:rsidRPr="00772B77">
              <w:rPr>
                <w:rStyle w:val="FootnoteReference"/>
              </w:rPr>
              <w:footnoteReference w:id="375"/>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The AER </w:t>
            </w:r>
            <w:r w:rsidRPr="00772B77">
              <w:t>uses a constant market risk premium for each decision</w:t>
            </w:r>
            <w:r w:rsidRPr="00772B77">
              <w:rPr>
                <w:rStyle w:val="FootnoteReference"/>
              </w:rPr>
              <w:footnoteReference w:id="376"/>
            </w:r>
            <w:r w:rsidRPr="00772B77">
              <w:t xml:space="preserve"> </w:t>
            </w:r>
          </w:p>
        </w:tc>
        <w:tc>
          <w:tcPr>
            <w:tcW w:w="6742" w:type="dxa"/>
          </w:tcPr>
          <w:p w:rsidR="00772B77" w:rsidRPr="00772B77" w:rsidRDefault="00772B77" w:rsidP="00772B77">
            <w:r>
              <w:t>Our market risk premium is informed by</w:t>
            </w:r>
            <w:r w:rsidRPr="00772B77">
              <w:t xml:space="preserve"> a range of relevant materials. Our assessment of all these materials is informed by the roles assigned to them based on their relative merits and suitability for our regulatory task (see Table </w:t>
            </w:r>
            <w:r w:rsidR="00A4295D">
              <w:t xml:space="preserve">3–5 </w:t>
            </w:r>
            <w:r w:rsidRPr="00772B77">
              <w:t xml:space="preserve"> for a summary). The relevant evidence indicates that the forward looking 10-year market risk premium continues to be 6.5 per cent. </w:t>
            </w:r>
          </w:p>
          <w:p w:rsidR="00772B77" w:rsidRPr="00772B77" w:rsidRDefault="00113EAF" w:rsidP="00772B77">
            <w:r>
              <w:t xml:space="preserve">Partington and Satchell </w:t>
            </w:r>
            <w:r w:rsidR="00772B77" w:rsidRPr="00772B77">
              <w:t>noted 'to consider changes in the MRP requires some statistical evidence'.</w:t>
            </w:r>
            <w:r w:rsidR="00772B77" w:rsidRPr="00772B77">
              <w:rPr>
                <w:rStyle w:val="FootnoteReference"/>
              </w:rPr>
              <w:footnoteReference w:id="377"/>
            </w:r>
            <w:r w:rsidR="00772B77" w:rsidRPr="00772B77">
              <w:t xml:space="preserve"> Service providers have not provided satisfactory evidence to indicate a different estimate. </w:t>
            </w:r>
          </w:p>
          <w:p w:rsidR="00772B77" w:rsidRPr="00772B77" w:rsidRDefault="00BA4C69" w:rsidP="00772B77">
            <w:r>
              <w:t>Frontier's</w:t>
            </w:r>
            <w:r w:rsidRPr="00772B77">
              <w:t xml:space="preserve"> </w:t>
            </w:r>
            <w:r w:rsidR="00772B77" w:rsidRPr="00772B77">
              <w:t>submissions seem to be mainly premised on estimates from dividend growth models and alternative specifications of the Sharpe-Lintner CAPM.</w:t>
            </w:r>
          </w:p>
          <w:p w:rsidR="00772B77" w:rsidRPr="00772B77" w:rsidRDefault="00772B77" w:rsidP="00772B77">
            <w:r>
              <w:t xml:space="preserve">We have reservations about over-reliance on </w:t>
            </w:r>
            <w:r w:rsidRPr="00772B77">
              <w:t>dividend growth model estimates of the market risk premium due to weaknesses in the model. Hence, our Guideline (and decisions) assigns less weight to this material. Submissions to date have not provided sufficient evidence for us to depart from this view.</w:t>
            </w:r>
          </w:p>
          <w:p w:rsidR="00772B77" w:rsidRPr="00772B77" w:rsidRDefault="00772B77" w:rsidP="00772B77">
            <w:r>
              <w:t xml:space="preserve">Further, the increasing </w:t>
            </w:r>
            <w:r w:rsidRPr="00772B77">
              <w:t>dividend growth model estimates of the market risk premium are a function of the model’s construction. The model deducts the prevailing risk free rate from an estimated implied cost/return on equity to estimate the market risk premium; as the risk free rate falls, market risk premium rises. Our consideration of other relevant evidence do</w:t>
            </w:r>
            <w:r w:rsidR="00BA1218">
              <w:t>es</w:t>
            </w:r>
            <w:r w:rsidRPr="00772B77">
              <w:t xml:space="preserve"> not suggest a significant departure from long term values. Together they do not necessarily reflect an increase in the true expected 10 year forward looking market risk premium.</w:t>
            </w:r>
            <w:r w:rsidRPr="00772B77">
              <w:rPr>
                <w:rStyle w:val="FootnoteReference"/>
              </w:rPr>
              <w:footnoteReference w:id="378"/>
            </w:r>
            <w:r w:rsidRPr="00772B77">
              <w:t xml:space="preserve"> </w:t>
            </w:r>
          </w:p>
          <w:p w:rsidR="00772B77" w:rsidRPr="00772B77" w:rsidRDefault="00772B77" w:rsidP="00772B77">
            <w:r>
              <w:t xml:space="preserve">Our assessment of </w:t>
            </w:r>
            <w:r w:rsidRPr="00772B77">
              <w:t>alternative specifications of the Sharpe-Lintner CAPM is that they should not be used to inform the market risk premium due to their limitations.</w:t>
            </w:r>
            <w:r w:rsidRPr="00772B77">
              <w:rPr>
                <w:rStyle w:val="FootnoteReference"/>
              </w:rPr>
              <w:footnoteReference w:id="379"/>
            </w:r>
            <w:r w:rsidRPr="00772B77">
              <w:t xml:space="preserve"> </w:t>
            </w:r>
          </w:p>
        </w:tc>
      </w:tr>
      <w:tr w:rsidR="00772B77" w:rsidTr="00772B77">
        <w:tc>
          <w:tcPr>
            <w:tcW w:w="1951" w:type="dxa"/>
          </w:tcPr>
          <w:p w:rsidR="00772B77" w:rsidRPr="00772B77" w:rsidRDefault="00772B77" w:rsidP="00772B77">
            <w:r>
              <w:t xml:space="preserve">The </w:t>
            </w:r>
            <w:r w:rsidRPr="00772B77">
              <w:t>market risk premium varies over time and the AER’s historically anchored estimate is unlikely to lead to a forward looking estimate</w:t>
            </w:r>
            <w:r w:rsidRPr="00772B77">
              <w:rPr>
                <w:rStyle w:val="FootnoteReference"/>
              </w:rPr>
              <w:footnoteReference w:id="380"/>
            </w:r>
          </w:p>
        </w:tc>
        <w:tc>
          <w:tcPr>
            <w:tcW w:w="6742" w:type="dxa"/>
          </w:tcPr>
          <w:p w:rsidR="00772B77" w:rsidRPr="00772B77" w:rsidRDefault="00772B77" w:rsidP="00772B77">
            <w:r>
              <w:t>We</w:t>
            </w:r>
            <w:r w:rsidRPr="00772B77">
              <w:t xml:space="preserve"> acknowledge that the market risk premium may vary over time</w:t>
            </w:r>
            <w:r w:rsidRPr="00772B77">
              <w:rPr>
                <w:rStyle w:val="FootnoteReference"/>
              </w:rPr>
              <w:footnoteReference w:id="381"/>
            </w:r>
            <w:r w:rsidRPr="00772B77">
              <w:t xml:space="preserve">. </w:t>
            </w:r>
          </w:p>
          <w:p w:rsidR="00772B77" w:rsidRPr="00772B77" w:rsidRDefault="00772B77" w:rsidP="00772B77">
            <w:r>
              <w:t>However,</w:t>
            </w:r>
            <w:r w:rsidRPr="00772B77">
              <w:t xml:space="preserve"> our assessment of all the relevant material indicates (when applying the Guideline) that 6.5 per cent is the forward looking 10-year market risk premium that contributes to the ARORO and commensurate with the prevailing condition in the market for equity funds. Partington and Satchell has advised that the current conditions in Australia are not at all dissimilar to the historical interest rates in the periods which the AER calculates the historical excess returns from</w:t>
            </w:r>
            <w:r w:rsidRPr="00772B77">
              <w:rPr>
                <w:rStyle w:val="FootnoteReference"/>
              </w:rPr>
              <w:footnoteReference w:id="382"/>
            </w:r>
            <w:r w:rsidRPr="00772B77">
              <w:t xml:space="preserve"> and 'common in Australia and elsewhere'</w:t>
            </w:r>
            <w:r w:rsidRPr="00772B77">
              <w:rPr>
                <w:rStyle w:val="FootnoteReference"/>
              </w:rPr>
              <w:footnoteReference w:id="383"/>
            </w:r>
            <w:r w:rsidRPr="00772B77">
              <w:t>.</w:t>
            </w:r>
          </w:p>
          <w:p w:rsidR="00772B77" w:rsidRPr="00772B77" w:rsidRDefault="00772B77" w:rsidP="00772B77">
            <w:r>
              <w:t xml:space="preserve">Further, Partington and Satchell has advised </w:t>
            </w:r>
            <w:r w:rsidRPr="00772B77">
              <w:t>that 'the interest rates in Australia, although at historic lows, are not so dramatically dissimilar to the past as to require a change in the standard method of computing the MRP'</w:t>
            </w:r>
            <w:r w:rsidRPr="00772B77">
              <w:rPr>
                <w:rStyle w:val="FootnoteReference"/>
              </w:rPr>
              <w:footnoteReference w:id="384"/>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The Guideline approach of using the mean excess returns over a long historical period is not suitable because </w:t>
            </w:r>
            <w:r w:rsidRPr="00772B77">
              <w:t>past conditions are not likely to hold</w:t>
            </w:r>
            <w:r w:rsidRPr="00772B77">
              <w:rPr>
                <w:rStyle w:val="FootnoteReference"/>
              </w:rPr>
              <w:footnoteReference w:id="385"/>
            </w:r>
          </w:p>
        </w:tc>
        <w:tc>
          <w:tcPr>
            <w:tcW w:w="6742" w:type="dxa"/>
          </w:tcPr>
          <w:p w:rsidR="00772B77" w:rsidRPr="00772B77" w:rsidRDefault="00772B77" w:rsidP="00772B77">
            <w:r>
              <w:t xml:space="preserve">Frontier's </w:t>
            </w:r>
            <w:r w:rsidRPr="00772B77">
              <w:t>main issue seems to be that the average conditions over the period of time analysed are not the same as the current conditions. However, we use multiple time periods to account for different market conditions</w:t>
            </w:r>
            <w:r w:rsidR="00442F6B">
              <w:rPr>
                <w:rStyle w:val="FootnoteReference"/>
              </w:rPr>
              <w:footnoteReference w:id="386"/>
            </w:r>
            <w:r w:rsidRPr="00772B77">
              <w:t xml:space="preserve"> and use other relevant evidence (such as conditioning variables)  to inform our decision. </w:t>
            </w:r>
            <w:r w:rsidR="00442F6B">
              <w:t>I</w:t>
            </w:r>
            <w:r w:rsidRPr="00772B77">
              <w:t>t is important to note that the current market situation is not uncommon for Australia.</w:t>
            </w:r>
            <w:r w:rsidRPr="00772B77">
              <w:rPr>
                <w:rStyle w:val="FootnoteReference"/>
              </w:rPr>
              <w:footnoteReference w:id="387"/>
            </w:r>
            <w:r w:rsidRPr="00772B77">
              <w:t xml:space="preserve"> </w:t>
            </w:r>
          </w:p>
          <w:p w:rsidR="00772B77" w:rsidRPr="00772B77" w:rsidRDefault="00772B77" w:rsidP="00772B77">
            <w:r>
              <w:t>Partington and Satchell</w:t>
            </w:r>
            <w:r w:rsidRPr="00772B77">
              <w:t xml:space="preserve"> have advised that using multiple time periods when assessing excess returns minimises variation to the current timeframe </w:t>
            </w:r>
          </w:p>
          <w:p w:rsidR="00772B77" w:rsidRPr="00772B77" w:rsidRDefault="00772B77" w:rsidP="009E2F4C">
            <w:r>
              <w:t>Further,</w:t>
            </w:r>
            <w:r w:rsidRPr="00772B77">
              <w:t xml:space="preserve"> we note the magnitude of current interest rates is not so dissimilar to the past as to invalidate the historic MRP informing an estimate of the current MRP.</w:t>
            </w:r>
            <w:r w:rsidRPr="00772B77">
              <w:rPr>
                <w:rStyle w:val="FootnoteReference"/>
              </w:rPr>
              <w:footnoteReference w:id="388"/>
            </w:r>
            <w:r w:rsidRPr="00772B77">
              <w:t xml:space="preserve"> </w:t>
            </w:r>
            <w:r w:rsidR="009E2F4C">
              <w:t>They advised that</w:t>
            </w:r>
            <w:r w:rsidRPr="00772B77">
              <w:t xml:space="preserve"> the current market situation is not uncommon for Australia.</w:t>
            </w:r>
            <w:r w:rsidRPr="00772B77">
              <w:rPr>
                <w:rStyle w:val="FootnoteReference"/>
              </w:rPr>
              <w:footnoteReference w:id="389"/>
            </w:r>
            <w:r w:rsidRPr="00772B77">
              <w:t xml:space="preserve"> </w:t>
            </w:r>
          </w:p>
        </w:tc>
      </w:tr>
      <w:tr w:rsidR="00772B77" w:rsidTr="00772B77">
        <w:tc>
          <w:tcPr>
            <w:tcW w:w="1951" w:type="dxa"/>
          </w:tcPr>
          <w:p w:rsidR="00772B77" w:rsidRPr="00772B77" w:rsidRDefault="00772B77" w:rsidP="00772B77">
            <w:r>
              <w:t xml:space="preserve">Foreign </w:t>
            </w:r>
            <w:r w:rsidRPr="00772B77">
              <w:t>regulators have noted issues with using historical estimates of the market risk premium</w:t>
            </w:r>
            <w:r w:rsidRPr="00772B77">
              <w:rPr>
                <w:rStyle w:val="FootnoteReference"/>
              </w:rPr>
              <w:footnoteReference w:id="390"/>
            </w:r>
          </w:p>
        </w:tc>
        <w:tc>
          <w:tcPr>
            <w:tcW w:w="6742" w:type="dxa"/>
          </w:tcPr>
          <w:p w:rsidR="00C33F1F" w:rsidRPr="00C33F1F" w:rsidRDefault="00C33F1F" w:rsidP="00C33F1F">
            <w:r>
              <w:t>W</w:t>
            </w:r>
            <w:r w:rsidRPr="00C33F1F">
              <w:t>e do not consider regulatory decisions by foreign regulators to be useful for informing the market risk premium for the benchmark efficient entity with a similar degree of risk as AusNet Services for supplying the regulated services.</w:t>
            </w:r>
            <w:r w:rsidRPr="00C33F1F">
              <w:rPr>
                <w:rStyle w:val="FootnoteReference"/>
              </w:rPr>
              <w:footnoteReference w:id="391"/>
            </w:r>
            <w:r w:rsidRPr="00C33F1F">
              <w:t xml:space="preserve"> This is because the required return on the </w:t>
            </w:r>
            <w:r w:rsidR="00A570A2">
              <w:t xml:space="preserve">domestic </w:t>
            </w:r>
            <w:r w:rsidRPr="00C33F1F">
              <w:t>market may differ across countries</w:t>
            </w:r>
            <w:r w:rsidRPr="00C33F1F">
              <w:rPr>
                <w:rStyle w:val="FootnoteReference"/>
              </w:rPr>
              <w:footnoteReference w:id="392"/>
            </w:r>
            <w:r w:rsidRPr="00C33F1F">
              <w:t xml:space="preserve"> in addition to other caveats we note about other regulators' decisions. </w:t>
            </w:r>
          </w:p>
          <w:p w:rsidR="00772B77" w:rsidRPr="00772B77" w:rsidRDefault="00C33F1F" w:rsidP="00C33F1F">
            <w:r>
              <w:t>This is supported by Partington and Satchell as they noted that '</w:t>
            </w:r>
            <w:r w:rsidRPr="00C33F1F">
              <w:t>overseas regulators decisions are not likely to be convincing unless one can show great similarities in the economies considered'.</w:t>
            </w:r>
            <w:r w:rsidRPr="00C33F1F">
              <w:rPr>
                <w:rStyle w:val="FootnoteReference"/>
              </w:rPr>
              <w:footnoteReference w:id="393"/>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The current low interest rates make the </w:t>
            </w:r>
            <w:r w:rsidRPr="00772B77">
              <w:t>historical excess returns method less effective at generating a forward looking MRP estimate</w:t>
            </w:r>
            <w:r w:rsidRPr="00772B77">
              <w:rPr>
                <w:rStyle w:val="FootnoteReference"/>
              </w:rPr>
              <w:footnoteReference w:id="394"/>
            </w:r>
          </w:p>
        </w:tc>
        <w:tc>
          <w:tcPr>
            <w:tcW w:w="6742" w:type="dxa"/>
          </w:tcPr>
          <w:p w:rsidR="00772B77" w:rsidRPr="00772B77" w:rsidRDefault="00772B77" w:rsidP="00772B77">
            <w:r>
              <w:t>Partington and Satchell</w:t>
            </w:r>
            <w:r w:rsidRPr="00772B77">
              <w:t xml:space="preserve"> noted that, despite the low interest rate situation currently prevailing in the market, 'the low interest rates we are currently experiencing are not so unusual for Australia'.</w:t>
            </w:r>
            <w:r w:rsidRPr="00772B77">
              <w:rPr>
                <w:rStyle w:val="FootnoteReference"/>
              </w:rPr>
              <w:footnoteReference w:id="395"/>
            </w:r>
            <w:r w:rsidRPr="00772B77">
              <w:t xml:space="preserve"> They also observed that the magnitude of current interest rates is not so dissimilar to the past as to invalidate the historic MRP information an estimate of the current MRP.</w:t>
            </w:r>
            <w:r w:rsidRPr="00772B77">
              <w:rPr>
                <w:rStyle w:val="FootnoteReference"/>
              </w:rPr>
              <w:footnoteReference w:id="396"/>
            </w:r>
          </w:p>
        </w:tc>
      </w:tr>
      <w:tr w:rsidR="00772B77" w:rsidTr="00772B77">
        <w:tc>
          <w:tcPr>
            <w:tcW w:w="1951" w:type="dxa"/>
          </w:tcPr>
          <w:p w:rsidR="00772B77" w:rsidRPr="00772B77" w:rsidRDefault="00772B77" w:rsidP="00772B77">
            <w:r>
              <w:t>The AER should be using the RBA's chartpack as an indicator that some of its reservations with the DGM are not necessary in the current economic conditions</w:t>
            </w:r>
            <w:r w:rsidRPr="00772B77">
              <w:rPr>
                <w:rStyle w:val="FootnoteReference"/>
              </w:rPr>
              <w:footnoteReference w:id="397"/>
            </w:r>
          </w:p>
        </w:tc>
        <w:tc>
          <w:tcPr>
            <w:tcW w:w="6742" w:type="dxa"/>
          </w:tcPr>
          <w:p w:rsidR="00772B77" w:rsidRPr="00772B77" w:rsidRDefault="00772B77" w:rsidP="00772B77">
            <w:r>
              <w:t>Frontier</w:t>
            </w:r>
            <w:r w:rsidRPr="00772B77">
              <w:t xml:space="preserve"> previously stated that the RBA Chartpack showing an increase in total earnings should mitigate concerns the AER has with the dividend growth model due to strong forecasts for the coming year.</w:t>
            </w:r>
            <w:r w:rsidRPr="00772B77">
              <w:rPr>
                <w:rStyle w:val="FootnoteReference"/>
              </w:rPr>
              <w:footnoteReference w:id="398"/>
            </w:r>
            <w:r w:rsidRPr="00772B77">
              <w:t xml:space="preserve"> However </w:t>
            </w:r>
            <w:r w:rsidR="00A57694">
              <w:t>we</w:t>
            </w:r>
            <w:r w:rsidRPr="00772B77">
              <w:t xml:space="preserve"> noted </w:t>
            </w:r>
            <w:r w:rsidR="00A57694">
              <w:t>that</w:t>
            </w:r>
            <w:r w:rsidRPr="00772B77">
              <w:t xml:space="preserve"> earnings per share as the best indicator going forward regarding dividend payments. We note the chart shows 2017 forecast of earnings per share are higher than 2016 forecasts as Frontier pointed out.</w:t>
            </w:r>
            <w:r w:rsidRPr="00772B77">
              <w:rPr>
                <w:rStyle w:val="FootnoteReference"/>
              </w:rPr>
              <w:t xml:space="preserve"> </w:t>
            </w:r>
            <w:r w:rsidRPr="00772B77">
              <w:rPr>
                <w:rStyle w:val="FootnoteReference"/>
              </w:rPr>
              <w:footnoteReference w:id="399"/>
            </w:r>
            <w:r w:rsidRPr="00772B77">
              <w:t xml:space="preserve"> However, it is not clear </w:t>
            </w:r>
            <w:r w:rsidR="00A57694">
              <w:t xml:space="preserve">that </w:t>
            </w:r>
            <w:r w:rsidRPr="00772B77">
              <w:t>conclusive findings about earnings or dividends can be drawn from the chartpack as it relates to one-year forecasts whereas we estimate a forward looking 10-year market risk premium.</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The P/E ratio has been</w:t>
            </w:r>
            <w:r w:rsidRPr="00772B77">
              <w:t xml:space="preserve"> declining in recent years, indicating an increase in the return on equity</w:t>
            </w:r>
            <w:r w:rsidRPr="00772B77">
              <w:rPr>
                <w:rStyle w:val="FootnoteReference"/>
              </w:rPr>
              <w:footnoteReference w:id="400"/>
            </w:r>
          </w:p>
        </w:tc>
        <w:tc>
          <w:tcPr>
            <w:tcW w:w="6742" w:type="dxa"/>
          </w:tcPr>
          <w:p w:rsidR="00772B77" w:rsidRPr="00772B77" w:rsidRDefault="00772B77" w:rsidP="00772B77">
            <w:r>
              <w:t>We caution the use of P/E data</w:t>
            </w:r>
            <w:r w:rsidRPr="00772B77">
              <w:t>. It can fluctuate significantly in a single year (20</w:t>
            </w:r>
            <w:r w:rsidR="006E27DA">
              <w:t>15/</w:t>
            </w:r>
            <w:r w:rsidRPr="00772B77">
              <w:t>16 High:16, low 14.5</w:t>
            </w:r>
            <w:r w:rsidRPr="00772B77">
              <w:rPr>
                <w:rStyle w:val="FootnoteReference"/>
              </w:rPr>
              <w:footnoteReference w:id="401"/>
            </w:r>
            <w:r w:rsidRPr="00772B77">
              <w:t>)</w:t>
            </w:r>
            <w:r w:rsidRPr="00772B77">
              <w:rPr>
                <w:rStyle w:val="FootnoteReference"/>
              </w:rPr>
              <w:t xml:space="preserve"> </w:t>
            </w:r>
            <w:r w:rsidRPr="00772B77">
              <w:t xml:space="preserve">and the conclusions one can draw may be significantly impacted by the time period selected. </w:t>
            </w:r>
          </w:p>
          <w:p w:rsidR="00772B77" w:rsidRDefault="00772B77" w:rsidP="00772B77">
            <w:r>
              <w:t>Further</w:t>
            </w:r>
            <w:r w:rsidRPr="00772B77">
              <w:t>, movements in P/E data can be driven by change in the growth rate, dividend payout ratio and the cost of equity.</w:t>
            </w:r>
            <w:r w:rsidRPr="00772B77">
              <w:rPr>
                <w:rStyle w:val="FootnoteReference"/>
              </w:rPr>
              <w:footnoteReference w:id="402"/>
            </w:r>
            <w:r w:rsidRPr="00772B77">
              <w:t xml:space="preserve"> As Partington and Satchell observed, 'inferences about the cost of equity based on plots of earnings yield or P/E ratios are highly suspect'.</w:t>
            </w:r>
            <w:r w:rsidRPr="00772B77">
              <w:rPr>
                <w:rStyle w:val="FootnoteReference"/>
              </w:rPr>
              <w:footnoteReference w:id="403"/>
            </w:r>
          </w:p>
        </w:tc>
      </w:tr>
      <w:tr w:rsidR="00772B77" w:rsidTr="00772B77">
        <w:tc>
          <w:tcPr>
            <w:tcW w:w="1951" w:type="dxa"/>
          </w:tcPr>
          <w:p w:rsidR="00772B77" w:rsidRPr="00772B77" w:rsidRDefault="00772B77" w:rsidP="00772B77">
            <w:r>
              <w:t>Conditioning variables should not be considered as evidence in the absence of formal econometric mapping</w:t>
            </w:r>
            <w:r w:rsidRPr="00772B77">
              <w:rPr>
                <w:rStyle w:val="FootnoteReference"/>
              </w:rPr>
              <w:footnoteReference w:id="404"/>
            </w:r>
          </w:p>
        </w:tc>
        <w:tc>
          <w:tcPr>
            <w:tcW w:w="6742" w:type="dxa"/>
          </w:tcPr>
          <w:p w:rsidR="00772B77" w:rsidRPr="00772B77" w:rsidRDefault="00772B77" w:rsidP="00772B77">
            <w:r>
              <w:t>We disagree.</w:t>
            </w:r>
            <w:r w:rsidR="00DA77DF">
              <w:rPr>
                <w:rStyle w:val="FootnoteReference"/>
              </w:rPr>
              <w:footnoteReference w:id="405"/>
            </w:r>
          </w:p>
          <w:p w:rsidR="00772B77" w:rsidRPr="00772B77" w:rsidRDefault="00772B77" w:rsidP="00772B77">
            <w:r>
              <w:t xml:space="preserve">We are aware </w:t>
            </w:r>
            <w:r w:rsidRPr="00772B77">
              <w:t xml:space="preserve">of the limitations of conditioning variables. However, our assessment indicates that </w:t>
            </w:r>
            <w:r w:rsidR="00470832">
              <w:t>they</w:t>
            </w:r>
            <w:r w:rsidRPr="00772B77">
              <w:t xml:space="preserve"> still warrant "some consideration" as they can detect changing market conditions.</w:t>
            </w:r>
            <w:r w:rsidRPr="00772B77">
              <w:rPr>
                <w:rStyle w:val="FootnoteReference"/>
              </w:rPr>
              <w:footnoteReference w:id="406"/>
            </w:r>
            <w:r w:rsidRPr="00772B77">
              <w:t xml:space="preserve"> Therefore, we use conditioning variables in a directional role and do not use them to directly estimate the market risk premium. </w:t>
            </w:r>
          </w:p>
          <w:p w:rsidR="00772B77" w:rsidRPr="00772B77" w:rsidRDefault="00772B77" w:rsidP="00772B77">
            <w:r>
              <w:t xml:space="preserve">We also note that </w:t>
            </w:r>
            <w:r w:rsidRPr="00772B77">
              <w:t>other regulators, such as the ERA, use conditioning variables when forming their estimate of the market risk premium in a similar manner. They note their use as "additional evidence" and as an "indication of the relative state of prevailing forward looking expectations".</w:t>
            </w:r>
            <w:r w:rsidRPr="00772B77">
              <w:rPr>
                <w:rStyle w:val="FootnoteReference"/>
              </w:rPr>
              <w:footnoteReference w:id="407"/>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EA20CE" w:rsidP="00EA20CE">
            <w:r>
              <w:t>C</w:t>
            </w:r>
            <w:r w:rsidR="00C33F1F">
              <w:t>hang</w:t>
            </w:r>
            <w:r>
              <w:t>ing</w:t>
            </w:r>
            <w:r w:rsidR="00C33F1F">
              <w:t xml:space="preserve"> the </w:t>
            </w:r>
            <w:r w:rsidR="00C33F1F" w:rsidRPr="00C33F1F">
              <w:t>theta</w:t>
            </w:r>
            <w:r>
              <w:t xml:space="preserve"> used in the estimation of historical excess returns (</w:t>
            </w:r>
            <w:r w:rsidR="00C33F1F" w:rsidRPr="00C33F1F">
              <w:t>from 0.6 to 0.35</w:t>
            </w:r>
            <w:r>
              <w:t>)</w:t>
            </w:r>
            <w:r w:rsidR="00C33F1F" w:rsidRPr="00C33F1F">
              <w:t xml:space="preserve"> would have </w:t>
            </w:r>
            <w:r w:rsidR="00772B77" w:rsidRPr="00772B77">
              <w:t>commensurately small impact, if any, on the market risk premium selected</w:t>
            </w:r>
            <w:r w:rsidR="00772B77" w:rsidRPr="00772B77">
              <w:rPr>
                <w:rStyle w:val="FootnoteReference"/>
              </w:rPr>
              <w:footnoteReference w:id="408"/>
            </w:r>
            <w:r w:rsidR="00772B77" w:rsidRPr="00772B77">
              <w:t xml:space="preserve"> </w:t>
            </w:r>
          </w:p>
        </w:tc>
        <w:tc>
          <w:tcPr>
            <w:tcW w:w="6742" w:type="dxa"/>
          </w:tcPr>
          <w:p w:rsidR="00772B77" w:rsidRPr="00772B77" w:rsidRDefault="00772B77" w:rsidP="00772B77">
            <w:r>
              <w:t>We note that this conclusion is a product of Frontier's estimation of historical excess returns.</w:t>
            </w:r>
            <w:r w:rsidRPr="00772B77">
              <w:t xml:space="preserve"> Frontier used 3 averaging periods: 1883–2015, 1937–2015 and 1958–2015. Given theta only affects data from 1988 onwards, Frontier's choice of averaging periods 'dilutes' theta's impact on the estimates in the following manner:</w:t>
            </w:r>
          </w:p>
          <w:p w:rsidR="00772B77" w:rsidRPr="00772B77" w:rsidRDefault="00772B77" w:rsidP="00772B77">
            <w:pPr>
              <w:pStyle w:val="AERbulletlistfirststyle"/>
            </w:pPr>
            <w:r>
              <w:t>by excluding</w:t>
            </w:r>
            <w:r w:rsidRPr="00772B77">
              <w:t xml:space="preserve"> the averaging periods (1980–2015 and 1988-2015) where theta would have a more pronounced effect </w:t>
            </w:r>
          </w:p>
          <w:p w:rsidR="00772B77" w:rsidRPr="00772B77" w:rsidRDefault="00772B77" w:rsidP="00772B77">
            <w:pPr>
              <w:pStyle w:val="AERbulletlistfirststyle"/>
            </w:pPr>
            <w:r>
              <w:t>retaining</w:t>
            </w:r>
            <w:r w:rsidRPr="00772B77">
              <w:t xml:space="preserve"> averaging periods where the large number of years reduces the impact of theta on the end estimate</w:t>
            </w:r>
          </w:p>
          <w:p w:rsidR="00772B77" w:rsidRPr="00772B77" w:rsidRDefault="00772B77" w:rsidP="00772B77">
            <w:r>
              <w:t xml:space="preserve">We note </w:t>
            </w:r>
            <w:r w:rsidRPr="00772B77">
              <w:t>changing the theta from 0.6 to 0.35 has a marked reduction on the market risk premium estimate for the two excluded averaging periods (1980–2015 and 1988-2015):</w:t>
            </w:r>
          </w:p>
          <w:p w:rsidR="00772B77" w:rsidRPr="00772B77" w:rsidRDefault="00772B77" w:rsidP="00772B77">
            <w:pPr>
              <w:pStyle w:val="AERbulletlistfirststyle"/>
            </w:pPr>
            <w:r>
              <w:t>For the 1980-2015 period, the geometric</w:t>
            </w:r>
            <w:r w:rsidRPr="00772B77">
              <w:t xml:space="preserve"> average changes from 3.9 per cent to 3.5 per cent and the arithmetic average falls from 6.2 per cent to 5.8 per cent. </w:t>
            </w:r>
          </w:p>
          <w:p w:rsidR="00772B77" w:rsidRPr="00772B77" w:rsidRDefault="00772B77" w:rsidP="00772B77">
            <w:pPr>
              <w:pStyle w:val="AERbulletlistfirststyle"/>
            </w:pPr>
            <w:r>
              <w:t>For</w:t>
            </w:r>
            <w:r w:rsidRPr="00772B77">
              <w:t xml:space="preserve"> the 1988-2015 period the geometric average falls from 4 per cent to 3.6 per cent and the arithmetic average from 5.6 per cent from 5.2 per cent. </w:t>
            </w:r>
          </w:p>
          <w:p w:rsidR="00772B77" w:rsidRPr="00772B77" w:rsidRDefault="00772B77" w:rsidP="00772B77">
            <w:r>
              <w:t>Further</w:t>
            </w:r>
            <w:r w:rsidRPr="00772B77">
              <w:t>, as noted in previous decisions,</w:t>
            </w:r>
            <w:r w:rsidRPr="00772B77">
              <w:rPr>
                <w:rStyle w:val="FootnoteReference"/>
              </w:rPr>
              <w:footnoteReference w:id="409"/>
            </w:r>
            <w:r w:rsidRPr="00772B77">
              <w:t xml:space="preserve"> we consider a range of estimation periods (both long term and short term) should be adopted for estimating historical excess returns. We have chosen our averaging periods because to recognise each of these periods has different strengths and weaknesses, and clearly identifiable and material changes in the underlying data determine these periods and.</w:t>
            </w:r>
            <w:r w:rsidRPr="00772B77">
              <w:rPr>
                <w:rStyle w:val="FootnoteReference"/>
              </w:rPr>
              <w:footnoteReference w:id="410"/>
            </w:r>
            <w:r w:rsidRPr="00772B77">
              <w:t xml:space="preserve"> </w:t>
            </w:r>
          </w:p>
        </w:tc>
      </w:tr>
      <w:tr w:rsidR="00772B77" w:rsidTr="00772B77">
        <w:tc>
          <w:tcPr>
            <w:tcW w:w="1951" w:type="dxa"/>
          </w:tcPr>
          <w:p w:rsidR="00772B77" w:rsidRPr="00772B77" w:rsidRDefault="00772B77" w:rsidP="00772B77">
            <w:pPr>
              <w:rPr>
                <w:rStyle w:val="CommentReference"/>
              </w:rPr>
            </w:pPr>
            <w:r>
              <w:rPr>
                <w:rStyle w:val="CommentReference"/>
              </w:rPr>
              <w:t xml:space="preserve">The </w:t>
            </w:r>
            <w:r w:rsidRPr="00772B77">
              <w:rPr>
                <w:rStyle w:val="CommentReference"/>
              </w:rPr>
              <w:t>dividend growth model has shown a jump in the MRP since the draft decision</w:t>
            </w:r>
            <w:r w:rsidRPr="00772B77">
              <w:rPr>
                <w:rStyle w:val="FootnoteReference"/>
              </w:rPr>
              <w:footnoteReference w:id="411"/>
            </w:r>
          </w:p>
        </w:tc>
        <w:tc>
          <w:tcPr>
            <w:tcW w:w="6742" w:type="dxa"/>
          </w:tcPr>
          <w:p w:rsidR="00772B77" w:rsidRPr="00772B77" w:rsidRDefault="00772B77" w:rsidP="00772B77">
            <w:r>
              <w:t>Frontier's</w:t>
            </w:r>
            <w:r w:rsidRPr="00772B77">
              <w:t xml:space="preserve"> use of the dividend growth model estimates is misleading. The 'jump' shown by Frontier</w:t>
            </w:r>
            <w:r w:rsidRPr="00772B77">
              <w:rPr>
                <w:rStyle w:val="FootnoteReference"/>
              </w:rPr>
              <w:footnoteReference w:id="412"/>
            </w:r>
            <w:r w:rsidRPr="00772B77">
              <w:t xml:space="preserve"> comes from the use of a more recent risk free rate in conjunction with older dividend growth model return on equity results. As the risk free rate has fallen and the return on equity has remained the same, the resulting increase to the market risk premium is misleading and erroneous.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 xml:space="preserve">The </w:t>
            </w:r>
            <w:r w:rsidRPr="00772B77">
              <w:rPr>
                <w:rStyle w:val="CommentReference"/>
              </w:rPr>
              <w:t>dividend growth model's estimate for the required return on equity has remained stable since the December 2013 guideline</w:t>
            </w:r>
            <w:r w:rsidRPr="00772B77">
              <w:rPr>
                <w:rStyle w:val="FootnoteReference"/>
              </w:rPr>
              <w:footnoteReference w:id="413"/>
            </w:r>
          </w:p>
        </w:tc>
        <w:tc>
          <w:tcPr>
            <w:tcW w:w="6742" w:type="dxa"/>
          </w:tcPr>
          <w:p w:rsidR="009D35A0" w:rsidRDefault="00772B77" w:rsidP="00772B77">
            <w:r>
              <w:t xml:space="preserve">We have previously considered </w:t>
            </w:r>
            <w:r w:rsidRPr="00772B77">
              <w:t>the use of the 3-stage dividend growth model to provide an estimate for the required return on equity.</w:t>
            </w:r>
            <w:r w:rsidRPr="00772B77">
              <w:rPr>
                <w:rStyle w:val="FootnoteReference"/>
              </w:rPr>
              <w:footnoteReference w:id="414"/>
            </w:r>
            <w:r w:rsidRPr="00772B77">
              <w:t xml:space="preserve"> However, </w:t>
            </w:r>
            <w:r w:rsidR="009D35A0">
              <w:t>limitations such as slow-change dividend forecasts and upward bias in analyst forecasts may</w:t>
            </w:r>
            <w:r w:rsidR="00FC2BB8">
              <w:t xml:space="preserve"> lead to return on equity estimates that are persistent and stable over a period of time.</w:t>
            </w:r>
            <w:r w:rsidR="00FC2BB8">
              <w:rPr>
                <w:rStyle w:val="FootnoteReference"/>
              </w:rPr>
              <w:footnoteReference w:id="415"/>
            </w:r>
            <w:r w:rsidR="00FC2BB8">
              <w:t xml:space="preserve"> </w:t>
            </w:r>
          </w:p>
          <w:p w:rsidR="00772B77" w:rsidRPr="00772B77" w:rsidRDefault="009D35A0" w:rsidP="00DB5658">
            <w:r>
              <w:t>D</w:t>
            </w:r>
            <w:r w:rsidR="00772B77" w:rsidRPr="00772B77">
              <w:t xml:space="preserve">ue the model's sensitivities and limitations, </w:t>
            </w:r>
            <w:r>
              <w:t>we</w:t>
            </w:r>
            <w:r w:rsidR="00772B77" w:rsidRPr="00772B77">
              <w:t xml:space="preserve"> use the model to indicate if the market risk premium lies above or below the historical estimates.</w:t>
            </w:r>
            <w:r w:rsidR="00FC2BB8">
              <w:t xml:space="preserve"> </w:t>
            </w:r>
            <w:r w:rsidR="00772B77">
              <w:t xml:space="preserve">We note that </w:t>
            </w:r>
            <w:r w:rsidR="00772B77" w:rsidRPr="00772B77">
              <w:t>Frontier has not provided, substantively, any new evidence to support the use of the dividend growth model for estimating the overall return on equity. Therefore we continue to be of the view that the dividend growth model estimates should be treated with caution and not used to directly estimate the market risk premium or the return on equity. As such we do not consider the DGM's stable return on equity since the December 2013 Guideline reasonable evidence when considering a departure from the Guideline.</w:t>
            </w:r>
          </w:p>
        </w:tc>
      </w:tr>
      <w:tr w:rsidR="00772B77" w:rsidTr="00772B77">
        <w:tc>
          <w:tcPr>
            <w:tcW w:w="1951" w:type="dxa"/>
          </w:tcPr>
          <w:p w:rsidR="00772B77" w:rsidRPr="00772B77" w:rsidRDefault="00772B77" w:rsidP="00772B77">
            <w:pPr>
              <w:rPr>
                <w:rStyle w:val="CommentReference"/>
              </w:rPr>
            </w:pPr>
            <w:r>
              <w:rPr>
                <w:rStyle w:val="CommentReference"/>
              </w:rPr>
              <w:t>Frontier’s historical excess returns</w:t>
            </w:r>
            <w:r w:rsidRPr="00772B77">
              <w:rPr>
                <w:rStyle w:val="CommentReference"/>
              </w:rPr>
              <w:t xml:space="preserve"> and Wright estimates support an market risk premium of at least 7.5 per cent</w:t>
            </w:r>
          </w:p>
        </w:tc>
        <w:tc>
          <w:tcPr>
            <w:tcW w:w="6742" w:type="dxa"/>
          </w:tcPr>
          <w:p w:rsidR="00772B77" w:rsidRPr="00772B77" w:rsidRDefault="00772B77" w:rsidP="00772B77">
            <w:r>
              <w:t xml:space="preserve">We first note that </w:t>
            </w:r>
            <w:r w:rsidRPr="00772B77">
              <w:t xml:space="preserve">Frontier's use of its historical excess returns and Wright estimates resembles its mischaracterisation of the Guideline as Frontier takes a simple average of the estimates. </w:t>
            </w:r>
          </w:p>
          <w:p w:rsidR="00772B77" w:rsidRPr="00772B77" w:rsidRDefault="00113EAF" w:rsidP="00772B77">
            <w:r>
              <w:t xml:space="preserve">Partington and Satchell has </w:t>
            </w:r>
            <w:r w:rsidR="00772B77" w:rsidRPr="00772B77">
              <w:t>advised that 'the notion that averaging over different estimates of same parameters lead to better outcomes depends on the quality of the additional estimates used in the averaging'. We agree. Per our Guideline, we consider material should be used assessing the merits of the material and suitability for our regulatory task. Combining estimates from different sources without assessing the merits of the material and suitability for our regulatory task will not lead to an estimate that is unbiased and contribute to the achievement of the ARORO</w:t>
            </w:r>
            <w:r w:rsidR="00772B77" w:rsidRPr="00772B77">
              <w:rPr>
                <w:rStyle w:val="FootnoteReference"/>
              </w:rPr>
              <w:footnoteReference w:id="416"/>
            </w:r>
          </w:p>
          <w:p w:rsidR="00772B77" w:rsidRPr="00772B77" w:rsidRDefault="00772B77" w:rsidP="00772B77">
            <w:r>
              <w:t xml:space="preserve">We disagree with </w:t>
            </w:r>
            <w:r w:rsidRPr="00772B77">
              <w:t>Frontier's historical excess returns and Wright estimates for the following reasons:</w:t>
            </w:r>
          </w:p>
          <w:p w:rsidR="00772B77" w:rsidRPr="00772B77" w:rsidRDefault="00772B77" w:rsidP="00772B77">
            <w:pPr>
              <w:pStyle w:val="AERbulletlistfirststyle"/>
            </w:pPr>
            <w:r>
              <w:t>Both</w:t>
            </w:r>
            <w:r w:rsidRPr="00772B77">
              <w:t xml:space="preserve"> estimates are based on a theta of 0.35. We consider the theta should be set at 0.6, consistent with a gamma of 0.4.</w:t>
            </w:r>
            <w:r w:rsidRPr="00772B77">
              <w:rPr>
                <w:rStyle w:val="FootnoteReference"/>
              </w:rPr>
              <w:footnoteReference w:id="417"/>
            </w:r>
          </w:p>
          <w:p w:rsidR="00772B77" w:rsidRPr="00772B77" w:rsidRDefault="00772B77" w:rsidP="00772B77">
            <w:pPr>
              <w:pStyle w:val="AERbulletlistfirststyle"/>
            </w:pPr>
            <w:r>
              <w:t xml:space="preserve">The historical excess returns </w:t>
            </w:r>
            <w:r w:rsidRPr="00772B77">
              <w:t xml:space="preserve">exclude the two most recent (1980–2015 and 1988–2015) averaging periods. They should be included because of clearly identifiable and material changes in the underlying data and to recognise each of these periods has different strengths and weaknesses. </w:t>
            </w:r>
            <w:r w:rsidRPr="00772B77">
              <w:rPr>
                <w:rStyle w:val="FootnoteReference"/>
              </w:rPr>
              <w:footnoteReference w:id="418"/>
            </w:r>
          </w:p>
          <w:p w:rsidR="00772B77" w:rsidRPr="00772B77" w:rsidRDefault="00772B77" w:rsidP="00772B77">
            <w:pPr>
              <w:pStyle w:val="AERbulletlistfirststyle"/>
            </w:pPr>
            <w:r>
              <w:t>Changing the theta</w:t>
            </w:r>
            <w:r w:rsidRPr="00772B77">
              <w:t xml:space="preserve"> for the two most recent averaging periods shows a large change in both the arithmetic and geometric average obtained. See above for more details.</w:t>
            </w:r>
          </w:p>
          <w:p w:rsidR="00772B77" w:rsidRPr="00772B77" w:rsidRDefault="00772B77" w:rsidP="00772B77">
            <w:pPr>
              <w:pStyle w:val="AERbulletlistfirststyle"/>
            </w:pPr>
            <w:r>
              <w:t xml:space="preserve">Our assessment of the Wright CAPM in the Guideline and subsequent regulatory decisions </w:t>
            </w:r>
            <w:r w:rsidRPr="00772B77">
              <w:t>shows that it should be used as a cross-check for the overall return on equity</w:t>
            </w:r>
            <w:r w:rsidRPr="00772B77">
              <w:rPr>
                <w:rStyle w:val="FootnoteReference"/>
              </w:rPr>
              <w:footnoteReference w:id="419"/>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Frontier's dividend growth estimates support a market risk premium of at least 7.5 per cent</w:t>
            </w:r>
            <w:r w:rsidRPr="00772B77">
              <w:rPr>
                <w:rStyle w:val="FootnoteReference"/>
              </w:rPr>
              <w:footnoteReference w:id="420"/>
            </w:r>
          </w:p>
        </w:tc>
        <w:tc>
          <w:tcPr>
            <w:tcW w:w="6742" w:type="dxa"/>
          </w:tcPr>
          <w:p w:rsidR="00772B77" w:rsidRPr="00772B77" w:rsidRDefault="00772B77" w:rsidP="00772B77">
            <w:r>
              <w:t>As we discussed in th</w:t>
            </w:r>
            <w:r w:rsidRPr="00772B77">
              <w:t xml:space="preserve">is section and in Appendix </w:t>
            </w:r>
            <w:r w:rsidR="00A4295D">
              <w:fldChar w:fldCharType="begin"/>
            </w:r>
            <w:r w:rsidR="00A4295D">
              <w:instrText xml:space="preserve"> REF _Ref449007421 \r \h </w:instrText>
            </w:r>
            <w:r w:rsidR="00A4295D">
              <w:fldChar w:fldCharType="separate"/>
            </w:r>
            <w:r w:rsidR="00C6448C">
              <w:t>B.4</w:t>
            </w:r>
            <w:r w:rsidR="00A4295D">
              <w:fldChar w:fldCharType="end"/>
            </w:r>
            <w:r w:rsidR="00A4295D">
              <w:t xml:space="preserve"> and Appendix </w:t>
            </w:r>
            <w:r w:rsidR="00A4295D">
              <w:fldChar w:fldCharType="begin"/>
            </w:r>
            <w:r w:rsidR="00A4295D">
              <w:instrText xml:space="preserve"> REF _Ref478396177 \r \h </w:instrText>
            </w:r>
            <w:r w:rsidR="00A4295D">
              <w:fldChar w:fldCharType="separate"/>
            </w:r>
            <w:r w:rsidR="00C6448C">
              <w:t>D</w:t>
            </w:r>
            <w:r w:rsidR="00A4295D">
              <w:fldChar w:fldCharType="end"/>
            </w:r>
            <w:r w:rsidRPr="00772B77">
              <w:t>, there are a range of issues with dividend growth models which makes their results unreliable and upwardly biased. Therefore, the Guideline use their estimates to inform if the point estimate may lay above or below the historical estimates and not directly estimate the market risk premium.</w:t>
            </w:r>
          </w:p>
          <w:p w:rsidR="00772B77" w:rsidRPr="00772B77" w:rsidRDefault="00772B77" w:rsidP="00772B77">
            <w:r>
              <w:t xml:space="preserve">We disagree with </w:t>
            </w:r>
            <w:r w:rsidRPr="00772B77">
              <w:t xml:space="preserve">Frontier using dividend growth model estimates to support a point estimate that is directly estimated from the dividend growth model. This 'double-counts' the material and ignores the fact that this model should not be used to directly estimate the market risk premium.  </w:t>
            </w:r>
          </w:p>
          <w:p w:rsidR="00772B77" w:rsidRPr="00772B77" w:rsidRDefault="00772B77" w:rsidP="00772B77">
            <w:r>
              <w:t xml:space="preserve">We </w:t>
            </w:r>
            <w:r w:rsidRPr="00772B77">
              <w:t>also note Frontier's dividend growth model makes a number of methodological choices we disagree with:</w:t>
            </w:r>
          </w:p>
          <w:p w:rsidR="00772B77" w:rsidRPr="00772B77" w:rsidRDefault="00772B77" w:rsidP="00772B77">
            <w:pPr>
              <w:pStyle w:val="AERbulletlistfirststyle"/>
            </w:pPr>
            <w:r>
              <w:t>Frontier</w:t>
            </w:r>
            <w:r w:rsidRPr="00772B77">
              <w:t xml:space="preserve"> assumes a theta of 0.35. We consider the theta should be set at 0.6, consistent with a gamma of 0.4.</w:t>
            </w:r>
            <w:r w:rsidRPr="00772B77">
              <w:rPr>
                <w:rStyle w:val="FootnoteReference"/>
              </w:rPr>
              <w:footnoteReference w:id="421"/>
            </w:r>
          </w:p>
          <w:p w:rsidR="00772B77" w:rsidRPr="00F4298C" w:rsidRDefault="00772B77" w:rsidP="00772B77">
            <w:pPr>
              <w:pStyle w:val="AERbulletlistfirststyle"/>
            </w:pPr>
            <w:r>
              <w:t>Frontier</w:t>
            </w:r>
            <w:r w:rsidRPr="00772B77">
              <w:t xml:space="preserve"> does not include the downward adjustment to the long-run GDP growth. </w:t>
            </w:r>
            <w:r w:rsidR="00113EAF">
              <w:t>Partington and Satchell</w:t>
            </w:r>
            <w:r w:rsidRPr="00772B77">
              <w:t xml:space="preserve"> has advised the need for a downward adjustment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422"/>
            </w:r>
            <w:r w:rsidRPr="00772B77">
              <w:t xml:space="preserve"> We agree and consider that the downward adjustment remains appropriate.</w:t>
            </w:r>
          </w:p>
        </w:tc>
      </w:tr>
      <w:tr w:rsidR="00772B77" w:rsidTr="00772B77">
        <w:tc>
          <w:tcPr>
            <w:tcW w:w="1951" w:type="dxa"/>
          </w:tcPr>
          <w:p w:rsidR="00772B77" w:rsidRPr="00772B77" w:rsidRDefault="00772B77" w:rsidP="00772B77">
            <w:pPr>
              <w:rPr>
                <w:rStyle w:val="CommentReference"/>
              </w:rPr>
            </w:pPr>
            <w:r>
              <w:rPr>
                <w:rStyle w:val="CommentReference"/>
              </w:rPr>
              <w:t xml:space="preserve">Recent expert </w:t>
            </w:r>
            <w:r w:rsidRPr="00772B77">
              <w:rPr>
                <w:rStyle w:val="CommentReference"/>
              </w:rPr>
              <w:t>valuation reports support a 7.5 per cent market risk premium</w:t>
            </w:r>
            <w:r w:rsidRPr="00772B77">
              <w:rPr>
                <w:rStyle w:val="FootnoteReference"/>
              </w:rPr>
              <w:footnoteReference w:id="423"/>
            </w:r>
          </w:p>
        </w:tc>
        <w:tc>
          <w:tcPr>
            <w:tcW w:w="6742" w:type="dxa"/>
          </w:tcPr>
          <w:p w:rsidR="00772B77" w:rsidRPr="00772B77" w:rsidRDefault="00772B77" w:rsidP="00772B77">
            <w:r>
              <w:t xml:space="preserve">We disagree with the use of valuation reports to inform the market risk premium. </w:t>
            </w:r>
            <w:r w:rsidRPr="00772B77">
              <w:t>Our Guideline and subsequent regulatory decisions assessed that valuation reports contains a number of limitations which makes them unsuitable for informing the market risk premium:</w:t>
            </w:r>
          </w:p>
          <w:p w:rsidR="00772B77" w:rsidRPr="00772B77" w:rsidRDefault="00772B77" w:rsidP="00772B77">
            <w:pPr>
              <w:pStyle w:val="AERbulletlistfirststyle"/>
            </w:pPr>
            <w:r>
              <w:t xml:space="preserve">The ARORO states that data must be </w:t>
            </w:r>
            <w:r w:rsidRPr="00772B77">
              <w:t>'informed by sound empirical analysis and robust data'</w:t>
            </w:r>
            <w:r w:rsidRPr="00772B77">
              <w:rPr>
                <w:rStyle w:val="FootnoteReference"/>
              </w:rPr>
              <w:footnoteReference w:id="424"/>
            </w:r>
            <w:r w:rsidRPr="00772B77">
              <w:t xml:space="preserve"> however many valuation reports do not state the source of their information or decisions.</w:t>
            </w:r>
          </w:p>
          <w:p w:rsidR="00772B77" w:rsidRPr="00772B77" w:rsidRDefault="00772B77" w:rsidP="00772B77">
            <w:pPr>
              <w:pStyle w:val="AERbulletlistfirststyle"/>
            </w:pPr>
            <w:r>
              <w:t>Our recent consultant report stated that upward adjustments</w:t>
            </w:r>
            <w:r w:rsidRPr="00772B77">
              <w:t xml:space="preserve"> found in valuation reports 'seem too ad-hoc to be a regulatory tool'.</w:t>
            </w:r>
            <w:r w:rsidRPr="00772B77">
              <w:rPr>
                <w:rStyle w:val="FootnoteReference"/>
              </w:rPr>
              <w:footnoteReference w:id="425"/>
            </w:r>
          </w:p>
          <w:p w:rsidR="00772B77" w:rsidRPr="00772B77" w:rsidRDefault="00772B77" w:rsidP="00772B77">
            <w:pPr>
              <w:pStyle w:val="AERbulletlistfirststyle"/>
            </w:pPr>
            <w:r>
              <w:t xml:space="preserve">Using valuation reports as a guide means it is highly susceptible to sampling variation as </w:t>
            </w:r>
            <w:r w:rsidR="00113EAF">
              <w:t>Partington and Satchell</w:t>
            </w:r>
            <w:r>
              <w:t xml:space="preserve"> notes, and whilst some practitioners are</w:t>
            </w:r>
            <w:r w:rsidRPr="00772B77">
              <w:t xml:space="preserve"> using an MRP above 6 per cent there 'is evidence that valuation practitioners are using an MRP lower than the 6% favoured in Australia'.</w:t>
            </w:r>
            <w:r w:rsidRPr="00772B77">
              <w:rPr>
                <w:rStyle w:val="FootnoteReference"/>
              </w:rPr>
              <w:footnoteReference w:id="426"/>
            </w:r>
          </w:p>
          <w:p w:rsidR="00772B77" w:rsidRPr="00772B77" w:rsidRDefault="00772B77" w:rsidP="00772B77">
            <w:r>
              <w:t>It is also important to note that out of the four reports Frontier listed:</w:t>
            </w:r>
          </w:p>
          <w:p w:rsidR="00772B77" w:rsidRPr="00772B77" w:rsidRDefault="00772B77" w:rsidP="00772B77">
            <w:pPr>
              <w:pStyle w:val="AERbulletlistfirststyle"/>
            </w:pPr>
            <w:r>
              <w:t xml:space="preserve">Three of the reports specify an </w:t>
            </w:r>
            <w:r w:rsidRPr="00772B77">
              <w:t>market risk premium of 6 per cent.</w:t>
            </w:r>
            <w:r w:rsidRPr="00772B77">
              <w:rPr>
                <w:rStyle w:val="FootnoteReference"/>
              </w:rPr>
              <w:footnoteReference w:id="427"/>
            </w:r>
            <w:r w:rsidRPr="00772B77">
              <w:t xml:space="preserve"> </w:t>
            </w:r>
          </w:p>
          <w:p w:rsidR="00772B77" w:rsidRPr="00772B77" w:rsidRDefault="00772B77" w:rsidP="00772B77">
            <w:pPr>
              <w:pStyle w:val="AERbulletlistfirststyle"/>
            </w:pPr>
            <w:r>
              <w:t>The Grant Samuel report</w:t>
            </w:r>
            <w:r w:rsidRPr="00772B77">
              <w:t xml:space="preserve"> then goes on to apply uplift on this 6% based on "anecdotal evidence".</w:t>
            </w:r>
            <w:r w:rsidRPr="00772B77">
              <w:rPr>
                <w:rStyle w:val="FootnoteReference"/>
              </w:rPr>
              <w:footnoteReference w:id="428"/>
            </w:r>
          </w:p>
          <w:p w:rsidR="00772B77" w:rsidRPr="00772B77" w:rsidRDefault="00772B77" w:rsidP="00772B77">
            <w:pPr>
              <w:pStyle w:val="AERbulletlistfirststyle"/>
            </w:pPr>
            <w:r>
              <w:t xml:space="preserve">Three of the reports apply </w:t>
            </w:r>
            <w:r w:rsidRPr="00772B77">
              <w:t>uplift to the risk free rate as calculated by the AER.</w:t>
            </w:r>
            <w:r w:rsidRPr="00772B77">
              <w:rPr>
                <w:rStyle w:val="FootnoteReference"/>
              </w:rPr>
              <w:footnoteReference w:id="429"/>
            </w:r>
            <w:r w:rsidRPr="00772B77">
              <w:t xml:space="preserve"> This does not change the market risk premium itself and so should not be compared as such. The AER does not apply any uplift to its risk free rate.</w:t>
            </w:r>
          </w:p>
          <w:p w:rsidR="00772B77" w:rsidRPr="00772B77" w:rsidRDefault="00772B77" w:rsidP="00772B77">
            <w:pPr>
              <w:pStyle w:val="AERbulletlistfirststyle"/>
            </w:pPr>
            <w:r>
              <w:t xml:space="preserve">One of the reports, and the only one which does not </w:t>
            </w:r>
            <w:r w:rsidRPr="00772B77">
              <w:t>use a market risk premium of 6 per cent, does not provide any method as to how the market risk premium was calculated and as such is unsuitable for comparison.</w:t>
            </w:r>
            <w:r w:rsidRPr="00772B77">
              <w:rPr>
                <w:rStyle w:val="FootnoteReference"/>
              </w:rPr>
              <w:footnoteReference w:id="430"/>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Recent regulatory determinations support an market risk premium of 7.5 per cent</w:t>
            </w:r>
            <w:r w:rsidRPr="00772B77">
              <w:rPr>
                <w:rStyle w:val="FootnoteReference"/>
              </w:rPr>
              <w:footnoteReference w:id="431"/>
            </w:r>
          </w:p>
        </w:tc>
        <w:tc>
          <w:tcPr>
            <w:tcW w:w="6742" w:type="dxa"/>
          </w:tcPr>
          <w:p w:rsidR="00772B77" w:rsidRPr="00772B77" w:rsidRDefault="00772B77" w:rsidP="00772B77">
            <w:r>
              <w:t>We note that Frontier's sample of recent regulatory decisions supp</w:t>
            </w:r>
            <w:r w:rsidRPr="00772B77">
              <w:t xml:space="preserve">orts a market risk premium of 6 to 6.5 per cent. </w:t>
            </w:r>
          </w:p>
          <w:p w:rsidR="00772B77" w:rsidRPr="00772B77" w:rsidRDefault="00772B77" w:rsidP="00772B77">
            <w:r>
              <w:t xml:space="preserve">We note most Australian regulators adopted </w:t>
            </w:r>
            <w:r w:rsidRPr="00772B77">
              <w:t xml:space="preserve">a market risk premium of 6 to 6.5 per cent (the ERA has acknowledged that its estimate is comparable to our 6.5 per cent figure).  </w:t>
            </w:r>
          </w:p>
          <w:p w:rsidR="00772B77" w:rsidRPr="00772B77" w:rsidRDefault="00772B77" w:rsidP="00772B77">
            <w:r>
              <w:t xml:space="preserve">We do not consider foreign regulatory decisions useful for informing the market risk premium. </w:t>
            </w:r>
            <w:r w:rsidRPr="00772B77">
              <w:t xml:space="preserve">This is because the required return on the </w:t>
            </w:r>
            <w:r w:rsidR="00A570A2">
              <w:t xml:space="preserve">domestic </w:t>
            </w:r>
            <w:r w:rsidRPr="00772B77">
              <w:t>market may differ across countries</w:t>
            </w:r>
            <w:r w:rsidRPr="00772B77">
              <w:rPr>
                <w:rStyle w:val="FootnoteReference"/>
              </w:rPr>
              <w:footnoteReference w:id="432"/>
            </w:r>
            <w:r w:rsidRPr="00772B77">
              <w:t xml:space="preserve"> in addition to other caveats we note about other regulators' decisions.</w:t>
            </w:r>
            <w:r w:rsidRPr="00772B77">
              <w:rPr>
                <w:rStyle w:val="FootnoteReference"/>
              </w:rPr>
              <w:footnoteReference w:id="433"/>
            </w:r>
            <w:r w:rsidRPr="00772B77">
              <w:t xml:space="preserve"> This is supported by Partington and Satchell as they noted that 'overseas regulators decisions are not likely to be convincing unless one can show great similarities in the economies considered'.</w:t>
            </w:r>
            <w:r w:rsidRPr="00772B77">
              <w:rPr>
                <w:rStyle w:val="FootnoteReference"/>
              </w:rPr>
              <w:footnoteReference w:id="434"/>
            </w:r>
          </w:p>
        </w:tc>
      </w:tr>
      <w:tr w:rsidR="00772B77" w:rsidTr="00772B77">
        <w:tc>
          <w:tcPr>
            <w:tcW w:w="1951" w:type="dxa"/>
          </w:tcPr>
          <w:p w:rsidR="00772B77" w:rsidRPr="00772B77" w:rsidRDefault="00772B77" w:rsidP="00772B77">
            <w:pPr>
              <w:rPr>
                <w:rStyle w:val="CommentReference"/>
              </w:rPr>
            </w:pPr>
            <w:r>
              <w:rPr>
                <w:rStyle w:val="CommentReference"/>
              </w:rPr>
              <w:t xml:space="preserve">Conditioning variable does not support the </w:t>
            </w:r>
            <w:r w:rsidRPr="00772B77">
              <w:rPr>
                <w:rStyle w:val="CommentReference"/>
              </w:rPr>
              <w:t>proposition that the required return on equity has decreased by 25 per cent since the Guideline</w:t>
            </w:r>
            <w:r w:rsidRPr="00772B77">
              <w:rPr>
                <w:rStyle w:val="FootnoteReference"/>
              </w:rPr>
              <w:footnoteReference w:id="435"/>
            </w:r>
          </w:p>
        </w:tc>
        <w:tc>
          <w:tcPr>
            <w:tcW w:w="6742" w:type="dxa"/>
          </w:tcPr>
          <w:p w:rsidR="00772B77" w:rsidRPr="00772B77" w:rsidRDefault="00772B77" w:rsidP="00772B77">
            <w:r>
              <w:t xml:space="preserve">We are </w:t>
            </w:r>
            <w:r w:rsidRPr="00772B77">
              <w:t xml:space="preserve">aware of the limitations of conditioning variables and do not use </w:t>
            </w:r>
            <w:r w:rsidR="00A570A2">
              <w:t>them</w:t>
            </w:r>
            <w:r w:rsidRPr="00772B77">
              <w:t xml:space="preserve"> to directly estimate the market risk premium. Our use of the conditioning variable is as outlined in the Guideline: to provide directional information/change in the market risk premium.</w:t>
            </w:r>
            <w:r w:rsidRPr="00772B77">
              <w:rPr>
                <w:rStyle w:val="FootnoteReference"/>
              </w:rPr>
              <w:footnoteReference w:id="436"/>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Market participants' view supports an market risk premium of 7.5 per cent</w:t>
            </w:r>
            <w:r w:rsidRPr="00772B77">
              <w:rPr>
                <w:rStyle w:val="FootnoteReference"/>
              </w:rPr>
              <w:footnoteReference w:id="437"/>
            </w:r>
            <w:r w:rsidRPr="00772B77">
              <w:rPr>
                <w:rStyle w:val="CommentReference"/>
              </w:rPr>
              <w:t xml:space="preserve"> </w:t>
            </w:r>
          </w:p>
        </w:tc>
        <w:tc>
          <w:tcPr>
            <w:tcW w:w="6742" w:type="dxa"/>
          </w:tcPr>
          <w:p w:rsidR="00772B77" w:rsidRPr="00772B77" w:rsidRDefault="00772B77" w:rsidP="00772B77">
            <w:r>
              <w:t xml:space="preserve">This is premised on </w:t>
            </w:r>
            <w:r w:rsidRPr="00772B77">
              <w:t>Frontier's argument that the return on equity has remained stable on which it submitted a range of material that is substantively similar to its previous submissions:</w:t>
            </w:r>
          </w:p>
          <w:p w:rsidR="00772B77" w:rsidRDefault="00772B77" w:rsidP="00772B77">
            <w:pPr>
              <w:pStyle w:val="AERbulletlistfirststyle"/>
            </w:pPr>
            <w:r>
              <w:t>Reserve bank statement</w:t>
            </w:r>
          </w:p>
          <w:p w:rsidR="00772B77" w:rsidRDefault="00772B77" w:rsidP="00772B77">
            <w:pPr>
              <w:pStyle w:val="AERbulletlistfirststyle"/>
            </w:pPr>
            <w:r>
              <w:t>Foreign regulators' decisions</w:t>
            </w:r>
          </w:p>
          <w:p w:rsidR="00A4295D" w:rsidRDefault="00A4295D" w:rsidP="00A4295D">
            <w:r w:rsidRPr="00A4295D">
              <w:t>We have responded to this material in this decision and previous decisions</w:t>
            </w:r>
            <w:r w:rsidRPr="00A4295D">
              <w:rPr>
                <w:rStyle w:val="FootnoteReference"/>
              </w:rPr>
              <w:footnoteReference w:id="438"/>
            </w:r>
            <w:r w:rsidRPr="00A4295D">
              <w:t xml:space="preserve"> and continue to consider that Frontier has not provided satisfactory evidence to lead us to consider the return on equity has not changed since the Guideline.</w:t>
            </w:r>
          </w:p>
          <w:p w:rsidR="006566E4" w:rsidRPr="006566E4" w:rsidRDefault="006566E4" w:rsidP="006566E4">
            <w:r w:rsidRPr="006566E4">
              <w:t>Partington and Satchell ha</w:t>
            </w:r>
            <w:r w:rsidR="00673895">
              <w:t>ve</w:t>
            </w:r>
            <w:r w:rsidRPr="006566E4">
              <w:t xml:space="preserve"> advised that for the return on equity to remain stable requires implausibly large changes in the market risk premium and the return on market</w:t>
            </w:r>
            <w:r>
              <w:t>.</w:t>
            </w:r>
            <w:r>
              <w:rPr>
                <w:rStyle w:val="FootnoteReference"/>
              </w:rPr>
              <w:footnoteReference w:id="439"/>
            </w:r>
            <w:r w:rsidR="005E6E22">
              <w:t xml:space="preserve"> They have also reiterated that 'it is more likely that the MRP is below the long run historic average'.</w:t>
            </w:r>
            <w:r w:rsidR="005E6E22">
              <w:rPr>
                <w:rStyle w:val="FootnoteReference"/>
              </w:rPr>
              <w:footnoteReference w:id="440"/>
            </w:r>
          </w:p>
          <w:p w:rsidR="00772B77" w:rsidRPr="00772B77" w:rsidRDefault="00A4295D" w:rsidP="00405AF1">
            <w:pPr>
              <w:pStyle w:val="AERbulletlistfirststyle"/>
              <w:numPr>
                <w:ilvl w:val="0"/>
                <w:numId w:val="0"/>
              </w:numPr>
            </w:pPr>
            <w:r w:rsidRPr="00A4295D">
              <w:t xml:space="preserve">See section </w:t>
            </w:r>
            <w:r>
              <w:t xml:space="preserve">'Steps four and five' </w:t>
            </w:r>
            <w:r w:rsidRPr="00A4295D">
              <w:t xml:space="preserve"> for more discussion.</w:t>
            </w:r>
          </w:p>
        </w:tc>
      </w:tr>
      <w:tr w:rsidR="00772B77" w:rsidTr="00772B77">
        <w:tc>
          <w:tcPr>
            <w:tcW w:w="1951" w:type="dxa"/>
          </w:tcPr>
          <w:p w:rsidR="00772B77" w:rsidRDefault="00772B77" w:rsidP="00772B77">
            <w:pPr>
              <w:rPr>
                <w:rStyle w:val="CommentReference"/>
              </w:rPr>
            </w:pPr>
          </w:p>
        </w:tc>
        <w:tc>
          <w:tcPr>
            <w:tcW w:w="6742" w:type="dxa"/>
          </w:tcPr>
          <w:p w:rsidR="00772B77" w:rsidRPr="00772B77" w:rsidRDefault="00772B77" w:rsidP="00772B77"/>
        </w:tc>
      </w:tr>
    </w:tbl>
    <w:p w:rsidR="0084079E" w:rsidRDefault="0084079E" w:rsidP="008B2351"/>
    <w:p w:rsidR="00E13934" w:rsidRDefault="00E13934" w:rsidP="00E13934">
      <w:pPr>
        <w:pStyle w:val="HeadingBoldBlue"/>
        <w:rPr>
          <w:rStyle w:val="AERtextorange"/>
        </w:rPr>
      </w:pPr>
      <w:r>
        <w:rPr>
          <w:rStyle w:val="AERtextorange"/>
        </w:rPr>
        <w:t>Steps four and five: other information and evaluation of information set on overall return on equity</w:t>
      </w:r>
    </w:p>
    <w:p w:rsidR="00501F99" w:rsidRDefault="00501F99" w:rsidP="00501F99">
      <w:bookmarkStart w:id="69" w:name="_Ref445927856"/>
      <w:r>
        <w:t xml:space="preserve">To inform the reasonableness of the Guideline's foundation model </w:t>
      </w:r>
      <w:r w:rsidRPr="00010BCE">
        <w:t>retur</w:t>
      </w:r>
      <w:r>
        <w:t>n</w:t>
      </w:r>
      <w:r w:rsidRPr="00010BCE">
        <w:t xml:space="preserve"> on equity estimate, we estimate and evaluate values from other relevant sources of information (steps four and five of the foundation model approach).</w:t>
      </w:r>
      <w:r w:rsidRPr="00010BCE">
        <w:rPr>
          <w:rStyle w:val="FootnoteReference"/>
        </w:rPr>
        <w:footnoteReference w:id="441"/>
      </w:r>
      <w:r w:rsidRPr="00AD1905">
        <w:t xml:space="preserve"> </w:t>
      </w:r>
      <w:r>
        <w:t>In having regard to prevailing market conditions we have also examined recent movements in the relevant material.</w:t>
      </w:r>
      <w:r w:rsidRPr="00F97967">
        <w:t xml:space="preserve"> </w:t>
      </w:r>
    </w:p>
    <w:p w:rsidR="00501F99" w:rsidRPr="00010BCE" w:rsidRDefault="00501F99" w:rsidP="00501F99">
      <w:r w:rsidRPr="00F97967">
        <w:t xml:space="preserve">Our task is to set the allowed rate of return to be commensurate with a similar degree of risk as that which applies to </w:t>
      </w:r>
      <w:r w:rsidR="00DE084F">
        <w:t>TasNetworks</w:t>
      </w:r>
      <w:r>
        <w:t xml:space="preserve"> with respect to the provision of prescribed transmission services</w:t>
      </w:r>
      <w:r w:rsidRPr="00F97967">
        <w:t>.</w:t>
      </w:r>
      <w:r w:rsidRPr="00010BCE">
        <w:rPr>
          <w:rStyle w:val="FootnoteReference"/>
        </w:rPr>
        <w:footnoteReference w:id="442"/>
      </w:r>
      <w:r w:rsidRPr="00010BCE">
        <w:t xml:space="preserve"> </w:t>
      </w:r>
      <w:r>
        <w:t xml:space="preserve">This requires us to consider the additional riskiness of </w:t>
      </w:r>
      <w:r w:rsidR="00DE084F">
        <w:t>TasNetworks</w:t>
      </w:r>
      <w:r>
        <w:rPr>
          <w:rStyle w:val="FootnoteReference"/>
        </w:rPr>
        <w:footnoteReference w:id="443"/>
      </w:r>
      <w:r>
        <w:t xml:space="preserve"> relative to the risk free asset, and the commensurate return that equity investors require to take on this additional risk. </w:t>
      </w:r>
      <w:r w:rsidRPr="00010BCE">
        <w:t xml:space="preserve">Hence, the critical allowance is the allowed equity risk premium over and above the estimated risk free rate at a given time. </w:t>
      </w:r>
      <w:r>
        <w:fldChar w:fldCharType="begin"/>
      </w:r>
      <w:r>
        <w:instrText xml:space="preserve"> REF _Ref445923478 \h </w:instrText>
      </w:r>
      <w:r>
        <w:fldChar w:fldCharType="separate"/>
      </w:r>
      <w:r w:rsidR="00C6448C" w:rsidRPr="00866A7A">
        <w:t xml:space="preserve">Figure </w:t>
      </w:r>
      <w:r w:rsidR="00C6448C">
        <w:rPr>
          <w:noProof/>
        </w:rPr>
        <w:t>3</w:t>
      </w:r>
      <w:r w:rsidR="00C6448C">
        <w:noBreakHyphen/>
      </w:r>
      <w:r w:rsidR="00C6448C">
        <w:rPr>
          <w:noProof/>
        </w:rPr>
        <w:t>5</w:t>
      </w:r>
      <w:r>
        <w:fldChar w:fldCharType="end"/>
      </w:r>
      <w:r>
        <w:t xml:space="preserve"> compares our foundation model equity risk premium to other relevant material</w:t>
      </w:r>
      <w:r>
        <w:rPr>
          <w:rStyle w:val="FootnoteReference"/>
        </w:rPr>
        <w:footnoteReference w:id="444"/>
      </w:r>
      <w:r>
        <w:t xml:space="preserve"> that can inform our estimate of return on equity and equity risk premium. </w:t>
      </w:r>
    </w:p>
    <w:p w:rsidR="00501F99" w:rsidRPr="00010BCE" w:rsidRDefault="00501F99" w:rsidP="00501F99">
      <w:r>
        <w:t xml:space="preserve">We consider that, on the whole, </w:t>
      </w:r>
      <w:r w:rsidRPr="00010BCE">
        <w:t xml:space="preserve">the other </w:t>
      </w:r>
      <w:r>
        <w:t>material</w:t>
      </w:r>
      <w:r>
        <w:rPr>
          <w:rStyle w:val="FootnoteReference"/>
        </w:rPr>
        <w:footnoteReference w:id="445"/>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July and August 2016 decisions </w:t>
      </w:r>
      <w:r w:rsidRPr="00F97967">
        <w:t>sufficient to cause us to move away from our foundation model estimate.</w:t>
      </w:r>
      <w:r>
        <w:t xml:space="preserve"> </w:t>
      </w:r>
      <w:r w:rsidRPr="00F97967">
        <w:t xml:space="preserve"> </w:t>
      </w:r>
    </w:p>
    <w:p w:rsidR="00501F99" w:rsidRDefault="00501F99" w:rsidP="00501F99">
      <w:pPr>
        <w:pStyle w:val="Caption"/>
      </w:pPr>
      <w:bookmarkStart w:id="70" w:name="_Ref445923478"/>
      <w:r w:rsidRPr="00866A7A">
        <w:t xml:space="preserve">Figure </w:t>
      </w:r>
      <w:fldSimple w:instr=" STYLEREF 1 \s ">
        <w:r w:rsidR="00C6448C">
          <w:rPr>
            <w:noProof/>
          </w:rPr>
          <w:t>3</w:t>
        </w:r>
      </w:fldSimple>
      <w:r w:rsidR="00882F3D">
        <w:noBreakHyphen/>
      </w:r>
      <w:fldSimple w:instr=" SEQ Figure \* ARABIC \s 1 ">
        <w:r w:rsidR="00C6448C">
          <w:rPr>
            <w:noProof/>
          </w:rPr>
          <w:t>5</w:t>
        </w:r>
      </w:fldSimple>
      <w:bookmarkEnd w:id="70"/>
      <w:r w:rsidRPr="00866A7A">
        <w:tab/>
      </w:r>
      <w:r>
        <w:t>Comparison of our foundation model equity risk premium</w:t>
      </w:r>
    </w:p>
    <w:p w:rsidR="0056513F" w:rsidRDefault="0056513F" w:rsidP="006E5878"/>
    <w:p w:rsidR="0056513F" w:rsidRPr="0056513F" w:rsidRDefault="0056513F" w:rsidP="006E5878"/>
    <w:p w:rsidR="00501F99" w:rsidRPr="00D46494" w:rsidRDefault="00501F99" w:rsidP="00501F99"/>
    <w:p w:rsidR="00501F99" w:rsidRPr="00033144" w:rsidRDefault="00704113" w:rsidP="00501F99">
      <w:r w:rsidRPr="00704113">
        <w:rPr>
          <w:noProof/>
          <w:lang w:eastAsia="en-AU"/>
        </w:rPr>
        <w:drawing>
          <wp:inline distT="0" distB="0" distL="0" distR="0" wp14:anchorId="4A0DE9A9" wp14:editId="12C9D083">
            <wp:extent cx="5382895" cy="453923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4539230"/>
                    </a:xfrm>
                    <a:prstGeom prst="rect">
                      <a:avLst/>
                    </a:prstGeom>
                  </pic:spPr>
                </pic:pic>
              </a:graphicData>
            </a:graphic>
          </wp:inline>
        </w:drawing>
      </w:r>
    </w:p>
    <w:p w:rsidR="00501F99" w:rsidRPr="00033144" w:rsidRDefault="00501F99" w:rsidP="00501F99">
      <w:pPr>
        <w:pStyle w:val="AERtablesource"/>
      </w:pPr>
      <w:r w:rsidRPr="00033144">
        <w:t>Source:</w:t>
      </w:r>
      <w:r w:rsidRPr="00033144">
        <w:tab/>
        <w:t>AER analysis and various submissions and reports.</w:t>
      </w:r>
    </w:p>
    <w:p w:rsidR="00501F99" w:rsidRPr="00033144" w:rsidRDefault="00501F99" w:rsidP="00501F99">
      <w:pPr>
        <w:pStyle w:val="AERtablesource"/>
      </w:pPr>
      <w:r w:rsidRPr="00033144">
        <w:t xml:space="preserve">Notes: </w:t>
      </w:r>
      <w:r w:rsidRPr="00033144">
        <w:tab/>
        <w:t xml:space="preserve">The AER foundation model equity risk premium (ERP) range uses the range and point estimate for market risk premium and equity beta. The calculation of the Wright approach is set out in section </w:t>
      </w:r>
      <w:r w:rsidRPr="00033144">
        <w:fldChar w:fldCharType="begin"/>
      </w:r>
      <w:r w:rsidRPr="00033144">
        <w:instrText xml:space="preserve"> REF _Ref449053064 \r \h </w:instrText>
      </w:r>
      <w:r w:rsidRPr="00033144">
        <w:fldChar w:fldCharType="separate"/>
      </w:r>
      <w:r w:rsidR="00C6448C">
        <w:t>C.2</w:t>
      </w:r>
      <w:r w:rsidRPr="00033144">
        <w:fldChar w:fldCharType="end"/>
      </w:r>
      <w:r w:rsidRPr="00033144">
        <w:t>.  The calculation of brokers and other regulators ranges is outlined in Appendix F. The calculation of debt risk premium is in Appendix E.3.</w:t>
      </w:r>
    </w:p>
    <w:p w:rsidR="00501F99" w:rsidRPr="00033144" w:rsidRDefault="00501F99" w:rsidP="00501F99">
      <w:pPr>
        <w:pStyle w:val="AERtablesource"/>
      </w:pPr>
      <w:r w:rsidRPr="00033144">
        <w:tab/>
        <w:t>Grant Samuel's final WACC range included an uplift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446"/>
      </w:r>
      <w:r w:rsidRPr="00033144">
        <w:t xml:space="preserve"> </w:t>
      </w:r>
    </w:p>
    <w:p w:rsidR="00501F99" w:rsidRPr="00033144" w:rsidRDefault="00501F99" w:rsidP="00501F99">
      <w:pPr>
        <w:pStyle w:val="AERtablesource"/>
      </w:pPr>
      <w:r w:rsidRPr="00033144">
        <w:tab/>
        <w:t>The shaded portion of the other regulators range represents the impact of rail, transport and retail gas decisions on the range. We consider these industries are unlikely to be comparable to the benchmark efficient entity.</w:t>
      </w:r>
    </w:p>
    <w:p w:rsidR="00501F99" w:rsidRPr="00033144" w:rsidRDefault="00501F99" w:rsidP="00501F99">
      <w:pPr>
        <w:pStyle w:val="AERtablesource"/>
      </w:pPr>
      <w:r w:rsidRPr="00033144">
        <w:tab/>
        <w:t>The service provider proposals range is based on the proposals from businesses</w:t>
      </w:r>
      <w:r w:rsidRPr="00033144">
        <w:rPr>
          <w:rStyle w:val="FootnoteReference"/>
        </w:rPr>
        <w:footnoteReference w:id="447"/>
      </w:r>
      <w:r w:rsidRPr="00033144">
        <w:t xml:space="preserve"> for which we </w:t>
      </w:r>
      <w:r>
        <w:t>will make decisions</w:t>
      </w:r>
      <w:r w:rsidRPr="00033144">
        <w:t xml:space="preserve"> in </w:t>
      </w:r>
      <w:r>
        <w:t>April 2017</w:t>
      </w:r>
      <w:r w:rsidRPr="00033144">
        <w:t xml:space="preserve">. The lower bound of the CCP/stakeholder range is based on the </w:t>
      </w:r>
      <w:r>
        <w:t>CCP5</w:t>
      </w:r>
      <w:r w:rsidRPr="00033144">
        <w:t xml:space="preserve"> submission, </w:t>
      </w:r>
      <w:r w:rsidRPr="00033144">
        <w:rPr>
          <w:rStyle w:val="FootnoteReference"/>
        </w:rPr>
        <w:footnoteReference w:id="448"/>
      </w:r>
      <w:r w:rsidRPr="00033144">
        <w:t xml:space="preserve"> the upper bound is based on </w:t>
      </w:r>
      <w:r>
        <w:t>multiple</w:t>
      </w:r>
      <w:r w:rsidRPr="00033144">
        <w:t xml:space="preserve"> submission</w:t>
      </w:r>
      <w:r>
        <w:t>s which accept the AER's MRP and equity beta</w:t>
      </w:r>
      <w:r w:rsidRPr="00033144">
        <w:t>.</w:t>
      </w:r>
      <w:r w:rsidRPr="00033144">
        <w:rPr>
          <w:rStyle w:val="FootnoteReference"/>
        </w:rPr>
        <w:footnoteReference w:id="449"/>
      </w:r>
    </w:p>
    <w:p w:rsidR="006A3314" w:rsidRPr="00033144" w:rsidRDefault="006A3314" w:rsidP="006A3314">
      <w:r w:rsidRPr="00033144">
        <w:t xml:space="preserve">Our implementation of the foundation model approach results in a return on equity of </w:t>
      </w:r>
      <w:r w:rsidR="00892103">
        <w:t xml:space="preserve">7.4 </w:t>
      </w:r>
      <w:r w:rsidRPr="00033144">
        <w:t xml:space="preserve">per cent and an equity risk premium of 4.55 per cent. This is consistent with equity risk premium ranges from broker reports, valuation reports, other regulators' decisions, and the Wright approach as shown in </w:t>
      </w:r>
      <w:r w:rsidRPr="00033144">
        <w:fldChar w:fldCharType="begin"/>
      </w:r>
      <w:r w:rsidRPr="00033144">
        <w:instrText xml:space="preserve"> REF _Ref445923478 \h </w:instrText>
      </w:r>
      <w:r w:rsidRPr="00033144">
        <w:fldChar w:fldCharType="separate"/>
      </w:r>
      <w:r w:rsidR="00C6448C" w:rsidRPr="00866A7A">
        <w:t xml:space="preserve">Figure </w:t>
      </w:r>
      <w:r w:rsidR="00C6448C">
        <w:rPr>
          <w:noProof/>
        </w:rPr>
        <w:t>3</w:t>
      </w:r>
      <w:r w:rsidR="00C6448C">
        <w:noBreakHyphen/>
      </w:r>
      <w:r w:rsidR="00C6448C">
        <w:rPr>
          <w:noProof/>
        </w:rPr>
        <w:t>5</w:t>
      </w:r>
      <w:r w:rsidRPr="00033144">
        <w:fldChar w:fldCharType="end"/>
      </w:r>
      <w:r w:rsidRPr="00033144">
        <w:t>.</w:t>
      </w:r>
      <w:r w:rsidRPr="00033144">
        <w:rPr>
          <w:rStyle w:val="FootnoteReference"/>
        </w:rPr>
        <w:footnoteReference w:id="450"/>
      </w:r>
      <w:r w:rsidRPr="00033144">
        <w:t xml:space="preserve">  The range of equity risk premium estimates from valuation reports and other regulators' decisions have not materially changed since our </w:t>
      </w:r>
      <w:r>
        <w:t>May and August 2016 decisions</w:t>
      </w:r>
      <w:r w:rsidRPr="00033144">
        <w:t xml:space="preserve">. The estimated equity risk premium range from the Wright approach has increased since </w:t>
      </w:r>
      <w:r>
        <w:t>we made the October and November 2015</w:t>
      </w:r>
      <w:r w:rsidRPr="00033144">
        <w:t xml:space="preserve"> decision</w:t>
      </w:r>
      <w:r>
        <w:t>s</w:t>
      </w:r>
      <w:r w:rsidRPr="00033144">
        <w:t xml:space="preserve"> as the risk free rate has fallen. As set out in section </w:t>
      </w:r>
      <w:r w:rsidRPr="00033144">
        <w:fldChar w:fldCharType="begin"/>
      </w:r>
      <w:r w:rsidRPr="00033144">
        <w:instrText xml:space="preserve"> REF _Ref449018117 \r \h </w:instrText>
      </w:r>
      <w:r w:rsidRPr="00033144">
        <w:fldChar w:fldCharType="separate"/>
      </w:r>
      <w:r w:rsidR="00C6448C">
        <w:t>B.5</w:t>
      </w:r>
      <w:r w:rsidRPr="00033144">
        <w:fldChar w:fldCharType="end"/>
      </w:r>
      <w:r w:rsidRPr="00033144">
        <w:t>, we do not agree with the underlying premise of the Wright CAPM that there is a clear inverse relationship between movements in the risk free rate and market risk premium. Consequently we place limited reliance on the Wright approach.</w:t>
      </w:r>
    </w:p>
    <w:p w:rsidR="00501F99" w:rsidRDefault="006A3314" w:rsidP="00501F99">
      <w:r w:rsidRPr="00B005DF">
        <w:t xml:space="preserve">The return on debt material </w:t>
      </w:r>
      <w:r>
        <w:t xml:space="preserve">shown in </w:t>
      </w:r>
      <w:r>
        <w:fldChar w:fldCharType="begin"/>
      </w:r>
      <w:r>
        <w:instrText xml:space="preserve"> REF _Ref445923478 \h </w:instrText>
      </w:r>
      <w:r>
        <w:fldChar w:fldCharType="separate"/>
      </w:r>
      <w:r w:rsidR="00C6448C" w:rsidRPr="00866A7A">
        <w:t xml:space="preserve">Figure </w:t>
      </w:r>
      <w:r w:rsidR="00C6448C">
        <w:rPr>
          <w:noProof/>
        </w:rPr>
        <w:t>3</w:t>
      </w:r>
      <w:r w:rsidR="00C6448C">
        <w:noBreakHyphen/>
      </w:r>
      <w:r w:rsidR="00C6448C">
        <w:rPr>
          <w:noProof/>
        </w:rPr>
        <w:t>5</w:t>
      </w:r>
      <w:r>
        <w:fldChar w:fldCharType="end"/>
      </w:r>
      <w:r>
        <w:t xml:space="preserve"> </w:t>
      </w:r>
      <w:r w:rsidRPr="00B005DF">
        <w:t>does not support any change to our foundation model return on equity estimate.</w:t>
      </w:r>
      <w:r>
        <w:t xml:space="preserve"> </w:t>
      </w:r>
      <w:r w:rsidRPr="00E5005D">
        <w:t xml:space="preserve">Our </w:t>
      </w:r>
      <w:r w:rsidR="006E7560">
        <w:t>analysis indicate that the equity risk premium</w:t>
      </w:r>
      <w:r w:rsidRPr="00E5005D">
        <w:t xml:space="preserve"> is about</w:t>
      </w:r>
      <w:r w:rsidR="00892103">
        <w:t xml:space="preserve"> 230</w:t>
      </w:r>
      <w:r w:rsidRPr="00E5005D">
        <w:t xml:space="preserve"> </w:t>
      </w:r>
      <w:r>
        <w:t>basis points</w:t>
      </w:r>
      <w:r>
        <w:rPr>
          <w:rStyle w:val="FootnoteReference"/>
        </w:rPr>
        <w:footnoteReference w:id="451"/>
      </w:r>
      <w:r w:rsidRPr="00B005DF">
        <w:t xml:space="preserve"> above the prevailing return on debt. The return on </w:t>
      </w:r>
      <w:r w:rsidR="00501F99" w:rsidRPr="00B005DF">
        <w:t>debt is a relative indicator and we expect that</w:t>
      </w:r>
      <w:r w:rsidR="00501F99">
        <w:t>,</w:t>
      </w:r>
      <w:r w:rsidR="00501F99" w:rsidRPr="00B005DF">
        <w:t xml:space="preserve"> most of the time</w:t>
      </w:r>
      <w:r w:rsidR="00501F99">
        <w:t>,</w:t>
      </w:r>
      <w:r w:rsidR="00501F99">
        <w:rPr>
          <w:rStyle w:val="FootnoteReference"/>
        </w:rPr>
        <w:footnoteReference w:id="452"/>
      </w:r>
      <w:r w:rsidR="00501F99" w:rsidRPr="00B005DF">
        <w:t xml:space="preserve"> investors' expected return on equity will exceed the expected return on debt. For our benchmark efficient entity with a similar degree of risk as </w:t>
      </w:r>
      <w:r w:rsidR="00DE084F">
        <w:t>TasNetworks</w:t>
      </w:r>
      <w:r w:rsidR="00501F99" w:rsidRPr="00B005DF">
        <w:t>, we would not expect the return on equity to be a large margin above the prevailing return on debt</w:t>
      </w:r>
      <w:r w:rsidR="00501F99">
        <w:t>.</w:t>
      </w:r>
      <w:r w:rsidR="00501F99">
        <w:rPr>
          <w:rStyle w:val="FootnoteReference"/>
        </w:rPr>
        <w:footnoteReference w:id="453"/>
      </w:r>
      <w:r w:rsidR="00501F99">
        <w:t xml:space="preserve"> </w:t>
      </w:r>
    </w:p>
    <w:p w:rsidR="00501F99" w:rsidRDefault="00501F99" w:rsidP="00501F99">
      <w:r>
        <w:t xml:space="preserve">The spread between the equity and debt premiums has widened since the May and August 2016 decisions but it remains above the estimate at the publication of the Guideline in December 2013 (see </w:t>
      </w:r>
      <w:r>
        <w:fldChar w:fldCharType="begin"/>
      </w:r>
      <w:r>
        <w:instrText xml:space="preserve"> REF _Ref456700933 \h </w:instrText>
      </w:r>
      <w:r>
        <w:fldChar w:fldCharType="separate"/>
      </w:r>
      <w:r w:rsidR="00C6448C">
        <w:t xml:space="preserve">Figure </w:t>
      </w:r>
      <w:r w:rsidR="00C6448C">
        <w:rPr>
          <w:noProof/>
        </w:rPr>
        <w:t>3</w:t>
      </w:r>
      <w:r w:rsidR="00C6448C">
        <w:noBreakHyphen/>
      </w:r>
      <w:r w:rsidR="00C6448C">
        <w:rPr>
          <w:noProof/>
        </w:rPr>
        <w:t>11</w:t>
      </w:r>
      <w:r>
        <w:fldChar w:fldCharType="end"/>
      </w:r>
      <w:r>
        <w:t xml:space="preserve"> in section </w:t>
      </w:r>
      <w:r>
        <w:fldChar w:fldCharType="begin"/>
      </w:r>
      <w:r>
        <w:instrText xml:space="preserve"> REF _Ref449052987 \r \h </w:instrText>
      </w:r>
      <w:r>
        <w:fldChar w:fldCharType="separate"/>
      </w:r>
      <w:r w:rsidR="00C6448C">
        <w:t>E.3</w:t>
      </w:r>
      <w:r>
        <w:fldChar w:fldCharType="end"/>
      </w:r>
      <w:r>
        <w:t>). It remains broadly consistent with those observed in previous regulatory decisions.</w:t>
      </w:r>
      <w:r>
        <w:rPr>
          <w:rStyle w:val="FootnoteReference"/>
        </w:rPr>
        <w:footnoteReference w:id="454"/>
      </w:r>
      <w:r>
        <w:t xml:space="preserve"> </w:t>
      </w:r>
      <w:r w:rsidR="00734A68">
        <w:t>W</w:t>
      </w:r>
      <w:r>
        <w:t>e consider the current difference is not too low, given</w:t>
      </w:r>
      <w:r w:rsidRPr="00B005DF">
        <w:t xml:space="preserve"> the low risk profile of </w:t>
      </w:r>
      <w:r>
        <w:t>a</w:t>
      </w:r>
      <w:r w:rsidRPr="00B005DF">
        <w:t xml:space="preserve"> benchmark efficient entity</w:t>
      </w:r>
      <w:r>
        <w:t xml:space="preserve"> with a similar degree of risk as </w:t>
      </w:r>
      <w:r w:rsidR="00DE084F">
        <w:t>TasNetworks</w:t>
      </w:r>
      <w:r>
        <w:t xml:space="preserve"> in providing regulated services.</w:t>
      </w:r>
      <w:r w:rsidRPr="00B005DF">
        <w:rPr>
          <w:rStyle w:val="FootnoteReference"/>
        </w:rPr>
        <w:footnoteReference w:id="455"/>
      </w:r>
      <w:r>
        <w:t xml:space="preserve"> Further, measured debt yields likely understate the expected yield spread due to default risk</w:t>
      </w:r>
      <w:r w:rsidRPr="00B005DF">
        <w:t>.</w:t>
      </w:r>
      <w:r>
        <w:rPr>
          <w:rStyle w:val="FootnoteReference"/>
        </w:rPr>
        <w:footnoteReference w:id="456"/>
      </w:r>
      <w:r w:rsidRPr="00B75657">
        <w:rPr>
          <w:rStyle w:val="CommentReference"/>
        </w:rPr>
        <w:t xml:space="preserve"> </w:t>
      </w:r>
    </w:p>
    <w:p w:rsidR="006A3314" w:rsidRDefault="00501F99" w:rsidP="00501F99">
      <w:r>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Pr>
          <w:rStyle w:val="FootnoteReference"/>
        </w:rPr>
        <w:footnoteReference w:id="457"/>
      </w:r>
      <w:r>
        <w:t xml:space="preserve"> This suggests the allowances set in the past using the Sharpe-Lintner CAPM were at least adequate to recover efficient costs.</w:t>
      </w:r>
      <w:r>
        <w:rPr>
          <w:rStyle w:val="FootnoteReference"/>
        </w:rPr>
        <w:footnoteReference w:id="458"/>
      </w:r>
      <w:r>
        <w:t xml:space="preserve"> We also note that broker reports suggest that our recent </w:t>
      </w:r>
      <w:r w:rsidR="006A3314">
        <w:t>determinations have not removed the ability for listed networks to maintain payment of dividends.</w:t>
      </w:r>
      <w:r w:rsidR="006A3314">
        <w:rPr>
          <w:rStyle w:val="FootnoteReference"/>
        </w:rPr>
        <w:footnoteReference w:id="459"/>
      </w:r>
      <w:r w:rsidR="006A3314">
        <w:t xml:space="preserve"> This provides confidence that our estimate for this decision, while taking account of the downward trends of equity beta and risk free rate, is likely to provide </w:t>
      </w:r>
      <w:r w:rsidR="00DE084F">
        <w:t>TasNetworks</w:t>
      </w:r>
      <w:r w:rsidR="006A3314">
        <w:t xml:space="preserve"> a reasonable opportunity to recover at least the efficient costs of providing regulated services.</w:t>
      </w:r>
    </w:p>
    <w:p w:rsidR="006A3314" w:rsidRDefault="006A3314" w:rsidP="006A3314">
      <w:r>
        <w:t xml:space="preserve">In addition to the equity risk premium ranges shown in </w:t>
      </w:r>
      <w:r>
        <w:fldChar w:fldCharType="begin"/>
      </w:r>
      <w:r>
        <w:instrText xml:space="preserve"> REF _Ref445923478 \h </w:instrText>
      </w:r>
      <w:r>
        <w:fldChar w:fldCharType="separate"/>
      </w:r>
      <w:r w:rsidR="00C6448C" w:rsidRPr="00866A7A">
        <w:t xml:space="preserve">Figure </w:t>
      </w:r>
      <w:r w:rsidR="00C6448C">
        <w:rPr>
          <w:noProof/>
        </w:rPr>
        <w:t>3</w:t>
      </w:r>
      <w:r w:rsidR="00C6448C">
        <w:noBreakHyphen/>
      </w:r>
      <w:r w:rsidR="00C6448C">
        <w:rPr>
          <w:noProof/>
        </w:rPr>
        <w:t>5</w:t>
      </w:r>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460"/>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There was broad agreement from consumer groups on the application of our foundation model approach as set out in our Guideline.</w:t>
      </w:r>
      <w:r>
        <w:rPr>
          <w:rStyle w:val="FootnoteReference"/>
        </w:rPr>
        <w:footnoteReference w:id="461"/>
      </w:r>
      <w:r>
        <w:t xml:space="preserve"> We consider that this means applying the Guideline in its entirety including the overall approach, parameter estimation and use of other information</w:t>
      </w:r>
      <w:r>
        <w:rPr>
          <w:rStyle w:val="FootnoteReference"/>
        </w:rPr>
        <w:footnoteReference w:id="462"/>
      </w:r>
      <w:r>
        <w:t xml:space="preserve"> as relevant cross-checks.  </w:t>
      </w:r>
    </w:p>
    <w:p w:rsidR="006A3314" w:rsidRDefault="006A3314" w:rsidP="006A3314">
      <w:r>
        <w:t>In total, eight consumer groups</w:t>
      </w:r>
      <w:r w:rsidRPr="007A701A">
        <w:rPr>
          <w:rStyle w:val="FootnoteReference"/>
        </w:rPr>
        <w:footnoteReference w:id="463"/>
      </w:r>
      <w:r>
        <w:t xml:space="preserve"> supported our approach during 2016 and some groups noted that they valued the predictability and transparency resulting from the application of our Guideline and foundation model approach.</w:t>
      </w:r>
      <w:r>
        <w:rPr>
          <w:rStyle w:val="FootnoteReference"/>
        </w:rPr>
        <w:footnoteReference w:id="464"/>
      </w:r>
      <w:r>
        <w:t xml:space="preserve"> Consumer groups also submitted support for the AER's implementation of the Guideline in their submissions on </w:t>
      </w:r>
      <w:r w:rsidR="001537E5">
        <w:t xml:space="preserve">TasNetworks' distribution and Powerlink's </w:t>
      </w:r>
      <w:r w:rsidR="00DF0600">
        <w:t>transmission</w:t>
      </w:r>
      <w:r>
        <w:t xml:space="preserve"> regulatory process.</w:t>
      </w:r>
      <w:r>
        <w:rPr>
          <w:rStyle w:val="FootnoteReference"/>
        </w:rPr>
        <w:footnoteReference w:id="465"/>
      </w:r>
      <w:r>
        <w:t xml:space="preserve">  We note that applying the foundation model approach, as in the Guideline, results in an equity risk premium of 4.55 per cent. </w:t>
      </w:r>
    </w:p>
    <w:p w:rsidR="00501F99" w:rsidRPr="00501F99" w:rsidRDefault="00501F99" w:rsidP="00CC7A1C">
      <w:pPr>
        <w:pStyle w:val="ListParagraph"/>
        <w:numPr>
          <w:ilvl w:val="0"/>
          <w:numId w:val="24"/>
        </w:numPr>
      </w:pPr>
      <w:r w:rsidRPr="00501F99">
        <w:t>While supporting our Guideline, some consumer groups have submitted that it reflects conservative choices</w:t>
      </w:r>
      <w:r w:rsidRPr="00501F99">
        <w:rPr>
          <w:rStyle w:val="FootnoteReference"/>
        </w:rPr>
        <w:footnoteReference w:id="466"/>
      </w:r>
      <w:r w:rsidRPr="00501F99">
        <w:t xml:space="preserve"> that may result in over-estimating the return on equity and that parameter estimates (and rate of return) can be lowered further.</w:t>
      </w:r>
      <w:r w:rsidRPr="00501F99">
        <w:rPr>
          <w:rStyle w:val="FootnoteReference"/>
        </w:rPr>
        <w:footnoteReference w:id="467"/>
      </w:r>
      <w:r w:rsidRPr="00501F99">
        <w:t xml:space="preserve"> Submissions also noted that we need to give more weight to market data and realised returns such as financial performance and asset sales when considering the overall return on equity.</w:t>
      </w:r>
      <w:r w:rsidRPr="00501F99">
        <w:rPr>
          <w:rStyle w:val="FootnoteReference"/>
        </w:rPr>
        <w:footnoteReference w:id="468"/>
      </w:r>
      <w:r w:rsidRPr="00501F99">
        <w:rPr>
          <w:rStyle w:val="CommentReference"/>
        </w:rPr>
        <w:t xml:space="preserve"> </w:t>
      </w:r>
    </w:p>
    <w:p w:rsidR="00501F99" w:rsidRPr="00501F99" w:rsidRDefault="00501F99" w:rsidP="00CC7A1C">
      <w:pPr>
        <w:pStyle w:val="ListParagraph"/>
        <w:numPr>
          <w:ilvl w:val="0"/>
          <w:numId w:val="24"/>
        </w:numPr>
      </w:pPr>
      <w:r w:rsidRPr="00501F99">
        <w:t xml:space="preserve">We note </w:t>
      </w:r>
      <w:r w:rsidR="00734A68">
        <w:t>that some</w:t>
      </w:r>
      <w:r w:rsidRPr="00501F99">
        <w:t xml:space="preserve"> service providers</w:t>
      </w:r>
      <w:r w:rsidR="00734A68">
        <w:t xml:space="preserve"> have</w:t>
      </w:r>
      <w:r w:rsidRPr="00501F99">
        <w:t xml:space="preserve"> submitted that we did not have appropriate regard to information from other relevant sources. A summary of these submissions and our responses are provided in </w:t>
      </w:r>
      <w:r w:rsidR="009211CA">
        <w:t>table 3–8</w:t>
      </w:r>
      <w:r w:rsidRPr="00501F99">
        <w:t xml:space="preserve"> below. Having considered the overall information and all material before us, at this time we are not satisfied that this information indicates a departure from the Guideline would contribute to the achievement of the ARORO. </w:t>
      </w:r>
    </w:p>
    <w:p w:rsidR="00501F99" w:rsidRPr="00501F99" w:rsidRDefault="00501F99" w:rsidP="00CC7A1C">
      <w:pPr>
        <w:pStyle w:val="ListParagraph"/>
        <w:numPr>
          <w:ilvl w:val="0"/>
          <w:numId w:val="24"/>
        </w:numPr>
      </w:pPr>
      <w:r w:rsidRPr="00501F99">
        <w:t>Some service providers continue to disagree with our cross checks on the overall return on equity. They submit material that is substantively similar to previous submissions which we have considered and responded to in previous determinations.</w:t>
      </w:r>
      <w:r w:rsidRPr="00501F99">
        <w:rPr>
          <w:rStyle w:val="FootnoteReference"/>
        </w:rPr>
        <w:footnoteReference w:id="469"/>
      </w:r>
      <w:r w:rsidRPr="00501F99">
        <w:t xml:space="preserve"> We respond to key issues service providers have submitted</w:t>
      </w:r>
      <w:r w:rsidR="00734A68">
        <w:t xml:space="preserve"> in the past</w:t>
      </w:r>
      <w:r w:rsidRPr="00501F99">
        <w:t xml:space="preserve"> but see Attachment 3 of previous regulatory decisions</w:t>
      </w:r>
      <w:r w:rsidRPr="00501F99">
        <w:rPr>
          <w:rStyle w:val="FootnoteReference"/>
        </w:rPr>
        <w:footnoteReference w:id="470"/>
      </w:r>
      <w:r w:rsidRPr="00501F99">
        <w:t xml:space="preserve"> for more detailed discussions.</w:t>
      </w:r>
    </w:p>
    <w:p w:rsidR="006A3314" w:rsidRPr="0087746B" w:rsidRDefault="006A3314" w:rsidP="00CC7A1C">
      <w:pPr>
        <w:pStyle w:val="Caption"/>
        <w:numPr>
          <w:ilvl w:val="0"/>
          <w:numId w:val="24"/>
        </w:numPr>
      </w:pPr>
      <w:bookmarkStart w:id="71" w:name="_Ref478718977"/>
      <w:r w:rsidRPr="0087746B">
        <w:t xml:space="preserve">Table </w:t>
      </w:r>
      <w:fldSimple w:instr=" STYLEREF 1 \s ">
        <w:r w:rsidR="00C6448C">
          <w:rPr>
            <w:noProof/>
          </w:rPr>
          <w:t>3</w:t>
        </w:r>
      </w:fldSimple>
      <w:r w:rsidR="00882F3D">
        <w:noBreakHyphen/>
      </w:r>
      <w:fldSimple w:instr=" SEQ Table \* ARABIC \s 1 ">
        <w:r w:rsidR="00C6448C">
          <w:rPr>
            <w:noProof/>
          </w:rPr>
          <w:t>8</w:t>
        </w:r>
      </w:fldSimple>
      <w:bookmarkEnd w:id="69"/>
      <w:r w:rsidRPr="0087746B">
        <w:tab/>
        <w:t>Issues about overall return on equity cross-checks</w:t>
      </w:r>
      <w:bookmarkEnd w:id="71"/>
    </w:p>
    <w:tbl>
      <w:tblPr>
        <w:tblStyle w:val="AERtable-text0"/>
        <w:tblW w:w="0" w:type="auto"/>
        <w:tblLook w:val="04A0" w:firstRow="1" w:lastRow="0" w:firstColumn="1" w:lastColumn="0" w:noHBand="0" w:noVBand="1"/>
      </w:tblPr>
      <w:tblGrid>
        <w:gridCol w:w="2235"/>
        <w:gridCol w:w="6458"/>
      </w:tblGrid>
      <w:tr w:rsidR="006A3314" w:rsidTr="00A210B3">
        <w:trPr>
          <w:cnfStyle w:val="100000000000" w:firstRow="1" w:lastRow="0" w:firstColumn="0" w:lastColumn="0" w:oddVBand="0" w:evenVBand="0" w:oddHBand="0" w:evenHBand="0" w:firstRowFirstColumn="0" w:firstRowLastColumn="0" w:lastRowFirstColumn="0" w:lastRowLastColumn="0"/>
        </w:trPr>
        <w:tc>
          <w:tcPr>
            <w:tcW w:w="2235" w:type="dxa"/>
          </w:tcPr>
          <w:p w:rsidR="006A3314" w:rsidRPr="006A3314" w:rsidRDefault="006A3314" w:rsidP="006A3314">
            <w:r w:rsidRPr="0087746B">
              <w:t>Issue</w:t>
            </w:r>
          </w:p>
        </w:tc>
        <w:tc>
          <w:tcPr>
            <w:tcW w:w="6458" w:type="dxa"/>
          </w:tcPr>
          <w:p w:rsidR="006A3314" w:rsidRPr="006A3314" w:rsidRDefault="006A3314" w:rsidP="006A3314">
            <w:r w:rsidRPr="0087746B">
              <w:t>Our response</w:t>
            </w:r>
          </w:p>
        </w:tc>
      </w:tr>
      <w:tr w:rsidR="006A3314" w:rsidTr="00A210B3">
        <w:tc>
          <w:tcPr>
            <w:tcW w:w="2235" w:type="dxa"/>
          </w:tcPr>
          <w:p w:rsidR="006A3314" w:rsidRPr="006A3314" w:rsidRDefault="006A3314" w:rsidP="006A3314">
            <w:r w:rsidRPr="0087746B">
              <w:t xml:space="preserve">Uplifts to market </w:t>
            </w:r>
            <w:r w:rsidRPr="006A3314">
              <w:t>risk premium and risk free rate estimates from broker and valuation reports should be taken into account.</w:t>
            </w:r>
            <w:r w:rsidRPr="006A3314">
              <w:rPr>
                <w:rStyle w:val="FootnoteReference"/>
              </w:rPr>
              <w:t xml:space="preserve"> </w:t>
            </w:r>
            <w:r w:rsidRPr="006A3314">
              <w:rPr>
                <w:rStyle w:val="FootnoteReference"/>
              </w:rPr>
              <w:footnoteReference w:id="471"/>
            </w:r>
          </w:p>
        </w:tc>
        <w:tc>
          <w:tcPr>
            <w:tcW w:w="6458" w:type="dxa"/>
          </w:tcPr>
          <w:p w:rsidR="00894A39" w:rsidRPr="00894A39" w:rsidRDefault="00894A39" w:rsidP="00894A39">
            <w:r w:rsidRPr="0087746B">
              <w:t>Uplifts applied by brokers and valuers to initial estimates may be inconsistent with the ARORO.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control period).</w:t>
            </w:r>
            <w:r w:rsidR="007902A4">
              <w:rPr>
                <w:rStyle w:val="FootnoteReference"/>
              </w:rPr>
              <w:footnoteReference w:id="472"/>
            </w:r>
          </w:p>
          <w:p w:rsidR="00894A39" w:rsidRPr="00894A39" w:rsidRDefault="00894A39" w:rsidP="00894A39">
            <w:r>
              <w:t xml:space="preserve">Partington and Satchell has also advised </w:t>
            </w:r>
            <w:r w:rsidRPr="00894A39">
              <w:t>that due to the nature of these uplifts found worldwide in consultants' reports 'the approach seems too ad-hoc to be a regulatory tool.'</w:t>
            </w:r>
            <w:r w:rsidRPr="00894A39">
              <w:rPr>
                <w:rStyle w:val="FootnoteReference"/>
              </w:rPr>
              <w:footnoteReference w:id="473"/>
            </w:r>
          </w:p>
          <w:p w:rsidR="006A3314" w:rsidRPr="0087746B" w:rsidRDefault="00894A39" w:rsidP="00894A39">
            <w:r w:rsidRPr="0087746B">
              <w:t>As a result, we prefer to have greater regard to estimates exclusive of these uplifts. For more detail, see sections E.3, E.4 and E.6 in Attachment 3 to our preliminary decision for AusNet Services' 2016-20 distribution determination.</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tcW w:w="2235" w:type="dxa"/>
          </w:tcPr>
          <w:p w:rsidR="006A3314" w:rsidRPr="006A3314" w:rsidRDefault="006A3314" w:rsidP="006A3314">
            <w:r w:rsidRPr="0087746B">
              <w:t>Service providers submitted that the relevant estimates from broker and valuation reports are the imputation-adjusted estimates.</w:t>
            </w:r>
            <w:r w:rsidRPr="006A3314">
              <w:rPr>
                <w:rStyle w:val="FootnoteReference"/>
              </w:rPr>
              <w:t xml:space="preserve"> </w:t>
            </w:r>
            <w:r w:rsidRPr="006A3314">
              <w:rPr>
                <w:rStyle w:val="FootnoteReference"/>
              </w:rPr>
              <w:footnoteReference w:id="474"/>
            </w:r>
          </w:p>
        </w:tc>
        <w:tc>
          <w:tcPr>
            <w:tcW w:w="6458" w:type="dxa"/>
          </w:tcPr>
          <w:p w:rsidR="006A3314" w:rsidRPr="006A3314" w:rsidRDefault="006A3314" w:rsidP="006A3314">
            <w:r w:rsidRPr="0087746B">
              <w:t>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preliminary decision for AusNet Services' 2016-20 distribution determination.</w:t>
            </w:r>
          </w:p>
        </w:tc>
      </w:tr>
      <w:tr w:rsidR="006A3314" w:rsidTr="00A210B3">
        <w:tc>
          <w:tcPr>
            <w:tcW w:w="2235" w:type="dxa"/>
          </w:tcPr>
          <w:p w:rsidR="006A3314" w:rsidRPr="006A3314" w:rsidRDefault="006A3314" w:rsidP="006A3314">
            <w:r w:rsidRPr="0087746B">
              <w:t>Service providers submitted that it is not appropriate to focus just on the equity risk premium from broker reports.</w:t>
            </w:r>
            <w:r w:rsidRPr="006A3314">
              <w:rPr>
                <w:rStyle w:val="FootnoteReference"/>
              </w:rPr>
              <w:t xml:space="preserve"> </w:t>
            </w:r>
            <w:r w:rsidRPr="006A3314">
              <w:rPr>
                <w:rStyle w:val="FootnoteReference"/>
              </w:rPr>
              <w:footnoteReference w:id="475"/>
            </w:r>
          </w:p>
        </w:tc>
        <w:tc>
          <w:tcPr>
            <w:tcW w:w="6458" w:type="dxa"/>
          </w:tcPr>
          <w:p w:rsidR="006A3314" w:rsidRPr="006A3314" w:rsidRDefault="006A3314" w:rsidP="006A3314">
            <w:r w:rsidRPr="0087746B">
              <w:t xml:space="preserve">This submission indicates a misunderstanding of our approach. We clearly have regard to both equity risk premium and overall return on equity estimates from broker reports. For more details see section </w:t>
            </w:r>
            <w:r w:rsidRPr="006A3314">
              <w:fldChar w:fldCharType="begin"/>
            </w:r>
            <w:r w:rsidRPr="006A3314">
              <w:instrText xml:space="preserve"> REF _Ref445898024 \r \h </w:instrText>
            </w:r>
            <w:r w:rsidRPr="006A3314">
              <w:fldChar w:fldCharType="separate"/>
            </w:r>
            <w:r w:rsidR="00C6448C">
              <w:t>F.2</w:t>
            </w:r>
            <w:r w:rsidRPr="006A3314">
              <w:fldChar w:fldCharType="end"/>
            </w:r>
            <w:r w:rsidRPr="006A3314">
              <w:t xml:space="preserve"> of this attachment.</w:t>
            </w:r>
            <w:r w:rsidR="007902A4">
              <w:rPr>
                <w:rStyle w:val="FootnoteReference"/>
              </w:rPr>
              <w:footnoteReference w:id="476"/>
            </w:r>
          </w:p>
        </w:tc>
      </w:tr>
      <w:tr w:rsidR="006A3314" w:rsidTr="00A210B3">
        <w:trPr>
          <w:cnfStyle w:val="000000010000" w:firstRow="0" w:lastRow="0" w:firstColumn="0" w:lastColumn="0" w:oddVBand="0" w:evenVBand="0" w:oddHBand="0" w:evenHBand="1" w:firstRowFirstColumn="0" w:firstRowLastColumn="0" w:lastRowFirstColumn="0" w:lastRowLastColumn="0"/>
        </w:trPr>
        <w:tc>
          <w:tcPr>
            <w:tcW w:w="2235" w:type="dxa"/>
          </w:tcPr>
          <w:p w:rsidR="006A3314" w:rsidRPr="006A3314" w:rsidRDefault="00894A39" w:rsidP="006A3314">
            <w:r>
              <w:t xml:space="preserve">Frontier </w:t>
            </w:r>
            <w:r w:rsidRPr="00894A39">
              <w:t>submitted that the AER's cross checks at the equity risk premium level are ineffectual and are not fit for purpose</w:t>
            </w:r>
            <w:r w:rsidRPr="00894A39">
              <w:rPr>
                <w:rStyle w:val="FootnoteReference"/>
              </w:rPr>
              <w:footnoteReference w:id="477"/>
            </w:r>
          </w:p>
        </w:tc>
        <w:tc>
          <w:tcPr>
            <w:tcW w:w="6458" w:type="dxa"/>
          </w:tcPr>
          <w:p w:rsidR="00894A39" w:rsidRPr="00894A39" w:rsidRDefault="00894A39" w:rsidP="00894A39">
            <w:r>
              <w:t xml:space="preserve">We carry out cross-checks to supplement the information we have already considered in </w:t>
            </w:r>
            <w:r w:rsidRPr="00894A39">
              <w:t xml:space="preserve">the formation of the market risk premium and equity risk premium. The cross check pass or fail adds to the weight of evidence on either side which we consider when putting forward a decision on the estimation. </w:t>
            </w:r>
          </w:p>
          <w:p w:rsidR="00894A39" w:rsidRPr="00894A39" w:rsidRDefault="00113EAF" w:rsidP="00894A39">
            <w:r>
              <w:t xml:space="preserve">Partington and Satchell </w:t>
            </w:r>
            <w:r w:rsidR="00894A39" w:rsidRPr="00894A39">
              <w:t>agrees that cross-checks provide value by 'providing a pause for thought'.</w:t>
            </w:r>
            <w:r w:rsidR="00894A39" w:rsidRPr="00894A39">
              <w:rPr>
                <w:rStyle w:val="FootnoteReference"/>
              </w:rPr>
              <w:footnoteReference w:id="478"/>
            </w:r>
          </w:p>
          <w:p w:rsidR="006A3314" w:rsidRPr="0087746B" w:rsidRDefault="00894A39" w:rsidP="006A3314">
            <w:r>
              <w:t>To claim that our crosschecks are inadequate is to mischaracterise their use in the decision.</w:t>
            </w:r>
          </w:p>
        </w:tc>
      </w:tr>
      <w:tr w:rsidR="006A3314" w:rsidTr="00A210B3">
        <w:tc>
          <w:tcPr>
            <w:tcW w:w="2235" w:type="dxa"/>
          </w:tcPr>
          <w:p w:rsidR="006A3314" w:rsidRPr="006A3314" w:rsidRDefault="00894A39" w:rsidP="006A3314">
            <w:r>
              <w:t xml:space="preserve">Frontier </w:t>
            </w:r>
            <w:r w:rsidRPr="00894A39">
              <w:t>submitted that applying the cross checks at the equity risk premium level is misleading by ignoring uplifts to the risk free rate and the adjustments valuers use to account for prevailing conditions.</w:t>
            </w:r>
            <w:r w:rsidRPr="00894A39">
              <w:rPr>
                <w:rStyle w:val="FootnoteReference"/>
              </w:rPr>
              <w:footnoteReference w:id="479"/>
            </w:r>
          </w:p>
        </w:tc>
        <w:tc>
          <w:tcPr>
            <w:tcW w:w="6458" w:type="dxa"/>
          </w:tcPr>
          <w:p w:rsidR="00894A39" w:rsidRPr="00894A39" w:rsidRDefault="00894A39" w:rsidP="00894A39">
            <w:r w:rsidRPr="00894A39">
              <w:t xml:space="preserve">We have consistently explained why we have greater regard to unadjusted estimates. Expert valuation reports carry a number of limitations that limits their use for our regulatory task. </w:t>
            </w:r>
            <w:r w:rsidR="009E2F4C">
              <w:t>A</w:t>
            </w:r>
            <w:r w:rsidRPr="00894A39">
              <w:t>djustments by valuers and brokers may be inconsistent with the ARORO as noted above.</w:t>
            </w:r>
          </w:p>
          <w:p w:rsidR="006A3314" w:rsidRPr="006A3314" w:rsidRDefault="00894A39" w:rsidP="00894A39">
            <w:r w:rsidRPr="0087746B">
              <w:t>For more detail, see sections E.3, E.4 and E.6 in Attachment 3 to our preliminary decision for AusNet Services' 2016-20 distribution determination.</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tcW w:w="2235" w:type="dxa"/>
          </w:tcPr>
          <w:p w:rsidR="006A3314" w:rsidRPr="006A3314" w:rsidRDefault="00894A39" w:rsidP="006A3314">
            <w:r>
              <w:t xml:space="preserve">Frontier submitted that </w:t>
            </w:r>
            <w:r w:rsidRPr="00894A39">
              <w:t>cross checks should be at the overall return on equity level and not at the equity risk premium level</w:t>
            </w:r>
            <w:r w:rsidRPr="00894A39">
              <w:rPr>
                <w:rStyle w:val="FootnoteReference"/>
              </w:rPr>
              <w:footnoteReference w:id="480"/>
            </w:r>
          </w:p>
        </w:tc>
        <w:tc>
          <w:tcPr>
            <w:tcW w:w="6458" w:type="dxa"/>
          </w:tcPr>
          <w:p w:rsidR="006A3314" w:rsidRPr="006A3314" w:rsidDel="00962E77" w:rsidRDefault="00894A39" w:rsidP="006A3314">
            <w:r>
              <w:t xml:space="preserve">Our task is to set the allowed rate of return to be commensurate with a similar degree of risk as that which applies to AusNet Services with respect the provision of regulated </w:t>
            </w:r>
            <w:r w:rsidRPr="00894A39">
              <w:t>services. This requires consideration of the additional riskiness of AusNet Services relative to the risk free asset, and the commensurate return that equity investors require to take on this additional risk. Hence the critical allowance is the allowed equity risk premium over and above the estimate of the risk free rate at a given time.</w:t>
            </w:r>
          </w:p>
        </w:tc>
      </w:tr>
    </w:tbl>
    <w:p w:rsidR="006A3314" w:rsidRPr="00A42F74" w:rsidRDefault="006A3314" w:rsidP="008556CC">
      <w:pPr>
        <w:pStyle w:val="HeadingBoldItalic"/>
        <w:rPr>
          <w:rStyle w:val="AERtextorange"/>
          <w:rFonts w:eastAsia="Calibri" w:cs="Times New Roman"/>
          <w:b w:val="0"/>
          <w:bCs w:val="0"/>
          <w:color w:val="51626F"/>
          <w:sz w:val="16"/>
          <w:szCs w:val="20"/>
          <w:lang w:eastAsia="en-AU"/>
        </w:rPr>
      </w:pPr>
      <w:bookmarkStart w:id="72" w:name="_Toc443923182"/>
      <w:r w:rsidRPr="00A42F74">
        <w:rPr>
          <w:rStyle w:val="AERtextorange"/>
          <w:color w:val="51626F"/>
        </w:rPr>
        <w:t>Movements in the risk free rate and the return on equity</w:t>
      </w:r>
      <w:bookmarkEnd w:id="72"/>
    </w:p>
    <w:p w:rsidR="006A3314" w:rsidRPr="0087746B" w:rsidRDefault="006A3314" w:rsidP="00CC7A1C">
      <w:pPr>
        <w:numPr>
          <w:ilvl w:val="0"/>
          <w:numId w:val="24"/>
        </w:numPr>
      </w:pPr>
      <w:r w:rsidRPr="0087746B">
        <w:t>Applying our foundation model approach, we estimate a return on equity of</w:t>
      </w:r>
      <w:r w:rsidR="00C65A66">
        <w:t xml:space="preserve"> 7.</w:t>
      </w:r>
      <w:r w:rsidR="00E92CFA">
        <w:t>4</w:t>
      </w:r>
      <w:r w:rsidR="005E6E22">
        <w:t xml:space="preserve"> </w:t>
      </w:r>
      <w:r w:rsidRPr="0087746B">
        <w:t xml:space="preserve">per cent. </w:t>
      </w:r>
    </w:p>
    <w:p w:rsidR="006A3314" w:rsidRPr="0087746B" w:rsidRDefault="006A3314" w:rsidP="006A3314">
      <w:pPr>
        <w:rPr>
          <w:rStyle w:val="AERbody"/>
        </w:rPr>
      </w:pPr>
      <w:r w:rsidRPr="0087746B">
        <w:rPr>
          <w:rStyle w:val="AERbody"/>
        </w:rPr>
        <w:t>We consider capital—</w:t>
      </w:r>
      <w:r>
        <w:rPr>
          <w:rStyle w:val="AERbody"/>
        </w:rPr>
        <w:t xml:space="preserve">both </w:t>
      </w:r>
      <w:r w:rsidRPr="0087746B">
        <w:rPr>
          <w:rStyle w:val="AERbody"/>
        </w:rPr>
        <w:t xml:space="preserve">equity and debt—should provide for a risk premium over a base (risk free) rate. </w:t>
      </w:r>
      <w:r>
        <w:rPr>
          <w:rStyle w:val="AERbody"/>
        </w:rPr>
        <w:t>When</w:t>
      </w:r>
      <w:r w:rsidRPr="0087746B">
        <w:rPr>
          <w:rStyle w:val="AERbody"/>
        </w:rPr>
        <w:t xml:space="preserve"> estimating the allowed rate of return for </w:t>
      </w:r>
      <w:r w:rsidR="001537E5">
        <w:t>TasNetworks</w:t>
      </w:r>
      <w:r w:rsidRPr="0087746B">
        <w:rPr>
          <w:rStyle w:val="AERbody"/>
        </w:rPr>
        <w:t xml:space="preserve">, we consider the additional riskiness of </w:t>
      </w:r>
      <w:r w:rsidR="001537E5">
        <w:t>TasNetworks</w:t>
      </w:r>
      <w:r w:rsidRPr="0087746B">
        <w:rPr>
          <w:rStyle w:val="FootnoteReference"/>
        </w:rPr>
        <w:footnoteReference w:id="481"/>
      </w:r>
      <w:r w:rsidRPr="0087746B">
        <w:rPr>
          <w:rStyle w:val="AERbody"/>
        </w:rPr>
        <w:t xml:space="preserve"> relative to the risk free asset, and the commensurate risk premium that investors require to take on this additional risk.</w:t>
      </w:r>
      <w:r w:rsidRPr="0087746B">
        <w:rPr>
          <w:rStyle w:val="FootnoteReference"/>
        </w:rPr>
        <w:footnoteReference w:id="482"/>
      </w:r>
      <w:r w:rsidRPr="0087746B">
        <w:rPr>
          <w:rStyle w:val="AERbody"/>
        </w:rPr>
        <w:t xml:space="preserve"> </w:t>
      </w:r>
    </w:p>
    <w:p w:rsidR="006A3314" w:rsidRPr="0087746B" w:rsidRDefault="00734A68" w:rsidP="008556CC">
      <w:pPr>
        <w:rPr>
          <w:rStyle w:val="AERbody"/>
        </w:rPr>
      </w:pPr>
      <w:r>
        <w:rPr>
          <w:rStyle w:val="AERbody"/>
        </w:rPr>
        <w:t xml:space="preserve">Similar to what some </w:t>
      </w:r>
      <w:r w:rsidRPr="0087746B">
        <w:rPr>
          <w:rStyle w:val="AERbody"/>
        </w:rPr>
        <w:t>service providers</w:t>
      </w:r>
      <w:r>
        <w:rPr>
          <w:rStyle w:val="AERbody"/>
        </w:rPr>
        <w:t xml:space="preserve"> have</w:t>
      </w:r>
      <w:r w:rsidRPr="0087746B">
        <w:rPr>
          <w:rStyle w:val="AERbody"/>
        </w:rPr>
        <w:t xml:space="preserve"> argue</w:t>
      </w:r>
      <w:r>
        <w:rPr>
          <w:rStyle w:val="AERbody"/>
        </w:rPr>
        <w:t>d</w:t>
      </w:r>
      <w:r w:rsidRPr="0087746B">
        <w:rPr>
          <w:rStyle w:val="AERbody"/>
        </w:rPr>
        <w:t xml:space="preserve"> </w:t>
      </w:r>
      <w:r>
        <w:rPr>
          <w:rStyle w:val="AERbody"/>
        </w:rPr>
        <w:t xml:space="preserve">previously, AusNet Services submitted </w:t>
      </w:r>
      <w:r w:rsidRPr="0087746B">
        <w:rPr>
          <w:rStyle w:val="AERbody"/>
        </w:rPr>
        <w:t>that there is an inverse relationship between the risk free rate and market risk premium.</w:t>
      </w:r>
      <w:r w:rsidRPr="00DE0F22">
        <w:rPr>
          <w:rStyle w:val="FootnoteReference"/>
        </w:rPr>
        <w:t xml:space="preserve"> </w:t>
      </w:r>
      <w:r>
        <w:rPr>
          <w:rStyle w:val="FootnoteReference"/>
        </w:rPr>
        <w:footnoteReference w:id="483"/>
      </w:r>
      <w:r w:rsidRPr="0087746B">
        <w:rPr>
          <w:rStyle w:val="AERbody"/>
        </w:rPr>
        <w:t xml:space="preserve"> </w:t>
      </w:r>
      <w:r w:rsidR="006A3314" w:rsidRPr="0087746B">
        <w:rPr>
          <w:rStyle w:val="AERbody"/>
        </w:rPr>
        <w:t xml:space="preserve">It is unclear why this risk premium would increase or decrease to entirely offset changes in the base risk free rate. We have not been provided with compelling evidence that the riskiness of </w:t>
      </w:r>
      <w:r>
        <w:t>AusNet Services</w:t>
      </w:r>
      <w:r w:rsidRPr="0087746B">
        <w:rPr>
          <w:rStyle w:val="AERbody"/>
        </w:rPr>
        <w:t xml:space="preserve"> </w:t>
      </w:r>
      <w:r w:rsidR="006A3314" w:rsidRPr="0087746B">
        <w:rPr>
          <w:rStyle w:val="AERbody"/>
        </w:rPr>
        <w:t xml:space="preserve">relative to the risk free asset has increased as the risk free rate has decreased. </w:t>
      </w:r>
      <w:r>
        <w:rPr>
          <w:rStyle w:val="AERbody"/>
        </w:rPr>
        <w:t>AusNet Services</w:t>
      </w:r>
      <w:r w:rsidR="006A3314" w:rsidRPr="0087746B">
        <w:rPr>
          <w:rStyle w:val="AERbody"/>
        </w:rPr>
        <w:t xml:space="preserve"> ha</w:t>
      </w:r>
      <w:r>
        <w:rPr>
          <w:rStyle w:val="AERbody"/>
        </w:rPr>
        <w:t>s</w:t>
      </w:r>
      <w:r w:rsidR="006A3314" w:rsidRPr="0087746B">
        <w:rPr>
          <w:rStyle w:val="AERbody"/>
        </w:rPr>
        <w:t xml:space="preserve"> not sufficiently explained why, in the absence of an increase in the relative riskiness </w:t>
      </w:r>
      <w:r w:rsidR="006A3314" w:rsidRPr="008556CC">
        <w:t xml:space="preserve">of </w:t>
      </w:r>
      <w:r>
        <w:t>AusNet Services</w:t>
      </w:r>
      <w:r w:rsidR="006A3314" w:rsidRPr="0087746B">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006A3314" w:rsidRPr="0087746B">
        <w:rPr>
          <w:rStyle w:val="FootnoteReference"/>
        </w:rPr>
        <w:footnoteReference w:id="484"/>
      </w:r>
    </w:p>
    <w:p w:rsidR="006A3314" w:rsidRPr="0087746B" w:rsidRDefault="006A3314" w:rsidP="00CC7A1C">
      <w:pPr>
        <w:numPr>
          <w:ilvl w:val="0"/>
          <w:numId w:val="24"/>
        </w:numPr>
      </w:pPr>
      <w:r w:rsidRPr="0087746B">
        <w:t>We consider that this is consistent with the required return on equity for prevailing market conditions for equity funds for the following reasons:</w:t>
      </w:r>
    </w:p>
    <w:p w:rsidR="006A3314" w:rsidRPr="0087746B" w:rsidRDefault="006A3314" w:rsidP="006A3314">
      <w:pPr>
        <w:pStyle w:val="AERbulletlistfirststyle"/>
      </w:pPr>
      <w:r w:rsidRPr="0087746B">
        <w:t xml:space="preserve">We apply the foundation model approach and estimate a return on equity having regard to a range of relevant materials and their relative merits. </w:t>
      </w:r>
    </w:p>
    <w:p w:rsidR="006A3314" w:rsidRPr="0087746B" w:rsidRDefault="006A3314" w:rsidP="006A3314">
      <w:pPr>
        <w:pStyle w:val="AERbulletlistfirststyle"/>
      </w:pPr>
      <w:r w:rsidRPr="0087746B">
        <w:t xml:space="preserve">We </w:t>
      </w:r>
      <w:r>
        <w:t>take into account</w:t>
      </w:r>
      <w:r w:rsidRPr="0087746B">
        <w:t xml:space="preserve"> the prevailing market conditions for equity funds. We use</w:t>
      </w:r>
      <w:r>
        <w:t xml:space="preserve"> both</w:t>
      </w:r>
      <w:r w:rsidRPr="0087746B">
        <w:t xml:space="preserve"> the dividend growth model and conditioning variables to inform our estimate of the market risk premium. We </w:t>
      </w:r>
      <w:r>
        <w:t xml:space="preserve">also </w:t>
      </w:r>
      <w:r w:rsidRPr="0087746B">
        <w:t>use other relevant sources of information to cross-check the foundation model estimate. The triangulation of estimates from relevant market participants broadly supports our foundation model estimate of the return on equity.</w:t>
      </w:r>
    </w:p>
    <w:p w:rsidR="006A3314" w:rsidRPr="0087746B" w:rsidRDefault="006A3314" w:rsidP="006A3314">
      <w:pPr>
        <w:pStyle w:val="AERbulletlistfirststyle"/>
      </w:pPr>
      <w:r w:rsidRPr="0087746B">
        <w:t xml:space="preserve">Our </w:t>
      </w:r>
      <w:r w:rsidRPr="0087746B">
        <w:rPr>
          <w:rStyle w:val="AERbody"/>
        </w:rPr>
        <w:t xml:space="preserve">comparison between the return on equity and return on debt supports the view that </w:t>
      </w:r>
      <w:r w:rsidRPr="0087746B">
        <w:t>our estimated return on equity is not below efficient financing costs</w:t>
      </w:r>
      <w:r w:rsidRPr="0087746B">
        <w:rPr>
          <w:rStyle w:val="FootnoteReference"/>
        </w:rPr>
        <w:footnoteReference w:id="485"/>
      </w:r>
      <w:r w:rsidRPr="0087746B">
        <w:t xml:space="preserve"> under </w:t>
      </w:r>
      <w:r w:rsidRPr="0087746B">
        <w:rPr>
          <w:rStyle w:val="AERbody"/>
        </w:rPr>
        <w:t xml:space="preserve">prevailing debt market conditions. </w:t>
      </w:r>
      <w:r w:rsidRPr="0087746B">
        <w:t xml:space="preserve">We do not consider that the current </w:t>
      </w:r>
      <w:r>
        <w:t>219</w:t>
      </w:r>
      <w:r w:rsidRPr="0087746B">
        <w:t xml:space="preserve"> basis points difference between the equity risk premium allowed in this decision and debt risk premiums</w:t>
      </w:r>
      <w:r w:rsidRPr="0087746B">
        <w:rPr>
          <w:rStyle w:val="FootnoteReference"/>
        </w:rPr>
        <w:footnoteReference w:id="486"/>
      </w:r>
      <w:r w:rsidRPr="0087746B">
        <w:t xml:space="preserve"> to be too low (see section </w:t>
      </w:r>
      <w:r w:rsidRPr="0087746B">
        <w:fldChar w:fldCharType="begin"/>
      </w:r>
      <w:r w:rsidRPr="0087746B">
        <w:instrText xml:space="preserve"> REF _Ref451685642 \r \h </w:instrText>
      </w:r>
      <w:r w:rsidRPr="0087746B">
        <w:fldChar w:fldCharType="separate"/>
      </w:r>
      <w:r w:rsidR="00C6448C">
        <w:t>E.3</w:t>
      </w:r>
      <w:r w:rsidRPr="0087746B">
        <w:fldChar w:fldCharType="end"/>
      </w:r>
      <w:r w:rsidRPr="0087746B">
        <w:t xml:space="preserve"> for more discussion).</w:t>
      </w:r>
    </w:p>
    <w:p w:rsidR="006A3314" w:rsidRPr="0087746B" w:rsidRDefault="006A3314" w:rsidP="006A3314">
      <w:pPr>
        <w:pStyle w:val="AERbulletlistfirststyle"/>
      </w:pPr>
      <w:r w:rsidRPr="0087746B">
        <w:t>We do not find conclusive evidence of a relationship between the market risk premium and risk free rate in any direction or size. This is supported by our consideration in the Guideline, previous regulatory decisions and advice from Partington.</w:t>
      </w:r>
      <w:r w:rsidRPr="0087746B">
        <w:rPr>
          <w:rStyle w:val="FootnoteReference"/>
        </w:rPr>
        <w:footnoteReference w:id="487"/>
      </w:r>
    </w:p>
    <w:p w:rsidR="006A3314" w:rsidRPr="0087746B" w:rsidRDefault="006A3314" w:rsidP="006A3314">
      <w:pPr>
        <w:pStyle w:val="AERbulletlistfirststyle"/>
      </w:pPr>
      <w:r w:rsidRPr="0087746B">
        <w:t xml:space="preserve">We </w:t>
      </w:r>
      <w:r>
        <w:t>continue to be unsatisfied</w:t>
      </w:r>
      <w:r w:rsidRPr="0087746B">
        <w:t xml:space="preserve"> that there is evidence of a widespread 'flight to quality'</w:t>
      </w:r>
      <w:r w:rsidRPr="0087746B">
        <w:rPr>
          <w:rStyle w:val="FootnoteReference"/>
        </w:rPr>
        <w:footnoteReference w:id="488"/>
      </w:r>
      <w:r w:rsidRPr="0087746B">
        <w:t xml:space="preserve"> among investors in current market conditions that would </w:t>
      </w:r>
      <w:r>
        <w:t xml:space="preserve">have any </w:t>
      </w:r>
      <w:r w:rsidRPr="0087746B">
        <w:t xml:space="preserve">impact </w:t>
      </w:r>
      <w:r>
        <w:t xml:space="preserve">on </w:t>
      </w:r>
      <w:r w:rsidRPr="0087746B">
        <w:t>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t xml:space="preserve"> whilst these conditions prevail</w:t>
      </w:r>
      <w:r w:rsidRPr="0087746B">
        <w:t>.</w:t>
      </w:r>
      <w:r w:rsidRPr="0087746B">
        <w:rPr>
          <w:rStyle w:val="FootnoteReference"/>
        </w:rPr>
        <w:footnoteReference w:id="489"/>
      </w:r>
      <w:r w:rsidRPr="0087746B">
        <w:t xml:space="preserve"> </w:t>
      </w:r>
    </w:p>
    <w:p w:rsidR="006A3314" w:rsidRPr="0087746B" w:rsidRDefault="006A3314" w:rsidP="006A3314">
      <w:r w:rsidRPr="0087746B">
        <w:t>Partington has advised, '[t]he low bond rates tell us that the required return for low risk assets is low'.</w:t>
      </w:r>
      <w:r w:rsidRPr="0087746B">
        <w:rPr>
          <w:rStyle w:val="FootnoteReference"/>
        </w:rPr>
        <w:footnoteReference w:id="490"/>
      </w:r>
      <w:r w:rsidRPr="0087746B">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87746B">
        <w:rPr>
          <w:rStyle w:val="FootnoteReference"/>
        </w:rPr>
        <w:footnoteReference w:id="491"/>
      </w:r>
      <w:r w:rsidRPr="0087746B">
        <w:t xml:space="preserve"> </w:t>
      </w:r>
    </w:p>
    <w:p w:rsidR="006A3314" w:rsidRPr="0087746B" w:rsidRDefault="006A3314" w:rsidP="006A3314">
      <w:pPr>
        <w:pStyle w:val="AERquote"/>
      </w:pPr>
      <w:r w:rsidRPr="0087746B">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894A39" w:rsidRPr="0087746B" w:rsidRDefault="00894A39" w:rsidP="00894A39">
      <w:r w:rsidRPr="0087746B">
        <w:t>Partington and Satchell considered the submissions put forward by service providers</w:t>
      </w:r>
      <w:r w:rsidR="00AF37BA">
        <w:t xml:space="preserve"> previously</w:t>
      </w:r>
      <w:r w:rsidRPr="0087746B">
        <w:t xml:space="preserve"> and stated:</w:t>
      </w:r>
      <w:r w:rsidRPr="0087746B">
        <w:rPr>
          <w:rStyle w:val="FootnoteReference"/>
        </w:rPr>
        <w:footnoteReference w:id="492"/>
      </w:r>
    </w:p>
    <w:p w:rsidR="00894A39" w:rsidRPr="0087746B" w:rsidRDefault="00894A39" w:rsidP="00894A39">
      <w:pPr>
        <w:pStyle w:val="AERquote"/>
      </w:pPr>
      <w:r w:rsidRPr="0087746B">
        <w:t>There is a possibility that current low interest rates could result in higher equity risk premiums, but we do not think this is likely and more importantly we have seen no convincing evidence that this is the case.</w:t>
      </w:r>
    </w:p>
    <w:p w:rsidR="00894A39" w:rsidRPr="008556CC" w:rsidRDefault="00894A39" w:rsidP="008556CC">
      <w:pPr>
        <w:pStyle w:val="AERbodytextnospaceleftalign"/>
        <w:rPr>
          <w:rStyle w:val="AERbody"/>
        </w:rPr>
      </w:pPr>
      <w:r>
        <w:rPr>
          <w:rStyle w:val="AERbody"/>
        </w:rPr>
        <w:t xml:space="preserve">More recently, </w:t>
      </w:r>
      <w:r w:rsidRPr="008556CC">
        <w:rPr>
          <w:rStyle w:val="AERbody"/>
        </w:rPr>
        <w:t xml:space="preserve">Partington and Satchell </w:t>
      </w:r>
      <w:r w:rsidRPr="00894A39">
        <w:rPr>
          <w:rStyle w:val="AERbody"/>
        </w:rPr>
        <w:t>advised</w:t>
      </w:r>
      <w:r w:rsidRPr="008556CC">
        <w:rPr>
          <w:rStyle w:val="AERbody"/>
        </w:rPr>
        <w:t xml:space="preserve"> that the AER </w:t>
      </w:r>
      <w:r w:rsidRPr="00894A39">
        <w:rPr>
          <w:rStyle w:val="AERbody"/>
        </w:rPr>
        <w:t>'needs to be</w:t>
      </w:r>
      <w:r w:rsidRPr="008556CC">
        <w:rPr>
          <w:rStyle w:val="AERbody"/>
        </w:rPr>
        <w:t xml:space="preserve"> convinced why investors should require more compensation for the risk of holding equity</w:t>
      </w:r>
      <w:r w:rsidRPr="00894A39">
        <w:rPr>
          <w:rStyle w:val="AERbody"/>
        </w:rPr>
        <w:t>' and why the expected market return on the market increases</w:t>
      </w:r>
      <w:r w:rsidRPr="008556CC">
        <w:rPr>
          <w:rStyle w:val="AERbody"/>
        </w:rPr>
        <w:t xml:space="preserve"> as interest rate falls</w:t>
      </w:r>
      <w:r w:rsidRPr="00894A39">
        <w:rPr>
          <w:rStyle w:val="AERbody"/>
        </w:rPr>
        <w:t>.</w:t>
      </w:r>
      <w:r w:rsidRPr="00894A39">
        <w:rPr>
          <w:rStyle w:val="FootnoteReference"/>
        </w:rPr>
        <w:footnoteReference w:id="493"/>
      </w:r>
      <w:r w:rsidRPr="008556CC">
        <w:rPr>
          <w:rStyle w:val="AERbody"/>
        </w:rPr>
        <w:t xml:space="preserve"> They </w:t>
      </w:r>
      <w:r w:rsidRPr="00894A39">
        <w:rPr>
          <w:rStyle w:val="AERbody"/>
        </w:rPr>
        <w:t>added</w:t>
      </w:r>
      <w:r w:rsidRPr="008556CC">
        <w:rPr>
          <w:rStyle w:val="AERbody"/>
        </w:rPr>
        <w:t xml:space="preserve"> that any change commensurate with the theory that the risk free rate and the market risk premium are inversely related would be inexplicably large:</w:t>
      </w:r>
      <w:r w:rsidRPr="00894A39">
        <w:rPr>
          <w:rStyle w:val="FootnoteReference"/>
        </w:rPr>
        <w:footnoteReference w:id="494"/>
      </w:r>
    </w:p>
    <w:p w:rsidR="00894A39" w:rsidRPr="008556CC" w:rsidRDefault="00894A39" w:rsidP="008556CC">
      <w:pPr>
        <w:pStyle w:val="AERquote"/>
        <w:rPr>
          <w:rStyle w:val="AERtexthighlight"/>
        </w:rPr>
      </w:pPr>
      <w:r w:rsidRPr="009C000B">
        <w:t xml:space="preserve">We see that if there is no change in beta, the required value for </w:t>
      </w:r>
      <m:oMath>
        <m:r>
          <w:rPr>
            <w:rFonts w:ascii="Cambria Math" w:hAnsi="Cambria Math"/>
          </w:rPr>
          <m:t>∆MRP=3.14%</m:t>
        </m:r>
      </m:oMath>
      <w:r w:rsidRPr="00894A39">
        <w:t>, which seems an implausibly large change. Alternatively, suppose beta is allowed to increase by the maximum increase in the summary of CEG’s (2016, Table 14) analysis of beta increases, then</w:t>
      </w:r>
      <m:oMath>
        <m:r>
          <m:rPr>
            <m:sty m:val="p"/>
          </m:rPr>
          <w:rPr>
            <w:rFonts w:ascii="Cambria Math" w:hAnsi="Cambria Math"/>
          </w:rPr>
          <m:t xml:space="preserve"> </m:t>
        </m:r>
        <m:r>
          <w:rPr>
            <w:rFonts w:ascii="Cambria Math" w:hAnsi="Cambria Math"/>
          </w:rPr>
          <m:t xml:space="preserve"> ∆B=.17</m:t>
        </m:r>
      </m:oMath>
      <w:r w:rsidRPr="00894A39">
        <w:t xml:space="preserve">. The required change in the MRP is then 1.26%... This change in MRP is greater than the largest change for the Australian MRP listed in ATCO final gas decision, June 2015, Table2, page 32, which is </w:t>
      </w:r>
      <m:oMath>
        <m:r>
          <w:rPr>
            <w:rFonts w:ascii="Cambria Math" w:hAnsi="Cambria Math"/>
          </w:rPr>
          <m:t>∆MRP=1.1</m:t>
        </m:r>
      </m:oMath>
      <w:r w:rsidRPr="00894A39">
        <w:t>. It is not clear to us that either beta or the MRP have changed, but even if we allow for the maximum claimed for such changes the return on equity goes down.</w:t>
      </w:r>
    </w:p>
    <w:p w:rsidR="00894A39" w:rsidRDefault="00894A39" w:rsidP="00894A39">
      <w:r>
        <w:t>Frontier submitted the following new material to argue that the return on equity has remained relatively stable:</w:t>
      </w:r>
      <w:r w:rsidRPr="007C70BB">
        <w:rPr>
          <w:rStyle w:val="FootnoteReference"/>
        </w:rPr>
        <w:footnoteReference w:id="495"/>
      </w:r>
    </w:p>
    <w:p w:rsidR="00894A39" w:rsidRPr="00894A39" w:rsidRDefault="00894A39" w:rsidP="008556CC">
      <w:pPr>
        <w:pStyle w:val="AERbulletlistfirststyle"/>
      </w:pPr>
      <w:r>
        <w:t xml:space="preserve">a 2015 </w:t>
      </w:r>
      <w:r w:rsidRPr="00894A39">
        <w:t>paper by Duarte and Rosa</w:t>
      </w:r>
      <w:r w:rsidRPr="00894A39">
        <w:rPr>
          <w:rStyle w:val="FootnoteReference"/>
        </w:rPr>
        <w:footnoteReference w:id="496"/>
      </w:r>
      <w:r w:rsidRPr="00894A39">
        <w:t xml:space="preserve"> </w:t>
      </w:r>
    </w:p>
    <w:p w:rsidR="00894A39" w:rsidRPr="00894A39" w:rsidRDefault="00894A39" w:rsidP="008556CC">
      <w:pPr>
        <w:pStyle w:val="AERbulletlistfirststyle"/>
      </w:pPr>
      <w:r>
        <w:t>a</w:t>
      </w:r>
      <w:r w:rsidRPr="00894A39">
        <w:t xml:space="preserve"> 2014 paper by Strunk</w:t>
      </w:r>
      <w:r w:rsidRPr="00894A39">
        <w:rPr>
          <w:rStyle w:val="FootnoteReference"/>
        </w:rPr>
        <w:footnoteReference w:id="497"/>
      </w:r>
      <w:r w:rsidRPr="00894A39">
        <w:t xml:space="preserve"> </w:t>
      </w:r>
    </w:p>
    <w:p w:rsidR="00894A39" w:rsidRPr="00894A39" w:rsidRDefault="00894A39" w:rsidP="008556CC">
      <w:pPr>
        <w:pStyle w:val="AERbulletlistfirststyle"/>
      </w:pPr>
      <w:r>
        <w:t>Federal Energy Regulatory Commission (FERC) decisions for New England and New York</w:t>
      </w:r>
    </w:p>
    <w:p w:rsidR="00894A39" w:rsidRPr="00894A39" w:rsidRDefault="00894A39" w:rsidP="008556CC">
      <w:r>
        <w:t xml:space="preserve">We </w:t>
      </w:r>
      <w:r w:rsidRPr="00894A39">
        <w:t xml:space="preserve">do not consider that the new material provides satisfactory evidence of a stable return on equity, particularly in the Australian context, for the following reasons: </w:t>
      </w:r>
    </w:p>
    <w:p w:rsidR="00894A39" w:rsidRPr="00894A39" w:rsidRDefault="00894A39" w:rsidP="008556CC">
      <w:pPr>
        <w:pStyle w:val="AERbulletlistfirststyle"/>
      </w:pPr>
      <w:r>
        <w:t>The</w:t>
      </w:r>
      <w:r w:rsidRPr="00894A39">
        <w:t xml:space="preserve"> Duarte and Rosa paper uses US data and it is not clear that the Australian market would follow a similar experience. </w:t>
      </w:r>
      <w:r w:rsidR="008556CC">
        <w:t>Partington &amp; Satchell</w:t>
      </w:r>
      <w:r w:rsidRPr="00894A39">
        <w:t xml:space="preserve"> also advised that 'overseas regulators decisions are not likely to be convincing unless one can show great similarities in the economies considered'.</w:t>
      </w:r>
      <w:r w:rsidRPr="00894A39">
        <w:rPr>
          <w:rStyle w:val="FootnoteReference"/>
        </w:rPr>
        <w:footnoteReference w:id="498"/>
      </w:r>
      <w:r w:rsidRPr="00894A39">
        <w:t xml:space="preserve"> Further, the paper seems to focus on a forward looking one-year market risk premium whereas we estimate a forward looking ten-year market risk premium.</w:t>
      </w:r>
    </w:p>
    <w:p w:rsidR="00894A39" w:rsidRPr="00894A39" w:rsidRDefault="00894A39" w:rsidP="008556CC">
      <w:pPr>
        <w:pStyle w:val="AERbulletlistfirststyle"/>
      </w:pPr>
      <w:r>
        <w:t xml:space="preserve">The 2014 Strunk paper references </w:t>
      </w:r>
      <w:r w:rsidRPr="00894A39">
        <w:t>decisions by US-based regulators to support its conclusion. We know that certain US regulators</w:t>
      </w:r>
      <w:r w:rsidRPr="00894A39">
        <w:rPr>
          <w:rStyle w:val="FootnoteReference"/>
        </w:rPr>
        <w:footnoteReference w:id="499"/>
      </w:r>
      <w:r w:rsidRPr="00894A39">
        <w:t xml:space="preserve"> appear to use a dividend growth model to set the required return on equity. Service providers rely on dividend growth estimates in their proposals to argue a stable return on the market and an offsetting market risk premium. Therefore it is not surprising that the market risk premium display an inverse relationship to the risk free rate. We assessed the dividend growth model in detail in section </w:t>
      </w:r>
      <w:r w:rsidRPr="00894A39">
        <w:fldChar w:fldCharType="begin"/>
      </w:r>
      <w:r w:rsidRPr="00894A39">
        <w:instrText xml:space="preserve"> REF _Ref449007421 \r \h </w:instrText>
      </w:r>
      <w:r w:rsidRPr="00894A39">
        <w:fldChar w:fldCharType="separate"/>
      </w:r>
      <w:r w:rsidR="00C6448C">
        <w:t>B.4</w:t>
      </w:r>
      <w:r w:rsidRPr="00894A39">
        <w:fldChar w:fldCharType="end"/>
      </w:r>
      <w:r w:rsidRPr="00894A39">
        <w:t xml:space="preserve"> and consider that there are a range of limitations with the dividend growth model which makes its results unreliable and unsuitable for directly estimating the market risk premium. We still believe it is useful for indicating, directionally, where the market risk premium should lie in relation to the historical excess returns as indicated in the Guideline.</w:t>
      </w:r>
      <w:r w:rsidRPr="00894A39">
        <w:rPr>
          <w:rStyle w:val="FootnoteReference"/>
        </w:rPr>
        <w:footnoteReference w:id="500"/>
      </w:r>
      <w:r w:rsidRPr="00894A39">
        <w:t xml:space="preserve"> We do not consider that any new material has been submitted to us that address the limitations of dividend growth models or cause us to depart from our use of dividend growth models.</w:t>
      </w:r>
    </w:p>
    <w:p w:rsidR="00894A39" w:rsidRDefault="00894A39" w:rsidP="00894A39">
      <w:pPr>
        <w:pStyle w:val="AERbulletlistfirststyle"/>
      </w:pPr>
      <w:r>
        <w:t>In recent papers FERC uses a dividend growth model to set the required return on equity when presented with such a model by service providers.</w:t>
      </w:r>
      <w:r>
        <w:rPr>
          <w:rStyle w:val="FootnoteReference"/>
        </w:rPr>
        <w:footnoteReference w:id="501"/>
      </w:r>
      <w:r>
        <w:t xml:space="preserve"> Our assessment of the dividend growth model shows a range of issues which means it is used to indicate</w:t>
      </w:r>
      <w:r w:rsidRPr="00BB055B">
        <w:t xml:space="preserve">, directionally, where the </w:t>
      </w:r>
      <w:r>
        <w:t>market risk premium should lie in relation to the h</w:t>
      </w:r>
      <w:r w:rsidRPr="00BB055B">
        <w:t xml:space="preserve">istorical </w:t>
      </w:r>
      <w:r>
        <w:t xml:space="preserve">excess </w:t>
      </w:r>
      <w:r w:rsidRPr="00BB055B">
        <w:t>returns</w:t>
      </w:r>
      <w:r>
        <w:t>. The FERC did not make conclusive statement on its approach for the required return on equity and its concern seems to be in using solely historic excess returns with a simple CAPM.</w:t>
      </w:r>
      <w:r w:rsidRPr="000E1B58">
        <w:rPr>
          <w:rStyle w:val="FootnoteReference"/>
        </w:rPr>
        <w:t xml:space="preserve"> </w:t>
      </w:r>
      <w:r>
        <w:rPr>
          <w:rStyle w:val="FootnoteReference"/>
        </w:rPr>
        <w:footnoteReference w:id="502"/>
      </w:r>
      <w:r>
        <w:t>However, we use information from a range of relevant material, including forward looking material, to determine the forward looking return on equity and ten-year market risk premium.</w:t>
      </w:r>
    </w:p>
    <w:p w:rsidR="005E6E22" w:rsidRPr="005E6E22" w:rsidRDefault="005E6E22" w:rsidP="005E6E22">
      <w:pPr>
        <w:pStyle w:val="AERbulletlistfirststyle"/>
      </w:pPr>
      <w:r w:rsidRPr="005E6E22">
        <w:t>Partington and Satchell has advised that for the return on equity to remain stable requires implausibly large changes in the market risk premium and the return on market.</w:t>
      </w:r>
      <w:r w:rsidRPr="005E6E22">
        <w:rPr>
          <w:rStyle w:val="FootnoteReference"/>
        </w:rPr>
        <w:footnoteReference w:id="503"/>
      </w:r>
      <w:r w:rsidRPr="005E6E22">
        <w:t xml:space="preserve"> </w:t>
      </w:r>
    </w:p>
    <w:p w:rsidR="006A3314" w:rsidRPr="0087746B" w:rsidRDefault="006A3314" w:rsidP="006A3314">
      <w:r w:rsidRPr="0087746B">
        <w:t>S</w:t>
      </w:r>
      <w:r w:rsidR="00AF37BA">
        <w:t>ome s</w:t>
      </w:r>
      <w:r w:rsidRPr="0087746B">
        <w:t>ervice providers submit that our estimate of the return on equity is too low as a result of our application of the Sharpe-Lintner CAPM moving in 'lock step' with the</w:t>
      </w:r>
      <w:r>
        <w:t xml:space="preserve"> falling</w:t>
      </w:r>
      <w:r w:rsidRPr="0087746B">
        <w:t xml:space="preserve"> risk free rate, based on the following material: </w:t>
      </w:r>
    </w:p>
    <w:p w:rsidR="006A3314" w:rsidRPr="0087746B" w:rsidRDefault="006A3314" w:rsidP="006A3314">
      <w:pPr>
        <w:pStyle w:val="AERbulletlistfirststyle"/>
      </w:pPr>
      <w:r w:rsidRPr="0087746B">
        <w:t>Dividend growth model estimates</w:t>
      </w:r>
    </w:p>
    <w:p w:rsidR="006A3314" w:rsidRPr="0087746B" w:rsidRDefault="006A3314" w:rsidP="006A3314">
      <w:pPr>
        <w:pStyle w:val="AERbulletlistfirststyle"/>
      </w:pPr>
      <w:r w:rsidRPr="0087746B">
        <w:t>Wright approach</w:t>
      </w:r>
    </w:p>
    <w:p w:rsidR="006A3314" w:rsidRPr="0087746B" w:rsidRDefault="006A3314" w:rsidP="006A3314">
      <w:pPr>
        <w:pStyle w:val="AERbulletlistfirststyle"/>
      </w:pPr>
      <w:r w:rsidRPr="0087746B">
        <w:t>Hurdle rates</w:t>
      </w:r>
    </w:p>
    <w:p w:rsidR="006A3314" w:rsidRPr="0087746B" w:rsidRDefault="006A3314" w:rsidP="006A3314">
      <w:pPr>
        <w:pStyle w:val="AERbulletlistfirststyle"/>
      </w:pPr>
      <w:r w:rsidRPr="0087746B">
        <w:t>Price-to-earnings ratios (PE ratios)</w:t>
      </w:r>
    </w:p>
    <w:p w:rsidR="006A3314" w:rsidRPr="0087746B" w:rsidRDefault="006A3314" w:rsidP="006A3314">
      <w:pPr>
        <w:pStyle w:val="AERbulletlistfirststyle"/>
      </w:pPr>
      <w:r w:rsidRPr="0087746B">
        <w:t>Independent valuation report</w:t>
      </w:r>
    </w:p>
    <w:p w:rsidR="006A3314" w:rsidRPr="0087746B" w:rsidRDefault="006A3314" w:rsidP="006A3314">
      <w:r w:rsidRPr="0087746B">
        <w:t xml:space="preserve">We respond to these materials in the sections below. We note that we have considered much of this material in our </w:t>
      </w:r>
      <w:r>
        <w:t>October 2015</w:t>
      </w:r>
      <w:r w:rsidRPr="0087746B">
        <w:t xml:space="preserve"> and </w:t>
      </w:r>
      <w:r>
        <w:t>May</w:t>
      </w:r>
      <w:r w:rsidRPr="0087746B">
        <w:t xml:space="preserve"> 201</w:t>
      </w:r>
      <w:r>
        <w:t>6</w:t>
      </w:r>
      <w:r w:rsidRPr="0087746B">
        <w:t xml:space="preserve"> decisions</w:t>
      </w:r>
      <w:r>
        <w:t>.</w:t>
      </w:r>
      <w:r w:rsidRPr="0087746B">
        <w:rPr>
          <w:rStyle w:val="FootnoteReference"/>
        </w:rPr>
        <w:footnoteReference w:id="504"/>
      </w:r>
      <w:r w:rsidRPr="0087746B">
        <w:t xml:space="preserve"> </w:t>
      </w:r>
      <w:r w:rsidR="009E2F4C">
        <w:t>A</w:t>
      </w:r>
      <w:r w:rsidRPr="0087746B">
        <w:t>fter reviewing the new materials</w:t>
      </w:r>
      <w:r>
        <w:t xml:space="preserve"> which are substantively similar to previous submissions</w:t>
      </w:r>
      <w:r w:rsidRPr="0087746B">
        <w:t xml:space="preserve">, our previous considerations remain valid for this decision. </w:t>
      </w:r>
    </w:p>
    <w:p w:rsidR="006A3314" w:rsidRPr="0087746B" w:rsidRDefault="006A3314" w:rsidP="006A3314">
      <w:r w:rsidRPr="0087746B">
        <w:t xml:space="preserve">For the reasons outlined, we consider that the foundation model estimate of the return on equity is consistent with the prevailing market conditions in the market for equity funds and the required return on equity for a firm facing similar risks as </w:t>
      </w:r>
      <w:r w:rsidR="001537E5">
        <w:t>TasNetworks</w:t>
      </w:r>
      <w:r w:rsidRPr="0087746B">
        <w:t xml:space="preserve">. </w:t>
      </w:r>
    </w:p>
    <w:p w:rsidR="006A3314" w:rsidRPr="0087746B" w:rsidRDefault="006A3314" w:rsidP="006A3314">
      <w:r w:rsidRPr="0087746B">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t>
      </w:r>
    </w:p>
    <w:p w:rsidR="006A3314" w:rsidRPr="0087746B" w:rsidRDefault="006A3314" w:rsidP="006A3314">
      <w:pPr>
        <w:pStyle w:val="HeadingOrange"/>
      </w:pPr>
      <w:r w:rsidRPr="0087746B">
        <w:t>Dividend growth model estimates</w:t>
      </w:r>
    </w:p>
    <w:p w:rsidR="00894A39" w:rsidRDefault="00894A39" w:rsidP="00894A39">
      <w:r w:rsidRPr="0087746B" w:rsidDel="00BB055B">
        <w:t>S</w:t>
      </w:r>
      <w:r w:rsidR="00AF37BA">
        <w:t>ome s</w:t>
      </w:r>
      <w:r w:rsidRPr="0087746B" w:rsidDel="00BB055B">
        <w:t>ervice providers</w:t>
      </w:r>
      <w:r>
        <w:t xml:space="preserve"> </w:t>
      </w:r>
      <w:r w:rsidR="00AF37BA">
        <w:t xml:space="preserve">have </w:t>
      </w:r>
      <w:r w:rsidRPr="0087746B" w:rsidDel="00BB055B">
        <w:t>submit</w:t>
      </w:r>
      <w:r w:rsidR="00AF37BA">
        <w:t>ted</w:t>
      </w:r>
      <w:r w:rsidRPr="0087746B" w:rsidDel="00BB055B">
        <w:t xml:space="preserve"> that our estimate of the return on equity is below dividend growth model-based estimates.</w:t>
      </w:r>
      <w:r w:rsidRPr="0087746B" w:rsidDel="00BB055B">
        <w:rPr>
          <w:rStyle w:val="FootnoteReference"/>
        </w:rPr>
        <w:footnoteReference w:id="505"/>
      </w:r>
      <w:r w:rsidRPr="0087746B" w:rsidDel="00BB055B">
        <w:t xml:space="preserve"> Frontier </w:t>
      </w:r>
      <w:r>
        <w:t>re</w:t>
      </w:r>
      <w:r w:rsidRPr="0087746B" w:rsidDel="00BB055B">
        <w:t xml:space="preserve">submitted </w:t>
      </w:r>
      <w:r>
        <w:t xml:space="preserve">material from previous reports to argue </w:t>
      </w:r>
      <w:r w:rsidRPr="0087746B" w:rsidDel="00BB055B">
        <w:t>that dividend growth model-based estimates support</w:t>
      </w:r>
      <w:r>
        <w:t>ed</w:t>
      </w:r>
      <w:r w:rsidRPr="0087746B" w:rsidDel="00BB055B">
        <w:t xml:space="preserve"> </w:t>
      </w:r>
      <w:r>
        <w:t>a stable return on equity and the resulting</w:t>
      </w:r>
      <w:r w:rsidRPr="0087746B" w:rsidDel="00BB055B">
        <w:t xml:space="preserve"> inverse relationship between the risk free rate and the market risk premium</w:t>
      </w:r>
      <w:r>
        <w:t>:</w:t>
      </w:r>
      <w:r w:rsidRPr="0087746B" w:rsidDel="00BB055B">
        <w:rPr>
          <w:rStyle w:val="FootnoteReference"/>
        </w:rPr>
        <w:footnoteReference w:id="506"/>
      </w:r>
    </w:p>
    <w:p w:rsidR="00894A39" w:rsidRPr="00894A39" w:rsidRDefault="00894A39" w:rsidP="008556CC">
      <w:pPr>
        <w:pStyle w:val="AERbulletlistfirststyle"/>
      </w:pPr>
      <w:r>
        <w:t xml:space="preserve">Reports from </w:t>
      </w:r>
      <w:r w:rsidRPr="00894A39" w:rsidDel="00BB055B">
        <w:t>market practitioners</w:t>
      </w:r>
      <w:r w:rsidRPr="00894A39" w:rsidDel="00BB055B">
        <w:rPr>
          <w:rStyle w:val="FootnoteReference"/>
        </w:rPr>
        <w:footnoteReference w:id="507"/>
      </w:r>
      <w:r w:rsidRPr="00894A39" w:rsidDel="00BB055B">
        <w:t xml:space="preserve"> </w:t>
      </w:r>
    </w:p>
    <w:p w:rsidR="00894A39" w:rsidRPr="00894A39" w:rsidDel="00BB055B" w:rsidRDefault="00894A39" w:rsidP="008556CC">
      <w:pPr>
        <w:pStyle w:val="AERbulletlistfirststyle"/>
      </w:pPr>
      <w:r>
        <w:t>O</w:t>
      </w:r>
      <w:r w:rsidRPr="00894A39" w:rsidDel="00BB055B">
        <w:t>ther regulators</w:t>
      </w:r>
      <w:r w:rsidRPr="00894A39">
        <w:t>' decisions</w:t>
      </w:r>
      <w:r w:rsidRPr="00894A39" w:rsidDel="00BB055B">
        <w:rPr>
          <w:rStyle w:val="FootnoteReference"/>
        </w:rPr>
        <w:footnoteReference w:id="508"/>
      </w:r>
    </w:p>
    <w:p w:rsidR="00894A39" w:rsidRPr="0087746B" w:rsidDel="00BB055B" w:rsidRDefault="00894A39" w:rsidP="00894A39">
      <w:r w:rsidDel="00BB055B">
        <w:t xml:space="preserve">Frontier </w:t>
      </w:r>
      <w:r>
        <w:t>also repeated</w:t>
      </w:r>
      <w:r w:rsidDel="00BB055B">
        <w:t xml:space="preserve"> that we </w:t>
      </w:r>
      <w:r>
        <w:t>c</w:t>
      </w:r>
      <w:r w:rsidDel="00BB055B">
        <w:t xml:space="preserve">ontinue to place less weight on the </w:t>
      </w:r>
      <w:r>
        <w:t>dividend growth model when considering</w:t>
      </w:r>
      <w:r w:rsidDel="00BB055B">
        <w:t xml:space="preserve"> the </w:t>
      </w:r>
      <w:r>
        <w:t>market risk premium.</w:t>
      </w:r>
      <w:r w:rsidDel="00BB055B">
        <w:rPr>
          <w:rStyle w:val="FootnoteReference"/>
        </w:rPr>
        <w:footnoteReference w:id="509"/>
      </w:r>
      <w:r w:rsidDel="00BB055B">
        <w:t xml:space="preserve"> </w:t>
      </w:r>
      <w:r w:rsidR="00673895">
        <w:t>It</w:t>
      </w:r>
      <w:r w:rsidR="009E2F4C">
        <w:t xml:space="preserve"> stated that</w:t>
      </w:r>
      <w:r w:rsidDel="00BB055B">
        <w:t xml:space="preserve"> </w:t>
      </w:r>
      <w:r>
        <w:t>evidence (from the dividend growth model</w:t>
      </w:r>
      <w:r w:rsidDel="00BB055B">
        <w:t xml:space="preserve">) </w:t>
      </w:r>
      <w:r>
        <w:t>show th</w:t>
      </w:r>
      <w:r w:rsidDel="00BB055B">
        <w:t>at returns on equity have remained steady despite the fall in</w:t>
      </w:r>
      <w:r>
        <w:t xml:space="preserve"> the</w:t>
      </w:r>
      <w:r w:rsidDel="00BB055B">
        <w:t xml:space="preserve"> risk free rate.</w:t>
      </w:r>
      <w:r w:rsidDel="00BB055B">
        <w:rPr>
          <w:rStyle w:val="FootnoteReference"/>
        </w:rPr>
        <w:footnoteReference w:id="510"/>
      </w:r>
      <w:r w:rsidDel="00BB055B">
        <w:t xml:space="preserve"> </w:t>
      </w:r>
    </w:p>
    <w:p w:rsidR="00894A39" w:rsidRDefault="00894A39" w:rsidP="00894A39">
      <w:r w:rsidRPr="0087746B" w:rsidDel="00BB055B">
        <w:t xml:space="preserve">We assess the dividend growth model in detail in section </w:t>
      </w:r>
      <w:r w:rsidRPr="0087746B" w:rsidDel="00BB055B">
        <w:fldChar w:fldCharType="begin"/>
      </w:r>
      <w:r w:rsidRPr="0087746B" w:rsidDel="00BB055B">
        <w:instrText xml:space="preserve"> REF _Ref449007421 \r \h </w:instrText>
      </w:r>
      <w:r w:rsidRPr="0087746B" w:rsidDel="00BB055B">
        <w:fldChar w:fldCharType="separate"/>
      </w:r>
      <w:r w:rsidR="00C6448C">
        <w:t>B.4</w:t>
      </w:r>
      <w:r w:rsidRPr="0087746B" w:rsidDel="00BB055B">
        <w:fldChar w:fldCharType="end"/>
      </w:r>
      <w:r w:rsidRPr="0087746B" w:rsidDel="00BB055B">
        <w:t xml:space="preserve"> and consider that there are a range of limitations with the dividend growth model which makes its results unreliable and unsuitable </w:t>
      </w:r>
      <w:r w:rsidDel="00BB055B">
        <w:t xml:space="preserve">when arriving at an estimation of the </w:t>
      </w:r>
      <w:r>
        <w:t>market risk premium</w:t>
      </w:r>
      <w:r w:rsidDel="00BB055B">
        <w:t xml:space="preserve">. We still believe it is useful for indicating, directionally, where the </w:t>
      </w:r>
      <w:r>
        <w:t>market risk premium</w:t>
      </w:r>
      <w:r w:rsidDel="00BB055B">
        <w:t xml:space="preserve"> should lie in relation to the Historical returns as indicated in the Guideline</w:t>
      </w:r>
      <w:r w:rsidDel="00BB055B">
        <w:rPr>
          <w:rStyle w:val="FootnoteReference"/>
        </w:rPr>
        <w:footnoteReference w:id="511"/>
      </w:r>
      <w:r w:rsidRPr="0087746B" w:rsidDel="00BB055B">
        <w:t>.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894A39" w:rsidRPr="008556CC" w:rsidRDefault="00894A39" w:rsidP="00894A39">
      <w:pPr>
        <w:rPr>
          <w:rStyle w:val="AERbody"/>
        </w:rPr>
      </w:pPr>
      <w:r w:rsidRPr="008556CC">
        <w:rPr>
          <w:rStyle w:val="AERbody"/>
        </w:rPr>
        <w:t>Frontier responded to our concerns</w:t>
      </w:r>
      <w:r>
        <w:rPr>
          <w:rStyle w:val="AERbody"/>
        </w:rPr>
        <w:t xml:space="preserve"> about the dividend growth model's use in estimating the market risk premium</w:t>
      </w:r>
      <w:r w:rsidRPr="008556CC">
        <w:rPr>
          <w:rStyle w:val="AERbody"/>
        </w:rPr>
        <w:t xml:space="preserve"> by noting that it is 'highly unlikely for analysts to forecast dividend growth based on strong earnings over the short term if they considered those dividends to be unsustainable in the longer term'.</w:t>
      </w:r>
      <w:r>
        <w:rPr>
          <w:rStyle w:val="FootnoteReference"/>
        </w:rPr>
        <w:footnoteReference w:id="512"/>
      </w:r>
    </w:p>
    <w:p w:rsidR="00894A39" w:rsidRPr="00965F4A" w:rsidRDefault="00894A39" w:rsidP="00894A39">
      <w:pPr>
        <w:rPr>
          <w:rStyle w:val="AERbody"/>
        </w:rPr>
      </w:pPr>
      <w:r w:rsidRPr="00A164C0">
        <w:rPr>
          <w:rStyle w:val="AERbody"/>
        </w:rPr>
        <w:t xml:space="preserve">We note that dividends may be forecasted to increase for a number of reasons, including absence of satisfactory projects for reinvestment of earnings, and not necessarily related to strong earnings. </w:t>
      </w:r>
      <w:r w:rsidR="009E2F4C">
        <w:rPr>
          <w:rStyle w:val="AERbody"/>
        </w:rPr>
        <w:t>I</w:t>
      </w:r>
      <w:r w:rsidRPr="00A164C0">
        <w:rPr>
          <w:rStyle w:val="AERbody"/>
        </w:rPr>
        <w:t>t is</w:t>
      </w:r>
      <w:r w:rsidR="009E2F4C">
        <w:rPr>
          <w:rStyle w:val="AERbody"/>
        </w:rPr>
        <w:t xml:space="preserve"> also</w:t>
      </w:r>
      <w:r w:rsidRPr="00A164C0">
        <w:rPr>
          <w:rStyle w:val="AERbody"/>
        </w:rPr>
        <w:t xml:space="preserve"> not apparent that there is or will be strong earnings growth. In the RBA chart, while forecast earnings per share in 2016–17 is above that of 2015</w:t>
      </w:r>
      <w:r w:rsidRPr="008556CC">
        <w:rPr>
          <w:rStyle w:val="AERbody"/>
        </w:rPr>
        <w:t>–16</w:t>
      </w:r>
      <w:r>
        <w:rPr>
          <w:rStyle w:val="AERbody"/>
        </w:rPr>
        <w:t xml:space="preserve"> as Frontier points out</w:t>
      </w:r>
      <w:r w:rsidRPr="008556CC">
        <w:rPr>
          <w:rStyle w:val="AERbody"/>
        </w:rPr>
        <w:t xml:space="preserve">, both slow over time which has been </w:t>
      </w:r>
      <w:r w:rsidRPr="00965F4A">
        <w:rPr>
          <w:rStyle w:val="AERbody"/>
        </w:rPr>
        <w:t>the pattern since 2011–12.</w:t>
      </w:r>
      <w:r>
        <w:rPr>
          <w:rStyle w:val="FootnoteReference"/>
        </w:rPr>
        <w:footnoteReference w:id="513"/>
      </w:r>
      <w:r w:rsidRPr="00965F4A">
        <w:rPr>
          <w:rStyle w:val="AERbody"/>
        </w:rPr>
        <w:t xml:space="preserve"> We do not consider that this is indicative or supportive of strong earnings growth. </w:t>
      </w:r>
    </w:p>
    <w:p w:rsidR="00894A39" w:rsidRDefault="00894A39" w:rsidP="00894A39">
      <w:pPr>
        <w:rPr>
          <w:rStyle w:val="AERbody"/>
        </w:rPr>
      </w:pPr>
      <w:r w:rsidRPr="00965F4A">
        <w:rPr>
          <w:rStyle w:val="AERbody"/>
        </w:rPr>
        <w:t xml:space="preserve">Frontier </w:t>
      </w:r>
      <w:r>
        <w:rPr>
          <w:rStyle w:val="AERbody"/>
        </w:rPr>
        <w:t>added</w:t>
      </w:r>
      <w:r w:rsidRPr="00965F4A">
        <w:rPr>
          <w:rStyle w:val="AERbody"/>
        </w:rPr>
        <w:t xml:space="preserve"> that there is no evidence to indicate 'future dividends were likely to fall so materially as to make the current dividend unsustainable'.</w:t>
      </w:r>
      <w:r>
        <w:rPr>
          <w:rStyle w:val="FootnoteReference"/>
        </w:rPr>
        <w:footnoteReference w:id="514"/>
      </w:r>
      <w:r w:rsidRPr="00965F4A">
        <w:rPr>
          <w:rStyle w:val="AERbody"/>
        </w:rPr>
        <w:t xml:space="preserve"> </w:t>
      </w:r>
      <w:r>
        <w:rPr>
          <w:rStyle w:val="AERbody"/>
        </w:rPr>
        <w:t>.</w:t>
      </w:r>
      <w:r w:rsidRPr="00965F4A">
        <w:rPr>
          <w:rStyle w:val="AERbody"/>
        </w:rPr>
        <w:t xml:space="preserve"> </w:t>
      </w:r>
      <w:r w:rsidRPr="00DD6215">
        <w:t xml:space="preserve"> </w:t>
      </w:r>
      <w:r>
        <w:t xml:space="preserve">We note that the </w:t>
      </w:r>
      <w:r w:rsidRPr="00691150">
        <w:t xml:space="preserve">chartpack relates to one-year forecasts </w:t>
      </w:r>
      <w:r>
        <w:t>which would not provide conclusive evidence consistent with our 10-year time frame</w:t>
      </w:r>
      <w:r w:rsidRPr="00691150">
        <w:t>.</w:t>
      </w:r>
    </w:p>
    <w:p w:rsidR="006A3314" w:rsidDel="00BB055B" w:rsidRDefault="00894A39" w:rsidP="006A3314">
      <w:r>
        <w:t xml:space="preserve">We are also </w:t>
      </w:r>
      <w:r w:rsidRPr="00AF101C">
        <w:t>not persuaded by Frontier's observation that ASX-20 firms have on average experienced actual earnings slightly above analyst forecast as evidence against analyst bias. This appears to be based solely on the 2016–17 financial year and does not appear indicative of a long term or sustained occurrence. Financial literature and our consultants have consistently observed and concluded that analysts over-forecast dividends.</w:t>
      </w:r>
      <w:r w:rsidRPr="00AF101C">
        <w:rPr>
          <w:rStyle w:val="FootnoteReference"/>
        </w:rPr>
        <w:footnoteReference w:id="515"/>
      </w:r>
      <w:r w:rsidRPr="00AF101C">
        <w:t xml:space="preserve"> </w:t>
      </w:r>
      <w:r>
        <w:t>Partington and Satchell has also advised that '</w:t>
      </w:r>
      <w:r w:rsidRPr="00DD6215">
        <w:t>little weight</w:t>
      </w:r>
      <w:r>
        <w:t xml:space="preserve">' should be placed </w:t>
      </w:r>
      <w:r w:rsidRPr="00DD6215">
        <w:t>on a no</w:t>
      </w:r>
      <w:r>
        <w:t xml:space="preserve">n-random sample of twenty firms, </w:t>
      </w:r>
      <w:r w:rsidRPr="00DD6215">
        <w:t>one year’s observations</w:t>
      </w:r>
      <w:r>
        <w:t xml:space="preserve"> and date of analyst forecasts</w:t>
      </w:r>
      <w:r w:rsidRPr="00DD6215">
        <w:t>.</w:t>
      </w:r>
      <w:r>
        <w:rPr>
          <w:rStyle w:val="FootnoteReference"/>
        </w:rPr>
        <w:footnoteReference w:id="516"/>
      </w:r>
      <w:r w:rsidRPr="00DD6215">
        <w:t xml:space="preserve"> </w:t>
      </w:r>
    </w:p>
    <w:p w:rsidR="006A3314" w:rsidRPr="00B0543D" w:rsidRDefault="006A3314" w:rsidP="006A3314">
      <w:pPr>
        <w:pStyle w:val="HeadingOrange"/>
      </w:pPr>
      <w:r w:rsidRPr="00B0543D">
        <w:t>Wright approach</w:t>
      </w:r>
      <w:r>
        <w:t xml:space="preserve"> and historical CAPM</w:t>
      </w:r>
    </w:p>
    <w:p w:rsidR="00894A39" w:rsidRDefault="00AF37BA" w:rsidP="00894A39">
      <w:r>
        <w:t xml:space="preserve">AusNet Services </w:t>
      </w:r>
      <w:r w:rsidR="00894A39" w:rsidRPr="00B0543D">
        <w:t xml:space="preserve">submitted </w:t>
      </w:r>
      <w:r>
        <w:t>(like some service prov</w:t>
      </w:r>
      <w:r w:rsidR="00CA7486">
        <w:t>i</w:t>
      </w:r>
      <w:r>
        <w:t xml:space="preserve">ders have argued previously) </w:t>
      </w:r>
      <w:r w:rsidR="00894A39" w:rsidRPr="00B0543D">
        <w:t xml:space="preserve">that </w:t>
      </w:r>
      <w:r w:rsidR="00894A39">
        <w:t>we</w:t>
      </w:r>
      <w:r w:rsidR="00894A39" w:rsidRPr="00B0543D">
        <w:t xml:space="preserve"> place little weight on the Wright approach, specifically that the AER </w:t>
      </w:r>
      <w:r w:rsidR="00894A39">
        <w:t>should use it for informing</w:t>
      </w:r>
      <w:r w:rsidR="00894A39" w:rsidRPr="00B0543D">
        <w:t xml:space="preserve"> the </w:t>
      </w:r>
      <w:r w:rsidR="00894A39">
        <w:t>m</w:t>
      </w:r>
      <w:r w:rsidR="00894A39" w:rsidRPr="00B0543D">
        <w:t xml:space="preserve">arket </w:t>
      </w:r>
      <w:r w:rsidR="00894A39">
        <w:t>r</w:t>
      </w:r>
      <w:r w:rsidR="00894A39" w:rsidRPr="00B0543D">
        <w:t xml:space="preserve">isk </w:t>
      </w:r>
      <w:r w:rsidR="00894A39">
        <w:t>p</w:t>
      </w:r>
      <w:r w:rsidR="00894A39" w:rsidRPr="00B0543D">
        <w:t>remium.</w:t>
      </w:r>
      <w:r w:rsidR="00894A39" w:rsidRPr="00B0543D">
        <w:rPr>
          <w:rStyle w:val="FootnoteReference"/>
        </w:rPr>
        <w:footnoteReference w:id="517"/>
      </w:r>
      <w:r w:rsidR="00894A39" w:rsidRPr="00B0543D">
        <w:t xml:space="preserve"> </w:t>
      </w:r>
    </w:p>
    <w:p w:rsidR="00894A39" w:rsidRDefault="00894A39" w:rsidP="00894A39">
      <w:r w:rsidRPr="00B0543D">
        <w:t>Frontier</w:t>
      </w:r>
      <w:r>
        <w:t>, for AusNet Services,</w:t>
      </w:r>
      <w:r w:rsidRPr="00B0543D">
        <w:t xml:space="preserve"> continued to </w:t>
      </w:r>
      <w:r>
        <w:t xml:space="preserve">argue for an </w:t>
      </w:r>
      <w:r w:rsidRPr="00B0543D">
        <w:t xml:space="preserve">inverse relationship between the risk free rate and market premium </w:t>
      </w:r>
      <w:r>
        <w:t xml:space="preserve">based on </w:t>
      </w:r>
      <w:r w:rsidRPr="00B0543D">
        <w:t>the stability of the Wright</w:t>
      </w:r>
      <w:r>
        <w:t xml:space="preserve"> CAPM</w:t>
      </w:r>
      <w:r w:rsidRPr="00B0543D">
        <w:rPr>
          <w:rStyle w:val="FootnoteReference"/>
        </w:rPr>
        <w:footnoteReference w:id="518"/>
      </w:r>
      <w:r>
        <w:t xml:space="preserve"> estimates</w:t>
      </w:r>
      <w:r w:rsidRPr="00B0543D">
        <w:t>.</w:t>
      </w:r>
      <w:r w:rsidRPr="00B0543D">
        <w:rPr>
          <w:rStyle w:val="FootnoteReference"/>
        </w:rPr>
        <w:footnoteReference w:id="519"/>
      </w:r>
      <w:r w:rsidRPr="00B0543D">
        <w:t xml:space="preserve"> Frontier also </w:t>
      </w:r>
      <w:r>
        <w:t>referenced the model's usage by other regulators' for estimating the market risk premium</w:t>
      </w:r>
      <w:r w:rsidRPr="00B0543D">
        <w:t>.</w:t>
      </w:r>
      <w:r w:rsidRPr="00B0543D">
        <w:rPr>
          <w:rStyle w:val="FootnoteReference"/>
        </w:rPr>
        <w:footnoteReference w:id="520"/>
      </w:r>
      <w:r>
        <w:t xml:space="preserve"> </w:t>
      </w:r>
    </w:p>
    <w:p w:rsidR="00894A39" w:rsidRDefault="00894A39">
      <w:r w:rsidRPr="00B0543D">
        <w:t>We have reviewed again all material submitted on the Wright approach</w:t>
      </w:r>
      <w:r>
        <w:t>, historical</w:t>
      </w:r>
      <w:r w:rsidR="003E0046">
        <w:t>/alternative</w:t>
      </w:r>
      <w:r>
        <w:t xml:space="preserve"> CAPM</w:t>
      </w:r>
      <w:r w:rsidRPr="00B0543D">
        <w:t xml:space="preserve"> and</w:t>
      </w:r>
      <w:r>
        <w:t xml:space="preserve"> their</w:t>
      </w:r>
      <w:r w:rsidRPr="00B0543D">
        <w:t xml:space="preserve"> results</w:t>
      </w:r>
      <w:r>
        <w:t>.</w:t>
      </w:r>
      <w:r w:rsidRPr="00B0543D">
        <w:t xml:space="preserve"> </w:t>
      </w:r>
      <w:r w:rsidR="009E2F4C">
        <w:t>W</w:t>
      </w:r>
      <w:r w:rsidRPr="00B0543D">
        <w:t xml:space="preserve">e consider that the new materials do not address the previous and on running concerns that we have detailed in decisions regarding the Wright approach </w:t>
      </w:r>
      <w:r>
        <w:t xml:space="preserve">and historical CAPM </w:t>
      </w:r>
      <w:r w:rsidRPr="00B0543D">
        <w:t>(see section</w:t>
      </w:r>
      <w:r w:rsidR="00892103">
        <w:t xml:space="preserve"> B.5).</w:t>
      </w:r>
      <w:r w:rsidRPr="00B0543D">
        <w:t xml:space="preserve"> </w:t>
      </w:r>
      <w:r>
        <w:t>For example, we note that both non-standard specifications of Sharpe-Lintner CAPM</w:t>
      </w:r>
      <w:r w:rsidRPr="00B0543D">
        <w:t xml:space="preserve"> </w:t>
      </w:r>
      <w:r>
        <w:t xml:space="preserve">do not take into account changing market conditions and assumes a perfectly offsetting relationship between the risk free rate and the market risk premium. </w:t>
      </w:r>
    </w:p>
    <w:p w:rsidR="006A3314" w:rsidRDefault="00894A39" w:rsidP="006A3314">
      <w:r>
        <w:t>Professor Martin</w:t>
      </w:r>
      <w:r w:rsidRPr="00B0543D">
        <w:t xml:space="preserve"> Lally f</w:t>
      </w:r>
      <w:r>
        <w:t>ound</w:t>
      </w:r>
      <w:r w:rsidRPr="00B0543D">
        <w:t xml:space="preserve"> that the estimated market risk premium series is more stable than the average real market return series when taking the Wright approach applied to Australian data</w:t>
      </w:r>
      <w:r>
        <w:t>.</w:t>
      </w:r>
      <w:r w:rsidR="006E7560">
        <w:rPr>
          <w:rStyle w:val="FootnoteReference"/>
        </w:rPr>
        <w:footnoteReference w:id="521"/>
      </w:r>
      <w:r>
        <w:t xml:space="preserve"> Partington and Satchell, in their most recent report also advised that the 'Wright approach has no support based on any clear evidence in the Australian context'.</w:t>
      </w:r>
      <w:r>
        <w:rPr>
          <w:rStyle w:val="FootnoteReference"/>
        </w:rPr>
        <w:footnoteReference w:id="522"/>
      </w:r>
    </w:p>
    <w:p w:rsidR="006A3314" w:rsidRPr="0087746B" w:rsidRDefault="006A3314" w:rsidP="006A3314">
      <w:pPr>
        <w:pStyle w:val="HeadingOrange"/>
      </w:pPr>
      <w:r w:rsidRPr="0087746B">
        <w:t>Hurdle rates</w:t>
      </w:r>
    </w:p>
    <w:p w:rsidR="00894A39" w:rsidRDefault="00894A39" w:rsidP="00894A39">
      <w:r w:rsidRPr="0087746B" w:rsidDel="001143FB">
        <w:t>A hurdle rate is a rate of return that firms and managers use when deciding whether or not to invest in capital projects.</w:t>
      </w:r>
      <w:r w:rsidRPr="000D2B7C" w:rsidDel="001143FB">
        <w:t xml:space="preserve"> </w:t>
      </w:r>
    </w:p>
    <w:p w:rsidR="00894A39" w:rsidRDefault="00894A39" w:rsidP="00894A39">
      <w:r>
        <w:t>Frontier argued that there has not been a reduction in the expected return on equity and resubmitted the following material:</w:t>
      </w:r>
    </w:p>
    <w:p w:rsidR="00894A39" w:rsidRPr="00894A39" w:rsidRDefault="00894A39" w:rsidP="00965F4A">
      <w:pPr>
        <w:pStyle w:val="AERbulletlistfirststyle"/>
      </w:pPr>
      <w:r w:rsidRPr="0087746B" w:rsidDel="001143FB">
        <w:t>McKinsey Inc considered that the required return on equity appeared to be quite stable as government bond yields declined, based on observations of hurdle rates.</w:t>
      </w:r>
      <w:r w:rsidRPr="00894A39" w:rsidDel="001143FB">
        <w:rPr>
          <w:rStyle w:val="FootnoteReference"/>
        </w:rPr>
        <w:footnoteReference w:id="523"/>
      </w:r>
      <w:r w:rsidRPr="00894A39">
        <w:t xml:space="preserve"> </w:t>
      </w:r>
    </w:p>
    <w:p w:rsidR="00894A39" w:rsidRPr="00894A39" w:rsidDel="001143FB" w:rsidRDefault="00894A39" w:rsidP="00965F4A">
      <w:pPr>
        <w:pStyle w:val="AERbulletlistfirststyle"/>
      </w:pPr>
      <w:r>
        <w:t>T</w:t>
      </w:r>
      <w:r w:rsidRPr="00894A39">
        <w:t>he RBA's April 2015 speech which noted the return on equity has remained relatively stable with decreases in the risk free rate on the basis of 'sticky' hurdle rates and stable earnings.</w:t>
      </w:r>
      <w:r w:rsidRPr="00894A39">
        <w:rPr>
          <w:rStyle w:val="FootnoteReference"/>
        </w:rPr>
        <w:footnoteReference w:id="524"/>
      </w:r>
      <w:r w:rsidRPr="00894A39">
        <w:t xml:space="preserve"> </w:t>
      </w:r>
      <w:r>
        <w:t>Companies have not reduced their hurdle rates</w:t>
      </w:r>
      <w:r w:rsidRPr="00894A39">
        <w:rPr>
          <w:rStyle w:val="FootnoteReference"/>
        </w:rPr>
        <w:footnoteReference w:id="525"/>
      </w:r>
    </w:p>
    <w:p w:rsidR="00894A39" w:rsidRPr="00894A39" w:rsidRDefault="00894A39" w:rsidP="00965F4A">
      <w:r w:rsidRPr="00B34ECE">
        <w:t xml:space="preserve">We consider hurdle rates are unlikely to be commensurate with the efficient financing costs of the benchmark efficient entity or reflective of prevailing conditions in the market for equity funds. We are not satisfied this provides sufficient evidence of an inverse relationship between the 10 year forward looking risk free rate and market risk premium in the current market. </w:t>
      </w:r>
    </w:p>
    <w:p w:rsidR="00894A39" w:rsidRDefault="00894A39" w:rsidP="00894A39">
      <w:r w:rsidRPr="0087746B" w:rsidDel="000236CD">
        <w:t>The RBA and Deloitte have noted that Australian firms tend to have high 'hurdle rates' of return that are often well above the cost of capital and do not change very often.</w:t>
      </w:r>
      <w:r w:rsidRPr="0087746B" w:rsidDel="000236CD">
        <w:rPr>
          <w:rStyle w:val="FootnoteReference"/>
        </w:rPr>
        <w:footnoteReference w:id="526"/>
      </w:r>
      <w:r w:rsidRPr="0087746B" w:rsidDel="000236CD">
        <w:t xml:space="preserve"> </w:t>
      </w:r>
      <w:r>
        <w:t xml:space="preserve"> </w:t>
      </w:r>
      <w:r w:rsidRPr="00B34ECE">
        <w:t>Moreover, these statements by the RBA may not be applicable to the required rate of return in financial markets.</w:t>
      </w:r>
      <w:r>
        <w:t xml:space="preserve"> </w:t>
      </w:r>
      <w:r w:rsidRPr="0087746B" w:rsidDel="000236CD">
        <w:t>Further, JP Morgan appears to indicate that hurdle rates may not be responsive to changes in market conditions. This could be because firms use hurdle rates as a capital rationing device,</w:t>
      </w:r>
      <w:r w:rsidRPr="0087746B" w:rsidDel="000236CD">
        <w:rPr>
          <w:rStyle w:val="FootnoteReference"/>
        </w:rPr>
        <w:footnoteReference w:id="527"/>
      </w:r>
      <w:r w:rsidRPr="0087746B" w:rsidDel="000236CD">
        <w:t xml:space="preserve"> to reflect uncertainty in cash flow forecasts,</w:t>
      </w:r>
      <w:r w:rsidRPr="0087746B" w:rsidDel="000236CD">
        <w:rPr>
          <w:rStyle w:val="FootnoteReference"/>
        </w:rPr>
        <w:footnoteReference w:id="528"/>
      </w:r>
      <w:r w:rsidRPr="0087746B" w:rsidDel="000236CD">
        <w:t xml:space="preserve"> to reflect strategic incentives,</w:t>
      </w:r>
      <w:r w:rsidRPr="0087746B" w:rsidDel="000236CD">
        <w:rPr>
          <w:rStyle w:val="FootnoteReference"/>
        </w:rPr>
        <w:footnoteReference w:id="529"/>
      </w:r>
      <w:r w:rsidRPr="0087746B" w:rsidDel="000236CD">
        <w:t xml:space="preserve"> because of an absence of competitive market pressures,</w:t>
      </w:r>
      <w:r w:rsidRPr="0087746B" w:rsidDel="000236CD">
        <w:rPr>
          <w:rStyle w:val="FootnoteReference"/>
        </w:rPr>
        <w:footnoteReference w:id="530"/>
      </w:r>
      <w:r w:rsidRPr="0087746B" w:rsidDel="000236CD">
        <w:t xml:space="preserve"> or due to immateriality of incremental changes if the firm has a high cost of capital.</w:t>
      </w:r>
      <w:r w:rsidRPr="0087746B" w:rsidDel="000236CD">
        <w:rPr>
          <w:rStyle w:val="FootnoteReference"/>
        </w:rPr>
        <w:footnoteReference w:id="531"/>
      </w:r>
    </w:p>
    <w:p w:rsidR="00894A39" w:rsidRPr="00894A39" w:rsidRDefault="00894A39" w:rsidP="00965F4A">
      <w:pPr>
        <w:pStyle w:val="AERbulletlistfirststyle"/>
        <w:numPr>
          <w:ilvl w:val="0"/>
          <w:numId w:val="0"/>
        </w:numPr>
      </w:pPr>
      <w:r>
        <w:t xml:space="preserve">We have considered </w:t>
      </w:r>
      <w:r w:rsidRPr="00894A39">
        <w:t>companies use of hurdle rates before, and remain unpersuaded that hurdle rates provided by independent businesses provide reliable evidence of the expected cost of equity for reasons stated in previous decisions.</w:t>
      </w:r>
      <w:r w:rsidRPr="00894A39">
        <w:rPr>
          <w:rStyle w:val="FootnoteReference"/>
        </w:rPr>
        <w:footnoteReference w:id="532"/>
      </w:r>
    </w:p>
    <w:p w:rsidR="006A3314" w:rsidRDefault="00894A39" w:rsidP="006A3314">
      <w:r>
        <w:t xml:space="preserve">See </w:t>
      </w:r>
      <w:r w:rsidR="003E0046">
        <w:t xml:space="preserve">also </w:t>
      </w:r>
      <w:r>
        <w:t xml:space="preserve">Appendix </w:t>
      </w:r>
      <w:r w:rsidR="003E0046">
        <w:t>C</w:t>
      </w:r>
      <w:r>
        <w:t xml:space="preserve"> in Attachment 3 to the</w:t>
      </w:r>
      <w:r w:rsidRPr="000D2B7C">
        <w:t xml:space="preserve"> October 2015 final decision for SAPN's </w:t>
      </w:r>
      <w:r>
        <w:t>2015–20</w:t>
      </w:r>
      <w:r w:rsidRPr="000D2B7C">
        <w:t xml:space="preserve"> determination for more discussion.</w:t>
      </w:r>
    </w:p>
    <w:p w:rsidR="006A3314" w:rsidRPr="0087746B" w:rsidRDefault="006A3314" w:rsidP="006A3314">
      <w:pPr>
        <w:pStyle w:val="HeadingOrange"/>
      </w:pPr>
      <w:r w:rsidRPr="0087746B">
        <w:t>Price-to-earnings ratios</w:t>
      </w:r>
    </w:p>
    <w:p w:rsidR="00894A39" w:rsidRPr="0087746B" w:rsidDel="00A83FEA" w:rsidRDefault="00894A39" w:rsidP="00894A39">
      <w:r w:rsidRPr="0087746B" w:rsidDel="00A83FEA">
        <w:t xml:space="preserve">We are not satisfied that price-to-earnings ratios provide evidence of </w:t>
      </w:r>
      <w:r>
        <w:t xml:space="preserve">a stable return on equity or </w:t>
      </w:r>
      <w:r w:rsidRPr="0087746B" w:rsidDel="00A83FEA">
        <w:t xml:space="preserve">an inverse relationship between the risk free rate and the market risk premium in the current market. </w:t>
      </w:r>
    </w:p>
    <w:p w:rsidR="00894A39" w:rsidRDefault="00894A39" w:rsidP="00894A39">
      <w:r w:rsidRPr="0087746B" w:rsidDel="00A83FEA">
        <w:t>If investors reduce their required rate of return, and earnings expectations are unchanged, then market prices and the price-to-earnings ratio should increase.</w:t>
      </w:r>
      <w:r w:rsidRPr="0087746B" w:rsidDel="00A83FEA">
        <w:rPr>
          <w:rStyle w:val="FootnoteReference"/>
        </w:rPr>
        <w:footnoteReference w:id="533"/>
      </w:r>
      <w:r w:rsidRPr="0087746B" w:rsidDel="00A83FEA">
        <w:t xml:space="preserve"> Frontier</w:t>
      </w:r>
      <w:r>
        <w:t xml:space="preserve"> again</w:t>
      </w:r>
      <w:r w:rsidRPr="0087746B" w:rsidDel="00A83FEA">
        <w:t xml:space="preserve"> </w:t>
      </w:r>
      <w:r>
        <w:t>referenced</w:t>
      </w:r>
      <w:r w:rsidRPr="0087746B" w:rsidDel="00A83FEA">
        <w:t xml:space="preserve"> </w:t>
      </w:r>
      <w:r w:rsidDel="00A83FEA">
        <w:t xml:space="preserve">RBA </w:t>
      </w:r>
      <w:r>
        <w:t>data</w:t>
      </w:r>
      <w:r w:rsidDel="00A83FEA">
        <w:t xml:space="preserve"> and a McKinsey</w:t>
      </w:r>
      <w:r>
        <w:t xml:space="preserve"> report</w:t>
      </w:r>
      <w:r w:rsidRPr="0087746B" w:rsidDel="00A83FEA">
        <w:rPr>
          <w:rStyle w:val="FootnoteReference"/>
        </w:rPr>
        <w:footnoteReference w:id="534"/>
      </w:r>
      <w:r w:rsidRPr="0087746B" w:rsidDel="00A83FEA">
        <w:t xml:space="preserve"> </w:t>
      </w:r>
      <w:r w:rsidRPr="0087746B">
        <w:t xml:space="preserve"> </w:t>
      </w:r>
      <w:r>
        <w:t>to argue that</w:t>
      </w:r>
      <w:r w:rsidRPr="0087746B" w:rsidDel="00A83FEA">
        <w:t xml:space="preserve"> investors have not decreased their required rates of return</w:t>
      </w:r>
      <w:r>
        <w:t>,</w:t>
      </w:r>
      <w:r w:rsidRPr="0087746B" w:rsidDel="00A83FEA">
        <w:t xml:space="preserve"> despite a decline in the risk free rate</w:t>
      </w:r>
      <w:r>
        <w:t>,</w:t>
      </w:r>
      <w:r w:rsidRPr="009E5830">
        <w:t xml:space="preserve"> </w:t>
      </w:r>
      <w:r>
        <w:t>because e</w:t>
      </w:r>
      <w:r w:rsidRPr="0087746B">
        <w:t>arnings ratios have remained 'within their long-term averages'</w:t>
      </w:r>
      <w:r w:rsidRPr="0087746B" w:rsidDel="00A83FEA">
        <w:t>.</w:t>
      </w:r>
    </w:p>
    <w:p w:rsidR="00894A39" w:rsidRDefault="00894A39" w:rsidP="00894A39">
      <w:r>
        <w:t>However, the</w:t>
      </w:r>
      <w:r w:rsidRPr="0087746B" w:rsidDel="00A83FEA">
        <w:t xml:space="preserve"> M</w:t>
      </w:r>
      <w:r w:rsidDel="00A83FEA">
        <w:t xml:space="preserve">cKinsey </w:t>
      </w:r>
      <w:r>
        <w:t xml:space="preserve">report noted by Frontier </w:t>
      </w:r>
      <w:r w:rsidRPr="0087746B" w:rsidDel="00A83FEA">
        <w:t xml:space="preserve">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w:t>
      </w:r>
      <w:r>
        <w:t xml:space="preserve">Another market practitioner, </w:t>
      </w:r>
      <w:r w:rsidRPr="0087746B" w:rsidDel="00A83FEA">
        <w:t>JP Morgan</w:t>
      </w:r>
      <w:r>
        <w:t>, also</w:t>
      </w:r>
      <w:r w:rsidRPr="0087746B" w:rsidDel="00A83FEA">
        <w:t xml:space="preserve"> acknowledged that the price-to-earnings ratio can also reflect growth expectations.</w:t>
      </w:r>
      <w:r w:rsidRPr="0087746B" w:rsidDel="00A83FEA">
        <w:rPr>
          <w:rStyle w:val="FootnoteReference"/>
        </w:rPr>
        <w:footnoteReference w:id="535"/>
      </w:r>
      <w:r w:rsidRPr="0087746B" w:rsidDel="00A83FEA">
        <w:t xml:space="preserve">  </w:t>
      </w:r>
      <w:r>
        <w:t>Further, w</w:t>
      </w:r>
      <w:r w:rsidRPr="0087746B" w:rsidDel="00A83FEA">
        <w:t xml:space="preserve">e </w:t>
      </w:r>
      <w:r>
        <w:t>observe</w:t>
      </w:r>
      <w:r w:rsidRPr="0087746B" w:rsidDel="00A83FEA">
        <w:t xml:space="preserve"> that JP Morgan and McKinsey Inc</w:t>
      </w:r>
      <w:r w:rsidR="00965F4A">
        <w:t>.</w:t>
      </w:r>
      <w:r w:rsidRPr="0087746B" w:rsidDel="00A83FEA">
        <w:t xml:space="preserve"> drew different conclusions on the cost of equity due to using different data periods.</w:t>
      </w:r>
    </w:p>
    <w:p w:rsidR="00894A39" w:rsidRDefault="00894A39" w:rsidP="00894A39">
      <w:r>
        <w:t>In their most recent report, Parting</w:t>
      </w:r>
      <w:r w:rsidR="00965F4A">
        <w:t>t</w:t>
      </w:r>
      <w:r>
        <w:t>on and Satchell observed that Frontier makes 'continuing and unqualified reliance on earnings yield and PE based evidence'.</w:t>
      </w:r>
      <w:r>
        <w:rPr>
          <w:rStyle w:val="FootnoteReference"/>
        </w:rPr>
        <w:footnoteReference w:id="536"/>
      </w:r>
      <w:r>
        <w:t xml:space="preserve"> They note that:</w:t>
      </w:r>
      <w:r w:rsidRPr="00D15D6B">
        <w:rPr>
          <w:rStyle w:val="FootnoteReference"/>
        </w:rPr>
        <w:t xml:space="preserve"> </w:t>
      </w:r>
      <w:r>
        <w:rPr>
          <w:rStyle w:val="FootnoteReference"/>
        </w:rPr>
        <w:footnoteReference w:id="537"/>
      </w:r>
    </w:p>
    <w:p w:rsidR="00894A39" w:rsidRPr="00894A39" w:rsidDel="00A83FEA" w:rsidRDefault="00894A39" w:rsidP="00965F4A">
      <w:pPr>
        <w:pStyle w:val="AERquote"/>
      </w:pPr>
      <w:r>
        <w:t xml:space="preserve"> </w:t>
      </w:r>
      <w:r w:rsidRPr="00894A39">
        <w:t>'the behaviour of the required return on equity cannot be simply inferred from the behaviour of price earnings (PE) ratios, neither can it simply be inferred from the behaviour of the earnings yield (earnings price ratio)"</w:t>
      </w:r>
      <w:r w:rsidRPr="00894A39">
        <w:rPr>
          <w:rStyle w:val="FootnoteReference"/>
        </w:rPr>
        <w:footnoteReference w:id="538"/>
      </w:r>
      <w:r w:rsidRPr="00894A39">
        <w:t xml:space="preserve"> and " it is clear that inferences about the cost of equity based on plots of earnings yields or PE ratios are highly suspect."</w:t>
      </w:r>
    </w:p>
    <w:p w:rsidR="006A3314" w:rsidRPr="0087746B" w:rsidRDefault="006A3314" w:rsidP="006A3314">
      <w:pPr>
        <w:pStyle w:val="HeadingOrange"/>
      </w:pPr>
      <w:r w:rsidRPr="0087746B">
        <w:t>Independent valuation report</w:t>
      </w:r>
    </w:p>
    <w:p w:rsidR="00894A39" w:rsidRDefault="00AF37BA" w:rsidP="00894A39">
      <w:r>
        <w:rPr>
          <w:rStyle w:val="AERbody"/>
        </w:rPr>
        <w:t xml:space="preserve">AusNet Services </w:t>
      </w:r>
      <w:r w:rsidR="00894A39" w:rsidRPr="0087746B">
        <w:t>submitted that</w:t>
      </w:r>
      <w:r>
        <w:t xml:space="preserve"> we should account for</w:t>
      </w:r>
      <w:r w:rsidR="00894A39" w:rsidRPr="0087746B">
        <w:t xml:space="preserve"> independent valuation reports </w:t>
      </w:r>
      <w:r w:rsidR="00894A39">
        <w:t>uplift</w:t>
      </w:r>
      <w:r>
        <w:t>ing</w:t>
      </w:r>
      <w:r w:rsidR="00894A39">
        <w:t xml:space="preserve"> the return on equity (at the parameter level or overall return level) to counter a historically low risk free rate</w:t>
      </w:r>
      <w:r>
        <w:t xml:space="preserve"> (like some service providers have submitted previously)</w:t>
      </w:r>
      <w:r w:rsidR="00894A39" w:rsidRPr="0087746B">
        <w:t>.</w:t>
      </w:r>
      <w:r w:rsidR="00894A39" w:rsidRPr="0087746B">
        <w:rPr>
          <w:rStyle w:val="FootnoteReference"/>
        </w:rPr>
        <w:footnoteReference w:id="539"/>
      </w:r>
      <w:r w:rsidR="00894A39" w:rsidRPr="0087746B">
        <w:t xml:space="preserve"> </w:t>
      </w:r>
    </w:p>
    <w:p w:rsidR="00894A39" w:rsidRPr="0087746B" w:rsidRDefault="00894A39" w:rsidP="00894A39">
      <w:r>
        <w:t xml:space="preserve">For reasons outlined in table </w:t>
      </w:r>
      <w:r w:rsidR="003E0046">
        <w:t>3–8</w:t>
      </w:r>
      <w:r>
        <w:t>, we consider that u</w:t>
      </w:r>
      <w:r w:rsidRPr="0087746B">
        <w:t>plifts applied by brokers and valuers to initial estimates may be inconsistent with the ARORO.</w:t>
      </w:r>
      <w:r>
        <w:t xml:space="preserve"> Therefore, w</w:t>
      </w:r>
      <w:r w:rsidRPr="0087746B">
        <w:t>e have greater regard to estimates exclusive of these uplifts</w:t>
      </w:r>
      <w:r>
        <w:t>.</w:t>
      </w:r>
    </w:p>
    <w:p w:rsidR="00894A39" w:rsidRPr="00A42F74" w:rsidRDefault="00894A39" w:rsidP="00965F4A">
      <w:pPr>
        <w:pStyle w:val="HeadingBoldItalic"/>
        <w:rPr>
          <w:rStyle w:val="AERtextorange"/>
          <w:rFonts w:eastAsiaTheme="minorHAnsi" w:cstheme="minorBidi"/>
          <w:b w:val="0"/>
          <w:bCs w:val="0"/>
          <w:color w:val="51626F"/>
          <w:sz w:val="22"/>
        </w:rPr>
      </w:pPr>
      <w:r w:rsidRPr="00A42F74">
        <w:rPr>
          <w:rStyle w:val="AERtextorange"/>
          <w:color w:val="51626F"/>
        </w:rPr>
        <w:t>Realised returns</w:t>
      </w:r>
    </w:p>
    <w:p w:rsidR="0056513F" w:rsidRPr="0056513F" w:rsidRDefault="0056513F" w:rsidP="0056513F">
      <w:pPr>
        <w:rPr>
          <w:rStyle w:val="AERtextorange"/>
        </w:rPr>
      </w:pPr>
      <w:r>
        <w:rPr>
          <w:rStyle w:val="AERbody"/>
        </w:rPr>
        <w:t>Two members of</w:t>
      </w:r>
      <w:r w:rsidRPr="00965F4A">
        <w:rPr>
          <w:rStyle w:val="AERbody"/>
        </w:rPr>
        <w:t xml:space="preserve"> CCP</w:t>
      </w:r>
      <w:r>
        <w:rPr>
          <w:rStyle w:val="AERbody"/>
        </w:rPr>
        <w:t xml:space="preserve">4 </w:t>
      </w:r>
      <w:r w:rsidRPr="00965F4A">
        <w:rPr>
          <w:rStyle w:val="AERbody"/>
        </w:rPr>
        <w:t>submitted that we should have more regard to Powerlink's actual profitability when setting the return on capital instead of assigning no weight to this material.</w:t>
      </w:r>
      <w:r w:rsidRPr="00894A39">
        <w:rPr>
          <w:rStyle w:val="FootnoteReference"/>
        </w:rPr>
        <w:footnoteReference w:id="540"/>
      </w:r>
    </w:p>
    <w:p w:rsidR="0056513F" w:rsidRPr="00BA0AFD" w:rsidRDefault="0056513F" w:rsidP="0056513F">
      <w:r>
        <w:t>We note that this is not dissimilar to previous submissions from stakeholders which noted</w:t>
      </w:r>
      <w:r w:rsidRPr="00BA0AFD">
        <w:t xml:space="preserve"> that we should consider material on realised returns to equity from service providers' financial statements.</w:t>
      </w:r>
      <w:r w:rsidRPr="00BA0AFD">
        <w:rPr>
          <w:rStyle w:val="FootnoteReference"/>
        </w:rPr>
        <w:footnoteReference w:id="541"/>
      </w:r>
      <w:r w:rsidRPr="00BA0AFD">
        <w:t xml:space="preserve"> </w:t>
      </w:r>
    </w:p>
    <w:p w:rsidR="0056513F" w:rsidRDefault="0056513F" w:rsidP="0056513F">
      <w:r>
        <w:t>While realised returns from financial statements may potentially provide some information on the</w:t>
      </w:r>
      <w:r w:rsidRPr="00894A39">
        <w:t xml:space="preserve"> return on equity</w:t>
      </w:r>
      <w:r>
        <w:t>,</w:t>
      </w:r>
      <w:r w:rsidRPr="00894A39">
        <w:t xml:space="preserve"> </w:t>
      </w:r>
      <w:r>
        <w:t xml:space="preserve">we are unable to draw conclusions on Powerlink's return on equity (or WACC) from the submitted material. </w:t>
      </w:r>
      <w:r w:rsidRPr="001D4868">
        <w:t>Analysis of profitability outcomes for ordinary unregulated companies is complex. Undertaking equivalent analysis for regulated networks faces a number of additional hurdles that increase the complexity of the task.</w:t>
      </w:r>
      <w:r>
        <w:rPr>
          <w:rStyle w:val="FootnoteReference"/>
        </w:rPr>
        <w:footnoteReference w:id="542"/>
      </w:r>
      <w:r w:rsidRPr="001D4868">
        <w:t xml:space="preserve"> </w:t>
      </w:r>
      <w:r>
        <w:t>W</w:t>
      </w:r>
      <w:r w:rsidRPr="001D4868">
        <w:t>e consider the</w:t>
      </w:r>
      <w:r>
        <w:t>se</w:t>
      </w:r>
      <w:r w:rsidRPr="001D4868">
        <w:t xml:space="preserve"> submission</w:t>
      </w:r>
      <w:r>
        <w:t>s do</w:t>
      </w:r>
      <w:r w:rsidRPr="001D4868">
        <w:t xml:space="preserve"> not overcome a number of conceptual and practical hurdles necessary to reach robust conclusions about Powerlink’s level of observed profitability</w:t>
      </w:r>
      <w:r>
        <w:t xml:space="preserve"> (or realised returns).</w:t>
      </w:r>
      <w:r w:rsidRPr="001D4868">
        <w:t xml:space="preserve"> We addressed this matter in mor</w:t>
      </w:r>
      <w:r>
        <w:t>e detail in our draft decision for Powerlink.</w:t>
      </w:r>
      <w:r>
        <w:rPr>
          <w:rStyle w:val="FootnoteReference"/>
        </w:rPr>
        <w:footnoteReference w:id="543"/>
      </w:r>
      <w:r w:rsidRPr="001D4868">
        <w:t xml:space="preserve"> </w:t>
      </w:r>
    </w:p>
    <w:p w:rsidR="00E13934" w:rsidRDefault="00E13934" w:rsidP="00E13934">
      <w:pPr>
        <w:pStyle w:val="HeadingBoldBlue"/>
        <w:rPr>
          <w:rStyle w:val="AERtextorange"/>
        </w:rPr>
      </w:pPr>
      <w:r>
        <w:rPr>
          <w:rStyle w:val="AERtextorange"/>
        </w:rPr>
        <w:t>Step six: distil point estimate</w:t>
      </w:r>
    </w:p>
    <w:p w:rsidR="00E13934" w:rsidRPr="00E5005D" w:rsidRDefault="00E13934" w:rsidP="00CC7A1C">
      <w:pPr>
        <w:numPr>
          <w:ilvl w:val="0"/>
          <w:numId w:val="24"/>
        </w:numPr>
      </w:pPr>
      <w:r w:rsidRPr="00E5005D">
        <w:t>We are satisfied that an expected return on equity derived from the S</w:t>
      </w:r>
      <w:r>
        <w:t>harpe-</w:t>
      </w:r>
      <w:r w:rsidRPr="00E5005D">
        <w:t>L</w:t>
      </w:r>
      <w:r>
        <w:t xml:space="preserve">intner </w:t>
      </w:r>
      <w:r w:rsidRPr="00E5005D">
        <w:t xml:space="preserve">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A933BB" w:rsidRDefault="00E13934" w:rsidP="00CC7A1C">
      <w:pPr>
        <w:numPr>
          <w:ilvl w:val="0"/>
          <w:numId w:val="24"/>
        </w:numPr>
      </w:pPr>
      <w:r w:rsidRPr="00E5005D">
        <w:t xml:space="preserve">Following our estimation approach and having considered and given the relevant material due weight on their merits, we are satisfied that an expected return on equity estimate of </w:t>
      </w:r>
      <w:r>
        <w:t>7</w:t>
      </w:r>
      <w:r w:rsidRPr="00E5005D">
        <w:t>.</w:t>
      </w:r>
      <w:r w:rsidR="00E92CFA">
        <w:t>4</w:t>
      </w:r>
      <w:r w:rsidRPr="00E5005D">
        <w:t xml:space="preserve"> per cent derived from our implementation of the S</w:t>
      </w:r>
      <w:r>
        <w:t>harpe-</w:t>
      </w:r>
      <w:r w:rsidRPr="00E5005D">
        <w:t>L</w:t>
      </w:r>
      <w:r>
        <w:t xml:space="preserve">intner </w:t>
      </w:r>
      <w:r w:rsidRPr="00E5005D">
        <w:t xml:space="preserve">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3E0A44" w:rsidRDefault="003E0A44">
      <w:pPr>
        <w:spacing w:line="240" w:lineRule="auto"/>
        <w:rPr>
          <w:rFonts w:eastAsiaTheme="majorEastAsia" w:cstheme="majorBidi"/>
          <w:b/>
          <w:bCs/>
          <w:color w:val="70635A" w:themeColor="text2"/>
          <w:sz w:val="28"/>
        </w:rPr>
      </w:pPr>
      <w:bookmarkStart w:id="73" w:name="_Ref451336564"/>
      <w:bookmarkStart w:id="74" w:name="_Ref451345996"/>
      <w:bookmarkStart w:id="75" w:name="_Ref451351247"/>
      <w:bookmarkStart w:id="76" w:name="_Toc451938957"/>
      <w:bookmarkStart w:id="77" w:name="_Toc456686705"/>
      <w:r>
        <w:br w:type="page"/>
      </w:r>
    </w:p>
    <w:p w:rsidR="00A933BB" w:rsidRDefault="00A933BB" w:rsidP="00A933BB">
      <w:pPr>
        <w:pStyle w:val="Heading3"/>
      </w:pPr>
      <w:bookmarkStart w:id="78" w:name="_Ref478718271"/>
      <w:r>
        <w:t>Return on debt</w:t>
      </w:r>
      <w:bookmarkEnd w:id="73"/>
      <w:bookmarkEnd w:id="74"/>
      <w:bookmarkEnd w:id="75"/>
      <w:bookmarkEnd w:id="76"/>
      <w:bookmarkEnd w:id="77"/>
      <w:bookmarkEnd w:id="78"/>
      <w:r>
        <w:t xml:space="preserve"> </w:t>
      </w:r>
    </w:p>
    <w:p w:rsidR="003E0A44" w:rsidRPr="0039163B" w:rsidRDefault="003E0A44" w:rsidP="003E0A44">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3E0A44" w:rsidRDefault="003E0A44" w:rsidP="003E0A44">
      <w:r w:rsidRPr="0039163B">
        <w:t xml:space="preserve">Our decision is to adopt a return on debt </w:t>
      </w:r>
      <w:r>
        <w:t xml:space="preserve">of </w:t>
      </w:r>
      <w:r w:rsidR="007C695E">
        <w:t xml:space="preserve">5.10 </w:t>
      </w:r>
      <w:r w:rsidRPr="0039163B">
        <w:t xml:space="preserve">per cent, rather than the </w:t>
      </w:r>
      <w:r w:rsidR="007C695E">
        <w:t xml:space="preserve">5.20 </w:t>
      </w:r>
      <w:r w:rsidRPr="0039163B">
        <w:t>per cent proposed by</w:t>
      </w:r>
      <w:r w:rsidR="007C695E">
        <w:t>TasNetworks</w:t>
      </w:r>
      <w:r>
        <w:t>.</w:t>
      </w:r>
      <w:r>
        <w:rPr>
          <w:rStyle w:val="FootnoteReference"/>
        </w:rPr>
        <w:footnoteReference w:id="544"/>
      </w:r>
      <w:r w:rsidR="00AD6655">
        <w:t xml:space="preserve"> We note the differences in these numbers reflect different averaging periods used for the estimation of the rates in the revenue proposals and the AER's final decision. We also note, in line with the Guideline approach the AER has followed, TasNetworks proposed updating of the return on debt for the final agreed averaging period.</w:t>
      </w:r>
    </w:p>
    <w:p w:rsidR="003E0A44" w:rsidRDefault="003E0A44" w:rsidP="003E0A44">
      <w:r w:rsidRPr="0039163B">
        <w:t>This decision sets out how we arrived at the rate for</w:t>
      </w:r>
      <w:r w:rsidR="007C695E">
        <w:t xml:space="preserve"> TasNetworks</w:t>
      </w:r>
      <w:r w:rsidRPr="0039163B">
        <w:t>, and how we plan to update the return on debt in future regulatory years.</w:t>
      </w:r>
      <w:r>
        <w:t xml:space="preserve"> That is, we set out:</w:t>
      </w:r>
    </w:p>
    <w:p w:rsidR="003E0A44" w:rsidRPr="00AD2616" w:rsidRDefault="003E0A44" w:rsidP="003E0A44">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t>
      </w:r>
    </w:p>
    <w:p w:rsidR="003E0A44" w:rsidRPr="00D020D4" w:rsidRDefault="003E0A44" w:rsidP="003E0A44">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286CD1" w:rsidRDefault="00286CD1" w:rsidP="006E5878">
      <w:r>
        <w:t>We note the sections below r</w:t>
      </w:r>
      <w:r w:rsidR="00D13C51">
        <w:t>espond</w:t>
      </w:r>
      <w:r>
        <w:t xml:space="preserve"> extensively to material submitted by AusNet and other service providers (in earlier decisions) who have proposed departures from our current approach to estimating the cost of debt.</w:t>
      </w:r>
      <w:r w:rsidR="00D13C51">
        <w:t xml:space="preserve"> We consider</w:t>
      </w:r>
      <w:r>
        <w:t xml:space="preserve"> it is </w:t>
      </w:r>
      <w:r w:rsidR="00D13C51">
        <w:t>necessary to</w:t>
      </w:r>
      <w:r>
        <w:t xml:space="preserve"> </w:t>
      </w:r>
      <w:r w:rsidR="00D13C51">
        <w:t>include</w:t>
      </w:r>
      <w:r>
        <w:t xml:space="preserve"> this material given we have considered it in reaching our final decision for TasNetworks, despite the fact</w:t>
      </w:r>
      <w:r w:rsidR="00D13C51">
        <w:t xml:space="preserve"> that</w:t>
      </w:r>
      <w:r>
        <w:t xml:space="preserve"> TasNetworks accepted our approach to estimating the return on debt.  </w:t>
      </w:r>
      <w:r w:rsidRPr="00907E8E">
        <w:t xml:space="preserve">  </w:t>
      </w:r>
    </w:p>
    <w:p w:rsidR="00A933BB" w:rsidRDefault="00A933BB" w:rsidP="00A933BB">
      <w:pPr>
        <w:pStyle w:val="HeadingBoldBlue"/>
      </w:pPr>
      <w:r>
        <w:t>Return on debt approach</w:t>
      </w:r>
    </w:p>
    <w:p w:rsidR="00855149" w:rsidRDefault="00907E8E" w:rsidP="00907E8E">
      <w:r w:rsidRPr="00907E8E">
        <w:t>Our final decision is to transition the entire return on debt</w:t>
      </w:r>
      <w:r w:rsidRPr="00907E8E">
        <w:rPr>
          <w:rStyle w:val="FootnoteReference"/>
        </w:rPr>
        <w:footnoteReference w:id="545"/>
      </w:r>
      <w:r w:rsidRPr="00907E8E">
        <w:t xml:space="preserve"> from an on-the-day approach in the first regulatory year to a trailing average by updating 10 per cent of the debt portfolio over 10 years (a full transition). This is consistent with</w:t>
      </w:r>
      <w:r w:rsidR="007C695E">
        <w:t xml:space="preserve"> TasNetworks' regulatory proposal</w:t>
      </w:r>
      <w:r w:rsidR="00855149">
        <w:t>,</w:t>
      </w:r>
      <w:r w:rsidRPr="00907E8E">
        <w:t xml:space="preserve"> AusNet Services’ initial proposal, the Guideline and our draft decision.</w:t>
      </w:r>
      <w:r w:rsidRPr="00907E8E">
        <w:rPr>
          <w:rStyle w:val="FootnoteReference"/>
        </w:rPr>
        <w:footnoteReference w:id="546"/>
      </w:r>
      <w:r w:rsidRPr="00907E8E">
        <w:t xml:space="preserve"> </w:t>
      </w:r>
      <w:r w:rsidR="007C695E">
        <w:t xml:space="preserve">In TasNetworks' </w:t>
      </w:r>
      <w:r w:rsidR="000B3458">
        <w:t xml:space="preserve">revised </w:t>
      </w:r>
      <w:r w:rsidR="007C695E">
        <w:t>regulatory proposal, TasNetworks continued to apply the AER's Guideline in estimating the cost of debt.</w:t>
      </w:r>
      <w:r w:rsidR="000B3458">
        <w:rPr>
          <w:rStyle w:val="FootnoteReference"/>
        </w:rPr>
        <w:footnoteReference w:id="547"/>
      </w:r>
      <w:r w:rsidR="007C695E">
        <w:t xml:space="preserve"> </w:t>
      </w:r>
    </w:p>
    <w:p w:rsidR="00907E8E" w:rsidRPr="00907E8E" w:rsidRDefault="00907E8E" w:rsidP="00907E8E">
      <w:r w:rsidRPr="00907E8E">
        <w:t>We have</w:t>
      </w:r>
      <w:r w:rsidR="007C695E">
        <w:t xml:space="preserve"> also</w:t>
      </w:r>
      <w:r w:rsidRPr="00907E8E">
        <w:t xml:space="preserve"> considered CEG’s report on the AER’s current interpretation of the ARORO</w:t>
      </w:r>
      <w:r w:rsidRPr="00907E8E">
        <w:rPr>
          <w:rStyle w:val="FootnoteReference"/>
        </w:rPr>
        <w:footnoteReference w:id="548"/>
      </w:r>
      <w:r w:rsidR="007C695E">
        <w:t xml:space="preserve"> submitted by AusNet with its revised proposal</w:t>
      </w:r>
      <w:r w:rsidR="00506B1F">
        <w:t xml:space="preserve"> in making the final decision for TasNetworks</w:t>
      </w:r>
      <w:r w:rsidRPr="00907E8E">
        <w:t xml:space="preserve">. We have decided to maintain our draft decision position of adopting the full transition approach after the consideration of this report. </w:t>
      </w:r>
    </w:p>
    <w:p w:rsidR="00907E8E" w:rsidRPr="00907E8E" w:rsidRDefault="00907E8E" w:rsidP="00907E8E">
      <w:pPr>
        <w:rPr>
          <w:rStyle w:val="AERbody"/>
        </w:rPr>
      </w:pPr>
      <w:r w:rsidRPr="00907E8E">
        <w:rPr>
          <w:rStyle w:val="AERbody"/>
        </w:rPr>
        <w:t>In the absence of a transition that substantially eliminates any change in the present value of a benchmark efficient entity as a result of the change in methodology,</w:t>
      </w:r>
      <w:r w:rsidRPr="00907E8E">
        <w:rPr>
          <w:rStyle w:val="FootnoteReference"/>
        </w:rPr>
        <w:footnoteReference w:id="549"/>
      </w:r>
      <w:r w:rsidRPr="00907E8E">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regulatory control period because it resets the allowed return to the current efficient market rates.</w:t>
      </w:r>
    </w:p>
    <w:p w:rsidR="00DF4722" w:rsidRDefault="008D5A7E" w:rsidP="00907E8E">
      <w:r w:rsidRPr="008D5A7E">
        <w:rPr>
          <w:rStyle w:val="AERbody"/>
        </w:rPr>
        <w:t xml:space="preserve">Along with this final decision for </w:t>
      </w:r>
      <w:r w:rsidR="00286CD1">
        <w:rPr>
          <w:rStyle w:val="AERbody"/>
        </w:rPr>
        <w:t>TasNetworks, we are making two</w:t>
      </w:r>
      <w:r w:rsidRPr="008D5A7E">
        <w:rPr>
          <w:rStyle w:val="AERbody"/>
        </w:rPr>
        <w:t xml:space="preserve"> other constituent decisions for </w:t>
      </w:r>
      <w:r w:rsidR="00073541">
        <w:rPr>
          <w:rStyle w:val="AERbody"/>
        </w:rPr>
        <w:t>two</w:t>
      </w:r>
      <w:r w:rsidRPr="008D5A7E">
        <w:rPr>
          <w:rStyle w:val="AERbody"/>
        </w:rPr>
        <w:t xml:space="preserve"> other service providers. </w:t>
      </w:r>
      <w:r>
        <w:rPr>
          <w:rStyle w:val="FootnoteReference"/>
        </w:rPr>
        <w:footnoteReference w:id="550"/>
      </w:r>
      <w:r w:rsidRPr="008D5A7E">
        <w:rPr>
          <w:rStyle w:val="AERbody"/>
        </w:rPr>
        <w:t xml:space="preserve"> We have considered these proposals together where they put substantially the same views and reasoning forward.  While TasNetworks and Powerlink proposed to adopt the A</w:t>
      </w:r>
      <w:r w:rsidR="00217E4A">
        <w:rPr>
          <w:rStyle w:val="AERbody"/>
        </w:rPr>
        <w:t>ER's 'trailing average approach'</w:t>
      </w:r>
      <w:r w:rsidRPr="008D5A7E">
        <w:rPr>
          <w:rStyle w:val="AERbody"/>
        </w:rPr>
        <w:t xml:space="preserve"> set out in the Rate of Return Guidelines to calculate the allowed return on debt </w:t>
      </w:r>
      <w:r>
        <w:rPr>
          <w:rStyle w:val="FootnoteReference"/>
        </w:rPr>
        <w:footnoteReference w:id="551"/>
      </w:r>
      <w:r w:rsidRPr="008D5A7E">
        <w:rPr>
          <w:rStyle w:val="AERbody"/>
        </w:rPr>
        <w:t xml:space="preserve">, </w:t>
      </w:r>
      <w:r w:rsidR="00907E8E" w:rsidRPr="00907E8E">
        <w:rPr>
          <w:rStyle w:val="AERbody"/>
        </w:rPr>
        <w:t>AusNet Services</w:t>
      </w:r>
      <w:r>
        <w:rPr>
          <w:rStyle w:val="AERbody"/>
        </w:rPr>
        <w:t xml:space="preserve"> in its revised proposal</w:t>
      </w:r>
      <w:r w:rsidR="00907E8E" w:rsidRPr="00907E8E">
        <w:rPr>
          <w:rStyle w:val="AERbody"/>
        </w:rPr>
        <w:t xml:space="preserve"> </w:t>
      </w:r>
      <w:r>
        <w:rPr>
          <w:rStyle w:val="AERbody"/>
        </w:rPr>
        <w:t xml:space="preserve"> </w:t>
      </w:r>
      <w:r w:rsidR="00907E8E" w:rsidRPr="00907E8E">
        <w:rPr>
          <w:rStyle w:val="AERbody"/>
        </w:rPr>
        <w:t>proposed changing its preferred approach to dealing with the transition to a trailing average.</w:t>
      </w:r>
      <w:r w:rsidR="002C6F6E">
        <w:rPr>
          <w:rStyle w:val="FootnoteReference"/>
        </w:rPr>
        <w:footnoteReference w:id="552"/>
      </w:r>
      <w:r w:rsidR="00907E8E" w:rsidRPr="00907E8E">
        <w:rPr>
          <w:rStyle w:val="AERbody"/>
        </w:rPr>
        <w:t xml:space="preserve"> </w:t>
      </w:r>
      <w:r w:rsidRPr="008D5A7E">
        <w:rPr>
          <w:rStyle w:val="AERbody"/>
        </w:rPr>
        <w:t>We have considered its revised proposal and a CEG's report submitted by AusNet</w:t>
      </w:r>
      <w:r w:rsidR="00073541">
        <w:rPr>
          <w:rStyle w:val="AERbody"/>
        </w:rPr>
        <w:t xml:space="preserve"> Services</w:t>
      </w:r>
      <w:r w:rsidRPr="008D5A7E">
        <w:rPr>
          <w:rStyle w:val="AERbody"/>
        </w:rPr>
        <w:t>.</w:t>
      </w:r>
      <w:r w:rsidR="002C6F6E">
        <w:rPr>
          <w:rStyle w:val="FootnoteReference"/>
        </w:rPr>
        <w:footnoteReference w:id="553"/>
      </w:r>
      <w:r w:rsidRPr="008D5A7E">
        <w:rPr>
          <w:rStyle w:val="AERbody"/>
        </w:rPr>
        <w:t xml:space="preserve"> We remain convinced that a full transition is required if we use the trailing average approach. AusNet</w:t>
      </w:r>
      <w:r w:rsidR="00907E8E" w:rsidRPr="00907E8E">
        <w:rPr>
          <w:rStyle w:val="AERbody"/>
        </w:rPr>
        <w:t xml:space="preserve"> had initially proposed applying the Guideline and this was accepted by the AER in its draft decision. In these circumstances, it is not clear that the NER permits a service provider to propose a new approach in its revised proposal.</w:t>
      </w:r>
      <w:r w:rsidR="00907E8E" w:rsidRPr="00907E8E">
        <w:rPr>
          <w:rStyle w:val="FootnoteReference"/>
        </w:rPr>
        <w:footnoteReference w:id="554"/>
      </w:r>
      <w:r w:rsidR="00907E8E" w:rsidRPr="00907E8E">
        <w:rPr>
          <w:rStyle w:val="AERbody"/>
        </w:rPr>
        <w:t xml:space="preserve">  Nevertheless,</w:t>
      </w:r>
      <w:r w:rsidR="0016738D">
        <w:rPr>
          <w:rStyle w:val="AERbody"/>
        </w:rPr>
        <w:t xml:space="preserve"> </w:t>
      </w:r>
      <w:r w:rsidR="00907E8E" w:rsidRPr="00907E8E">
        <w:rPr>
          <w:rStyle w:val="AERbody"/>
        </w:rPr>
        <w:t xml:space="preserve">in a letter to the AER dated 9 December 2016, </w:t>
      </w:r>
      <w:r w:rsidR="00907E8E" w:rsidRPr="00907E8E">
        <w:t xml:space="preserve">AusNet Services wrote to confirm it no longer maintained the position outlined in its revised proposal. Instead, it confirmed that its proposal was, as in its initial proposal, for a transition </w:t>
      </w:r>
      <w:r w:rsidR="0016738D">
        <w:t>consistent with the AER’s Gui</w:t>
      </w:r>
      <w:r w:rsidR="00907E8E" w:rsidRPr="00907E8E">
        <w:t xml:space="preserve">deline.  </w:t>
      </w:r>
    </w:p>
    <w:p w:rsidR="00907E8E" w:rsidRPr="00907E8E" w:rsidRDefault="00907E8E" w:rsidP="00907E8E">
      <w:r w:rsidRPr="00907E8E">
        <w:t>AusNet Services withdrew the “no transition” aspect of their revised proposal.</w:t>
      </w:r>
      <w:r w:rsidRPr="00907E8E">
        <w:rPr>
          <w:rStyle w:val="FootnoteReference"/>
        </w:rPr>
        <w:footnoteReference w:id="555"/>
      </w:r>
      <w:r w:rsidRPr="00907E8E">
        <w:t xml:space="preserve"> It subsequently provided a further letter to the AER on 20 December 2016 confirming this position and adopting the AER’s full transition approach in calculating its return on debt in AusNet Transmission 2017-22 TRR Revised Proposal PTRM.</w:t>
      </w:r>
      <w:r w:rsidRPr="00907E8E">
        <w:rPr>
          <w:rStyle w:val="FootnoteReference"/>
        </w:rPr>
        <w:footnoteReference w:id="556"/>
      </w:r>
      <w:r w:rsidRPr="00907E8E">
        <w:t xml:space="preserve"> AusNet Services stated in the letter to the AER that regardless of the legal merits of the immediate transition approach, it had become increasingly uncomfortable with this approach because of:</w:t>
      </w:r>
      <w:r w:rsidRPr="00907E8E">
        <w:rPr>
          <w:rStyle w:val="FootnoteReference"/>
        </w:rPr>
        <w:footnoteReference w:id="557"/>
      </w:r>
    </w:p>
    <w:p w:rsidR="00907E8E" w:rsidRPr="00907E8E" w:rsidRDefault="00907E8E" w:rsidP="00907E8E">
      <w:pPr>
        <w:pStyle w:val="ListParagraph"/>
      </w:pPr>
      <w:r w:rsidRPr="00907E8E">
        <w:t xml:space="preserve">The large impact on customer prices if it was implemented; </w:t>
      </w:r>
    </w:p>
    <w:p w:rsidR="00907E8E" w:rsidRPr="00907E8E" w:rsidRDefault="00907E8E" w:rsidP="00907E8E">
      <w:pPr>
        <w:pStyle w:val="ListParagraph"/>
      </w:pPr>
      <w:r w:rsidRPr="00907E8E">
        <w:t>The fact it does not reflect the actual historic financing practices of the businesses, (noting it does reflect other networks’ practices);and</w:t>
      </w:r>
    </w:p>
    <w:p w:rsidR="00907E8E" w:rsidRPr="00907E8E" w:rsidRDefault="00907E8E" w:rsidP="00907E8E">
      <w:pPr>
        <w:pStyle w:val="ListParagraph"/>
      </w:pPr>
      <w:r w:rsidRPr="00907E8E">
        <w:t xml:space="preserve">The long period of uncertainty for all parties as these matters are resolved through multiple legal forums and remittal back to the AER. </w:t>
      </w:r>
    </w:p>
    <w:p w:rsidR="00DF4722" w:rsidRDefault="00C6448C" w:rsidP="00907E8E">
      <w:r w:rsidRPr="00C6448C">
        <w:t>Given we remain of the view a full transition is required in moving to a trailing average,</w:t>
      </w:r>
      <w:r w:rsidR="00DF4722">
        <w:t xml:space="preserve"> we have calculated the proposed return on debt for the first regulatory year (% nominal) as 5.10%.</w:t>
      </w:r>
    </w:p>
    <w:p w:rsidR="00907E8E" w:rsidRPr="00907E8E" w:rsidRDefault="00907E8E" w:rsidP="00907E8E">
      <w:r w:rsidRPr="00907E8E">
        <w:t>In this section, we:</w:t>
      </w:r>
    </w:p>
    <w:p w:rsidR="00907E8E" w:rsidRPr="00907E8E" w:rsidRDefault="00907E8E" w:rsidP="00907E8E">
      <w:pPr>
        <w:pStyle w:val="AERbulletlistfirststyle"/>
      </w:pPr>
      <w:r w:rsidRPr="00907E8E">
        <w:t>set out our overall return on debt approach (that is, the transition to a trailing average)</w:t>
      </w:r>
    </w:p>
    <w:p w:rsidR="00907E8E" w:rsidRPr="00907E8E" w:rsidRDefault="00907E8E" w:rsidP="00907E8E">
      <w:pPr>
        <w:pStyle w:val="AERbulletlistfirststyle"/>
      </w:pPr>
      <w:r w:rsidRPr="00907E8E">
        <w:t xml:space="preserve">set out </w:t>
      </w:r>
      <w:r w:rsidR="00D63923">
        <w:t xml:space="preserve">TasNetworks' regulatory proposal and </w:t>
      </w:r>
      <w:r w:rsidRPr="00907E8E">
        <w:t>AusNet Services’ proposal and revised proposal on the overall return on debt approach and transition</w:t>
      </w:r>
    </w:p>
    <w:p w:rsidR="00907E8E" w:rsidRPr="00907E8E" w:rsidRDefault="00907E8E" w:rsidP="00907E8E">
      <w:pPr>
        <w:pStyle w:val="AERbulletlistfirststyle"/>
      </w:pPr>
      <w:r w:rsidRPr="00907E8E">
        <w:t>explain what approaches to estimating the return on debt can contribute to the ARORO</w:t>
      </w:r>
      <w:r w:rsidRPr="00907E8E" w:rsidDel="00472C05">
        <w:t xml:space="preserve"> </w:t>
      </w:r>
      <w:r w:rsidRPr="00907E8E">
        <w:t>and why (which includes our approach in this final decision)</w:t>
      </w:r>
    </w:p>
    <w:p w:rsidR="00907E8E" w:rsidRPr="00907E8E" w:rsidRDefault="00907E8E" w:rsidP="00907E8E">
      <w:pPr>
        <w:pStyle w:val="AERbulletlistfirststyle"/>
      </w:pPr>
      <w:r w:rsidRPr="00907E8E">
        <w:t xml:space="preserve">explain why </w:t>
      </w:r>
      <w:r w:rsidR="00DF4722">
        <w:t xml:space="preserve">other approaches that have been suggested </w:t>
      </w:r>
      <w:r w:rsidRPr="00907E8E">
        <w:t xml:space="preserve">would </w:t>
      </w:r>
      <w:r w:rsidR="00DF4722">
        <w:t xml:space="preserve">not </w:t>
      </w:r>
      <w:r w:rsidRPr="00907E8E">
        <w:t>meet the requirements of the ARORO and NEO/NGO</w:t>
      </w:r>
    </w:p>
    <w:p w:rsidR="00907E8E" w:rsidRPr="00907E8E" w:rsidRDefault="00907E8E" w:rsidP="00907E8E">
      <w:pPr>
        <w:pStyle w:val="AERbulletlistfirststyle"/>
      </w:pPr>
      <w:r w:rsidRPr="00907E8E">
        <w:t>set out general problems with using historical data to estimate the allowed return on debt.</w:t>
      </w:r>
    </w:p>
    <w:p w:rsidR="00907E8E" w:rsidRPr="00907E8E" w:rsidRDefault="00907E8E" w:rsidP="00907E8E">
      <w:pPr>
        <w:pStyle w:val="HeadingBoldItalic"/>
      </w:pPr>
      <w:r w:rsidRPr="00907E8E">
        <w:t>Our approach to estimating the return on debt</w:t>
      </w:r>
    </w:p>
    <w:p w:rsidR="00907E8E" w:rsidRPr="00907E8E" w:rsidRDefault="00907E8E" w:rsidP="00907E8E">
      <w:r w:rsidRPr="00907E8E">
        <w:t>Our final decision is to start with an on-the-day approach for the first regulatory year and gradually transition into a trailing average approach over 10 years (a full transition).</w:t>
      </w:r>
      <w:r w:rsidRPr="00907E8E">
        <w:rPr>
          <w:rStyle w:val="FootnoteReference"/>
        </w:rPr>
        <w:footnoteReference w:id="558"/>
      </w:r>
      <w:r w:rsidRPr="00907E8E">
        <w:t xml:space="preserve"> Applied to</w:t>
      </w:r>
      <w:r w:rsidR="00E01319">
        <w:t xml:space="preserve"> </w:t>
      </w:r>
      <w:r w:rsidR="00C96D7A">
        <w:t>TasNetworks</w:t>
      </w:r>
      <w:r w:rsidRPr="00907E8E">
        <w:t>, this means our return on debt approach is to:</w:t>
      </w:r>
    </w:p>
    <w:p w:rsidR="00907E8E" w:rsidRPr="00907E8E" w:rsidRDefault="00907E8E" w:rsidP="00907E8E">
      <w:pPr>
        <w:pStyle w:val="AERbulletlistfirststyle"/>
      </w:pPr>
      <w:r w:rsidRPr="00907E8E">
        <w:t>estimate the return on debt using an on-the-day approach (that is, based on prevailing interest rates near the commencement of the regulatory control period) in the first regulatory year (201</w:t>
      </w:r>
      <w:r w:rsidR="000E16EB">
        <w:t>7</w:t>
      </w:r>
      <w:r w:rsidRPr="00907E8E">
        <w:t>) of the 201</w:t>
      </w:r>
      <w:r w:rsidR="000E16EB">
        <w:t>7</w:t>
      </w:r>
      <w:r w:rsidRPr="00907E8E">
        <w:t>–</w:t>
      </w:r>
      <w:r w:rsidR="00C96D7A">
        <w:t>19</w:t>
      </w:r>
      <w:r w:rsidRPr="00907E8E">
        <w:t xml:space="preserve"> regulatory control period, and</w:t>
      </w:r>
    </w:p>
    <w:p w:rsidR="00907E8E" w:rsidRPr="00907E8E" w:rsidRDefault="00907E8E" w:rsidP="00907E8E">
      <w:pPr>
        <w:pStyle w:val="AERbulletlistfirststyle"/>
      </w:pPr>
      <w:r w:rsidRPr="00907E8E">
        <w:t>gradually transition this approach into a trailing average (that is, a moving historical average) over 10 years by annually updating 10 per cent of the return on debt to reflect prevailing market conditions in that year.</w:t>
      </w:r>
      <w:r w:rsidRPr="00907E8E">
        <w:rPr>
          <w:rStyle w:val="AERsuperscript"/>
        </w:rPr>
        <w:footnoteReference w:id="559"/>
      </w:r>
    </w:p>
    <w:p w:rsidR="00907E8E" w:rsidRPr="00907E8E" w:rsidRDefault="00907E8E" w:rsidP="00907E8E">
      <w:r w:rsidRPr="00907E8E">
        <w:t xml:space="preserve">In practical terms, our return on debt approach means that an on-the-day approach around the start of the </w:t>
      </w:r>
      <w:r w:rsidR="000E16EB" w:rsidRPr="00907E8E">
        <w:t>201</w:t>
      </w:r>
      <w:r w:rsidR="000E16EB">
        <w:t>7</w:t>
      </w:r>
      <w:r w:rsidRPr="00907E8E">
        <w:t>–</w:t>
      </w:r>
      <w:r w:rsidR="00C96D7A">
        <w:t>19</w:t>
      </w:r>
      <w:r w:rsidR="00C96D7A" w:rsidRPr="00907E8E">
        <w:t xml:space="preserve"> </w:t>
      </w:r>
      <w:r w:rsidRPr="00907E8E">
        <w:t>regulatory control period is applied to:</w:t>
      </w:r>
    </w:p>
    <w:p w:rsidR="00907E8E" w:rsidRPr="00907E8E" w:rsidRDefault="00907E8E" w:rsidP="00907E8E">
      <w:pPr>
        <w:pStyle w:val="AERbulletlistfirststyle"/>
      </w:pPr>
      <w:r w:rsidRPr="00907E8E">
        <w:t>100 per cent of the debt portfolio in the calculation of the allowed return on debt for the 201</w:t>
      </w:r>
      <w:r w:rsidR="000E16EB">
        <w:t>7</w:t>
      </w:r>
      <w:r w:rsidRPr="00907E8E">
        <w:t xml:space="preserve"> regulatory year</w:t>
      </w:r>
    </w:p>
    <w:p w:rsidR="00907E8E" w:rsidRPr="00907E8E" w:rsidRDefault="00907E8E" w:rsidP="00907E8E">
      <w:pPr>
        <w:pStyle w:val="AERbulletlistfirststyle"/>
      </w:pPr>
      <w:r w:rsidRPr="00907E8E">
        <w:t>90 per cent of the debt portfolio in the calculation of the allowed return on debt for the 201</w:t>
      </w:r>
      <w:r w:rsidR="000E16EB">
        <w:t>8</w:t>
      </w:r>
      <w:r w:rsidRPr="00907E8E">
        <w:t xml:space="preserve"> regulatory year, with the remaining 10 per cent updated to reflect prevailing interest rates during </w:t>
      </w:r>
      <w:r w:rsidR="00C96D7A">
        <w:t>TasNetworks'</w:t>
      </w:r>
      <w:r w:rsidRPr="00907E8E">
        <w:t xml:space="preserve"> averaging period for 201</w:t>
      </w:r>
      <w:r w:rsidR="000E16EB">
        <w:t>8</w:t>
      </w:r>
      <w:r w:rsidRPr="00907E8E">
        <w:t>.  Consistent with the rules requirements, this annual update (and all future annual updates) will be affected through the automatic application of the return on debt methodology we set out in this decision.</w:t>
      </w:r>
      <w:r w:rsidRPr="00907E8E">
        <w:rPr>
          <w:rStyle w:val="AERsuperscript"/>
        </w:rPr>
        <w:footnoteReference w:id="560"/>
      </w:r>
    </w:p>
    <w:p w:rsidR="00907E8E" w:rsidRPr="00907E8E" w:rsidRDefault="00907E8E" w:rsidP="00907E8E">
      <w:pPr>
        <w:pStyle w:val="AERbulletlistfirststyle"/>
      </w:pPr>
      <w:r w:rsidRPr="00907E8E">
        <w:t>80 per cent of the debt portfolio in the calculation of the allowed return on debt for the 201</w:t>
      </w:r>
      <w:r w:rsidR="000E16EB">
        <w:t>9</w:t>
      </w:r>
      <w:r w:rsidRPr="00907E8E">
        <w:t xml:space="preserve"> regulatory year, with 10 per cent based on prevailing interest rates during </w:t>
      </w:r>
      <w:r w:rsidR="00D03907">
        <w:t>TasNetworks</w:t>
      </w:r>
      <w:r w:rsidRPr="00907E8E">
        <w:t>' averaging period for 201</w:t>
      </w:r>
      <w:r w:rsidR="000E16EB">
        <w:t>8</w:t>
      </w:r>
      <w:r w:rsidRPr="00907E8E">
        <w:t xml:space="preserve">, and 10 per cent updated to reflect prevailing interest rates during </w:t>
      </w:r>
      <w:r w:rsidR="00C96D7A">
        <w:t xml:space="preserve">TasNetworks' </w:t>
      </w:r>
      <w:r w:rsidRPr="00907E8E">
        <w:t>averaging period for 201</w:t>
      </w:r>
      <w:r w:rsidR="000E16EB">
        <w:t>9</w:t>
      </w:r>
      <w:r w:rsidRPr="00907E8E">
        <w:t>, and</w:t>
      </w:r>
    </w:p>
    <w:p w:rsidR="00907E8E" w:rsidRPr="00907E8E" w:rsidRDefault="00907E8E" w:rsidP="00907E8E">
      <w:pPr>
        <w:pStyle w:val="AERbulletlistfirststyle"/>
      </w:pPr>
      <w:r w:rsidRPr="00907E8E">
        <w:t>so on for the subsequent regulatory years.</w:t>
      </w:r>
    </w:p>
    <w:p w:rsidR="00907E8E" w:rsidRPr="00907E8E" w:rsidRDefault="00907E8E" w:rsidP="00907E8E">
      <w:r w:rsidRPr="00907E8E">
        <w:t xml:space="preserve">After the 10 year transition period is complete, the return on debt is a simple average of prevailing interest rates during </w:t>
      </w:r>
      <w:r w:rsidR="003B5E1F">
        <w:t xml:space="preserve">TasNetworks' </w:t>
      </w:r>
      <w:r w:rsidRPr="00907E8E">
        <w:t xml:space="preserve">averaging periods over the previous 10 years (a trailing average). </w:t>
      </w:r>
    </w:p>
    <w:p w:rsidR="00907E8E" w:rsidRPr="00907E8E" w:rsidRDefault="00D63923" w:rsidP="00907E8E">
      <w:pPr>
        <w:pStyle w:val="HeadingBoldItalic"/>
      </w:pPr>
      <w:r>
        <w:t xml:space="preserve">TasNetworks' regulatory proposal and AusNet's </w:t>
      </w:r>
      <w:r w:rsidR="00E6403F">
        <w:t>i</w:t>
      </w:r>
      <w:r w:rsidR="00907E8E" w:rsidRPr="00907E8E">
        <w:t>nitial and revised regulatory proposals</w:t>
      </w:r>
    </w:p>
    <w:p w:rsidR="00D63923" w:rsidRDefault="00D63923" w:rsidP="00907E8E">
      <w:r>
        <w:t>TasNetworks in its regulatory proposal adopted the AER's Guideline t</w:t>
      </w:r>
      <w:r w:rsidR="005B1EDD">
        <w:t>ransition in estimating the required return on debt. However, it states that it will reserve the right to revisit the proposal in light of the Tribunal's findings and the AER's draft decision.</w:t>
      </w:r>
      <w:r w:rsidR="00886B7C">
        <w:rPr>
          <w:rStyle w:val="FootnoteReference"/>
        </w:rPr>
        <w:footnoteReference w:id="561"/>
      </w:r>
      <w:r w:rsidR="005B1EDD">
        <w:t xml:space="preserve"> In its revised proposal, we note that TasNetworks </w:t>
      </w:r>
      <w:r w:rsidR="00073541">
        <w:t xml:space="preserve">maintained its initial proposal to apply the AER's Guideline and </w:t>
      </w:r>
      <w:r w:rsidR="005B1EDD">
        <w:t>did not propose an immediate transition or hybrid transition.</w:t>
      </w:r>
    </w:p>
    <w:p w:rsidR="00907E8E" w:rsidRPr="00907E8E" w:rsidRDefault="005B1EDD" w:rsidP="00907E8E">
      <w:r>
        <w:t xml:space="preserve">In making the final decision for TasNetworks, we have taken AusNet's revised proposal into consideration. </w:t>
      </w:r>
      <w:r w:rsidR="00073541">
        <w:t>For this reason w</w:t>
      </w:r>
      <w:r>
        <w:t xml:space="preserve">e consider it is necessary to include the material submitted </w:t>
      </w:r>
      <w:r w:rsidR="000A5386">
        <w:t xml:space="preserve">by AusNet </w:t>
      </w:r>
      <w:r w:rsidR="00073541">
        <w:t xml:space="preserve">and our consideration of this material </w:t>
      </w:r>
      <w:r w:rsidR="000A5386">
        <w:t>in this decision.</w:t>
      </w:r>
      <w:r>
        <w:t xml:space="preserve"> </w:t>
      </w:r>
      <w:r w:rsidR="00907E8E" w:rsidRPr="00907E8E">
        <w:t>It is worth noting that AusNet services substantially changed its preference regarding the form of transition between its initial and revised proposal prior to aband</w:t>
      </w:r>
      <w:r w:rsidR="0016738D">
        <w:t>on</w:t>
      </w:r>
      <w:r w:rsidR="00907E8E" w:rsidRPr="00907E8E">
        <w:t>ing its “no transition” position in its revised proposal. In its initial proposal, AusNet applies the AER’s Guideline transition.</w:t>
      </w:r>
      <w:r w:rsidR="00DC6749">
        <w:rPr>
          <w:rStyle w:val="FootnoteReference"/>
        </w:rPr>
        <w:footnoteReference w:id="562"/>
      </w:r>
      <w:r w:rsidR="00907E8E" w:rsidRPr="00907E8E">
        <w:t xml:space="preserve"> However, as part of its revised proposals, AusNet Services proposed an immediate transition as its first preference and a hybrid transition as its second preference. </w:t>
      </w:r>
      <w:r w:rsidR="00DC6749">
        <w:rPr>
          <w:rStyle w:val="FootnoteReference"/>
        </w:rPr>
        <w:footnoteReference w:id="563"/>
      </w:r>
      <w:r w:rsidR="00907E8E" w:rsidRPr="00907E8E">
        <w:t>To support the change in position, AusNet Services submitted new material addressing the ARORO and what it requires of us. This included a report from CEG that effectively argued the AER’s interpretation of the ARORO was incorrect.</w:t>
      </w:r>
      <w:r w:rsidR="00907E8E" w:rsidRPr="00907E8E">
        <w:rPr>
          <w:rStyle w:val="FootnoteReference"/>
        </w:rPr>
        <w:footnoteReference w:id="564"/>
      </w:r>
      <w:r w:rsidR="00907E8E" w:rsidRPr="00907E8E">
        <w:t xml:space="preserve"> While AusNet Services has not maintained these positions, we have set out in </w:t>
      </w:r>
      <w:r w:rsidR="00907E8E" w:rsidRPr="00907E8E">
        <w:fldChar w:fldCharType="begin"/>
      </w:r>
      <w:r w:rsidR="00907E8E" w:rsidRPr="00907E8E">
        <w:instrText xml:space="preserve"> REF _Ref451174173 \h  \* MERGEFORMAT </w:instrText>
      </w:r>
      <w:r w:rsidR="00907E8E" w:rsidRPr="00907E8E">
        <w:fldChar w:fldCharType="separate"/>
      </w:r>
      <w:r w:rsidR="00C6448C" w:rsidRPr="00907E8E">
        <w:t xml:space="preserve">Table </w:t>
      </w:r>
      <w:r w:rsidR="00C6448C">
        <w:t>3</w:t>
      </w:r>
      <w:r w:rsidR="00C6448C">
        <w:noBreakHyphen/>
        <w:t>9</w:t>
      </w:r>
      <w:r w:rsidR="00907E8E" w:rsidRPr="00907E8E">
        <w:fldChar w:fldCharType="end"/>
      </w:r>
      <w:r w:rsidR="00907E8E" w:rsidRPr="00907E8E">
        <w:t xml:space="preserve"> a summary of AusNet Services’ proposals on the issue.</w:t>
      </w:r>
    </w:p>
    <w:p w:rsidR="00907E8E" w:rsidRPr="00907E8E" w:rsidRDefault="00907E8E" w:rsidP="00907E8E">
      <w:pPr>
        <w:pStyle w:val="Caption"/>
      </w:pPr>
      <w:bookmarkStart w:id="79" w:name="_Ref451174173"/>
      <w:r w:rsidRPr="00907E8E">
        <w:t xml:space="preserve">Table </w:t>
      </w:r>
      <w:fldSimple w:instr=" STYLEREF 1 \s ">
        <w:r w:rsidR="00C6448C">
          <w:rPr>
            <w:noProof/>
          </w:rPr>
          <w:t>3</w:t>
        </w:r>
      </w:fldSimple>
      <w:r w:rsidR="00882F3D">
        <w:noBreakHyphen/>
      </w:r>
      <w:fldSimple w:instr=" SEQ Table \* ARABIC \s 1 ">
        <w:r w:rsidR="00C6448C">
          <w:rPr>
            <w:noProof/>
          </w:rPr>
          <w:t>9</w:t>
        </w:r>
      </w:fldSimple>
      <w:bookmarkEnd w:id="79"/>
      <w:r w:rsidRPr="00907E8E">
        <w:tab/>
        <w:t>Form of transition in initial versus revised proposals</w:t>
      </w:r>
    </w:p>
    <w:tbl>
      <w:tblPr>
        <w:tblStyle w:val="AERtable-text0"/>
        <w:tblW w:w="0" w:type="auto"/>
        <w:tblLook w:val="04A0" w:firstRow="1" w:lastRow="0" w:firstColumn="1" w:lastColumn="0" w:noHBand="0" w:noVBand="1"/>
      </w:tblPr>
      <w:tblGrid>
        <w:gridCol w:w="2118"/>
        <w:gridCol w:w="2515"/>
        <w:gridCol w:w="2195"/>
        <w:gridCol w:w="1865"/>
      </w:tblGrid>
      <w:tr w:rsidR="00907E8E" w:rsidRPr="00485023" w:rsidTr="00907E8E">
        <w:trPr>
          <w:cnfStyle w:val="100000000000" w:firstRow="1" w:lastRow="0" w:firstColumn="0" w:lastColumn="0" w:oddVBand="0" w:evenVBand="0" w:oddHBand="0" w:evenHBand="0" w:firstRowFirstColumn="0" w:firstRowLastColumn="0" w:lastRowFirstColumn="0" w:lastRowLastColumn="0"/>
        </w:trPr>
        <w:tc>
          <w:tcPr>
            <w:tcW w:w="2118" w:type="dxa"/>
          </w:tcPr>
          <w:p w:rsidR="00907E8E" w:rsidRPr="00907E8E" w:rsidRDefault="00907E8E" w:rsidP="00907E8E">
            <w:r w:rsidRPr="00907E8E">
              <w:t>Initial proposals</w:t>
            </w:r>
          </w:p>
        </w:tc>
        <w:tc>
          <w:tcPr>
            <w:tcW w:w="2515" w:type="dxa"/>
          </w:tcPr>
          <w:p w:rsidR="00907E8E" w:rsidRPr="00907E8E" w:rsidRDefault="00907E8E" w:rsidP="00907E8E">
            <w:r w:rsidRPr="00907E8E">
              <w:t>Revised proposal, first preference</w:t>
            </w:r>
          </w:p>
        </w:tc>
        <w:tc>
          <w:tcPr>
            <w:tcW w:w="2195" w:type="dxa"/>
          </w:tcPr>
          <w:p w:rsidR="00907E8E" w:rsidRPr="00907E8E" w:rsidRDefault="00907E8E" w:rsidP="00907E8E">
            <w:r w:rsidRPr="00907E8E">
              <w:t>Revised proposal, second preference</w:t>
            </w:r>
          </w:p>
        </w:tc>
        <w:tc>
          <w:tcPr>
            <w:tcW w:w="1865" w:type="dxa"/>
          </w:tcPr>
          <w:p w:rsidR="00907E8E" w:rsidRPr="00907E8E" w:rsidRDefault="00907E8E" w:rsidP="00907E8E">
            <w:r w:rsidRPr="00907E8E">
              <w:t>Revised position via correspondence on 9 December 2016 and 20 December 2016</w:t>
            </w:r>
          </w:p>
        </w:tc>
      </w:tr>
      <w:tr w:rsidR="00907E8E" w:rsidRPr="00485023" w:rsidTr="00907E8E">
        <w:tc>
          <w:tcPr>
            <w:tcW w:w="2118" w:type="dxa"/>
          </w:tcPr>
          <w:p w:rsidR="00907E8E" w:rsidRPr="00907E8E" w:rsidRDefault="00907E8E" w:rsidP="00907E8E">
            <w:r w:rsidRPr="00907E8E">
              <w:t>AusNet Services applies the AER’s Guideline transition. It states:</w:t>
            </w:r>
            <w:r w:rsidRPr="00907E8E">
              <w:rPr>
                <w:rStyle w:val="FootnoteReference"/>
              </w:rPr>
              <w:footnoteReference w:id="565"/>
            </w:r>
          </w:p>
          <w:p w:rsidR="00907E8E" w:rsidRPr="00907E8E" w:rsidRDefault="00907E8E" w:rsidP="00907E8E">
            <w:r w:rsidRPr="00907E8E">
              <w:t>“AusNet Services does not object to the concept of ultimately adopting a trailing average approach, or to an appropriately designed transition. The transition should enable a benchmark efficient firm to recover an appropriate allowance for the return on debt, while it transitions its financing practices to reflect the new trailing average approach.”</w:t>
            </w:r>
          </w:p>
          <w:p w:rsidR="00907E8E" w:rsidRPr="00907E8E" w:rsidRDefault="00907E8E" w:rsidP="00907E8E"/>
        </w:tc>
        <w:tc>
          <w:tcPr>
            <w:tcW w:w="2515" w:type="dxa"/>
          </w:tcPr>
          <w:p w:rsidR="00907E8E" w:rsidRPr="00907E8E" w:rsidRDefault="00907E8E" w:rsidP="00907E8E">
            <w:r w:rsidRPr="00907E8E">
              <w:t>AusNet Services proposed to immediately adopt a backwards looking trailing average approach</w:t>
            </w:r>
            <w:r w:rsidR="00654881">
              <w:t xml:space="preserve"> i</w:t>
            </w:r>
            <w:r w:rsidR="00B21346">
              <w:t xml:space="preserve">n the revised </w:t>
            </w:r>
            <w:r w:rsidR="00E230BC">
              <w:t>revenue</w:t>
            </w:r>
            <w:r w:rsidR="00B21346">
              <w:t xml:space="preserve"> proposal</w:t>
            </w:r>
            <w:r w:rsidR="00654881">
              <w:t xml:space="preserve">. </w:t>
            </w:r>
            <w:r w:rsidR="00C16481" w:rsidRPr="00C16481">
              <w:t xml:space="preserve">AusNet </w:t>
            </w:r>
            <w:r w:rsidR="007F5DCB">
              <w:t>S</w:t>
            </w:r>
            <w:r w:rsidR="00C16481" w:rsidRPr="00C16481">
              <w:t>ervice</w:t>
            </w:r>
            <w:r w:rsidR="007F5DCB">
              <w:t>s</w:t>
            </w:r>
            <w:r w:rsidR="00C16481" w:rsidRPr="00C16481">
              <w:t xml:space="preserve"> submitted a new expert report by CEG in support of this.</w:t>
            </w:r>
            <w:r w:rsidR="00C16481" w:rsidRPr="00C16481">
              <w:rPr>
                <w:rStyle w:val="FootnoteReference"/>
              </w:rPr>
              <w:footnoteReference w:id="566"/>
            </w:r>
            <w:r w:rsidR="00C16481" w:rsidRPr="00C16481">
              <w:t xml:space="preserve"> In its revised proposal it </w:t>
            </w:r>
            <w:r w:rsidR="00654881">
              <w:t xml:space="preserve">states that AusNet </w:t>
            </w:r>
            <w:r w:rsidR="0057502F">
              <w:t>has adopted the Tribunal's position that a transition is not required in order to achieve the ARORO.</w:t>
            </w:r>
            <w:r w:rsidR="00654881">
              <w:t xml:space="preserve"> </w:t>
            </w:r>
            <w:r w:rsidR="0057502F">
              <w:t>T</w:t>
            </w:r>
            <w:r w:rsidR="00654881">
              <w:t xml:space="preserve">he Revised Revenue Proposal adopts an immediate transition to the trailing average cost of </w:t>
            </w:r>
            <w:r w:rsidR="00E01319">
              <w:t>debt. This</w:t>
            </w:r>
            <w:r w:rsidR="00D73DF5">
              <w:t xml:space="preserve"> reflects the Tribunal's finding that the appropriate transition path should reflect the financing practices of an unregulated entity.</w:t>
            </w:r>
            <w:r w:rsidR="00E230BC">
              <w:rPr>
                <w:rStyle w:val="FootnoteReference"/>
              </w:rPr>
              <w:footnoteReference w:id="567"/>
            </w:r>
            <w:r w:rsidR="00654881">
              <w:t xml:space="preserve"> </w:t>
            </w:r>
            <w:r w:rsidRPr="00907E8E">
              <w:t xml:space="preserve"> </w:t>
            </w:r>
          </w:p>
          <w:p w:rsidR="00907E8E" w:rsidRPr="00907E8E" w:rsidRDefault="00907E8E" w:rsidP="00CB18AD">
            <w:pPr>
              <w:pStyle w:val="AERbulletlistfirststyle"/>
              <w:numPr>
                <w:ilvl w:val="0"/>
                <w:numId w:val="0"/>
              </w:numPr>
              <w:ind w:left="357"/>
            </w:pPr>
          </w:p>
        </w:tc>
        <w:tc>
          <w:tcPr>
            <w:tcW w:w="2195" w:type="dxa"/>
          </w:tcPr>
          <w:p w:rsidR="00907E8E" w:rsidRPr="00907E8E" w:rsidRDefault="00907E8E" w:rsidP="00907E8E">
            <w:r w:rsidRPr="00907E8E">
              <w:t>AusNet Services proposed a 'hybrid transition' as their second preference.</w:t>
            </w:r>
            <w:r w:rsidRPr="00907E8E">
              <w:rPr>
                <w:rStyle w:val="FootnoteReference"/>
              </w:rPr>
              <w:footnoteReference w:id="568"/>
            </w:r>
            <w:r w:rsidRPr="00907E8E">
              <w:t xml:space="preserve"> This combined a 10 year transition of the base rate into a trailing average approach with a backwards looking trailing average debt risk premium (DRP). </w:t>
            </w:r>
          </w:p>
          <w:p w:rsidR="00907E8E" w:rsidRPr="00907E8E" w:rsidDel="00203689" w:rsidRDefault="00907E8E" w:rsidP="00907E8E">
            <w:r w:rsidRPr="00907E8E">
              <w:t>Its main reason for proposing a hybrid approach was that it would produce an allowed return on debt consistent with AusNet’s historically incurred financing costs, which it submitted were efficient. This is because AusNet Services had been raising debt on a staggered basis, had hedged the base rate to align with the debt allowance, but could not hedge the DRP.</w:t>
            </w:r>
            <w:r w:rsidRPr="00907E8E">
              <w:rPr>
                <w:rStyle w:val="FootnoteReference"/>
              </w:rPr>
              <w:footnoteReference w:id="569"/>
            </w:r>
            <w:r w:rsidRPr="00907E8E">
              <w:t xml:space="preserve"> Given this, AusNet Services submitted that compared to a full transition, a hybrid approach would reduce the mismatch between the expected DRP component of the return on debt and the regulatory allowance.</w:t>
            </w:r>
            <w:r w:rsidRPr="00907E8E">
              <w:rPr>
                <w:rStyle w:val="FootnoteReference"/>
              </w:rPr>
              <w:footnoteReference w:id="570"/>
            </w:r>
            <w:r w:rsidRPr="00907E8E">
              <w:t xml:space="preserve"> </w:t>
            </w:r>
          </w:p>
        </w:tc>
        <w:tc>
          <w:tcPr>
            <w:tcW w:w="1865" w:type="dxa"/>
          </w:tcPr>
          <w:p w:rsidR="00907E8E" w:rsidRPr="00907E8E" w:rsidRDefault="00907E8E" w:rsidP="00907E8E">
            <w:r w:rsidRPr="00907E8E">
              <w:t xml:space="preserve">AusNet Services proposed to adopt the AER’s </w:t>
            </w:r>
            <w:r w:rsidR="00FF1756">
              <w:t>Guid</w:t>
            </w:r>
            <w:r w:rsidR="00654881">
              <w:t>e</w:t>
            </w:r>
            <w:r w:rsidR="00FF1756">
              <w:t>line</w:t>
            </w:r>
            <w:r w:rsidR="00FF1756" w:rsidRPr="00907E8E">
              <w:t xml:space="preserve"> </w:t>
            </w:r>
            <w:r w:rsidRPr="00907E8E">
              <w:t>approach to implementing the new cost of debt approach (full transition approach) and withdraw the immediate transition approach to the cost of debt.</w:t>
            </w:r>
            <w:r w:rsidRPr="00907E8E">
              <w:rPr>
                <w:rStyle w:val="FootnoteReference"/>
              </w:rPr>
              <w:footnoteReference w:id="571"/>
            </w:r>
          </w:p>
          <w:p w:rsidR="00907E8E" w:rsidRPr="00907E8E" w:rsidRDefault="00907E8E" w:rsidP="00907E8E">
            <w:r w:rsidRPr="00907E8E">
              <w:t>It stated in the letter to the AER dated 9 December 2016 that AusNet Services has become increasingly uncomfortable with immediate transition approach because of:</w:t>
            </w:r>
            <w:r w:rsidR="00D043CC">
              <w:rPr>
                <w:rStyle w:val="FootnoteReference"/>
              </w:rPr>
              <w:footnoteReference w:id="572"/>
            </w:r>
            <w:r w:rsidRPr="00907E8E">
              <w:t xml:space="preserve"> </w:t>
            </w:r>
          </w:p>
          <w:p w:rsidR="00907E8E" w:rsidRPr="00907E8E" w:rsidRDefault="00907E8E" w:rsidP="00907E8E">
            <w:pPr>
              <w:pStyle w:val="AERbulletlistfirststyle"/>
            </w:pPr>
            <w:r w:rsidRPr="00907E8E">
              <w:t>The large impact on customer prices if it was implemented</w:t>
            </w:r>
          </w:p>
          <w:p w:rsidR="00907E8E" w:rsidRPr="00907E8E" w:rsidRDefault="00907E8E" w:rsidP="00907E8E">
            <w:pPr>
              <w:pStyle w:val="AERbulletlistfirststyle"/>
            </w:pPr>
            <w:r w:rsidRPr="00907E8E">
              <w:t>The fact it does not reflect the actual historical financing practices of the business</w:t>
            </w:r>
          </w:p>
          <w:p w:rsidR="00907E8E" w:rsidRPr="00907E8E" w:rsidRDefault="00907E8E" w:rsidP="00D043CC">
            <w:pPr>
              <w:pStyle w:val="AERbulletlistfirststyle"/>
            </w:pPr>
            <w:r w:rsidRPr="00907E8E">
              <w:t>The long period of uncertainty for all parties as these matters are resolved through multiple legal forums and remittal back to the AER.</w:t>
            </w:r>
          </w:p>
        </w:tc>
      </w:tr>
    </w:tbl>
    <w:p w:rsidR="00907E8E" w:rsidRPr="00907E8E" w:rsidRDefault="00907E8E" w:rsidP="00907E8E">
      <w:pPr>
        <w:pStyle w:val="AERtablesource"/>
      </w:pPr>
      <w:r w:rsidRPr="00907E8E">
        <w:t xml:space="preserve">Source: </w:t>
      </w:r>
      <w:r w:rsidRPr="00907E8E">
        <w:tab/>
        <w:t>Initial proposals from AusNet Services (</w:t>
      </w:r>
      <w:r w:rsidR="007938E5">
        <w:t>October</w:t>
      </w:r>
      <w:r w:rsidRPr="00907E8E">
        <w:t xml:space="preserve"> 2015). Revised proposa</w:t>
      </w:r>
      <w:r w:rsidR="006A674D">
        <w:t>ls in 2016 from AusNet Services</w:t>
      </w:r>
      <w:r w:rsidRPr="00907E8E">
        <w:t xml:space="preserve"> </w:t>
      </w:r>
    </w:p>
    <w:p w:rsidR="00907E8E" w:rsidRPr="00907E8E" w:rsidRDefault="00907E8E" w:rsidP="00907E8E">
      <w:r w:rsidRPr="00907E8E">
        <w:t>Notwithstanding AusNet Services has confirmed that the AER should apply the Guideline approach to transition, in response to the new information provided in AusNet Services</w:t>
      </w:r>
      <w:r w:rsidR="004B20FC">
        <w:t>'</w:t>
      </w:r>
      <w:r w:rsidRPr="00907E8E">
        <w:t xml:space="preserve"> revised proposal, we have reconsidered whether our approach to estimating the allowed return on debt in the Guideline would contribute to achieving the ARORO. We maintain our view from the draft decision that a full transition is required to achieve the ARORO. We also consider the ARORO requires we set an ex-ante rate of return that is commensurate with the efficient financing cost of a benchmark efficient entity with a similar degree of risk as the service provider supplying regulated services. We discuss these views and their relation to the return on debt approach in the sections below.</w:t>
      </w:r>
    </w:p>
    <w:p w:rsidR="00907E8E" w:rsidRPr="00907E8E" w:rsidRDefault="00907E8E" w:rsidP="00907E8E">
      <w:r w:rsidRPr="00907E8E">
        <w:t>It is also worth noting that the change in AusNet Service</w:t>
      </w:r>
      <w:r w:rsidR="00E6403F">
        <w:t>s'</w:t>
      </w:r>
      <w:r w:rsidRPr="00907E8E">
        <w:t xml:space="preserve"> position in its revised proposal would have resulted in a notable increase in the allowed return on debt. </w:t>
      </w:r>
      <w:r w:rsidR="00DF4722">
        <w:t>An</w:t>
      </w:r>
      <w:r w:rsidRPr="00907E8E">
        <w:t xml:space="preserve"> immediate move to a trailing average</w:t>
      </w:r>
      <w:r w:rsidR="00DF4722">
        <w:t>would have been for a</w:t>
      </w:r>
      <w:r w:rsidRPr="00907E8E">
        <w:t xml:space="preserve"> proposed debt allowance of 7.56 per cent.</w:t>
      </w:r>
      <w:r w:rsidRPr="00907E8E">
        <w:rPr>
          <w:rStyle w:val="FootnoteReference"/>
        </w:rPr>
        <w:footnoteReference w:id="573"/>
      </w:r>
      <w:r w:rsidRPr="00907E8E">
        <w:t xml:space="preserve"> We consider this would not only exceed the ex-ante efficient financing costs of a benchmark efficient entity, but would also exceed the historical costs of these individual service providers and be inconsistent with the ARORO (although, as discussed above, AusNet Services is no longer maintaining its claim for ‘no transition’ set out in its revised proposal). The difference in the allowed cash flows between full transition and no transition is shown algebraically in section </w:t>
      </w:r>
      <w:r w:rsidR="00956D15">
        <w:fldChar w:fldCharType="begin"/>
      </w:r>
      <w:r w:rsidR="00956D15">
        <w:instrText xml:space="preserve"> REF _Ref444773920 \r \h </w:instrText>
      </w:r>
      <w:r w:rsidR="00956D15">
        <w:fldChar w:fldCharType="separate"/>
      </w:r>
      <w:r w:rsidR="00C6448C">
        <w:t>H.3.3</w:t>
      </w:r>
      <w:r w:rsidR="00956D15">
        <w:fldChar w:fldCharType="end"/>
      </w:r>
      <w:r w:rsidR="00956D15">
        <w:t xml:space="preserve"> </w:t>
      </w:r>
      <w:r w:rsidRPr="00907E8E">
        <w:t>of Appendix</w:t>
      </w:r>
      <w:r w:rsidR="00956D15">
        <w:t xml:space="preserve"> </w:t>
      </w:r>
      <w:r w:rsidR="00956D15">
        <w:fldChar w:fldCharType="begin"/>
      </w:r>
      <w:r w:rsidR="00956D15">
        <w:instrText xml:space="preserve"> REF _Ref479168250 \r \h </w:instrText>
      </w:r>
      <w:r w:rsidR="00956D15">
        <w:fldChar w:fldCharType="separate"/>
      </w:r>
      <w:r w:rsidR="00C6448C">
        <w:t>H</w:t>
      </w:r>
      <w:r w:rsidR="00956D15">
        <w:fldChar w:fldCharType="end"/>
      </w:r>
      <w:r w:rsidRPr="00907E8E">
        <w:t>.</w:t>
      </w:r>
    </w:p>
    <w:p w:rsidR="0016738D" w:rsidRDefault="00907E8E" w:rsidP="00907E8E">
      <w:r w:rsidRPr="00907E8E">
        <w:t xml:space="preserve">In addition, we do not consider that a hybrid transition would achieve the ARORO. </w:t>
      </w:r>
    </w:p>
    <w:p w:rsidR="00907E8E" w:rsidRPr="00907E8E" w:rsidRDefault="00907E8E" w:rsidP="0016738D">
      <w:pPr>
        <w:pStyle w:val="HeadingBoldItalic"/>
      </w:pPr>
      <w:r w:rsidRPr="00907E8E">
        <w:t>Submissions on AusNet Services</w:t>
      </w:r>
      <w:r w:rsidR="004B20FC">
        <w:t>'</w:t>
      </w:r>
      <w:r w:rsidRPr="00907E8E">
        <w:t xml:space="preserve"> proposal to use an immediate (historical) trailing average cost of debt </w:t>
      </w:r>
    </w:p>
    <w:p w:rsidR="00907E8E" w:rsidRPr="00907E8E" w:rsidRDefault="00907E8E" w:rsidP="00907E8E">
      <w:r w:rsidRPr="00907E8E">
        <w:t>In October 2016, CCP5</w:t>
      </w:r>
      <w:r w:rsidR="00604AA9">
        <w:t xml:space="preserve"> (consumer challenge panel five)</w:t>
      </w:r>
      <w:r w:rsidRPr="00907E8E">
        <w:t xml:space="preserve"> expressed its view on AusNet Services’ Revised revenue proposal to use an immediate trailing average, prior to AusNet Services withdrawing that aspect of its proposal.  We note the submission here for completeness.  CCP5 expressed the view that the proposed cost of debt of 7.56% (under an immediate transition approach) was an opportunistic grab, given its initial proposal was much lower and the interest rates disclosed in its parents consolidated accounts were much lower.</w:t>
      </w:r>
      <w:r w:rsidR="00EB6EAE">
        <w:rPr>
          <w:rStyle w:val="FootnoteReference"/>
        </w:rPr>
        <w:footnoteReference w:id="574"/>
      </w:r>
      <w:r w:rsidR="00EB6EAE" w:rsidRPr="00907E8E">
        <w:t xml:space="preserve"> </w:t>
      </w:r>
      <w:r w:rsidRPr="00907E8E">
        <w:t>CCP5 considered its genuine cost of debt is without doubt closer to 5.22% than 7.56%</w:t>
      </w:r>
      <w:r w:rsidR="00EB6EAE">
        <w:rPr>
          <w:rStyle w:val="FootnoteReference"/>
        </w:rPr>
        <w:footnoteReference w:id="575"/>
      </w:r>
      <w:r w:rsidRPr="00907E8E">
        <w:t>and stated:</w:t>
      </w:r>
      <w:r w:rsidRPr="00907E8E">
        <w:rPr>
          <w:rStyle w:val="FootnoteReference"/>
        </w:rPr>
        <w:t xml:space="preserve"> </w:t>
      </w:r>
      <w:r w:rsidR="00EB6EAE">
        <w:rPr>
          <w:rStyle w:val="FootnoteReference"/>
        </w:rPr>
        <w:footnoteReference w:id="576"/>
      </w:r>
    </w:p>
    <w:p w:rsidR="00907E8E" w:rsidRPr="00907E8E" w:rsidRDefault="00907E8E" w:rsidP="00907E8E">
      <w:pPr>
        <w:pStyle w:val="AERquote"/>
      </w:pPr>
      <w:r w:rsidRPr="00907E8E">
        <w:t>“Regulated networks must face an incentive to keep all costs as low as possible, including cost of debt, and it is incomprehensible to us that between AusNet Services’ original proposal in October 2015 and this proposal in September 2016, their efficient cost of debt has risen by 200 basis points.  It is in consumers’ long term interests that the cost of debt included in the rate of return reflects current market conditions and motivates businesses to borrow in the most efficient and prudent way.”</w:t>
      </w:r>
    </w:p>
    <w:p w:rsidR="004A3FF1" w:rsidRDefault="00907E8E" w:rsidP="004A3FF1">
      <w:r w:rsidRPr="00907E8E">
        <w:t>However, on 9 Dece</w:t>
      </w:r>
      <w:r w:rsidR="0016738D">
        <w:t>m</w:t>
      </w:r>
      <w:r w:rsidRPr="00907E8E">
        <w:t>ber 2016, AusNet Services wrote to the AER advising of its intent to propose a cost of debt transition consistent with the AER’s Guideline and to withdraw the immediate transition cost of debt approach from its Transmission Revised Revenue Proposal for the 2017-22 regulatory control period.</w:t>
      </w:r>
      <w:r w:rsidR="00EB6EAE">
        <w:rPr>
          <w:rStyle w:val="FootnoteReference"/>
        </w:rPr>
        <w:footnoteReference w:id="577"/>
      </w:r>
      <w:r w:rsidR="00EB6EAE" w:rsidRPr="00907E8E">
        <w:t xml:space="preserve"> </w:t>
      </w:r>
      <w:r w:rsidRPr="00907E8E">
        <w:t>Consistent with this intent, on 20 Dec 2016 AusNet Services provided a further letter indicating it was now proposing a full transition for its transmission determination and provided revised modelling consistent with the AER’s full transition approach on 20 December 2016.</w:t>
      </w:r>
      <w:r w:rsidR="00EB6EAE">
        <w:rPr>
          <w:rStyle w:val="FootnoteReference"/>
        </w:rPr>
        <w:footnoteReference w:id="578"/>
      </w:r>
      <w:r w:rsidR="0016738D" w:rsidRPr="00907E8E" w:rsidDel="00F56912">
        <w:t xml:space="preserve"> </w:t>
      </w:r>
    </w:p>
    <w:p w:rsidR="00907E8E" w:rsidRPr="00907E8E" w:rsidRDefault="00907E8E" w:rsidP="00907E8E">
      <w:pPr>
        <w:pStyle w:val="HeadingBoldItalic"/>
      </w:pPr>
      <w:r w:rsidRPr="00907E8E">
        <w:t>Approaches that contribute to the achievement of the ARORO</w:t>
      </w:r>
    </w:p>
    <w:p w:rsidR="00907E8E" w:rsidRPr="00907E8E" w:rsidRDefault="00907E8E" w:rsidP="00907E8E">
      <w:r w:rsidRPr="00907E8E">
        <w:t>We consider the ARORO requires that the allowed rate of return appropriately compensates investors for capital investments (in an ex-ante sense) and aims to minimise the long run cost of capital (all else being equal).</w:t>
      </w:r>
      <w:r w:rsidRPr="00907E8E">
        <w:rPr>
          <w:rStyle w:val="FootnoteReference"/>
        </w:rPr>
        <w:footnoteReference w:id="579"/>
      </w:r>
      <w:r w:rsidRPr="00907E8E">
        <w:t xml:space="preserve"> 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w:t>
      </w:r>
      <w:r w:rsidR="00956D15">
        <w:t xml:space="preserve"> </w:t>
      </w:r>
      <w:r w:rsidR="00956D15">
        <w:fldChar w:fldCharType="begin"/>
      </w:r>
      <w:r w:rsidR="00956D15">
        <w:instrText xml:space="preserve"> REF _Ref479168317 \r \h </w:instrText>
      </w:r>
      <w:r w:rsidR="00956D15">
        <w:fldChar w:fldCharType="separate"/>
      </w:r>
      <w:r w:rsidR="00C6448C">
        <w:t>3.3.3</w:t>
      </w:r>
      <w:r w:rsidR="00956D15">
        <w:fldChar w:fldCharType="end"/>
      </w:r>
      <w:r w:rsidRPr="00907E8E">
        <w:t>.</w:t>
      </w:r>
      <w:r w:rsidRPr="00907E8E">
        <w:rPr>
          <w:rStyle w:val="FootnoteReference"/>
        </w:rPr>
        <w:footnoteReference w:id="580"/>
      </w:r>
    </w:p>
    <w:p w:rsidR="00907E8E" w:rsidRPr="00907E8E" w:rsidRDefault="00907E8E" w:rsidP="00907E8E">
      <w:r w:rsidRPr="00907E8E">
        <w:t>A rate of return that achieves the ARORO should also be consistent with the RPPs in the NEL/NGL, which indicate a service provider should be provided with a reasonable opportunity to recover at least efficient costs. These also require that we should provide regulated firms with effective incentives to promote economic efficiency and have regard to the economic costs and risk of the potential for service providers to under- or over-invest.</w:t>
      </w:r>
      <w:r w:rsidRPr="00907E8E">
        <w:rPr>
          <w:rStyle w:val="FootnoteReference"/>
        </w:rPr>
        <w:footnoteReference w:id="581"/>
      </w:r>
    </w:p>
    <w:p w:rsidR="00907E8E" w:rsidRPr="00907E8E" w:rsidRDefault="00907E8E" w:rsidP="00907E8E">
      <w:r w:rsidRPr="00907E8E">
        <w:t xml:space="preserve">We have formed our view that our decision to estimate the allowed return on debt by starting with an on-the-day approach for the first regulatory year and gradually transitioning into a trailing average approach over 10 years will result in an allowed return on debt that contributes to the achievement of the ARORO. The other option that we consider would achieve the ARORO is maintaining the on-the-day approach. Related to this, all else being equal, a trailing average (with transition) and on-the-day approach provide equivalent ex-ante compensation over the term of the RAB (see Appendix </w:t>
      </w:r>
      <w:r w:rsidR="00956D15">
        <w:fldChar w:fldCharType="begin"/>
      </w:r>
      <w:r w:rsidR="00956D15">
        <w:instrText xml:space="preserve"> REF _Ref447886226 \r \h </w:instrText>
      </w:r>
      <w:r w:rsidR="00956D15">
        <w:fldChar w:fldCharType="separate"/>
      </w:r>
      <w:r w:rsidR="00C6448C">
        <w:t>H.5.2</w:t>
      </w:r>
      <w:r w:rsidR="00956D15">
        <w:fldChar w:fldCharType="end"/>
      </w:r>
      <w:r w:rsidR="00956D15">
        <w:t xml:space="preserve"> </w:t>
      </w:r>
      <w:r w:rsidRPr="00907E8E">
        <w:t>for a detailed discussion). We consider this position is consistent with the AEMC's observations about SFG's view:</w:t>
      </w:r>
      <w:r w:rsidRPr="00907E8E">
        <w:rPr>
          <w:rStyle w:val="FootnoteReference"/>
        </w:rPr>
        <w:footnoteReference w:id="582"/>
      </w:r>
    </w:p>
    <w:p w:rsidR="00907E8E" w:rsidRPr="00907E8E" w:rsidRDefault="00907E8E" w:rsidP="00907E8E">
      <w:pPr>
        <w:pStyle w:val="AERquote"/>
      </w:pPr>
      <w:r w:rsidRPr="00907E8E">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907E8E" w:rsidRPr="00907E8E" w:rsidRDefault="00907E8E" w:rsidP="008D75FD">
      <w:r w:rsidRPr="00907E8E">
        <w:t>As noted above, we reconsidered our view on what will achieve the ARORO in light of AusNet Services revised proposal and CEG’s report on the ARORO submitted with this proposal. We also had our consultants consider this point.</w:t>
      </w:r>
      <w:r w:rsidRPr="00907E8E">
        <w:rPr>
          <w:rStyle w:val="FootnoteReference"/>
        </w:rPr>
        <w:footnoteReference w:id="583"/>
      </w:r>
      <w:r w:rsidRPr="00907E8E">
        <w:t xml:space="preserve"> Following a full review, we remain of the view our approach taken in the draft decision (of using a trailing average with full transition) is appropriate and will contribute to an allowed rate of return that will achieve the ARORO for the reasons discussed</w:t>
      </w:r>
      <w:r w:rsidR="00604AA9">
        <w:t xml:space="preserve"> below</w:t>
      </w:r>
      <w:r w:rsidRPr="00907E8E">
        <w:t>. Responses to specific criticisms of our approach contained in either the AusNet Services</w:t>
      </w:r>
      <w:r w:rsidR="004B20FC">
        <w:t>'</w:t>
      </w:r>
      <w:r w:rsidR="00C16481">
        <w:t xml:space="preserve"> proposal</w:t>
      </w:r>
      <w:r w:rsidR="0086018D">
        <w:t xml:space="preserve"> </w:t>
      </w:r>
      <w:r w:rsidRPr="00907E8E">
        <w:t xml:space="preserve">or in </w:t>
      </w:r>
      <w:r w:rsidR="00C16481">
        <w:t xml:space="preserve">the </w:t>
      </w:r>
      <w:r w:rsidRPr="00907E8E">
        <w:t>CEG report, are discussed in Appendix</w:t>
      </w:r>
      <w:r w:rsidR="00A525C4">
        <w:t xml:space="preserve"> </w:t>
      </w:r>
      <w:r w:rsidR="00A525C4">
        <w:fldChar w:fldCharType="begin"/>
      </w:r>
      <w:r w:rsidR="00A525C4">
        <w:instrText xml:space="preserve"> REF _Ref447886226 \r \h </w:instrText>
      </w:r>
      <w:r w:rsidR="00A525C4">
        <w:fldChar w:fldCharType="separate"/>
      </w:r>
      <w:r w:rsidR="00C6448C">
        <w:t>H.5.2</w:t>
      </w:r>
      <w:r w:rsidR="00A525C4">
        <w:fldChar w:fldCharType="end"/>
      </w:r>
    </w:p>
    <w:p w:rsidR="00907E8E" w:rsidRPr="00907E8E" w:rsidRDefault="00907E8E" w:rsidP="00907E8E">
      <w:pPr>
        <w:pStyle w:val="HeadingItalic"/>
      </w:pPr>
      <w:r w:rsidRPr="00907E8E">
        <w:t>Trailing average (with full transition) meets the ARORO</w:t>
      </w:r>
    </w:p>
    <w:p w:rsidR="00907E8E" w:rsidRPr="00907E8E" w:rsidRDefault="00907E8E" w:rsidP="00907E8E">
      <w:r w:rsidRPr="00907E8E">
        <w:t xml:space="preserve">With a full transition, a trailing average approach would provide a benchmark efficient entity with a reasonable opportunity to recover at least efficient costs over the term of the RAB. It could therefore result in an allowed return on debt (and overall rate of return) that can be consistent with the rules and NEL/NGL. Appendix </w:t>
      </w:r>
      <w:r w:rsidR="008B41F6">
        <w:fldChar w:fldCharType="begin"/>
      </w:r>
      <w:r w:rsidR="008B41F6">
        <w:instrText xml:space="preserve"> REF _Ref479168556 \r \h </w:instrText>
      </w:r>
      <w:r w:rsidR="008B41F6">
        <w:fldChar w:fldCharType="separate"/>
      </w:r>
      <w:r w:rsidR="00C6448C">
        <w:t>H</w:t>
      </w:r>
      <w:r w:rsidR="008B41F6">
        <w:fldChar w:fldCharType="end"/>
      </w:r>
      <w:r w:rsidR="00E01319">
        <w:t xml:space="preserve"> </w:t>
      </w:r>
      <w:r w:rsidRPr="00907E8E">
        <w:t>provides detailed reasons, including a mathematic description, for why this holds. Further, regarding adopting a trailing average approach more broadly:</w:t>
      </w:r>
    </w:p>
    <w:p w:rsidR="00907E8E" w:rsidRPr="00907E8E" w:rsidRDefault="00907E8E" w:rsidP="00907E8E">
      <w:pPr>
        <w:pStyle w:val="AERbulletlistfirststyle"/>
      </w:pPr>
      <w:r w:rsidRPr="00907E8E">
        <w:t>Compared to an on-the-day approach, a trailing average approach will lead to less volatile cash flows.</w:t>
      </w:r>
      <w:r w:rsidRPr="00907E8E">
        <w:rPr>
          <w:rStyle w:val="FootnoteReference"/>
        </w:rPr>
        <w:footnoteReference w:id="584"/>
      </w:r>
    </w:p>
    <w:p w:rsidR="00907E8E" w:rsidRPr="00907E8E" w:rsidRDefault="00907E8E" w:rsidP="00907E8E">
      <w:pPr>
        <w:pStyle w:val="AERbulletlistfirststyle"/>
      </w:pPr>
      <w:r w:rsidRPr="00907E8E">
        <w:t>Some stakeholders submitted that a trailing average would reduce some of the risks faced by service providers, which would eventually flow to lower betas than what we have historically seen.</w:t>
      </w:r>
      <w:r w:rsidRPr="00907E8E">
        <w:rPr>
          <w:rStyle w:val="FootnoteReference"/>
        </w:rPr>
        <w:footnoteReference w:id="585"/>
      </w:r>
      <w:r w:rsidRPr="00907E8E">
        <w:t xml:space="preserve"> Frontier also advised that a trailing average approach would result in a smooth profile for the allowed return on debt.</w:t>
      </w:r>
      <w:r w:rsidRPr="00907E8E">
        <w:rPr>
          <w:rStyle w:val="FootnoteReference"/>
        </w:rPr>
        <w:footnoteReference w:id="586"/>
      </w:r>
    </w:p>
    <w:p w:rsidR="00907E8E" w:rsidRPr="00907E8E" w:rsidRDefault="00907E8E" w:rsidP="00907E8E">
      <w:pPr>
        <w:pStyle w:val="AERbulletlistfirststyle"/>
      </w:pPr>
      <w:r w:rsidRPr="00907E8E">
        <w:t>A trailing average approach received broad stakeholder support.</w:t>
      </w:r>
      <w:r w:rsidRPr="00907E8E">
        <w:rPr>
          <w:rStyle w:val="FootnoteReference"/>
        </w:rPr>
        <w:footnoteReference w:id="587"/>
      </w:r>
      <w:r w:rsidRPr="00907E8E">
        <w:t xml:space="preserve"> </w:t>
      </w:r>
    </w:p>
    <w:p w:rsidR="00907E8E" w:rsidRPr="00907E8E" w:rsidRDefault="00907E8E" w:rsidP="00907E8E">
      <w:r w:rsidRPr="00907E8E">
        <w:t>We consider the on-the-day approach could contribute to the achievement of the ARORO and is therefore open to us (see the following section). On this basis, the present value of a benchmark efficient entity's allowed revenues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907E8E" w:rsidRPr="00907E8E" w:rsidRDefault="00907E8E" w:rsidP="00907E8E">
      <w:r w:rsidRPr="00907E8E">
        <w:t>If this holds, then changing the present value of a benchmark efficient entity would result in overcompensation (if we increase its value) or undercompensation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907E8E" w:rsidRPr="00907E8E" w:rsidRDefault="00907E8E" w:rsidP="00907E8E">
      <w:r w:rsidRPr="00907E8E">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 approaches will typically produce different estimates at given points in time.</w:t>
      </w:r>
    </w:p>
    <w:p w:rsidR="00907E8E" w:rsidRPr="00907E8E" w:rsidRDefault="00907E8E" w:rsidP="00907E8E">
      <w:r w:rsidRPr="00907E8E">
        <w:t>For this reason, we have used our transition approach because it is approximately revenue neutral (in a present value sense).</w:t>
      </w:r>
      <w:r w:rsidRPr="00907E8E">
        <w:rPr>
          <w:rStyle w:val="FootnoteReference"/>
        </w:rPr>
        <w:footnoteReference w:id="588"/>
      </w:r>
      <w:r w:rsidRPr="00907E8E">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907E8E">
        <w:rPr>
          <w:rStyle w:val="FootnoteReference"/>
        </w:rPr>
        <w:footnoteReference w:id="589"/>
      </w:r>
      <w:r w:rsidRPr="00907E8E">
        <w:t xml:space="preserve"> We also note that SFG advised the AEMC that the type of transition mechanism we apply in this final decision would be effective:</w:t>
      </w:r>
      <w:r w:rsidRPr="00907E8E">
        <w:rPr>
          <w:rStyle w:val="FootnoteReference"/>
        </w:rPr>
        <w:footnoteReference w:id="590"/>
      </w:r>
    </w:p>
    <w:p w:rsidR="00907E8E" w:rsidRPr="00907E8E" w:rsidRDefault="00907E8E" w:rsidP="00907E8E">
      <w:pPr>
        <w:pStyle w:val="AERquote"/>
      </w:pPr>
      <w:r w:rsidRPr="00907E8E">
        <w:t xml:space="preserve">The type of “rolling in” arrangement [transition] that has been proposed by QTC [the full transition we adopted] would be an effective means of transitioning from the current Rules to the use of an historical average cost of debt approach </w:t>
      </w:r>
    </w:p>
    <w:p w:rsidR="00907E8E" w:rsidRPr="00907E8E" w:rsidRDefault="00907E8E" w:rsidP="00907E8E">
      <w:r w:rsidRPr="00907E8E">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 any impacts on a benchmark efficient entity referred to in the ARORO that could arise from a change of methodology.</w:t>
      </w:r>
      <w:r w:rsidRPr="00907E8E">
        <w:rPr>
          <w:rStyle w:val="FootnoteReference"/>
        </w:rPr>
        <w:footnoteReference w:id="591"/>
      </w:r>
      <w:r w:rsidRPr="00907E8E">
        <w:t xml:space="preserve"> The AEMC explained that the purpose of this aspect of the rules was:</w:t>
      </w:r>
      <w:r w:rsidRPr="00907E8E">
        <w:rPr>
          <w:rStyle w:val="FootnoteReference"/>
        </w:rPr>
        <w:footnoteReference w:id="592"/>
      </w:r>
    </w:p>
    <w:p w:rsidR="00907E8E" w:rsidRPr="00907E8E" w:rsidRDefault="00907E8E" w:rsidP="00907E8E">
      <w:pPr>
        <w:pStyle w:val="AERquote"/>
      </w:pPr>
      <w:r w:rsidRPr="00907E8E">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907E8E" w:rsidRPr="00907E8E" w:rsidRDefault="00C16481" w:rsidP="0016738D">
      <w:r>
        <w:t>In its revised proposal AusNet Services</w:t>
      </w:r>
      <w:r w:rsidR="00907E8E" w:rsidRPr="00907E8E">
        <w:t xml:space="preserve"> criticised our (full transition) approach arguing it will not contribute to a rate of return that will contribute to the ARORO.</w:t>
      </w:r>
      <w:r w:rsidR="00907E8E" w:rsidRPr="00907E8E">
        <w:rPr>
          <w:rStyle w:val="FootnoteReference"/>
        </w:rPr>
        <w:footnoteReference w:id="593"/>
      </w:r>
      <w:r w:rsidR="00907E8E" w:rsidRPr="00907E8E">
        <w:t xml:space="preserve"> This was supported by an experts report from CEG.</w:t>
      </w:r>
      <w:r w:rsidR="00907E8E" w:rsidRPr="00907E8E">
        <w:rPr>
          <w:rStyle w:val="FootnoteReference"/>
        </w:rPr>
        <w:footnoteReference w:id="594"/>
      </w:r>
      <w:r w:rsidR="00907E8E" w:rsidRPr="00907E8E">
        <w:t xml:space="preserve"> We and our consultants have considered the new material. Nothing in the new material submitted changes our views expressed above on why the continuation of the on the day regime will meet the ARORO.</w:t>
      </w:r>
      <w:r w:rsidR="00265DD1" w:rsidRPr="00265DD1">
        <w:t xml:space="preserve"> We maintain our decision of adopting a full transition if the trailing average approach is applied, otherwise, we would continue to use the on the day regime in the cost of debt calculation for TasNetw</w:t>
      </w:r>
      <w:r w:rsidR="00886B7C">
        <w:t>orks and also the other service</w:t>
      </w:r>
      <w:r w:rsidR="00265DD1" w:rsidRPr="00265DD1">
        <w:t xml:space="preserve"> providers.</w:t>
      </w:r>
      <w:r w:rsidR="00907E8E" w:rsidRPr="00907E8E">
        <w:t xml:space="preserve"> Our responses to the specific criticisms of our approach are covered in Appendix</w:t>
      </w:r>
      <w:r w:rsidR="004F762D">
        <w:t xml:space="preserve"> </w:t>
      </w:r>
      <w:r w:rsidR="00A525C4">
        <w:fldChar w:fldCharType="begin"/>
      </w:r>
      <w:r w:rsidR="00A525C4">
        <w:instrText xml:space="preserve"> REF _Ref447886226 \r \h </w:instrText>
      </w:r>
      <w:r w:rsidR="00A525C4">
        <w:fldChar w:fldCharType="separate"/>
      </w:r>
      <w:r w:rsidR="00C6448C">
        <w:t>H.5.2</w:t>
      </w:r>
      <w:r w:rsidR="00A525C4">
        <w:fldChar w:fldCharType="end"/>
      </w:r>
      <w:r w:rsidR="004F762D">
        <w:t>.</w:t>
      </w:r>
    </w:p>
    <w:p w:rsidR="00907E8E" w:rsidRPr="00907E8E" w:rsidRDefault="00907E8E" w:rsidP="00907E8E">
      <w:pPr>
        <w:pStyle w:val="HeadingItalic"/>
      </w:pPr>
      <w:r w:rsidRPr="00907E8E">
        <w:t>Continuing the on-the-day approach meets the ARORO</w:t>
      </w:r>
    </w:p>
    <w:p w:rsidR="00907E8E" w:rsidRPr="00907E8E" w:rsidRDefault="00907E8E" w:rsidP="00907E8E">
      <w:r w:rsidRPr="00907E8E">
        <w:t xml:space="preserve">An on-the-day approach provides service providers with a reasonable opportunity to recover at least efficient costs over the term of the RAB </w:t>
      </w:r>
      <w:r w:rsidRPr="00907E8E">
        <w:rPr>
          <w:rStyle w:val="AERtextunderline"/>
        </w:rPr>
        <w:t>and</w:t>
      </w:r>
      <w:r w:rsidRPr="00907E8E">
        <w:t xml:space="preserve"> over each regulatory control period. Appendix </w:t>
      </w:r>
      <w:r w:rsidR="00A525C4">
        <w:fldChar w:fldCharType="begin"/>
      </w:r>
      <w:r w:rsidR="00A525C4">
        <w:instrText xml:space="preserve"> REF _Ref444767739 \r \h </w:instrText>
      </w:r>
      <w:r w:rsidR="00A525C4">
        <w:fldChar w:fldCharType="separate"/>
      </w:r>
      <w:r w:rsidR="00C6448C">
        <w:t>H.3</w:t>
      </w:r>
      <w:r w:rsidR="00A525C4">
        <w:fldChar w:fldCharType="end"/>
      </w:r>
      <w:r w:rsidRPr="00907E8E">
        <w:t>provides detailed reasons, including a mathematic description, for why this holds. On this basis, we consider continuing the on-the-day approach for estimating the allowed return on debt will achieve the ARORO and the NEO.</w:t>
      </w:r>
      <w:r w:rsidRPr="00907E8E">
        <w:rPr>
          <w:rStyle w:val="FootnoteReference"/>
        </w:rPr>
        <w:footnoteReference w:id="595"/>
      </w:r>
      <w:r w:rsidRPr="00907E8E">
        <w:t xml:space="preserve"> Further, as </w:t>
      </w:r>
      <w:r w:rsidRPr="00907E8E">
        <w:fldChar w:fldCharType="begin"/>
      </w:r>
      <w:r w:rsidRPr="00907E8E">
        <w:instrText xml:space="preserve"> REF  _Ref451174194 \* Lower \h  \* MERGEFORMAT </w:instrText>
      </w:r>
      <w:r w:rsidRPr="00907E8E">
        <w:fldChar w:fldCharType="separate"/>
      </w:r>
      <w:r w:rsidR="00C6448C" w:rsidRPr="00907E8E">
        <w:t xml:space="preserve">table </w:t>
      </w:r>
      <w:r w:rsidR="00C6448C">
        <w:t>3</w:t>
      </w:r>
      <w:r w:rsidR="00C6448C">
        <w:noBreakHyphen/>
        <w:t>10</w:t>
      </w:r>
      <w:r w:rsidRPr="00907E8E">
        <w:fldChar w:fldCharType="end"/>
      </w:r>
      <w:r w:rsidRPr="00907E8E">
        <w:t xml:space="preserve"> shows, we consider that neither an on-the-day nor trailing average approach would be clearly superior to the other. Rather, each of these approaches has its own benefits and limitations.</w:t>
      </w:r>
    </w:p>
    <w:p w:rsidR="00907E8E" w:rsidRPr="00907E8E" w:rsidRDefault="00907E8E" w:rsidP="00907E8E">
      <w:r w:rsidRPr="00907E8E">
        <w:t>Some service providers and CEG have implicitly criticised our view that continuing the on the day approach will contribute to a rate of return that will meet the ARORO.</w:t>
      </w:r>
      <w:r w:rsidRPr="00907E8E">
        <w:rPr>
          <w:rStyle w:val="FootnoteReference"/>
        </w:rPr>
        <w:footnoteReference w:id="596"/>
      </w:r>
      <w:r w:rsidRPr="00907E8E">
        <w:t xml:space="preserve"> CEG submit that that our valuation analysis we use to show the on the day approach provides an appropriate return assumes a firm has no debt.</w:t>
      </w:r>
      <w:r w:rsidRPr="00907E8E">
        <w:rPr>
          <w:rStyle w:val="FootnoteReference"/>
        </w:rPr>
        <w:footnoteReference w:id="597"/>
      </w:r>
      <w:r w:rsidRPr="00907E8E">
        <w:t xml:space="preserve"> We and our consultants considered the new material. Nothing in the new material submitted changes our views expressed above on why the continuation of the on the day regime will meet the ARORO. Our responses to the specific criticisms of our approach are covered in Appendix</w:t>
      </w:r>
      <w:r w:rsidR="00A525C4">
        <w:t xml:space="preserve"> </w:t>
      </w:r>
      <w:r w:rsidR="00A525C4">
        <w:fldChar w:fldCharType="begin"/>
      </w:r>
      <w:r w:rsidR="00A525C4">
        <w:instrText xml:space="preserve"> REF _Ref447886226 \r \h </w:instrText>
      </w:r>
      <w:r w:rsidR="00A525C4">
        <w:fldChar w:fldCharType="separate"/>
      </w:r>
      <w:r w:rsidR="00C6448C">
        <w:t>H.5.2</w:t>
      </w:r>
      <w:r w:rsidR="00A525C4">
        <w:fldChar w:fldCharType="end"/>
      </w:r>
      <w:r w:rsidRPr="00907E8E">
        <w:t>.</w:t>
      </w:r>
    </w:p>
    <w:p w:rsidR="00907E8E" w:rsidRPr="00907E8E" w:rsidRDefault="00907E8E" w:rsidP="00907E8E">
      <w:r w:rsidRPr="00907E8E">
        <w:t>Given this, while we adopt a trailing average for this determination, we do not consider this change in methodology would be justified in the absence of a transition. Without a transition, the change to the trailing average would not be revenue neutral, but would rather increase the present value of a benchmark efficient entity's allowed revenues purely due to changing the debt estimation methodology (see the subsequent section). Consequently, in the absence of a transition, we would not consider a trailing approach will achieve the ARORO and we would instead maintain the on-the-day approach to estimating the return on debt.</w:t>
      </w:r>
    </w:p>
    <w:p w:rsidR="00907E8E" w:rsidRPr="00907E8E" w:rsidRDefault="00907E8E" w:rsidP="00907E8E">
      <w:pPr>
        <w:pStyle w:val="Caption"/>
      </w:pPr>
      <w:bookmarkStart w:id="80" w:name="_Ref451174194"/>
      <w:r w:rsidRPr="00907E8E">
        <w:t xml:space="preserve">Table </w:t>
      </w:r>
      <w:fldSimple w:instr=" STYLEREF 1 \s ">
        <w:r w:rsidR="00C6448C">
          <w:rPr>
            <w:noProof/>
          </w:rPr>
          <w:t>3</w:t>
        </w:r>
      </w:fldSimple>
      <w:r w:rsidR="00882F3D">
        <w:noBreakHyphen/>
      </w:r>
      <w:fldSimple w:instr=" SEQ Table \* ARABIC \s 1 ">
        <w:r w:rsidR="00C6448C">
          <w:rPr>
            <w:noProof/>
          </w:rPr>
          <w:t>10</w:t>
        </w:r>
      </w:fldSimple>
      <w:bookmarkEnd w:id="80"/>
      <w:r w:rsidRPr="00907E8E">
        <w:t>: Benefits of different debt approaches</w:t>
      </w:r>
    </w:p>
    <w:tbl>
      <w:tblPr>
        <w:tblStyle w:val="AERtable-text0"/>
        <w:tblW w:w="0" w:type="auto"/>
        <w:tblLook w:val="04A0" w:firstRow="1" w:lastRow="0" w:firstColumn="1" w:lastColumn="0" w:noHBand="0" w:noVBand="1"/>
      </w:tblPr>
      <w:tblGrid>
        <w:gridCol w:w="4346"/>
        <w:gridCol w:w="4347"/>
      </w:tblGrid>
      <w:tr w:rsidR="00907E8E" w:rsidRPr="00485023" w:rsidTr="00907E8E">
        <w:trPr>
          <w:cnfStyle w:val="100000000000" w:firstRow="1" w:lastRow="0" w:firstColumn="0" w:lastColumn="0" w:oddVBand="0" w:evenVBand="0" w:oddHBand="0" w:evenHBand="0" w:firstRowFirstColumn="0" w:firstRowLastColumn="0" w:lastRowFirstColumn="0" w:lastRowLastColumn="0"/>
        </w:trPr>
        <w:tc>
          <w:tcPr>
            <w:tcW w:w="4346" w:type="dxa"/>
          </w:tcPr>
          <w:p w:rsidR="00907E8E" w:rsidRPr="00907E8E" w:rsidRDefault="00907E8E" w:rsidP="00907E8E">
            <w:r w:rsidRPr="00907E8E">
              <w:t>Benefits of a trailing average approach</w:t>
            </w:r>
          </w:p>
        </w:tc>
        <w:tc>
          <w:tcPr>
            <w:tcW w:w="4347" w:type="dxa"/>
          </w:tcPr>
          <w:p w:rsidR="00907E8E" w:rsidRPr="00907E8E" w:rsidRDefault="00907E8E" w:rsidP="00907E8E">
            <w:r w:rsidRPr="00907E8E">
              <w:t>Benefits of an on-the-day approach</w:t>
            </w:r>
          </w:p>
        </w:tc>
      </w:tr>
      <w:tr w:rsidR="00907E8E" w:rsidRPr="00485023" w:rsidTr="00907E8E">
        <w:tc>
          <w:tcPr>
            <w:tcW w:w="4346" w:type="dxa"/>
          </w:tcPr>
          <w:p w:rsidR="00907E8E" w:rsidRPr="00907E8E" w:rsidRDefault="00907E8E" w:rsidP="00907E8E">
            <w:r w:rsidRPr="00907E8E">
              <w:t xml:space="preserve"> </w:t>
            </w:r>
          </w:p>
          <w:p w:rsidR="00907E8E" w:rsidRPr="00907E8E" w:rsidRDefault="00907E8E" w:rsidP="00907E8E">
            <w:r w:rsidRPr="00907E8E">
              <w:t>A trailing average approach provides service providers with a regulatory benchmark that they can more readily match each regulatory control period.</w:t>
            </w:r>
            <w:r w:rsidRPr="00907E8E">
              <w:rPr>
                <w:rStyle w:val="FootnoteReference"/>
              </w:rPr>
              <w:footnoteReference w:id="598"/>
            </w:r>
            <w:r w:rsidRPr="00907E8E">
              <w:t xml:space="preserve"> As such, this provides a benchmark efficient entity with an enhanced opportunity to minimise any mismatch between actual costs and regulated revenues.</w:t>
            </w:r>
            <w:r w:rsidRPr="00907E8E">
              <w:rPr>
                <w:rStyle w:val="FootnoteReference"/>
              </w:rPr>
              <w:footnoteReference w:id="599"/>
            </w:r>
            <w:r w:rsidRPr="00907E8E">
              <w:t xml:space="preserve"> Nevertheless, it is important to note that this mismatch risk would not result in a benchmark efficient entity being ex-ante over- or under-compensated for its efficient debt financing costs for a regulatory control period or over the life of its assets.</w:t>
            </w:r>
          </w:p>
          <w:p w:rsidR="00907E8E" w:rsidRPr="00907E8E" w:rsidRDefault="00907E8E" w:rsidP="00907E8E">
            <w:r w:rsidRPr="00907E8E">
              <w:t xml:space="preserve">All else being equal, this reduced risk and the reduced need to enter hedging arrangements might lower the efficient cost of financing for a benchmark efficient entity and increase productive efficiency. </w:t>
            </w:r>
          </w:p>
          <w:p w:rsidR="00907E8E" w:rsidRPr="00907E8E" w:rsidRDefault="00907E8E" w:rsidP="00907E8E">
            <w:r w:rsidRPr="00907E8E">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 moved since the last reset.</w:t>
            </w:r>
          </w:p>
        </w:tc>
        <w:tc>
          <w:tcPr>
            <w:tcW w:w="4347" w:type="dxa"/>
          </w:tcPr>
          <w:p w:rsidR="00907E8E" w:rsidRPr="00907E8E" w:rsidRDefault="00907E8E" w:rsidP="00907E8E">
            <w:r w:rsidRPr="00907E8E">
              <w:t>An on-the-day approach better reflects the prevailing cost of debt in the capital market near the commencement of the regulatory control period. Due to this, it:</w:t>
            </w:r>
          </w:p>
          <w:p w:rsidR="00907E8E" w:rsidRPr="00907E8E" w:rsidRDefault="00907E8E" w:rsidP="00907E8E">
            <w:pPr>
              <w:pStyle w:val="AERbulletlistfirststyle"/>
            </w:pPr>
            <w:r w:rsidRPr="00907E8E">
              <w:t>Better reflects investors' opportunity cost of debt and expectations of future returns near the commencement of the regulatory control period.</w:t>
            </w:r>
            <w:r w:rsidRPr="00907E8E">
              <w:rPr>
                <w:rStyle w:val="FootnoteReference"/>
              </w:rPr>
              <w:footnoteReference w:id="600"/>
            </w:r>
            <w:r w:rsidRPr="00907E8E">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907E8E">
              <w:rPr>
                <w:rStyle w:val="FootnoteReference"/>
              </w:rPr>
              <w:footnoteReference w:id="601"/>
            </w:r>
          </w:p>
          <w:p w:rsidR="00907E8E" w:rsidRPr="00907E8E" w:rsidRDefault="00907E8E" w:rsidP="00907E8E">
            <w:pPr>
              <w:pStyle w:val="AERbulletlistfirststyle"/>
            </w:pPr>
            <w:r w:rsidRPr="00907E8E">
              <w:t xml:space="preserve">Is more internally consistent with how we estimate other components of the allowed rate of return and the building block model more generally. </w:t>
            </w:r>
          </w:p>
          <w:p w:rsidR="00907E8E" w:rsidRPr="00907E8E" w:rsidRDefault="00907E8E" w:rsidP="00907E8E">
            <w:pPr>
              <w:pStyle w:val="AERbulletlistfirststyle"/>
            </w:pPr>
            <w:r w:rsidRPr="00907E8E">
              <w:t>Leads to an estimate that is commensurate with efficient financing costs and competitive market outcomes near the commencement of the regulatory control period. We expect prevailing market rates for capital finance to be competitive.</w:t>
            </w:r>
            <w:r w:rsidRPr="00907E8E">
              <w:rPr>
                <w:rStyle w:val="FootnoteReference"/>
              </w:rPr>
              <w:footnoteReference w:id="602"/>
            </w:r>
            <w:r w:rsidRPr="00907E8E">
              <w:t xml:space="preserve"> Moreover, a return on debt that reflects the current market rate more closely imitates the outcomes of a competitive market by representing the costs that other service providers will face to enter the market.</w:t>
            </w:r>
            <w:r w:rsidRPr="00907E8E">
              <w:rPr>
                <w:rStyle w:val="FootnoteReference"/>
              </w:rPr>
              <w:footnoteReference w:id="603"/>
            </w:r>
          </w:p>
        </w:tc>
      </w:tr>
    </w:tbl>
    <w:p w:rsidR="00907E8E" w:rsidRPr="00907E8E" w:rsidRDefault="00907E8E" w:rsidP="00907E8E">
      <w:pPr>
        <w:pStyle w:val="AERtablesource"/>
      </w:pPr>
      <w:r w:rsidRPr="00907E8E">
        <w:t xml:space="preserve">Source: </w:t>
      </w:r>
      <w:r w:rsidRPr="00907E8E">
        <w:tab/>
        <w:t>AER analysis.</w:t>
      </w:r>
    </w:p>
    <w:p w:rsidR="00907E8E" w:rsidRPr="00907E8E" w:rsidRDefault="00907E8E" w:rsidP="00907E8E">
      <w:pPr>
        <w:pStyle w:val="HeadingBoldItalic"/>
      </w:pPr>
      <w:r w:rsidRPr="00907E8E">
        <w:t>An immediate adoption of a trailing average will not contribute to the achievement of the ARORO</w:t>
      </w:r>
    </w:p>
    <w:p w:rsidR="00907E8E" w:rsidRPr="00907E8E" w:rsidRDefault="00907E8E" w:rsidP="00907E8E">
      <w:r w:rsidRPr="00907E8E">
        <w:t xml:space="preserve">We have carefully considered the no transition path immediate move to the trailing average put forward in AusNet’s revised proposal. </w:t>
      </w:r>
    </w:p>
    <w:p w:rsidR="00907E8E" w:rsidRPr="00907E8E" w:rsidRDefault="00907E8E" w:rsidP="00907E8E">
      <w:r w:rsidRPr="00907E8E">
        <w:t xml:space="preserve">The following sections set out why an immediate (historical) trailing average approach to estimating the cost of debt will not contribute to the achievement of the ARORO. </w:t>
      </w:r>
    </w:p>
    <w:p w:rsidR="00907E8E" w:rsidRPr="00907E8E" w:rsidRDefault="00907E8E" w:rsidP="00907E8E">
      <w:r w:rsidRPr="00907E8E">
        <w:rPr>
          <w:rStyle w:val="AERbody"/>
        </w:rPr>
        <w:t>For the reasons discussed above in the section headed 'trailing average (with full transition) meets the ARORO', i</w:t>
      </w:r>
      <w:r w:rsidRPr="00907E8E">
        <w:t>mmediately moving to a trailing average by immediately adopting a historical cost of debt is likely to change the present value of a benchmark efficient entity's allowed revenues relative to a continuation of the on-the-day approach.</w:t>
      </w:r>
    </w:p>
    <w:p w:rsidR="00907E8E" w:rsidRPr="00907E8E" w:rsidRDefault="00907E8E" w:rsidP="00907E8E">
      <w:r w:rsidRPr="00907E8E">
        <w:t>The current market cost of debt is considerably below the average market cost of debt over the past nine years. As such, in current circumstances, an immediate transition would lead to an excess positive return relative to the efficient return in the market. All else being equal, this will result in a material increase in the present value of a benchmark efficient entity's allowed revenues relative to its expected efficient costs to a value well above its RAB, thereby overcompensating it. AusNet Services has not submitted material that satisfies us that materially increasing the present value of its allowed revenues from the change in methodology would contribute to the achievement of the ARORO or be consistent with the NEL/NGL.</w:t>
      </w:r>
    </w:p>
    <w:p w:rsidR="00907E8E" w:rsidRPr="00907E8E" w:rsidRDefault="00907E8E" w:rsidP="00907E8E">
      <w:r w:rsidRPr="00907E8E">
        <w:t>It is worth noting that equally, the trend in interest rates could have been reversed</w:t>
      </w:r>
      <w:r w:rsidRPr="00907E8E">
        <w:rPr>
          <w:rStyle w:val="AERbody"/>
        </w:rPr>
        <w:t xml:space="preserve"> (that is, if we had moved from a low to high interest rate environment)</w:t>
      </w:r>
      <w:r w:rsidRPr="00907E8E">
        <w:t xml:space="preserve">. If this occurred, an immediate transition would have led to a material decrease in the present value of a benchmark efficient entity's allowed revenues relative to its expected efficient costs, thereby undercompensating it. That is, </w:t>
      </w:r>
      <w:r w:rsidRPr="00907E8E">
        <w:rPr>
          <w:rStyle w:val="AERbody"/>
        </w:rPr>
        <w:t>the allowed return would have been below the efficient financing costs of a benchmark efficient entity.</w:t>
      </w:r>
      <w:r w:rsidRPr="00907E8E">
        <w:t xml:space="preserve"> Neither outcome would achieve the ARORO and would not lead to efficient investment and use of infrastructure, </w:t>
      </w:r>
      <w:r w:rsidRPr="00907E8E">
        <w:rPr>
          <w:rStyle w:val="AERbody"/>
        </w:rPr>
        <w:t>in the long term interest of consumers</w:t>
      </w:r>
      <w:r w:rsidRPr="00907E8E">
        <w:t>.</w:t>
      </w:r>
      <w:r w:rsidRPr="00907E8E">
        <w:rPr>
          <w:rStyle w:val="AERbody"/>
        </w:rPr>
        <w:t xml:space="preserve"> We explain this and show this mathematically in detail in </w:t>
      </w:r>
      <w:r w:rsidRPr="00907E8E">
        <w:t>Appendix</w:t>
      </w:r>
      <w:r w:rsidR="008B41F6">
        <w:t xml:space="preserve"> </w:t>
      </w:r>
      <w:r w:rsidR="008B41F6">
        <w:fldChar w:fldCharType="begin"/>
      </w:r>
      <w:r w:rsidR="008B41F6">
        <w:instrText xml:space="preserve"> REF _Ref479168723 \r \h </w:instrText>
      </w:r>
      <w:r w:rsidR="008B41F6">
        <w:fldChar w:fldCharType="separate"/>
      </w:r>
      <w:r w:rsidR="00C6448C">
        <w:t>H</w:t>
      </w:r>
      <w:r w:rsidR="008B41F6">
        <w:fldChar w:fldCharType="end"/>
      </w:r>
      <w:r w:rsidRPr="00907E8E">
        <w:rPr>
          <w:rStyle w:val="AERbody"/>
        </w:rPr>
        <w:t>.</w:t>
      </w:r>
    </w:p>
    <w:p w:rsidR="00907E8E" w:rsidRPr="00907E8E" w:rsidRDefault="00907E8E" w:rsidP="00907E8E">
      <w:r w:rsidRPr="00907E8E">
        <w:t>Further, we consider that failing to implement a revenue neutral transition would undermine the ARORO and the NEL/NGL for the following reasons:</w:t>
      </w:r>
    </w:p>
    <w:p w:rsidR="00907E8E" w:rsidRPr="00907E8E" w:rsidRDefault="00907E8E" w:rsidP="00907E8E">
      <w:pPr>
        <w:pStyle w:val="AERbulletlistfirststyle"/>
      </w:pPr>
      <w:r w:rsidRPr="00907E8E">
        <w:t xml:space="preserve">The future return on debt allowance would have a different present value if we switched methodologies to estimating the allowed return on debt without a transition. In Appendix </w:t>
      </w:r>
      <w:r w:rsidR="008B41F6">
        <w:fldChar w:fldCharType="begin"/>
      </w:r>
      <w:r w:rsidR="008B41F6">
        <w:instrText xml:space="preserve"> REF _Ref479168723 \r \h </w:instrText>
      </w:r>
      <w:r w:rsidR="008B41F6">
        <w:fldChar w:fldCharType="separate"/>
      </w:r>
      <w:r w:rsidR="00C6448C">
        <w:t>H</w:t>
      </w:r>
      <w:r w:rsidR="008B41F6">
        <w:fldChar w:fldCharType="end"/>
      </w:r>
      <w:r w:rsidRPr="00907E8E">
        <w:t xml:space="preserve">, we establish that continuing the on-the-day approach would satisfy the ARORO. Given this, changing approaches must be revenue neutral or it would either over- or under-compensate a benchmark efficient entity for its efficient debt financing costs. We do not consider this outcome contributes to the achievement of the ARORO, NEO/NGO or RPPs. </w:t>
      </w:r>
    </w:p>
    <w:p w:rsidR="00907E8E" w:rsidRPr="00907E8E" w:rsidRDefault="00907E8E" w:rsidP="00907E8E">
      <w:pPr>
        <w:pStyle w:val="AERbulletlistfirststyle"/>
      </w:pPr>
      <w:r w:rsidRPr="00907E8E">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This may undermine confidence in the predictability of the regulatory arrangements and lead to an inefficient increase in financing costs (all else being equal).</w:t>
      </w:r>
      <w:r w:rsidRPr="00907E8E">
        <w:rPr>
          <w:rStyle w:val="FootnoteReference"/>
        </w:rPr>
        <w:footnoteReference w:id="604"/>
      </w:r>
      <w:r w:rsidRPr="00907E8E">
        <w:t xml:space="preserve"> This is consistent with SFG's advice to the AEMC that:</w:t>
      </w:r>
      <w:r w:rsidRPr="00907E8E">
        <w:rPr>
          <w:rStyle w:val="FootnoteReference"/>
        </w:rPr>
        <w:footnoteReference w:id="605"/>
      </w:r>
    </w:p>
    <w:p w:rsidR="00907E8E" w:rsidRPr="00907E8E" w:rsidRDefault="00907E8E" w:rsidP="00907E8E">
      <w:pPr>
        <w:pStyle w:val="AERquote"/>
      </w:pPr>
      <w:r w:rsidRPr="00907E8E">
        <w:t>The lack of any transition arrangements in a setting whether the rule change exposes regulated businesses to risks that they did not previously face is likely to be viewed by the market for funds as a signal that a higher degree of regulatory risk should be priced into their provision of funds. Such an outcome is unlikely to be consistent with the NEO and RPP.</w:t>
      </w:r>
    </w:p>
    <w:p w:rsidR="00907E8E" w:rsidRPr="00907E8E" w:rsidRDefault="00907E8E" w:rsidP="00907E8E">
      <w:pPr>
        <w:pStyle w:val="AERbulletlistfirststyle"/>
      </w:pPr>
      <w:r w:rsidRPr="00907E8E">
        <w:t>Incentives on service providers to adopt efficient financing practices (and thereby minimise their long run cost of capital all else being equal) under the regulatory regime may be undermined.</w:t>
      </w:r>
      <w:r w:rsidRPr="00907E8E">
        <w:rPr>
          <w:rStyle w:val="FootnoteReference"/>
        </w:rPr>
        <w:footnoteReference w:id="606"/>
      </w:r>
      <w:r w:rsidRPr="00907E8E">
        <w:t xml:space="preserve"> For instance, by allowing service providers to bear the consequences (or reap the benefits) of their actions from prior regulatory control periods, this incentivises them to efficiently manage financial risk.</w:t>
      </w:r>
    </w:p>
    <w:p w:rsidR="00907E8E" w:rsidRPr="00907E8E" w:rsidRDefault="00907E8E" w:rsidP="00907E8E">
      <w:pPr>
        <w:pStyle w:val="HeadingItalic"/>
      </w:pPr>
      <w:r w:rsidRPr="00907E8E">
        <w:t>Hybrid transitions will not contribute to the achievement of the ARORO</w:t>
      </w:r>
    </w:p>
    <w:p w:rsidR="00907E8E" w:rsidRPr="00907E8E" w:rsidRDefault="00907E8E" w:rsidP="00907E8E">
      <w:pPr>
        <w:rPr>
          <w:rStyle w:val="AERbody"/>
        </w:rPr>
      </w:pPr>
      <w:r w:rsidRPr="00907E8E">
        <w:rPr>
          <w:rStyle w:val="AERbody"/>
        </w:rPr>
        <w:t>Two alternative forms of hybrid transition have been proposed previously:</w:t>
      </w:r>
    </w:p>
    <w:p w:rsidR="00907E8E" w:rsidRPr="00907E8E" w:rsidRDefault="00907E8E" w:rsidP="00907E8E">
      <w:pPr>
        <w:pStyle w:val="AERbulletlistfirststyle"/>
      </w:pPr>
      <w:r w:rsidRPr="00907E8E">
        <w:t>Hybrid transition</w:t>
      </w:r>
      <w:r w:rsidRPr="00907E8E">
        <w:rPr>
          <w:rStyle w:val="FootnoteReference"/>
        </w:rPr>
        <w:footnoteReference w:id="607"/>
      </w:r>
      <w:r w:rsidRPr="00907E8E">
        <w:t>—Start with an on-the-day approach for the base rate component and gradually transition into a trailing average approach over 10 years. This would be combined with a backwards looking trailing average DRP (that is, a base rate transition only).</w:t>
      </w:r>
    </w:p>
    <w:p w:rsidR="00907E8E" w:rsidRPr="00907E8E" w:rsidRDefault="00907E8E" w:rsidP="00907E8E">
      <w:pPr>
        <w:pStyle w:val="AERbulletlistfirststyle"/>
      </w:pPr>
      <w:r w:rsidRPr="00907E8E">
        <w:t>Hybrid transition under partial hedging</w:t>
      </w:r>
      <w:r w:rsidRPr="00907E8E">
        <w:rPr>
          <w:rStyle w:val="FootnoteReference"/>
        </w:rPr>
        <w:footnoteReference w:id="608"/>
      </w:r>
      <w:r w:rsidRPr="00907E8E">
        <w:t>—Assume a benchmark efficient entity hedged only one third of the base rate under the on-the-day regime on the basis that this would have been ex-post optimal.</w:t>
      </w:r>
      <w:r w:rsidR="0046271E">
        <w:rPr>
          <w:rStyle w:val="FootnoteReference"/>
        </w:rPr>
        <w:footnoteReference w:id="609"/>
      </w:r>
      <w:r w:rsidRPr="00907E8E">
        <w:t xml:space="preserve"> Gradually transition this portion of the base rate and apply an immediate trailing average to the other two thirds of the base rate and the entire DRP component.</w:t>
      </w:r>
      <w:r w:rsidR="0046271E">
        <w:rPr>
          <w:rStyle w:val="FootnoteReference"/>
        </w:rPr>
        <w:footnoteReference w:id="610"/>
      </w:r>
    </w:p>
    <w:p w:rsidR="00907E8E" w:rsidRPr="00907E8E" w:rsidRDefault="00907E8E" w:rsidP="00907E8E">
      <w:pPr>
        <w:rPr>
          <w:rStyle w:val="AERbody"/>
        </w:rPr>
      </w:pPr>
      <w:r w:rsidRPr="00907E8E">
        <w:rPr>
          <w:rStyle w:val="AERbody"/>
        </w:rPr>
        <w:t>For completeness this section sets out our view on both of these hybrid transitions. We remain of the view a hybrid transition is not appropriate, will not meet the ARORO and will not meet the NEO. These views, and our reasoning, have not changed since the final AER decisions that covered these issues released in May 2016.</w:t>
      </w:r>
      <w:r w:rsidRPr="00907E8E">
        <w:rPr>
          <w:rStyle w:val="FootnoteReference"/>
        </w:rPr>
        <w:footnoteReference w:id="611"/>
      </w:r>
      <w:r w:rsidRPr="00907E8E">
        <w:rPr>
          <w:rStyle w:val="AERbody"/>
        </w:rPr>
        <w:t xml:space="preserve">  </w:t>
      </w:r>
    </w:p>
    <w:p w:rsidR="00907E8E" w:rsidRPr="00907E8E" w:rsidRDefault="00907E8E" w:rsidP="00907E8E">
      <w:pPr>
        <w:rPr>
          <w:rStyle w:val="AERbody"/>
        </w:rPr>
      </w:pPr>
      <w:r w:rsidRPr="00907E8E">
        <w:rPr>
          <w:rStyle w:val="AERbody"/>
        </w:rPr>
        <w:t xml:space="preserve">As </w:t>
      </w:r>
      <w:r w:rsidRPr="00907E8E">
        <w:rPr>
          <w:rStyle w:val="AERbody"/>
        </w:rPr>
        <w:fldChar w:fldCharType="begin"/>
      </w:r>
      <w:r w:rsidRPr="00907E8E">
        <w:rPr>
          <w:rStyle w:val="AERbody"/>
        </w:rPr>
        <w:instrText xml:space="preserve"> REF  _Ref451174220 \* Lower \h  \* MERGEFORMAT </w:instrText>
      </w:r>
      <w:r w:rsidRPr="00907E8E">
        <w:rPr>
          <w:rStyle w:val="AERbody"/>
        </w:rPr>
      </w:r>
      <w:r w:rsidRPr="00907E8E">
        <w:rPr>
          <w:rStyle w:val="AERbody"/>
        </w:rPr>
        <w:fldChar w:fldCharType="separate"/>
      </w:r>
      <w:r w:rsidR="00C6448C" w:rsidRPr="00907E8E">
        <w:t xml:space="preserve">table </w:t>
      </w:r>
      <w:r w:rsidR="00C6448C">
        <w:t>3</w:t>
      </w:r>
      <w:r w:rsidR="00C6448C">
        <w:noBreakHyphen/>
        <w:t>11</w:t>
      </w:r>
      <w:r w:rsidRPr="00907E8E">
        <w:rPr>
          <w:rStyle w:val="AERbody"/>
        </w:rPr>
        <w:fldChar w:fldCharType="end"/>
      </w:r>
      <w:r w:rsidRPr="00907E8E">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achieve the ARORO. For this reason, our analysis above on why immediately moving to a trailing average approach will not contribute to the achievement of the ARORO also applies to the hybrid transitions that </w:t>
      </w:r>
      <w:r w:rsidR="00DF4722">
        <w:rPr>
          <w:rStyle w:val="AERbody"/>
        </w:rPr>
        <w:t xml:space="preserve">some </w:t>
      </w:r>
      <w:r w:rsidRPr="00907E8E">
        <w:rPr>
          <w:rStyle w:val="AERbody"/>
        </w:rPr>
        <w:t xml:space="preserve">service providers have </w:t>
      </w:r>
      <w:r w:rsidR="00DF4722">
        <w:rPr>
          <w:rStyle w:val="AERbody"/>
        </w:rPr>
        <w:t xml:space="preserve">previously </w:t>
      </w:r>
      <w:r w:rsidRPr="00907E8E">
        <w:rPr>
          <w:rStyle w:val="AERbody"/>
        </w:rPr>
        <w:t xml:space="preserve">proposed. </w:t>
      </w:r>
    </w:p>
    <w:p w:rsidR="00907E8E" w:rsidRPr="00907E8E" w:rsidRDefault="00907E8E" w:rsidP="00907E8E">
      <w:pPr>
        <w:pStyle w:val="Caption"/>
        <w:rPr>
          <w:rStyle w:val="AERbody"/>
        </w:rPr>
      </w:pPr>
      <w:bookmarkStart w:id="81" w:name="_Ref451174220"/>
      <w:r w:rsidRPr="00907E8E">
        <w:t xml:space="preserve">Table </w:t>
      </w:r>
      <w:fldSimple w:instr=" STYLEREF 1 \s ">
        <w:r w:rsidR="00C6448C">
          <w:rPr>
            <w:noProof/>
          </w:rPr>
          <w:t>3</w:t>
        </w:r>
      </w:fldSimple>
      <w:r w:rsidR="00882F3D">
        <w:noBreakHyphen/>
      </w:r>
      <w:fldSimple w:instr=" SEQ Table \* ARABIC \s 1 ">
        <w:r w:rsidR="00C6448C">
          <w:rPr>
            <w:noProof/>
          </w:rPr>
          <w:t>11</w:t>
        </w:r>
      </w:fldSimple>
      <w:bookmarkEnd w:id="81"/>
      <w:r w:rsidRPr="00907E8E">
        <w:tab/>
        <w:t>Different transitions to a trailing average proposed by various service providers</w:t>
      </w:r>
    </w:p>
    <w:tbl>
      <w:tblPr>
        <w:tblStyle w:val="AERtable-text0"/>
        <w:tblW w:w="0" w:type="auto"/>
        <w:tblLook w:val="04A0" w:firstRow="1" w:lastRow="0" w:firstColumn="1" w:lastColumn="0" w:noHBand="0" w:noVBand="1"/>
      </w:tblPr>
      <w:tblGrid>
        <w:gridCol w:w="2556"/>
        <w:gridCol w:w="3089"/>
        <w:gridCol w:w="3048"/>
      </w:tblGrid>
      <w:tr w:rsidR="00907E8E" w:rsidRPr="00485023" w:rsidTr="00907E8E">
        <w:trPr>
          <w:cnfStyle w:val="100000000000" w:firstRow="1" w:lastRow="0" w:firstColumn="0" w:lastColumn="0" w:oddVBand="0" w:evenVBand="0" w:oddHBand="0" w:evenHBand="0" w:firstRowFirstColumn="0" w:firstRowLastColumn="0" w:lastRowFirstColumn="0" w:lastRowLastColumn="0"/>
        </w:trPr>
        <w:tc>
          <w:tcPr>
            <w:tcW w:w="2556" w:type="dxa"/>
          </w:tcPr>
          <w:p w:rsidR="00907E8E" w:rsidRPr="00907E8E" w:rsidRDefault="00907E8E" w:rsidP="00907E8E">
            <w:r w:rsidRPr="00907E8E">
              <w:t>Form of transition</w:t>
            </w:r>
          </w:p>
        </w:tc>
        <w:tc>
          <w:tcPr>
            <w:tcW w:w="3089" w:type="dxa"/>
          </w:tcPr>
          <w:p w:rsidR="00907E8E" w:rsidRPr="00907E8E" w:rsidRDefault="00907E8E" w:rsidP="00907E8E">
            <w:r w:rsidRPr="00907E8E">
              <w:t>Revenue-neutral transition by updating 10% per year over 10 years</w:t>
            </w:r>
          </w:p>
        </w:tc>
        <w:tc>
          <w:tcPr>
            <w:tcW w:w="3048" w:type="dxa"/>
          </w:tcPr>
          <w:p w:rsidR="00907E8E" w:rsidRPr="00907E8E" w:rsidRDefault="00907E8E" w:rsidP="00907E8E">
            <w:r w:rsidRPr="00907E8E">
              <w:t>Immediately move to a trailing average approach</w:t>
            </w:r>
          </w:p>
        </w:tc>
      </w:tr>
      <w:tr w:rsidR="00907E8E" w:rsidRPr="00485023" w:rsidTr="00907E8E">
        <w:tc>
          <w:tcPr>
            <w:tcW w:w="2556" w:type="dxa"/>
          </w:tcPr>
          <w:p w:rsidR="00907E8E" w:rsidRPr="00907E8E" w:rsidRDefault="00907E8E" w:rsidP="00907E8E">
            <w:r w:rsidRPr="00907E8E">
              <w:t>Full transition</w:t>
            </w:r>
          </w:p>
        </w:tc>
        <w:tc>
          <w:tcPr>
            <w:tcW w:w="3089" w:type="dxa"/>
          </w:tcPr>
          <w:p w:rsidR="00907E8E" w:rsidRPr="00907E8E" w:rsidRDefault="00907E8E" w:rsidP="00907E8E">
            <w:r w:rsidRPr="00907E8E">
              <w:t>100% of base rate + DRP</w:t>
            </w:r>
          </w:p>
        </w:tc>
        <w:tc>
          <w:tcPr>
            <w:tcW w:w="3048" w:type="dxa"/>
          </w:tcPr>
          <w:p w:rsidR="00907E8E" w:rsidRPr="00907E8E" w:rsidRDefault="00907E8E" w:rsidP="00907E8E">
            <w:r w:rsidRPr="00907E8E">
              <w:t>-</w:t>
            </w:r>
          </w:p>
        </w:tc>
      </w:tr>
      <w:tr w:rsidR="00907E8E" w:rsidRPr="00485023" w:rsidTr="00907E8E">
        <w:trPr>
          <w:cnfStyle w:val="000000010000" w:firstRow="0" w:lastRow="0" w:firstColumn="0" w:lastColumn="0" w:oddVBand="0" w:evenVBand="0" w:oddHBand="0" w:evenHBand="1" w:firstRowFirstColumn="0" w:firstRowLastColumn="0" w:lastRowFirstColumn="0" w:lastRowLastColumn="0"/>
        </w:trPr>
        <w:tc>
          <w:tcPr>
            <w:tcW w:w="2556" w:type="dxa"/>
          </w:tcPr>
          <w:p w:rsidR="00907E8E" w:rsidRPr="00907E8E" w:rsidRDefault="00907E8E" w:rsidP="00907E8E">
            <w:r w:rsidRPr="00907E8E">
              <w:t>Hybrid transition</w:t>
            </w:r>
          </w:p>
        </w:tc>
        <w:tc>
          <w:tcPr>
            <w:tcW w:w="3089" w:type="dxa"/>
          </w:tcPr>
          <w:p w:rsidR="00907E8E" w:rsidRPr="00907E8E" w:rsidRDefault="00907E8E" w:rsidP="00907E8E">
            <w:r w:rsidRPr="00907E8E">
              <w:t xml:space="preserve">100% of base rate </w:t>
            </w:r>
          </w:p>
        </w:tc>
        <w:tc>
          <w:tcPr>
            <w:tcW w:w="3048" w:type="dxa"/>
          </w:tcPr>
          <w:p w:rsidR="00907E8E" w:rsidRPr="00907E8E" w:rsidRDefault="00907E8E" w:rsidP="00907E8E">
            <w:r w:rsidRPr="00907E8E">
              <w:t>DRP</w:t>
            </w:r>
          </w:p>
        </w:tc>
      </w:tr>
      <w:tr w:rsidR="00907E8E" w:rsidRPr="00485023" w:rsidTr="00907E8E">
        <w:tc>
          <w:tcPr>
            <w:tcW w:w="2556" w:type="dxa"/>
          </w:tcPr>
          <w:p w:rsidR="00907E8E" w:rsidRPr="00907E8E" w:rsidRDefault="00907E8E" w:rsidP="00907E8E">
            <w:r w:rsidRPr="00907E8E">
              <w:t>Hybrid transition under partial hedging</w:t>
            </w:r>
          </w:p>
        </w:tc>
        <w:tc>
          <w:tcPr>
            <w:tcW w:w="3089" w:type="dxa"/>
          </w:tcPr>
          <w:p w:rsidR="00907E8E" w:rsidRPr="00907E8E" w:rsidRDefault="00907E8E" w:rsidP="00907E8E">
            <w:r w:rsidRPr="00907E8E">
              <w:t xml:space="preserve">1/3 of base rate </w:t>
            </w:r>
          </w:p>
        </w:tc>
        <w:tc>
          <w:tcPr>
            <w:tcW w:w="3048" w:type="dxa"/>
          </w:tcPr>
          <w:p w:rsidR="00907E8E" w:rsidRPr="00907E8E" w:rsidRDefault="00907E8E" w:rsidP="00907E8E">
            <w:r w:rsidRPr="00907E8E">
              <w:t>2/3 of base rate + DRP</w:t>
            </w:r>
          </w:p>
        </w:tc>
      </w:tr>
      <w:tr w:rsidR="00907E8E" w:rsidRPr="00485023" w:rsidTr="00907E8E">
        <w:trPr>
          <w:cnfStyle w:val="000000010000" w:firstRow="0" w:lastRow="0" w:firstColumn="0" w:lastColumn="0" w:oddVBand="0" w:evenVBand="0" w:oddHBand="0" w:evenHBand="1" w:firstRowFirstColumn="0" w:firstRowLastColumn="0" w:lastRowFirstColumn="0" w:lastRowLastColumn="0"/>
        </w:trPr>
        <w:tc>
          <w:tcPr>
            <w:tcW w:w="2556" w:type="dxa"/>
          </w:tcPr>
          <w:p w:rsidR="00907E8E" w:rsidRPr="00907E8E" w:rsidRDefault="00907E8E" w:rsidP="00907E8E">
            <w:r w:rsidRPr="00907E8E">
              <w:t>No transition</w:t>
            </w:r>
          </w:p>
        </w:tc>
        <w:tc>
          <w:tcPr>
            <w:tcW w:w="3089" w:type="dxa"/>
          </w:tcPr>
          <w:p w:rsidR="00907E8E" w:rsidRPr="00907E8E" w:rsidRDefault="00907E8E" w:rsidP="00907E8E">
            <w:r w:rsidRPr="00907E8E">
              <w:t>-</w:t>
            </w:r>
          </w:p>
        </w:tc>
        <w:tc>
          <w:tcPr>
            <w:tcW w:w="3048" w:type="dxa"/>
          </w:tcPr>
          <w:p w:rsidR="00907E8E" w:rsidRPr="00907E8E" w:rsidRDefault="00907E8E" w:rsidP="00907E8E">
            <w:r w:rsidRPr="00907E8E">
              <w:t>100% of base rate + DRP</w:t>
            </w:r>
          </w:p>
        </w:tc>
      </w:tr>
    </w:tbl>
    <w:p w:rsidR="00907E8E" w:rsidRPr="00907E8E" w:rsidRDefault="00907E8E" w:rsidP="00907E8E">
      <w:pPr>
        <w:pStyle w:val="AERtablesource"/>
      </w:pPr>
      <w:r w:rsidRPr="00907E8E">
        <w:t xml:space="preserve">Source: </w:t>
      </w:r>
      <w:r w:rsidRPr="00907E8E">
        <w:tab/>
        <w:t>AER analysis.</w:t>
      </w:r>
    </w:p>
    <w:p w:rsidR="00907E8E" w:rsidRPr="00907E8E" w:rsidRDefault="00907E8E" w:rsidP="00907E8E">
      <w:r w:rsidRPr="00907E8E">
        <w:t xml:space="preserve">For clarity, we also emphasise why the logic underpinning the use of a hybrid transition is problematic. By basing </w:t>
      </w:r>
      <w:r w:rsidR="00265DD1">
        <w:t>TasNetworks'</w:t>
      </w:r>
      <w:r w:rsidR="00265DD1" w:rsidRPr="00907E8E">
        <w:t xml:space="preserve"> </w:t>
      </w:r>
      <w:r w:rsidRPr="00907E8E">
        <w:t>debt allowance on a 10 year historical DRP, a hybrid transition would effectively remove realised losses or gains from interest rate risk that it had previously borne. This reasoning also applies to an immediate transition.</w:t>
      </w:r>
    </w:p>
    <w:p w:rsidR="00907E8E" w:rsidRPr="00907E8E" w:rsidRDefault="00907E8E" w:rsidP="00907E8E">
      <w:r w:rsidRPr="00907E8E">
        <w:t xml:space="preserve">As </w:t>
      </w:r>
      <w:r w:rsidR="001877D0">
        <w:t xml:space="preserve">TasNetworks </w:t>
      </w:r>
      <w:r w:rsidRPr="00907E8E">
        <w:t xml:space="preserve"> operate</w:t>
      </w:r>
      <w:r w:rsidR="001877D0">
        <w:t>s</w:t>
      </w:r>
      <w:r w:rsidRPr="00907E8E">
        <w:t xml:space="preserve"> under an ex-ante regulatory regime, we consider the ARORO requires us to provide ex-ante efficient compensation. This does not entail compensating for historically incurred costs. That would be cost of service, not incentive regulation. Investors have invested accepting the interest rate risk from the on-the-day approach, and we have already appropriately compensated </w:t>
      </w:r>
      <w:r w:rsidR="00855F46">
        <w:t>TasNetworks</w:t>
      </w:r>
      <w:r w:rsidR="00265DD1">
        <w:t xml:space="preserve"> </w:t>
      </w:r>
      <w:r w:rsidRPr="00907E8E">
        <w:t>for bearing this risk. For both reasons, removing the outcomes of this risk ex-post would not contribute to the achievement of the ARORO.</w:t>
      </w:r>
      <w:r w:rsidRPr="00907E8E">
        <w:rPr>
          <w:rStyle w:val="FootnoteReference"/>
        </w:rPr>
        <w:footnoteReference w:id="612"/>
      </w:r>
      <w:r w:rsidRPr="00907E8E">
        <w:t xml:space="preserve">  </w:t>
      </w:r>
    </w:p>
    <w:p w:rsidR="00907E8E" w:rsidRPr="00907E8E" w:rsidRDefault="00907E8E" w:rsidP="00907E8E">
      <w:r w:rsidRPr="00907E8E">
        <w:t>Further, we consider that we have appropriately compensated investors for the risks they faced when we set the allowed return on debt using the on-the-day approach. This is because:</w:t>
      </w:r>
    </w:p>
    <w:p w:rsidR="00907E8E" w:rsidRPr="00907E8E" w:rsidRDefault="00907E8E" w:rsidP="00907E8E">
      <w:pPr>
        <w:pStyle w:val="AERbulletlistfirststyle"/>
      </w:pPr>
      <w:r w:rsidRPr="00907E8E">
        <w:t>We have set the allowed return on debt using the on-the-day approach for many years.</w:t>
      </w:r>
      <w:r w:rsidRPr="00907E8E">
        <w:rPr>
          <w:rStyle w:val="FootnoteReference"/>
        </w:rPr>
        <w:footnoteReference w:id="613"/>
      </w:r>
      <w:r w:rsidRPr="00907E8E">
        <w:t xml:space="preserve"> As such, when we applied the on-the-day approach, investors in a benchmark efficient entity would have expected us to reset the return on debt at the start of each regulatory control period and accepted any risks associated with this approach. When we proposed moving to a trailing average in the Guideline, this proposal was contingent on applying a transition so that the value of the firm aligned with previous investor expectations under the on-the-day regime.</w:t>
      </w:r>
    </w:p>
    <w:p w:rsidR="00907E8E" w:rsidRPr="00907E8E" w:rsidRDefault="00907E8E" w:rsidP="00907E8E">
      <w:pPr>
        <w:pStyle w:val="AERbulletlistfirststyle"/>
      </w:pPr>
      <w:r w:rsidRPr="00907E8E">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sidRPr="00907E8E">
        <w:rPr>
          <w:rStyle w:val="FootnoteReference"/>
        </w:rPr>
        <w:footnoteReference w:id="614"/>
      </w:r>
    </w:p>
    <w:p w:rsidR="00907E8E" w:rsidRPr="00907E8E" w:rsidRDefault="00907E8E" w:rsidP="00907E8E">
      <w:r w:rsidRPr="00907E8E">
        <w:rPr>
          <w:rStyle w:val="AERbody"/>
        </w:rPr>
        <w:t>Further, regarding the reasoning put forward for a hybrid transition under</w:t>
      </w:r>
      <w:r w:rsidRPr="00907E8E">
        <w:t xml:space="preserve"> partial hedging, we consider a full transition</w:t>
      </w:r>
      <w:r w:rsidR="008764CF">
        <w:t xml:space="preserve"> is</w:t>
      </w:r>
      <w:r w:rsidRPr="00907E8E">
        <w:t xml:space="preserve"> necessary to satisfy the ARORO and NEO/NGO even if firms partially hedged. </w:t>
      </w:r>
    </w:p>
    <w:p w:rsidR="00907E8E" w:rsidRPr="00907E8E" w:rsidRDefault="00907E8E" w:rsidP="00907E8E">
      <w:pPr>
        <w:pStyle w:val="HeadingBoldItalic"/>
      </w:pPr>
      <w:r w:rsidRPr="00907E8E">
        <w:t>General problems with using approaches based on historical data</w:t>
      </w:r>
    </w:p>
    <w:p w:rsidR="00907E8E" w:rsidRPr="00907E8E" w:rsidRDefault="00907E8E" w:rsidP="00907E8E">
      <w:r w:rsidRPr="00907E8E">
        <w:t>Both the immediate and hybrid forms of transition to the trailing average rely on using historical data to estimate the allowed return on debt. We consider this has the following problems:</w:t>
      </w:r>
    </w:p>
    <w:p w:rsidR="00907E8E" w:rsidRPr="00907E8E" w:rsidRDefault="00907E8E" w:rsidP="00907E8E">
      <w:pPr>
        <w:pStyle w:val="AERbulletlistfirststyle"/>
      </w:pPr>
      <w:r w:rsidRPr="00907E8E">
        <w:t xml:space="preserve">All of these transition paths would produce a return on debt allowance that effectively removes interest rate risk (to at least some extent) incurred in prior regulatory control periods. A benchmark efficient entity was required to bear and manage this risk under the on-the-day approach. As such, these transition paths would alter </w:t>
      </w:r>
      <w:r w:rsidR="00265DD1">
        <w:t>TasNetworks</w:t>
      </w:r>
      <w:r w:rsidR="00265DD1" w:rsidRPr="00907E8E" w:rsidDel="00265DD1">
        <w:t xml:space="preserve"> </w:t>
      </w:r>
      <w:r w:rsidRPr="00907E8E">
        <w:t xml:space="preserve"> historic risk profiles </w:t>
      </w:r>
      <w:r w:rsidRPr="00907E8E">
        <w:rPr>
          <w:rStyle w:val="AERtextunderline"/>
        </w:rPr>
        <w:t>after</w:t>
      </w:r>
      <w:r w:rsidRPr="00907E8E">
        <w:t xml:space="preserve"> it had made decisions on how to manage its financial risk.</w:t>
      </w:r>
    </w:p>
    <w:p w:rsidR="00907E8E" w:rsidRPr="00907E8E" w:rsidRDefault="00907E8E" w:rsidP="00907E8E">
      <w:pPr>
        <w:pStyle w:val="AERbulletlistfirststyle"/>
      </w:pPr>
      <w:r w:rsidRPr="00907E8E">
        <w:t>Choosing an approach that uses historical data after parties already know the results of that historical data has the potential to bias regulatory decisions. In our recent preliminary decisions, we explained that when parties (whether they are service providers, the Tribunal, or ourselves) choose historical averaging periods, the knowledge of the return on debt at any past point may influence the choice.</w:t>
      </w:r>
      <w:r w:rsidRPr="00907E8E">
        <w:rPr>
          <w:rStyle w:val="FootnoteReference"/>
        </w:rPr>
        <w:footnoteReference w:id="615"/>
      </w:r>
      <w:r w:rsidRPr="00907E8E">
        <w:t xml:space="preserve"> For example, if a service provider could select an averaging period by looking at historical yields, it could introduce an upward bias.</w:t>
      </w:r>
      <w:r w:rsidRPr="00907E8E">
        <w:rPr>
          <w:rStyle w:val="AERsuperscript"/>
        </w:rPr>
        <w:footnoteReference w:id="616"/>
      </w:r>
      <w:r w:rsidRPr="00907E8E">
        <w:t xml:space="preserve"> This is one of  the reasons why, when recommending a gradual transition into the trailing average approach, QTC stated:</w:t>
      </w:r>
    </w:p>
    <w:p w:rsidR="00907E8E" w:rsidRPr="00907E8E" w:rsidRDefault="00907E8E" w:rsidP="00907E8E">
      <w:pPr>
        <w:pStyle w:val="AERquote"/>
        <w:rPr>
          <w:rStyle w:val="AERsuperscript"/>
        </w:rPr>
      </w:pPr>
      <w:r w:rsidRPr="00907E8E">
        <w:t>The transitional rule ensures that the NSP is not able to receive a higher initial rate simply by electing to use the moving average approach. It also avoids the need to reach agreement on the return on debt calculation for each of the preceding nine years</w:t>
      </w:r>
      <w:r w:rsidRPr="00907E8E">
        <w:rPr>
          <w:rStyle w:val="AERsuperscript"/>
        </w:rPr>
        <w:t>.</w:t>
      </w:r>
      <w:r w:rsidRPr="00907E8E">
        <w:rPr>
          <w:rStyle w:val="AERsuperscript"/>
        </w:rPr>
        <w:footnoteReference w:id="617"/>
      </w:r>
    </w:p>
    <w:p w:rsidR="00907E8E" w:rsidRPr="00907E8E" w:rsidRDefault="00907E8E" w:rsidP="00907E8E">
      <w:pPr>
        <w:pStyle w:val="AERbulletlistfirststyle"/>
      </w:pPr>
      <w:r w:rsidRPr="00907E8E">
        <w:t>In our preliminary decisions for the Vic</w:t>
      </w:r>
      <w:r w:rsidR="00C85FC8">
        <w:t>torian</w:t>
      </w:r>
      <w:r w:rsidR="00855F46">
        <w:t xml:space="preserve"> Distribution Network Service Provider</w:t>
      </w:r>
      <w:r w:rsidR="00C85FC8">
        <w:t>s</w:t>
      </w:r>
      <w:r w:rsidRPr="00907E8E">
        <w:t xml:space="preserve"> </w:t>
      </w:r>
      <w:r w:rsidR="00855F46">
        <w:t>(</w:t>
      </w:r>
      <w:r w:rsidRPr="00907E8E">
        <w:t>DNSPs</w:t>
      </w:r>
      <w:r w:rsidR="00855F46">
        <w:t>)</w:t>
      </w:r>
      <w:r w:rsidR="00C85FC8">
        <w:rPr>
          <w:rStyle w:val="FootnoteReference"/>
        </w:rPr>
        <w:footnoteReference w:id="618"/>
      </w:r>
      <w:r w:rsidRPr="00907E8E">
        <w:t>, we observed there are practical problems with using historical data dating back nine years.</w:t>
      </w:r>
      <w:r w:rsidRPr="00907E8E">
        <w:rPr>
          <w:rStyle w:val="FootnoteReference"/>
        </w:rPr>
        <w:footnoteReference w:id="619"/>
      </w:r>
      <w:r w:rsidRPr="00907E8E">
        <w:t xml:space="preserve"> In particular, high quality and readily available historical data is unavailable for the DRP component of the return on debt.</w:t>
      </w:r>
      <w:r w:rsidRPr="00907E8E">
        <w:rPr>
          <w:rStyle w:val="FootnoteReference"/>
        </w:rPr>
        <w:footnoteReference w:id="620"/>
      </w:r>
      <w:r w:rsidRPr="00907E8E">
        <w:t xml:space="preserve"> There is also no consensus among service providers on how to estimate the historical debt risk premium. Moreover, the results of the different data series vary considerably with Lally observing:</w:t>
      </w:r>
      <w:r w:rsidRPr="00907E8E">
        <w:rPr>
          <w:rStyle w:val="FootnoteReference"/>
        </w:rPr>
        <w:footnoteReference w:id="621"/>
      </w:r>
    </w:p>
    <w:p w:rsidR="00907E8E" w:rsidRPr="00907E8E" w:rsidRDefault="00907E8E" w:rsidP="00907E8E">
      <w:pPr>
        <w:pStyle w:val="AERquote"/>
      </w:pPr>
      <w:r w:rsidRPr="00907E8E">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C04C58" w:rsidRPr="00C04C58" w:rsidRDefault="00C04C58" w:rsidP="00C04C58">
      <w:pPr>
        <w:pStyle w:val="HeadingBoldBlue"/>
      </w:pPr>
      <w:r w:rsidRPr="00C04C58">
        <w:t>Implementing the return on debt approach</w:t>
      </w:r>
    </w:p>
    <w:p w:rsidR="00C04C58" w:rsidRPr="00C04C58" w:rsidRDefault="00C04C58" w:rsidP="00C04C58">
      <w:r w:rsidRPr="00C04C58">
        <w:t xml:space="preserve">In the previous section, we set out our approach to estimating the allowed return on debt. This approach involves estimating the allowed return on debt using the on-the-day approach gradually transitioning into a trailing average approach over 10 years. This gradual transition will occur through updating 10 per cent of the allowed return on debt each year to reflect prevailing market conditions during </w:t>
      </w:r>
      <w:r w:rsidR="00265DD1">
        <w:t>TasNetworks</w:t>
      </w:r>
      <w:r w:rsidR="00265DD1" w:rsidRPr="00C04C58" w:rsidDel="00265DD1">
        <w:t xml:space="preserve"> </w:t>
      </w:r>
      <w:r w:rsidR="00265DD1">
        <w:t xml:space="preserve">' </w:t>
      </w:r>
      <w:r w:rsidRPr="00C04C58">
        <w:t>averaging period for that year.</w:t>
      </w:r>
    </w:p>
    <w:p w:rsidR="00C04C58" w:rsidRPr="00C04C58" w:rsidRDefault="00C04C58" w:rsidP="00C04C58">
      <w:r w:rsidRPr="00C04C58">
        <w:t>In this section, we set out our considerations on the implementation issues associated with estimating the allowed return on debt approach. These issues are:</w:t>
      </w:r>
    </w:p>
    <w:p w:rsidR="00C04C58" w:rsidRPr="00C04C58" w:rsidRDefault="00C04C58" w:rsidP="00C04C58">
      <w:pPr>
        <w:pStyle w:val="AERbulletlistfirststyle"/>
      </w:pPr>
      <w:r w:rsidRPr="00C04C58">
        <w:t>the term of debt issued by a benchmark efficient entity</w:t>
      </w:r>
    </w:p>
    <w:p w:rsidR="00C04C58" w:rsidRPr="00C04C58" w:rsidRDefault="00C04C58" w:rsidP="00C04C58">
      <w:pPr>
        <w:pStyle w:val="AERbulletlistfirststyle"/>
      </w:pPr>
      <w:r w:rsidRPr="00C04C58">
        <w:t>the credit rating of a benchmark efficient entity</w:t>
      </w:r>
    </w:p>
    <w:p w:rsidR="00C04C58" w:rsidRPr="00C04C58" w:rsidRDefault="00C04C58" w:rsidP="00C04C58">
      <w:pPr>
        <w:pStyle w:val="AERbulletlistfirststyle"/>
      </w:pPr>
      <w:r w:rsidRPr="00C04C58">
        <w:t>whether to use an independent third party data series or to construct our own data series (for example, based on an index of actual industry borrowing costs)</w:t>
      </w:r>
    </w:p>
    <w:p w:rsidR="00C04C58" w:rsidRPr="00C04C58" w:rsidRDefault="00C04C58" w:rsidP="00C04C58">
      <w:pPr>
        <w:pStyle w:val="AERbulletlistfirststyle"/>
      </w:pPr>
      <w:r w:rsidRPr="00C04C58">
        <w:t>the choice of third party data series (or combination of data series) to estimate the efficient debt financing costs of a benchmark efficient entity, based on the benchmark debt term and benchmark credit rating</w:t>
      </w:r>
    </w:p>
    <w:p w:rsidR="00C04C58" w:rsidRPr="00C04C58" w:rsidRDefault="00C04C58" w:rsidP="00C04C58">
      <w:pPr>
        <w:pStyle w:val="AERbulletlistfirststyle"/>
      </w:pPr>
      <w:r w:rsidRPr="00C04C58">
        <w:t>extrapolation and interpolation issues with adjusting our choice of data series</w:t>
      </w:r>
    </w:p>
    <w:p w:rsidR="00C04C58" w:rsidRPr="00C04C58" w:rsidRDefault="00C04C58" w:rsidP="00C04C58">
      <w:pPr>
        <w:pStyle w:val="AERbulletlistfirststyle"/>
      </w:pPr>
      <w:r w:rsidRPr="00C04C58">
        <w:t>contingencies associated with implementing our choice of data series, if the data series we have chosen to estimate the return on debt are unavailable or change in future regulatory years during the regulatory control period</w:t>
      </w:r>
    </w:p>
    <w:p w:rsidR="00C04C58" w:rsidRPr="00C04C58" w:rsidRDefault="00C04C58" w:rsidP="00C04C58">
      <w:pPr>
        <w:pStyle w:val="AERbulletlistfirststyle"/>
      </w:pPr>
      <w:r w:rsidRPr="00C04C58">
        <w:t>the new issue premium</w:t>
      </w:r>
    </w:p>
    <w:p w:rsidR="00C04C58" w:rsidRPr="00C04C58" w:rsidRDefault="00C04C58" w:rsidP="00C04C58">
      <w:pPr>
        <w:pStyle w:val="AERbulletlistfirststyle"/>
      </w:pPr>
      <w:r w:rsidRPr="00C04C58">
        <w:t>the averaging period used to estimate the return on debt for each regulatory year</w:t>
      </w:r>
    </w:p>
    <w:p w:rsidR="00C04C58" w:rsidRPr="00C04C58" w:rsidRDefault="00C04C58" w:rsidP="00C04C58">
      <w:pPr>
        <w:pStyle w:val="AERbulletlistfirststyle"/>
      </w:pPr>
      <w:r w:rsidRPr="00C04C58">
        <w:t xml:space="preserve">the annual process to update the return on debt. </w:t>
      </w:r>
    </w:p>
    <w:p w:rsidR="00C04C58" w:rsidRPr="00C04C58" w:rsidRDefault="00C04C58" w:rsidP="00C04C58">
      <w:r w:rsidRPr="00C04C58">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C04C58" w:rsidRPr="00C04C58" w:rsidRDefault="00C04C58" w:rsidP="00C04C58">
      <w:r w:rsidRPr="00C04C58">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C04C58" w:rsidRPr="00C04C58" w:rsidRDefault="00C04C58" w:rsidP="00C04C58">
      <w:pPr>
        <w:pStyle w:val="HeadingBoldItalic"/>
      </w:pPr>
      <w:r w:rsidRPr="00C04C58">
        <w:t>Term</w:t>
      </w:r>
    </w:p>
    <w:p w:rsidR="00C04C58" w:rsidRPr="00C04C58" w:rsidRDefault="00C04C58" w:rsidP="00C04C58">
      <w:r w:rsidRPr="00C04C58">
        <w:t>Our final decision is to adopt a ten year term for the return on debt.  This is consistent with the Guideline; with the revised regulatory proposals of AusNet Services, Powerlink and TasNetworks.</w:t>
      </w:r>
      <w:r w:rsidRPr="00C04C58">
        <w:rPr>
          <w:rStyle w:val="AERsuperscript"/>
        </w:rPr>
        <w:footnoteReference w:id="622"/>
      </w:r>
      <w:r w:rsidRPr="00C04C58">
        <w:t xml:space="preserve">  This is also consistent with our April, October and November 2015 decisions, May 2016 decisions and our draft decision for AusNet Services' transmission determination of July 2016.</w:t>
      </w:r>
      <w:r w:rsidRPr="00C04C58">
        <w:rPr>
          <w:rStyle w:val="AERsuperscript"/>
        </w:rPr>
        <w:footnoteReference w:id="623"/>
      </w:r>
    </w:p>
    <w:p w:rsidR="00C04C58" w:rsidRPr="00C04C58" w:rsidRDefault="00C04C58" w:rsidP="00C04C58">
      <w:r w:rsidRPr="00C04C58">
        <w:t>We are satisfied that measuring the allowed return on debt by reference to a 10 year benchmark term is commensurate with the efficient financing costs of a benchmark efficient entity. Our reasons for adopting a 10 year benchmark debt term are:</w:t>
      </w:r>
    </w:p>
    <w:p w:rsidR="00C04C58" w:rsidRPr="00C04C58" w:rsidRDefault="00C04C58" w:rsidP="00C04C58">
      <w:pPr>
        <w:pStyle w:val="AERbulletlistfirststyle"/>
      </w:pPr>
      <w:r w:rsidRPr="00C04C58">
        <w:t>A long debt tenor is consistent with the long lived assets of a benchmark efficient entity and reduces refinancing risk.</w:t>
      </w:r>
    </w:p>
    <w:p w:rsidR="00C04C58" w:rsidRPr="00C04C58" w:rsidRDefault="00C04C58" w:rsidP="00C04C58">
      <w:pPr>
        <w:pStyle w:val="AERbulletlistfirststyle"/>
      </w:pPr>
      <w:r w:rsidRPr="00C04C58">
        <w:t>A 10 year term is similar to (though somewhat longer than) the industry average term at issuance of a sample of firms that are comparable to the benchmark efficient entity.</w:t>
      </w:r>
    </w:p>
    <w:p w:rsidR="00C04C58" w:rsidRPr="00C04C58" w:rsidRDefault="00C04C58" w:rsidP="00C04C58">
      <w:pPr>
        <w:pStyle w:val="AERbulletlistfirststyle"/>
      </w:pPr>
      <w:r w:rsidRPr="00C04C58">
        <w:t>Regulated network assets are long lived, and have asset lives that are longer than the terms commonly available for debt. Refinancing risk is the risk that a firm would not be able to refinance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a benchmark efficient entity would be long term, but they do not provide clear guidance on what exactly that term should be.</w:t>
      </w:r>
    </w:p>
    <w:p w:rsidR="00C04C58" w:rsidRPr="00C04C58" w:rsidRDefault="00C04C58" w:rsidP="00C04C58">
      <w:r w:rsidRPr="00C04C58">
        <w:t>For that reason, in our Guideline, we requested information from a range of privately owned service providers on the amount, type, term and credit rating of their debt issuances.</w:t>
      </w:r>
      <w:r w:rsidRPr="00C04C58">
        <w:rPr>
          <w:rStyle w:val="AERsuperscript"/>
        </w:rPr>
        <w:footnoteReference w:id="624"/>
      </w:r>
      <w:r w:rsidRPr="00C04C58">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sidRPr="00C04C58">
        <w:rPr>
          <w:rStyle w:val="AERsuperscript"/>
        </w:rPr>
        <w:footnoteReference w:id="625"/>
      </w:r>
      <w:r w:rsidRPr="00C04C58">
        <w:t xml:space="preserve"> In circumstances where the yield curve for debt is upward sloping, our 10 year benchmark will be conservative compared against the 8.7 year observed average.</w:t>
      </w:r>
    </w:p>
    <w:p w:rsidR="00C04C58" w:rsidRPr="00C04C58" w:rsidRDefault="00C04C58" w:rsidP="00C04C58">
      <w:pPr>
        <w:pStyle w:val="HeadingBoldItalic"/>
      </w:pPr>
      <w:r w:rsidRPr="00C04C58">
        <w:t>Credit rating</w:t>
      </w:r>
    </w:p>
    <w:p w:rsidR="00C04C58" w:rsidRPr="00C04C58" w:rsidRDefault="00C04C58" w:rsidP="00C04C58">
      <w:r w:rsidRPr="00C04C58">
        <w:t>Our final decision is to adopt a BBB+ benchmark credit rating to estimate the return on debt. This benchmark credit rating is the same rating we proposed in the Guideline and applied in our most recent decisions.</w:t>
      </w:r>
      <w:r w:rsidRPr="00C04C58">
        <w:rPr>
          <w:rStyle w:val="FootnoteReference"/>
        </w:rPr>
        <w:footnoteReference w:id="626"/>
      </w:r>
      <w:r w:rsidRPr="00C04C58">
        <w:t xml:space="preserve"> We also applied this credit rating to decisions that were upheld before the Tribunal.</w:t>
      </w:r>
      <w:r w:rsidRPr="00C04C58">
        <w:rPr>
          <w:rStyle w:val="FootnoteReference"/>
        </w:rPr>
        <w:footnoteReference w:id="627"/>
      </w:r>
      <w:r w:rsidRPr="00C04C58">
        <w:t xml:space="preserve">  .</w:t>
      </w:r>
      <w:r w:rsidRPr="00C04C58">
        <w:rPr>
          <w:rStyle w:val="FootnoteReference"/>
        </w:rPr>
        <w:footnoteReference w:id="628"/>
      </w:r>
      <w:r w:rsidRPr="00C04C58">
        <w:t xml:space="preserve"> </w:t>
      </w:r>
      <w:r w:rsidRPr="00C04C58">
        <w:rPr>
          <w:rStyle w:val="FootnoteReference"/>
        </w:rPr>
        <w:footnoteReference w:id="629"/>
      </w:r>
      <w:r w:rsidRPr="00C04C58">
        <w:t xml:space="preserve"> We consider that a BBB+ benchmark credit rating to be appropriate given the information we have available and that is included in this decision.</w:t>
      </w:r>
    </w:p>
    <w:p w:rsidR="00C04C58" w:rsidRPr="00C04C58" w:rsidRDefault="00C04C58" w:rsidP="00C04C58">
      <w:r w:rsidRPr="00C04C58">
        <w:t>In current regulatory processes, different service providers, consultants and other stakeholders have proposed different credit ratings for the benchmark efficient entity. In particular:</w:t>
      </w:r>
    </w:p>
    <w:p w:rsidR="00C04C58" w:rsidRPr="00C04C58" w:rsidRDefault="00C04C58" w:rsidP="00C04C58">
      <w:pPr>
        <w:pStyle w:val="AERbulletlistfirststyle"/>
      </w:pPr>
      <w:r w:rsidRPr="00C04C58">
        <w:t>AusNet Services proposed a credit rating of BBB to BBB+.</w:t>
      </w:r>
      <w:r w:rsidRPr="00C04C58">
        <w:rPr>
          <w:rStyle w:val="FootnoteReference"/>
        </w:rPr>
        <w:footnoteReference w:id="630"/>
      </w:r>
    </w:p>
    <w:p w:rsidR="00C04C58" w:rsidRPr="00C04C58" w:rsidRDefault="00C04C58" w:rsidP="00C04C58">
      <w:pPr>
        <w:pStyle w:val="AERbulletlistfirststyle"/>
      </w:pPr>
      <w:r w:rsidRPr="00C04C58">
        <w:t>Powerlink and TasNetworks proposed to adopt a benchmark credit rating of BBB+</w:t>
      </w:r>
      <w:r w:rsidRPr="00C04C58">
        <w:rPr>
          <w:rStyle w:val="FootnoteReference"/>
        </w:rPr>
        <w:footnoteReference w:id="631"/>
      </w:r>
    </w:p>
    <w:p w:rsidR="00C04C58" w:rsidRPr="00C04C58" w:rsidRDefault="00C04C58" w:rsidP="00C04C58">
      <w:r w:rsidRPr="00C04C58">
        <w:t xml:space="preserve">These service providers did not submit any consultant reports on the benchmark credit rating. However, previous consultant reports we received were mixed. For instance: </w:t>
      </w:r>
    </w:p>
    <w:p w:rsidR="00C04C58" w:rsidRPr="00C04C58" w:rsidRDefault="00C04C58" w:rsidP="00C04C58">
      <w:pPr>
        <w:pStyle w:val="AERbulletlistfirststyle"/>
      </w:pPr>
      <w:r w:rsidRPr="00C04C58">
        <w:t>NERA and Houston Kemp (commissioned by TransGrid in a recent regulatory process) recommended a BBB+ credit rating.</w:t>
      </w:r>
      <w:r w:rsidRPr="00C04C58">
        <w:rPr>
          <w:rStyle w:val="FootnoteReference"/>
        </w:rPr>
        <w:footnoteReference w:id="632"/>
      </w:r>
    </w:p>
    <w:p w:rsidR="00C04C58" w:rsidRPr="00C04C58" w:rsidRDefault="00C04C58" w:rsidP="00C04C58">
      <w:pPr>
        <w:pStyle w:val="AERbulletlistfirststyle"/>
      </w:pPr>
      <w:r w:rsidRPr="00C04C58">
        <w:t>Several service providers and CEG (commissioned by several service providers) recommended a BBB credit rating.</w:t>
      </w:r>
      <w:r w:rsidRPr="00C04C58">
        <w:rPr>
          <w:rStyle w:val="FootnoteReference"/>
        </w:rPr>
        <w:footnoteReference w:id="633"/>
      </w:r>
    </w:p>
    <w:p w:rsidR="00C04C58" w:rsidRPr="00C04C58" w:rsidRDefault="00C04C58" w:rsidP="00C04C58">
      <w:pPr>
        <w:pStyle w:val="AERbulletlistfirststyle"/>
      </w:pPr>
      <w:r w:rsidRPr="00C04C58">
        <w:t>Lally (commissioned by us) and the South Australian Centre for Economic Studies (SACES) recommended a credit rating for energy networks of BBB to BBB+.</w:t>
      </w:r>
      <w:r w:rsidRPr="00C04C58">
        <w:rPr>
          <w:rStyle w:val="FootnoteReference"/>
        </w:rPr>
        <w:footnoteReference w:id="634"/>
      </w:r>
    </w:p>
    <w:p w:rsidR="00C04C58" w:rsidRPr="00C04C58" w:rsidRDefault="00C04C58" w:rsidP="00C04C58">
      <w:r w:rsidRPr="00C04C58">
        <w:t>In contrast, consumer groups generally submitted the benchmark credit rating of BBB+ was too low. For instance:</w:t>
      </w:r>
    </w:p>
    <w:p w:rsidR="00C04C58" w:rsidRPr="00C04C58" w:rsidRDefault="00C04C58" w:rsidP="00C04C58">
      <w:pPr>
        <w:pStyle w:val="AERbulletlistfirststyle"/>
      </w:pPr>
      <w:r w:rsidRPr="00C04C58">
        <w:t>The CCP4 (DH) viewed the AER Guideline as conservative when setting point estimates for the rate of return model, expressing concern that a lower credit rating than BBB+ would inappropriately increase the return on debt allowance.</w:t>
      </w:r>
      <w:r w:rsidRPr="00C04C58">
        <w:rPr>
          <w:rStyle w:val="FootnoteReference"/>
        </w:rPr>
        <w:footnoteReference w:id="635"/>
      </w:r>
      <w:r w:rsidRPr="00C04C58">
        <w:t xml:space="preserve"> </w:t>
      </w:r>
      <w:r w:rsidRPr="00C04C58">
        <w:rPr>
          <w:rStyle w:val="FootnoteReference"/>
        </w:rPr>
        <w:footnoteReference w:id="636"/>
      </w:r>
    </w:p>
    <w:p w:rsidR="00C04C58" w:rsidRPr="00C04C58" w:rsidRDefault="00C04C58" w:rsidP="00C04C58">
      <w:pPr>
        <w:pStyle w:val="AERbulletlistfirststyle"/>
      </w:pPr>
      <w:r w:rsidRPr="00C04C58">
        <w:t>The Chamber of Commerce and Industry Queensland (CCIQ) and Energy Consumers Coalition of South Australia (ECCSA) submitted that credit ratings of BBB and BBB+ are too low.</w:t>
      </w:r>
      <w:r w:rsidRPr="00C04C58">
        <w:rPr>
          <w:rStyle w:val="FootnoteReference"/>
        </w:rPr>
        <w:footnoteReference w:id="637"/>
      </w:r>
      <w:r w:rsidRPr="00C04C58">
        <w:t xml:space="preserve"> ECCSA specifically noted this was the case given benchmark firms' gearing levels.</w:t>
      </w:r>
      <w:r w:rsidRPr="00C04C58">
        <w:rPr>
          <w:rStyle w:val="FootnoteReference"/>
        </w:rPr>
        <w:footnoteReference w:id="638"/>
      </w:r>
    </w:p>
    <w:p w:rsidR="00C04C58" w:rsidRPr="00C04C58" w:rsidRDefault="00C04C58" w:rsidP="00C04C58">
      <w:pPr>
        <w:pStyle w:val="AERbulletlistfirststyle"/>
      </w:pPr>
      <w:r w:rsidRPr="00C04C58">
        <w:t>The Victorian Energy Consumer and User Alliance (VECUA) referred to an analysis by the Energy Users Rule Change Committee (EURCC) in 2011 to support their view that we should recognise or have regard to service providers' actual credit ratings.</w:t>
      </w:r>
      <w:r w:rsidRPr="00C04C58">
        <w:rPr>
          <w:rStyle w:val="FootnoteReference"/>
        </w:rPr>
        <w:footnoteReference w:id="639"/>
      </w:r>
      <w:r w:rsidRPr="00C04C58">
        <w:t xml:space="preserve"> VECUA submitted that we provide higher debt allowances than appropriate by basing these on credit ratings that are lower than service providers' actual credit ratings.</w:t>
      </w:r>
      <w:r w:rsidRPr="00C04C58">
        <w:rPr>
          <w:rStyle w:val="FootnoteReference"/>
        </w:rPr>
        <w:footnoteReference w:id="640"/>
      </w:r>
      <w:r w:rsidRPr="00C04C58">
        <w:t xml:space="preserve">  Further, VECUA also submitted that by using debt in a broad BBB band to estimate the allowed return on debt, the debt allowance we provide is predominantly based on more expensive debt ratings.</w:t>
      </w:r>
      <w:r w:rsidRPr="00C04C58">
        <w:rPr>
          <w:rStyle w:val="FootnoteReference"/>
        </w:rPr>
        <w:footnoteReference w:id="641"/>
      </w:r>
      <w:r w:rsidRPr="00C04C58">
        <w:t xml:space="preserve"> We note that several service providers disagreed with this submission.</w:t>
      </w:r>
      <w:r w:rsidRPr="00C04C58">
        <w:rPr>
          <w:rStyle w:val="FootnoteReference"/>
        </w:rPr>
        <w:footnoteReference w:id="642"/>
      </w:r>
    </w:p>
    <w:p w:rsidR="00C04C58" w:rsidRPr="00C04C58" w:rsidRDefault="00C04C58" w:rsidP="00C04C58">
      <w:pPr>
        <w:pStyle w:val="AERbulletlistfirststyle"/>
      </w:pPr>
      <w:r w:rsidRPr="00C04C58">
        <w:t>The CCP submitted that we should account for the difference between service providers actual cost of debt and the BBB benchmark so the allowance better reflects service providers' actual debt costs.</w:t>
      </w:r>
      <w:r w:rsidRPr="00C04C58">
        <w:rPr>
          <w:rStyle w:val="FootnoteReference"/>
        </w:rPr>
        <w:footnoteReference w:id="643"/>
      </w:r>
      <w:r w:rsidRPr="00C04C58">
        <w:t xml:space="preserve"> </w:t>
      </w:r>
    </w:p>
    <w:p w:rsidR="00C04C58" w:rsidRPr="00C04C58" w:rsidRDefault="00C04C58" w:rsidP="00C04C58">
      <w:r w:rsidRPr="00C04C58">
        <w:t>We are satisfied that a benchmark efficient entity would have a BBB+ credit rating. We formed this view, as well as our view on the benchmark term of issuance, from considering a set of firms that we consider comparable to a benchmark efficient entity.</w:t>
      </w:r>
      <w:r w:rsidRPr="00C04C58">
        <w:rPr>
          <w:rStyle w:val="FootnoteReference"/>
        </w:rPr>
        <w:footnoteReference w:id="644"/>
      </w:r>
      <w:r w:rsidRPr="00C04C58">
        <w:t xml:space="preserve"> We consider this is more consistent with incentive regulation than basing our allowance for individual service providers on their actual credit ratings or actual historical costs of debt.</w:t>
      </w:r>
    </w:p>
    <w:p w:rsidR="00C04C58" w:rsidRPr="00C04C58" w:rsidRDefault="00C04C58" w:rsidP="00C04C58">
      <w:r w:rsidRPr="00C04C58">
        <w:t xml:space="preserve">While AusNet Services has proposed a benchmark credit rating of BBB to BBB+, we are satisfied that a benchmark efficient entity facing a similar degree of risk as AusNet Services in providing prescribed transmission services would face a BBB+ credit rating. In section </w:t>
      </w:r>
      <w:r w:rsidR="00AD2086">
        <w:fldChar w:fldCharType="begin"/>
      </w:r>
      <w:r w:rsidR="00AD2086">
        <w:instrText xml:space="preserve"> REF _Ref452629353 \r \h </w:instrText>
      </w:r>
      <w:r w:rsidR="00AD2086">
        <w:fldChar w:fldCharType="separate"/>
      </w:r>
      <w:r w:rsidR="00C6448C">
        <w:t>I.4</w:t>
      </w:r>
      <w:r w:rsidR="00AD2086">
        <w:fldChar w:fldCharType="end"/>
      </w:r>
      <w:r w:rsidRPr="00C04C58">
        <w:t xml:space="preserve">, we address AusNet Services’ submission. In particular, we: </w:t>
      </w:r>
    </w:p>
    <w:p w:rsidR="00C04C58" w:rsidRPr="00C04C58" w:rsidRDefault="00C04C58" w:rsidP="00C04C58">
      <w:pPr>
        <w:pStyle w:val="AERbulletlistfirststyle"/>
      </w:pPr>
      <w:r w:rsidRPr="00C04C58">
        <w:t>Set out the comparator set we use to estimate the industry median and responding to AusNet Services’ proposal to exclude itself and SGSP Australia Assets Pty Ltd (SGSP) from the comparator set.</w:t>
      </w:r>
    </w:p>
    <w:p w:rsidR="00C04C58" w:rsidRPr="00C04C58" w:rsidRDefault="00C04C58" w:rsidP="00C04C58">
      <w:pPr>
        <w:pStyle w:val="AERbulletlistfirststyle"/>
      </w:pPr>
      <w:r w:rsidRPr="00C04C58">
        <w:t xml:space="preserve">Explain why we consider market data supports an industry median credit rating of BBB+, rather than BBB. </w:t>
      </w:r>
    </w:p>
    <w:p w:rsidR="00C04C58" w:rsidRPr="00C04C58" w:rsidRDefault="00C04C58" w:rsidP="00C04C58">
      <w:pPr>
        <w:pStyle w:val="HeadingItalic"/>
      </w:pPr>
      <w:r w:rsidRPr="00C04C58">
        <w:t>Update of empirical evidence</w:t>
      </w:r>
    </w:p>
    <w:p w:rsidR="00C04C58" w:rsidRPr="00C04C58" w:rsidRDefault="00C04C58" w:rsidP="00C04C58">
      <w:r w:rsidRPr="00C04C58">
        <w:t>Consistent with our estimate in the Guideline and preliminary decision, we have had regard to empirical evidence in applying a benchmark credit rating of BBB+.</w:t>
      </w:r>
      <w:r w:rsidRPr="00C04C58">
        <w:rPr>
          <w:rStyle w:val="FootnoteReference"/>
        </w:rPr>
        <w:footnoteReference w:id="645"/>
      </w:r>
      <w:r w:rsidRPr="00C04C58">
        <w:t xml:space="preserve"> </w:t>
      </w:r>
    </w:p>
    <w:p w:rsidR="00C04C58" w:rsidRPr="00C04C58" w:rsidRDefault="00C04C58" w:rsidP="00C04C58">
      <w:r w:rsidRPr="00C04C58">
        <w:fldChar w:fldCharType="begin"/>
      </w:r>
      <w:r w:rsidRPr="00C04C58">
        <w:instrText xml:space="preserve"> REF _Ref450564730 \h </w:instrText>
      </w:r>
      <w:r w:rsidRPr="00C04C58">
        <w:fldChar w:fldCharType="separate"/>
      </w:r>
      <w:r w:rsidR="00C6448C" w:rsidRPr="00C04C58">
        <w:t xml:space="preserve">Table </w:t>
      </w:r>
      <w:r w:rsidR="00C6448C">
        <w:rPr>
          <w:noProof/>
        </w:rPr>
        <w:t>3</w:t>
      </w:r>
      <w:r w:rsidR="00C6448C">
        <w:noBreakHyphen/>
      </w:r>
      <w:r w:rsidR="00C6448C">
        <w:rPr>
          <w:noProof/>
        </w:rPr>
        <w:t>12</w:t>
      </w:r>
      <w:r w:rsidRPr="00C04C58">
        <w:fldChar w:fldCharType="end"/>
      </w:r>
      <w:r w:rsidRPr="00C04C58">
        <w:t xml:space="preserve"> sets out the median credit rating over historical periods of progressively longer length. For this final decision, we have updated this analysis to include 2016. As in our draft decision, </w:t>
      </w:r>
      <w:r w:rsidRPr="00C04C58">
        <w:fldChar w:fldCharType="begin"/>
      </w:r>
      <w:r w:rsidRPr="00C04C58">
        <w:instrText xml:space="preserve"> REF  _Ref450564730 \* Lower \h </w:instrText>
      </w:r>
      <w:r w:rsidRPr="00C04C58">
        <w:fldChar w:fldCharType="separate"/>
      </w:r>
      <w:r w:rsidR="00C6448C" w:rsidRPr="00C04C58">
        <w:t xml:space="preserve">table </w:t>
      </w:r>
      <w:r w:rsidR="00C6448C">
        <w:rPr>
          <w:noProof/>
        </w:rPr>
        <w:t>3</w:t>
      </w:r>
      <w:r w:rsidR="00C6448C">
        <w:noBreakHyphen/>
      </w:r>
      <w:r w:rsidR="00C6448C">
        <w:rPr>
          <w:noProof/>
        </w:rPr>
        <w:t>12</w:t>
      </w:r>
      <w:r w:rsidRPr="00C04C58">
        <w:fldChar w:fldCharType="end"/>
      </w:r>
      <w:r w:rsidRPr="00C04C58">
        <w:t xml:space="preserve"> shows some support for a credit rating of BBB, however we consider it shows stronger support for a credit rating of BBB+. We note that the median credit rating for 2016 specifically is BBB+.</w:t>
      </w:r>
    </w:p>
    <w:p w:rsidR="00C04C58" w:rsidRPr="00C04C58" w:rsidRDefault="00C04C58" w:rsidP="00C04C58">
      <w:r w:rsidRPr="00C04C58">
        <w:t>We also note that this estimate entails taking the median from the yearly medians. We could also take the median of all credit rating observations over these time periods. This gives BBB+ for the six most recent periods, BBB/BBB+ for the period 2010–2016 and BBB for the longer averaging periods (2006–2016 to 2009–16).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sidRPr="00C04C58">
        <w:rPr>
          <w:rStyle w:val="FootnoteReference"/>
        </w:rPr>
        <w:footnoteReference w:id="646"/>
      </w:r>
    </w:p>
    <w:p w:rsidR="00C04C58" w:rsidRPr="00C04C58" w:rsidRDefault="00C04C58" w:rsidP="00C04C58">
      <w:pPr>
        <w:pStyle w:val="Caption"/>
      </w:pPr>
      <w:bookmarkStart w:id="82" w:name="_Ref450564730"/>
      <w:r w:rsidRPr="00C04C58">
        <w:t xml:space="preserve">Table </w:t>
      </w:r>
      <w:fldSimple w:instr=" STYLEREF 1 \s ">
        <w:r w:rsidR="00C6448C">
          <w:rPr>
            <w:noProof/>
          </w:rPr>
          <w:t>3</w:t>
        </w:r>
      </w:fldSimple>
      <w:r w:rsidR="00882F3D">
        <w:noBreakHyphen/>
      </w:r>
      <w:fldSimple w:instr=" SEQ Table \* ARABIC \s 1 ">
        <w:r w:rsidR="00C6448C">
          <w:rPr>
            <w:noProof/>
          </w:rPr>
          <w:t>12</w:t>
        </w:r>
      </w:fldSimple>
      <w:bookmarkEnd w:id="82"/>
      <w:r w:rsidRPr="00C04C58">
        <w:t xml:space="preserve"> Median credit rating—Comparator set of firms</w:t>
      </w:r>
    </w:p>
    <w:tbl>
      <w:tblPr>
        <w:tblStyle w:val="AERtable-text0"/>
        <w:tblW w:w="0" w:type="auto"/>
        <w:tblLook w:val="04A0" w:firstRow="1" w:lastRow="0" w:firstColumn="1" w:lastColumn="0" w:noHBand="0" w:noVBand="1"/>
      </w:tblPr>
      <w:tblGrid>
        <w:gridCol w:w="2153"/>
        <w:gridCol w:w="2192"/>
        <w:gridCol w:w="2155"/>
        <w:gridCol w:w="2193"/>
      </w:tblGrid>
      <w:tr w:rsidR="00C04C58" w:rsidRPr="00073F41" w:rsidTr="00C04C58">
        <w:trPr>
          <w:cnfStyle w:val="100000000000" w:firstRow="1" w:lastRow="0" w:firstColumn="0" w:lastColumn="0" w:oddVBand="0" w:evenVBand="0" w:oddHBand="0" w:evenHBand="0" w:firstRowFirstColumn="0" w:firstRowLastColumn="0" w:lastRowFirstColumn="0" w:lastRowLastColumn="0"/>
        </w:trPr>
        <w:tc>
          <w:tcPr>
            <w:tcW w:w="2153" w:type="dxa"/>
          </w:tcPr>
          <w:p w:rsidR="00C04C58" w:rsidRPr="00C04C58" w:rsidRDefault="00C04C58" w:rsidP="00C04C58">
            <w:r w:rsidRPr="00C04C58">
              <w:t xml:space="preserve">Time period </w:t>
            </w:r>
          </w:p>
        </w:tc>
        <w:tc>
          <w:tcPr>
            <w:tcW w:w="2192" w:type="dxa"/>
          </w:tcPr>
          <w:p w:rsidR="00C04C58" w:rsidRPr="00C04C58" w:rsidRDefault="00C04C58" w:rsidP="00C04C58">
            <w:r w:rsidRPr="00C04C58">
              <w:t>Median credit rating</w:t>
            </w:r>
          </w:p>
        </w:tc>
        <w:tc>
          <w:tcPr>
            <w:tcW w:w="2155" w:type="dxa"/>
          </w:tcPr>
          <w:p w:rsidR="00C04C58" w:rsidRPr="00C04C58" w:rsidRDefault="00C04C58" w:rsidP="00C04C58">
            <w:r w:rsidRPr="00C04C58">
              <w:t>Time period</w:t>
            </w:r>
          </w:p>
        </w:tc>
        <w:tc>
          <w:tcPr>
            <w:tcW w:w="2193" w:type="dxa"/>
          </w:tcPr>
          <w:p w:rsidR="00C04C58" w:rsidRPr="00C04C58" w:rsidRDefault="00C04C58" w:rsidP="00C04C58">
            <w:r w:rsidRPr="00C04C58">
              <w:t>Median credit rating</w:t>
            </w:r>
          </w:p>
        </w:tc>
      </w:tr>
      <w:tr w:rsidR="00C04C58" w:rsidRPr="00073F41" w:rsidTr="00C04C58">
        <w:trPr>
          <w:trHeight w:val="622"/>
        </w:trPr>
        <w:tc>
          <w:tcPr>
            <w:tcW w:w="2153" w:type="dxa"/>
          </w:tcPr>
          <w:p w:rsidR="00C04C58" w:rsidRPr="00C04C58" w:rsidRDefault="00C04C58" w:rsidP="00C04C58">
            <w:r w:rsidRPr="00C04C58">
              <w:t>2016</w:t>
            </w:r>
          </w:p>
        </w:tc>
        <w:tc>
          <w:tcPr>
            <w:tcW w:w="2192" w:type="dxa"/>
          </w:tcPr>
          <w:p w:rsidR="00C04C58" w:rsidRPr="00C04C58" w:rsidRDefault="00C04C58" w:rsidP="00C04C58">
            <w:r w:rsidRPr="00C04C58">
              <w:t>BBB+</w:t>
            </w:r>
          </w:p>
        </w:tc>
        <w:tc>
          <w:tcPr>
            <w:tcW w:w="2155" w:type="dxa"/>
          </w:tcPr>
          <w:p w:rsidR="00C04C58" w:rsidRPr="00C04C58" w:rsidRDefault="00C04C58" w:rsidP="00C04C58"/>
        </w:tc>
        <w:tc>
          <w:tcPr>
            <w:tcW w:w="2193" w:type="dxa"/>
          </w:tcPr>
          <w:p w:rsidR="00C04C58" w:rsidRPr="00C04C58" w:rsidRDefault="00C04C58" w:rsidP="00C04C58"/>
        </w:tc>
      </w:tr>
      <w:tr w:rsidR="00C04C58" w:rsidRPr="00073F41" w:rsidTr="00C04C58">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C04C58" w:rsidRPr="00C04C58" w:rsidRDefault="00C04C58" w:rsidP="00C04C58">
            <w:r w:rsidRPr="00C04C58">
              <w:t xml:space="preserve">2015–2016 </w:t>
            </w:r>
          </w:p>
        </w:tc>
        <w:tc>
          <w:tcPr>
            <w:tcW w:w="2192" w:type="dxa"/>
          </w:tcPr>
          <w:p w:rsidR="00C04C58" w:rsidRPr="00C04C58" w:rsidRDefault="00C04C58" w:rsidP="00C04C58">
            <w:r w:rsidRPr="00C04C58">
              <w:t>BBB+</w:t>
            </w:r>
          </w:p>
        </w:tc>
        <w:tc>
          <w:tcPr>
            <w:tcW w:w="2155" w:type="dxa"/>
          </w:tcPr>
          <w:p w:rsidR="00C04C58" w:rsidRPr="00C04C58" w:rsidRDefault="00C04C58" w:rsidP="00C04C58">
            <w:r w:rsidRPr="00C04C58">
              <w:t>2010–2016</w:t>
            </w:r>
          </w:p>
        </w:tc>
        <w:tc>
          <w:tcPr>
            <w:tcW w:w="2193" w:type="dxa"/>
          </w:tcPr>
          <w:p w:rsidR="00C04C58" w:rsidRPr="00C04C58" w:rsidRDefault="00C04C58" w:rsidP="00C04C58">
            <w:r w:rsidRPr="00C04C58">
              <w:t>BBB/BBB+</w:t>
            </w:r>
          </w:p>
        </w:tc>
      </w:tr>
      <w:tr w:rsidR="00C04C58" w:rsidRPr="00073F41" w:rsidTr="00C04C58">
        <w:tc>
          <w:tcPr>
            <w:tcW w:w="2153" w:type="dxa"/>
          </w:tcPr>
          <w:p w:rsidR="00C04C58" w:rsidRPr="00C04C58" w:rsidRDefault="00C04C58" w:rsidP="00C04C58">
            <w:r w:rsidRPr="00C04C58">
              <w:t>2014–2016</w:t>
            </w:r>
          </w:p>
        </w:tc>
        <w:tc>
          <w:tcPr>
            <w:tcW w:w="2192" w:type="dxa"/>
          </w:tcPr>
          <w:p w:rsidR="00C04C58" w:rsidRPr="00C04C58" w:rsidRDefault="00C04C58" w:rsidP="00C04C58">
            <w:r w:rsidRPr="00C04C58">
              <w:t>BBB+</w:t>
            </w:r>
          </w:p>
        </w:tc>
        <w:tc>
          <w:tcPr>
            <w:tcW w:w="2155" w:type="dxa"/>
          </w:tcPr>
          <w:p w:rsidR="00C04C58" w:rsidRPr="00C04C58" w:rsidRDefault="00C04C58" w:rsidP="00C04C58">
            <w:r w:rsidRPr="00C04C58">
              <w:t>2009–2016</w:t>
            </w:r>
          </w:p>
        </w:tc>
        <w:tc>
          <w:tcPr>
            <w:tcW w:w="2193" w:type="dxa"/>
          </w:tcPr>
          <w:p w:rsidR="00C04C58" w:rsidRPr="00C04C58" w:rsidRDefault="00C04C58" w:rsidP="00C04C58">
            <w:r w:rsidRPr="00C04C58">
              <w:t>BBB</w:t>
            </w:r>
          </w:p>
        </w:tc>
      </w:tr>
      <w:tr w:rsidR="00C04C58" w:rsidRPr="00073F41" w:rsidTr="00C04C58">
        <w:trPr>
          <w:cnfStyle w:val="000000010000" w:firstRow="0" w:lastRow="0" w:firstColumn="0" w:lastColumn="0" w:oddVBand="0" w:evenVBand="0" w:oddHBand="0" w:evenHBand="1" w:firstRowFirstColumn="0" w:firstRowLastColumn="0" w:lastRowFirstColumn="0" w:lastRowLastColumn="0"/>
        </w:trPr>
        <w:tc>
          <w:tcPr>
            <w:tcW w:w="2153" w:type="dxa"/>
          </w:tcPr>
          <w:p w:rsidR="00C04C58" w:rsidRPr="00C04C58" w:rsidRDefault="00C04C58" w:rsidP="00C04C58">
            <w:r w:rsidRPr="00C04C58">
              <w:t>2013–2016</w:t>
            </w:r>
          </w:p>
        </w:tc>
        <w:tc>
          <w:tcPr>
            <w:tcW w:w="2192" w:type="dxa"/>
          </w:tcPr>
          <w:p w:rsidR="00C04C58" w:rsidRPr="00C04C58" w:rsidRDefault="00C04C58" w:rsidP="00C04C58">
            <w:r w:rsidRPr="00C04C58">
              <w:t>BBB+</w:t>
            </w:r>
          </w:p>
        </w:tc>
        <w:tc>
          <w:tcPr>
            <w:tcW w:w="2155" w:type="dxa"/>
          </w:tcPr>
          <w:p w:rsidR="00C04C58" w:rsidRPr="00C04C58" w:rsidRDefault="00C04C58" w:rsidP="00C04C58">
            <w:r w:rsidRPr="00C04C58">
              <w:t>2008–2016</w:t>
            </w:r>
          </w:p>
        </w:tc>
        <w:tc>
          <w:tcPr>
            <w:tcW w:w="2193" w:type="dxa"/>
          </w:tcPr>
          <w:p w:rsidR="00C04C58" w:rsidRPr="00C04C58" w:rsidRDefault="00C04C58" w:rsidP="00C04C58">
            <w:r w:rsidRPr="00C04C58">
              <w:t>BBB/BBB+</w:t>
            </w:r>
          </w:p>
        </w:tc>
      </w:tr>
      <w:tr w:rsidR="00C04C58" w:rsidRPr="00073F41" w:rsidTr="00C04C58">
        <w:tc>
          <w:tcPr>
            <w:tcW w:w="2153" w:type="dxa"/>
          </w:tcPr>
          <w:p w:rsidR="00C04C58" w:rsidRPr="00C04C58" w:rsidRDefault="00C04C58" w:rsidP="00C04C58">
            <w:r w:rsidRPr="00C04C58">
              <w:t>2012–2016</w:t>
            </w:r>
          </w:p>
        </w:tc>
        <w:tc>
          <w:tcPr>
            <w:tcW w:w="2192" w:type="dxa"/>
          </w:tcPr>
          <w:p w:rsidR="00C04C58" w:rsidRPr="00C04C58" w:rsidRDefault="00C04C58" w:rsidP="00C04C58">
            <w:r w:rsidRPr="00C04C58">
              <w:t>BBB/BBB+</w:t>
            </w:r>
          </w:p>
        </w:tc>
        <w:tc>
          <w:tcPr>
            <w:tcW w:w="2155" w:type="dxa"/>
          </w:tcPr>
          <w:p w:rsidR="00C04C58" w:rsidRPr="00C04C58" w:rsidRDefault="00C04C58" w:rsidP="00C04C58">
            <w:r w:rsidRPr="00C04C58">
              <w:t>2007–2016</w:t>
            </w:r>
          </w:p>
        </w:tc>
        <w:tc>
          <w:tcPr>
            <w:tcW w:w="2193" w:type="dxa"/>
          </w:tcPr>
          <w:p w:rsidR="00C04C58" w:rsidRPr="00C04C58" w:rsidRDefault="00C04C58" w:rsidP="00C04C58">
            <w:r w:rsidRPr="00C04C58">
              <w:t>BBB/BBB+</w:t>
            </w:r>
          </w:p>
        </w:tc>
      </w:tr>
      <w:tr w:rsidR="00C04C58" w:rsidRPr="00073F41" w:rsidTr="00C04C58">
        <w:trPr>
          <w:cnfStyle w:val="000000010000" w:firstRow="0" w:lastRow="0" w:firstColumn="0" w:lastColumn="0" w:oddVBand="0" w:evenVBand="0" w:oddHBand="0" w:evenHBand="1" w:firstRowFirstColumn="0" w:firstRowLastColumn="0" w:lastRowFirstColumn="0" w:lastRowLastColumn="0"/>
        </w:trPr>
        <w:tc>
          <w:tcPr>
            <w:tcW w:w="2153" w:type="dxa"/>
          </w:tcPr>
          <w:p w:rsidR="00C04C58" w:rsidRPr="00C04C58" w:rsidRDefault="00C04C58" w:rsidP="00C04C58">
            <w:r w:rsidRPr="00C04C58">
              <w:t>2011–2016</w:t>
            </w:r>
          </w:p>
        </w:tc>
        <w:tc>
          <w:tcPr>
            <w:tcW w:w="2192" w:type="dxa"/>
          </w:tcPr>
          <w:p w:rsidR="00C04C58" w:rsidRPr="00C04C58" w:rsidRDefault="00C04C58" w:rsidP="00C04C58">
            <w:r w:rsidRPr="00C04C58">
              <w:t>BBB/BBB+</w:t>
            </w:r>
          </w:p>
        </w:tc>
        <w:tc>
          <w:tcPr>
            <w:tcW w:w="2155" w:type="dxa"/>
          </w:tcPr>
          <w:p w:rsidR="00C04C58" w:rsidRPr="00C04C58" w:rsidRDefault="00C04C58" w:rsidP="00C04C58">
            <w:r w:rsidRPr="00C04C58">
              <w:t>2006–2016</w:t>
            </w:r>
          </w:p>
        </w:tc>
        <w:tc>
          <w:tcPr>
            <w:tcW w:w="2193" w:type="dxa"/>
          </w:tcPr>
          <w:p w:rsidR="00C04C58" w:rsidRPr="00C04C58" w:rsidRDefault="00C04C58" w:rsidP="00C04C58">
            <w:r w:rsidRPr="00C04C58">
              <w:t>BBB/BBB+</w:t>
            </w:r>
          </w:p>
        </w:tc>
      </w:tr>
    </w:tbl>
    <w:p w:rsidR="00C04C58" w:rsidRPr="00C04C58" w:rsidRDefault="00C04C58" w:rsidP="00C04C58">
      <w:pPr>
        <w:pStyle w:val="AERtablesource"/>
      </w:pPr>
      <w:r w:rsidRPr="00C04C58">
        <w:t xml:space="preserve">Source: </w:t>
      </w:r>
      <w:r w:rsidRPr="00C04C58">
        <w:tab/>
        <w:t xml:space="preserve">Bloomberg (S&amp;P), AER analysis. </w:t>
      </w:r>
    </w:p>
    <w:p w:rsidR="00C04C58" w:rsidRPr="00C04C58" w:rsidRDefault="00C04C58" w:rsidP="00C04C58">
      <w:r w:rsidRPr="00C04C58">
        <w:t>As noted by AusNet Services, the return on debt is estimated using a broad BBB rated curve, including BBB-, BBB and BBB+ rated debt. As we remain satisfied that the appropriate benchmark credit rating is BBB+, use of a broad BBB+ rated yield curve is likely, holding other things constant, to overestimate the return on debt required by a BBB+ rated issuer.</w:t>
      </w:r>
    </w:p>
    <w:p w:rsidR="00A933BB" w:rsidRDefault="00A933BB" w:rsidP="00A164C0"/>
    <w:p w:rsidR="00BF2F91" w:rsidRDefault="00BF2F91" w:rsidP="00BF2F91">
      <w:pPr>
        <w:pStyle w:val="HeadingBoldItalic"/>
      </w:pPr>
      <w:r w:rsidRPr="00484372">
        <w:t>Choice of third party data series (including adjustments)</w:t>
      </w:r>
    </w:p>
    <w:p w:rsidR="00BF2F91" w:rsidRPr="00484372" w:rsidRDefault="00BF2F91" w:rsidP="00CC7A1C">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BF2F91" w:rsidRPr="00484372" w:rsidRDefault="00BF2F91" w:rsidP="00CC7A1C">
      <w:pPr>
        <w:numPr>
          <w:ilvl w:val="0"/>
          <w:numId w:val="24"/>
        </w:numPr>
      </w:pPr>
      <w:r w:rsidRPr="00484372">
        <w:t xml:space="preserve">Our decision is to adopt a simple average of the debt data series published by the </w:t>
      </w:r>
      <w:r>
        <w:t>RBA</w:t>
      </w:r>
      <w:r w:rsidRPr="00484372">
        <w:t xml:space="preserve"> and Bloomberg that match, as close as available, our benchmarks of a BBB+ credit rating and a 10 year debt term. Specifically, our decision is to adopt a simple average of:</w:t>
      </w:r>
    </w:p>
    <w:p w:rsidR="00BF2F91" w:rsidRPr="00BF2F91" w:rsidRDefault="00BF2F91" w:rsidP="00BF2F91">
      <w:pPr>
        <w:pStyle w:val="AERbulletlistfirststyle"/>
      </w:pPr>
      <w:r>
        <w:t>t</w:t>
      </w:r>
      <w:r w:rsidRPr="00BF2F91">
        <w:t>he 10 year estimate from the non-financial corporate BBB rated data series published by the RBA (the RBA curve),</w:t>
      </w:r>
      <w:r w:rsidRPr="00BF2F91">
        <w:rPr>
          <w:rStyle w:val="AERsuperscript"/>
        </w:rPr>
        <w:footnoteReference w:id="647"/>
      </w:r>
      <w:r w:rsidRPr="00BF2F91">
        <w:rPr>
          <w:rStyle w:val="AERsuperscript"/>
        </w:rPr>
        <w:t xml:space="preserve"> </w:t>
      </w:r>
      <w:r w:rsidRPr="00BF2F91">
        <w:t>and</w:t>
      </w:r>
    </w:p>
    <w:p w:rsidR="00BF2F91" w:rsidRPr="00BF2F91" w:rsidRDefault="00BF2F91" w:rsidP="00BF2F91">
      <w:pPr>
        <w:pStyle w:val="AERbulletlistfirststyle"/>
      </w:pPr>
      <w:r w:rsidRPr="00484372">
        <w:t>the 10 year yield estimate from the Australian corporate BBB rated Bloomberg Valuation Service (BVAL) data series published by Bloomberg (the BVAL curve).</w:t>
      </w:r>
      <w:r w:rsidRPr="00BF2F91">
        <w:rPr>
          <w:rStyle w:val="AERsuperscript"/>
        </w:rPr>
        <w:footnoteReference w:id="648"/>
      </w:r>
    </w:p>
    <w:p w:rsidR="00BF2F91" w:rsidRPr="00484372" w:rsidRDefault="00BF2F91" w:rsidP="00CC7A1C">
      <w:pPr>
        <w:numPr>
          <w:ilvl w:val="0"/>
          <w:numId w:val="24"/>
        </w:numPr>
      </w:pPr>
      <w:r w:rsidRPr="00484372">
        <w:t>The RBA and BVAL curves are both 'broad BBB' rated data series in that they reflect bond pricing generally across the BBB+, BBB and BBB- rated spectrum of bonds.</w:t>
      </w:r>
    </w:p>
    <w:p w:rsidR="00BF2F91" w:rsidRPr="00484372" w:rsidRDefault="00BF2F91" w:rsidP="00CC7A1C">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BF2F91" w:rsidRPr="00484372" w:rsidRDefault="00BF2F91" w:rsidP="006E5878">
      <w:pPr>
        <w:pStyle w:val="AERbulletlistfirststyle"/>
      </w:pPr>
      <w:r w:rsidRPr="00484372">
        <w:t>For the RBA curve, to extrapolate the data series from a 'target' 10 year term to an 'effective' 10 year term using the method recommended by Dr Lally (the Lally method),</w:t>
      </w:r>
      <w:r w:rsidRPr="00940FFA">
        <w:rPr>
          <w:rStyle w:val="AERsuperscript"/>
        </w:rPr>
        <w:footnoteReference w:id="649"/>
      </w:r>
      <w:r w:rsidRPr="00484372">
        <w:t xml:space="preserve"> to interpolate the monthly data points to produce daily estimates, and to convert the estimates from a semi-annual to an effective annual rate.</w:t>
      </w:r>
    </w:p>
    <w:p w:rsidR="00BF2F91" w:rsidRPr="00BF2F91" w:rsidRDefault="00BF2F91" w:rsidP="00BF2F91">
      <w:pPr>
        <w:pStyle w:val="AERbulletlistfirststyle"/>
      </w:pPr>
      <w:r w:rsidRPr="00484372">
        <w:t>For the BVAL curve, to convert the estimates from a semi-annual to an effective annual rate.</w:t>
      </w:r>
      <w:r w:rsidRPr="00BF2F91">
        <w:rPr>
          <w:rStyle w:val="AERsuperscript"/>
        </w:rPr>
        <w:footnoteReference w:id="650"/>
      </w:r>
    </w:p>
    <w:p w:rsidR="00BF2F91" w:rsidRPr="00BF2F91" w:rsidRDefault="00BF2F91" w:rsidP="00BF2F91">
      <w:pPr>
        <w:pStyle w:val="AERbulletlistfirststyle"/>
      </w:pPr>
      <w:r w:rsidRPr="00484372">
        <w:t>The above positions are consistent with the approach we adopted in the first round of decisions since t</w:t>
      </w:r>
      <w:r w:rsidRPr="00BF2F91">
        <w:t>he publication of the Guideline.</w:t>
      </w:r>
      <w:r w:rsidRPr="00BF2F91">
        <w:rPr>
          <w:rStyle w:val="AERsuperscript"/>
        </w:rPr>
        <w:footnoteReference w:id="651"/>
      </w:r>
    </w:p>
    <w:p w:rsidR="00BF2F91" w:rsidRPr="0044315E" w:rsidRDefault="00BF2F91" w:rsidP="00BF2F91">
      <w:r w:rsidRPr="0044315E">
        <w:t xml:space="preserve">We are satisfied that a simple average of the two </w:t>
      </w:r>
      <w:r>
        <w:t>curves</w:t>
      </w:r>
      <w:r w:rsidRPr="0044315E">
        <w:t xml:space="preserve"> will result in a return on debt that contributes to the achievement of the </w:t>
      </w:r>
      <w:r>
        <w:t>ARORO</w:t>
      </w:r>
      <w:r w:rsidRPr="0044315E">
        <w:t>. This is because:</w:t>
      </w:r>
    </w:p>
    <w:p w:rsidR="00BF2F91" w:rsidRPr="00BF2F91" w:rsidRDefault="00BF2F91" w:rsidP="00BF2F91">
      <w:pPr>
        <w:pStyle w:val="AERbulletlistfirststyle"/>
      </w:pPr>
      <w:r w:rsidRPr="0044315E">
        <w:t>Based on analysis of the bond selection criteria</w:t>
      </w:r>
      <w:r w:rsidRPr="00BF2F91">
        <w:t xml:space="preserve"> (including approach for identifying outliers), we consider that both approaches employed by the RBA and Bloomberg have their unique strengths and weaknesses, but we are not satisfied that either is clearly superior.</w:t>
      </w:r>
    </w:p>
    <w:p w:rsidR="00BF2F91" w:rsidRPr="00BF2F91" w:rsidRDefault="00BF2F91" w:rsidP="00BF2F91">
      <w:pPr>
        <w:pStyle w:val="AERbulletlistfirststyle"/>
      </w:pPr>
      <w:r w:rsidRPr="0044315E">
        <w:t xml:space="preserve">Based on analysis of the curve fitting (or averaging) methodologies, we consider that both approaches have </w:t>
      </w:r>
      <w:r w:rsidRPr="00BF2F91">
        <w:t>their unique strengths and weaknesses, but we are not satisfied that either is clearly superior.</w:t>
      </w:r>
    </w:p>
    <w:p w:rsidR="00BF2F91" w:rsidRPr="00BF2F91" w:rsidRDefault="00BF2F91" w:rsidP="00BF2F91">
      <w:pPr>
        <w:pStyle w:val="AERbulletlistfirststyle"/>
      </w:pPr>
      <w:r w:rsidRPr="0044315E">
        <w:t xml:space="preserve">Both curves require adjustments from their published form to make them </w:t>
      </w:r>
      <w:r w:rsidRPr="00BF2F91">
        <w:t>fit-for-purpose, and we are not satisfied that either can be more simply or reliably adjusted to estimate the annual return on debt.</w:t>
      </w:r>
      <w:r w:rsidRPr="00BF2F91">
        <w:rPr>
          <w:rStyle w:val="FootnoteReference"/>
        </w:rPr>
        <w:footnoteReference w:id="652"/>
      </w:r>
    </w:p>
    <w:p w:rsidR="00BF2F91" w:rsidRPr="00BF2F91" w:rsidRDefault="00BF2F91" w:rsidP="00BF2F91">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BF2F91">
        <w:rPr>
          <w:rStyle w:val="AERsuperscript"/>
        </w:rPr>
        <w:footnoteReference w:id="653"/>
      </w:r>
      <w:r w:rsidRPr="00BF2F91">
        <w:t xml:space="preserve"> In particular, Lally concluded that based on analysis of the curves, it was reasonably likely that a simple average of the two curves would produce an estimator with a lower mean squared error (MSE) than using either curve in isolation. Lally also advised:</w:t>
      </w:r>
    </w:p>
    <w:p w:rsidR="00BF2F91" w:rsidRPr="0044315E" w:rsidRDefault="00BF2F91" w:rsidP="00BF2F91">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654"/>
      </w:r>
    </w:p>
    <w:p w:rsidR="00BF2F91" w:rsidRPr="00BF2F91" w:rsidRDefault="00BF2F91" w:rsidP="00BF2F91">
      <w:pPr>
        <w:pStyle w:val="AERbulletlistfirststyle"/>
      </w:pPr>
      <w:r w:rsidRPr="0044315E">
        <w:t>The two curves have regularly produced materially different results at particular points in time. Both curves have their strengths</w:t>
      </w:r>
      <w:r w:rsidRPr="00BF2F91">
        <w:t xml:space="preserve"> and shortcomings, but it is not clear to us that one approach is clearly superior. Consequently, 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BF2F91" w:rsidRPr="00BF2F91" w:rsidRDefault="00BF2F91" w:rsidP="00BF2F91">
      <w:pPr>
        <w:pStyle w:val="AERbulletlistfirststyle"/>
      </w:pPr>
      <w:r w:rsidRPr="0044315E">
        <w:t>A simple average of two curves, in these circumstances, is consistent with the Tribunal's decision in the ActewAGL matter where the Tribunal concluded that:</w:t>
      </w:r>
    </w:p>
    <w:p w:rsidR="00BF2F91" w:rsidRPr="0044315E" w:rsidRDefault="00BF2F91" w:rsidP="00BF2F91">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655"/>
      </w:r>
    </w:p>
    <w:p w:rsidR="00BF2F91" w:rsidRPr="00BF2F91" w:rsidRDefault="00BF2F91" w:rsidP="00BF2F91">
      <w:pPr>
        <w:pStyle w:val="AERbulletlistfirststyle"/>
      </w:pPr>
      <w:r w:rsidRPr="0044315E">
        <w:t>A simple average of the two curves will reduce the likely price shock if either curve becomes unavailable or produces erroneous estimates during the period.</w:t>
      </w:r>
    </w:p>
    <w:p w:rsidR="00BF2F91" w:rsidRDefault="00BF2F91" w:rsidP="00BF2F91">
      <w:r>
        <w:t>In our previous decisions, we have explained each of these reasons in more detail.</w:t>
      </w:r>
      <w:r>
        <w:rPr>
          <w:rStyle w:val="FootnoteReference"/>
        </w:rPr>
        <w:footnoteReference w:id="656"/>
      </w:r>
      <w:r>
        <w:t xml:space="preserve"> This analysis included the following evidence.</w:t>
      </w:r>
    </w:p>
    <w:p w:rsidR="00BF2F91" w:rsidRDefault="00BF2F91" w:rsidP="00CC7A1C">
      <w:pPr>
        <w:numPr>
          <w:ilvl w:val="0"/>
          <w:numId w:val="24"/>
        </w:numPr>
      </w:pPr>
      <w:r>
        <w:t>Dr Lally used the report of the Regulatory Economic Unit to identify 11 points of distinction between the RBA and BVAL curves. Lally analysed each of those differences and concluded:</w:t>
      </w:r>
    </w:p>
    <w:p w:rsidR="00BF2F91" w:rsidRDefault="00BF2F91" w:rsidP="00BF2F91">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657"/>
      </w:r>
    </w:p>
    <w:p w:rsidR="00BF2F91" w:rsidRDefault="00BF2F91" w:rsidP="00CC7A1C">
      <w:pPr>
        <w:numPr>
          <w:ilvl w:val="0"/>
          <w:numId w:val="24"/>
        </w:numPr>
      </w:pPr>
      <w:r>
        <w:t>Based on this analysis, Lally recommended using a simple average of the two curves. Lally advised:</w:t>
      </w:r>
    </w:p>
    <w:p w:rsidR="00BF2F91" w:rsidRPr="00305172" w:rsidRDefault="00BF2F91" w:rsidP="00BF2F91">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658"/>
      </w:r>
    </w:p>
    <w:p w:rsidR="00BF2F91" w:rsidRDefault="00BF2F91" w:rsidP="00BF2F91">
      <w:r>
        <w:t>Those 11 points of distinction, and Lally's assessment of those differences between the RBA and BVAL curves, are summarised in the following table.</w:t>
      </w:r>
    </w:p>
    <w:p w:rsidR="00BF2F91" w:rsidRPr="00420956" w:rsidRDefault="00BF2F91" w:rsidP="00BF2F91">
      <w:pPr>
        <w:pStyle w:val="Caption"/>
      </w:pPr>
      <w:r>
        <w:t xml:space="preserve">Table </w:t>
      </w:r>
      <w:fldSimple w:instr=" STYLEREF 1 \s ">
        <w:r w:rsidR="00C6448C">
          <w:rPr>
            <w:noProof/>
          </w:rPr>
          <w:t>3</w:t>
        </w:r>
      </w:fldSimple>
      <w:r w:rsidR="00882F3D">
        <w:noBreakHyphen/>
      </w:r>
      <w:fldSimple w:instr=" SEQ Table \* ARABIC \s 1 ">
        <w:r w:rsidR="00C6448C">
          <w:rPr>
            <w:noProof/>
          </w:rPr>
          <w:t>13</w:t>
        </w:r>
      </w:fldSimple>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BF2F91" w:rsidTr="00EA632F">
        <w:trPr>
          <w:cnfStyle w:val="100000000000" w:firstRow="1" w:lastRow="0" w:firstColumn="0" w:lastColumn="0" w:oddVBand="0" w:evenVBand="0" w:oddHBand="0" w:evenHBand="0" w:firstRowFirstColumn="0" w:firstRowLastColumn="0" w:lastRowFirstColumn="0" w:lastRowLastColumn="0"/>
          <w:tblHeader/>
        </w:trPr>
        <w:tc>
          <w:tcPr>
            <w:tcW w:w="959" w:type="dxa"/>
          </w:tcPr>
          <w:p w:rsidR="00BF2F91" w:rsidRDefault="00BF2F91" w:rsidP="00CC7A1C">
            <w:pPr>
              <w:numPr>
                <w:ilvl w:val="0"/>
                <w:numId w:val="24"/>
              </w:numPr>
            </w:pPr>
            <w:r>
              <w:t>No.</w:t>
            </w:r>
          </w:p>
        </w:tc>
        <w:tc>
          <w:tcPr>
            <w:tcW w:w="4394" w:type="dxa"/>
          </w:tcPr>
          <w:p w:rsidR="00BF2F91" w:rsidRDefault="00BF2F91" w:rsidP="00CC7A1C">
            <w:pPr>
              <w:numPr>
                <w:ilvl w:val="0"/>
                <w:numId w:val="24"/>
              </w:numPr>
            </w:pPr>
            <w:r>
              <w:t>Points of distinction identified by REU</w:t>
            </w:r>
            <w:r>
              <w:rPr>
                <w:rStyle w:val="FootnoteReference"/>
              </w:rPr>
              <w:footnoteReference w:id="659"/>
            </w:r>
          </w:p>
        </w:tc>
        <w:tc>
          <w:tcPr>
            <w:tcW w:w="3340" w:type="dxa"/>
          </w:tcPr>
          <w:p w:rsidR="00BF2F91" w:rsidRDefault="00BF2F91" w:rsidP="00CC7A1C">
            <w:pPr>
              <w:numPr>
                <w:ilvl w:val="0"/>
                <w:numId w:val="24"/>
              </w:numPr>
            </w:pPr>
            <w:r>
              <w:t>Advice from Dr Lally</w:t>
            </w:r>
            <w:r>
              <w:rPr>
                <w:rStyle w:val="FootnoteReference"/>
              </w:rPr>
              <w:footnoteReference w:id="660"/>
            </w:r>
          </w:p>
        </w:tc>
      </w:tr>
      <w:tr w:rsidR="00BF2F91" w:rsidTr="00EA632F">
        <w:tc>
          <w:tcPr>
            <w:tcW w:w="959" w:type="dxa"/>
          </w:tcPr>
          <w:p w:rsidR="00BF2F91" w:rsidRDefault="00BF2F91" w:rsidP="00CC7A1C">
            <w:pPr>
              <w:numPr>
                <w:ilvl w:val="0"/>
                <w:numId w:val="24"/>
              </w:numPr>
            </w:pPr>
            <w:r>
              <w:t>1</w:t>
            </w:r>
          </w:p>
        </w:tc>
        <w:tc>
          <w:tcPr>
            <w:tcW w:w="4394" w:type="dxa"/>
          </w:tcPr>
          <w:p w:rsidR="00BF2F91" w:rsidRDefault="00BF2F91" w:rsidP="00CC7A1C">
            <w:pPr>
              <w:numPr>
                <w:ilvl w:val="0"/>
                <w:numId w:val="24"/>
              </w:numPr>
            </w:pPr>
            <w:r w:rsidRPr="009F0E67">
              <w:t>The BVAL is available daily whilst the RBA is only available monthly.</w:t>
            </w:r>
          </w:p>
        </w:tc>
        <w:tc>
          <w:tcPr>
            <w:tcW w:w="3340" w:type="dxa"/>
          </w:tcPr>
          <w:p w:rsidR="00BF2F91" w:rsidRDefault="00BF2F91" w:rsidP="00CC7A1C">
            <w:pPr>
              <w:numPr>
                <w:ilvl w:val="0"/>
                <w:numId w:val="24"/>
              </w:numPr>
            </w:pPr>
            <w:r w:rsidRPr="009F0E67">
              <w:t>BVAL favoured.</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2</w:t>
            </w:r>
          </w:p>
        </w:tc>
        <w:tc>
          <w:tcPr>
            <w:tcW w:w="4394" w:type="dxa"/>
          </w:tcPr>
          <w:p w:rsidR="00BF2F91" w:rsidRDefault="00BF2F91" w:rsidP="00CC7A1C">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BF2F91" w:rsidRPr="009F0E67" w:rsidRDefault="00BF2F91" w:rsidP="00CC7A1C">
            <w:pPr>
              <w:numPr>
                <w:ilvl w:val="0"/>
                <w:numId w:val="24"/>
              </w:numPr>
            </w:pPr>
            <w:r w:rsidRPr="009F0E67">
              <w:t>RBA favoured.</w:t>
            </w:r>
          </w:p>
          <w:p w:rsidR="00BF2F91" w:rsidRPr="005C054F" w:rsidRDefault="00BF2F91" w:rsidP="00CC7A1C">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BF2F91" w:rsidTr="00EA632F">
        <w:tc>
          <w:tcPr>
            <w:tcW w:w="959" w:type="dxa"/>
          </w:tcPr>
          <w:p w:rsidR="00BF2F91" w:rsidRDefault="00BF2F91" w:rsidP="00CC7A1C">
            <w:pPr>
              <w:numPr>
                <w:ilvl w:val="0"/>
                <w:numId w:val="24"/>
              </w:numPr>
            </w:pPr>
            <w:r>
              <w:t>3</w:t>
            </w:r>
          </w:p>
        </w:tc>
        <w:tc>
          <w:tcPr>
            <w:tcW w:w="4394" w:type="dxa"/>
          </w:tcPr>
          <w:p w:rsidR="00BF2F91" w:rsidRDefault="00BF2F91" w:rsidP="00CC7A1C">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4</w:t>
            </w:r>
          </w:p>
        </w:tc>
        <w:tc>
          <w:tcPr>
            <w:tcW w:w="4394" w:type="dxa"/>
          </w:tcPr>
          <w:p w:rsidR="00BF2F91" w:rsidRDefault="00BF2F91" w:rsidP="00CC7A1C">
            <w:pPr>
              <w:numPr>
                <w:ilvl w:val="0"/>
                <w:numId w:val="24"/>
              </w:numPr>
            </w:pPr>
            <w:r w:rsidRPr="009F0E67">
              <w:t>The BVAL sample does not exclude financial corporations whilst the RBA’s does.</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c>
          <w:tcPr>
            <w:tcW w:w="959" w:type="dxa"/>
          </w:tcPr>
          <w:p w:rsidR="00BF2F91" w:rsidRDefault="00BF2F91" w:rsidP="00CC7A1C">
            <w:pPr>
              <w:numPr>
                <w:ilvl w:val="0"/>
                <w:numId w:val="24"/>
              </w:numPr>
            </w:pPr>
            <w:r>
              <w:t>5</w:t>
            </w:r>
          </w:p>
        </w:tc>
        <w:tc>
          <w:tcPr>
            <w:tcW w:w="4394" w:type="dxa"/>
          </w:tcPr>
          <w:p w:rsidR="00BF2F91" w:rsidRDefault="00BF2F91" w:rsidP="00CC7A1C">
            <w:pPr>
              <w:numPr>
                <w:ilvl w:val="0"/>
                <w:numId w:val="24"/>
              </w:numPr>
            </w:pPr>
            <w:r w:rsidRPr="009F0E67">
              <w:t>The BVAL sample is limited to unsecured bonds whilst the RBA’s sample includes both secured and unsecured bonds.</w:t>
            </w:r>
          </w:p>
        </w:tc>
        <w:tc>
          <w:tcPr>
            <w:tcW w:w="3340" w:type="dxa"/>
          </w:tcPr>
          <w:p w:rsidR="00BF2F91" w:rsidRDefault="00BF2F91" w:rsidP="00CC7A1C">
            <w:pPr>
              <w:numPr>
                <w:ilvl w:val="0"/>
                <w:numId w:val="24"/>
              </w:numPr>
            </w:pPr>
            <w:r w:rsidRPr="009F0E67">
              <w:t>RBA favoured, but advantage is small.</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6</w:t>
            </w:r>
          </w:p>
        </w:tc>
        <w:tc>
          <w:tcPr>
            <w:tcW w:w="4394" w:type="dxa"/>
          </w:tcPr>
          <w:p w:rsidR="00BF2F91" w:rsidRDefault="00BF2F91" w:rsidP="00CC7A1C">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c>
          <w:tcPr>
            <w:tcW w:w="959" w:type="dxa"/>
          </w:tcPr>
          <w:p w:rsidR="00BF2F91" w:rsidRDefault="00BF2F91" w:rsidP="00CC7A1C">
            <w:pPr>
              <w:numPr>
                <w:ilvl w:val="0"/>
                <w:numId w:val="24"/>
              </w:numPr>
            </w:pPr>
            <w:r>
              <w:t>7</w:t>
            </w:r>
          </w:p>
        </w:tc>
        <w:tc>
          <w:tcPr>
            <w:tcW w:w="4394" w:type="dxa"/>
          </w:tcPr>
          <w:p w:rsidR="00BF2F91" w:rsidRDefault="00BF2F91" w:rsidP="00CC7A1C">
            <w:pPr>
              <w:numPr>
                <w:ilvl w:val="0"/>
                <w:numId w:val="24"/>
              </w:numPr>
            </w:pPr>
            <w:r w:rsidRPr="009F0E67">
              <w:t>The BVAL sample is limited to AUD denominated bonds whilst the RBA sample also includes USD and Euro denominated bonds.</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8</w:t>
            </w:r>
          </w:p>
        </w:tc>
        <w:tc>
          <w:tcPr>
            <w:tcW w:w="4394" w:type="dxa"/>
          </w:tcPr>
          <w:p w:rsidR="00BF2F91" w:rsidRDefault="00BF2F91" w:rsidP="00CC7A1C">
            <w:pPr>
              <w:numPr>
                <w:ilvl w:val="0"/>
                <w:numId w:val="24"/>
              </w:numPr>
            </w:pPr>
            <w:r w:rsidRPr="009F0E67">
              <w:t>The BVAL sample excludes bonds with call, put and conversion options, whilst the RBA sample does not exclude them.</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c>
          <w:tcPr>
            <w:tcW w:w="959" w:type="dxa"/>
          </w:tcPr>
          <w:p w:rsidR="00BF2F91" w:rsidRDefault="00BF2F91" w:rsidP="00CC7A1C">
            <w:pPr>
              <w:numPr>
                <w:ilvl w:val="0"/>
                <w:numId w:val="24"/>
              </w:numPr>
            </w:pPr>
            <w:r>
              <w:t>9</w:t>
            </w:r>
          </w:p>
        </w:tc>
        <w:tc>
          <w:tcPr>
            <w:tcW w:w="4394" w:type="dxa"/>
          </w:tcPr>
          <w:p w:rsidR="00BF2F91" w:rsidRDefault="00BF2F91" w:rsidP="00CC7A1C">
            <w:pPr>
              <w:numPr>
                <w:ilvl w:val="0"/>
                <w:numId w:val="24"/>
              </w:numPr>
            </w:pPr>
            <w:r w:rsidRPr="009F0E67">
              <w:t>The BVAL methodology involves a par yield curve whilst the RBA’s does not.</w:t>
            </w:r>
          </w:p>
        </w:tc>
        <w:tc>
          <w:tcPr>
            <w:tcW w:w="3340" w:type="dxa"/>
          </w:tcPr>
          <w:p w:rsidR="00BF2F91" w:rsidRDefault="00BF2F91" w:rsidP="00CC7A1C">
            <w:pPr>
              <w:numPr>
                <w:ilvl w:val="0"/>
                <w:numId w:val="24"/>
              </w:numPr>
            </w:pPr>
            <w:r w:rsidRPr="009F0E67">
              <w:t>BVAL favoured, but advantage is small.</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10</w:t>
            </w:r>
          </w:p>
        </w:tc>
        <w:tc>
          <w:tcPr>
            <w:tcW w:w="4394" w:type="dxa"/>
          </w:tcPr>
          <w:p w:rsidR="00BF2F91" w:rsidRDefault="00BF2F91" w:rsidP="00CC7A1C">
            <w:pPr>
              <w:numPr>
                <w:ilvl w:val="0"/>
                <w:numId w:val="24"/>
              </w:numPr>
            </w:pPr>
            <w:r w:rsidRPr="009F0E67">
              <w:t>The BVAL methodology for curve fitting is (in large part) not disclosed whilst the RBA’s methodology is disclosed.</w:t>
            </w:r>
          </w:p>
        </w:tc>
        <w:tc>
          <w:tcPr>
            <w:tcW w:w="3340" w:type="dxa"/>
          </w:tcPr>
          <w:p w:rsidR="00BF2F91" w:rsidRDefault="00BF2F91" w:rsidP="00CC7A1C">
            <w:pPr>
              <w:numPr>
                <w:ilvl w:val="0"/>
                <w:numId w:val="24"/>
              </w:numPr>
            </w:pPr>
            <w:r w:rsidRPr="009F0E67">
              <w:t>RBA favoured.</w:t>
            </w:r>
          </w:p>
          <w:p w:rsidR="00BF2F91" w:rsidRDefault="00BF2F91" w:rsidP="00CC7A1C">
            <w:pPr>
              <w:numPr>
                <w:ilvl w:val="0"/>
                <w:numId w:val="24"/>
              </w:numPr>
            </w:pPr>
            <w:r w:rsidRPr="005C054F">
              <w:rPr>
                <w:rStyle w:val="AERtextitalic"/>
              </w:rPr>
              <w:t xml:space="preserve">Note: </w:t>
            </w:r>
            <w:r w:rsidRPr="00BF2F91">
              <w:rPr>
                <w:rStyle w:val="AERtextitalic"/>
              </w:rPr>
              <w:t>Bloomberg have now become more transparent and now</w:t>
            </w:r>
            <w:r>
              <w:rPr>
                <w:rStyle w:val="AERtextitalic"/>
              </w:rPr>
              <w:t xml:space="preserve"> </w:t>
            </w:r>
            <w:r>
              <w:t>provide more detail in their Pricing Data: BVAL Issuer &amp; Sector Curves sheet</w:t>
            </w:r>
          </w:p>
        </w:tc>
      </w:tr>
      <w:tr w:rsidR="00BF2F91" w:rsidTr="00EA632F">
        <w:tc>
          <w:tcPr>
            <w:tcW w:w="959" w:type="dxa"/>
          </w:tcPr>
          <w:p w:rsidR="00BF2F91" w:rsidRDefault="00BF2F91" w:rsidP="00CC7A1C">
            <w:pPr>
              <w:numPr>
                <w:ilvl w:val="0"/>
                <w:numId w:val="24"/>
              </w:numPr>
            </w:pPr>
            <w:r>
              <w:t>11</w:t>
            </w:r>
          </w:p>
        </w:tc>
        <w:tc>
          <w:tcPr>
            <w:tcW w:w="4394" w:type="dxa"/>
          </w:tcPr>
          <w:p w:rsidR="00BF2F91" w:rsidRDefault="00BF2F91" w:rsidP="00CC7A1C">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BF2F91" w:rsidRDefault="00BF2F91" w:rsidP="00CC7A1C">
            <w:pPr>
              <w:numPr>
                <w:ilvl w:val="0"/>
                <w:numId w:val="24"/>
              </w:numPr>
            </w:pPr>
            <w:r w:rsidRPr="009F0E67">
              <w:t>Not relevant, as AER does not require historical data.</w:t>
            </w:r>
          </w:p>
        </w:tc>
      </w:tr>
    </w:tbl>
    <w:p w:rsidR="00BF2F91" w:rsidRDefault="00BF2F91" w:rsidP="00BF2F91">
      <w:pPr>
        <w:pStyle w:val="AERtablesource"/>
      </w:pPr>
      <w:r>
        <w:t xml:space="preserve">Source: </w:t>
      </w:r>
      <w:r>
        <w:tab/>
        <w:t>Advice from Dr Lally.</w:t>
      </w:r>
      <w:r>
        <w:rPr>
          <w:rStyle w:val="FootnoteReference"/>
        </w:rPr>
        <w:footnoteReference w:id="661"/>
      </w:r>
    </w:p>
    <w:p w:rsidR="00BF2F91" w:rsidRDefault="00BF2F91" w:rsidP="00BF2F91">
      <w:r>
        <w:t>In our previous decisions, we explained each of these reasons in more detail.</w:t>
      </w:r>
      <w:r>
        <w:rPr>
          <w:rStyle w:val="FootnoteReference"/>
        </w:rPr>
        <w:footnoteReference w:id="662"/>
      </w:r>
      <w:r>
        <w:t xml:space="preserve"> </w:t>
      </w:r>
    </w:p>
    <w:p w:rsidR="00BF2F91" w:rsidRDefault="00BF2F91" w:rsidP="00BF2F91">
      <w:r>
        <w:t xml:space="preserve">Recently, the Tribunal also upheld this approach, in relation to the NSW/ACT electricity distribution determinations and JGN gas access arrangement. </w:t>
      </w:r>
    </w:p>
    <w:p w:rsidR="00BF2F91" w:rsidRDefault="00BF2F91" w:rsidP="00BF2F91">
      <w:r>
        <w:t>The Tribunal was satisfied that our approach of adopting a simple average of the information from both the RBA and Bloomberg data services in those reviews was legally open and appropriate, stating:</w:t>
      </w:r>
      <w:r>
        <w:rPr>
          <w:rStyle w:val="FootnoteReference"/>
        </w:rPr>
        <w:footnoteReference w:id="663"/>
      </w:r>
    </w:p>
    <w:p w:rsidR="00BF2F91" w:rsidRDefault="00BF2F91" w:rsidP="00BF2F91">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BF2F91" w:rsidRDefault="00BF2F91" w:rsidP="00BF2F91">
      <w:r>
        <w:t>Similarly, in relation to the choice of a BBB+ credit rating, the Tribunal noted:</w:t>
      </w:r>
      <w:r>
        <w:rPr>
          <w:rStyle w:val="FootnoteReference"/>
        </w:rPr>
        <w:footnoteReference w:id="664"/>
      </w:r>
    </w:p>
    <w:p w:rsidR="00BF2F91" w:rsidRDefault="00BF2F91" w:rsidP="00BF2F91">
      <w:pPr>
        <w:pStyle w:val="AERquote"/>
      </w:pPr>
      <w:r w:rsidRPr="00C32DF3">
        <w:t xml:space="preserve">993 </w:t>
      </w:r>
      <w:r>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BF2F91" w:rsidRDefault="00BF2F91" w:rsidP="00BF2F91">
      <w:r>
        <w:t>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665"/>
      </w:r>
    </w:p>
    <w:p w:rsidR="00BF2F91" w:rsidRDefault="00BF2F91" w:rsidP="00BF2F91">
      <w:pPr>
        <w:pStyle w:val="AERquote"/>
      </w:pPr>
      <w:r w:rsidRPr="00C32DF3">
        <w:t>995</w:t>
      </w:r>
      <w:r>
        <w:t xml:space="preserve"> </w:t>
      </w:r>
      <w:r w:rsidRPr="00C32DF3">
        <w:t xml:space="preserve"> In any event, the Tribunal would not take the step of being satisfied, in either respect, that to vary or set aside the relevant Final Decision would, or would be likely to, result in a materially preferable NEO decision under s</w:t>
      </w:r>
      <w:r>
        <w:t> </w:t>
      </w:r>
      <w:r w:rsidRPr="00C32DF3">
        <w:t>71P(2a)(c)</w:t>
      </w:r>
      <w:r>
        <w:t>. While some aspects of the Tribunal's decision have been challenged in the Full Federal Court, this aspect of the Tribunal's decision has not been challenged by any party.</w:t>
      </w:r>
    </w:p>
    <w:p w:rsidR="00BF2F91" w:rsidRDefault="00BF2F91" w:rsidP="00BF2F91">
      <w:r>
        <w:t xml:space="preserve">We have assessed the new information received </w:t>
      </w:r>
      <w:r w:rsidR="00DF4722">
        <w:t xml:space="preserve">from AusNet Services </w:t>
      </w:r>
      <w:r>
        <w:t>recommend</w:t>
      </w:r>
      <w:r w:rsidR="00DF4722">
        <w:t>ing</w:t>
      </w:r>
      <w:r>
        <w:t xml:space="preserve"> that we depart from our previous position of adopting a simple average of the RBA and BVAL curves. That new information does not persuade us to depart from our position or reasons from recent decisions. We explain our reasons for this decision in the remainder of this section and in Appendix</w:t>
      </w:r>
      <w:r w:rsidR="008B41F6">
        <w:t xml:space="preserve"> </w:t>
      </w:r>
      <w:r w:rsidR="008B41F6">
        <w:fldChar w:fldCharType="begin"/>
      </w:r>
      <w:r w:rsidR="008B41F6">
        <w:instrText xml:space="preserve"> REF _Ref479168623 \r \h </w:instrText>
      </w:r>
      <w:r w:rsidR="008B41F6">
        <w:fldChar w:fldCharType="separate"/>
      </w:r>
      <w:r w:rsidR="00C6448C">
        <w:t>I</w:t>
      </w:r>
      <w:r w:rsidR="008B41F6">
        <w:fldChar w:fldCharType="end"/>
      </w:r>
      <w:r>
        <w:t>.</w:t>
      </w:r>
    </w:p>
    <w:p w:rsidR="00BF2F91" w:rsidRDefault="00BF2F91" w:rsidP="00BF2F91">
      <w:r>
        <w:t xml:space="preserve">We also requested Dr Lally review the recommendations from his previous report in light of the material submitted by service providers with recent proposals. As part of that analysis, we requested Dr Lally review both the AER's approach and the various </w:t>
      </w:r>
      <w:r w:rsidR="00DF4722">
        <w:t xml:space="preserve">alternative </w:t>
      </w:r>
      <w:r>
        <w:t>approaches proposed against a set of criteria drawn from the requirements of the law and the rules, including the ARORO. After reviewing that material, Dr Lally concluded:</w:t>
      </w:r>
    </w:p>
    <w:p w:rsidR="00BF2F91" w:rsidRPr="002C49C4" w:rsidRDefault="00BF2F91" w:rsidP="00BF2F91">
      <w:pPr>
        <w:pStyle w:val="AERquote"/>
      </w:pPr>
      <w:r>
        <w:t>…</w:t>
      </w:r>
      <w:r w:rsidRPr="002C49C4">
        <w:t>the AER’s proposed approach satisfies the criteria and these criteria are not satisfied by any other proposed approach.</w:t>
      </w:r>
    </w:p>
    <w:p w:rsidR="00BF2F91" w:rsidRDefault="00BF2F91" w:rsidP="00BF2F91">
      <w:pPr>
        <w:pStyle w:val="AERquote"/>
      </w:pPr>
      <w:r w:rsidRPr="002C49C4">
        <w:t>Finally, I have previously provided advice on these implementation issues to the AER and nothing in these submissions warrants any change in that advice.</w:t>
      </w:r>
      <w:r>
        <w:rPr>
          <w:rStyle w:val="FootnoteReference"/>
        </w:rPr>
        <w:footnoteReference w:id="666"/>
      </w:r>
    </w:p>
    <w:p w:rsidR="00BF2F91" w:rsidRPr="00CE6157" w:rsidRDefault="00BF2F91" w:rsidP="00BF2F91">
      <w:r>
        <w:t xml:space="preserve">Further we note that a number of Service Providers </w:t>
      </w:r>
      <w:r w:rsidR="00FE10B8">
        <w:t xml:space="preserve">(including TasNetworks) </w:t>
      </w:r>
      <w:r>
        <w:t xml:space="preserve">have accepted our approach of adopting a simple average of the RBA and Bloomberg curves. AusNet has not presented evidence that there is merit in adopting a unique approach compared to other Service Providers in similar positions. </w:t>
      </w:r>
    </w:p>
    <w:p w:rsidR="00BF2F91" w:rsidRDefault="00BF2F91" w:rsidP="0082114E">
      <w:pPr>
        <w:pStyle w:val="HeadingBoldBlue"/>
      </w:pPr>
      <w:r>
        <w:t>Response to key issues raised by stakeholders</w:t>
      </w:r>
    </w:p>
    <w:p w:rsidR="00BF2F91" w:rsidRDefault="00BF2F91" w:rsidP="00BF2F91">
      <w:r>
        <w:fldChar w:fldCharType="begin"/>
      </w:r>
      <w:r>
        <w:instrText xml:space="preserve"> REF _Ref431241994 \h </w:instrText>
      </w:r>
      <w:r>
        <w:fldChar w:fldCharType="separate"/>
      </w:r>
      <w:r w:rsidR="00C6448C" w:rsidRPr="00986ABB">
        <w:t xml:space="preserve">Table </w:t>
      </w:r>
      <w:r w:rsidR="00C6448C">
        <w:rPr>
          <w:noProof/>
        </w:rPr>
        <w:t>3</w:t>
      </w:r>
      <w:r w:rsidR="00C6448C">
        <w:noBreakHyphen/>
      </w:r>
      <w:r w:rsidR="00C6448C">
        <w:rPr>
          <w:noProof/>
        </w:rPr>
        <w:t>14</w:t>
      </w:r>
      <w:r>
        <w:fldChar w:fldCharType="end"/>
      </w:r>
      <w:r>
        <w:t xml:space="preserve"> sets out the service providers' proposals.</w:t>
      </w:r>
    </w:p>
    <w:p w:rsidR="00BF2F91" w:rsidRPr="00986ABB" w:rsidRDefault="00BF2F91" w:rsidP="00BF2F91">
      <w:pPr>
        <w:pStyle w:val="Caption"/>
      </w:pPr>
      <w:bookmarkStart w:id="83" w:name="_Ref431241994"/>
      <w:r w:rsidRPr="00986ABB">
        <w:t xml:space="preserve">Table </w:t>
      </w:r>
      <w:fldSimple w:instr=" STYLEREF 1 \s ">
        <w:r w:rsidR="00C6448C">
          <w:rPr>
            <w:noProof/>
          </w:rPr>
          <w:t>3</w:t>
        </w:r>
      </w:fldSimple>
      <w:r w:rsidR="00882F3D">
        <w:noBreakHyphen/>
      </w:r>
      <w:fldSimple w:instr=" SEQ Table \* ARABIC \s 1 ">
        <w:r w:rsidR="00C6448C">
          <w:rPr>
            <w:noProof/>
          </w:rPr>
          <w:t>14</w:t>
        </w:r>
      </w:fldSimple>
      <w:bookmarkEnd w:id="83"/>
      <w:r w:rsidRPr="00986ABB">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369"/>
        <w:gridCol w:w="4961"/>
      </w:tblGrid>
      <w:tr w:rsidR="00BF2F91" w:rsidRPr="00986ABB" w:rsidTr="00EA632F">
        <w:trPr>
          <w:cnfStyle w:val="100000000000" w:firstRow="1" w:lastRow="0" w:firstColumn="0" w:lastColumn="0" w:oddVBand="0" w:evenVBand="0" w:oddHBand="0" w:evenHBand="0" w:firstRowFirstColumn="0" w:firstRowLastColumn="0" w:lastRowFirstColumn="0" w:lastRowLastColumn="0"/>
        </w:trPr>
        <w:tc>
          <w:tcPr>
            <w:tcW w:w="3369" w:type="dxa"/>
          </w:tcPr>
          <w:p w:rsidR="00BF2F91" w:rsidRPr="00986ABB" w:rsidRDefault="00BF2F91" w:rsidP="00CC7A1C">
            <w:pPr>
              <w:numPr>
                <w:ilvl w:val="0"/>
                <w:numId w:val="24"/>
              </w:numPr>
            </w:pPr>
            <w:r w:rsidRPr="00986ABB">
              <w:t>Service provider</w:t>
            </w:r>
          </w:p>
        </w:tc>
        <w:tc>
          <w:tcPr>
            <w:tcW w:w="4961" w:type="dxa"/>
          </w:tcPr>
          <w:p w:rsidR="00BF2F91" w:rsidRPr="00986ABB" w:rsidRDefault="00BF2F91" w:rsidP="00CC7A1C">
            <w:pPr>
              <w:numPr>
                <w:ilvl w:val="0"/>
                <w:numId w:val="24"/>
              </w:numPr>
            </w:pPr>
            <w:r w:rsidRPr="00986ABB">
              <w:t>Choice of data series</w:t>
            </w:r>
          </w:p>
        </w:tc>
      </w:tr>
      <w:tr w:rsidR="00BF2F91" w:rsidRPr="00986ABB" w:rsidTr="00EA632F">
        <w:tc>
          <w:tcPr>
            <w:tcW w:w="3369" w:type="dxa"/>
          </w:tcPr>
          <w:p w:rsidR="00BF2F91" w:rsidRPr="00986ABB" w:rsidRDefault="00BF2F91" w:rsidP="00CC7A1C">
            <w:pPr>
              <w:numPr>
                <w:ilvl w:val="0"/>
                <w:numId w:val="24"/>
              </w:numPr>
            </w:pPr>
            <w:r>
              <w:t>E</w:t>
            </w:r>
            <w:r w:rsidRPr="00986ABB">
              <w:t>lectricity distribution revised proposals</w:t>
            </w:r>
          </w:p>
        </w:tc>
        <w:tc>
          <w:tcPr>
            <w:tcW w:w="4961" w:type="dxa"/>
          </w:tcPr>
          <w:p w:rsidR="00BF2F91" w:rsidRPr="00986ABB" w:rsidRDefault="00BF2F91" w:rsidP="00CC7A1C">
            <w:pPr>
              <w:numPr>
                <w:ilvl w:val="0"/>
                <w:numId w:val="24"/>
              </w:numPr>
            </w:pPr>
          </w:p>
        </w:tc>
      </w:tr>
      <w:tr w:rsidR="00BF2F91" w:rsidRPr="00986ABB" w:rsidTr="00EA632F">
        <w:trPr>
          <w:cnfStyle w:val="000000010000" w:firstRow="0" w:lastRow="0" w:firstColumn="0" w:lastColumn="0" w:oddVBand="0" w:evenVBand="0" w:oddHBand="0" w:evenHBand="1" w:firstRowFirstColumn="0" w:firstRowLastColumn="0" w:lastRowFirstColumn="0" w:lastRowLastColumn="0"/>
        </w:trPr>
        <w:tc>
          <w:tcPr>
            <w:tcW w:w="3369" w:type="dxa"/>
          </w:tcPr>
          <w:p w:rsidR="00BF2F91" w:rsidRPr="00986ABB" w:rsidRDefault="00BF2F91" w:rsidP="00CC7A1C">
            <w:pPr>
              <w:numPr>
                <w:ilvl w:val="0"/>
                <w:numId w:val="24"/>
              </w:numPr>
            </w:pPr>
            <w:r w:rsidRPr="00986ABB">
              <w:t>AusNet Services</w:t>
            </w:r>
          </w:p>
        </w:tc>
        <w:tc>
          <w:tcPr>
            <w:tcW w:w="4961" w:type="dxa"/>
          </w:tcPr>
          <w:p w:rsidR="00BF2F91" w:rsidRPr="00986ABB" w:rsidRDefault="00BF2F91" w:rsidP="00CC7A1C">
            <w:pPr>
              <w:numPr>
                <w:ilvl w:val="0"/>
                <w:numId w:val="24"/>
              </w:numPr>
            </w:pPr>
            <w:r>
              <w:t>Use the RBA curve in exclusion of all other third party curves. If decide to continue using Bloomberg, then AER should use Thomson Reuters as well.</w:t>
            </w:r>
          </w:p>
        </w:tc>
      </w:tr>
      <w:tr w:rsidR="00BF2F91" w:rsidRPr="00986ABB" w:rsidTr="00EA632F">
        <w:tc>
          <w:tcPr>
            <w:tcW w:w="3369" w:type="dxa"/>
          </w:tcPr>
          <w:p w:rsidR="00BF2F91" w:rsidRPr="00986ABB" w:rsidRDefault="00BF2F91" w:rsidP="00CC7A1C">
            <w:pPr>
              <w:numPr>
                <w:ilvl w:val="0"/>
                <w:numId w:val="24"/>
              </w:numPr>
            </w:pPr>
            <w:r>
              <w:t>Powerlink</w:t>
            </w:r>
          </w:p>
        </w:tc>
        <w:tc>
          <w:tcPr>
            <w:tcW w:w="4961" w:type="dxa"/>
          </w:tcPr>
          <w:p w:rsidR="00BF2F91" w:rsidRPr="00986ABB" w:rsidRDefault="00BF2F91" w:rsidP="00CC7A1C">
            <w:pPr>
              <w:numPr>
                <w:ilvl w:val="0"/>
                <w:numId w:val="24"/>
              </w:numPr>
            </w:pPr>
            <w:r>
              <w:t>Simple average of the RBA and Bloomberg curve.</w:t>
            </w:r>
          </w:p>
        </w:tc>
      </w:tr>
      <w:tr w:rsidR="00BF2F91" w:rsidRPr="00986ABB" w:rsidTr="00EA632F">
        <w:trPr>
          <w:cnfStyle w:val="000000010000" w:firstRow="0" w:lastRow="0" w:firstColumn="0" w:lastColumn="0" w:oddVBand="0" w:evenVBand="0" w:oddHBand="0" w:evenHBand="1" w:firstRowFirstColumn="0" w:firstRowLastColumn="0" w:lastRowFirstColumn="0" w:lastRowLastColumn="0"/>
        </w:trPr>
        <w:tc>
          <w:tcPr>
            <w:tcW w:w="3369" w:type="dxa"/>
          </w:tcPr>
          <w:p w:rsidR="00BF2F91" w:rsidRPr="00986ABB" w:rsidRDefault="00BF2F91" w:rsidP="00CC7A1C">
            <w:pPr>
              <w:numPr>
                <w:ilvl w:val="0"/>
                <w:numId w:val="24"/>
              </w:numPr>
            </w:pPr>
            <w:r>
              <w:t>TasNetworks</w:t>
            </w:r>
          </w:p>
        </w:tc>
        <w:tc>
          <w:tcPr>
            <w:tcW w:w="4961" w:type="dxa"/>
          </w:tcPr>
          <w:p w:rsidR="00BF2F91" w:rsidRPr="00986ABB" w:rsidRDefault="00BF2F91" w:rsidP="00CC7A1C">
            <w:pPr>
              <w:numPr>
                <w:ilvl w:val="0"/>
                <w:numId w:val="24"/>
              </w:numPr>
            </w:pPr>
            <w:r>
              <w:t>Simple average of the RBA and Bloomberg curve.</w:t>
            </w:r>
          </w:p>
        </w:tc>
      </w:tr>
    </w:tbl>
    <w:p w:rsidR="00BF2F91" w:rsidRDefault="00BF2F91" w:rsidP="00BF2F91">
      <w:pPr>
        <w:pStyle w:val="AERtablesource"/>
      </w:pPr>
      <w:r w:rsidRPr="00986ABB">
        <w:t xml:space="preserve">Source: </w:t>
      </w:r>
      <w:r>
        <w:tab/>
      </w:r>
      <w:r w:rsidRPr="00986ABB">
        <w:t>Regulatory proposals.</w:t>
      </w:r>
      <w:r w:rsidRPr="00FF6215">
        <w:rPr>
          <w:rStyle w:val="AERsuperscript"/>
        </w:rPr>
        <w:footnoteReference w:id="667"/>
      </w:r>
    </w:p>
    <w:p w:rsidR="00BF2F91" w:rsidRDefault="00BF2F91" w:rsidP="00BF2F91">
      <w:r>
        <w:t>Having considered these proposals, our final decision is to maintain our approach as adopted in previous decisions and upheld by the Tribunal.</w:t>
      </w:r>
      <w:r>
        <w:rPr>
          <w:rStyle w:val="FootnoteReference"/>
        </w:rPr>
        <w:footnoteReference w:id="668"/>
      </w:r>
      <w:r>
        <w:t xml:space="preserve"> In summary, we consider we have had limited opportunity to consult on the Reuters 10 year yield estimate due to it being raised late in the process (in the revised proposal as a second preferred option) despite being available for some time. </w:t>
      </w:r>
    </w:p>
    <w:p w:rsidR="00BF2F91" w:rsidRDefault="00BF2F91" w:rsidP="00BF2F91">
      <w:r>
        <w:t>We have completed some initial work reviewing the Thomson Reuters curve.</w:t>
      </w:r>
      <w:r>
        <w:rPr>
          <w:rStyle w:val="FootnoteReference"/>
        </w:rPr>
        <w:footnoteReference w:id="669"/>
      </w:r>
      <w:r>
        <w:t xml:space="preserve"> However, in future we will commence a more comprehensive review. In particular, we have not been able to complete a comparative assessment of the curves or consider a range of practical issues with introducing a third curve. </w:t>
      </w:r>
    </w:p>
    <w:p w:rsidR="00BF2F91" w:rsidRDefault="00BF2F91" w:rsidP="00BF2F91">
      <w:r>
        <w:t xml:space="preserve">For the reasons in this section and in Appendix </w:t>
      </w:r>
      <w:r w:rsidR="00245D0E">
        <w:t xml:space="preserve">I. </w:t>
      </w:r>
      <w:r>
        <w:t>we remain satisfied that a simple average of the BVAL and RBA curves will contribute to an estimate that will achieve the ARORO. We have not yet formed a definitive view on the suitability of the Reuters curve, and are open to further consideration of this curve in the future.</w:t>
      </w:r>
    </w:p>
    <w:p w:rsidR="00BF2F91" w:rsidRPr="00BF2F91" w:rsidRDefault="00BF2F91" w:rsidP="00BF2F91">
      <w:pPr>
        <w:pStyle w:val="AERbulletlistfirststyle"/>
      </w:pPr>
      <w:r>
        <w:t>more specifically, we remain satisfied that the BVAL curve is fit-for-purpose, and combined with the RBA curve, are satisfied that it will contribute to an estimate which achieves the ARORO.</w:t>
      </w:r>
    </w:p>
    <w:p w:rsidR="00BF2F91" w:rsidRPr="00BF2F91" w:rsidRDefault="00BF2F91" w:rsidP="00BF2F91">
      <w:pPr>
        <w:pStyle w:val="AERbulletlistfirststyle"/>
      </w:pPr>
      <w:r w:rsidRPr="00DE353C">
        <w:t>We consider that our implementation of the return on debt estimate includes several conservative features:</w:t>
      </w:r>
      <w:r w:rsidRPr="00BF2F91">
        <w:t xml:space="preserve"> Specifically:</w:t>
      </w:r>
    </w:p>
    <w:p w:rsidR="00BF2F91" w:rsidRDefault="00BF2F91" w:rsidP="00BF2F91">
      <w:pPr>
        <w:pStyle w:val="AERbulletlistsecondstyle"/>
      </w:pPr>
      <w:r>
        <w:t>in the Guideline, we adopted a 10 year benchmark term based on a weighted average term at issuance of 8.7 years observed amongst service providers.</w:t>
      </w:r>
      <w:r>
        <w:rPr>
          <w:rStyle w:val="FootnoteReference"/>
        </w:rPr>
        <w:footnoteReference w:id="670"/>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671"/>
      </w:r>
      <w:r>
        <w:t xml:space="preserve"> </w:t>
      </w:r>
    </w:p>
    <w:p w:rsidR="00BF2F91" w:rsidRDefault="00BF2F91" w:rsidP="00BF2F91">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BF2F91" w:rsidRDefault="00BF2F91" w:rsidP="00BF2F91">
      <w:r>
        <w:t>In Appendix</w:t>
      </w:r>
      <w:r w:rsidR="00245D0E">
        <w:t xml:space="preserve"> I</w:t>
      </w:r>
      <w:r>
        <w:t xml:space="preserve">, we have set out more detailed analysis on our responses to issues raised by key stakeholders, including: </w:t>
      </w:r>
    </w:p>
    <w:p w:rsidR="00BF2F91" w:rsidRPr="00BF2F91" w:rsidRDefault="00BF2F91" w:rsidP="00BF2F91">
      <w:pPr>
        <w:pStyle w:val="AERbulletlistfirststyle"/>
      </w:pPr>
      <w:r>
        <w:t>criticisms of our current approach</w:t>
      </w:r>
    </w:p>
    <w:p w:rsidR="00BF2F91" w:rsidRDefault="00BF2F91" w:rsidP="00A164C0">
      <w:pPr>
        <w:pStyle w:val="AERbulletlistfirststyle"/>
      </w:pPr>
      <w:r>
        <w:t>the Thomson Reuters curve</w:t>
      </w:r>
    </w:p>
    <w:p w:rsidR="00245D0E" w:rsidRDefault="00BF2F91" w:rsidP="00A164C0">
      <w:pPr>
        <w:pStyle w:val="AERbulletlistfirststyle"/>
      </w:pPr>
      <w:r>
        <w:t>other issues</w:t>
      </w:r>
      <w:r w:rsidRPr="00BF2F91">
        <w:t>.</w:t>
      </w:r>
    </w:p>
    <w:p w:rsidR="0082114E" w:rsidRPr="00FB18DC" w:rsidRDefault="0082114E" w:rsidP="0082114E">
      <w:pPr>
        <w:pStyle w:val="HeadingBoldItalic"/>
      </w:pPr>
      <w:r w:rsidRPr="00FB18DC">
        <w:t>Choice of data series—Extrapolation and interpolation issues</w:t>
      </w:r>
    </w:p>
    <w:p w:rsidR="0082114E" w:rsidRPr="00FB18DC" w:rsidRDefault="0082114E" w:rsidP="0082114E">
      <w:r w:rsidRPr="00FB18DC">
        <w:t>Our</w:t>
      </w:r>
      <w:r>
        <w:t xml:space="preserve"> final</w:t>
      </w:r>
      <w:r w:rsidRPr="00FB18DC">
        <w:t xml:space="preserve"> decision on extrapolation and interpolation issues is:</w:t>
      </w:r>
    </w:p>
    <w:p w:rsidR="0082114E" w:rsidRPr="00FB18DC" w:rsidRDefault="0082114E" w:rsidP="0082114E">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82114E" w:rsidRPr="00FB18DC" w:rsidRDefault="0082114E" w:rsidP="0082114E">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82114E" w:rsidRPr="00FB18DC" w:rsidRDefault="0082114E" w:rsidP="0082114E">
      <w:r w:rsidRPr="00FB18DC">
        <w:t>Specifically, we will make the following adjustments as set out in</w:t>
      </w:r>
      <w:r>
        <w:t xml:space="preserve"> </w:t>
      </w:r>
      <w:r w:rsidR="009B02F6">
        <w:fldChar w:fldCharType="begin"/>
      </w:r>
      <w:r w:rsidR="009B02F6">
        <w:instrText xml:space="preserve"> REF _Ref479863597 \h </w:instrText>
      </w:r>
      <w:r w:rsidR="009B02F6">
        <w:fldChar w:fldCharType="separate"/>
      </w:r>
      <w:r w:rsidR="00C6448C" w:rsidRPr="00FB18DC">
        <w:t xml:space="preserve">Table </w:t>
      </w:r>
      <w:r w:rsidR="00C6448C">
        <w:rPr>
          <w:noProof/>
        </w:rPr>
        <w:t>3</w:t>
      </w:r>
      <w:r w:rsidR="00C6448C">
        <w:noBreakHyphen/>
      </w:r>
      <w:r w:rsidR="00C6448C">
        <w:rPr>
          <w:noProof/>
        </w:rPr>
        <w:t>15</w:t>
      </w:r>
      <w:r w:rsidR="009B02F6">
        <w:fldChar w:fldCharType="end"/>
      </w:r>
      <w:r>
        <w:t xml:space="preserve"> and </w:t>
      </w:r>
      <w:r w:rsidR="009B02F6">
        <w:fldChar w:fldCharType="begin"/>
      </w:r>
      <w:r w:rsidR="009B02F6">
        <w:instrText xml:space="preserve"> REF _Ref479863605 \h </w:instrText>
      </w:r>
      <w:r w:rsidR="009B02F6">
        <w:fldChar w:fldCharType="separate"/>
      </w:r>
      <w:r w:rsidR="00C6448C" w:rsidRPr="00FB18DC">
        <w:t xml:space="preserve">Table </w:t>
      </w:r>
      <w:r w:rsidR="00C6448C">
        <w:rPr>
          <w:noProof/>
        </w:rPr>
        <w:t>3</w:t>
      </w:r>
      <w:r w:rsidR="00C6448C">
        <w:noBreakHyphen/>
      </w:r>
      <w:r w:rsidR="00C6448C">
        <w:rPr>
          <w:noProof/>
        </w:rPr>
        <w:t>16</w:t>
      </w:r>
      <w:r w:rsidR="009B02F6">
        <w:fldChar w:fldCharType="end"/>
      </w:r>
      <w:r w:rsidRPr="00FB18DC">
        <w:t>.</w:t>
      </w:r>
    </w:p>
    <w:p w:rsidR="0082114E" w:rsidRPr="00FB18DC" w:rsidRDefault="0082114E" w:rsidP="0082114E">
      <w:pPr>
        <w:pStyle w:val="Caption"/>
      </w:pPr>
      <w:bookmarkStart w:id="84" w:name="_Ref479863597"/>
      <w:r w:rsidRPr="00FB18DC">
        <w:t xml:space="preserve">Table </w:t>
      </w:r>
      <w:fldSimple w:instr=" STYLEREF 1 \s ">
        <w:r w:rsidR="00C6448C">
          <w:rPr>
            <w:noProof/>
          </w:rPr>
          <w:t>3</w:t>
        </w:r>
      </w:fldSimple>
      <w:r w:rsidR="00882F3D">
        <w:noBreakHyphen/>
      </w:r>
      <w:fldSimple w:instr=" SEQ Table \* ARABIC \s 1 ">
        <w:r w:rsidR="00C6448C">
          <w:rPr>
            <w:noProof/>
          </w:rPr>
          <w:t>15</w:t>
        </w:r>
      </w:fldSimple>
      <w:bookmarkEnd w:id="84"/>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763" w:type="dxa"/>
          </w:tcPr>
          <w:p w:rsidR="0082114E" w:rsidRPr="0082114E" w:rsidRDefault="0082114E" w:rsidP="0082114E">
            <w:r w:rsidRPr="00FB18DC">
              <w:t xml:space="preserve">Adjustment </w:t>
            </w:r>
            <w:r w:rsidRPr="0082114E">
              <w:t>type</w:t>
            </w:r>
          </w:p>
        </w:tc>
        <w:tc>
          <w:tcPr>
            <w:tcW w:w="1262" w:type="dxa"/>
          </w:tcPr>
          <w:p w:rsidR="0082114E" w:rsidRPr="0082114E" w:rsidRDefault="0082114E" w:rsidP="0082114E">
            <w:r w:rsidRPr="00FB18DC">
              <w:t>Amendment made?</w:t>
            </w:r>
          </w:p>
        </w:tc>
        <w:tc>
          <w:tcPr>
            <w:tcW w:w="5668" w:type="dxa"/>
          </w:tcPr>
          <w:p w:rsidR="0082114E" w:rsidRPr="0082114E" w:rsidRDefault="0082114E" w:rsidP="0082114E">
            <w:r w:rsidRPr="00FB18DC">
              <w:t>Comments</w:t>
            </w:r>
          </w:p>
        </w:tc>
      </w:tr>
      <w:tr w:rsidR="0082114E" w:rsidRPr="00BB7AB1" w:rsidTr="00E85C2D">
        <w:tc>
          <w:tcPr>
            <w:tcW w:w="1763" w:type="dxa"/>
          </w:tcPr>
          <w:p w:rsidR="0082114E" w:rsidRPr="0082114E" w:rsidRDefault="0082114E" w:rsidP="0082114E">
            <w:r w:rsidRPr="00FB18DC">
              <w:t xml:space="preserve">Interpolation </w:t>
            </w:r>
            <w:r w:rsidRPr="0082114E">
              <w:t>to construct daily estimates</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RBA curve only provides an estimate for one business day at the end of each month. In our experience, averaging periods commonly start and/or end on dates during the month.  </w:t>
            </w:r>
          </w:p>
          <w:p w:rsidR="0082114E" w:rsidRPr="0082114E" w:rsidRDefault="0082114E" w:rsidP="0082114E">
            <w:r w:rsidRPr="00FB18DC">
              <w:t>We will address this issue by linearly interpolating between month end values where possible. While we are satisfied that interpolation over business days is also reasonable, we will interpolate over all days because:</w:t>
            </w:r>
          </w:p>
          <w:p w:rsidR="0082114E" w:rsidRPr="0082114E" w:rsidRDefault="0082114E" w:rsidP="0082114E">
            <w:pPr>
              <w:pStyle w:val="AERbulletlistfirststyle"/>
            </w:pPr>
            <w:r w:rsidRPr="00FB18DC">
              <w:t>this is consistent with our widely accepted approach to interpolate estimates of the risk free rate using CGS</w:t>
            </w:r>
          </w:p>
          <w:p w:rsidR="0082114E" w:rsidRPr="0082114E" w:rsidRDefault="0082114E" w:rsidP="0082114E">
            <w:pPr>
              <w:pStyle w:val="AERbulletlistfirststyle"/>
            </w:pPr>
            <w:r w:rsidRPr="00FB18DC">
              <w:t>interpolating over all days is simpler to implement</w:t>
            </w:r>
          </w:p>
          <w:p w:rsidR="0082114E" w:rsidRPr="0082114E" w:rsidRDefault="0082114E" w:rsidP="0082114E">
            <w:pPr>
              <w:pStyle w:val="AERbulletlistfirststyle"/>
            </w:pPr>
            <w:r w:rsidRPr="00FB18DC">
              <w:t>it is impractical to interpolate over business days for estimating the risk free rate, as this would require calculations relative to specific trading days 10 years in advance</w:t>
            </w:r>
          </w:p>
          <w:p w:rsidR="0082114E" w:rsidRPr="0082114E" w:rsidRDefault="0082114E" w:rsidP="0082114E">
            <w:pPr>
              <w:pStyle w:val="AERbulletlistfirststyle"/>
            </w:pPr>
            <w:r w:rsidRPr="00FB18DC">
              <w:t>the difference to the estimates between interpolating over business days or interpolating over all days is immaterial.</w:t>
            </w:r>
            <w:r w:rsidRPr="0082114E">
              <w:rPr>
                <w:rStyle w:val="AERsuperscript"/>
              </w:rPr>
              <w:footnoteReference w:id="672"/>
            </w:r>
          </w:p>
          <w:p w:rsidR="0082114E" w:rsidRPr="0082114E" w:rsidRDefault="0082114E" w:rsidP="0082114E">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82114E">
              <w:t xml:space="preserve">final decision on the annual debt update process is set out in this appendix. </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1763" w:type="dxa"/>
          </w:tcPr>
          <w:p w:rsidR="0082114E" w:rsidRPr="0082114E" w:rsidRDefault="0082114E" w:rsidP="0082114E">
            <w:r w:rsidRPr="00FB18DC">
              <w:t>Extrapolation to target term</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'effective term' of the RBA bond sample is commonly less than 10 years. For this reason, Lally </w:t>
            </w:r>
            <w:r w:rsidRPr="0082114E">
              <w:t>recommended that the spread component of the yield should be extrapolated from its effective term at publication to the benchmark term (10 years).</w:t>
            </w:r>
            <w:r w:rsidRPr="0082114E">
              <w:rPr>
                <w:rStyle w:val="AERsuperscript"/>
              </w:rPr>
              <w:footnoteReference w:id="673"/>
            </w:r>
            <w:r w:rsidRPr="0082114E">
              <w:rPr>
                <w:rStyle w:val="AERsuperscript"/>
              </w:rPr>
              <w:t xml:space="preserve"> </w:t>
            </w:r>
          </w:p>
          <w:p w:rsidR="0082114E" w:rsidRPr="0082114E" w:rsidRDefault="0082114E" w:rsidP="0082114E">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82114E">
              <w:rPr>
                <w:rStyle w:val="AERsuperscript"/>
              </w:rPr>
              <w:footnoteReference w:id="674"/>
            </w:r>
            <w:r w:rsidRPr="0082114E">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82114E" w:rsidRPr="00BB7AB1" w:rsidTr="00E85C2D">
        <w:tc>
          <w:tcPr>
            <w:tcW w:w="1763" w:type="dxa"/>
          </w:tcPr>
          <w:p w:rsidR="0082114E" w:rsidRPr="0082114E" w:rsidRDefault="0082114E" w:rsidP="0082114E">
            <w:r w:rsidRPr="00FB18DC">
              <w:t>Conversion to effective annual rate</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82114E">
              <w:rPr>
                <w:rStyle w:val="AERsuperscript"/>
              </w:rPr>
              <w:footnoteReference w:id="675"/>
            </w:r>
            <w:r w:rsidRPr="0082114E">
              <w:t xml:space="preserve"> Therefore, this would require conversion into an effective annual rate, using the same approach as is applied to the BVAL yield estimate. </w:t>
            </w:r>
          </w:p>
        </w:tc>
      </w:tr>
    </w:tbl>
    <w:p w:rsidR="0082114E" w:rsidRPr="00FB18DC" w:rsidRDefault="0082114E" w:rsidP="0082114E">
      <w:pPr>
        <w:pStyle w:val="AERtablesource"/>
      </w:pPr>
      <w:r w:rsidRPr="00FB18DC">
        <w:t xml:space="preserve">Source: </w:t>
      </w:r>
      <w:r>
        <w:tab/>
      </w:r>
      <w:r w:rsidRPr="00FB18DC">
        <w:t>AER analysis</w:t>
      </w:r>
      <w:r>
        <w:t>.</w:t>
      </w:r>
    </w:p>
    <w:p w:rsidR="0082114E" w:rsidRPr="00FB18DC" w:rsidRDefault="0082114E" w:rsidP="0082114E">
      <w:pPr>
        <w:pStyle w:val="Caption"/>
      </w:pPr>
      <w:bookmarkStart w:id="85" w:name="_Ref479863605"/>
      <w:r w:rsidRPr="00FB18DC">
        <w:t xml:space="preserve">Table </w:t>
      </w:r>
      <w:fldSimple w:instr=" STYLEREF 1 \s ">
        <w:r w:rsidR="00C6448C">
          <w:rPr>
            <w:noProof/>
          </w:rPr>
          <w:t>3</w:t>
        </w:r>
      </w:fldSimple>
      <w:r w:rsidR="00882F3D">
        <w:noBreakHyphen/>
      </w:r>
      <w:fldSimple w:instr=" SEQ Table \* ARABIC \s 1 ">
        <w:r w:rsidR="00C6448C">
          <w:rPr>
            <w:noProof/>
          </w:rPr>
          <w:t>16</w:t>
        </w:r>
      </w:fldSimple>
      <w:bookmarkEnd w:id="85"/>
      <w:r w:rsidRPr="00FB18DC">
        <w:tab/>
        <w:t>Adjustments to the BVAL curve</w:t>
      </w:r>
    </w:p>
    <w:tbl>
      <w:tblPr>
        <w:tblStyle w:val="AERtable-text0"/>
        <w:tblW w:w="0" w:type="auto"/>
        <w:tblLook w:val="04A0" w:firstRow="1" w:lastRow="0" w:firstColumn="1" w:lastColumn="0" w:noHBand="0" w:noVBand="1"/>
      </w:tblPr>
      <w:tblGrid>
        <w:gridCol w:w="2892"/>
        <w:gridCol w:w="1416"/>
        <w:gridCol w:w="4385"/>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3080" w:type="dxa"/>
          </w:tcPr>
          <w:p w:rsidR="0082114E" w:rsidRPr="0082114E" w:rsidRDefault="0082114E" w:rsidP="0082114E">
            <w:r w:rsidRPr="00FB18DC">
              <w:t xml:space="preserve">Adjustment </w:t>
            </w:r>
            <w:r w:rsidRPr="0082114E">
              <w:t>type</w:t>
            </w:r>
          </w:p>
        </w:tc>
        <w:tc>
          <w:tcPr>
            <w:tcW w:w="1446" w:type="dxa"/>
          </w:tcPr>
          <w:p w:rsidR="0082114E" w:rsidRPr="0082114E" w:rsidRDefault="0082114E" w:rsidP="0082114E">
            <w:r w:rsidRPr="00FB18DC">
              <w:t>Amendment made?</w:t>
            </w:r>
          </w:p>
        </w:tc>
        <w:tc>
          <w:tcPr>
            <w:tcW w:w="4716" w:type="dxa"/>
          </w:tcPr>
          <w:p w:rsidR="0082114E" w:rsidRPr="00FB18DC" w:rsidRDefault="0082114E" w:rsidP="00CC7A1C">
            <w:pPr>
              <w:numPr>
                <w:ilvl w:val="0"/>
                <w:numId w:val="24"/>
              </w:numPr>
            </w:pPr>
            <w:r w:rsidRPr="00FB18DC">
              <w:t>Comments</w:t>
            </w:r>
          </w:p>
        </w:tc>
      </w:tr>
      <w:tr w:rsidR="0082114E" w:rsidRPr="00BB7AB1" w:rsidTr="00E85C2D">
        <w:tc>
          <w:tcPr>
            <w:tcW w:w="3080" w:type="dxa"/>
          </w:tcPr>
          <w:p w:rsidR="0082114E" w:rsidRPr="0082114E" w:rsidRDefault="0082114E" w:rsidP="0082114E">
            <w:r w:rsidRPr="00FB18DC">
              <w:t>Interpolation to construct daily estimates</w:t>
            </w:r>
          </w:p>
        </w:tc>
        <w:tc>
          <w:tcPr>
            <w:tcW w:w="1446" w:type="dxa"/>
          </w:tcPr>
          <w:p w:rsidR="0082114E" w:rsidRPr="0082114E" w:rsidRDefault="0082114E" w:rsidP="0082114E">
            <w:r w:rsidRPr="00FB18DC">
              <w:t>No</w:t>
            </w:r>
          </w:p>
        </w:tc>
        <w:tc>
          <w:tcPr>
            <w:tcW w:w="4716" w:type="dxa"/>
          </w:tcPr>
          <w:p w:rsidR="0082114E" w:rsidRPr="00FB18DC" w:rsidRDefault="0082114E" w:rsidP="00CC7A1C">
            <w:pPr>
              <w:numPr>
                <w:ilvl w:val="0"/>
                <w:numId w:val="24"/>
              </w:numPr>
            </w:pPr>
            <w:r w:rsidRPr="00FB18DC">
              <w:t>Bloomberg publishes daily estimates.</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3080" w:type="dxa"/>
          </w:tcPr>
          <w:p w:rsidR="0082114E" w:rsidRPr="0082114E" w:rsidRDefault="0082114E" w:rsidP="0082114E">
            <w:r w:rsidRPr="00FB18DC">
              <w:t>Extrapolation to target term</w:t>
            </w:r>
          </w:p>
        </w:tc>
        <w:tc>
          <w:tcPr>
            <w:tcW w:w="1446" w:type="dxa"/>
          </w:tcPr>
          <w:p w:rsidR="0082114E" w:rsidRPr="0082114E" w:rsidRDefault="0082114E" w:rsidP="0082114E">
            <w:r w:rsidRPr="00FB18DC">
              <w:t xml:space="preserve">Depends on </w:t>
            </w:r>
            <w:r w:rsidRPr="0082114E">
              <w:t>maximum term published by Bloomberg</w:t>
            </w:r>
          </w:p>
        </w:tc>
        <w:tc>
          <w:tcPr>
            <w:tcW w:w="4716" w:type="dxa"/>
          </w:tcPr>
          <w:p w:rsidR="0082114E" w:rsidRPr="00FB18DC" w:rsidRDefault="0082114E"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676"/>
            </w:r>
            <w:r w:rsidRPr="00FB18DC">
              <w:t xml:space="preserve"> In April 2015, Bloomberg revised its methodology for the BVAL curve (BVCSAB10) and it now publishes a 10 year estimate.</w:t>
            </w:r>
            <w:r w:rsidRPr="00FB18DC">
              <w:rPr>
                <w:rStyle w:val="FootnoteReference"/>
              </w:rPr>
              <w:footnoteReference w:id="677"/>
            </w:r>
            <w:r w:rsidRPr="00FB18DC">
              <w:t xml:space="preserve"> </w:t>
            </w:r>
          </w:p>
          <w:p w:rsidR="0082114E" w:rsidRPr="00FB18DC" w:rsidRDefault="0082114E"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82114E" w:rsidRPr="00FB18DC" w:rsidRDefault="0082114E" w:rsidP="00CC7A1C">
            <w:pPr>
              <w:numPr>
                <w:ilvl w:val="0"/>
                <w:numId w:val="24"/>
              </w:numPr>
            </w:pPr>
            <w:r w:rsidRPr="00FB18DC">
              <w:t>BVAL yield 10 years = BVAL yield 7 years + difference in CGS from 7 to 10 years + difference in RBA extrapolated spread to CGS from 7 to 10 years</w:t>
            </w:r>
          </w:p>
          <w:p w:rsidR="0082114E" w:rsidRPr="00FB18DC" w:rsidRDefault="0082114E" w:rsidP="00CC7A1C">
            <w:pPr>
              <w:numPr>
                <w:ilvl w:val="0"/>
                <w:numId w:val="24"/>
              </w:numPr>
            </w:pPr>
            <w:r w:rsidRPr="00FB18DC">
              <w:t>As recommended by Lally,</w:t>
            </w:r>
            <w:r w:rsidRPr="00FB18DC">
              <w:rPr>
                <w:rStyle w:val="AERsuperscript"/>
              </w:rPr>
              <w:footnoteReference w:id="678"/>
            </w:r>
            <w:r w:rsidRPr="00FB18DC">
              <w:t xml:space="preserve"> we are satisfied this approach is comparably reliable to the more complex approaches submitted by other stakeholders,</w:t>
            </w:r>
            <w:r w:rsidRPr="00FB18DC">
              <w:rPr>
                <w:rStyle w:val="AERsuperscript"/>
              </w:rPr>
              <w:footnoteReference w:id="679"/>
            </w:r>
            <w:r w:rsidRPr="00FB18DC">
              <w:rPr>
                <w:rStyle w:val="AERsuperscript"/>
              </w:rPr>
              <w:t xml:space="preserve"> </w:t>
            </w:r>
            <w:r w:rsidRPr="00FB18DC">
              <w:t>but is simpler to implement and based on publicly available data.</w:t>
            </w:r>
          </w:p>
          <w:p w:rsidR="0082114E" w:rsidRPr="00FB18DC" w:rsidRDefault="0082114E"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82114E" w:rsidRPr="00FB18DC" w:rsidRDefault="0082114E" w:rsidP="00CC7A1C">
            <w:pPr>
              <w:numPr>
                <w:ilvl w:val="0"/>
                <w:numId w:val="24"/>
              </w:numPr>
            </w:pPr>
            <w:r w:rsidRPr="00FB18DC">
              <w:t>For the period where 10 years is the maximum term, we do not extrapolate the estimate.</w:t>
            </w:r>
          </w:p>
        </w:tc>
      </w:tr>
      <w:tr w:rsidR="0082114E" w:rsidRPr="00BB7AB1" w:rsidTr="00E85C2D">
        <w:tc>
          <w:tcPr>
            <w:tcW w:w="3080" w:type="dxa"/>
          </w:tcPr>
          <w:p w:rsidR="0082114E" w:rsidRPr="0082114E" w:rsidRDefault="0082114E" w:rsidP="0082114E">
            <w:r w:rsidRPr="00FB18DC">
              <w:t>Conversion to effective annual rate</w:t>
            </w:r>
          </w:p>
        </w:tc>
        <w:tc>
          <w:tcPr>
            <w:tcW w:w="1446" w:type="dxa"/>
          </w:tcPr>
          <w:p w:rsidR="0082114E" w:rsidRPr="0082114E" w:rsidRDefault="0082114E" w:rsidP="0082114E">
            <w:r w:rsidRPr="00FB18DC">
              <w:t>Yes</w:t>
            </w:r>
          </w:p>
        </w:tc>
        <w:tc>
          <w:tcPr>
            <w:tcW w:w="4716" w:type="dxa"/>
          </w:tcPr>
          <w:p w:rsidR="0082114E" w:rsidRPr="00FB18DC" w:rsidRDefault="0082114E" w:rsidP="00CC7A1C">
            <w:pPr>
              <w:numPr>
                <w:ilvl w:val="0"/>
                <w:numId w:val="24"/>
              </w:numPr>
            </w:pPr>
            <w:r w:rsidRPr="00FB18DC">
              <w:t>Bloomberg publishes its yield as annual rates with semi-annual compounding. This needs to be converted into an effective annual rate.</w:t>
            </w:r>
          </w:p>
        </w:tc>
      </w:tr>
    </w:tbl>
    <w:p w:rsidR="00245D0E" w:rsidRDefault="00245D0E" w:rsidP="00245D0E">
      <w:pPr>
        <w:pStyle w:val="HeadingBoldItalic"/>
      </w:pPr>
      <w:r>
        <w:t>Choice of data series—Contingencies</w:t>
      </w:r>
    </w:p>
    <w:p w:rsidR="00245D0E" w:rsidRDefault="00245D0E" w:rsidP="00245D0E">
      <w:r>
        <w:t>Our final decision is to largely maintain the set of contingencies as set out in our recent decisions.</w:t>
      </w:r>
      <w:r>
        <w:rPr>
          <w:rStyle w:val="FootnoteReference"/>
        </w:rPr>
        <w:footnoteReference w:id="680"/>
      </w:r>
      <w:r>
        <w:t xml:space="preserve"> W</w:t>
      </w:r>
      <w:r w:rsidRPr="00A86E9A">
        <w:t xml:space="preserve">e have made our </w:t>
      </w:r>
      <w:r>
        <w:t xml:space="preserve">final </w:t>
      </w:r>
      <w:r w:rsidRPr="00A86E9A">
        <w:t>decision based on the information and third party data that is currently available.</w:t>
      </w:r>
      <w:r>
        <w:rPr>
          <w:rStyle w:val="FootnoteReference"/>
        </w:rPr>
        <w:footnoteReference w:id="681"/>
      </w:r>
      <w:r w:rsidRPr="00A86E9A">
        <w:t xml:space="preserve"> Nonetheless, in our experience it is common that the availability of third party data changes. </w:t>
      </w:r>
    </w:p>
    <w:p w:rsidR="00245D0E" w:rsidRDefault="00245D0E" w:rsidP="00245D0E">
      <w:r w:rsidRPr="00A86E9A">
        <w:t xml:space="preserve">Our </w:t>
      </w:r>
      <w:r>
        <w:t xml:space="preserve">final </w:t>
      </w:r>
      <w:r w:rsidRPr="00A86E9A">
        <w:t xml:space="preserve">decision is to annually update the trailing average portfolio return on debt. Under the </w:t>
      </w:r>
      <w:r>
        <w:t>NER</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682"/>
      </w:r>
      <w:r w:rsidRPr="00A86E9A">
        <w:t xml:space="preserve"> This means our decision on how to apply these third party data sources must be fully specified</w:t>
      </w:r>
      <w:r>
        <w:t xml:space="preserve"> upfront in the determination</w:t>
      </w:r>
      <w:r w:rsidRPr="00A86E9A">
        <w:t xml:space="preserve">, and must be capable of application over the </w:t>
      </w:r>
      <w:r>
        <w:t xml:space="preserve">regulatory control </w:t>
      </w:r>
      <w:r w:rsidRPr="00A86E9A">
        <w:t xml:space="preserve">period without the use of subsequent judgement or discretion. </w:t>
      </w:r>
    </w:p>
    <w:p w:rsidR="00245D0E" w:rsidRDefault="00245D0E" w:rsidP="00245D0E">
      <w:r w:rsidRPr="00A86E9A">
        <w:t>For this reason, we have set out a series of contingencies in</w:t>
      </w:r>
      <w:r>
        <w:t xml:space="preserve"> </w:t>
      </w:r>
      <w:r w:rsidR="009B02F6">
        <w:fldChar w:fldCharType="begin"/>
      </w:r>
      <w:r w:rsidR="009B02F6">
        <w:instrText xml:space="preserve"> REF _Ref479863617 \h </w:instrText>
      </w:r>
      <w:r w:rsidR="009B02F6">
        <w:fldChar w:fldCharType="separate"/>
      </w:r>
      <w:r w:rsidR="00C6448C">
        <w:t xml:space="preserve">Table </w:t>
      </w:r>
      <w:r w:rsidR="00C6448C">
        <w:rPr>
          <w:noProof/>
        </w:rPr>
        <w:t>3</w:t>
      </w:r>
      <w:r w:rsidR="00C6448C">
        <w:noBreakHyphen/>
      </w:r>
      <w:r w:rsidR="00C6448C">
        <w:rPr>
          <w:noProof/>
        </w:rPr>
        <w:t>17</w:t>
      </w:r>
      <w:r w:rsidR="009B02F6">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245D0E" w:rsidRDefault="00245D0E" w:rsidP="00245D0E">
      <w:pPr>
        <w:pStyle w:val="Caption"/>
      </w:pPr>
      <w:bookmarkStart w:id="86" w:name="_Ref479863617"/>
      <w:r>
        <w:t xml:space="preserve">Table </w:t>
      </w:r>
      <w:fldSimple w:instr=" STYLEREF 1 \s ">
        <w:r w:rsidR="00C6448C">
          <w:rPr>
            <w:noProof/>
          </w:rPr>
          <w:t>3</w:t>
        </w:r>
      </w:fldSimple>
      <w:r w:rsidR="00882F3D">
        <w:noBreakHyphen/>
      </w:r>
      <w:fldSimple w:instr=" SEQ Table \* ARABIC \s 1 ">
        <w:r w:rsidR="00C6448C">
          <w:rPr>
            <w:noProof/>
          </w:rPr>
          <w:t>17</w:t>
        </w:r>
      </w:fldSimple>
      <w:bookmarkEnd w:id="86"/>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245D0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461" w:type="pct"/>
          </w:tcPr>
          <w:p w:rsidR="00245D0E" w:rsidRPr="00BB7AB1" w:rsidRDefault="00245D0E" w:rsidP="00CC7A1C">
            <w:pPr>
              <w:numPr>
                <w:ilvl w:val="0"/>
                <w:numId w:val="24"/>
              </w:numPr>
            </w:pPr>
            <w:r w:rsidRPr="00BB7AB1">
              <w:t>Event</w:t>
            </w:r>
          </w:p>
        </w:tc>
        <w:tc>
          <w:tcPr>
            <w:tcW w:w="3539" w:type="pct"/>
          </w:tcPr>
          <w:p w:rsidR="00245D0E" w:rsidRPr="00BB7AB1" w:rsidRDefault="00245D0E" w:rsidP="00CC7A1C">
            <w:pPr>
              <w:numPr>
                <w:ilvl w:val="0"/>
                <w:numId w:val="24"/>
              </w:numPr>
            </w:pPr>
            <w:r w:rsidRPr="00BB7AB1">
              <w:t>Changes to approach</w:t>
            </w:r>
          </w:p>
        </w:tc>
      </w:tr>
      <w:tr w:rsidR="00245D0E" w:rsidRPr="00BB7AB1" w:rsidTr="00E85C2D">
        <w:tc>
          <w:tcPr>
            <w:tcW w:w="1461" w:type="pct"/>
          </w:tcPr>
          <w:p w:rsidR="00245D0E" w:rsidRPr="00BB7AB1" w:rsidRDefault="00245D0E" w:rsidP="00CC7A1C">
            <w:pPr>
              <w:numPr>
                <w:ilvl w:val="0"/>
                <w:numId w:val="24"/>
              </w:numPr>
            </w:pPr>
            <w:r w:rsidRPr="00BB7AB1">
              <w:t>Either the RBA or Bloomberg ceases publication</w:t>
            </w:r>
            <w:r>
              <w:t>, temporarily or permanently,</w:t>
            </w:r>
            <w:r w:rsidRPr="00BB7AB1">
              <w:t xml:space="preserve"> of Australian yield curves that reflect a broad BBB rating.</w:t>
            </w:r>
          </w:p>
        </w:tc>
        <w:tc>
          <w:tcPr>
            <w:tcW w:w="3539" w:type="pct"/>
          </w:tcPr>
          <w:p w:rsidR="00245D0E" w:rsidRPr="00BB7AB1" w:rsidRDefault="00245D0E" w:rsidP="00CC7A1C">
            <w:pPr>
              <w:numPr>
                <w:ilvl w:val="0"/>
                <w:numId w:val="24"/>
              </w:numPr>
            </w:pPr>
            <w:r w:rsidRPr="00BB7AB1">
              <w:t>We will estimate the annual return on debt using the remaining curve.</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683"/>
            </w:r>
            <w:r w:rsidRPr="00BB7AB1">
              <w:t>.</w:t>
            </w:r>
          </w:p>
        </w:tc>
        <w:tc>
          <w:tcPr>
            <w:tcW w:w="3539" w:type="pct"/>
          </w:tcPr>
          <w:p w:rsidR="00245D0E" w:rsidRPr="00BB7AB1" w:rsidRDefault="00245D0E" w:rsidP="00CC7A1C">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245D0E" w:rsidRPr="00BB7AB1" w:rsidTr="00E85C2D">
        <w:tc>
          <w:tcPr>
            <w:tcW w:w="1461" w:type="pct"/>
          </w:tcPr>
          <w:p w:rsidR="00245D0E" w:rsidRPr="00BB7AB1" w:rsidRDefault="00245D0E" w:rsidP="00CC7A1C">
            <w:pPr>
              <w:numPr>
                <w:ilvl w:val="0"/>
                <w:numId w:val="24"/>
              </w:numPr>
            </w:pPr>
            <w:r w:rsidRPr="00BB7AB1">
              <w:t>Either Bloomberg or RBA substitutes its current methodology for a revised or updated methodology.</w:t>
            </w:r>
          </w:p>
        </w:tc>
        <w:tc>
          <w:tcPr>
            <w:tcW w:w="3539" w:type="pct"/>
          </w:tcPr>
          <w:p w:rsidR="00245D0E" w:rsidRDefault="00245D0E" w:rsidP="00CC7A1C">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245D0E" w:rsidRPr="00BB7AB1" w:rsidRDefault="00245D0E" w:rsidP="00CC7A1C">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684"/>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Bloomberg </w:t>
            </w:r>
            <w:r>
              <w:t>reduces the maximum published BVAL term from 10 years</w:t>
            </w:r>
          </w:p>
        </w:tc>
        <w:tc>
          <w:tcPr>
            <w:tcW w:w="3539" w:type="pct"/>
          </w:tcPr>
          <w:p w:rsidR="00245D0E" w:rsidRDefault="00245D0E" w:rsidP="00CC7A1C">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 to 10</w:t>
            </w:r>
            <w:r w:rsidRPr="00BB7AB1">
              <w:t xml:space="preserve"> </w:t>
            </w:r>
            <w:r>
              <w:t xml:space="preserve">years </w:t>
            </w:r>
            <w:r w:rsidRPr="00BB7AB1">
              <w:t xml:space="preserve">using the </w:t>
            </w:r>
            <w:r>
              <w:t>corresponding</w:t>
            </w:r>
            <w:r w:rsidRPr="00BB7AB1">
              <w:t xml:space="preserve"> yield margin from the RBA curve.</w:t>
            </w:r>
            <w:r>
              <w:t xml:space="preserve"> </w:t>
            </w:r>
            <w:r>
              <w:rPr>
                <w:rStyle w:val="FootnoteReference"/>
              </w:rPr>
              <w:footnoteReference w:id="685"/>
            </w:r>
          </w:p>
          <w:p w:rsidR="00245D0E" w:rsidRPr="00BB7AB1" w:rsidRDefault="00245D0E" w:rsidP="00CC7A1C">
            <w:pPr>
              <w:numPr>
                <w:ilvl w:val="0"/>
                <w:numId w:val="24"/>
              </w:numPr>
            </w:pPr>
            <w:r w:rsidRPr="00BB7AB1">
              <w:t>If Bloomberg no longer publishes the BVAL curve to 5 years, we will rely entirely on the RBA curve.</w:t>
            </w:r>
          </w:p>
        </w:tc>
      </w:tr>
      <w:tr w:rsidR="00245D0E" w:rsidRPr="00BB7AB1" w:rsidTr="00E85C2D">
        <w:tc>
          <w:tcPr>
            <w:tcW w:w="1461" w:type="pct"/>
          </w:tcPr>
          <w:p w:rsidR="00245D0E" w:rsidRPr="00BB7AB1" w:rsidRDefault="00245D0E" w:rsidP="00CC7A1C">
            <w:pPr>
              <w:numPr>
                <w:ilvl w:val="0"/>
                <w:numId w:val="24"/>
              </w:numPr>
            </w:pPr>
            <w:r w:rsidRPr="00BB7AB1">
              <w:t>The RBA ceases publication of a 10 year yield estimate.</w:t>
            </w:r>
            <w:r w:rsidRPr="00BB7AB1">
              <w:tab/>
            </w:r>
          </w:p>
        </w:tc>
        <w:tc>
          <w:tcPr>
            <w:tcW w:w="3539" w:type="pct"/>
          </w:tcPr>
          <w:p w:rsidR="00245D0E" w:rsidRPr="00BB7AB1" w:rsidRDefault="00245D0E" w:rsidP="00CC7A1C">
            <w:pPr>
              <w:numPr>
                <w:ilvl w:val="0"/>
                <w:numId w:val="24"/>
              </w:numPr>
            </w:pPr>
            <w:r w:rsidRPr="00BB7AB1">
              <w:t>If the RBA ceases publication of a 10 year yield estimate, we will extrapolate the RBA estimate to 10 years using:</w:t>
            </w:r>
          </w:p>
          <w:p w:rsidR="00245D0E" w:rsidRPr="00245D0E" w:rsidRDefault="00245D0E" w:rsidP="00245D0E">
            <w:pPr>
              <w:pStyle w:val="AERbulletlistfirststyle"/>
            </w:pPr>
            <w:r w:rsidRPr="00A86E9A">
              <w:t>if available, the margin between spreads in the Bloomberg curve,</w:t>
            </w:r>
            <w:r w:rsidRPr="00245D0E">
              <w:rPr>
                <w:rStyle w:val="FootnoteReference"/>
              </w:rPr>
              <w:footnoteReference w:id="686"/>
            </w:r>
            <w:r w:rsidRPr="00245D0E">
              <w:t xml:space="preserve"> from the RBA's longest published target term to 10 years</w:t>
            </w:r>
          </w:p>
          <w:p w:rsidR="00245D0E" w:rsidRPr="00245D0E" w:rsidRDefault="00245D0E" w:rsidP="00245D0E">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The RBA commences publication of daily estimates.</w:t>
            </w:r>
          </w:p>
        </w:tc>
        <w:tc>
          <w:tcPr>
            <w:tcW w:w="3539" w:type="pct"/>
          </w:tcPr>
          <w:p w:rsidR="00245D0E" w:rsidRPr="00BB7AB1" w:rsidRDefault="00245D0E" w:rsidP="00CC7A1C">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245D0E" w:rsidRPr="00BB7AB1" w:rsidTr="00E85C2D">
        <w:tc>
          <w:tcPr>
            <w:tcW w:w="1461" w:type="pct"/>
          </w:tcPr>
          <w:p w:rsidR="00245D0E" w:rsidRPr="00BB7AB1" w:rsidRDefault="00245D0E" w:rsidP="00CC7A1C">
            <w:pPr>
              <w:numPr>
                <w:ilvl w:val="0"/>
                <w:numId w:val="24"/>
              </w:numPr>
            </w:pPr>
            <w:r w:rsidRPr="00BB7AB1">
              <w:t>Either Bloomberg or the RBA publishes a BBB+ or utilities specific yield curve.</w:t>
            </w:r>
          </w:p>
        </w:tc>
        <w:tc>
          <w:tcPr>
            <w:tcW w:w="3539" w:type="pct"/>
          </w:tcPr>
          <w:p w:rsidR="00245D0E" w:rsidRPr="00BB7AB1" w:rsidRDefault="00245D0E" w:rsidP="00CC7A1C">
            <w:pPr>
              <w:numPr>
                <w:ilvl w:val="0"/>
                <w:numId w:val="24"/>
              </w:numPr>
            </w:pPr>
            <w:r w:rsidRPr="00BB7AB1">
              <w:t>We will adopt the BBB+ or utilities curve in place of the provider's existing curve, on the basis that it is a closer fit to our benchmark efficient entity.</w:t>
            </w:r>
          </w:p>
        </w:tc>
      </w:tr>
    </w:tbl>
    <w:p w:rsidR="00245D0E" w:rsidRPr="00BB7AB1" w:rsidRDefault="00245D0E" w:rsidP="00245D0E">
      <w:pPr>
        <w:pStyle w:val="AERtablesource"/>
      </w:pPr>
      <w:r w:rsidRPr="00BB7AB1">
        <w:t>Source:</w:t>
      </w:r>
      <w:r w:rsidRPr="00BB7AB1">
        <w:tab/>
        <w:t>AER analysis</w:t>
      </w:r>
      <w:r>
        <w:t>.</w:t>
      </w:r>
    </w:p>
    <w:p w:rsidR="00245D0E" w:rsidRDefault="00245D0E" w:rsidP="00245D0E">
      <w:r>
        <w:t>For this final decision, we have re-worded the contingency for the scenario where e</w:t>
      </w:r>
      <w:r w:rsidRPr="00C4326E">
        <w:t>ither the RBA or Bloomberg ceases publication</w:t>
      </w:r>
      <w:r>
        <w:t xml:space="preserve"> </w:t>
      </w:r>
      <w:r w:rsidRPr="00C4326E">
        <w:t xml:space="preserve">of Australian yield curves </w:t>
      </w:r>
      <w:r>
        <w:t>that reflect a broad BBB rating. Specifically, we have clarified that this contingency will apply whether the cessation of publication is temporary (</w:t>
      </w:r>
      <w:r w:rsidR="00E01319">
        <w:t>i.e.</w:t>
      </w:r>
      <w:r>
        <w:t xml:space="preserv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245D0E" w:rsidRPr="00C56839" w:rsidRDefault="00245D0E" w:rsidP="00245D0E">
      <w:r w:rsidRPr="00C56839">
        <w:t>In general, we have decided on these contingencies based on a series of guiding principles. These are that the contingency must:</w:t>
      </w:r>
    </w:p>
    <w:p w:rsidR="00245D0E" w:rsidRPr="00C56839" w:rsidRDefault="00245D0E" w:rsidP="00245D0E">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245D0E" w:rsidRPr="00762C27" w:rsidRDefault="00245D0E" w:rsidP="00245D0E">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245D0E" w:rsidRDefault="00245D0E" w:rsidP="00245D0E">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687"/>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245D0E" w:rsidRPr="00E6234D" w:rsidRDefault="00245D0E" w:rsidP="00245D0E">
      <w:pPr>
        <w:pStyle w:val="HeadingBoldItalic"/>
      </w:pPr>
      <w:r>
        <w:t>New issue premium</w:t>
      </w:r>
    </w:p>
    <w:p w:rsidR="00245D0E" w:rsidRDefault="00674A3E" w:rsidP="00245D0E">
      <w:r>
        <w:t xml:space="preserve">While we note the TasNetworks did not propose a new issue premium, </w:t>
      </w:r>
      <w:r w:rsidRPr="00A870A6">
        <w:t xml:space="preserve">we </w:t>
      </w:r>
      <w:r>
        <w:t xml:space="preserve">note we </w:t>
      </w:r>
      <w:r w:rsidRPr="00A870A6">
        <w:t xml:space="preserve">do not agree with </w:t>
      </w:r>
      <w:r>
        <w:t>AusNet Services'</w:t>
      </w:r>
      <w:r w:rsidRPr="00A870A6">
        <w:t xml:space="preserve"> commentary </w:t>
      </w:r>
      <w:r>
        <w:t xml:space="preserve">in its </w:t>
      </w:r>
      <w:r w:rsidR="00DF0600">
        <w:t>transmission</w:t>
      </w:r>
      <w:r>
        <w:t xml:space="preserve"> proposal </w:t>
      </w:r>
      <w:r w:rsidRPr="00A870A6">
        <w:t>that excluding a new issue premium makes its proposed return on debt 'conservative'</w:t>
      </w:r>
      <w:r w:rsidR="00245D0E" w:rsidRPr="0018148E">
        <w:t>.</w:t>
      </w:r>
      <w:r w:rsidR="00245D0E">
        <w:rPr>
          <w:rStyle w:val="FootnoteReference"/>
        </w:rPr>
        <w:footnoteReference w:id="688"/>
      </w:r>
    </w:p>
    <w:p w:rsidR="00245D0E" w:rsidRDefault="00245D0E" w:rsidP="00245D0E">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689"/>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690"/>
      </w:r>
      <w:r>
        <w:t xml:space="preserve"> The </w:t>
      </w:r>
      <w:r w:rsidRPr="006D5821">
        <w:t>main reasons for our position are:</w:t>
      </w:r>
    </w:p>
    <w:p w:rsidR="00245D0E" w:rsidRPr="00784F6B" w:rsidRDefault="00245D0E" w:rsidP="00245D0E">
      <w:pPr>
        <w:pStyle w:val="AERbulletlistfirststyle"/>
      </w:pPr>
      <w:r w:rsidRPr="001426E4">
        <w:t xml:space="preserve">Conceptually, we </w:t>
      </w:r>
      <w:r w:rsidRPr="00784F6B">
        <w:t>consider that a benchmark efficient entity would not face a new issue premium as part of its efficient financing costs.</w:t>
      </w:r>
    </w:p>
    <w:p w:rsidR="00245D0E" w:rsidRPr="00784F6B" w:rsidRDefault="00245D0E" w:rsidP="00245D0E">
      <w:pPr>
        <w:pStyle w:val="AERbulletlistfirststyle"/>
      </w:pPr>
      <w:r>
        <w:t>T</w:t>
      </w:r>
      <w:r w:rsidRPr="00784F6B">
        <w:t>he evidence before us indicates that our return on debt allowance already appropriately compensates a benchmark efficient entity overall for its efficient financing costs.</w:t>
      </w:r>
    </w:p>
    <w:p w:rsidR="00245D0E" w:rsidRPr="00784F6B" w:rsidRDefault="00245D0E" w:rsidP="00245D0E">
      <w:pPr>
        <w:pStyle w:val="AERbulletlistfirststyle"/>
      </w:pPr>
      <w:r>
        <w:t>W</w:t>
      </w:r>
      <w:r w:rsidRPr="00784F6B">
        <w:t xml:space="preserve">e consider that the empirical evidence on the new issue premium is inconclusive in general and that there is little consensus among experts on how to measure potential new issue </w:t>
      </w:r>
      <w:r>
        <w:t>premium</w:t>
      </w:r>
      <w:r w:rsidRPr="00784F6B">
        <w:t>.</w:t>
      </w:r>
    </w:p>
    <w:p w:rsidR="00245D0E" w:rsidRPr="00784F6B" w:rsidRDefault="00245D0E" w:rsidP="00245D0E">
      <w:pPr>
        <w:pStyle w:val="AERbulletlistfirststyle"/>
      </w:pPr>
      <w:r>
        <w:t>We are unaware of any academic literature on the new issue premium in the Australian market. On behalf of several service providers, CEG conducted an empirical analysis on the Australian marke</w:t>
      </w:r>
      <w:r w:rsidRPr="00784F6B">
        <w:t>t.</w:t>
      </w:r>
      <w:r w:rsidRPr="00784F6B">
        <w:rPr>
          <w:rStyle w:val="FootnoteReference"/>
        </w:rPr>
        <w:footnoteReference w:id="691"/>
      </w:r>
      <w:r w:rsidRPr="00784F6B">
        <w:t xml:space="preserve"> However, we have concerns with CEG's methodology, which we do not consider CEG has satisfactorily addressed.</w:t>
      </w:r>
      <w:r w:rsidRPr="00784F6B">
        <w:rPr>
          <w:rStyle w:val="FootnoteReference"/>
        </w:rPr>
        <w:footnoteReference w:id="692"/>
      </w:r>
    </w:p>
    <w:p w:rsidR="00245D0E" w:rsidRDefault="00245D0E" w:rsidP="00245D0E">
      <w:r>
        <w:t>For a more detailed explanation of our reasons, see Appendix I of our final decision for United Energy.</w:t>
      </w:r>
      <w:r>
        <w:rPr>
          <w:rStyle w:val="FootnoteReference"/>
        </w:rPr>
        <w:footnoteReference w:id="693"/>
      </w:r>
    </w:p>
    <w:p w:rsidR="00245D0E" w:rsidRDefault="00245D0E" w:rsidP="00245D0E">
      <w:pPr>
        <w:pStyle w:val="HeadingBoldItalic"/>
      </w:pPr>
      <w:r w:rsidRPr="00E761F9">
        <w:t xml:space="preserve">Averaging periods </w:t>
      </w:r>
    </w:p>
    <w:p w:rsidR="00245D0E" w:rsidRDefault="00245D0E" w:rsidP="00245D0E">
      <w:r>
        <w:t>O</w:t>
      </w:r>
      <w:r w:rsidRPr="00F62E1D">
        <w:t xml:space="preserve">ur </w:t>
      </w:r>
      <w:r>
        <w:t>final decision</w:t>
      </w:r>
      <w:r w:rsidRPr="00F62E1D">
        <w:t xml:space="preserve"> is to accept</w:t>
      </w:r>
      <w:r w:rsidR="00B3302E">
        <w:t xml:space="preserve"> TasNetworks</w:t>
      </w:r>
      <w:r>
        <w:t xml:space="preserve">' </w:t>
      </w:r>
      <w:r w:rsidRPr="00F62E1D">
        <w:t xml:space="preserve">proposed debt </w:t>
      </w:r>
      <w:r>
        <w:t>averaging periods for 2017 to 20</w:t>
      </w:r>
      <w:r w:rsidR="00B3302E">
        <w:t>19</w:t>
      </w:r>
      <w:r>
        <w:t>.</w:t>
      </w:r>
      <w:r>
        <w:rPr>
          <w:rStyle w:val="FootnoteReference"/>
        </w:rPr>
        <w:footnoteReference w:id="694"/>
      </w:r>
      <w:r>
        <w:t xml:space="preserve"> </w:t>
      </w:r>
    </w:p>
    <w:p w:rsidR="00245D0E" w:rsidRPr="00E761F9" w:rsidRDefault="00245D0E" w:rsidP="00245D0E">
      <w:r w:rsidRPr="00E761F9">
        <w:t>We specify these averaging periods for the 2017 to 20</w:t>
      </w:r>
      <w:r w:rsidR="00B3302E">
        <w:t>19</w:t>
      </w:r>
      <w:r w:rsidRPr="00E761F9">
        <w:t xml:space="preserve"> regulatory years in c</w:t>
      </w:r>
      <w:r>
        <w:t xml:space="preserve">onfidential Appendix </w:t>
      </w:r>
      <w:r w:rsidR="00D365A6">
        <w:t>M</w:t>
      </w:r>
      <w:r w:rsidRPr="00E761F9">
        <w:t>. This is because our practice is to keep the dates of averaging periods confidential until they have expired.</w:t>
      </w:r>
    </w:p>
    <w:p w:rsidR="00245D0E" w:rsidRPr="00E761F9" w:rsidRDefault="00245D0E" w:rsidP="00245D0E">
      <w:r w:rsidRPr="00E761F9">
        <w:t>In the Guideline, we proposed that service providers could nominate averaging periods of 10 or more consecutive business days up to a maximum of 12 months.</w:t>
      </w:r>
      <w:r w:rsidRPr="00E761F9">
        <w:rPr>
          <w:rStyle w:val="FootnoteReference"/>
        </w:rPr>
        <w:footnoteReference w:id="695"/>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696"/>
      </w:r>
    </w:p>
    <w:p w:rsidR="00245D0E" w:rsidRPr="00E761F9" w:rsidRDefault="00245D0E" w:rsidP="00245D0E">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245D0E" w:rsidRPr="00E761F9" w:rsidRDefault="009B02F6" w:rsidP="00CC7A1C">
      <w:pPr>
        <w:numPr>
          <w:ilvl w:val="0"/>
          <w:numId w:val="24"/>
        </w:numPr>
      </w:pPr>
      <w:r>
        <w:fldChar w:fldCharType="begin"/>
      </w:r>
      <w:r>
        <w:instrText xml:space="preserve"> REF _Ref479863628 \h </w:instrText>
      </w:r>
      <w:r>
        <w:fldChar w:fldCharType="separate"/>
      </w:r>
      <w:r w:rsidR="00C6448C" w:rsidRPr="00E761F9">
        <w:t xml:space="preserve">Table </w:t>
      </w:r>
      <w:r w:rsidR="00C6448C">
        <w:rPr>
          <w:noProof/>
        </w:rPr>
        <w:t>3</w:t>
      </w:r>
      <w:r w:rsidR="00C6448C">
        <w:noBreakHyphen/>
      </w:r>
      <w:r w:rsidR="00C6448C">
        <w:rPr>
          <w:noProof/>
        </w:rPr>
        <w:t>18</w:t>
      </w:r>
      <w:r>
        <w:fldChar w:fldCharType="end"/>
      </w:r>
      <w:r w:rsidR="00245D0E" w:rsidRPr="00E761F9">
        <w:t xml:space="preserve"> sets out why we consider an averaging period that meets the remaining conditions in the Guideline contributes to the achievement of the </w:t>
      </w:r>
      <w:r w:rsidR="00245D0E">
        <w:t>ARORO</w:t>
      </w:r>
      <w:r w:rsidR="00245D0E" w:rsidRPr="00E761F9">
        <w:t xml:space="preserve">. It also summarises our assessment of </w:t>
      </w:r>
      <w:r w:rsidR="00B3302E">
        <w:t>TasNetworks</w:t>
      </w:r>
      <w:r w:rsidR="00245D0E">
        <w:t>’</w:t>
      </w:r>
      <w:r w:rsidR="00245D0E" w:rsidRPr="00E761F9">
        <w:t xml:space="preserve"> proposed debt averaging periods</w:t>
      </w:r>
      <w:r w:rsidR="00245D0E">
        <w:t xml:space="preserve"> against these conditions</w:t>
      </w:r>
      <w:r w:rsidR="00245D0E" w:rsidRPr="00E761F9">
        <w:t xml:space="preserve">. </w:t>
      </w:r>
    </w:p>
    <w:p w:rsidR="00245D0E" w:rsidRPr="00E761F9" w:rsidRDefault="00245D0E" w:rsidP="00245D0E">
      <w:pPr>
        <w:pStyle w:val="Caption"/>
      </w:pPr>
      <w:bookmarkStart w:id="87" w:name="_Ref479863628"/>
      <w:r w:rsidRPr="00E761F9">
        <w:t xml:space="preserve">Table </w:t>
      </w:r>
      <w:fldSimple w:instr=" STYLEREF 1 \s ">
        <w:r w:rsidR="00C6448C">
          <w:rPr>
            <w:noProof/>
          </w:rPr>
          <w:t>3</w:t>
        </w:r>
      </w:fldSimple>
      <w:r w:rsidR="00882F3D">
        <w:noBreakHyphen/>
      </w:r>
      <w:fldSimple w:instr=" SEQ Table \* ARABIC \s 1 ">
        <w:r w:rsidR="00C6448C">
          <w:rPr>
            <w:noProof/>
          </w:rPr>
          <w:t>18</w:t>
        </w:r>
      </w:fldSimple>
      <w:bookmarkEnd w:id="87"/>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245D0E" w:rsidTr="00E85C2D">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245D0E" w:rsidRPr="00245D0E" w:rsidRDefault="00245D0E" w:rsidP="00245D0E">
            <w:r w:rsidRPr="00E761F9">
              <w:t>Condition</w:t>
            </w:r>
          </w:p>
        </w:tc>
        <w:tc>
          <w:tcPr>
            <w:tcW w:w="4647" w:type="dxa"/>
          </w:tcPr>
          <w:p w:rsidR="00245D0E" w:rsidRPr="00245D0E" w:rsidRDefault="00245D0E" w:rsidP="00245D0E">
            <w:r w:rsidRPr="00E761F9">
              <w:t>Reasons for condition</w:t>
            </w:r>
          </w:p>
        </w:tc>
        <w:tc>
          <w:tcPr>
            <w:tcW w:w="1425" w:type="dxa"/>
          </w:tcPr>
          <w:p w:rsidR="00245D0E" w:rsidRPr="00245D0E" w:rsidRDefault="00245D0E" w:rsidP="00245D0E">
            <w:r w:rsidRPr="00E761F9">
              <w:t>Condition met?</w:t>
            </w:r>
          </w:p>
        </w:tc>
      </w:tr>
      <w:tr w:rsidR="00245D0E" w:rsidTr="00E85C2D">
        <w:trPr>
          <w:trHeight w:val="143"/>
        </w:trPr>
        <w:tc>
          <w:tcPr>
            <w:tcW w:w="2591" w:type="dxa"/>
          </w:tcPr>
          <w:p w:rsidR="00245D0E" w:rsidRPr="00245D0E" w:rsidRDefault="00245D0E" w:rsidP="00245D0E">
            <w:r w:rsidRPr="00E761F9">
              <w:t xml:space="preserve">Observed over a period of 10 or more consecutive business days up to a maximum of </w:t>
            </w:r>
            <w:r w:rsidRPr="00245D0E">
              <w:t>12 months</w:t>
            </w:r>
          </w:p>
        </w:tc>
        <w:tc>
          <w:tcPr>
            <w:tcW w:w="4647" w:type="dxa"/>
          </w:tcPr>
          <w:p w:rsidR="00245D0E" w:rsidRPr="00245D0E" w:rsidRDefault="00245D0E" w:rsidP="00245D0E">
            <w:r w:rsidRPr="00E761F9">
              <w:t>Averaging daily estimates</w:t>
            </w:r>
            <w:r w:rsidRPr="00245D0E">
              <w:t xml:space="preserve"> over a number of days smooths out short term volatility in the annually updated return on debt allowance.</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It </w:t>
            </w:r>
            <w:r w:rsidRPr="00245D0E">
              <w:t>should be specified prior to the commencement of the regulatory control period.</w:t>
            </w:r>
          </w:p>
        </w:tc>
        <w:tc>
          <w:tcPr>
            <w:tcW w:w="4647" w:type="dxa"/>
          </w:tcPr>
          <w:p w:rsidR="00245D0E" w:rsidRPr="00245D0E" w:rsidRDefault="00245D0E" w:rsidP="00245D0E">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At the time it is nominated, all dates in the averaging period must take place in the future.</w:t>
            </w:r>
          </w:p>
        </w:tc>
        <w:tc>
          <w:tcPr>
            <w:tcW w:w="4647" w:type="dxa"/>
          </w:tcPr>
          <w:p w:rsidR="00245D0E" w:rsidRPr="00245D0E" w:rsidRDefault="00245D0E" w:rsidP="00245D0E">
            <w:r w:rsidRPr="00E761F9">
              <w:t>If a regulated service provider can select an averaging period by looking at historical yields, it may introduce an upward bias.</w:t>
            </w:r>
            <w:r w:rsidRPr="00245D0E">
              <w:rPr>
                <w:rStyle w:val="FootnoteReference"/>
              </w:rPr>
              <w:footnoteReference w:id="697"/>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An averaging period needs to be specified for each regulatory year within a regulatory control period.</w:t>
            </w:r>
          </w:p>
        </w:tc>
        <w:tc>
          <w:tcPr>
            <w:tcW w:w="4647" w:type="dxa"/>
          </w:tcPr>
          <w:p w:rsidR="00245D0E" w:rsidRPr="00245D0E" w:rsidRDefault="00245D0E" w:rsidP="00245D0E">
            <w:r w:rsidRPr="00E761F9">
              <w:t>This allows for the annual debt update. The annual debt update reduces the potential for a mismatch between the allowed and actual return on debt for the benchmark efficient entity.</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The proposed averaging periods for different regulatory years are not required to be identical but should not overlap.</w:t>
            </w:r>
          </w:p>
        </w:tc>
        <w:tc>
          <w:tcPr>
            <w:tcW w:w="4647" w:type="dxa"/>
          </w:tcPr>
          <w:p w:rsidR="00245D0E" w:rsidRPr="00245D0E" w:rsidRDefault="00245D0E" w:rsidP="00245D0E">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The nominal return on debt is to be updated annually using the </w:t>
            </w:r>
            <w:r w:rsidRPr="00245D0E">
              <w:t>agreed averaging period for the relevant regulatory year.</w:t>
            </w:r>
          </w:p>
        </w:tc>
        <w:tc>
          <w:tcPr>
            <w:tcW w:w="4647" w:type="dxa"/>
          </w:tcPr>
          <w:p w:rsidR="00245D0E" w:rsidRPr="00245D0E" w:rsidRDefault="00245D0E" w:rsidP="00245D0E">
            <w:r w:rsidRPr="00E761F9">
              <w:t>This prevents a service provider from introducing bias by only updating annually using the agreed averaging period when it is advantageous for it to do so.</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Each agreed averaging period is to be confidential.</w:t>
            </w:r>
          </w:p>
        </w:tc>
        <w:tc>
          <w:tcPr>
            <w:tcW w:w="4647" w:type="dxa"/>
          </w:tcPr>
          <w:p w:rsidR="00245D0E" w:rsidRPr="00245D0E" w:rsidRDefault="00245D0E" w:rsidP="00245D0E">
            <w:r w:rsidRPr="00E761F9">
              <w:t xml:space="preserve">This facilitates service providers organising their financing arrangements without market participants </w:t>
            </w:r>
            <w:r w:rsidRPr="00245D0E">
              <w:t>being aware of the averaging periods. Accordingly, in practice we keep averaging periods confidential until they expire.</w:t>
            </w:r>
          </w:p>
        </w:tc>
        <w:tc>
          <w:tcPr>
            <w:tcW w:w="1425" w:type="dxa"/>
          </w:tcPr>
          <w:p w:rsidR="00245D0E" w:rsidRPr="00245D0E" w:rsidRDefault="00245D0E" w:rsidP="00245D0E">
            <w:r w:rsidRPr="00E761F9">
              <w:t>Yes</w:t>
            </w:r>
          </w:p>
        </w:tc>
      </w:tr>
    </w:tbl>
    <w:p w:rsidR="00245D0E" w:rsidRPr="00E761F9" w:rsidRDefault="00245D0E" w:rsidP="00245D0E">
      <w:pPr>
        <w:pStyle w:val="AERtablesource"/>
      </w:pPr>
      <w:r w:rsidRPr="00E761F9">
        <w:t xml:space="preserve">Source: </w:t>
      </w:r>
      <w:r w:rsidRPr="00E761F9">
        <w:tab/>
        <w:t xml:space="preserve">AER, </w:t>
      </w:r>
      <w:r w:rsidRPr="00E761F9">
        <w:rPr>
          <w:rStyle w:val="AERtextitalic"/>
        </w:rPr>
        <w:t>Rate of return guideline</w:t>
      </w:r>
      <w:r w:rsidRPr="00E761F9">
        <w:t>, December 2013, pp. 21-22;.</w:t>
      </w:r>
    </w:p>
    <w:p w:rsidR="00245D0E" w:rsidRPr="00E761F9" w:rsidRDefault="00245D0E" w:rsidP="00245D0E">
      <w:pPr>
        <w:pStyle w:val="HeadingBoldItalic"/>
      </w:pPr>
      <w:r w:rsidRPr="00E761F9">
        <w:t xml:space="preserve">Annual debt update process </w:t>
      </w:r>
    </w:p>
    <w:p w:rsidR="00245D0E" w:rsidRDefault="00245D0E" w:rsidP="00CC7A1C">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w:t>
      </w:r>
      <w:r w:rsidR="00B3302E">
        <w:t>TasNetworks</w:t>
      </w:r>
      <w:r>
        <w:t xml:space="preserve"> is set out in </w:t>
      </w:r>
      <w:r w:rsidR="000E14D2">
        <w:fldChar w:fldCharType="begin"/>
      </w:r>
      <w:r w:rsidR="000E14D2">
        <w:instrText xml:space="preserve"> REF  _Ref479863638 \* Lower \h </w:instrText>
      </w:r>
      <w:r w:rsidR="000E14D2">
        <w:fldChar w:fldCharType="separate"/>
      </w:r>
      <w:r w:rsidR="00C6448C">
        <w:t xml:space="preserve">table </w:t>
      </w:r>
      <w:r w:rsidR="00C6448C">
        <w:rPr>
          <w:noProof/>
        </w:rPr>
        <w:t>3</w:t>
      </w:r>
      <w:r w:rsidR="00C6448C">
        <w:noBreakHyphen/>
      </w:r>
      <w:r w:rsidR="00C6448C">
        <w:rPr>
          <w:noProof/>
        </w:rPr>
        <w:t>19</w:t>
      </w:r>
      <w:r w:rsidR="000E14D2">
        <w:fldChar w:fldCharType="end"/>
      </w:r>
      <w:r>
        <w:t xml:space="preserve">. </w:t>
      </w:r>
    </w:p>
    <w:p w:rsidR="00245D0E" w:rsidRPr="004057C7" w:rsidRDefault="00245D0E" w:rsidP="00245D0E">
      <w:pPr>
        <w:pStyle w:val="Caption"/>
      </w:pPr>
      <w:bookmarkStart w:id="88" w:name="_Ref479863638"/>
      <w:r>
        <w:t xml:space="preserve">Table </w:t>
      </w:r>
      <w:fldSimple w:instr=" STYLEREF 1 \s ">
        <w:r w:rsidR="00C6448C">
          <w:rPr>
            <w:noProof/>
          </w:rPr>
          <w:t>3</w:t>
        </w:r>
      </w:fldSimple>
      <w:r w:rsidR="00882F3D">
        <w:noBreakHyphen/>
      </w:r>
      <w:fldSimple w:instr=" SEQ Table \* ARABIC \s 1 ">
        <w:r w:rsidR="00C6448C">
          <w:rPr>
            <w:noProof/>
          </w:rPr>
          <w:t>19</w:t>
        </w:r>
      </w:fldSimple>
      <w:bookmarkEnd w:id="88"/>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245D0E" w:rsidRPr="00616FA2" w:rsidTr="00AC6390">
        <w:trPr>
          <w:cnfStyle w:val="100000000000" w:firstRow="1" w:lastRow="0" w:firstColumn="0" w:lastColumn="0" w:oddVBand="0" w:evenVBand="0" w:oddHBand="0" w:evenHBand="0" w:firstRowFirstColumn="0" w:firstRowLastColumn="0" w:lastRowFirstColumn="0" w:lastRowLastColumn="0"/>
        </w:trPr>
        <w:tc>
          <w:tcPr>
            <w:tcW w:w="374" w:type="pct"/>
          </w:tcPr>
          <w:p w:rsidR="00245D0E" w:rsidRPr="00245D0E" w:rsidRDefault="00245D0E" w:rsidP="00245D0E">
            <w:pPr>
              <w:pStyle w:val="AERtabletextleft"/>
            </w:pPr>
            <w:r w:rsidRPr="00616FA2">
              <w:t>Step</w:t>
            </w:r>
          </w:p>
        </w:tc>
        <w:tc>
          <w:tcPr>
            <w:tcW w:w="1233" w:type="pct"/>
          </w:tcPr>
          <w:p w:rsidR="00245D0E" w:rsidRPr="00245D0E" w:rsidRDefault="00245D0E" w:rsidP="00245D0E">
            <w:pPr>
              <w:pStyle w:val="AERtabletextleft"/>
            </w:pPr>
            <w:r w:rsidRPr="00616FA2">
              <w:t>Timing</w:t>
            </w:r>
          </w:p>
        </w:tc>
        <w:tc>
          <w:tcPr>
            <w:tcW w:w="1527" w:type="pct"/>
          </w:tcPr>
          <w:p w:rsidR="00245D0E" w:rsidRPr="00245D0E" w:rsidRDefault="00245D0E" w:rsidP="00245D0E">
            <w:pPr>
              <w:pStyle w:val="AERtabletextleft"/>
            </w:pPr>
            <w:r w:rsidRPr="00616FA2">
              <w:t>Description of step</w:t>
            </w:r>
          </w:p>
        </w:tc>
        <w:tc>
          <w:tcPr>
            <w:tcW w:w="1866" w:type="pct"/>
          </w:tcPr>
          <w:p w:rsidR="00245D0E" w:rsidRPr="00245D0E" w:rsidRDefault="00245D0E" w:rsidP="00245D0E">
            <w:pPr>
              <w:pStyle w:val="AERtabletextleft"/>
            </w:pPr>
            <w:r w:rsidRPr="00616FA2">
              <w:t>Reasons for timing</w:t>
            </w:r>
          </w:p>
        </w:tc>
      </w:tr>
      <w:tr w:rsidR="00AC6390" w:rsidRPr="00616FA2" w:rsidTr="006E5878">
        <w:tc>
          <w:tcPr>
            <w:tcW w:w="374" w:type="pct"/>
          </w:tcPr>
          <w:p w:rsidR="00AC6390" w:rsidRPr="00AC6390" w:rsidRDefault="00AC6390" w:rsidP="00AC6390">
            <w:pPr>
              <w:pStyle w:val="AERtabletextleft"/>
            </w:pPr>
            <w:r w:rsidRPr="00AC6390">
              <w:t>1</w:t>
            </w:r>
          </w:p>
        </w:tc>
        <w:tc>
          <w:tcPr>
            <w:tcW w:w="1233" w:type="pct"/>
            <w:vAlign w:val="top"/>
          </w:tcPr>
          <w:p w:rsidR="00AC6390" w:rsidRPr="00AC6390" w:rsidRDefault="00AC6390" w:rsidP="00AC6390">
            <w:pPr>
              <w:pStyle w:val="AERtabletextleft"/>
            </w:pPr>
            <w:r w:rsidRPr="00AC6390">
              <w:t>25 business days before a distributor submits its pricing proposal to us.</w:t>
            </w:r>
          </w:p>
        </w:tc>
        <w:tc>
          <w:tcPr>
            <w:tcW w:w="1527" w:type="pct"/>
            <w:vAlign w:val="top"/>
          </w:tcPr>
          <w:p w:rsidR="00AC6390" w:rsidRPr="00AC6390" w:rsidRDefault="00AC6390" w:rsidP="00AC6390">
            <w:pPr>
              <w:pStyle w:val="AERtabletextleft"/>
            </w:pPr>
            <w:r w:rsidRPr="00AC6390">
              <w:t>Averaging period ends on or before this date.</w:t>
            </w:r>
          </w:p>
        </w:tc>
        <w:tc>
          <w:tcPr>
            <w:tcW w:w="1866" w:type="pct"/>
            <w:vAlign w:val="top"/>
          </w:tcPr>
          <w:p w:rsidR="00AC6390" w:rsidRPr="00AC6390" w:rsidRDefault="00AC6390" w:rsidP="00AC6390">
            <w:pPr>
              <w:pStyle w:val="AERtabletextleft"/>
            </w:pPr>
            <w:r w:rsidRPr="00AC6390">
              <w:t>We determine the maximum practical end date of the averaging period from the timing of steps 2 and 3.</w:t>
            </w:r>
          </w:p>
        </w:tc>
      </w:tr>
      <w:tr w:rsidR="00AC6390" w:rsidRPr="00616FA2" w:rsidTr="006E5878">
        <w:trPr>
          <w:cnfStyle w:val="000000010000" w:firstRow="0" w:lastRow="0" w:firstColumn="0" w:lastColumn="0" w:oddVBand="0" w:evenVBand="0" w:oddHBand="0" w:evenHBand="1" w:firstRowFirstColumn="0" w:firstRowLastColumn="0" w:lastRowFirstColumn="0" w:lastRowLastColumn="0"/>
        </w:trPr>
        <w:tc>
          <w:tcPr>
            <w:tcW w:w="374" w:type="pct"/>
          </w:tcPr>
          <w:p w:rsidR="00AC6390" w:rsidRPr="00AC6390" w:rsidRDefault="00AC6390" w:rsidP="00AC6390">
            <w:pPr>
              <w:pStyle w:val="AERtabletextleft"/>
            </w:pPr>
            <w:r w:rsidRPr="00AC6390">
              <w:t>2</w:t>
            </w:r>
          </w:p>
        </w:tc>
        <w:tc>
          <w:tcPr>
            <w:tcW w:w="1233" w:type="pct"/>
            <w:vAlign w:val="top"/>
          </w:tcPr>
          <w:p w:rsidR="00AC6390" w:rsidRPr="00AC6390" w:rsidRDefault="00AC6390" w:rsidP="00AC6390">
            <w:pPr>
              <w:pStyle w:val="AERtabletextleft"/>
            </w:pPr>
            <w:r w:rsidRPr="00AC6390">
              <w:t>10 business days before a distributor submits its pricing proposal to us.</w:t>
            </w:r>
          </w:p>
        </w:tc>
        <w:tc>
          <w:tcPr>
            <w:tcW w:w="1527" w:type="pct"/>
            <w:vAlign w:val="top"/>
          </w:tcPr>
          <w:p w:rsidR="00AC6390" w:rsidRPr="00AC6390" w:rsidRDefault="00AC6390" w:rsidP="00AC6390">
            <w:pPr>
              <w:pStyle w:val="AERtabletextleft"/>
            </w:pPr>
            <w:r w:rsidRPr="00AC6390">
              <w:t>So the distributor can factor this into its annual pricing proposal, we inform it of updates on the return on debt, annual building block revenue requirement and X factor that incorporates the updated return on debt.</w:t>
            </w:r>
          </w:p>
        </w:tc>
        <w:tc>
          <w:tcPr>
            <w:tcW w:w="1866" w:type="pct"/>
            <w:vAlign w:val="top"/>
          </w:tcPr>
          <w:p w:rsidR="00AC6390" w:rsidRPr="00AC6390" w:rsidRDefault="00AC6390" w:rsidP="00AC6390">
            <w:pPr>
              <w:pStyle w:val="AERtabletextleft"/>
            </w:pPr>
            <w:r w:rsidRPr="00AC6390">
              <w:t>15 business days between steps 1 and 2 provides sufficient time for us to calculate (and provide quality assurance checks on the updated return on debt, revenue and X factor.</w:t>
            </w:r>
          </w:p>
        </w:tc>
      </w:tr>
      <w:tr w:rsidR="00AC6390" w:rsidRPr="00616FA2" w:rsidTr="006E5878">
        <w:tc>
          <w:tcPr>
            <w:tcW w:w="374" w:type="pct"/>
          </w:tcPr>
          <w:p w:rsidR="00AC6390" w:rsidRPr="00AC6390" w:rsidRDefault="00AC6390" w:rsidP="00AC6390">
            <w:pPr>
              <w:pStyle w:val="AERtabletextleft"/>
            </w:pPr>
          </w:p>
        </w:tc>
        <w:tc>
          <w:tcPr>
            <w:tcW w:w="1233" w:type="pct"/>
            <w:vAlign w:val="top"/>
          </w:tcPr>
          <w:p w:rsidR="00AC6390" w:rsidRPr="00AC6390" w:rsidRDefault="00AC6390" w:rsidP="00AC6390">
            <w:pPr>
              <w:pStyle w:val="AERtabletextleft"/>
            </w:pPr>
            <w:r w:rsidRPr="00AC6390">
              <w:t>A distributor submits its pricing proposal to us on the date determined by the rules.</w:t>
            </w:r>
          </w:p>
        </w:tc>
        <w:tc>
          <w:tcPr>
            <w:tcW w:w="1527" w:type="pct"/>
            <w:vAlign w:val="top"/>
          </w:tcPr>
          <w:p w:rsidR="00AC6390" w:rsidRPr="00AC6390" w:rsidRDefault="00AC6390" w:rsidP="00AC6390">
            <w:pPr>
              <w:pStyle w:val="AERtabletextleft"/>
            </w:pPr>
            <w:r w:rsidRPr="00AC6390">
              <w:t>The distributor submits its pricing proposal to us for the relevant year.</w:t>
            </w:r>
          </w:p>
        </w:tc>
        <w:tc>
          <w:tcPr>
            <w:tcW w:w="1866" w:type="pct"/>
            <w:vAlign w:val="top"/>
          </w:tcPr>
          <w:p w:rsidR="00AC6390" w:rsidRPr="00AC6390" w:rsidRDefault="00AC6390" w:rsidP="00AC6390">
            <w:pPr>
              <w:pStyle w:val="AERtabletextleft"/>
            </w:pPr>
            <w:r w:rsidRPr="00AC6390">
              <w:t xml:space="preserve">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  </w:t>
            </w:r>
          </w:p>
        </w:tc>
      </w:tr>
    </w:tbl>
    <w:p w:rsidR="00245D0E" w:rsidRDefault="00245D0E" w:rsidP="00245D0E">
      <w:pPr>
        <w:pStyle w:val="AERtablesource"/>
      </w:pPr>
      <w:r>
        <w:t xml:space="preserve">Source: </w:t>
      </w:r>
      <w:r>
        <w:tab/>
        <w:t>AER analysis.</w:t>
      </w:r>
    </w:p>
    <w:p w:rsidR="00AC6390" w:rsidRPr="00E761F9" w:rsidRDefault="002F086F" w:rsidP="00AC6390">
      <w:pPr>
        <w:numPr>
          <w:ilvl w:val="0"/>
          <w:numId w:val="24"/>
        </w:numPr>
      </w:pPr>
      <w:r>
        <w:t>W</w:t>
      </w:r>
      <w:r w:rsidR="00AC6390" w:rsidRPr="00E761F9">
        <w:t>e are open to individual distributors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distributor must submit its annual pricing proposal to us.</w:t>
      </w:r>
    </w:p>
    <w:p w:rsidR="00AC6390" w:rsidRPr="00E761F9" w:rsidRDefault="00AC6390" w:rsidP="00AC6390">
      <w:pPr>
        <w:numPr>
          <w:ilvl w:val="0"/>
          <w:numId w:val="24"/>
        </w:numPr>
      </w:pPr>
      <w:r w:rsidRPr="00E761F9">
        <w:t xml:space="preserve">The process outlined in </w:t>
      </w:r>
      <w:r w:rsidR="000E14D2">
        <w:fldChar w:fldCharType="begin"/>
      </w:r>
      <w:r w:rsidR="000E14D2">
        <w:instrText xml:space="preserve"> REF  _Ref479863638 \* Lower \h </w:instrText>
      </w:r>
      <w:r w:rsidR="000E14D2">
        <w:fldChar w:fldCharType="separate"/>
      </w:r>
      <w:r w:rsidR="00C6448C">
        <w:t xml:space="preserve">table </w:t>
      </w:r>
      <w:r w:rsidR="00C6448C">
        <w:rPr>
          <w:noProof/>
        </w:rPr>
        <w:t>3</w:t>
      </w:r>
      <w:r w:rsidR="00C6448C">
        <w:noBreakHyphen/>
      </w:r>
      <w:r w:rsidR="00C6448C">
        <w:rPr>
          <w:noProof/>
        </w:rPr>
        <w:t>19</w:t>
      </w:r>
      <w:r w:rsidR="000E14D2">
        <w:fldChar w:fldCharType="end"/>
      </w:r>
      <w:r w:rsidRPr="00E761F9">
        <w:t xml:space="preserve"> does not apply to the first regulatory year in the regulatory control period. This is because the distribution determination will include the X factor for the first year, which will already incorporate the first year return on debt. Therefore, this process will generally apply to the subsequent years of a regulatory control period.</w:t>
      </w:r>
    </w:p>
    <w:p w:rsidR="00AC6390" w:rsidRPr="00E761F9" w:rsidRDefault="00AC6390" w:rsidP="00AC6390">
      <w:pPr>
        <w:numPr>
          <w:ilvl w:val="0"/>
          <w:numId w:val="24"/>
        </w:numPr>
      </w:pPr>
      <w:r w:rsidRPr="00E761F9">
        <w:t>In</w:t>
      </w:r>
      <w:r w:rsidR="004C574A">
        <w:t xml:space="preserve"> section</w:t>
      </w:r>
      <w:r w:rsidRPr="00E761F9">
        <w:t xml:space="preserve"> </w:t>
      </w:r>
      <w:r w:rsidR="004C574A">
        <w:fldChar w:fldCharType="begin"/>
      </w:r>
      <w:r w:rsidR="004C574A">
        <w:instrText xml:space="preserve"> REF _Ref478718271 \r \h </w:instrText>
      </w:r>
      <w:r w:rsidR="004C574A">
        <w:fldChar w:fldCharType="separate"/>
      </w:r>
      <w:r w:rsidR="002C0B62">
        <w:t>3.4.2</w:t>
      </w:r>
      <w:r w:rsidR="004C574A">
        <w:fldChar w:fldCharType="end"/>
      </w:r>
      <w:r w:rsidRPr="00E761F9">
        <w:t>, we propose calculating the return on debt, annual building block revenue requirement, and X factor in accordance with the formula in the distribution determination. And we propose informing the distributor of our calculations before it submits its annual pricing proposal. We consider this preferable to the alternative approach, where we would assess updates the distributor calculated itself and submitted with its annual pricing proposal. This alternative approach could significantly complicate the annual pricing approval process if we identify calculation errors and require the distributor to revise all its proposed prices. On the other hand, our approach focusses the annual pricing approval process on how the distributor has incorporated the revised X factor into its prices, rather than also assessing the revised X factor itself.</w:t>
      </w:r>
    </w:p>
    <w:p w:rsidR="00AC6390" w:rsidRPr="00E761F9" w:rsidRDefault="00AC6390" w:rsidP="006E5878">
      <w:pPr>
        <w:numPr>
          <w:ilvl w:val="0"/>
          <w:numId w:val="24"/>
        </w:numPr>
      </w:pPr>
      <w:r w:rsidRPr="00E761F9">
        <w:t>The above process factors in the date that the rules require distributors to submit their annual pricing proposals to us.</w:t>
      </w:r>
      <w:r w:rsidRPr="00E761F9">
        <w:rPr>
          <w:rStyle w:val="FootnoteReference"/>
        </w:rPr>
        <w:footnoteReference w:id="698"/>
      </w:r>
      <w:r w:rsidRPr="00E761F9">
        <w:t xml:space="preserve"> In November 2014, the AEMC made a rule determination that affected this date.</w:t>
      </w:r>
      <w:r w:rsidRPr="00E761F9">
        <w:rPr>
          <w:rStyle w:val="FootnoteReference"/>
        </w:rPr>
        <w:footnoteReference w:id="699"/>
      </w:r>
      <w:r>
        <w:t xml:space="preserve"> The AEMC determined that f</w:t>
      </w:r>
      <w:r w:rsidRPr="00E761F9">
        <w:t>rom 2017—distributors will be required to submit their annual pricing proposal to us by:</w:t>
      </w:r>
      <w:r w:rsidRPr="00E761F9">
        <w:rPr>
          <w:rStyle w:val="FootnoteReference"/>
        </w:rPr>
        <w:footnoteReference w:id="700"/>
      </w:r>
    </w:p>
    <w:p w:rsidR="00AC6390" w:rsidRPr="00E761F9" w:rsidRDefault="00AC6390" w:rsidP="00AC6390">
      <w:pPr>
        <w:pStyle w:val="AERbulletlistsecondstyle"/>
      </w:pPr>
      <w:r w:rsidRPr="00E761F9">
        <w:t>31 March each year (non-Victorian distributors)</w:t>
      </w:r>
    </w:p>
    <w:p w:rsidR="00AC6390" w:rsidRPr="00E761F9" w:rsidRDefault="00AC6390" w:rsidP="00AC6390">
      <w:pPr>
        <w:pStyle w:val="AERbulletlistsecondstyle"/>
      </w:pPr>
      <w:r w:rsidRPr="00E761F9">
        <w:t>30 September each year (Victorian distributors).</w:t>
      </w:r>
    </w:p>
    <w:p w:rsidR="0084079E" w:rsidRPr="004C69BA" w:rsidRDefault="0084079E" w:rsidP="004C69BA">
      <w:pPr>
        <w:pStyle w:val="Heading3"/>
      </w:pPr>
      <w:r w:rsidRPr="004C69BA">
        <w:t>Gearing ratio</w:t>
      </w:r>
    </w:p>
    <w:p w:rsidR="0084079E" w:rsidRDefault="0084079E">
      <w:r>
        <w:t xml:space="preserve">Our decision is to adopt a 60 per cent gearing ratio. This is consistent with the Guideline and </w:t>
      </w:r>
      <w:r w:rsidR="00D03907">
        <w:t>TasNetworks</w:t>
      </w:r>
      <w:r>
        <w:t xml:space="preserve"> Services' regulatory proposal.</w:t>
      </w:r>
      <w:r>
        <w:rPr>
          <w:rStyle w:val="FootnoteReference"/>
        </w:rPr>
        <w:footnoteReference w:id="701"/>
      </w:r>
    </w:p>
    <w:p w:rsidR="0084079E" w:rsidRDefault="0084079E">
      <w:r>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84079E" w:rsidRDefault="0084079E">
      <w:r>
        <w:t xml:space="preserve">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primarily rely on the average of a sample of firms that are comparable to the benchmark efficient entity. In other words, we assume that the industry is, on average, efficient ant therefore use the industry average to guide our regulatory benchmark. </w:t>
      </w:r>
    </w:p>
    <w:p w:rsidR="0084079E" w:rsidRDefault="0085280E">
      <w:r>
        <w:t xml:space="preserve">We consider that the empirical evidence supports a gearing of 60 per cent. Average gearing levels from the 2009 WACC review are presented in </w:t>
      </w:r>
      <w:r w:rsidR="00F7227B">
        <w:fldChar w:fldCharType="begin"/>
      </w:r>
      <w:r w:rsidR="00F7227B">
        <w:instrText xml:space="preserve"> REF _Ref477350874 \h </w:instrText>
      </w:r>
      <w:r w:rsidR="00F7227B">
        <w:fldChar w:fldCharType="separate"/>
      </w:r>
      <w:r w:rsidR="00C6448C" w:rsidRPr="00E96F55">
        <w:t xml:space="preserve">Table </w:t>
      </w:r>
      <w:r w:rsidR="00C6448C">
        <w:rPr>
          <w:noProof/>
        </w:rPr>
        <w:t>3</w:t>
      </w:r>
      <w:r w:rsidR="00C6448C">
        <w:noBreakHyphen/>
      </w:r>
      <w:r w:rsidR="00C6448C">
        <w:rPr>
          <w:noProof/>
        </w:rPr>
        <w:t>20</w:t>
      </w:r>
      <w:r w:rsidR="00F7227B">
        <w:fldChar w:fldCharType="end"/>
      </w:r>
      <w:r>
        <w:t xml:space="preserv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 </w:t>
      </w:r>
    </w:p>
    <w:p w:rsidR="0085280E" w:rsidRPr="00E96F55" w:rsidRDefault="0085280E" w:rsidP="0085280E">
      <w:pPr>
        <w:pStyle w:val="Caption"/>
      </w:pPr>
      <w:bookmarkStart w:id="89" w:name="_Ref477350874"/>
      <w:bookmarkStart w:id="90" w:name="_Ref477350844"/>
      <w:r w:rsidRPr="00E96F55">
        <w:t xml:space="preserve">Table </w:t>
      </w:r>
      <w:fldSimple w:instr=" STYLEREF 1 \s ">
        <w:r w:rsidR="00C6448C">
          <w:rPr>
            <w:noProof/>
          </w:rPr>
          <w:t>3</w:t>
        </w:r>
      </w:fldSimple>
      <w:r w:rsidR="00882F3D">
        <w:noBreakHyphen/>
      </w:r>
      <w:fldSimple w:instr=" SEQ Table \* ARABIC \s 1 ">
        <w:r w:rsidR="00C6448C">
          <w:rPr>
            <w:noProof/>
          </w:rPr>
          <w:t>20</w:t>
        </w:r>
      </w:fldSimple>
      <w:bookmarkEnd w:id="89"/>
      <w:r w:rsidRPr="00E96F55">
        <w:tab/>
        <w:t>Averaging gearing ratio—Comparator set of firms</w:t>
      </w:r>
      <w:bookmarkEnd w:id="90"/>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85280E" w:rsidRPr="00E94496" w:rsidTr="00DC42C4">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85280E" w:rsidRPr="0085280E" w:rsidRDefault="0085280E" w:rsidP="0085280E">
            <w:r w:rsidRPr="00E96F55">
              <w:t>Year</w:t>
            </w:r>
          </w:p>
        </w:tc>
        <w:tc>
          <w:tcPr>
            <w:tcW w:w="1812" w:type="dxa"/>
            <w:noWrap/>
          </w:tcPr>
          <w:p w:rsidR="0085280E" w:rsidRPr="0085280E" w:rsidRDefault="0085280E" w:rsidP="0085280E">
            <w:r w:rsidRPr="00E96F55">
              <w:t xml:space="preserve">2009 WACC review </w:t>
            </w:r>
          </w:p>
          <w:p w:rsidR="0085280E" w:rsidRPr="0085280E" w:rsidRDefault="0085280E" w:rsidP="0085280E">
            <w:r w:rsidRPr="00E96F55">
              <w:t>2002–2007</w:t>
            </w:r>
            <w:r w:rsidRPr="0085280E">
              <w:rPr>
                <w:rStyle w:val="AERsuperscript"/>
              </w:rPr>
              <w:t>a</w:t>
            </w:r>
            <w:r w:rsidRPr="0085280E">
              <w:t xml:space="preserve"> </w:t>
            </w:r>
          </w:p>
        </w:tc>
        <w:tc>
          <w:tcPr>
            <w:tcW w:w="1813" w:type="dxa"/>
            <w:noWrap/>
          </w:tcPr>
          <w:p w:rsidR="0085280E" w:rsidRPr="0085280E" w:rsidRDefault="0085280E" w:rsidP="0085280E">
            <w:r w:rsidRPr="00E96F55">
              <w:t>Bloomberg    (market value)</w:t>
            </w:r>
          </w:p>
          <w:p w:rsidR="0085280E" w:rsidRPr="0085280E" w:rsidRDefault="0085280E" w:rsidP="0085280E">
            <w:r w:rsidRPr="00E96F55">
              <w:t>2002–2012            (full sample)</w:t>
            </w:r>
            <w:r w:rsidRPr="0085280E">
              <w:rPr>
                <w:rStyle w:val="AERsuperscript"/>
              </w:rPr>
              <w:t>b</w:t>
            </w:r>
          </w:p>
        </w:tc>
        <w:tc>
          <w:tcPr>
            <w:tcW w:w="1812" w:type="dxa"/>
          </w:tcPr>
          <w:p w:rsidR="0085280E" w:rsidRPr="0085280E" w:rsidRDefault="0085280E" w:rsidP="0085280E">
            <w:r w:rsidRPr="00E96F55">
              <w:t>Bloomberg    (market value)</w:t>
            </w:r>
          </w:p>
          <w:p w:rsidR="0085280E" w:rsidRPr="0085280E" w:rsidRDefault="0085280E" w:rsidP="0085280E">
            <w:r w:rsidRPr="00E96F55">
              <w:t>2002–2012     (refined sample)</w:t>
            </w:r>
            <w:r w:rsidRPr="0085280E">
              <w:rPr>
                <w:rStyle w:val="AERsuperscript"/>
              </w:rPr>
              <w:t>c</w:t>
            </w:r>
          </w:p>
        </w:tc>
        <w:tc>
          <w:tcPr>
            <w:tcW w:w="1813" w:type="dxa"/>
          </w:tcPr>
          <w:p w:rsidR="0085280E" w:rsidRPr="0085280E" w:rsidRDefault="0085280E" w:rsidP="0085280E">
            <w:r w:rsidRPr="00E96F55">
              <w:t>Standard and Poor's (book value)</w:t>
            </w:r>
          </w:p>
          <w:p w:rsidR="0085280E" w:rsidRPr="0085280E" w:rsidRDefault="0085280E" w:rsidP="0085280E">
            <w:r w:rsidRPr="00E96F55">
              <w:t>2008–2012</w:t>
            </w:r>
            <w:r w:rsidRPr="0085280E">
              <w:rPr>
                <w:rStyle w:val="AERsuperscript"/>
              </w:rPr>
              <w:t>d</w:t>
            </w:r>
          </w:p>
        </w:tc>
      </w:tr>
      <w:tr w:rsidR="0085280E" w:rsidRPr="00E94496" w:rsidTr="00DC42C4">
        <w:trPr>
          <w:trHeight w:val="255"/>
        </w:trPr>
        <w:tc>
          <w:tcPr>
            <w:tcW w:w="1812" w:type="dxa"/>
            <w:noWrap/>
          </w:tcPr>
          <w:p w:rsidR="0085280E" w:rsidRPr="0085280E" w:rsidRDefault="0085280E" w:rsidP="0085280E">
            <w:r w:rsidRPr="00E96F55">
              <w:t>2002</w:t>
            </w:r>
          </w:p>
        </w:tc>
        <w:tc>
          <w:tcPr>
            <w:tcW w:w="1812" w:type="dxa"/>
            <w:noWrap/>
          </w:tcPr>
          <w:p w:rsidR="0085280E" w:rsidRPr="0085280E" w:rsidRDefault="0085280E" w:rsidP="0085280E">
            <w:r w:rsidRPr="00E96F55">
              <w:t>65.1</w:t>
            </w:r>
          </w:p>
        </w:tc>
        <w:tc>
          <w:tcPr>
            <w:tcW w:w="1813" w:type="dxa"/>
            <w:noWrap/>
          </w:tcPr>
          <w:p w:rsidR="0085280E" w:rsidRPr="0085280E" w:rsidRDefault="0085280E" w:rsidP="0085280E">
            <w:r w:rsidRPr="00E96F55">
              <w:t>54.5</w:t>
            </w:r>
          </w:p>
        </w:tc>
        <w:tc>
          <w:tcPr>
            <w:tcW w:w="1812" w:type="dxa"/>
          </w:tcPr>
          <w:p w:rsidR="0085280E" w:rsidRPr="0085280E" w:rsidRDefault="0085280E" w:rsidP="0085280E">
            <w:r w:rsidRPr="00E96F55">
              <w:t>65.8</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2003</w:t>
            </w:r>
          </w:p>
        </w:tc>
        <w:tc>
          <w:tcPr>
            <w:tcW w:w="1812" w:type="dxa"/>
            <w:noWrap/>
          </w:tcPr>
          <w:p w:rsidR="0085280E" w:rsidRPr="0085280E" w:rsidRDefault="0085280E" w:rsidP="0085280E">
            <w:r w:rsidRPr="00E96F55">
              <w:t>64.8</w:t>
            </w:r>
          </w:p>
        </w:tc>
        <w:tc>
          <w:tcPr>
            <w:tcW w:w="1813" w:type="dxa"/>
            <w:noWrap/>
          </w:tcPr>
          <w:p w:rsidR="0085280E" w:rsidRPr="0085280E" w:rsidRDefault="0085280E" w:rsidP="0085280E">
            <w:r w:rsidRPr="00E96F55">
              <w:t>51.8</w:t>
            </w:r>
          </w:p>
        </w:tc>
        <w:tc>
          <w:tcPr>
            <w:tcW w:w="1812" w:type="dxa"/>
          </w:tcPr>
          <w:p w:rsidR="0085280E" w:rsidRPr="0085280E" w:rsidRDefault="0085280E" w:rsidP="0085280E">
            <w:r w:rsidRPr="00E96F55">
              <w:t>60.5</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2004</w:t>
            </w:r>
          </w:p>
        </w:tc>
        <w:tc>
          <w:tcPr>
            <w:tcW w:w="1812" w:type="dxa"/>
            <w:noWrap/>
          </w:tcPr>
          <w:p w:rsidR="0085280E" w:rsidRPr="0085280E" w:rsidRDefault="0085280E" w:rsidP="0085280E">
            <w:r w:rsidRPr="00E96F55">
              <w:t>61.7</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55.1</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2005</w:t>
            </w:r>
          </w:p>
        </w:tc>
        <w:tc>
          <w:tcPr>
            <w:tcW w:w="1812" w:type="dxa"/>
            <w:noWrap/>
          </w:tcPr>
          <w:p w:rsidR="0085280E" w:rsidRPr="0085280E" w:rsidRDefault="0085280E" w:rsidP="0085280E">
            <w:r w:rsidRPr="00E96F55">
              <w:t>64.6</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62.6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2006</w:t>
            </w:r>
          </w:p>
        </w:tc>
        <w:tc>
          <w:tcPr>
            <w:tcW w:w="1812" w:type="dxa"/>
            <w:noWrap/>
          </w:tcPr>
          <w:p w:rsidR="0085280E" w:rsidRPr="0085280E" w:rsidRDefault="0085280E" w:rsidP="0085280E">
            <w:r w:rsidRPr="00E96F55">
              <w:t>63.0</w:t>
            </w:r>
          </w:p>
        </w:tc>
        <w:tc>
          <w:tcPr>
            <w:tcW w:w="1813" w:type="dxa"/>
            <w:noWrap/>
          </w:tcPr>
          <w:p w:rsidR="0085280E" w:rsidRPr="0085280E" w:rsidRDefault="0085280E" w:rsidP="0085280E">
            <w:r w:rsidRPr="00E96F55">
              <w:t>56.6</w:t>
            </w:r>
          </w:p>
        </w:tc>
        <w:tc>
          <w:tcPr>
            <w:tcW w:w="1812" w:type="dxa"/>
          </w:tcPr>
          <w:p w:rsidR="0085280E" w:rsidRPr="0085280E" w:rsidRDefault="0085280E" w:rsidP="0085280E">
            <w:r w:rsidRPr="00E96F55">
              <w:t>61.9</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2007</w:t>
            </w:r>
          </w:p>
        </w:tc>
        <w:tc>
          <w:tcPr>
            <w:tcW w:w="1812" w:type="dxa"/>
            <w:noWrap/>
          </w:tcPr>
          <w:p w:rsidR="0085280E" w:rsidRPr="0085280E" w:rsidRDefault="0085280E" w:rsidP="0085280E">
            <w:r w:rsidRPr="00E96F55">
              <w:t>60.5</w:t>
            </w:r>
          </w:p>
        </w:tc>
        <w:tc>
          <w:tcPr>
            <w:tcW w:w="1813" w:type="dxa"/>
            <w:noWrap/>
          </w:tcPr>
          <w:p w:rsidR="0085280E" w:rsidRPr="0085280E" w:rsidRDefault="0085280E" w:rsidP="0085280E">
            <w:r w:rsidRPr="00E96F55">
              <w:t>57.6</w:t>
            </w:r>
          </w:p>
        </w:tc>
        <w:tc>
          <w:tcPr>
            <w:tcW w:w="1812" w:type="dxa"/>
          </w:tcPr>
          <w:p w:rsidR="0085280E" w:rsidRPr="0085280E" w:rsidRDefault="0085280E" w:rsidP="0085280E">
            <w:r w:rsidRPr="00E96F55">
              <w:t>57.6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2008</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68.3</w:t>
            </w:r>
          </w:p>
        </w:tc>
        <w:tc>
          <w:tcPr>
            <w:tcW w:w="1812" w:type="dxa"/>
          </w:tcPr>
          <w:p w:rsidR="0085280E" w:rsidRPr="0085280E" w:rsidRDefault="0085280E" w:rsidP="0085280E">
            <w:r w:rsidRPr="00E96F55">
              <w:t>68.3</w:t>
            </w:r>
          </w:p>
        </w:tc>
        <w:tc>
          <w:tcPr>
            <w:tcW w:w="1813" w:type="dxa"/>
          </w:tcPr>
          <w:p w:rsidR="0085280E" w:rsidRPr="0085280E" w:rsidRDefault="0085280E" w:rsidP="0085280E">
            <w:r w:rsidRPr="00E96F55">
              <w:t>70</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2009</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68.8</w:t>
            </w:r>
          </w:p>
        </w:tc>
        <w:tc>
          <w:tcPr>
            <w:tcW w:w="1812" w:type="dxa"/>
          </w:tcPr>
          <w:p w:rsidR="0085280E" w:rsidRPr="0085280E" w:rsidRDefault="0085280E" w:rsidP="0085280E">
            <w:r w:rsidRPr="00E96F55">
              <w:t>68.8</w:t>
            </w:r>
          </w:p>
        </w:tc>
        <w:tc>
          <w:tcPr>
            <w:tcW w:w="1813" w:type="dxa"/>
          </w:tcPr>
          <w:p w:rsidR="0085280E" w:rsidRPr="0085280E" w:rsidRDefault="0085280E" w:rsidP="0085280E">
            <w:r w:rsidRPr="00E96F55">
              <w:t>69</w:t>
            </w:r>
          </w:p>
        </w:tc>
      </w:tr>
      <w:tr w:rsidR="0085280E" w:rsidRPr="00E94496" w:rsidTr="00DC42C4">
        <w:trPr>
          <w:trHeight w:val="255"/>
        </w:trPr>
        <w:tc>
          <w:tcPr>
            <w:tcW w:w="1812" w:type="dxa"/>
            <w:noWrap/>
          </w:tcPr>
          <w:p w:rsidR="0085280E" w:rsidRPr="0085280E" w:rsidRDefault="0085280E" w:rsidP="0085280E">
            <w:r w:rsidRPr="00E96F55">
              <w:t>2010</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65.5</w:t>
            </w:r>
          </w:p>
        </w:tc>
        <w:tc>
          <w:tcPr>
            <w:tcW w:w="1812" w:type="dxa"/>
          </w:tcPr>
          <w:p w:rsidR="0085280E" w:rsidRPr="0085280E" w:rsidRDefault="0085280E" w:rsidP="0085280E">
            <w:r w:rsidRPr="00E96F55">
              <w:t>65.5</w:t>
            </w:r>
          </w:p>
        </w:tc>
        <w:tc>
          <w:tcPr>
            <w:tcW w:w="1813" w:type="dxa"/>
          </w:tcPr>
          <w:p w:rsidR="0085280E" w:rsidRPr="0085280E" w:rsidRDefault="0085280E" w:rsidP="0085280E">
            <w:r w:rsidRPr="00E96F55">
              <w:t>66</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2011</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63.2</w:t>
            </w:r>
          </w:p>
        </w:tc>
        <w:tc>
          <w:tcPr>
            <w:tcW w:w="1812" w:type="dxa"/>
          </w:tcPr>
          <w:p w:rsidR="0085280E" w:rsidRPr="0085280E" w:rsidRDefault="0085280E" w:rsidP="0085280E">
            <w:r w:rsidRPr="00E96F55">
              <w:t>63.2</w:t>
            </w:r>
          </w:p>
        </w:tc>
        <w:tc>
          <w:tcPr>
            <w:tcW w:w="1813" w:type="dxa"/>
          </w:tcPr>
          <w:p w:rsidR="0085280E" w:rsidRPr="0085280E" w:rsidRDefault="0085280E" w:rsidP="0085280E">
            <w:r w:rsidRPr="00E96F55">
              <w:t>62</w:t>
            </w:r>
          </w:p>
        </w:tc>
      </w:tr>
      <w:tr w:rsidR="0085280E" w:rsidRPr="00E94496" w:rsidTr="00DC42C4">
        <w:trPr>
          <w:trHeight w:val="255"/>
        </w:trPr>
        <w:tc>
          <w:tcPr>
            <w:tcW w:w="1812" w:type="dxa"/>
            <w:noWrap/>
          </w:tcPr>
          <w:p w:rsidR="0085280E" w:rsidRPr="0085280E" w:rsidRDefault="0085280E" w:rsidP="0085280E">
            <w:r w:rsidRPr="00E96F55">
              <w:t>2012</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60.6</w:t>
            </w:r>
          </w:p>
        </w:tc>
        <w:tc>
          <w:tcPr>
            <w:tcW w:w="1812" w:type="dxa"/>
          </w:tcPr>
          <w:p w:rsidR="0085280E" w:rsidRPr="0085280E" w:rsidRDefault="0085280E" w:rsidP="0085280E">
            <w:r w:rsidRPr="00E96F55">
              <w:t>60.6</w:t>
            </w:r>
          </w:p>
        </w:tc>
        <w:tc>
          <w:tcPr>
            <w:tcW w:w="1813" w:type="dxa"/>
          </w:tcPr>
          <w:p w:rsidR="0085280E" w:rsidRPr="0085280E" w:rsidRDefault="0085280E" w:rsidP="0085280E">
            <w:r w:rsidRPr="00E96F55">
              <w:t>65</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Average</w:t>
            </w:r>
          </w:p>
        </w:tc>
        <w:tc>
          <w:tcPr>
            <w:tcW w:w="1812" w:type="dxa"/>
            <w:noWrap/>
          </w:tcPr>
          <w:p w:rsidR="0085280E" w:rsidRPr="0085280E" w:rsidRDefault="0085280E" w:rsidP="0085280E">
            <w:r w:rsidRPr="00E96F55">
              <w:t>63.3</w:t>
            </w:r>
          </w:p>
        </w:tc>
        <w:tc>
          <w:tcPr>
            <w:tcW w:w="1813" w:type="dxa"/>
            <w:noWrap/>
          </w:tcPr>
          <w:p w:rsidR="0085280E" w:rsidRPr="0085280E" w:rsidRDefault="0085280E" w:rsidP="0085280E">
            <w:r w:rsidRPr="00E96F55">
              <w:t>59.0</w:t>
            </w:r>
          </w:p>
        </w:tc>
        <w:tc>
          <w:tcPr>
            <w:tcW w:w="1812" w:type="dxa"/>
          </w:tcPr>
          <w:p w:rsidR="0085280E" w:rsidRPr="0085280E" w:rsidRDefault="0085280E" w:rsidP="0085280E">
            <w:r w:rsidRPr="00E96F55">
              <w:t>63.1</w:t>
            </w:r>
          </w:p>
        </w:tc>
        <w:tc>
          <w:tcPr>
            <w:tcW w:w="1813" w:type="dxa"/>
          </w:tcPr>
          <w:p w:rsidR="0085280E" w:rsidRPr="0085280E" w:rsidRDefault="0085280E" w:rsidP="0085280E">
            <w:r w:rsidRPr="00E96F55">
              <w:t>66</w:t>
            </w:r>
          </w:p>
        </w:tc>
      </w:tr>
    </w:tbl>
    <w:p w:rsidR="0085280E" w:rsidRPr="00E96F55" w:rsidRDefault="0085280E" w:rsidP="0085280E">
      <w:pPr>
        <w:pStyle w:val="AERtablesource"/>
      </w:pPr>
      <w:r w:rsidRPr="00E96F55">
        <w:t xml:space="preserve">Source: </w:t>
      </w:r>
      <w:r w:rsidRPr="00E96F55">
        <w:tab/>
        <w:t>AER analysis.</w:t>
      </w:r>
    </w:p>
    <w:p w:rsidR="0085280E" w:rsidRPr="00E96F55" w:rsidRDefault="0085280E" w:rsidP="0085280E">
      <w:pPr>
        <w:pStyle w:val="AERtablesource"/>
      </w:pPr>
      <w:r w:rsidRPr="00E96F55">
        <w:t xml:space="preserve">Notes: </w:t>
      </w:r>
      <w:r w:rsidRPr="00E96F55">
        <w:tab/>
        <w:t xml:space="preserve">(a) AER, </w:t>
      </w:r>
      <w:r w:rsidRPr="00E96F55">
        <w:rPr>
          <w:rStyle w:val="AERtextitalic"/>
        </w:rPr>
        <w:t>Final decision: Electricity transmission and distribution network service providers: Review of the weighted average cost of capital (WACC) parameters</w:t>
      </w:r>
      <w:r w:rsidRPr="00E96F55">
        <w:t>, 1 May 2009, p. 124.</w:t>
      </w:r>
    </w:p>
    <w:p w:rsidR="0085280E" w:rsidRPr="00E96F55" w:rsidRDefault="0085280E" w:rsidP="0085280E">
      <w:pPr>
        <w:pStyle w:val="AERtablesource"/>
      </w:pPr>
      <w:r w:rsidRPr="00E96F55">
        <w:tab/>
        <w:t>(b) Analysis including full sample of businesses.</w:t>
      </w:r>
    </w:p>
    <w:p w:rsidR="0085280E" w:rsidRPr="00E96F55" w:rsidRDefault="0085280E" w:rsidP="0085280E">
      <w:pPr>
        <w:pStyle w:val="AERtablesource"/>
      </w:pPr>
      <w:r w:rsidRPr="00E96F55">
        <w:tab/>
        <w:t>(c) AGL, Alinta and GasNet excluded from the analysis.</w:t>
      </w:r>
    </w:p>
    <w:p w:rsidR="00664172" w:rsidRDefault="00664172" w:rsidP="00A164C0">
      <w:pPr>
        <w:pStyle w:val="AERtablesource"/>
        <w:ind w:left="0" w:firstLine="0"/>
      </w:pPr>
      <w:r>
        <w:tab/>
      </w:r>
      <w:r w:rsidR="0085280E" w:rsidRPr="00E96F55">
        <w:t xml:space="preserve">(d) ERA, </w:t>
      </w:r>
      <w:r w:rsidR="0085280E" w:rsidRPr="00E96F55">
        <w:rPr>
          <w:rStyle w:val="AERtextitalic"/>
        </w:rPr>
        <w:t>Explanatory statement for the draft rate of return guidelines</w:t>
      </w:r>
      <w:r w:rsidR="0085280E" w:rsidRPr="00E96F55">
        <w:t>, 6 August 2013, p. 49.</w:t>
      </w:r>
    </w:p>
    <w:p w:rsidR="00F7227B" w:rsidRDefault="00F7227B" w:rsidP="00A164C0">
      <w:r>
        <w:t>The benchmark gearing ratio is used:</w:t>
      </w:r>
    </w:p>
    <w:p w:rsidR="00F7227B" w:rsidRDefault="00F7227B" w:rsidP="00F7227B">
      <w:pPr>
        <w:pStyle w:val="AERbulletlistfirststyle"/>
      </w:pPr>
      <w:r>
        <w:t>to weight the expected required return on debt and equity to derive a WACC</w:t>
      </w:r>
    </w:p>
    <w:p w:rsidR="00F7227B" w:rsidRDefault="00F7227B" w:rsidP="00F7227B">
      <w:pPr>
        <w:pStyle w:val="AERbulletlistfirststyle"/>
      </w:pPr>
      <w:r>
        <w:t xml:space="preserve">to re-lever the asset betas for the purposes of comparing the levels of systematic risk across business, and </w:t>
      </w:r>
    </w:p>
    <w:p w:rsidR="00762CF4" w:rsidRDefault="00F7227B" w:rsidP="005A6140">
      <w:pPr>
        <w:pStyle w:val="AERbulletlistfirststyle"/>
      </w:pPr>
      <w:r>
        <w:t>as a factor in estimating the benchmark credit rating.</w:t>
      </w:r>
      <w:r>
        <w:rPr>
          <w:rStyle w:val="FootnoteReference"/>
        </w:rPr>
        <w:footnoteReference w:id="702"/>
      </w:r>
    </w:p>
    <w:p w:rsidR="00762CF4" w:rsidRDefault="00762CF4" w:rsidP="00762CF4">
      <w:pPr>
        <w:pStyle w:val="Heading3"/>
      </w:pPr>
      <w:bookmarkStart w:id="91" w:name="_Ref478569536"/>
      <w:bookmarkStart w:id="92" w:name="_Ref478996842"/>
      <w:r>
        <w:t>Expected inflation</w:t>
      </w:r>
      <w:bookmarkEnd w:id="91"/>
      <w:bookmarkEnd w:id="92"/>
      <w:r>
        <w:t xml:space="preserve"> rate</w:t>
      </w:r>
    </w:p>
    <w:p w:rsidR="00762CF4" w:rsidRDefault="00762CF4" w:rsidP="00762CF4">
      <w:r>
        <w:t>Our estimate of expected inflation is 2.45 per cent. It is an estimate of the average annual rate of inflation expected over a ten year period.  We estimate expected inflation over this 10-year term to align with the term of the rate of return, and ensure that our rate of return is commensurate with efficient financing costs in both real and nominal terms.</w:t>
      </w:r>
    </w:p>
    <w:p w:rsidR="00762CF4" w:rsidRDefault="00762CF4" w:rsidP="00762CF4">
      <w:r>
        <w:t>Our estimate of expected inflation is estimated as the geometric average of 10 annual expected inflation rates. We use the RBA's forecasts of inflation for the first two years of TasNetworks' 2017-19 regulatory period as the first two annual rates. We then use the mid-point of the RBA's inflation target band as the remaining eight annual rates. We applied this method - the RBA forecasts and target band approach - in our draft decision on TasNetworks' 2017-19 electricity distribution determination. We have applied this approach in all of our regulatory determinations since 2008. This is the method that is contained in the current version of the post-tax revenue model.</w:t>
      </w:r>
    </w:p>
    <w:p w:rsidR="00762CF4" w:rsidRDefault="00762CF4" w:rsidP="00762CF4">
      <w:r>
        <w:t xml:space="preserve">We are required by the National Electricity Rules to apply the method for estimating expected inflation that is set out in our published post-tax revenue model and we have done so in this decision. </w:t>
      </w:r>
    </w:p>
    <w:p w:rsidR="00762CF4" w:rsidRDefault="00762CF4" w:rsidP="00762CF4">
      <w:r>
        <w:t>TasNetworks proposed to use the RBA forecasts and target band approach to estimating expected inflation, consistent with our post-tax revenue model. However, in recently completed and concurrent regulatory processes, some service providers proposed estimating expected inflation using the bond break-even approach. Under the bond break-even approach, the</w:t>
      </w:r>
      <w:r w:rsidRPr="00DA5245">
        <w:t xml:space="preserve"> inflation rate is implied by the difference between the yields-to-maturity on 10-year nominal Commonwealth Government Securities (CGS</w:t>
      </w:r>
      <w:r>
        <w:t>, also referred to as Australian Government Securities or AGS</w:t>
      </w:r>
      <w:r w:rsidRPr="00DA5245">
        <w:t xml:space="preserve">) and 10-year indexed </w:t>
      </w:r>
      <w:r>
        <w:t xml:space="preserve">(inflation-linked) </w:t>
      </w:r>
      <w:r w:rsidRPr="00DA5245">
        <w:t>CGS.</w:t>
      </w:r>
      <w:r>
        <w:t xml:space="preserve"> </w:t>
      </w:r>
    </w:p>
    <w:p w:rsidR="00762CF4" w:rsidRDefault="00762CF4" w:rsidP="00762CF4">
      <w:r>
        <w:t>These service providers submitted</w:t>
      </w:r>
      <w:r w:rsidRPr="00181A9D">
        <w:t xml:space="preserve"> that in making </w:t>
      </w:r>
      <w:r>
        <w:t>an electricity</w:t>
      </w:r>
      <w:r w:rsidRPr="00181A9D">
        <w:t xml:space="preserve"> transmission </w:t>
      </w:r>
      <w:r>
        <w:t xml:space="preserve">or distribution </w:t>
      </w:r>
      <w:r w:rsidRPr="00181A9D">
        <w:t>determination, it is open to us to apply an alternative method to that set out in our post-tax revenue model.</w:t>
      </w:r>
      <w:r w:rsidRPr="00181A9D">
        <w:rPr>
          <w:rStyle w:val="FootnoteReference"/>
        </w:rPr>
        <w:footnoteReference w:id="703"/>
      </w:r>
      <w:r>
        <w:t xml:space="preserve"> However, </w:t>
      </w:r>
      <w:r w:rsidRPr="009465B9">
        <w:t xml:space="preserve">the </w:t>
      </w:r>
      <w:r>
        <w:t xml:space="preserve">Australian Competition </w:t>
      </w:r>
      <w:r w:rsidRPr="009465B9">
        <w:t xml:space="preserve">Tribunal </w:t>
      </w:r>
      <w:r>
        <w:t xml:space="preserve">handed down its </w:t>
      </w:r>
      <w:r w:rsidRPr="009465B9">
        <w:t xml:space="preserve">October 2016 </w:t>
      </w:r>
      <w:r>
        <w:t>decision</w:t>
      </w:r>
      <w:r w:rsidRPr="009465B9">
        <w:t xml:space="preserve"> </w:t>
      </w:r>
      <w:r>
        <w:t xml:space="preserve">that </w:t>
      </w:r>
      <w:r w:rsidRPr="009465B9">
        <w:t>affirmed our view</w:t>
      </w:r>
      <w:r>
        <w:t xml:space="preserve"> on this issue in electricity determinations.  The post-tax revenue model is binding on both TasNetworks and the AER.</w:t>
      </w:r>
      <w:r w:rsidRPr="009465B9">
        <w:rPr>
          <w:rStyle w:val="FootnoteReference"/>
        </w:rPr>
        <w:footnoteReference w:id="704"/>
      </w:r>
      <w:r>
        <w:t xml:space="preserve"> </w:t>
      </w:r>
    </w:p>
    <w:p w:rsidR="00762CF4" w:rsidRDefault="00762CF4" w:rsidP="00762CF4">
      <w:pPr>
        <w:pStyle w:val="HeadingItalic"/>
      </w:pPr>
      <w:r>
        <w:t>Review of the post-tax revenue model</w:t>
      </w:r>
    </w:p>
    <w:p w:rsidR="00762CF4" w:rsidRDefault="00762CF4" w:rsidP="00762CF4">
      <w:r>
        <w:t>We</w:t>
      </w:r>
      <w:r w:rsidRPr="009465B9">
        <w:t xml:space="preserve"> </w:t>
      </w:r>
      <w:r>
        <w:t>are about to conduct a review of the post-tax revenue model in accordance with the transmission and distribution consultation procedures.</w:t>
      </w:r>
    </w:p>
    <w:p w:rsidR="00762CF4" w:rsidRDefault="00762CF4" w:rsidP="00762CF4">
      <w:r>
        <w:t>Since around mid-2015, some service providers have proposed departing from the RBA forecasts and target band approach contained in the post-tax revenue model and adopting the bond break-even approach.</w:t>
      </w:r>
      <w:r>
        <w:rPr>
          <w:rStyle w:val="FootnoteReference"/>
        </w:rPr>
        <w:footnoteReference w:id="705"/>
      </w:r>
      <w:r>
        <w:t xml:space="preserve"> This has not been universally proposed. A number of other stakeholders have submitted that we should retain the RBA forecasts and target band approach.</w:t>
      </w:r>
      <w:r>
        <w:rPr>
          <w:rStyle w:val="FootnoteReference"/>
        </w:rPr>
        <w:footnoteReference w:id="706"/>
      </w:r>
    </w:p>
    <w:p w:rsidR="00762CF4" w:rsidRDefault="00762CF4" w:rsidP="00762CF4">
      <w:r>
        <w:t>On 15 December 2016 we indicated our intention to review our treatment of inflation in the post-tax revenue model, and on 1</w:t>
      </w:r>
      <w:r w:rsidR="002624A3">
        <w:t>8</w:t>
      </w:r>
      <w:r>
        <w:t xml:space="preserve"> April 2017 we released a discussion paper to initiate our review. </w:t>
      </w:r>
    </w:p>
    <w:p w:rsidR="00762CF4" w:rsidRDefault="00762CF4" w:rsidP="00762CF4">
      <w:r>
        <w:t>Consistent with our industry-wide review of inflation and the universal application of our inflation estimate, we have taken a broad view to our assessment of approaches to estimating expected inflation. That is, our assessment is not restricted to the two methods currently proposed by stakeholders (the RBA forecasts and target band approach and the bond break-even approach). This ensures that we arrive at the best estimate of expected inflation. Consequently, we have also considered approaches based on zero-coupon inflation swaps and survey measures which are both well-recognised methods for estimating expected inflation.</w:t>
      </w:r>
      <w:r>
        <w:rPr>
          <w:rStyle w:val="FootnoteReference"/>
        </w:rPr>
        <w:footnoteReference w:id="707"/>
      </w:r>
    </w:p>
    <w:p w:rsidR="00762CF4" w:rsidRDefault="00762CF4" w:rsidP="00762CF4">
      <w:r w:rsidRPr="00830517">
        <w:t xml:space="preserve">As </w:t>
      </w:r>
      <w:r>
        <w:t>market</w:t>
      </w:r>
      <w:r w:rsidRPr="00830517">
        <w:t xml:space="preserve"> expectations are unobservable, direct comparison of the relative accuracy of the</w:t>
      </w:r>
      <w:r>
        <w:t>se four</w:t>
      </w:r>
      <w:r w:rsidRPr="00830517">
        <w:t xml:space="preserve"> </w:t>
      </w:r>
      <w:r>
        <w:t>approaches</w:t>
      </w:r>
      <w:r w:rsidRPr="00830517">
        <w:t xml:space="preserve"> is not possible. Comparison of estimates from the different </w:t>
      </w:r>
      <w:r>
        <w:t>approaches</w:t>
      </w:r>
      <w:r w:rsidRPr="00830517">
        <w:t xml:space="preserve"> against inflation out</w:t>
      </w:r>
      <w:r>
        <w:t>comes may provide some insight—</w:t>
      </w:r>
      <w:r w:rsidRPr="00830517">
        <w:t>though expectations and outcomes may not be equivalent</w:t>
      </w:r>
      <w:r>
        <w:t>, an approach that can accurately predict outcomes may inform future expectations</w:t>
      </w:r>
      <w:r w:rsidRPr="00830517">
        <w:t xml:space="preserve">. </w:t>
      </w:r>
    </w:p>
    <w:p w:rsidR="00762CF4" w:rsidRDefault="00762CF4" w:rsidP="00762CF4">
      <w:r>
        <w:t xml:space="preserve">Because direct comparison of accuracy is limited, we are left to examine academic studies of proxy measures and undertake qualitative consideration of the reliability, replicability, sensitivity, and susceptibility to bias of different estimation methods. </w:t>
      </w:r>
      <w:r w:rsidRPr="004D069F">
        <w:t>ACCC Working Paper #11</w:t>
      </w:r>
      <w:r>
        <w:t>, published on 1</w:t>
      </w:r>
      <w:r w:rsidR="002624A3">
        <w:t>8</w:t>
      </w:r>
      <w:r>
        <w:t xml:space="preserve"> April 2017</w:t>
      </w:r>
      <w:r w:rsidRPr="004D069F">
        <w:t>, comprehensively survey</w:t>
      </w:r>
      <w:r>
        <w:t>ed</w:t>
      </w:r>
      <w:r w:rsidRPr="004D069F">
        <w:t xml:space="preserve"> the available evidence on </w:t>
      </w:r>
      <w:r>
        <w:t xml:space="preserve">estimating inflation expectations and considered these issues. ACCC Working Paper #11 considered </w:t>
      </w:r>
      <w:r w:rsidRPr="004D069F">
        <w:t xml:space="preserve">the relative merits of </w:t>
      </w:r>
      <w:r>
        <w:t>estimating expected inflation via the RBA forecasts and target band approach, the bond break-even approach, zero-coupon inflation swaps, and surveys.  This will also be considered in the context of our review.</w:t>
      </w:r>
    </w:p>
    <w:p w:rsidR="00762CF4" w:rsidRDefault="00762CF4" w:rsidP="00762CF4">
      <w:r>
        <w:t xml:space="preserve">Our review of the post-tax revenue model is yet to be concluded. Findings from the review cannot therefore be included in this final decision on TasNetworks' 2017-19 distribution determination. </w:t>
      </w:r>
    </w:p>
    <w:p w:rsidR="00762CF4" w:rsidRDefault="00762CF4" w:rsidP="00762CF4">
      <w:r>
        <w:t>Nevertheless, we have examined the information that is currently before us, including ACCC Working Paper #11, to consider whether, if we had the power to adopt a different method for estimating inflation in this determination process, we would do so.</w:t>
      </w:r>
    </w:p>
    <w:p w:rsidR="00762CF4" w:rsidRDefault="00762CF4" w:rsidP="00762CF4">
      <w:r>
        <w:t>This examination has necessarily been limited having regard to both the time available within the determination making process, and the fact that there has not been industry wide consideration of the issue. Our conclusions have to also therefore be seen within the limited context of this regulatory determination.  They do not indicate the likely result of the review we are currently undertaking.  In the context of that wider industry review, we expect we will have additional submissions and more complete analyses available to us.</w:t>
      </w:r>
    </w:p>
    <w:p w:rsidR="00762CF4" w:rsidRDefault="00762CF4" w:rsidP="00762CF4">
      <w:r>
        <w:t>We consider the benefits and detriments of the different approaches in the information we have had access to in this determination process as follows</w:t>
      </w:r>
      <w:r w:rsidR="00D25370">
        <w:t>, noting that this is based solely on the information before us in this determination process.  It will be subject to further and more comprehensive review with full stakeholder input in the upcoming PTRM review process.</w:t>
      </w:r>
    </w:p>
    <w:p w:rsidR="00762CF4" w:rsidRPr="00DA5245" w:rsidRDefault="00762CF4" w:rsidP="00762CF4">
      <w:pPr>
        <w:pStyle w:val="ListNumber"/>
      </w:pPr>
      <w:r>
        <w:t>RBA forecasts and target</w:t>
      </w:r>
      <w:r w:rsidRPr="00DA5245">
        <w:t xml:space="preserve"> </w:t>
      </w:r>
      <w:r>
        <w:t>band</w:t>
      </w:r>
    </w:p>
    <w:p w:rsidR="00762CF4" w:rsidRPr="00762CF4" w:rsidRDefault="00762CF4" w:rsidP="00882F3D">
      <w:pPr>
        <w:pStyle w:val="ListNumber"/>
        <w:numPr>
          <w:ilvl w:val="0"/>
          <w:numId w:val="0"/>
        </w:numPr>
        <w:ind w:left="340"/>
      </w:pPr>
      <w:r>
        <w:t>We consider</w:t>
      </w:r>
      <w:r w:rsidRPr="00762CF4">
        <w:t xml:space="preserve"> this approach the simplest to apply, most transparent and easily replicable. Estimates from this approach tend towards the mid-point of the RBA's inflation target band, and the available evidence suggests that long-term inflation expectations are anchored to the RBA target band, relatively stable over time, and do not respond to surprises in short-term inflation outcomes. While the RBA's inflation targeting is perceived to be effective, and inflation expectations are anchored to the target band, this estimation method is likely to be unbiased.</w:t>
      </w:r>
      <w:r w:rsidRPr="00762CF4">
        <w:rPr>
          <w:rStyle w:val="FootnoteReference"/>
        </w:rPr>
        <w:footnoteReference w:id="708"/>
      </w:r>
    </w:p>
    <w:p w:rsidR="00762CF4" w:rsidRPr="00762CF4" w:rsidRDefault="00762CF4" w:rsidP="00882F3D">
      <w:pPr>
        <w:pStyle w:val="ListNumber"/>
        <w:numPr>
          <w:ilvl w:val="0"/>
          <w:numId w:val="0"/>
        </w:numPr>
        <w:ind w:left="340"/>
      </w:pPr>
      <w:r>
        <w:t xml:space="preserve">In a concurrent regulatory process, </w:t>
      </w:r>
      <w:r w:rsidRPr="00762CF4">
        <w:t xml:space="preserve">AusNet Services and CEG submitted that the RBA forecasts and target band approach is unrealistically stable, may implausibly result in a negative real risk free rate, and will be biased upwards when inflation expectations are not anchored to the RBA target band (as CEG submits is currently the case). We consider that expectations most likely remain anchored to the RBA target band, resulting in relatively stable inflation expectations. We disagree that negative real risk free rates are implausible or that they cast doubt on the reliability of our approach. Our response to these issues is detailed further in appendix </w:t>
      </w:r>
      <w:r w:rsidRPr="00762CF4">
        <w:fldChar w:fldCharType="begin"/>
      </w:r>
      <w:r w:rsidRPr="00762CF4">
        <w:instrText xml:space="preserve"> REF _Ref477804755 \r \h </w:instrText>
      </w:r>
      <w:r w:rsidRPr="00762CF4">
        <w:fldChar w:fldCharType="separate"/>
      </w:r>
      <w:r w:rsidR="00C6448C">
        <w:t>0</w:t>
      </w:r>
      <w:r w:rsidRPr="00762CF4">
        <w:fldChar w:fldCharType="end"/>
      </w:r>
      <w:r w:rsidRPr="00762CF4">
        <w:t>.</w:t>
      </w:r>
    </w:p>
    <w:p w:rsidR="00762CF4" w:rsidRPr="00DA5245" w:rsidRDefault="00762CF4" w:rsidP="00762CF4">
      <w:pPr>
        <w:pStyle w:val="ListNumber"/>
      </w:pPr>
      <w:r>
        <w:t>Inflation swaps</w:t>
      </w:r>
    </w:p>
    <w:p w:rsidR="00762CF4" w:rsidRPr="00762CF4" w:rsidRDefault="00762CF4" w:rsidP="00882F3D">
      <w:pPr>
        <w:pStyle w:val="ListNumber"/>
        <w:numPr>
          <w:ilvl w:val="0"/>
          <w:numId w:val="0"/>
        </w:numPr>
        <w:ind w:left="340"/>
      </w:pPr>
      <w:r>
        <w:t>We consider</w:t>
      </w:r>
      <w:r w:rsidRPr="00762CF4">
        <w:t xml:space="preserve"> inflation swaps may be a suitable method that is based on transactional market data (rather than survey data, such as the RBA inflation target method). However, there are a number of potential biases and risk premia that may be embedded into the swap-implied inflation rate that need to be considered when using this method. There are studies of US and UK inflation swaps which find that potentially the largest biases may be small or insignificant. There is some uncertainty whether biases and risk premia such as hedging costs in Australian inflation swaps are insignificant. There are no known decomposition studies of Australian inflation swap prices which may resolve this uncertainty.</w:t>
      </w:r>
      <w:r w:rsidRPr="00762CF4">
        <w:rPr>
          <w:rStyle w:val="FootnoteReference"/>
        </w:rPr>
        <w:footnoteReference w:id="709"/>
      </w:r>
      <w:r w:rsidRPr="00762CF4">
        <w:t xml:space="preserve"> In the absence of addressing these issues, it may not be better than the RBA target band approach. More detail on the issues with estimating inflation-swap implied inflation rates is in section </w:t>
      </w:r>
      <w:r w:rsidRPr="00762CF4">
        <w:fldChar w:fldCharType="begin"/>
      </w:r>
      <w:r w:rsidRPr="00762CF4">
        <w:instrText xml:space="preserve"> REF _Ref478559870 \r \h </w:instrText>
      </w:r>
      <w:r w:rsidRPr="00762CF4">
        <w:fldChar w:fldCharType="separate"/>
      </w:r>
      <w:r w:rsidR="00C6448C">
        <w:t>3.4.4.2</w:t>
      </w:r>
      <w:r w:rsidRPr="00762CF4">
        <w:fldChar w:fldCharType="end"/>
      </w:r>
      <w:r w:rsidRPr="00762CF4">
        <w:t xml:space="preserve"> below.</w:t>
      </w:r>
    </w:p>
    <w:p w:rsidR="00762CF4" w:rsidRPr="00DA5245" w:rsidRDefault="00762CF4" w:rsidP="00762CF4">
      <w:pPr>
        <w:pStyle w:val="ListNumber"/>
      </w:pPr>
      <w:r>
        <w:t>Bond break-even</w:t>
      </w:r>
    </w:p>
    <w:p w:rsidR="00762CF4" w:rsidRPr="00762CF4" w:rsidRDefault="00762CF4" w:rsidP="00882F3D">
      <w:pPr>
        <w:pStyle w:val="ListNumber"/>
        <w:numPr>
          <w:ilvl w:val="0"/>
          <w:numId w:val="0"/>
        </w:numPr>
        <w:ind w:left="340"/>
      </w:pPr>
      <w:r>
        <w:t>We consider</w:t>
      </w:r>
      <w:r w:rsidRPr="00762CF4">
        <w:t xml:space="preserve"> bond break-even estimates contain a number of potential biases and risk premia that must be considered before using this method. There appear to be a greater number of potential biases and risk premia in bond break-even estimates than swap-implied estimates, and bond breakeven estimates are generally more volatile than swap-implied estimates. There is a lack of consensus on how to adjust for these risk premia.</w:t>
      </w:r>
      <w:r w:rsidRPr="00762CF4">
        <w:rPr>
          <w:rStyle w:val="FootnoteReference"/>
        </w:rPr>
        <w:footnoteReference w:id="710"/>
      </w:r>
      <w:r w:rsidRPr="00762CF4">
        <w:t xml:space="preserve"> Without addressing these issues, it may not be better than the RBA target band approach. More detail on the issues with estimating bond break-even inflation rates is in section </w:t>
      </w:r>
      <w:r w:rsidRPr="00762CF4">
        <w:fldChar w:fldCharType="begin"/>
      </w:r>
      <w:r w:rsidRPr="00762CF4">
        <w:instrText xml:space="preserve"> REF _Ref478559903 \r \h </w:instrText>
      </w:r>
      <w:r w:rsidRPr="00762CF4">
        <w:fldChar w:fldCharType="separate"/>
      </w:r>
      <w:r w:rsidR="00C6448C">
        <w:t>3.4.4.1</w:t>
      </w:r>
      <w:r w:rsidRPr="00762CF4">
        <w:fldChar w:fldCharType="end"/>
      </w:r>
      <w:r w:rsidRPr="00762CF4">
        <w:t xml:space="preserve"> below.</w:t>
      </w:r>
    </w:p>
    <w:p w:rsidR="00762CF4" w:rsidRPr="00DA5245" w:rsidRDefault="00762CF4" w:rsidP="00762CF4">
      <w:pPr>
        <w:pStyle w:val="ListNumber"/>
      </w:pPr>
      <w:r>
        <w:t>Surveys</w:t>
      </w:r>
    </w:p>
    <w:p w:rsidR="00762CF4" w:rsidRPr="00762CF4" w:rsidRDefault="00762CF4" w:rsidP="00882F3D">
      <w:pPr>
        <w:pStyle w:val="ListNumber"/>
        <w:numPr>
          <w:ilvl w:val="0"/>
          <w:numId w:val="0"/>
        </w:numPr>
        <w:ind w:left="340"/>
      </w:pPr>
      <w:r>
        <w:t>P</w:t>
      </w:r>
      <w:r w:rsidRPr="00762CF4">
        <w:t>ublicly available survey data is limited to 2-year forecasts. Further, long-term inflation expectations appear anchored to the RBA's target band, therefore as long as this anchoring remains, a simpler and transparent approach would be to simply use the RBA target band.</w:t>
      </w:r>
      <w:r w:rsidRPr="00762CF4">
        <w:rPr>
          <w:rStyle w:val="FootnoteReference"/>
        </w:rPr>
        <w:footnoteReference w:id="711"/>
      </w:r>
      <w:r w:rsidRPr="00762CF4">
        <w:t xml:space="preserve"> </w:t>
      </w:r>
    </w:p>
    <w:p w:rsidR="00762CF4" w:rsidRPr="00762CF4" w:rsidRDefault="00762CF4" w:rsidP="00882F3D">
      <w:pPr>
        <w:pStyle w:val="ListNumber"/>
        <w:numPr>
          <w:ilvl w:val="0"/>
          <w:numId w:val="0"/>
        </w:numPr>
        <w:ind w:left="340"/>
      </w:pPr>
      <w:r>
        <w:t xml:space="preserve">We also note that consideration of survey estimates at longer horizons </w:t>
      </w:r>
      <w:r w:rsidRPr="00762CF4">
        <w:t xml:space="preserve">may be possible in the future and may rank above other methods since there is strong evidence that surveys closely reflect inflation expectations. </w:t>
      </w:r>
    </w:p>
    <w:p w:rsidR="00762CF4" w:rsidRDefault="00762CF4" w:rsidP="00762CF4">
      <w:r>
        <w:t>M</w:t>
      </w:r>
      <w:r w:rsidRPr="00830517">
        <w:t>any studies of breakeven estimates use inflation swap rates or survey estimates as a benchmark to estimate the size of the liquidity premia in breakeven estimates.</w:t>
      </w:r>
      <w:r w:rsidRPr="00DA5245">
        <w:rPr>
          <w:rStyle w:val="FootnoteReference"/>
        </w:rPr>
        <w:footnoteReference w:id="712"/>
      </w:r>
      <w:r>
        <w:t xml:space="preserve"> This suggests that researchers hold an a-priori view that survey estimates and/or swap rates are a better estimate of market expected inflation than bond break-even estimates.</w:t>
      </w:r>
      <w:r>
        <w:rPr>
          <w:rStyle w:val="FootnoteReference"/>
        </w:rPr>
        <w:footnoteReference w:id="713"/>
      </w:r>
    </w:p>
    <w:p w:rsidR="00762CF4" w:rsidRDefault="00762CF4" w:rsidP="00762CF4">
      <w:r>
        <w:t xml:space="preserve">We also consider </w:t>
      </w:r>
      <w:r w:rsidRPr="00830517">
        <w:t>that the model</w:t>
      </w:r>
      <w:r>
        <w:t xml:space="preserve">ling and estimation required to </w:t>
      </w:r>
      <w:r w:rsidRPr="00830517">
        <w:t xml:space="preserve">adjust breakeven </w:t>
      </w:r>
      <w:r>
        <w:t xml:space="preserve">and swap-implied </w:t>
      </w:r>
      <w:r w:rsidRPr="00830517">
        <w:t>estimates for potential biases and risk premia may be complex, contentious, and difficult to scrutinise.</w:t>
      </w:r>
      <w:r>
        <w:rPr>
          <w:rStyle w:val="FootnoteReference"/>
        </w:rPr>
        <w:footnoteReference w:id="714"/>
      </w:r>
      <w:r>
        <w:t xml:space="preserve"> In that case, these methods may be subject to higher potential for bias (than the RBA inflation target method) in proposed model specifications.  In any case, it emphasises the importance of fuller industry wide consultation before changing an approach to what is an industry wide measure.  </w:t>
      </w:r>
    </w:p>
    <w:p w:rsidR="00762CF4" w:rsidRDefault="00762CF4" w:rsidP="00762CF4">
      <w:pPr>
        <w:pStyle w:val="Heading4"/>
      </w:pPr>
      <w:bookmarkStart w:id="93" w:name="_Ref478559903"/>
      <w:r>
        <w:t>Consideration of bond break-even inflation estimates</w:t>
      </w:r>
      <w:bookmarkEnd w:id="93"/>
    </w:p>
    <w:p w:rsidR="00762CF4" w:rsidRPr="001F3188" w:rsidRDefault="00762CF4" w:rsidP="00762CF4">
      <w:r>
        <w:t>The bond break-even inflation rate is calculated from</w:t>
      </w:r>
      <w:r w:rsidRPr="001F3188">
        <w:t xml:space="preserve"> the Fisher </w:t>
      </w:r>
      <w:r>
        <w:t>e</w:t>
      </w:r>
      <w:r w:rsidRPr="001F3188">
        <w:t>quation</w:t>
      </w:r>
      <w:r>
        <w:t>. The Fisher equation</w:t>
      </w:r>
      <w:r w:rsidRPr="001F3188">
        <w:t xml:space="preserve"> </w:t>
      </w:r>
      <w:r>
        <w:t>provides that:</w:t>
      </w:r>
    </w:p>
    <w:p w:rsidR="00762CF4" w:rsidRPr="001F3188" w:rsidRDefault="004A6459" w:rsidP="00762CF4">
      <m:oMath>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e>
        </m:d>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m:t>
                </m:r>
                <m:r>
                  <w:rPr>
                    <w:rFonts w:ascii="Cambria Math" w:hAnsi="Cambria Math"/>
                  </w:rPr>
                  <m:t>erest rate</m:t>
                </m:r>
              </m:e>
              <m:sub>
                <m:r>
                  <w:rPr>
                    <w:rFonts w:ascii="Cambria Math" w:hAnsi="Cambria Math"/>
                  </w:rPr>
                  <m:t>real</m:t>
                </m:r>
              </m:sub>
            </m:sSub>
          </m:e>
        </m:d>
        <m:d>
          <m:dPr>
            <m:ctrlPr>
              <w:rPr>
                <w:rFonts w:ascii="Cambria Math" w:hAnsi="Cambria Math"/>
              </w:rPr>
            </m:ctrlPr>
          </m:dPr>
          <m:e>
            <m:r>
              <w:rPr>
                <w:rFonts w:ascii="Cambria Math" w:hAnsi="Cambria Math"/>
              </w:rPr>
              <m:t>1+expected inflation</m:t>
            </m:r>
          </m:e>
        </m:d>
        <m:r>
          <w:rPr>
            <w:rFonts w:ascii="Cambria Math" w:hAnsi="Cambria Math"/>
          </w:rPr>
          <m:t>-1</m:t>
        </m:r>
      </m:oMath>
      <w:r w:rsidR="00762CF4">
        <w:t xml:space="preserve"> </w:t>
      </w:r>
      <w:r w:rsidR="00762CF4">
        <w:tab/>
      </w:r>
    </w:p>
    <w:p w:rsidR="00762CF4" w:rsidRDefault="00762CF4" w:rsidP="00762CF4">
      <w:r>
        <w:t>Therefore:</w:t>
      </w:r>
    </w:p>
    <w:p w:rsidR="00762CF4" w:rsidRDefault="00762CF4" w:rsidP="00762CF4">
      <m:oMath>
        <m:r>
          <w:rPr>
            <w:rFonts w:ascii="Cambria Math" w:hAnsi="Cambria Math"/>
          </w:rPr>
          <m:t>expected inflation=</m:t>
        </m:r>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num>
          <m:den>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den>
        </m:f>
        <m:r>
          <w:rPr>
            <w:rFonts w:ascii="Cambria Math" w:hAnsi="Cambria Math"/>
          </w:rPr>
          <m:t>-1</m:t>
        </m:r>
      </m:oMath>
      <w:r w:rsidRPr="001F3188">
        <w:t xml:space="preserve">  </w:t>
      </w:r>
    </w:p>
    <w:p w:rsidR="00762CF4" w:rsidRPr="00272C0C" w:rsidRDefault="00762CF4" w:rsidP="00762CF4">
      <w:r>
        <w:t>The yield to maturity (as a proxy for the interest rate) on the risk free asset (nominal and indexed CGS) is typically used to calculate break</w:t>
      </w:r>
      <w:r w:rsidRPr="00272C0C">
        <w:t xml:space="preserve">even inflation rates via the Fisher equation. </w:t>
      </w:r>
    </w:p>
    <w:p w:rsidR="00762CF4" w:rsidRDefault="00762CF4" w:rsidP="00762CF4">
      <w:r>
        <w:t xml:space="preserve">The </w:t>
      </w:r>
      <w:r w:rsidRPr="00171594">
        <w:t>Fisher equation may not hold true</w:t>
      </w:r>
      <w:r>
        <w:t xml:space="preserve"> (or may need to be adjusted)</w:t>
      </w:r>
      <w:r w:rsidRPr="00171594">
        <w:t xml:space="preserve"> if there are risk premia, biases, or other distortions affecting the difference between nominal and real interest rates. </w:t>
      </w:r>
      <w:r>
        <w:t xml:space="preserve">The ACCC working paper #11 identified a number of potential biases, risk premia, and other issues that may affect bond breakeven inflation rates. These issues are outlined in </w:t>
      </w:r>
      <w:r>
        <w:fldChar w:fldCharType="begin"/>
      </w:r>
      <w:r>
        <w:instrText xml:space="preserve"> REF _Ref474182633 \h </w:instrText>
      </w:r>
      <w:r>
        <w:fldChar w:fldCharType="separate"/>
      </w:r>
      <w:r w:rsidR="00C6448C">
        <w:t xml:space="preserve">Table </w:t>
      </w:r>
      <w:r w:rsidR="00C6448C">
        <w:rPr>
          <w:noProof/>
        </w:rPr>
        <w:t>3</w:t>
      </w:r>
      <w:r w:rsidR="00C6448C">
        <w:noBreakHyphen/>
      </w:r>
      <w:r w:rsidR="00C6448C">
        <w:rPr>
          <w:noProof/>
        </w:rPr>
        <w:t>21</w:t>
      </w:r>
      <w:r>
        <w:fldChar w:fldCharType="end"/>
      </w:r>
      <w:r>
        <w:t>.</w:t>
      </w:r>
    </w:p>
    <w:p w:rsidR="00762CF4" w:rsidRPr="00C92826" w:rsidRDefault="00762CF4" w:rsidP="00882F3D">
      <w:pPr>
        <w:pStyle w:val="Caption"/>
      </w:pPr>
      <w:bookmarkStart w:id="94" w:name="_Ref474182633"/>
      <w:r>
        <w:t xml:space="preserve">Table </w:t>
      </w:r>
      <w:fldSimple w:instr=" STYLEREF 1 \s ">
        <w:r w:rsidR="00C6448C">
          <w:rPr>
            <w:noProof/>
          </w:rPr>
          <w:t>3</w:t>
        </w:r>
      </w:fldSimple>
      <w:r w:rsidR="00882F3D">
        <w:noBreakHyphen/>
      </w:r>
      <w:fldSimple w:instr=" SEQ Table \* ARABIC \s 1 ">
        <w:r w:rsidR="00C6448C">
          <w:rPr>
            <w:noProof/>
          </w:rPr>
          <w:t>21</w:t>
        </w:r>
      </w:fldSimple>
      <w:bookmarkEnd w:id="94"/>
      <w:r>
        <w:t xml:space="preserve"> Issues with bond breakeven estimates</w:t>
      </w:r>
    </w:p>
    <w:tbl>
      <w:tblPr>
        <w:tblStyle w:val="AERTable-Text"/>
        <w:tblW w:w="5000" w:type="pct"/>
        <w:tblLook w:val="04A0" w:firstRow="1" w:lastRow="0" w:firstColumn="1" w:lastColumn="0" w:noHBand="0" w:noVBand="1"/>
      </w:tblPr>
      <w:tblGrid>
        <w:gridCol w:w="1808"/>
        <w:gridCol w:w="6885"/>
      </w:tblGrid>
      <w:tr w:rsidR="00762CF4" w:rsidRPr="0036067E" w:rsidTr="00762CF4">
        <w:trPr>
          <w:cnfStyle w:val="100000000000" w:firstRow="1" w:lastRow="0" w:firstColumn="0" w:lastColumn="0" w:oddVBand="0" w:evenVBand="0" w:oddHBand="0" w:evenHBand="0" w:firstRowFirstColumn="0" w:firstRowLastColumn="0" w:lastRowFirstColumn="0" w:lastRowLastColumn="0"/>
          <w:trHeight w:val="365"/>
        </w:trPr>
        <w:tc>
          <w:tcPr>
            <w:tcW w:w="1040" w:type="pct"/>
          </w:tcPr>
          <w:p w:rsidR="00762CF4" w:rsidRPr="00762CF4" w:rsidRDefault="00762CF4" w:rsidP="00762CF4">
            <w:pPr>
              <w:pStyle w:val="Tabletext"/>
            </w:pPr>
            <w:r>
              <w:t>Issue</w:t>
            </w:r>
          </w:p>
        </w:tc>
        <w:tc>
          <w:tcPr>
            <w:tcW w:w="3960" w:type="pct"/>
          </w:tcPr>
          <w:p w:rsidR="00762CF4" w:rsidRPr="00762CF4" w:rsidRDefault="00762CF4" w:rsidP="00762CF4">
            <w:pPr>
              <w:pStyle w:val="Tabletext"/>
            </w:pPr>
            <w:r>
              <w:t xml:space="preserve">Explanation </w:t>
            </w:r>
          </w:p>
        </w:tc>
      </w:tr>
      <w:tr w:rsidR="00762CF4" w:rsidRPr="00BD56F3" w:rsidTr="00762CF4">
        <w:trPr>
          <w:trHeight w:val="558"/>
        </w:trPr>
        <w:tc>
          <w:tcPr>
            <w:tcW w:w="1040" w:type="pct"/>
          </w:tcPr>
          <w:p w:rsidR="00762CF4" w:rsidRPr="00762CF4" w:rsidRDefault="00762CF4" w:rsidP="00762CF4">
            <w:pPr>
              <w:pStyle w:val="Tabletext"/>
              <w:rPr>
                <w:rStyle w:val="AERtextsize8"/>
              </w:rPr>
            </w:pPr>
            <w:r>
              <w:rPr>
                <w:rStyle w:val="AERtextsize8"/>
              </w:rPr>
              <w:t>Fitting a yield curve</w:t>
            </w:r>
          </w:p>
        </w:tc>
        <w:tc>
          <w:tcPr>
            <w:tcW w:w="3960" w:type="pct"/>
          </w:tcPr>
          <w:p w:rsidR="00762CF4" w:rsidRPr="00762CF4" w:rsidRDefault="00762CF4" w:rsidP="00762CF4">
            <w:pPr>
              <w:pStyle w:val="Tabletext"/>
              <w:rPr>
                <w:rStyle w:val="AERtextsize8"/>
              </w:rPr>
            </w:pPr>
            <w:r w:rsidRPr="00C82431">
              <w:rPr>
                <w:rStyle w:val="AERtextsize8"/>
              </w:rPr>
              <w:t xml:space="preserve">The approximate matching of 10 year maturities of nominal and indexed CGS is necessary for the calculation of the 10 year </w:t>
            </w:r>
            <w:r w:rsidRPr="00762CF4">
              <w:rPr>
                <w:rStyle w:val="AERtextsize8"/>
              </w:rPr>
              <w:t xml:space="preserve">break-even inflation rate. However, a match of such maturities is unlikely to occur given the relatively few tenors of outstanding indexed CGS. Therefore, calculations of break-even estimates may require yield curve models to interpolate estimates of yields obtained from indexed and nominal CGS with different tenors. The consequence of using yield curve models is that the break-even estimates are unlikely to reflect mark-to-market expectations of inflation, and the estimates are likely to vary depending on the yield curve models chosen. Deacon and Derry (1994) and Deacon et al. (2004) find that break-even estimates may vary considerably depending on the yield curve models employed. </w:t>
            </w:r>
          </w:p>
        </w:tc>
      </w:tr>
      <w:tr w:rsidR="00762CF4" w:rsidRPr="00BD56F3" w:rsidDel="00317EA4" w:rsidTr="00762CF4">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762CF4" w:rsidRPr="00762CF4" w:rsidDel="00317EA4" w:rsidRDefault="00762CF4" w:rsidP="00762CF4">
            <w:pPr>
              <w:pStyle w:val="Tabletext"/>
              <w:rPr>
                <w:rStyle w:val="AERtextsize8"/>
              </w:rPr>
            </w:pPr>
            <w:r w:rsidRPr="00B84D66">
              <w:rPr>
                <w:rStyle w:val="AERtextsize8"/>
              </w:rPr>
              <w:t>Liquidity premia</w:t>
            </w:r>
          </w:p>
        </w:tc>
        <w:tc>
          <w:tcPr>
            <w:tcW w:w="3960" w:type="pct"/>
          </w:tcPr>
          <w:p w:rsidR="00762CF4" w:rsidRPr="00762CF4" w:rsidRDefault="00762CF4" w:rsidP="00762CF4">
            <w:pPr>
              <w:pStyle w:val="Tabletext"/>
              <w:rPr>
                <w:rStyle w:val="AERtextsize8"/>
              </w:rPr>
            </w:pPr>
            <w:r w:rsidRPr="00B84D66">
              <w:rPr>
                <w:rStyle w:val="AERtextsize8"/>
              </w:rPr>
              <w:t xml:space="preserve">Indexed CGS are likely to be substantially less liquid than nominal CGS. This implies that liquidity premia included in the yields on indexed CGS may be greater than the liquidity premia included in the yields on nominal CGS. The difference between liquidity premia, or the differential liquidity premia, is likely to drive a wedge between the </w:t>
            </w:r>
            <w:r w:rsidRPr="00762CF4">
              <w:rPr>
                <w:rStyle w:val="AERtextsize8"/>
              </w:rPr>
              <w:t xml:space="preserve">bond break-even inflation estimates and inflation expectations. </w:t>
            </w:r>
          </w:p>
          <w:p w:rsidR="00762CF4" w:rsidRPr="00762CF4" w:rsidDel="00317EA4" w:rsidRDefault="00762CF4" w:rsidP="00762CF4">
            <w:pPr>
              <w:pStyle w:val="Tabletext"/>
              <w:rPr>
                <w:rStyle w:val="AERtextsize8"/>
              </w:rPr>
            </w:pPr>
            <w:r w:rsidRPr="00B84D66">
              <w:rPr>
                <w:rStyle w:val="AERtextsize8"/>
              </w:rPr>
              <w:t>The differential liquidity premia are likely to be greater during periods of uncertainty when investors’ appreciation of liquidity risk may have changed.  In such a situation, the yield spread between nominal bonds and inflation indexed bonds is likely to narrow – a narrowing that is caused by greater uncertainty, growing differential liquidity premia</w:t>
            </w:r>
            <w:r w:rsidRPr="00762CF4">
              <w:rPr>
                <w:rStyle w:val="AERtextsize8"/>
              </w:rPr>
              <w:t>, and not necessarily a fall in inflation expectations.</w:t>
            </w:r>
          </w:p>
        </w:tc>
      </w:tr>
      <w:tr w:rsidR="00762CF4" w:rsidRPr="00BD56F3" w:rsidDel="00317EA4" w:rsidTr="00762CF4">
        <w:trPr>
          <w:trHeight w:val="558"/>
        </w:trPr>
        <w:tc>
          <w:tcPr>
            <w:tcW w:w="1040" w:type="pct"/>
          </w:tcPr>
          <w:p w:rsidR="00762CF4" w:rsidRPr="00762CF4" w:rsidDel="00317EA4" w:rsidRDefault="00762CF4" w:rsidP="00762CF4">
            <w:pPr>
              <w:pStyle w:val="Tabletext"/>
              <w:rPr>
                <w:rStyle w:val="AERtextsize8"/>
              </w:rPr>
            </w:pPr>
            <w:r w:rsidRPr="00B84D66">
              <w:rPr>
                <w:rStyle w:val="AERtextsize8"/>
              </w:rPr>
              <w:t>Inflation risk premia</w:t>
            </w:r>
          </w:p>
        </w:tc>
        <w:tc>
          <w:tcPr>
            <w:tcW w:w="3960" w:type="pct"/>
          </w:tcPr>
          <w:p w:rsidR="00762CF4" w:rsidRPr="00762CF4" w:rsidDel="00317EA4" w:rsidRDefault="00762CF4" w:rsidP="00762CF4">
            <w:pPr>
              <w:pStyle w:val="Tabletext"/>
              <w:rPr>
                <w:rStyle w:val="AERtextsize8"/>
              </w:rPr>
            </w:pPr>
            <w:r w:rsidRPr="00B84D66">
              <w:rPr>
                <w:rStyle w:val="AERtextsize8"/>
              </w:rPr>
              <w:t>The inﬂation risk premia</w:t>
            </w:r>
            <w:r w:rsidRPr="00762CF4">
              <w:rPr>
                <w:rStyle w:val="AERtextsize8"/>
              </w:rPr>
              <w:t xml:space="preserve"> arise because holders of nominal bonds are exposed to inﬂation risk, where there is a probability that the actual inflation rate will not match the expected inflation rate. As a result, nominal bondholders may demand compensation for bearing this risk. Inflation risk premia may be positive or negative, depending on whether there are concerns about inflation or deflation.</w:t>
            </w:r>
          </w:p>
        </w:tc>
      </w:tr>
      <w:tr w:rsidR="00762CF4" w:rsidRPr="00BD56F3" w:rsidDel="00317EA4" w:rsidTr="00762CF4">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762CF4" w:rsidRPr="00762CF4" w:rsidDel="00317EA4" w:rsidRDefault="00762CF4" w:rsidP="00762CF4">
            <w:pPr>
              <w:pStyle w:val="Tabletext"/>
              <w:rPr>
                <w:rStyle w:val="AERtextsize8"/>
              </w:rPr>
            </w:pPr>
            <w:r w:rsidRPr="00B84D66">
              <w:rPr>
                <w:rStyle w:val="AERtextsize8"/>
              </w:rPr>
              <w:t>Convexity Bias</w:t>
            </w:r>
          </w:p>
        </w:tc>
        <w:tc>
          <w:tcPr>
            <w:tcW w:w="3960" w:type="pct"/>
          </w:tcPr>
          <w:p w:rsidR="00762CF4" w:rsidRPr="00762CF4" w:rsidRDefault="00762CF4" w:rsidP="00762CF4">
            <w:pPr>
              <w:pStyle w:val="Tabletext"/>
              <w:rPr>
                <w:rStyle w:val="AERtextsize8"/>
              </w:rPr>
            </w:pPr>
            <w:r w:rsidRPr="00B84D66">
              <w:rPr>
                <w:rStyle w:val="AERtextsize8"/>
              </w:rPr>
              <w:t xml:space="preserve">Bond prices are a convex function of their respective yields. Therefore, if yields are volatile, giving effect to gains being larger than the losses, bond prices may rise. The rise in the bond prices push down their forward yields, below their expected future yields. The difference between forward yields and expected future yields on a bond is the ‘convexity effect’. The size of the convexity effect is likely to be different for nominal and indexed bonds. </w:t>
            </w:r>
          </w:p>
          <w:p w:rsidR="00762CF4" w:rsidRPr="00762CF4" w:rsidDel="00317EA4" w:rsidRDefault="00762CF4" w:rsidP="00762CF4">
            <w:pPr>
              <w:pStyle w:val="Tabletext"/>
              <w:rPr>
                <w:rStyle w:val="AERtextsize8"/>
              </w:rPr>
            </w:pPr>
            <w:r w:rsidRPr="00B84D66">
              <w:rPr>
                <w:rStyle w:val="AERtextsize8"/>
              </w:rPr>
              <w:t xml:space="preserve">The difference in the magnitude of the convexity effect for nominal and indexed bonds may result in the </w:t>
            </w:r>
            <w:r w:rsidRPr="00762CF4">
              <w:rPr>
                <w:rStyle w:val="AERtextsize8"/>
              </w:rPr>
              <w:t>bond break-even inflation estimates departing from market expectations of inflation by the amount of a ‘convexity bias’ (other things unchanged). Convexity bias is sensitive to the relative volatility of forward yields on nominal and indexed bonds. Therefore, the scale of convexity bias estimates may change if relative forward yield volatilities change over time.</w:t>
            </w:r>
          </w:p>
        </w:tc>
      </w:tr>
      <w:tr w:rsidR="00762CF4" w:rsidRPr="00BD56F3" w:rsidDel="00317EA4" w:rsidTr="00762CF4">
        <w:trPr>
          <w:trHeight w:val="558"/>
        </w:trPr>
        <w:tc>
          <w:tcPr>
            <w:tcW w:w="1040" w:type="pct"/>
          </w:tcPr>
          <w:p w:rsidR="00762CF4" w:rsidRPr="00762CF4" w:rsidDel="00317EA4" w:rsidRDefault="00762CF4" w:rsidP="00762CF4">
            <w:pPr>
              <w:pStyle w:val="Tabletext"/>
              <w:rPr>
                <w:rStyle w:val="AERtextsize8"/>
              </w:rPr>
            </w:pPr>
            <w:r w:rsidRPr="00B84D66">
              <w:rPr>
                <w:rStyle w:val="AERtextsize8"/>
              </w:rPr>
              <w:t>Inflation indexation lag</w:t>
            </w:r>
          </w:p>
        </w:tc>
        <w:tc>
          <w:tcPr>
            <w:tcW w:w="3960" w:type="pct"/>
          </w:tcPr>
          <w:p w:rsidR="00762CF4" w:rsidRPr="00762CF4" w:rsidDel="00317EA4" w:rsidRDefault="00762CF4" w:rsidP="00762CF4">
            <w:pPr>
              <w:pStyle w:val="Tabletext"/>
              <w:rPr>
                <w:rStyle w:val="AERtextsize8"/>
              </w:rPr>
            </w:pPr>
            <w:r w:rsidRPr="00B84D66">
              <w:rPr>
                <w:rStyle w:val="AERtextsize8"/>
              </w:rPr>
              <w:t>A perfectly indexed CGS would pay a real coupon amount that is adjusted by the increase in the CPI between the issue date and the time of payment.  However, there are unavoidable lags between the actual movements in the CPI and adjustments of indexed bond cash flows. Indexation lag may result in the forward yields on indexed CGS being calculated on the basis of both historical inflation rates and expected future short term inflation rates. The effect of indexation lag on indexed CGS yields may be significant during periods of significantly above and below-trend inflation.</w:t>
            </w:r>
          </w:p>
        </w:tc>
      </w:tr>
      <w:tr w:rsidR="00762CF4" w:rsidRPr="00BD56F3" w:rsidDel="00317EA4" w:rsidTr="00762CF4">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762CF4" w:rsidRPr="00762CF4" w:rsidDel="00317EA4" w:rsidRDefault="00762CF4" w:rsidP="00762CF4">
            <w:pPr>
              <w:pStyle w:val="Tabletext"/>
              <w:rPr>
                <w:rStyle w:val="AERtextsize8"/>
              </w:rPr>
            </w:pPr>
            <w:r w:rsidRPr="00B84D66">
              <w:rPr>
                <w:rStyle w:val="AERtextsize8"/>
              </w:rPr>
              <w:t>Inflation risk premia in indexed bond yields: indexation lag premia</w:t>
            </w:r>
          </w:p>
        </w:tc>
        <w:tc>
          <w:tcPr>
            <w:tcW w:w="3960" w:type="pct"/>
          </w:tcPr>
          <w:p w:rsidR="00762CF4" w:rsidRPr="00762CF4" w:rsidDel="00317EA4" w:rsidRDefault="00762CF4" w:rsidP="00762CF4">
            <w:pPr>
              <w:pStyle w:val="Tabletext"/>
              <w:rPr>
                <w:rStyle w:val="AERtextsize8"/>
              </w:rPr>
            </w:pPr>
            <w:r w:rsidRPr="00B84D66">
              <w:rPr>
                <w:rStyle w:val="AERtextsize8"/>
              </w:rPr>
              <w:t xml:space="preserve">As a result of indexation lag, the real return on indexed bonds may be exposed to some inflation risk.  There is research which finds that inflation risk premia may be embedded in indexed bond yields to compensate investors for such risk. This is known as indexation lag risk premia. Risa (2001) finds that the yields on UK 10 year indexed bonds included an indexation lag risk premium of approximately 3.3 basis points.  However, Risa considers that this premium is not economically relevant in size. D’Amico et al. (2016) find an indexation lag premium on the yields on 10 year TIPS varies between –5 and 3 basis points.  </w:t>
            </w:r>
          </w:p>
        </w:tc>
      </w:tr>
      <w:tr w:rsidR="00762CF4" w:rsidRPr="00BD56F3" w:rsidDel="00317EA4" w:rsidTr="00762CF4">
        <w:trPr>
          <w:trHeight w:val="558"/>
        </w:trPr>
        <w:tc>
          <w:tcPr>
            <w:tcW w:w="1040" w:type="pct"/>
          </w:tcPr>
          <w:p w:rsidR="00762CF4" w:rsidRPr="00762CF4" w:rsidDel="00317EA4" w:rsidRDefault="00762CF4" w:rsidP="00762CF4">
            <w:pPr>
              <w:pStyle w:val="Tabletext"/>
              <w:rPr>
                <w:rStyle w:val="AERtextsize8"/>
              </w:rPr>
            </w:pPr>
            <w:r w:rsidRPr="00B84D66">
              <w:rPr>
                <w:rStyle w:val="AERtextsize8"/>
              </w:rPr>
              <w:t>Inflation risk premia in indexed bond yields: post-tax variability of indexed bond cash flows</w:t>
            </w:r>
          </w:p>
        </w:tc>
        <w:tc>
          <w:tcPr>
            <w:tcW w:w="3960" w:type="pct"/>
          </w:tcPr>
          <w:p w:rsidR="00762CF4" w:rsidRPr="00762CF4" w:rsidDel="00317EA4" w:rsidRDefault="00762CF4" w:rsidP="00762CF4">
            <w:pPr>
              <w:pStyle w:val="Tabletext"/>
              <w:rPr>
                <w:rStyle w:val="AERtextsize8"/>
              </w:rPr>
            </w:pPr>
            <w:r w:rsidRPr="00B84D66">
              <w:rPr>
                <w:rStyle w:val="AERtextsize8"/>
              </w:rPr>
              <w:t xml:space="preserve">Tax regimes in existence tend to cause post-tax real returns to remain uncertain even if pre-tax real yields are known. Since tax is levied on the nominal yield, not the real yield, the tax system reintroduces inflation risk for indexed bonds. Post-tax real yields may become uncertain and variable if inflation is uncertain.  If the demand for bonds is a function of their expected post-tax returns, pre-tax indexed bond yields may include inflation risk premia to compensate investors for the potential uncertainty of post-tax real returns. The existence of inflation risk premia in indexed bond yields may result in </w:t>
            </w:r>
            <w:r w:rsidRPr="00762CF4">
              <w:rPr>
                <w:rStyle w:val="AERtextsize8"/>
              </w:rPr>
              <w:t>bond break-even inflation estimates departing from market expectations of inflation.</w:t>
            </w:r>
          </w:p>
        </w:tc>
      </w:tr>
      <w:tr w:rsidR="00762CF4" w:rsidRPr="00BD56F3" w:rsidDel="00317EA4" w:rsidTr="00762CF4">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762CF4" w:rsidRPr="00762CF4" w:rsidDel="00317EA4" w:rsidRDefault="00762CF4" w:rsidP="00762CF4">
            <w:pPr>
              <w:pStyle w:val="Tabletext"/>
              <w:rPr>
                <w:rStyle w:val="AERtextsize8"/>
              </w:rPr>
            </w:pPr>
            <w:r w:rsidRPr="00B84D66">
              <w:rPr>
                <w:rStyle w:val="AERtextsize8"/>
              </w:rPr>
              <w:t>Mismatched pattern of cash flows</w:t>
            </w:r>
          </w:p>
        </w:tc>
        <w:tc>
          <w:tcPr>
            <w:tcW w:w="3960" w:type="pct"/>
          </w:tcPr>
          <w:p w:rsidR="00762CF4" w:rsidRPr="00762CF4" w:rsidDel="00317EA4" w:rsidRDefault="00762CF4" w:rsidP="00762CF4">
            <w:pPr>
              <w:pStyle w:val="Tabletext"/>
              <w:rPr>
                <w:rStyle w:val="AERtextsize8"/>
              </w:rPr>
            </w:pPr>
            <w:r w:rsidRPr="00B84D66">
              <w:rPr>
                <w:rStyle w:val="AERtextsize8"/>
              </w:rPr>
              <w:t xml:space="preserve">Christensen et al. (2004) argue that even if nominal and indexed bonds have the same maturity, differences in the pattern of coupon payments (resulting in differences of duration and convexity of each bond) may expose each bond to different discount factors.  In real terms, the coupon payments on indexed bonds are fixed, while the coupon payments on nominal bonds decline in real terms over their maturity. Since cash flows that arrive later in time are discounted more heavily, the price of the indexed bond will be lower and therefore the BBIR may produce downwardly biased estimates of expected inflation.  Christensen et al. note that the size of this bias will not be constant through time since it is a function of the coupon and maturity of nominal and indexed bonds and the term structure of interest rates. They find that observed volatility of </w:t>
            </w:r>
            <w:r w:rsidRPr="00762CF4">
              <w:rPr>
                <w:rStyle w:val="AERtextsize8"/>
              </w:rPr>
              <w:t xml:space="preserve">bond break-even estimates may be due to mismatched cash flows and not to changes in inflation expectations. </w:t>
            </w:r>
          </w:p>
        </w:tc>
      </w:tr>
      <w:tr w:rsidR="00762CF4" w:rsidRPr="00BD56F3" w:rsidDel="00317EA4" w:rsidTr="00762CF4">
        <w:trPr>
          <w:trHeight w:val="558"/>
        </w:trPr>
        <w:tc>
          <w:tcPr>
            <w:tcW w:w="1040" w:type="pct"/>
          </w:tcPr>
          <w:p w:rsidR="00762CF4" w:rsidRPr="00762CF4" w:rsidRDefault="00762CF4" w:rsidP="00762CF4">
            <w:pPr>
              <w:pStyle w:val="Tabletext"/>
              <w:rPr>
                <w:rStyle w:val="AERtextsize8"/>
              </w:rPr>
            </w:pPr>
            <w:r w:rsidRPr="00B84D66">
              <w:rPr>
                <w:rStyle w:val="AERtextsize8"/>
              </w:rPr>
              <w:t>Sensitivity to short term inflation expectations when calculated from coupon-paying  bonds</w:t>
            </w:r>
          </w:p>
        </w:tc>
        <w:tc>
          <w:tcPr>
            <w:tcW w:w="3960" w:type="pct"/>
          </w:tcPr>
          <w:p w:rsidR="00762CF4" w:rsidRPr="00762CF4" w:rsidRDefault="00762CF4" w:rsidP="00762CF4">
            <w:pPr>
              <w:pStyle w:val="Tabletext"/>
              <w:rPr>
                <w:rStyle w:val="AERtextsize8"/>
              </w:rPr>
            </w:pPr>
            <w:r w:rsidRPr="00B84D66">
              <w:rPr>
                <w:rStyle w:val="AERtextsize8"/>
              </w:rPr>
              <w:t xml:space="preserve">When </w:t>
            </w:r>
            <w:r w:rsidRPr="00762CF4">
              <w:rPr>
                <w:rStyle w:val="AERtextsize8"/>
              </w:rPr>
              <w:t>bond break-even estimates are calculated from the yields on coupon-paying bonds, the estimates may become more sensitive to changes in short term inflation expectations compared to an approach that is calculated from yields on zero coupon bonds. As a result, if the term structure of inflation expectations is not flat, relatively volatile short term inflation expectations may change the bond break-even estimates, even if the long term market expectations of inflation are unchanged.</w:t>
            </w:r>
          </w:p>
        </w:tc>
      </w:tr>
      <w:tr w:rsidR="00762CF4" w:rsidRPr="00BD56F3" w:rsidDel="00317EA4" w:rsidTr="00762CF4">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762CF4" w:rsidRPr="00762CF4" w:rsidRDefault="00762CF4" w:rsidP="00762CF4">
            <w:pPr>
              <w:pStyle w:val="Tabletext"/>
              <w:rPr>
                <w:rStyle w:val="AERtextsize8"/>
              </w:rPr>
            </w:pPr>
            <w:r w:rsidRPr="00B84D66">
              <w:rPr>
                <w:rStyle w:val="AERtextsize8"/>
              </w:rPr>
              <w:t>Changes to the demand for and supply of indexed and nominal CGS that are unrelated to changes to inflation expectations</w:t>
            </w:r>
          </w:p>
        </w:tc>
        <w:tc>
          <w:tcPr>
            <w:tcW w:w="3960" w:type="pct"/>
          </w:tcPr>
          <w:p w:rsidR="00762CF4" w:rsidRPr="00762CF4" w:rsidRDefault="00762CF4" w:rsidP="00762CF4">
            <w:pPr>
              <w:pStyle w:val="Tabletext"/>
              <w:rPr>
                <w:rStyle w:val="AERtextsize8"/>
              </w:rPr>
            </w:pPr>
            <w:r w:rsidRPr="00B84D66">
              <w:rPr>
                <w:rStyle w:val="AERtextsize8"/>
              </w:rPr>
              <w:t xml:space="preserve">There may be changes to the demand for and supply of nominal and indexed CGS that are unrelated to changes in inflation expectations. As a result, relative yields and </w:t>
            </w:r>
            <w:r w:rsidRPr="00762CF4">
              <w:rPr>
                <w:rStyle w:val="AERtextsize8"/>
              </w:rPr>
              <w:t>bond break-even inflation estimates may change even if the term structure of inflation expectations is unchanged. For example, changes to the relative supply of nominal and indexed CGS, changes to investor risk aversion, slow moving capital and capital availability may result in a movement of the relative yields that may be unrelated to changes in inflation expectations.</w:t>
            </w:r>
          </w:p>
        </w:tc>
      </w:tr>
      <w:tr w:rsidR="00762CF4" w:rsidRPr="00BD56F3" w:rsidDel="00317EA4" w:rsidTr="00762CF4">
        <w:trPr>
          <w:trHeight w:val="558"/>
        </w:trPr>
        <w:tc>
          <w:tcPr>
            <w:tcW w:w="1040" w:type="pct"/>
          </w:tcPr>
          <w:p w:rsidR="00762CF4" w:rsidRPr="00762CF4" w:rsidRDefault="00762CF4" w:rsidP="00762CF4">
            <w:pPr>
              <w:pStyle w:val="Tabletext"/>
              <w:rPr>
                <w:rStyle w:val="AERtextsize8"/>
              </w:rPr>
            </w:pPr>
            <w:r w:rsidRPr="00B84D66">
              <w:rPr>
                <w:rStyle w:val="AERtextsize8"/>
              </w:rPr>
              <w:t>The effect of the deflation floor on the yields of indexed CGS</w:t>
            </w:r>
          </w:p>
        </w:tc>
        <w:tc>
          <w:tcPr>
            <w:tcW w:w="3960" w:type="pct"/>
          </w:tcPr>
          <w:p w:rsidR="00762CF4" w:rsidRPr="00762CF4" w:rsidRDefault="00762CF4" w:rsidP="00762CF4">
            <w:pPr>
              <w:pStyle w:val="Tabletext"/>
              <w:rPr>
                <w:rStyle w:val="AERtextsize8"/>
              </w:rPr>
            </w:pPr>
            <w:r w:rsidRPr="00B84D66">
              <w:rPr>
                <w:rStyle w:val="AERtextsize8"/>
              </w:rPr>
              <w:t xml:space="preserve">Indexed CGS have a ‘deflation floor’ – coupon interest payments will not be based on a capital value less than the face value and payment of the principal cannot fall below the face value. If deflation becomes a concern, the deflation protection of indexed CGS becomes valuable, pushing up indexed CGS prices and reducing indexed CGS yields. During such episodes, the effect of the deflation floor </w:t>
            </w:r>
            <w:r w:rsidRPr="00762CF4">
              <w:rPr>
                <w:rStyle w:val="AERtextsize8"/>
              </w:rPr>
              <w:t>on indexed CGS may influence bond break-even estimates. For the US, D’Amico et al. (2016) identify the effect of the deflation floor as a potential driver of bond break-even estimates. They find that the deflation floor affects the yields on 10 year TIPS by about 5 basis points during normal times but widening to -20 basis points during the recent crisis.</w:t>
            </w:r>
          </w:p>
        </w:tc>
      </w:tr>
      <w:tr w:rsidR="00762CF4" w:rsidRPr="00BD56F3" w:rsidDel="00317EA4" w:rsidTr="00762CF4">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762CF4" w:rsidRPr="00762CF4" w:rsidRDefault="00762CF4" w:rsidP="00762CF4">
            <w:pPr>
              <w:pStyle w:val="Tabletext"/>
              <w:rPr>
                <w:rStyle w:val="AERtextsize8"/>
              </w:rPr>
            </w:pPr>
            <w:r w:rsidRPr="00B84D66">
              <w:rPr>
                <w:rStyle w:val="AERtextsize8"/>
              </w:rPr>
              <w:t>Personal price indices and the substitution effect</w:t>
            </w:r>
          </w:p>
        </w:tc>
        <w:tc>
          <w:tcPr>
            <w:tcW w:w="3960" w:type="pct"/>
          </w:tcPr>
          <w:p w:rsidR="00762CF4" w:rsidRPr="00762CF4" w:rsidRDefault="00762CF4" w:rsidP="00762CF4">
            <w:pPr>
              <w:pStyle w:val="Tabletext"/>
              <w:rPr>
                <w:rStyle w:val="AERtextsize8"/>
              </w:rPr>
            </w:pPr>
            <w:r w:rsidRPr="00B84D66">
              <w:rPr>
                <w:rStyle w:val="AERtextsize8"/>
              </w:rPr>
              <w:t xml:space="preserve">In their estimates of the </w:t>
            </w:r>
            <w:r w:rsidRPr="00762CF4">
              <w:rPr>
                <w:rStyle w:val="AERtextsize8"/>
              </w:rPr>
              <w:t>bond break-even inflation rate for the US, Christensen and Gillan (2012) find that the inflation risk premium in the estimates remained negative even after maximally correcting for the liquidity premium. Christensen and Gillan argue that this may be due to TIPS yields being higher than they otherwise would be for two reasons. Firstly, the CPI may overstate true inflation outcomes because the substitution effects have not been considered. Secondly, the personal price index of investors may be different to the CPI and therefore TIPS are only a partial hedge for inflation risk. Consequently, investors may demand a risk premium for the remaining exposure to an imperfect inflation hedge.  The influence of the substitution effect and personal price indices on indexed bond yields may result in bond break-even inflation estimates departing from market expectations of inflation.</w:t>
            </w:r>
          </w:p>
        </w:tc>
      </w:tr>
    </w:tbl>
    <w:p w:rsidR="00762CF4" w:rsidRPr="003F16D8" w:rsidRDefault="00762CF4" w:rsidP="00762CF4">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68-69. </w:t>
      </w:r>
      <w:r w:rsidRPr="003F16D8">
        <w:rPr>
          <w:rStyle w:val="AERtextsize8"/>
        </w:rPr>
        <w:t xml:space="preserve"> </w:t>
      </w:r>
    </w:p>
    <w:p w:rsidR="00762CF4" w:rsidRDefault="00762CF4" w:rsidP="00762CF4">
      <w:r>
        <w:t>In a concurrent regulatory process, AusNet Services and CEG submitted that:</w:t>
      </w:r>
    </w:p>
    <w:p w:rsidR="00762CF4" w:rsidRDefault="00762CF4" w:rsidP="00762CF4">
      <w:pPr>
        <w:pStyle w:val="AERbulletlistfirststyle"/>
      </w:pPr>
      <w:r>
        <w:t>Bond break-even estimates provide a more direct market measure of expected inflation than the RBA forecasts and target band approach,</w:t>
      </w:r>
    </w:p>
    <w:p w:rsidR="00762CF4" w:rsidRDefault="00762CF4" w:rsidP="00762CF4">
      <w:pPr>
        <w:pStyle w:val="AERbulletlistfirststyle"/>
      </w:pPr>
      <w:r>
        <w:t>Academic literature suggests that biases and risk premia in bond break-even estimates are likely to be immaterial, and</w:t>
      </w:r>
    </w:p>
    <w:p w:rsidR="00762CF4" w:rsidRDefault="00762CF4" w:rsidP="00762CF4">
      <w:pPr>
        <w:pStyle w:val="AERbulletlistfirststyle"/>
      </w:pPr>
      <w:r>
        <w:t>Inflation outcomes suggest that the bond break-even approach is more accurate predictor of outcomes, and therefore a greater influence on expected inflation, than the RBA forecasts and target band approach.</w:t>
      </w:r>
    </w:p>
    <w:p w:rsidR="00762CF4" w:rsidRDefault="00762CF4" w:rsidP="00762CF4">
      <w:r>
        <w:t xml:space="preserve">Our response to these issues is contained in appendices </w:t>
      </w:r>
      <w:r>
        <w:fldChar w:fldCharType="begin"/>
      </w:r>
      <w:r>
        <w:instrText xml:space="preserve"> REF _Ref478561466 \r \h </w:instrText>
      </w:r>
      <w:r>
        <w:fldChar w:fldCharType="separate"/>
      </w:r>
      <w:r w:rsidR="00C6448C">
        <w:t>K.2</w:t>
      </w:r>
      <w:r>
        <w:fldChar w:fldCharType="end"/>
      </w:r>
      <w:r>
        <w:t xml:space="preserve">, </w:t>
      </w:r>
      <w:r>
        <w:fldChar w:fldCharType="begin"/>
      </w:r>
      <w:r>
        <w:instrText xml:space="preserve"> REF _Ref478561468 \r \h </w:instrText>
      </w:r>
      <w:r>
        <w:fldChar w:fldCharType="separate"/>
      </w:r>
      <w:r w:rsidR="00C6448C">
        <w:t>K.3</w:t>
      </w:r>
      <w:r>
        <w:fldChar w:fldCharType="end"/>
      </w:r>
      <w:r>
        <w:t xml:space="preserve">, </w:t>
      </w:r>
      <w:r>
        <w:fldChar w:fldCharType="begin"/>
      </w:r>
      <w:r>
        <w:instrText xml:space="preserve"> REF _Ref478561470 \r \h </w:instrText>
      </w:r>
      <w:r>
        <w:fldChar w:fldCharType="separate"/>
      </w:r>
      <w:r w:rsidR="00C6448C">
        <w:t>K.4</w:t>
      </w:r>
      <w:r>
        <w:fldChar w:fldCharType="end"/>
      </w:r>
      <w:r>
        <w:t xml:space="preserve">, and </w:t>
      </w:r>
      <w:r>
        <w:fldChar w:fldCharType="begin"/>
      </w:r>
      <w:r>
        <w:instrText xml:space="preserve"> REF _Ref478561472 \r \h </w:instrText>
      </w:r>
      <w:r>
        <w:fldChar w:fldCharType="separate"/>
      </w:r>
      <w:r w:rsidR="00C6448C">
        <w:t>K.5</w:t>
      </w:r>
      <w:r>
        <w:fldChar w:fldCharType="end"/>
      </w:r>
      <w:r>
        <w:t xml:space="preserve">. </w:t>
      </w:r>
    </w:p>
    <w:p w:rsidR="00762CF4" w:rsidRDefault="00762CF4" w:rsidP="00762CF4">
      <w:r>
        <w:t>Overall, we consider</w:t>
      </w:r>
      <w:r w:rsidRPr="00830517">
        <w:t xml:space="preserve"> that the scale and sign of potential biases and risk premia are unlikely to be robust to different study parameters, resulting in uncertainty over their net effect. The modelling and estimation required to adjust breakeven estimates for these potential biases and risk premia </w:t>
      </w:r>
      <w:r>
        <w:t>is likely to</w:t>
      </w:r>
      <w:r w:rsidRPr="00830517">
        <w:t xml:space="preserve"> be complex, contentious, and difficult to scrutinise. </w:t>
      </w:r>
      <w:r>
        <w:t>Even</w:t>
      </w:r>
      <w:r w:rsidRPr="00830517">
        <w:t xml:space="preserve"> if relevant data is available to estimate the historical impact of biases and risk premia on breakeven inflation rates, the time-varying nature of many </w:t>
      </w:r>
      <w:r>
        <w:t>of these</w:t>
      </w:r>
      <w:r w:rsidRPr="00830517">
        <w:t xml:space="preserve"> make it difficult to ascertain if the historical magnitude of the biases and risk premia is prevalent in current bond prices.</w:t>
      </w:r>
    </w:p>
    <w:p w:rsidR="00762CF4" w:rsidRDefault="00762CF4" w:rsidP="00762CF4">
      <w:r w:rsidRPr="00830517">
        <w:t>The differences in the approaches to estimating premia and biases in breakeven estimates across studies may be due to limited data availability, but also be because the premia and biases are not yet well understood. For example, D’Amico et al. (2016) conclude that a better understanding of the determinants of liquidity premia and the sources of its variation is a topic for future research.</w:t>
      </w:r>
      <w:r w:rsidRPr="00B00238">
        <w:rPr>
          <w:rStyle w:val="FootnoteReference"/>
        </w:rPr>
        <w:footnoteReference w:id="715"/>
      </w:r>
      <w:r w:rsidRPr="00830517">
        <w:t xml:space="preserve"> Zarazaga (2010) states:</w:t>
      </w:r>
    </w:p>
    <w:p w:rsidR="00762CF4" w:rsidRDefault="00762CF4" w:rsidP="00762CF4">
      <w:pPr>
        <w:pStyle w:val="AERquote"/>
        <w:rPr>
          <w:rStyle w:val="Emphasis"/>
        </w:rPr>
      </w:pPr>
      <w:r w:rsidRPr="00762CF4">
        <w:rPr>
          <w:rStyle w:val="Emphasis"/>
        </w:rPr>
        <w:t>Current understanding of the determinants of government bond prices is too limited to establish with any confidence which fraction of the relatively large variations in inflation expectations indicators based on forward rates [implied from bond prices] can be attributed to actual changes in long-run inflation expectations and which to time-varying risk premia.</w:t>
      </w:r>
    </w:p>
    <w:p w:rsidR="00762CF4" w:rsidRDefault="00762CF4" w:rsidP="00762CF4">
      <w:pPr>
        <w:pStyle w:val="Heading4"/>
      </w:pPr>
      <w:bookmarkStart w:id="95" w:name="_Ref478559870"/>
      <w:r>
        <w:t>Consideration of inflation estimates implied from zero-coupon inflation swaps</w:t>
      </w:r>
      <w:bookmarkEnd w:id="95"/>
    </w:p>
    <w:p w:rsidR="00762CF4" w:rsidRDefault="00762CF4" w:rsidP="00762CF4">
      <w:r w:rsidRPr="000A25E5">
        <w:t xml:space="preserve">In an inflation rate swap, </w:t>
      </w:r>
      <w:r>
        <w:t>counterparties</w:t>
      </w:r>
      <w:r w:rsidRPr="000A25E5">
        <w:t xml:space="preserve"> agree to exchange payments that are linked to </w:t>
      </w:r>
      <w:r>
        <w:t>a</w:t>
      </w:r>
      <w:r w:rsidRPr="000A25E5">
        <w:t xml:space="preserve"> predetermined fixed inflation rate and actual inflation </w:t>
      </w:r>
      <w:r>
        <w:t>outcomes</w:t>
      </w:r>
      <w:r w:rsidRPr="000A25E5">
        <w:t>.</w:t>
      </w:r>
      <w:r>
        <w:t xml:space="preserve"> Counterparty A pays Counterparty B the pre-determined fixed rate (multiplied by an agreed base amount) at the maturity of the swap agreement. Counterparty B pays Counterparty A the actual CPI inflation rate (multiplied by the base amount) that occurred over the term of the swap agreement.</w:t>
      </w:r>
      <w:r>
        <w:rPr>
          <w:rStyle w:val="FootnoteReference"/>
        </w:rPr>
        <w:footnoteReference w:id="716"/>
      </w:r>
    </w:p>
    <w:p w:rsidR="00762CF4" w:rsidRDefault="00762CF4" w:rsidP="00762CF4">
      <w:r w:rsidRPr="00095EF2">
        <w:t>There are a number of inflation-linked swaps that may be traded in Australia. However, only data on zero coupon inflation swaps is currently available for the calculation of swap-implied expected inflation rates.</w:t>
      </w:r>
      <w:r>
        <w:t xml:space="preserve"> </w:t>
      </w:r>
      <w:r w:rsidRPr="00C312C9">
        <w:t>In Australia, the published zero coupon inflation swap rates are available for many more tenors than tenors for indexed CGS</w:t>
      </w:r>
      <w:r>
        <w:t xml:space="preserve"> (used in the calculation of breakeven estimates)</w:t>
      </w:r>
      <w:r w:rsidRPr="00C312C9">
        <w:t>. The published zero coupon inflation swap prices are available for 3 months, 6 months, 9 months and each year up to 10 years, and every 5 years from 10 years to 30 years. While there are many tenors for currently traded nominal CGS, there are only 7 outstanding tenors for indexed CGS up to approximately 24 years.</w:t>
      </w:r>
      <w:r>
        <w:t xml:space="preserve"> On this basis, inflation swaps may provide a better decomposition of market-implied forward inflation rates than the breakeven method. </w:t>
      </w:r>
    </w:p>
    <w:p w:rsidR="00762CF4" w:rsidRDefault="00762CF4" w:rsidP="00762CF4">
      <w:r>
        <w:t xml:space="preserve">However, the ACCC working paper #11 also identified a number of potential biases and premia that may affect swap-implied inflation rates. These potential biases and premia are outlined in </w:t>
      </w:r>
      <w:r>
        <w:fldChar w:fldCharType="begin"/>
      </w:r>
      <w:r>
        <w:instrText xml:space="preserve"> REF _Ref474182634 \h </w:instrText>
      </w:r>
      <w:r>
        <w:fldChar w:fldCharType="separate"/>
      </w:r>
      <w:r w:rsidR="00C6448C">
        <w:t xml:space="preserve">Table </w:t>
      </w:r>
      <w:r w:rsidR="00C6448C">
        <w:rPr>
          <w:noProof/>
        </w:rPr>
        <w:t>3</w:t>
      </w:r>
      <w:r w:rsidR="00C6448C">
        <w:noBreakHyphen/>
      </w:r>
      <w:r w:rsidR="00C6448C">
        <w:rPr>
          <w:noProof/>
        </w:rPr>
        <w:t>22</w:t>
      </w:r>
      <w:r>
        <w:fldChar w:fldCharType="end"/>
      </w:r>
      <w:r>
        <w:t>.</w:t>
      </w:r>
    </w:p>
    <w:p w:rsidR="00762CF4" w:rsidRPr="00DC4DA2" w:rsidRDefault="00762CF4" w:rsidP="00762CF4">
      <w:pPr>
        <w:pStyle w:val="Caption"/>
      </w:pPr>
      <w:bookmarkStart w:id="96" w:name="_Ref474182634"/>
      <w:bookmarkStart w:id="97" w:name="_Ref474340670"/>
      <w:r>
        <w:t xml:space="preserve">Table </w:t>
      </w:r>
      <w:fldSimple w:instr=" STYLEREF 1 \s ">
        <w:r w:rsidR="00C6448C">
          <w:rPr>
            <w:noProof/>
          </w:rPr>
          <w:t>3</w:t>
        </w:r>
      </w:fldSimple>
      <w:r w:rsidR="00882F3D">
        <w:noBreakHyphen/>
      </w:r>
      <w:fldSimple w:instr=" SEQ Table \* ARABIC \s 1 ">
        <w:r w:rsidR="00C6448C">
          <w:rPr>
            <w:noProof/>
          </w:rPr>
          <w:t>22</w:t>
        </w:r>
      </w:fldSimple>
      <w:bookmarkEnd w:id="96"/>
      <w:r w:rsidRPr="00DC4DA2">
        <w:t xml:space="preserve"> </w:t>
      </w:r>
      <w:r>
        <w:t>Issues with</w:t>
      </w:r>
      <w:r w:rsidRPr="00DC4DA2">
        <w:t xml:space="preserve"> </w:t>
      </w:r>
      <w:r>
        <w:t>swap-implied inflation rates</w:t>
      </w:r>
      <w:bookmarkEnd w:id="97"/>
    </w:p>
    <w:tbl>
      <w:tblPr>
        <w:tblStyle w:val="AERTable-Text"/>
        <w:tblW w:w="5000" w:type="pct"/>
        <w:tblLook w:val="04A0" w:firstRow="1" w:lastRow="0" w:firstColumn="1" w:lastColumn="0" w:noHBand="0" w:noVBand="1"/>
      </w:tblPr>
      <w:tblGrid>
        <w:gridCol w:w="1141"/>
        <w:gridCol w:w="7552"/>
      </w:tblGrid>
      <w:tr w:rsidR="00762CF4" w:rsidRPr="0036067E" w:rsidTr="00762CF4">
        <w:trPr>
          <w:cnfStyle w:val="100000000000" w:firstRow="1" w:lastRow="0" w:firstColumn="0" w:lastColumn="0" w:oddVBand="0" w:evenVBand="0" w:oddHBand="0" w:evenHBand="0" w:firstRowFirstColumn="0" w:firstRowLastColumn="0" w:lastRowFirstColumn="0" w:lastRowLastColumn="0"/>
          <w:trHeight w:val="365"/>
        </w:trPr>
        <w:tc>
          <w:tcPr>
            <w:tcW w:w="656" w:type="pct"/>
          </w:tcPr>
          <w:p w:rsidR="00762CF4" w:rsidRPr="00762CF4" w:rsidRDefault="00762CF4" w:rsidP="00762CF4">
            <w:pPr>
              <w:pStyle w:val="Tabletext"/>
            </w:pPr>
            <w:r w:rsidRPr="00DD24C5">
              <w:t>Bias</w:t>
            </w:r>
          </w:p>
        </w:tc>
        <w:tc>
          <w:tcPr>
            <w:tcW w:w="4344" w:type="pct"/>
          </w:tcPr>
          <w:p w:rsidR="00762CF4" w:rsidRPr="00762CF4" w:rsidRDefault="00762CF4" w:rsidP="00762CF4">
            <w:pPr>
              <w:pStyle w:val="Tabletext"/>
            </w:pPr>
            <w:r w:rsidRPr="00DD24C5">
              <w:t xml:space="preserve">Explanation </w:t>
            </w:r>
          </w:p>
        </w:tc>
      </w:tr>
      <w:tr w:rsidR="00762CF4" w:rsidRPr="00BD56F3" w:rsidTr="00762CF4">
        <w:trPr>
          <w:trHeight w:val="558"/>
        </w:trPr>
        <w:tc>
          <w:tcPr>
            <w:tcW w:w="656" w:type="pct"/>
          </w:tcPr>
          <w:p w:rsidR="00762CF4" w:rsidRPr="00762CF4" w:rsidRDefault="00762CF4" w:rsidP="00762CF4">
            <w:pPr>
              <w:pStyle w:val="Tabletext"/>
              <w:rPr>
                <w:rStyle w:val="AERtextsize8"/>
              </w:rPr>
            </w:pPr>
            <w:r w:rsidRPr="00DC4DA2">
              <w:rPr>
                <w:rStyle w:val="AERtextsize8"/>
              </w:rPr>
              <w:t xml:space="preserve">Hedging </w:t>
            </w:r>
            <w:r w:rsidRPr="00762CF4">
              <w:rPr>
                <w:rStyle w:val="AERtextsize8"/>
              </w:rPr>
              <w:t>costs</w:t>
            </w:r>
          </w:p>
        </w:tc>
        <w:tc>
          <w:tcPr>
            <w:tcW w:w="4344" w:type="pct"/>
          </w:tcPr>
          <w:p w:rsidR="00762CF4" w:rsidRPr="00762CF4" w:rsidRDefault="00762CF4" w:rsidP="00762CF4">
            <w:pPr>
              <w:pStyle w:val="Tabletext"/>
              <w:rPr>
                <w:rStyle w:val="AERtextsize8"/>
              </w:rPr>
            </w:pPr>
            <w:r w:rsidRPr="00B17112">
              <w:rPr>
                <w:rStyle w:val="AERtextsize8"/>
              </w:rPr>
              <w:t>Likely to result in potential overestimates of expected inflation.</w:t>
            </w:r>
            <w:r w:rsidRPr="00762CF4">
              <w:rPr>
                <w:rStyle w:val="AERtextsize8"/>
              </w:rPr>
              <w:t xml:space="preserve"> If there is greater demand for the fixed leg (those wishing to pay the fixed and receive the floating) than the floating leg (those wishing to pay the floating and received the fixed), dealers may hedge their short exposure in the swap market by taking offsetting exposures in other markets, such as bond markets.  In taking these positions dealers are likely to incur hedging costs. Hedging costs include all costs associated with opening, maintaining and closing positions in the market. The zero coupon inflation swap rate may be affected by the hedging costs incurred by swap dealers. Swap dealers may pass on these hedging costs in the form of higher inflation swap rate quotes. In this case, hedging costs may drive a wedge between the inflation swap rate and the market-expected inflation rate. The ACCC working paper #11 submits that academic literature suggests that hedging costs may be minor, but there are not many studies to support drawing robust conclusions. As the demand for the fixed and floating leg will change under different market conditions this bias is likely to be time varying.  </w:t>
            </w:r>
          </w:p>
        </w:tc>
      </w:tr>
      <w:tr w:rsidR="00762CF4" w:rsidRPr="00BD56F3" w:rsidTr="00762CF4">
        <w:trPr>
          <w:cnfStyle w:val="000000010000" w:firstRow="0" w:lastRow="0" w:firstColumn="0" w:lastColumn="0" w:oddVBand="0" w:evenVBand="0" w:oddHBand="0" w:evenHBand="1" w:firstRowFirstColumn="0" w:firstRowLastColumn="0" w:lastRowFirstColumn="0" w:lastRowLastColumn="0"/>
          <w:trHeight w:val="546"/>
        </w:trPr>
        <w:tc>
          <w:tcPr>
            <w:tcW w:w="656" w:type="pct"/>
          </w:tcPr>
          <w:p w:rsidR="00762CF4" w:rsidRPr="00762CF4" w:rsidRDefault="00762CF4" w:rsidP="00762CF4">
            <w:pPr>
              <w:pStyle w:val="Tabletext"/>
              <w:rPr>
                <w:rStyle w:val="AERtextsize8"/>
              </w:rPr>
            </w:pPr>
            <w:r w:rsidRPr="00DC4DA2">
              <w:rPr>
                <w:rStyle w:val="AERtextsize8"/>
              </w:rPr>
              <w:t>Inflation risk premium</w:t>
            </w:r>
          </w:p>
        </w:tc>
        <w:tc>
          <w:tcPr>
            <w:tcW w:w="4344" w:type="pct"/>
          </w:tcPr>
          <w:p w:rsidR="00762CF4" w:rsidRPr="00762CF4" w:rsidRDefault="00762CF4" w:rsidP="00762CF4">
            <w:pPr>
              <w:pStyle w:val="Tabletext"/>
              <w:rPr>
                <w:rStyle w:val="AERtextsize8"/>
              </w:rPr>
            </w:pPr>
            <w:r w:rsidRPr="00DC4DA2">
              <w:rPr>
                <w:rStyle w:val="AERtextsize8"/>
              </w:rPr>
              <w:t>Likely to result in potential overestimates of expected inflation.</w:t>
            </w:r>
            <w:r w:rsidRPr="00762CF4">
              <w:rPr>
                <w:rStyle w:val="AERtextsize8"/>
              </w:rPr>
              <w:t xml:space="preserve"> There may be a number of arbitrage and transaction costs associated with hedging the short exposure in the inflation swap market. Hedging may also be imperfect because there may be mismatches in the timing, size and maturity of the cash flows. Hedgers seldom create a perfect hedge because the marginal cost of hedging rises sharply as the risk minimising hedge ratio is approached. The hedger will select a hedge that is less, perhaps substantially less, than the risk-minimising hedge ratio.</w:t>
            </w:r>
            <w:r w:rsidRPr="00762CF4">
              <w:rPr>
                <w:rStyle w:val="FootnoteReference"/>
              </w:rPr>
              <w:footnoteReference w:id="717"/>
            </w:r>
            <w:r w:rsidRPr="00762CF4">
              <w:rPr>
                <w:rStyle w:val="FootnoteReference"/>
              </w:rPr>
              <w:t xml:space="preserve"> </w:t>
            </w:r>
            <w:r w:rsidRPr="00762CF4">
              <w:rPr>
                <w:rStyle w:val="AERtextsize8"/>
              </w:rPr>
              <w:t>As a result, swap dealers short in inflation swaps may still require an inflation risk premium to compensate them for inflation uncertainty that persists due to imperfect hedges, and this premium may be included in the published inflation swap rate. This potential bias is likely to be time-varying when inflation expectations are more uncertain.</w:t>
            </w:r>
          </w:p>
        </w:tc>
      </w:tr>
      <w:tr w:rsidR="00762CF4" w:rsidRPr="00BD56F3" w:rsidTr="00762CF4">
        <w:trPr>
          <w:trHeight w:val="376"/>
        </w:trPr>
        <w:tc>
          <w:tcPr>
            <w:tcW w:w="656" w:type="pct"/>
          </w:tcPr>
          <w:p w:rsidR="00762CF4" w:rsidRPr="00762CF4" w:rsidRDefault="00762CF4" w:rsidP="00762CF4">
            <w:pPr>
              <w:pStyle w:val="Tabletext"/>
              <w:rPr>
                <w:rStyle w:val="AERtextsize8"/>
              </w:rPr>
            </w:pPr>
            <w:r w:rsidRPr="00DC4DA2">
              <w:rPr>
                <w:rStyle w:val="AERtextsize8"/>
              </w:rPr>
              <w:t xml:space="preserve">Inflation indexation lag </w:t>
            </w:r>
          </w:p>
        </w:tc>
        <w:tc>
          <w:tcPr>
            <w:tcW w:w="4344" w:type="pct"/>
          </w:tcPr>
          <w:p w:rsidR="00762CF4" w:rsidRPr="00762CF4" w:rsidRDefault="00762CF4" w:rsidP="00762CF4">
            <w:pPr>
              <w:rPr>
                <w:rStyle w:val="AERtextsize8"/>
              </w:rPr>
            </w:pPr>
            <w:r w:rsidRPr="00470AB2">
              <w:rPr>
                <w:rStyle w:val="AERtextsize8"/>
              </w:rPr>
              <w:t xml:space="preserve">Likely to result in potential underestimates or overestimates - potentially small for 10 year zero coupon inflation swaps. </w:t>
            </w:r>
            <w:r w:rsidRPr="00762CF4">
              <w:rPr>
                <w:rStyle w:val="AERtextsize8"/>
              </w:rPr>
              <w:t>Inflation rate swaps are also subject to indexation lag, which may influence the inflation swap rate such that the raw inflation swap rate may depart from the expected inflation rate. The floating leg of the zero coupon swaps is explicitly linked to the reference CPI date.</w:t>
            </w:r>
            <w:r w:rsidRPr="00762CF4">
              <w:rPr>
                <w:rStyle w:val="FootnoteReference"/>
              </w:rPr>
              <w:footnoteReference w:id="718"/>
            </w:r>
            <w:r w:rsidRPr="00762CF4">
              <w:rPr>
                <w:rStyle w:val="FootnoteReference"/>
              </w:rPr>
              <w:t xml:space="preserve"> </w:t>
            </w:r>
            <w:r w:rsidRPr="00762CF4">
              <w:rPr>
                <w:rStyle w:val="AERtextsize8"/>
              </w:rPr>
              <w:t>The lag on the Australian zero coupon inflation swap is moderate. Bloomberg and Zine-eddine (2014) identify the lag as 3 months.</w:t>
            </w:r>
            <w:r w:rsidRPr="00762CF4">
              <w:rPr>
                <w:rStyle w:val="FootnoteReference"/>
              </w:rPr>
              <w:footnoteReference w:id="719"/>
            </w:r>
            <w:r w:rsidRPr="00762CF4">
              <w:rPr>
                <w:rStyle w:val="AERtextsize8"/>
              </w:rPr>
              <w:t xml:space="preserve"> Because the swap inflation rates are not adjusted for indexation lag, the swap contract is referenced to inflation for a period that starts before the date on which the contract is priced and ends before the contract matures. Therefore, the estimated forward inflation curve from inflation swaps will not entirely capture forward inflation rates, but also include some historical inflation determined by the extent of the indexation lag.</w:t>
            </w:r>
            <w:r w:rsidRPr="00762CF4">
              <w:rPr>
                <w:rStyle w:val="FootnoteReference"/>
              </w:rPr>
              <w:footnoteReference w:id="720"/>
            </w:r>
            <w:r w:rsidRPr="00762CF4">
              <w:rPr>
                <w:rStyle w:val="AERtextsize8"/>
              </w:rPr>
              <w:t>This bias is potentially small due to the short lag on indexed CGS and is not likely to be time varying.</w:t>
            </w:r>
          </w:p>
        </w:tc>
      </w:tr>
      <w:tr w:rsidR="00762CF4" w:rsidRPr="00BD56F3" w:rsidTr="00762CF4">
        <w:trPr>
          <w:cnfStyle w:val="000000010000" w:firstRow="0" w:lastRow="0" w:firstColumn="0" w:lastColumn="0" w:oddVBand="0" w:evenVBand="0" w:oddHBand="0" w:evenHBand="1" w:firstRowFirstColumn="0" w:firstRowLastColumn="0" w:lastRowFirstColumn="0" w:lastRowLastColumn="0"/>
          <w:trHeight w:val="365"/>
        </w:trPr>
        <w:tc>
          <w:tcPr>
            <w:tcW w:w="656" w:type="pct"/>
          </w:tcPr>
          <w:p w:rsidR="00762CF4" w:rsidRPr="00762CF4" w:rsidRDefault="00762CF4" w:rsidP="00762CF4">
            <w:pPr>
              <w:pStyle w:val="Tabletext"/>
              <w:rPr>
                <w:rStyle w:val="AERtextsize8"/>
              </w:rPr>
            </w:pPr>
            <w:r w:rsidRPr="00DC4DA2">
              <w:rPr>
                <w:rStyle w:val="AERtextsize8"/>
              </w:rPr>
              <w:t>Counterparty default risk</w:t>
            </w:r>
          </w:p>
        </w:tc>
        <w:tc>
          <w:tcPr>
            <w:tcW w:w="4344" w:type="pct"/>
          </w:tcPr>
          <w:p w:rsidR="00762CF4" w:rsidRPr="00762CF4" w:rsidRDefault="00762CF4" w:rsidP="00762CF4">
            <w:pPr>
              <w:pStyle w:val="Tabletext"/>
              <w:rPr>
                <w:rStyle w:val="AERtextsize8"/>
              </w:rPr>
            </w:pPr>
            <w:r w:rsidRPr="00DC4DA2">
              <w:rPr>
                <w:rStyle w:val="AERtextsize8"/>
              </w:rPr>
              <w:t>The risk associated with an inflation swap is that the counterparty will fail to fulfil its obligations outlined in the swap agreement. This default risk is known as counterparty risk and as such, default risk premia may be included in inflation swap rates. While</w:t>
            </w:r>
            <w:r w:rsidRPr="00762CF4">
              <w:rPr>
                <w:rStyle w:val="AERtextsize8"/>
              </w:rPr>
              <w:t xml:space="preserve"> the presence of this risk premia is a relatively well-known, the effect of counterparty default risk on zero coupon inflation swap rates may not be significant. This premia could result in overestimates of expected inflation and is not likely to be time-varying.</w:t>
            </w:r>
          </w:p>
        </w:tc>
      </w:tr>
      <w:tr w:rsidR="00762CF4" w:rsidRPr="00BD56F3" w:rsidTr="00762CF4">
        <w:trPr>
          <w:trHeight w:val="389"/>
        </w:trPr>
        <w:tc>
          <w:tcPr>
            <w:tcW w:w="656" w:type="pct"/>
          </w:tcPr>
          <w:p w:rsidR="00762CF4" w:rsidRPr="00762CF4" w:rsidRDefault="00762CF4" w:rsidP="00762CF4">
            <w:pPr>
              <w:pStyle w:val="Tabletext"/>
              <w:rPr>
                <w:rStyle w:val="AERtextsize8"/>
              </w:rPr>
            </w:pPr>
            <w:r w:rsidRPr="00DC4DA2">
              <w:rPr>
                <w:rStyle w:val="AERtextsize8"/>
              </w:rPr>
              <w:t>Liquidity premia</w:t>
            </w:r>
          </w:p>
        </w:tc>
        <w:tc>
          <w:tcPr>
            <w:tcW w:w="4344" w:type="pct"/>
          </w:tcPr>
          <w:p w:rsidR="00762CF4" w:rsidRPr="00762CF4" w:rsidRDefault="00762CF4" w:rsidP="00762CF4">
            <w:pPr>
              <w:pStyle w:val="Tabletext"/>
              <w:rPr>
                <w:rStyle w:val="AERtextsize8"/>
              </w:rPr>
            </w:pPr>
            <w:r w:rsidRPr="00DC4DA2">
              <w:rPr>
                <w:rStyle w:val="AERtextsize8"/>
              </w:rPr>
              <w:t>Likely to result in potential overestimates of expected inflation.</w:t>
            </w:r>
            <w:r w:rsidRPr="00762CF4">
              <w:rPr>
                <w:rStyle w:val="AERtextsize8"/>
              </w:rPr>
              <w:t xml:space="preserve"> Zero coupon inflation swap rates may also contain liquidity premia, which may drive a wedge between the raw inflation swap rate and expected inflation rate. A-priori liquidity premia may be near zero since swaps can be created as required and there is no supply limitation. Observations of Australian data suggest that this liquidity premia may be negligible.</w:t>
            </w:r>
            <w:r w:rsidRPr="00762CF4">
              <w:rPr>
                <w:rStyle w:val="FootnoteReference"/>
              </w:rPr>
              <w:footnoteReference w:id="721"/>
            </w:r>
            <w:r w:rsidRPr="00762CF4">
              <w:rPr>
                <w:rStyle w:val="AERtextsize8"/>
              </w:rPr>
              <w:t xml:space="preserve"> If the inflation swap method includes a liquidity premium it is likely to produce overestimates of the expected inflation rate.  Furthermore, the liquidity premium is likely to be greater during periods of uncertainty when investors’ appreciation of liquidity risk may have changed.</w:t>
            </w:r>
          </w:p>
        </w:tc>
      </w:tr>
    </w:tbl>
    <w:p w:rsidR="00762CF4" w:rsidRPr="003F16D8" w:rsidRDefault="00762CF4" w:rsidP="00762CF4">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68 - 69. </w:t>
      </w:r>
      <w:r w:rsidRPr="003F16D8">
        <w:rPr>
          <w:rStyle w:val="AERtextsize8"/>
        </w:rPr>
        <w:t xml:space="preserve"> </w:t>
      </w:r>
    </w:p>
    <w:p w:rsidR="00762CF4" w:rsidRDefault="00762CF4" w:rsidP="00762CF4">
      <w:r w:rsidRPr="00830517">
        <w:t xml:space="preserve">Despite these potential biases, </w:t>
      </w:r>
      <w:r>
        <w:t xml:space="preserve">the </w:t>
      </w:r>
      <w:r w:rsidRPr="00830517">
        <w:t xml:space="preserve">ACCC </w:t>
      </w:r>
      <w:r>
        <w:t>w</w:t>
      </w:r>
      <w:r w:rsidRPr="00830517">
        <w:t xml:space="preserve">orking </w:t>
      </w:r>
      <w:r>
        <w:t>p</w:t>
      </w:r>
      <w:r w:rsidRPr="00830517">
        <w:t>aper #</w:t>
      </w:r>
      <w:r>
        <w:t>11</w:t>
      </w:r>
      <w:r w:rsidRPr="00830517">
        <w:t xml:space="preserve"> notes a number of studies that suggest that inflation swaps may provide better estimates of expected inflation than the breakeven method.</w:t>
      </w:r>
      <w:r w:rsidRPr="00272C0C">
        <w:rPr>
          <w:rStyle w:val="FootnoteReference"/>
        </w:rPr>
        <w:footnoteReference w:id="722"/>
      </w:r>
    </w:p>
    <w:p w:rsidR="00762CF4" w:rsidRDefault="00762CF4" w:rsidP="005A6140"/>
    <w:p w:rsidR="00762CF4" w:rsidRDefault="00762CF4" w:rsidP="005A6140"/>
    <w:p w:rsidR="005A6140" w:rsidRDefault="005A6140" w:rsidP="005A6140"/>
    <w:p w:rsidR="005A6140" w:rsidRDefault="005A6140"/>
    <w:p w:rsidR="005A6140" w:rsidRDefault="005A6140"/>
    <w:p w:rsidR="005A6140" w:rsidRDefault="005A6140"/>
    <w:p w:rsidR="004D6A10" w:rsidRDefault="004D6A10" w:rsidP="00A164C0"/>
    <w:p w:rsidR="000A0378" w:rsidRDefault="000A0378" w:rsidP="00CC7A1C">
      <w:pPr>
        <w:numPr>
          <w:ilvl w:val="0"/>
          <w:numId w:val="24"/>
        </w:numPr>
        <w:rPr>
          <w:rStyle w:val="AERbody"/>
          <w:rFonts w:cs="Times New Roman"/>
        </w:rPr>
      </w:pPr>
      <w:r>
        <w:rPr>
          <w:rStyle w:val="AERbody"/>
        </w:rPr>
        <w:br w:type="page"/>
      </w:r>
    </w:p>
    <w:p w:rsidR="000A0378" w:rsidRDefault="000A0378" w:rsidP="000A0378">
      <w:pPr>
        <w:pStyle w:val="Heading7"/>
      </w:pPr>
      <w:bookmarkStart w:id="98" w:name="_Ref448871343"/>
      <w:bookmarkStart w:id="99" w:name="_Toc452629083"/>
      <w:bookmarkStart w:id="100" w:name="_Toc456686708"/>
      <w:bookmarkStart w:id="101" w:name="_Toc481057061"/>
      <w:r>
        <w:t>Our foundation model approach</w:t>
      </w:r>
      <w:bookmarkEnd w:id="98"/>
      <w:bookmarkEnd w:id="99"/>
      <w:bookmarkEnd w:id="100"/>
      <w:bookmarkEnd w:id="101"/>
    </w:p>
    <w:p w:rsidR="000A0378" w:rsidRDefault="000A0378" w:rsidP="000A0378">
      <w:r>
        <w:t xml:space="preserve">We determined the allowed return on equity by applying </w:t>
      </w:r>
      <w:r w:rsidR="00982130">
        <w:t>the Guideline</w:t>
      </w:r>
      <w:r>
        <w:t xml:space="preserve"> foundation model approach. The foundation model approach was developed after extensive consultation during the formation of our Rate of Return Guideline in December 2013.</w:t>
      </w:r>
    </w:p>
    <w:p w:rsidR="00EC3862" w:rsidRDefault="00EC3862" w:rsidP="00EC3862">
      <w:r>
        <w:t>We note that both TasNetworks and Powerlink have fully adopted the Guideline foundation model approach for estimating the return on equity.</w:t>
      </w:r>
    </w:p>
    <w:p w:rsidR="00D6679E" w:rsidRDefault="00FE51DA" w:rsidP="000A0378">
      <w:r>
        <w:t xml:space="preserve">We note </w:t>
      </w:r>
      <w:r w:rsidR="00D6679E">
        <w:t xml:space="preserve">AusNet Services </w:t>
      </w:r>
      <w:r>
        <w:t xml:space="preserve">have </w:t>
      </w:r>
      <w:r w:rsidR="00D6679E">
        <w:t xml:space="preserve">proposed to apply </w:t>
      </w:r>
      <w:r>
        <w:t>'</w:t>
      </w:r>
      <w:r w:rsidR="00D6679E">
        <w:t>the foundation model approach and estimates the return on equity using the Sharpe-Lintner CAPM</w:t>
      </w:r>
      <w:r>
        <w:t>'</w:t>
      </w:r>
      <w:r w:rsidR="00D6679E">
        <w:t>.</w:t>
      </w:r>
      <w:r w:rsidR="000A0378">
        <w:rPr>
          <w:rStyle w:val="FootnoteReference"/>
        </w:rPr>
        <w:footnoteReference w:id="723"/>
      </w:r>
      <w:r w:rsidR="000A0378">
        <w:t xml:space="preserve"> </w:t>
      </w:r>
    </w:p>
    <w:p w:rsidR="000A0378" w:rsidRDefault="00D6679E" w:rsidP="000A0378">
      <w:r>
        <w:t>However, we consider that AusNet Services</w:t>
      </w:r>
      <w:r w:rsidR="00FE51DA">
        <w:t xml:space="preserve"> are not fully appreciative of the features of the foundation model approach </w:t>
      </w:r>
      <w:r w:rsidR="000A0378">
        <w:t>and provide the following for clarification:</w:t>
      </w:r>
    </w:p>
    <w:p w:rsidR="000A0378" w:rsidRDefault="000A0378" w:rsidP="000A0378">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724"/>
      </w:r>
    </w:p>
    <w:p w:rsidR="000A0378" w:rsidRPr="0081065F" w:rsidRDefault="000A0378" w:rsidP="000A0378">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0A0378" w:rsidRDefault="000A0378" w:rsidP="000A0378">
      <w:pPr>
        <w:pStyle w:val="AERbulletlistfirststyle"/>
      </w:pPr>
      <w:r>
        <w:t>The foundation model approach has six steps, but this does not mean that material considered in earlier steps are given more weight than material considered in later steps.</w:t>
      </w:r>
    </w:p>
    <w:p w:rsidR="000A0378" w:rsidRDefault="000A0378" w:rsidP="000A0378">
      <w:pPr>
        <w:pStyle w:val="AERbulletlistfirststyle"/>
      </w:pPr>
      <w:r>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0A0378" w:rsidRDefault="000A0378" w:rsidP="000A0378">
      <w:pPr>
        <w:pStyle w:val="AERbulletlistfirststyle"/>
      </w:pPr>
      <w:r>
        <w:t>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AusNet</w:t>
      </w:r>
      <w:r w:rsidR="006C4D48">
        <w:t xml:space="preserve"> Services</w:t>
      </w:r>
      <w:r>
        <w:t>' regulated services.</w:t>
      </w:r>
    </w:p>
    <w:p w:rsidR="000A0378" w:rsidRPr="003D1061" w:rsidRDefault="000A0378" w:rsidP="00CC7A1C">
      <w:pPr>
        <w:numPr>
          <w:ilvl w:val="0"/>
          <w:numId w:val="24"/>
        </w:numPr>
      </w:pPr>
      <w:r>
        <w:t>Our approach was endorsed by the Tribunal, which stated recently:</w:t>
      </w:r>
    </w:p>
    <w:p w:rsidR="000A0378" w:rsidRPr="003D1061" w:rsidRDefault="000A0378" w:rsidP="000A0378">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0A0378" w:rsidRPr="003D1061" w:rsidRDefault="000A0378" w:rsidP="000A0378">
      <w:pPr>
        <w:pStyle w:val="AERquote"/>
      </w:pPr>
      <w:r w:rsidRPr="003D1061">
        <w:t xml:space="preserve">(a) the RoR Objective has primacy in any estimation of the rate of return on equity (pp 18, 36 and 38-39); </w:t>
      </w:r>
    </w:p>
    <w:p w:rsidR="000A0378" w:rsidRPr="003D1061" w:rsidRDefault="000A0378" w:rsidP="000A0378">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0A0378" w:rsidRPr="003D1061" w:rsidRDefault="000A0378" w:rsidP="000A0378">
      <w:pPr>
        <w:pStyle w:val="AERquote"/>
      </w:pPr>
      <w:r w:rsidRPr="003D1061">
        <w:t xml:space="preserve">(c) the AER must actively turn its mind to the factors listed, but it is up to the regulator to determine whether and, if so, how the factors should influence its decision (if at all) (pp 36-37); </w:t>
      </w:r>
    </w:p>
    <w:p w:rsidR="000A0378" w:rsidRPr="003D1061" w:rsidRDefault="000A0378" w:rsidP="000A0378">
      <w:pPr>
        <w:pStyle w:val="AERquote"/>
      </w:pPr>
      <w:r w:rsidRPr="003D1061">
        <w:t xml:space="preserve">(d) it is important that the AER be given flexibility to adopt an approach to determining the rate of return that is appropriate to market conditions (p 44); </w:t>
      </w:r>
    </w:p>
    <w:p w:rsidR="000A0378" w:rsidRPr="003D1061" w:rsidRDefault="000A0378" w:rsidP="000A0378">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0A0378" w:rsidRPr="003D1061" w:rsidRDefault="000A0378" w:rsidP="000A0378">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0A0378" w:rsidRPr="003D1061" w:rsidRDefault="000A0378" w:rsidP="000A0378">
      <w:pPr>
        <w:pStyle w:val="AERquote"/>
      </w:pPr>
      <w:r w:rsidRPr="003D1061">
        <w:t>(g) the RoR 2013 Guideline should include details as to the financial models that the AER would take into account in making a determination, and why it has chosen those models over other models (p 70);</w:t>
      </w:r>
    </w:p>
    <w:p w:rsidR="000A0378" w:rsidRPr="003D1061" w:rsidRDefault="000A0378" w:rsidP="000A0378">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0A0378" w:rsidRDefault="000A0378" w:rsidP="000A0378">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0A0378" w:rsidRPr="002629C5" w:rsidRDefault="000A0378" w:rsidP="000A0378">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725"/>
      </w:r>
      <w:r>
        <w:t xml:space="preserve"> We recognise that there are potential weaknesses in the different models and estimation methods.  Nevertheless, we are charged with deciding from the available evidence, a return on equity that we consider contributes to the rate of return objective. The Australian Competition Tribunal has described the way in which the AER should carry out this task as follows:</w:t>
      </w:r>
      <w:r>
        <w:rPr>
          <w:rStyle w:val="FootnoteReference"/>
        </w:rPr>
        <w:footnoteReference w:id="726"/>
      </w:r>
    </w:p>
    <w:p w:rsidR="000A0378" w:rsidRPr="002629C5" w:rsidRDefault="000A0378" w:rsidP="000A0378">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0A0378" w:rsidRPr="002629C5" w:rsidRDefault="000A0378" w:rsidP="000A0378">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0A0378" w:rsidRPr="002629C5" w:rsidRDefault="000A0378" w:rsidP="000A0378">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0A0378" w:rsidRPr="00C241EE" w:rsidRDefault="000A0378" w:rsidP="000A0378">
      <w:r>
        <w:t>This means that when we consider conflicting evidence, we must come to a conclusion that we consider fits the regulatory requirements.  This has been recently emphasised again by the Tribunal:</w:t>
      </w:r>
      <w:r>
        <w:rPr>
          <w:rStyle w:val="FootnoteReference"/>
        </w:rPr>
        <w:footnoteReference w:id="727"/>
      </w:r>
    </w:p>
    <w:p w:rsidR="000A0378" w:rsidRPr="00CA3F61" w:rsidRDefault="000A0378" w:rsidP="000A0378">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B047E3" w:rsidRPr="00E5005D" w:rsidRDefault="00B047E3" w:rsidP="00CC7A1C">
      <w:pPr>
        <w:numPr>
          <w:ilvl w:val="0"/>
          <w:numId w:val="24"/>
        </w:numPr>
      </w:pPr>
      <w:r w:rsidRPr="00E5005D">
        <w:t xml:space="preserve"> </w:t>
      </w:r>
    </w:p>
    <w:p w:rsidR="00BB18D4" w:rsidRPr="00BB18D4" w:rsidRDefault="00BB18D4" w:rsidP="00BB18D4">
      <w:pPr>
        <w:pStyle w:val="Heading7"/>
      </w:pPr>
      <w:bookmarkStart w:id="102" w:name="_Ref451685041"/>
      <w:bookmarkStart w:id="103" w:name="_Toc452629084"/>
      <w:bookmarkStart w:id="104" w:name="_Toc456686709"/>
      <w:bookmarkStart w:id="105" w:name="_Toc481057062"/>
      <w:bookmarkStart w:id="106" w:name="_Ref451414893"/>
      <w:bookmarkStart w:id="107" w:name="_Ref451414916"/>
      <w:bookmarkStart w:id="108" w:name="_Ref451415098"/>
      <w:bookmarkStart w:id="109" w:name="_Ref451415590"/>
      <w:bookmarkStart w:id="110" w:name="_Ref451415625"/>
      <w:bookmarkStart w:id="111" w:name="_Ref451415763"/>
      <w:bookmarkStart w:id="112" w:name="_Ref451415800"/>
      <w:bookmarkStart w:id="113" w:name="_Ref451415926"/>
      <w:bookmarkStart w:id="114" w:name="_Ref451416598"/>
      <w:bookmarkStart w:id="115" w:name="_Ref451416623"/>
      <w:bookmarkStart w:id="116" w:name="_Ref451416644"/>
      <w:bookmarkStart w:id="117" w:name="_Toc451498843"/>
      <w:r w:rsidRPr="00BB18D4">
        <w:t>Equity models</w:t>
      </w:r>
      <w:bookmarkEnd w:id="102"/>
      <w:bookmarkEnd w:id="103"/>
      <w:bookmarkEnd w:id="104"/>
      <w:bookmarkEnd w:id="105"/>
    </w:p>
    <w:p w:rsidR="00A210B3" w:rsidRPr="001562D4" w:rsidRDefault="00A210B3" w:rsidP="00CC7A1C">
      <w:pPr>
        <w:numPr>
          <w:ilvl w:val="0"/>
          <w:numId w:val="24"/>
        </w:numPr>
      </w:pPr>
      <w:bookmarkStart w:id="118" w:name="_Toc443923187"/>
      <w:bookmarkStart w:id="119" w:name="_Ref445849366"/>
      <w:bookmarkStart w:id="120" w:name="_Ref451691679"/>
      <w:bookmarkStart w:id="121" w:name="_Ref451691691"/>
      <w:bookmarkStart w:id="122" w:name="_Toc451943786"/>
      <w:bookmarkStart w:id="123" w:name="_Toc456686710"/>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A210B3" w:rsidRPr="001562D4" w:rsidRDefault="00A210B3" w:rsidP="00CC7A1C">
      <w:pPr>
        <w:pStyle w:val="ListNumber"/>
        <w:numPr>
          <w:ilvl w:val="1"/>
          <w:numId w:val="24"/>
        </w:numPr>
      </w:pPr>
      <w:r w:rsidRPr="001562D4">
        <w:t>The Sharp</w:t>
      </w:r>
      <w:r>
        <w:t>e–</w:t>
      </w:r>
      <w:r w:rsidRPr="001562D4">
        <w:t>Lintn</w:t>
      </w:r>
      <w:r>
        <w:t>er Capital Asset Pricing Model (Sharpe-Lintner CAPM)</w:t>
      </w:r>
    </w:p>
    <w:p w:rsidR="00A210B3" w:rsidRPr="001562D4" w:rsidRDefault="00A210B3" w:rsidP="00CC7A1C">
      <w:pPr>
        <w:pStyle w:val="ListNumber"/>
        <w:numPr>
          <w:ilvl w:val="1"/>
          <w:numId w:val="24"/>
        </w:numPr>
      </w:pPr>
      <w:r w:rsidRPr="001562D4">
        <w:t>The Black Capital Asset Pricing model (Black CAPM)</w:t>
      </w:r>
    </w:p>
    <w:p w:rsidR="00A210B3" w:rsidRPr="001562D4" w:rsidRDefault="00A210B3" w:rsidP="00CC7A1C">
      <w:pPr>
        <w:pStyle w:val="ListNumber"/>
        <w:numPr>
          <w:ilvl w:val="1"/>
          <w:numId w:val="24"/>
        </w:numPr>
      </w:pPr>
      <w:r w:rsidRPr="001562D4">
        <w:t xml:space="preserve">The </w:t>
      </w:r>
      <w:r>
        <w:t>Fama French Three Factor Model</w:t>
      </w:r>
    </w:p>
    <w:p w:rsidR="00A210B3" w:rsidRPr="001562D4" w:rsidRDefault="00A210B3" w:rsidP="00CC7A1C">
      <w:pPr>
        <w:pStyle w:val="ListNumber"/>
        <w:numPr>
          <w:ilvl w:val="1"/>
          <w:numId w:val="24"/>
        </w:numPr>
      </w:pPr>
      <w:r>
        <w:t>The Dividend Growth Model</w:t>
      </w:r>
    </w:p>
    <w:p w:rsidR="00A210B3" w:rsidRDefault="00A210B3" w:rsidP="00CC7A1C">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A210B3" w:rsidRDefault="00A210B3" w:rsidP="00CC7A1C">
      <w:pPr>
        <w:numPr>
          <w:ilvl w:val="0"/>
          <w:numId w:val="24"/>
        </w:numPr>
      </w:pPr>
      <w:r>
        <w:t>The current service providers</w:t>
      </w:r>
      <w:r w:rsidR="001537E5">
        <w:t xml:space="preserve"> including TasNetworks</w:t>
      </w:r>
      <w:r>
        <w:t xml:space="preserve"> proposed using the Sharpe-Lintner CAPM to estimate the return on equity.</w:t>
      </w:r>
      <w:r>
        <w:rPr>
          <w:rStyle w:val="FootnoteReference"/>
        </w:rPr>
        <w:footnoteReference w:id="728"/>
      </w:r>
      <w:r>
        <w:t xml:space="preserve"> However, AusNet Services submitted that </w:t>
      </w:r>
      <w:r w:rsidR="00C0601D">
        <w:t xml:space="preserve">a broader and deeper consideration of other models </w:t>
      </w:r>
      <w:r>
        <w:t>should be considered.</w:t>
      </w:r>
      <w:r>
        <w:rPr>
          <w:rStyle w:val="FootnoteReference"/>
        </w:rPr>
        <w:footnoteReference w:id="729"/>
      </w:r>
    </w:p>
    <w:p w:rsidR="00A210B3" w:rsidRPr="001562D4" w:rsidRDefault="00A210B3" w:rsidP="00CC7A1C">
      <w:pPr>
        <w:numPr>
          <w:ilvl w:val="0"/>
          <w:numId w:val="24"/>
        </w:numPr>
      </w:pPr>
      <w:r>
        <w:t>In previous regulatory processes, 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730"/>
      </w:r>
      <w:r>
        <w:t xml:space="preserve"> </w:t>
      </w:r>
    </w:p>
    <w:p w:rsidR="00A210B3" w:rsidRPr="0010250E" w:rsidRDefault="00A210B3" w:rsidP="00A210B3">
      <w:pPr>
        <w:pStyle w:val="AERbulletlistfirststyle"/>
      </w:pPr>
      <w:r>
        <w:t>e</w:t>
      </w:r>
      <w:r w:rsidRPr="0010250E">
        <w:t>stimating their proposed return on equity as part of a multi-model approach, or to inform input parameters into the Sharpe-Lintner CAPM, and/or</w:t>
      </w:r>
    </w:p>
    <w:p w:rsidR="00A210B3" w:rsidRPr="0010250E" w:rsidRDefault="00A210B3" w:rsidP="00A210B3">
      <w:pPr>
        <w:pStyle w:val="AERbulletlistfirststyle"/>
      </w:pPr>
      <w:r>
        <w:t xml:space="preserve">providing </w:t>
      </w:r>
      <w:r w:rsidRPr="0010250E">
        <w:t>evidentiary support that their estimate of the return on equity is reasonable and will contribute to the achievement of the ARORO.</w:t>
      </w:r>
    </w:p>
    <w:p w:rsidR="00A210B3" w:rsidRDefault="00A210B3" w:rsidP="00CC7A1C">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BB18D4" w:rsidRDefault="00BB18D4" w:rsidP="00BB18D4">
      <w:pPr>
        <w:pStyle w:val="Heading8"/>
      </w:pPr>
      <w:bookmarkStart w:id="124" w:name="_Toc481057063"/>
      <w:r w:rsidRPr="00BB18D4">
        <w:t>Sharpe-Lintner CAPM</w:t>
      </w:r>
      <w:bookmarkEnd w:id="118"/>
      <w:bookmarkEnd w:id="119"/>
      <w:bookmarkEnd w:id="120"/>
      <w:bookmarkEnd w:id="121"/>
      <w:bookmarkEnd w:id="122"/>
      <w:bookmarkEnd w:id="123"/>
      <w:bookmarkEnd w:id="124"/>
    </w:p>
    <w:p w:rsidR="00A210B3" w:rsidRPr="001562D4" w:rsidRDefault="00A210B3" w:rsidP="00CC7A1C">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731"/>
      </w:r>
    </w:p>
    <w:p w:rsidR="00A210B3" w:rsidRDefault="00A210B3" w:rsidP="00CC7A1C">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732"/>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A210B3" w:rsidRPr="001562D4" w:rsidRDefault="00A210B3" w:rsidP="00CC7A1C">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733"/>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734"/>
      </w:r>
    </w:p>
    <w:p w:rsidR="00A210B3" w:rsidRPr="001562D4" w:rsidRDefault="00A210B3" w:rsidP="00CC7A1C">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735"/>
      </w:r>
      <w:r>
        <w:t xml:space="preserve"> We consider the model:</w:t>
      </w:r>
    </w:p>
    <w:p w:rsidR="00A210B3" w:rsidRPr="0010250E" w:rsidRDefault="00A210B3" w:rsidP="00A210B3">
      <w:pPr>
        <w:pStyle w:val="AERbulletlistfirststyle"/>
      </w:pPr>
      <w:r w:rsidRPr="001562D4">
        <w:t>is reflective of economic and finance pri</w:t>
      </w:r>
      <w:r w:rsidRPr="0010250E">
        <w:t>nciples and market information</w:t>
      </w:r>
    </w:p>
    <w:p w:rsidR="00A210B3" w:rsidRPr="0010250E" w:rsidRDefault="00A210B3" w:rsidP="00A210B3">
      <w:pPr>
        <w:pStyle w:val="AERbulletlistfirststyle"/>
      </w:pPr>
      <w:r w:rsidRPr="001562D4">
        <w:t xml:space="preserve">is fit for purpose as it was developed for </w:t>
      </w:r>
      <w:r w:rsidRPr="0010250E">
        <w:t>estimating the cost of capital</w:t>
      </w:r>
    </w:p>
    <w:p w:rsidR="00A210B3" w:rsidRPr="0010250E" w:rsidRDefault="00A210B3" w:rsidP="00A210B3">
      <w:pPr>
        <w:pStyle w:val="AERbulletlistfirststyle"/>
      </w:pPr>
      <w:r w:rsidRPr="001562D4">
        <w:t>can be implemented in accordance with good pr</w:t>
      </w:r>
      <w:r w:rsidRPr="0010250E">
        <w:t>actice</w:t>
      </w:r>
    </w:p>
    <w:p w:rsidR="00A210B3" w:rsidRPr="0010250E" w:rsidRDefault="00A210B3" w:rsidP="00A210B3">
      <w:pPr>
        <w:pStyle w:val="AERbulletlistfirststyle"/>
      </w:pPr>
      <w:r w:rsidRPr="001562D4">
        <w:t>is not unduly sensitive to errors in</w:t>
      </w:r>
      <w:r w:rsidRPr="0010250E">
        <w:t xml:space="preserve"> inputs or arbitrary filtering</w:t>
      </w:r>
    </w:p>
    <w:p w:rsidR="00A210B3" w:rsidRPr="0010250E" w:rsidRDefault="00A210B3" w:rsidP="00A210B3">
      <w:pPr>
        <w:pStyle w:val="AERbulletlistfirststyle"/>
      </w:pPr>
      <w:r w:rsidRPr="001562D4">
        <w:t xml:space="preserve">uses input data that is credible and verifiable, comparable and </w:t>
      </w:r>
      <w:r w:rsidRPr="0010250E">
        <w:t>timely and clearly sourced</w:t>
      </w:r>
    </w:p>
    <w:p w:rsidR="00A210B3" w:rsidRPr="0010250E" w:rsidRDefault="00A210B3" w:rsidP="00A210B3">
      <w:pPr>
        <w:pStyle w:val="AERbulletlistfirststyle"/>
      </w:pPr>
      <w:r w:rsidRPr="001562D4">
        <w:t>is sufficiently flexible to allow for changing market conditions and new information to be reflected in regul</w:t>
      </w:r>
      <w:r w:rsidRPr="0010250E">
        <w:t>atory outcomes, as appropriate.</w:t>
      </w:r>
    </w:p>
    <w:p w:rsidR="00A210B3" w:rsidRPr="006C4D93" w:rsidRDefault="00A210B3" w:rsidP="00A210B3">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736"/>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A210B3" w:rsidRPr="001562D4" w:rsidRDefault="00A210B3" w:rsidP="00CC7A1C">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737"/>
      </w:r>
    </w:p>
    <w:p w:rsidR="00A210B3" w:rsidRPr="0010250E" w:rsidRDefault="00A210B3" w:rsidP="00A210B3">
      <w:pPr>
        <w:pStyle w:val="AERbulletlistfirststyle"/>
      </w:pPr>
      <w:r>
        <w:t>A</w:t>
      </w:r>
      <w:r w:rsidRPr="0010250E">
        <w:t>s the foundation model it, 'provides a starting point, which is firmly based in a mature and well accepted theoretical and empirical literature'.</w:t>
      </w:r>
    </w:p>
    <w:p w:rsidR="00A210B3" w:rsidRPr="0010250E" w:rsidRDefault="00A210B3" w:rsidP="00A210B3">
      <w:pPr>
        <w:pStyle w:val="AERbulletlistfirststyle"/>
      </w:pPr>
      <w:r w:rsidRPr="001562D4">
        <w:t>Its efficacy comes from surviving the test of time</w:t>
      </w:r>
      <w:r w:rsidRPr="0010250E">
        <w:t>. They noted the 'model has been around for in excess of half a century and has become the standard workhorse model of modern finance both in theory and practice'.</w:t>
      </w:r>
    </w:p>
    <w:p w:rsidR="00A210B3" w:rsidRPr="0010250E" w:rsidRDefault="00A210B3" w:rsidP="00A210B3">
      <w:pPr>
        <w:pStyle w:val="AERbulletlistfirststyle"/>
      </w:pPr>
      <w:r>
        <w:t>Its '</w:t>
      </w:r>
      <w:r w:rsidRPr="0010250E">
        <w:t>place as the foundation model is justifiable in terms of its simple theoretical underpinnings and relative ease of application'.</w:t>
      </w:r>
    </w:p>
    <w:p w:rsidR="00A210B3" w:rsidRPr="0010250E" w:rsidRDefault="00A210B3" w:rsidP="00A210B3">
      <w:pPr>
        <w:pStyle w:val="AERbulletlistfirststyle"/>
      </w:pPr>
      <w:r>
        <w:t>T</w:t>
      </w:r>
      <w:r w:rsidRPr="0010250E">
        <w:t>he majority of international regulators primarily base their decision on the Sharpe-Lintner CAPM framework.</w:t>
      </w:r>
    </w:p>
    <w:p w:rsidR="00A210B3" w:rsidRPr="001562D4" w:rsidRDefault="00A210B3" w:rsidP="00CC7A1C">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738"/>
      </w:r>
    </w:p>
    <w:p w:rsidR="00A210B3" w:rsidRPr="0010250E" w:rsidRDefault="00A210B3" w:rsidP="00A210B3">
      <w:pPr>
        <w:pStyle w:val="AERbulletlistfirststyle"/>
      </w:pPr>
      <w:r w:rsidRPr="001562D4">
        <w:t xml:space="preserve">lead to a reasonable estimate of the </w:t>
      </w:r>
      <w:r w:rsidRPr="0010250E">
        <w:t>return on equity</w:t>
      </w:r>
    </w:p>
    <w:p w:rsidR="00A210B3" w:rsidRPr="0010250E" w:rsidRDefault="00A210B3" w:rsidP="00A210B3">
      <w:pPr>
        <w:pStyle w:val="AERbulletlistfirststyle"/>
      </w:pPr>
      <w:r w:rsidRPr="001562D4">
        <w:t xml:space="preserve">lead to a </w:t>
      </w:r>
      <w:r w:rsidRPr="0010250E">
        <w:t>rate of return that meets the allowed rate of return objective</w:t>
      </w:r>
    </w:p>
    <w:p w:rsidR="00A210B3" w:rsidRPr="0010250E" w:rsidRDefault="00A210B3" w:rsidP="00A210B3">
      <w:pPr>
        <w:pStyle w:val="AERbulletlistfirststyle"/>
      </w:pPr>
      <w:r w:rsidRPr="001562D4">
        <w:t>not lead to a downward biased estimate of the cost of equity fo</w:t>
      </w:r>
      <w:r w:rsidRPr="0010250E">
        <w:t>r a benchmark efficient entity.</w:t>
      </w:r>
    </w:p>
    <w:p w:rsidR="00A210B3" w:rsidRDefault="00A210B3" w:rsidP="00CC7A1C">
      <w:pPr>
        <w:pStyle w:val="AERbulletlistfirststyle"/>
        <w:numPr>
          <w:ilvl w:val="0"/>
          <w:numId w:val="24"/>
        </w:numPr>
      </w:pPr>
      <w:r>
        <w:t>In relation to the Sharpe-Lintner CAPM, Partington and Satchell noted:</w:t>
      </w:r>
      <w:r>
        <w:rPr>
          <w:rStyle w:val="FootnoteReference"/>
        </w:rPr>
        <w:footnoteReference w:id="739"/>
      </w:r>
      <w:r>
        <w:t xml:space="preserve"> </w:t>
      </w:r>
    </w:p>
    <w:p w:rsidR="00A210B3" w:rsidRPr="0010250E" w:rsidRDefault="00A210B3" w:rsidP="00A210B3">
      <w:pPr>
        <w:pStyle w:val="AERbulletlistfirststyle"/>
      </w:pPr>
      <w:r>
        <w:t>The model is 'ubiquitous in relation to the estimation of the cost of equity' and 'the same cannot be said for the alternative models proposed by the regulated</w:t>
      </w:r>
      <w:r w:rsidRPr="0010250E">
        <w:t xml:space="preserve"> businesses.</w:t>
      </w:r>
      <w:r w:rsidRPr="0010250E">
        <w:rPr>
          <w:rStyle w:val="FootnoteReference"/>
        </w:rPr>
        <w:footnoteReference w:id="740"/>
      </w:r>
    </w:p>
    <w:p w:rsidR="00A210B3" w:rsidRPr="0010250E" w:rsidRDefault="00A210B3" w:rsidP="00A210B3">
      <w:pPr>
        <w:pStyle w:val="AERbulletlistfirststyle"/>
      </w:pPr>
      <w:r>
        <w:t xml:space="preserve">It is 'widely used and understood'. </w:t>
      </w:r>
    </w:p>
    <w:p w:rsidR="00A210B3" w:rsidRPr="0010250E" w:rsidRDefault="00A210B3" w:rsidP="00A210B3">
      <w:pPr>
        <w:pStyle w:val="AERbulletlistfirststyle"/>
      </w:pPr>
      <w:r>
        <w:t xml:space="preserve">The model has passed the test of time and 'has had several decades of widespread practical use in estimating the cost of capital'. </w:t>
      </w:r>
    </w:p>
    <w:p w:rsidR="00A210B3" w:rsidRDefault="00A210B3" w:rsidP="00CC7A1C">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741"/>
      </w:r>
      <w:r>
        <w:t xml:space="preserve"> He noted:</w:t>
      </w:r>
      <w:r w:rsidRPr="00B310A9">
        <w:rPr>
          <w:rStyle w:val="FootnoteReference"/>
        </w:rPr>
        <w:t xml:space="preserve"> </w:t>
      </w:r>
      <w:r>
        <w:rPr>
          <w:rStyle w:val="FootnoteReference"/>
        </w:rPr>
        <w:footnoteReference w:id="742"/>
      </w:r>
    </w:p>
    <w:p w:rsidR="00A210B3" w:rsidRDefault="00A210B3" w:rsidP="00A210B3">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A210B3" w:rsidRDefault="00A210B3" w:rsidP="00CC7A1C">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743"/>
      </w:r>
      <w:r>
        <w:t xml:space="preserve"> These submissions are detailed in section </w:t>
      </w:r>
      <w:r>
        <w:fldChar w:fldCharType="begin"/>
      </w:r>
      <w:r>
        <w:instrText xml:space="preserve"> REF _Ref449004907 \r \h </w:instrText>
      </w:r>
      <w:r>
        <w:fldChar w:fldCharType="separate"/>
      </w:r>
      <w:r w:rsidR="00C6448C">
        <w:t>B.1.1</w:t>
      </w:r>
      <w:r>
        <w:fldChar w:fldCharType="end"/>
      </w:r>
      <w:r>
        <w:t>.</w:t>
      </w:r>
    </w:p>
    <w:p w:rsidR="00A210B3" w:rsidRDefault="00A210B3" w:rsidP="00A210B3">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w:t>
      </w:r>
      <w:r>
        <w:t xml:space="preserve"> in previous regulatory processes</w:t>
      </w:r>
      <w:r w:rsidRPr="001562D4">
        <w:t xml:space="preserve">.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744"/>
      </w:r>
      <w:r>
        <w:t xml:space="preserve"> </w:t>
      </w:r>
    </w:p>
    <w:p w:rsidR="00A210B3" w:rsidRDefault="00A210B3" w:rsidP="00A210B3">
      <w:r>
        <w:t>These 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w:t>
      </w:r>
      <w:r w:rsidR="003C78BA">
        <w:t xml:space="preserve"> These</w:t>
      </w:r>
      <w:r>
        <w:t xml:space="preserve"> </w:t>
      </w:r>
      <w:r w:rsidR="003C78BA">
        <w:t>s</w:t>
      </w:r>
      <w:r>
        <w:t>ervice providers appear to have submitted that these other models should be used to either directly estimate the return on equity</w:t>
      </w:r>
      <w:r w:rsidRPr="006C4D93">
        <w:rPr>
          <w:rStyle w:val="FootnoteReference"/>
        </w:rPr>
        <w:footnoteReference w:id="745"/>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746"/>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747"/>
      </w:r>
      <w:r>
        <w:t xml:space="preserve"> </w:t>
      </w:r>
    </w:p>
    <w:p w:rsidR="00A210B3" w:rsidRDefault="00A210B3" w:rsidP="00A210B3">
      <w:r w:rsidRPr="001562D4">
        <w:t xml:space="preserve">The key information </w:t>
      </w:r>
      <w:r>
        <w:t>that service providers</w:t>
      </w:r>
      <w:r w:rsidRPr="001562D4">
        <w:t xml:space="preserve"> </w:t>
      </w:r>
      <w:r w:rsidR="003C78BA">
        <w:t xml:space="preserve">have </w:t>
      </w:r>
      <w:r>
        <w:t>previously used to support</w:t>
      </w:r>
      <w:r w:rsidRPr="001562D4">
        <w:t xml:space="preserve"> these propositions </w:t>
      </w:r>
      <w:r w:rsidRPr="00787D60">
        <w:t>include</w:t>
      </w:r>
      <w:r>
        <w:t>d:</w:t>
      </w:r>
    </w:p>
    <w:p w:rsidR="00A210B3" w:rsidRPr="0010250E" w:rsidRDefault="00A210B3" w:rsidP="00A210B3">
      <w:pPr>
        <w:pStyle w:val="AERbulletlistfirststyle"/>
      </w:pPr>
      <w:r w:rsidRPr="00787D60">
        <w:t>Studies of ex post performance of the S</w:t>
      </w:r>
      <w:r w:rsidRPr="0010250E">
        <w:t>harpe-Lintner CAPM.</w:t>
      </w:r>
      <w:r w:rsidRPr="0010250E">
        <w:rPr>
          <w:rStyle w:val="FootnoteReference"/>
        </w:rPr>
        <w:footnoteReference w:id="748"/>
      </w:r>
      <w:r w:rsidRPr="0010250E">
        <w:t xml:space="preserve"> Frontier and NERA submitted that empirical tests reject the model and that it performs poorly relative to the other models.</w:t>
      </w:r>
      <w:r w:rsidRPr="0010250E">
        <w:rPr>
          <w:rStyle w:val="FootnoteReference"/>
        </w:rPr>
        <w:footnoteReference w:id="749"/>
      </w:r>
      <w:r w:rsidRPr="0010250E">
        <w:t xml:space="preserve"> </w:t>
      </w:r>
    </w:p>
    <w:p w:rsidR="00A210B3" w:rsidRPr="0010250E" w:rsidRDefault="00A210B3" w:rsidP="00A210B3">
      <w:pPr>
        <w:pStyle w:val="AERbulletlistfirststyle"/>
      </w:pPr>
      <w:r w:rsidRPr="00787D60">
        <w:t xml:space="preserve">Other direct estimates of the </w:t>
      </w:r>
      <w:r w:rsidRPr="0010250E">
        <w:t>return on equity from the Black CAPM, Fama-French model, and dividend growth model:</w:t>
      </w:r>
      <w:r w:rsidR="003C78BA" w:rsidRPr="0010250E">
        <w:rPr>
          <w:rStyle w:val="FootnoteReference"/>
        </w:rPr>
        <w:footnoteReference w:id="750"/>
      </w:r>
    </w:p>
    <w:p w:rsidR="00A210B3" w:rsidRDefault="00A210B3" w:rsidP="00A210B3">
      <w:pPr>
        <w:pStyle w:val="AERbulletlistsecondstyle"/>
      </w:pPr>
      <w:r>
        <w:t>the Black CAPM as evidence that the Sharpe-Lintner CAPM displays low beta bias</w:t>
      </w:r>
    </w:p>
    <w:p w:rsidR="00A210B3" w:rsidRDefault="00A210B3" w:rsidP="00A210B3">
      <w:pPr>
        <w:pStyle w:val="AERbulletlistsecondstyle"/>
      </w:pPr>
      <w:r>
        <w:t>the Fama-French model as evidence that the Sharpe-Lintner CAPM displays book-to-market bias</w:t>
      </w:r>
    </w:p>
    <w:p w:rsidR="00A210B3" w:rsidRPr="006C4D93" w:rsidRDefault="00A210B3" w:rsidP="00A210B3">
      <w:pPr>
        <w:pStyle w:val="AERbulletlistsecondstyle"/>
      </w:pPr>
      <w:r>
        <w:t>the dividend growth model as evidence that the Sharpe-Lintner CAPM, as applied by the AER, is not reflective of prevailing market conditions.</w:t>
      </w:r>
    </w:p>
    <w:p w:rsidR="00A210B3" w:rsidRDefault="00A210B3" w:rsidP="00CC7A1C">
      <w:pPr>
        <w:numPr>
          <w:ilvl w:val="0"/>
          <w:numId w:val="24"/>
        </w:numPr>
      </w:pPr>
      <w:r>
        <w:t xml:space="preserve">These submissions are detailed further in sections </w:t>
      </w:r>
      <w:r>
        <w:fldChar w:fldCharType="begin"/>
      </w:r>
      <w:r>
        <w:instrText xml:space="preserve"> REF _Ref449004981 \r \h </w:instrText>
      </w:r>
      <w:r>
        <w:fldChar w:fldCharType="separate"/>
      </w:r>
      <w:r w:rsidR="00C6448C">
        <w:t>B.1.3</w:t>
      </w:r>
      <w:r>
        <w:fldChar w:fldCharType="end"/>
      </w:r>
      <w:r>
        <w:t xml:space="preserve"> and </w:t>
      </w:r>
      <w:r>
        <w:fldChar w:fldCharType="begin"/>
      </w:r>
      <w:r>
        <w:instrText xml:space="preserve"> REF _Ref449004969 \r \h </w:instrText>
      </w:r>
      <w:r>
        <w:fldChar w:fldCharType="separate"/>
      </w:r>
      <w:r w:rsidR="00C6448C">
        <w:t>B.1.2</w:t>
      </w:r>
      <w:r>
        <w:fldChar w:fldCharType="end"/>
      </w:r>
      <w:r>
        <w:t xml:space="preserve"> below.</w:t>
      </w:r>
    </w:p>
    <w:p w:rsidR="00A210B3" w:rsidRDefault="00A210B3" w:rsidP="00CC7A1C">
      <w:pPr>
        <w:numPr>
          <w:ilvl w:val="0"/>
          <w:numId w:val="24"/>
        </w:numPr>
      </w:pPr>
      <w:r>
        <w:t>The</w:t>
      </w:r>
      <w:r w:rsidRPr="00787D60">
        <w:t xml:space="preserve"> key submissions on these points</w:t>
      </w:r>
      <w:r>
        <w:t xml:space="preserve"> were considered in our final decision for SAPN,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rsidR="003C78BA">
        <w:t>these arguments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751"/>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AGN </w:t>
      </w:r>
      <w:r w:rsidRPr="00787D60">
        <w:t>for its efficient equity financing costs</w:t>
      </w:r>
      <w:r>
        <w:t>.</w:t>
      </w:r>
    </w:p>
    <w:p w:rsidR="00A210B3" w:rsidRPr="00A210B3" w:rsidRDefault="00A210B3" w:rsidP="00CC7A1C">
      <w:pPr>
        <w:pStyle w:val="ListParagraph"/>
        <w:numPr>
          <w:ilvl w:val="0"/>
          <w:numId w:val="24"/>
        </w:numPr>
      </w:pPr>
      <w:r>
        <w:t>Services providers previously submitted that t</w:t>
      </w:r>
      <w:r w:rsidRPr="00663DB7">
        <w:t xml:space="preserve">he AER has </w:t>
      </w:r>
      <w:r>
        <w:t>"</w:t>
      </w:r>
      <w:r w:rsidRPr="00663DB7">
        <w:t>erred in finding that the SL-CAPM is the clearly superior model</w:t>
      </w:r>
      <w:r>
        <w:t>",</w:t>
      </w:r>
      <w:r>
        <w:rPr>
          <w:rStyle w:val="FootnoteReference"/>
        </w:rPr>
        <w:footnoteReference w:id="752"/>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753"/>
      </w:r>
    </w:p>
    <w:p w:rsidR="00BB18D4" w:rsidRDefault="00BB18D4" w:rsidP="00BB18D4">
      <w:pPr>
        <w:pStyle w:val="Heading9"/>
      </w:pPr>
      <w:bookmarkStart w:id="125" w:name="_Ref449004907"/>
      <w:bookmarkStart w:id="126" w:name="_Toc456686711"/>
      <w:r w:rsidRPr="00BB18D4">
        <w:t>Submissions supporting the use of the Sharpe-Lintner CAPM as the foundation model</w:t>
      </w:r>
      <w:bookmarkEnd w:id="125"/>
      <w:bookmarkEnd w:id="126"/>
    </w:p>
    <w:p w:rsidR="00A210B3" w:rsidRPr="001562D4" w:rsidRDefault="00A210B3" w:rsidP="00CC7A1C">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754"/>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755"/>
      </w:r>
      <w:r w:rsidRPr="001562D4">
        <w:t xml:space="preserve"> </w:t>
      </w:r>
      <w:r w:rsidR="0066180C">
        <w:t>Table 23</w:t>
      </w:r>
      <w:r>
        <w:t xml:space="preserve"> summarises a</w:t>
      </w:r>
      <w:r w:rsidRPr="001562D4">
        <w:t xml:space="preserve"> number of these submissions</w:t>
      </w:r>
      <w:r>
        <w:t>.</w:t>
      </w:r>
      <w:r w:rsidRPr="001562D4">
        <w:t xml:space="preserve"> </w:t>
      </w:r>
    </w:p>
    <w:p w:rsidR="00A210B3" w:rsidRPr="001562D4" w:rsidRDefault="00A210B3" w:rsidP="00A210B3">
      <w:pPr>
        <w:pStyle w:val="Caption"/>
      </w:pPr>
      <w:bookmarkStart w:id="127" w:name="_Ref433137654"/>
      <w:r>
        <w:t xml:space="preserve">Table </w:t>
      </w:r>
      <w:r w:rsidR="0066180C" w:rsidRPr="0066180C">
        <w:fldChar w:fldCharType="begin"/>
      </w:r>
      <w:r w:rsidR="0066180C">
        <w:instrText xml:space="preserve"> STYLEREF 1 \s </w:instrText>
      </w:r>
      <w:r w:rsidR="0066180C" w:rsidRPr="0066180C">
        <w:fldChar w:fldCharType="separate"/>
      </w:r>
      <w:r w:rsidR="00C6448C">
        <w:rPr>
          <w:noProof/>
        </w:rPr>
        <w:t>3</w:t>
      </w:r>
      <w:r w:rsidR="0066180C" w:rsidRPr="0066180C">
        <w:fldChar w:fldCharType="end"/>
      </w:r>
      <w:r w:rsidR="0066180C">
        <w:noBreakHyphen/>
      </w:r>
      <w:r w:rsidR="0066180C" w:rsidRPr="0066180C">
        <w:fldChar w:fldCharType="begin"/>
      </w:r>
      <w:r w:rsidR="0066180C">
        <w:instrText xml:space="preserve"> SEQ Table \* ARABIC \s 1 </w:instrText>
      </w:r>
      <w:r w:rsidR="0066180C" w:rsidRPr="0066180C">
        <w:fldChar w:fldCharType="separate"/>
      </w:r>
      <w:r w:rsidR="00C6448C">
        <w:rPr>
          <w:noProof/>
        </w:rPr>
        <w:t>23</w:t>
      </w:r>
      <w:r w:rsidR="0066180C" w:rsidRPr="0066180C">
        <w:fldChar w:fldCharType="end"/>
      </w:r>
      <w:bookmarkEnd w:id="127"/>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A210B3" w:rsidRPr="001848E2" w:rsidTr="00A210B3">
        <w:trPr>
          <w:cnfStyle w:val="100000000000" w:firstRow="1" w:lastRow="0" w:firstColumn="0" w:lastColumn="0" w:oddVBand="0" w:evenVBand="0" w:oddHBand="0" w:evenHBand="0" w:firstRowFirstColumn="0" w:firstRowLastColumn="0" w:lastRowFirstColumn="0" w:lastRowLastColumn="0"/>
          <w:tblHeader/>
        </w:trPr>
        <w:tc>
          <w:tcPr>
            <w:tcW w:w="1605" w:type="dxa"/>
          </w:tcPr>
          <w:p w:rsidR="00A210B3" w:rsidRPr="00A210B3" w:rsidRDefault="00A210B3" w:rsidP="00A210B3">
            <w:r w:rsidRPr="001562D4">
              <w:t>Stakeholder</w:t>
            </w:r>
          </w:p>
        </w:tc>
        <w:tc>
          <w:tcPr>
            <w:tcW w:w="7088" w:type="dxa"/>
          </w:tcPr>
          <w:p w:rsidR="00A210B3" w:rsidRPr="00A210B3" w:rsidRDefault="00A210B3" w:rsidP="00A210B3">
            <w:r w:rsidRPr="001562D4">
              <w:t>Submission</w:t>
            </w:r>
          </w:p>
        </w:tc>
      </w:tr>
      <w:tr w:rsidR="00A210B3" w:rsidRPr="001848E2" w:rsidTr="00A210B3">
        <w:tc>
          <w:tcPr>
            <w:tcW w:w="1605" w:type="dxa"/>
          </w:tcPr>
          <w:p w:rsidR="00A210B3" w:rsidRPr="00A210B3" w:rsidDel="00B8188F" w:rsidRDefault="00A210B3" w:rsidP="00A210B3">
            <w:r>
              <w:t>Consumer Challenger Panel 5 (CCP5)</w:t>
            </w:r>
            <w:r w:rsidRPr="00A210B3">
              <w:rPr>
                <w:rStyle w:val="FootnoteReference"/>
              </w:rPr>
              <w:footnoteReference w:id="756"/>
            </w:r>
          </w:p>
        </w:tc>
        <w:tc>
          <w:tcPr>
            <w:tcW w:w="7088" w:type="dxa"/>
          </w:tcPr>
          <w:p w:rsidR="00A210B3" w:rsidRPr="00A210B3" w:rsidRDefault="00A210B3" w:rsidP="00A210B3">
            <w:r>
              <w:t xml:space="preserve">The theme of AusNet Services’ Revised Proposal for rate of return, value of imputation credits and forecast inflation is to pick what suits the network best. It is not in the best interests of consumers that a high rate of return, low gamma, </w:t>
            </w:r>
            <w:r w:rsidRPr="00A210B3">
              <w:t xml:space="preserve">or low inflation is applied.  Neither is it in the long term interests of consumers that networks can pick and choose methodologies and inputs that achieve the aforementioned rates, from time to time.  </w:t>
            </w:r>
          </w:p>
          <w:p w:rsidR="00A210B3" w:rsidRPr="00A210B3" w:rsidDel="00B8188F" w:rsidRDefault="00A210B3" w:rsidP="00A210B3">
            <w:r w:rsidRPr="00A942E7">
              <w:t xml:space="preserve">Given that world, including Australian, interest </w:t>
            </w:r>
            <w:r w:rsidRPr="00A210B3">
              <w:t>rates are currently low, the AER’s WACC of 6.16% and risk free rate of 2.57% are high when looking at the current global financial realities. This is coming off a period of high interest rates related to uncertainty as a result of the global financial crisis. Since the GFC, Australian energy consumers have endured high and rising electricity prices. Interest rates flow through into the WACC as the basis for both cost of debt and cost of equity, and we reiterate that our view is that the AER must allow the current low interest rates to be reflected in the Return On Capital now, and in the future, as a matter of policy, in the long term interests of consumers</w:t>
            </w:r>
            <w:r w:rsidRPr="00A210B3">
              <w:rPr>
                <w:rStyle w:val="FootnoteReference"/>
              </w:rPr>
              <w:footnoteReference w:id="757"/>
            </w:r>
          </w:p>
        </w:tc>
      </w:tr>
      <w:tr w:rsidR="00A210B3"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A210B3" w:rsidRPr="00A210B3" w:rsidDel="00B8188F" w:rsidRDefault="00EF3C65" w:rsidP="00A210B3">
            <w:r>
              <w:t>CCP4 (David Headberry)</w:t>
            </w:r>
            <w:r>
              <w:rPr>
                <w:rStyle w:val="FootnoteReference"/>
              </w:rPr>
              <w:footnoteReference w:id="758"/>
            </w:r>
          </w:p>
        </w:tc>
        <w:tc>
          <w:tcPr>
            <w:tcW w:w="7088" w:type="dxa"/>
          </w:tcPr>
          <w:p w:rsidR="00A210B3" w:rsidDel="00B8188F" w:rsidRDefault="00EF3C65" w:rsidP="00A210B3">
            <w:r>
              <w:t>T</w:t>
            </w:r>
            <w:r w:rsidRPr="00EF3C65">
              <w:t>he current parameters should be applied to the PLQ decision.</w:t>
            </w:r>
          </w:p>
        </w:tc>
      </w:tr>
      <w:tr w:rsidR="00EF3C65" w:rsidRPr="001848E2" w:rsidTr="00A210B3">
        <w:tc>
          <w:tcPr>
            <w:tcW w:w="1605" w:type="dxa"/>
          </w:tcPr>
          <w:p w:rsidR="00EF3C65" w:rsidRPr="00EF3C65" w:rsidDel="00B8188F" w:rsidRDefault="00EF3C65" w:rsidP="00EF3C65">
            <w:r w:rsidRPr="009308C4">
              <w:t>Queensland Farmers’ Federation</w:t>
            </w:r>
            <w:r>
              <w:t xml:space="preserve"> (QFF)</w:t>
            </w:r>
            <w:r w:rsidRPr="00EF3C65">
              <w:rPr>
                <w:rStyle w:val="FootnoteReference"/>
              </w:rPr>
              <w:footnoteReference w:id="759"/>
            </w:r>
          </w:p>
        </w:tc>
        <w:tc>
          <w:tcPr>
            <w:tcW w:w="7088" w:type="dxa"/>
          </w:tcPr>
          <w:p w:rsidR="00EF3C65" w:rsidRPr="00EF3C65" w:rsidDel="00B8188F" w:rsidRDefault="00EF3C65" w:rsidP="00EF3C65">
            <w:r>
              <w:t xml:space="preserve">The QFF commends Powerlink on the approach taken in the preparation of its </w:t>
            </w:r>
            <w:r w:rsidRPr="00EF3C65">
              <w:t xml:space="preserve">proposal in applying the AER’s Guidelines with regards to its proposed Rate of Return for the next regulatory period. </w:t>
            </w:r>
          </w:p>
        </w:tc>
      </w:tr>
    </w:tbl>
    <w:p w:rsidR="00A210B3" w:rsidRPr="001562D4" w:rsidRDefault="00A210B3" w:rsidP="00A210B3">
      <w:pPr>
        <w:pStyle w:val="AERtablesource"/>
      </w:pPr>
      <w:r>
        <w:t xml:space="preserve">Source: </w:t>
      </w:r>
      <w:r>
        <w:tab/>
        <w:t>AER analysis of submissions.</w:t>
      </w:r>
    </w:p>
    <w:p w:rsidR="00A210B3" w:rsidRPr="00A210B3" w:rsidRDefault="00A210B3" w:rsidP="00CC7A1C">
      <w:pPr>
        <w:numPr>
          <w:ilvl w:val="0"/>
          <w:numId w:val="24"/>
        </w:numPr>
      </w:pPr>
      <w:r>
        <w:t xml:space="preserve">We consider the submissions in </w:t>
      </w:r>
      <w:r>
        <w:fldChar w:fldCharType="begin"/>
      </w:r>
      <w:r>
        <w:instrText xml:space="preserve"> REF _Ref433137654 \h </w:instrText>
      </w:r>
      <w:r>
        <w:fldChar w:fldCharType="separate"/>
      </w:r>
      <w:r w:rsidR="00C6448C">
        <w:t xml:space="preserve">Table </w:t>
      </w:r>
      <w:r w:rsidR="00C6448C">
        <w:rPr>
          <w:noProof/>
        </w:rPr>
        <w:t>3</w:t>
      </w:r>
      <w:r w:rsidR="00C6448C">
        <w:noBreakHyphen/>
      </w:r>
      <w:r w:rsidR="00C6448C">
        <w:rPr>
          <w:noProof/>
        </w:rPr>
        <w:t>23</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 </w:t>
      </w:r>
      <w:r>
        <w:fldChar w:fldCharType="begin"/>
      </w:r>
      <w:r>
        <w:instrText xml:space="preserve"> REF _Ref430958591 \r \h </w:instrText>
      </w:r>
      <w:r>
        <w:fldChar w:fldCharType="separate"/>
      </w:r>
      <w:r w:rsidR="00C6448C">
        <w:t>3.4.1</w:t>
      </w:r>
      <w:r>
        <w:fldChar w:fldCharType="end"/>
      </w:r>
      <w:r>
        <w:t>.</w:t>
      </w:r>
    </w:p>
    <w:p w:rsidR="00BB18D4" w:rsidRDefault="00BB18D4" w:rsidP="00BB18D4">
      <w:pPr>
        <w:pStyle w:val="Heading9"/>
      </w:pPr>
      <w:bookmarkStart w:id="128" w:name="_Ref449004969"/>
      <w:bookmarkStart w:id="129" w:name="_Toc456686712"/>
      <w:r w:rsidRPr="00BB18D4">
        <w:t>Empirical tests of the Sharpe-Lintner CAPM</w:t>
      </w:r>
      <w:bookmarkEnd w:id="128"/>
      <w:bookmarkEnd w:id="129"/>
    </w:p>
    <w:p w:rsidR="00A210B3" w:rsidRDefault="00A210B3" w:rsidP="00CC7A1C">
      <w:pPr>
        <w:numPr>
          <w:ilvl w:val="0"/>
          <w:numId w:val="24"/>
        </w:numPr>
      </w:pPr>
      <w:r>
        <w:t>S</w:t>
      </w:r>
      <w:r w:rsidR="003C78BA">
        <w:t>ome s</w:t>
      </w:r>
      <w:r>
        <w:t>ervice providers have previously submitted that empirical tests indicate that the Sharpe-Lintner CAPM performs poorly compared to the Fama-French model and Black CAPM.</w:t>
      </w:r>
      <w:r>
        <w:rPr>
          <w:rStyle w:val="FootnoteReference"/>
        </w:rPr>
        <w:footnoteReference w:id="760"/>
      </w:r>
    </w:p>
    <w:p w:rsidR="00A210B3" w:rsidRDefault="00A210B3" w:rsidP="00CC7A1C">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A210B3" w:rsidRPr="001562D4" w:rsidRDefault="00A210B3" w:rsidP="00CC7A1C">
      <w:pPr>
        <w:numPr>
          <w:ilvl w:val="0"/>
          <w:numId w:val="24"/>
        </w:numPr>
      </w:pPr>
      <w:r>
        <w:t xml:space="preserve">On the empirical performance of the Sharpe-Lintner </w:t>
      </w:r>
      <w:r w:rsidRPr="001562D4">
        <w:t>CAPM, McKenzie and Partington found the following:</w:t>
      </w:r>
      <w:r>
        <w:rPr>
          <w:rStyle w:val="FootnoteReference"/>
        </w:rPr>
        <w:footnoteReference w:id="761"/>
      </w:r>
    </w:p>
    <w:p w:rsidR="00A210B3" w:rsidRPr="0010250E" w:rsidRDefault="00A210B3" w:rsidP="00A210B3">
      <w:pPr>
        <w:pStyle w:val="AERbulletlistfirststyle"/>
      </w:pPr>
      <w:r w:rsidRPr="001562D4">
        <w:t>The fact some work appears to show other models better explain the cross section of realised average returns does not invalidate the use of the model for several reasons</w:t>
      </w:r>
      <w:r w:rsidRPr="0010250E">
        <w:t>. For instance, the cross section of returns is only one dimension of interest.</w:t>
      </w:r>
      <w:r w:rsidRPr="0010250E">
        <w:rPr>
          <w:rStyle w:val="FootnoteReference"/>
        </w:rPr>
        <w:footnoteReference w:id="762"/>
      </w:r>
    </w:p>
    <w:p w:rsidR="00A210B3" w:rsidRPr="0010250E" w:rsidRDefault="00A210B3" w:rsidP="00A210B3">
      <w:pPr>
        <w:pStyle w:val="AERbulletlistfirststyle"/>
      </w:pPr>
      <w:r>
        <w:t>T</w:t>
      </w:r>
      <w:r w:rsidRPr="0010250E">
        <w:t>he evidence against the Sharpe-Lintner CAPM may not be as robust as once thought when more appropriate statistical tests are used.</w:t>
      </w:r>
    </w:p>
    <w:p w:rsidR="00A210B3" w:rsidRPr="0010250E" w:rsidRDefault="00A210B3" w:rsidP="00A210B3">
      <w:pPr>
        <w:pStyle w:val="AERbulletlistfirststyle"/>
      </w:pPr>
      <w:r>
        <w:t>T</w:t>
      </w:r>
      <w:r w:rsidRPr="0010250E">
        <w:t>he empirical evidence against the model does not invalidate its use for estimating the cost of capital for projects when making capital budgeting decisions.</w:t>
      </w:r>
    </w:p>
    <w:p w:rsidR="00A210B3" w:rsidRDefault="00A210B3" w:rsidP="00CC7A1C">
      <w:pPr>
        <w:numPr>
          <w:ilvl w:val="0"/>
          <w:numId w:val="24"/>
        </w:numPr>
      </w:pPr>
      <w:r>
        <w:t xml:space="preserve">Partington and Satchell made the following observations for testing empirical performances of asset pricing models: </w:t>
      </w:r>
    </w:p>
    <w:p w:rsidR="00A210B3" w:rsidRPr="0010250E" w:rsidRDefault="00A210B3" w:rsidP="00A210B3">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10250E">
        <w:rPr>
          <w:rStyle w:val="FootnoteReference"/>
        </w:rPr>
        <w:footnoteReference w:id="763"/>
      </w:r>
      <w:r w:rsidRPr="0010250E">
        <w:t xml:space="preserve"> </w:t>
      </w:r>
    </w:p>
    <w:p w:rsidR="00A210B3" w:rsidRPr="0010250E" w:rsidRDefault="00A210B3" w:rsidP="00A210B3">
      <w:pPr>
        <w:pStyle w:val="AERbulletlistfirststyle"/>
      </w:pPr>
      <w:r>
        <w:t>T</w:t>
      </w:r>
      <w:r w:rsidRPr="0010250E">
        <w:t>he results are dependent on the method used to conduct the test (for example the characteristics used in sorting stocks into portfolios when testing model performance), was also noted by Kan, Robotti and Shanken.</w:t>
      </w:r>
      <w:r w:rsidRPr="0010250E">
        <w:rPr>
          <w:rStyle w:val="FootnoteReference"/>
        </w:rPr>
        <w:t xml:space="preserve"> </w:t>
      </w:r>
      <w:r w:rsidRPr="0010250E">
        <w:rPr>
          <w:rStyle w:val="FootnoteReference"/>
        </w:rPr>
        <w:footnoteReference w:id="764"/>
      </w:r>
      <w:r w:rsidRPr="0010250E">
        <w:t xml:space="preserve"> </w:t>
      </w:r>
    </w:p>
    <w:p w:rsidR="00A210B3" w:rsidRPr="0010250E" w:rsidRDefault="00A210B3" w:rsidP="00A210B3">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10250E">
        <w:rPr>
          <w:rStyle w:val="FootnoteReference"/>
        </w:rPr>
        <w:footnoteReference w:id="765"/>
      </w:r>
    </w:p>
    <w:p w:rsidR="00A210B3" w:rsidRPr="0010250E" w:rsidRDefault="00A210B3" w:rsidP="00A210B3">
      <w:pPr>
        <w:pStyle w:val="AERbulletlistfirststyle"/>
      </w:pPr>
      <w:r w:rsidRPr="00C61D42">
        <w:t>NERA referred to the work of Kan, Robotti</w:t>
      </w:r>
      <w:r w:rsidRPr="0010250E">
        <w:t xml:space="preserve"> and Shanken for the superior performance of the Fama-French model compared to the Sharpe-Lintner CAPM.</w:t>
      </w:r>
      <w:r w:rsidRPr="0010250E">
        <w:rPr>
          <w:rStyle w:val="FootnoteReference"/>
        </w:rPr>
        <w:footnoteReference w:id="766"/>
      </w:r>
      <w:r w:rsidRPr="0010250E">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10250E">
        <w:rPr>
          <w:rStyle w:val="FootnoteReference"/>
        </w:rPr>
        <w:footnoteReference w:id="767"/>
      </w:r>
      <w:r w:rsidRPr="0010250E">
        <w:t xml:space="preserve">  Partington and Satchell noted that Lewellen, Nagel and Shanken have cautioned that 'none of the models provides much improvement over the simple or consumption CAPM when performance is measured by the GLS</w:t>
      </w:r>
      <w:r w:rsidRPr="0010250E">
        <w:rPr>
          <w:rStyle w:val="FootnoteReference"/>
        </w:rPr>
        <w:footnoteReference w:id="768"/>
      </w:r>
      <w:r w:rsidRPr="0010250E">
        <w:t xml:space="preserve"> R2 or q'.</w:t>
      </w:r>
      <w:r w:rsidRPr="0010250E">
        <w:rPr>
          <w:rStyle w:val="FootnoteReference"/>
        </w:rPr>
        <w:footnoteReference w:id="769"/>
      </w:r>
      <w:r w:rsidRPr="0010250E">
        <w:t xml:space="preserve"> </w:t>
      </w:r>
    </w:p>
    <w:p w:rsidR="00A210B3" w:rsidRDefault="00A210B3" w:rsidP="00CC7A1C">
      <w:pPr>
        <w:numPr>
          <w:ilvl w:val="0"/>
          <w:numId w:val="24"/>
        </w:numPr>
      </w:pPr>
      <w:r>
        <w:t>S</w:t>
      </w:r>
      <w:r w:rsidR="003C78BA">
        <w:t>ome s</w:t>
      </w:r>
      <w:r>
        <w:t>ervice providers</w:t>
      </w:r>
      <w:r w:rsidR="003C78BA">
        <w:t xml:space="preserve"> have</w:t>
      </w:r>
      <w:r>
        <w:t xml:space="preserve"> previously submitted an empirical test of the Sharpe-Lintner CAPM and the Black CAPM by NERA that was considered in the JGN final decision.</w:t>
      </w:r>
      <w:r>
        <w:rPr>
          <w:rStyle w:val="FootnoteReference"/>
        </w:rPr>
        <w:footnoteReference w:id="770"/>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771"/>
      </w:r>
      <w:r>
        <w:t xml:space="preserve"> NERA also provided an estimate of the zero-beta premium of 10.75 per cent.</w:t>
      </w:r>
      <w:r>
        <w:rPr>
          <w:rStyle w:val="FootnoteReference"/>
        </w:rPr>
        <w:footnoteReference w:id="772"/>
      </w:r>
      <w:r>
        <w:t xml:space="preserve"> It has been acknowledged that it is implausible for the zero beta premium to be equal to or greater than the market risk premium</w:t>
      </w:r>
      <w:r w:rsidRPr="001562D4">
        <w:t>.</w:t>
      </w:r>
      <w:r w:rsidRPr="001562D4">
        <w:rPr>
          <w:rStyle w:val="FootnoteReference"/>
        </w:rPr>
        <w:footnoteReference w:id="773"/>
      </w:r>
      <w:r>
        <w:t xml:space="preserve"> Further, having reviewed this report in relation to its results on the Black CAPM, Partington advised:</w:t>
      </w:r>
      <w:r>
        <w:rPr>
          <w:rStyle w:val="FootnoteReference"/>
        </w:rPr>
        <w:footnoteReference w:id="774"/>
      </w:r>
      <w:r>
        <w:t xml:space="preserve"> </w:t>
      </w:r>
    </w:p>
    <w:p w:rsidR="00A210B3" w:rsidRPr="00AB3FED" w:rsidRDefault="00A210B3" w:rsidP="00A210B3">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A210B3" w:rsidRPr="001562D4" w:rsidRDefault="00A210B3" w:rsidP="00A210B3">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A210B3" w:rsidRDefault="00A210B3" w:rsidP="00CC7A1C">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775"/>
      </w:r>
    </w:p>
    <w:p w:rsidR="00A210B3" w:rsidRDefault="00A210B3" w:rsidP="00CC7A1C">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776"/>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C6448C">
        <w:t>B.2.2</w:t>
      </w:r>
      <w:r>
        <w:fldChar w:fldCharType="end"/>
      </w:r>
      <w:r>
        <w:t xml:space="preserve"> and </w:t>
      </w:r>
      <w:r>
        <w:fldChar w:fldCharType="begin"/>
      </w:r>
      <w:r>
        <w:instrText xml:space="preserve"> REF _Ref449010281 \r \h </w:instrText>
      </w:r>
      <w:r>
        <w:fldChar w:fldCharType="separate"/>
      </w:r>
      <w:r w:rsidR="00C6448C">
        <w:t>B.3.2</w:t>
      </w:r>
      <w:r>
        <w:fldChar w:fldCharType="end"/>
      </w:r>
      <w:r>
        <w:t>.</w:t>
      </w:r>
    </w:p>
    <w:p w:rsidR="00A210B3" w:rsidRDefault="00A210B3" w:rsidP="00A210B3">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777"/>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778"/>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779"/>
      </w:r>
    </w:p>
    <w:p w:rsidR="00A210B3" w:rsidRDefault="00A210B3" w:rsidP="00A210B3">
      <w:r>
        <w:t>Partington and Satchell have noted that '</w:t>
      </w:r>
      <w:r w:rsidRPr="000A45F8">
        <w:t>a relatively flat or inverted relation between beta and realised returns is quite common in empirical work</w:t>
      </w:r>
      <w:r>
        <w:t>'.</w:t>
      </w:r>
      <w:r>
        <w:rPr>
          <w:rStyle w:val="FootnoteReference"/>
        </w:rPr>
        <w:footnoteReference w:id="780"/>
      </w:r>
      <w:r>
        <w:t xml:space="preserve"> However, they also noted that it is not clear that this is evidence that other models are better at estimating expected return on equity, stating: </w:t>
      </w:r>
      <w:r>
        <w:rPr>
          <w:rStyle w:val="FootnoteReference"/>
        </w:rPr>
        <w:footnoteReference w:id="781"/>
      </w:r>
    </w:p>
    <w:p w:rsidR="00A210B3" w:rsidRDefault="00A210B3" w:rsidP="00A210B3">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A210B3" w:rsidRDefault="00A210B3" w:rsidP="00CC7A1C">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782"/>
      </w:r>
    </w:p>
    <w:p w:rsidR="00A210B3" w:rsidRPr="00BD52D8" w:rsidRDefault="00A210B3" w:rsidP="00A210B3">
      <w:pPr>
        <w:pStyle w:val="AERquote"/>
      </w:pPr>
      <w:r w:rsidRPr="00BD52D8">
        <w:t>we note the work of Henry (2008), who finds no evidence that would support the use of the Vasicek model for Australian data.  The results of the Henry (2008) study:</w:t>
      </w:r>
    </w:p>
    <w:p w:rsidR="00A210B3" w:rsidRPr="00BD52D8" w:rsidRDefault="00A210B3" w:rsidP="00A210B3">
      <w:pPr>
        <w:pStyle w:val="AERquoteindent2"/>
      </w:pPr>
      <w:r w:rsidRPr="00BD52D8">
        <w:t>“… suggest that there is little convincing evidence of regression to unity in this data. Therefore, it is difficult to justify the application of the Blume or Vasicek adjustments.” (p. 12)</w:t>
      </w:r>
    </w:p>
    <w:p w:rsidR="00A210B3" w:rsidRPr="00A210B3" w:rsidRDefault="00A210B3" w:rsidP="00A210B3">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783"/>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784"/>
      </w:r>
    </w:p>
    <w:p w:rsidR="00BB18D4" w:rsidRDefault="00BB18D4" w:rsidP="00BB18D4">
      <w:pPr>
        <w:pStyle w:val="Heading9"/>
      </w:pPr>
      <w:bookmarkStart w:id="130" w:name="_Ref449004981"/>
      <w:bookmarkStart w:id="131" w:name="_Toc456686713"/>
      <w:r w:rsidRPr="00BB18D4">
        <w:t>Evidence from estimates of other models</w:t>
      </w:r>
      <w:bookmarkEnd w:id="130"/>
      <w:bookmarkEnd w:id="131"/>
    </w:p>
    <w:p w:rsidR="00A210B3" w:rsidRDefault="00A210B3" w:rsidP="00A210B3">
      <w:r>
        <w:t>S</w:t>
      </w:r>
      <w:r w:rsidR="003C78BA">
        <w:t>ome s</w:t>
      </w:r>
      <w:r>
        <w:t>ervice providers</w:t>
      </w:r>
      <w:r w:rsidR="003C78BA">
        <w:t xml:space="preserve"> have</w:t>
      </w:r>
      <w:r w:rsidRPr="001562D4">
        <w:t xml:space="preserve"> </w:t>
      </w:r>
      <w:r>
        <w:t>previously submitted:</w:t>
      </w:r>
    </w:p>
    <w:p w:rsidR="00A210B3" w:rsidRPr="0010250E" w:rsidRDefault="00A210B3" w:rsidP="00A210B3">
      <w:pPr>
        <w:pStyle w:val="AERbulletlistfirststyle"/>
      </w:pPr>
      <w:r>
        <w:t xml:space="preserve">the Black CAPM as evidence that the Sharpe-Lintner CAPM displays low beta bias (that is, </w:t>
      </w:r>
      <w:r w:rsidRPr="0010250E">
        <w:t>downward biased for stocks with a beta of less than one)</w:t>
      </w:r>
    </w:p>
    <w:p w:rsidR="00A210B3" w:rsidRPr="0010250E" w:rsidRDefault="00A210B3" w:rsidP="00A210B3">
      <w:pPr>
        <w:pStyle w:val="AERbulletlistfirststyle"/>
      </w:pPr>
      <w:r>
        <w:t>the Fama-French model as evidence that the Sharpe-Lintner CAPM displays book-to-market bias</w:t>
      </w:r>
    </w:p>
    <w:p w:rsidR="00A210B3" w:rsidRPr="0010250E" w:rsidRDefault="00A210B3" w:rsidP="00A210B3">
      <w:pPr>
        <w:pStyle w:val="AERbulletlistfirststyle"/>
      </w:pPr>
      <w:r>
        <w:t>the dividend growth model as evidence that the Sharpe-Lintner CAPM, as applied by the AER, is not reflective of prevailing market conditions.</w:t>
      </w:r>
    </w:p>
    <w:p w:rsidR="00A210B3" w:rsidRDefault="00A210B3" w:rsidP="00CC7A1C">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A210B3" w:rsidRPr="00A210B3" w:rsidRDefault="00A210B3" w:rsidP="00CC7A1C">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C6448C">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approach, is downwardly biased. Our assessment of the Black CAPM, Fama-French model, and dividend growth model are contained in sections </w:t>
      </w:r>
      <w:r>
        <w:fldChar w:fldCharType="begin"/>
      </w:r>
      <w:r>
        <w:instrText xml:space="preserve"> REF _Ref449007419 \r \h </w:instrText>
      </w:r>
      <w:r>
        <w:fldChar w:fldCharType="separate"/>
      </w:r>
      <w:r w:rsidR="00C6448C">
        <w:t>B.2</w:t>
      </w:r>
      <w:r>
        <w:fldChar w:fldCharType="end"/>
      </w:r>
      <w:r>
        <w:t xml:space="preserve">, </w:t>
      </w:r>
      <w:r>
        <w:fldChar w:fldCharType="begin"/>
      </w:r>
      <w:r>
        <w:instrText xml:space="preserve"> REF _Ref449007420 \r \h </w:instrText>
      </w:r>
      <w:r>
        <w:fldChar w:fldCharType="separate"/>
      </w:r>
      <w:r w:rsidR="00C6448C">
        <w:t>B.3</w:t>
      </w:r>
      <w:r>
        <w:fldChar w:fldCharType="end"/>
      </w:r>
      <w:r>
        <w:t xml:space="preserve">, and </w:t>
      </w:r>
      <w:r>
        <w:fldChar w:fldCharType="begin"/>
      </w:r>
      <w:r>
        <w:instrText xml:space="preserve"> REF _Ref449007421 \r \h </w:instrText>
      </w:r>
      <w:r>
        <w:fldChar w:fldCharType="separate"/>
      </w:r>
      <w:r w:rsidR="00C6448C">
        <w:t>B.4</w:t>
      </w:r>
      <w:r>
        <w:fldChar w:fldCharType="end"/>
      </w:r>
      <w:r>
        <w:t xml:space="preserve"> respectively.</w:t>
      </w:r>
    </w:p>
    <w:p w:rsidR="00BB18D4" w:rsidRDefault="00BB18D4" w:rsidP="00BB18D4">
      <w:pPr>
        <w:pStyle w:val="Heading8"/>
      </w:pPr>
      <w:bookmarkStart w:id="132" w:name="_Ref449007419"/>
      <w:bookmarkStart w:id="133" w:name="_Toc451943787"/>
      <w:bookmarkStart w:id="134" w:name="_Toc456686714"/>
      <w:bookmarkStart w:id="135" w:name="_Toc481057064"/>
      <w:r w:rsidRPr="00BB18D4">
        <w:t>Black CAPM</w:t>
      </w:r>
      <w:bookmarkEnd w:id="132"/>
      <w:bookmarkEnd w:id="133"/>
      <w:bookmarkEnd w:id="134"/>
      <w:bookmarkEnd w:id="135"/>
    </w:p>
    <w:p w:rsidR="00A210B3" w:rsidRPr="001562D4" w:rsidRDefault="00A210B3" w:rsidP="00A210B3">
      <w:r w:rsidRPr="001562D4">
        <w:t>Fischer Black developed a version of the CAPM with restricted borrowing</w:t>
      </w:r>
      <w:r>
        <w:t xml:space="preserve"> (the Black CAPM)</w:t>
      </w:r>
      <w:r w:rsidRPr="001562D4">
        <w:t>.</w:t>
      </w:r>
      <w:r w:rsidRPr="001562D4">
        <w:rPr>
          <w:rStyle w:val="FootnoteReference"/>
        </w:rPr>
        <w:footnoteReference w:id="785"/>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786"/>
      </w:r>
      <w:r w:rsidRPr="001562D4">
        <w:t xml:space="preserve"> </w:t>
      </w:r>
      <w:r>
        <w:t>Unlimited short selling does not hold in practice either</w:t>
      </w:r>
      <w:r w:rsidRPr="001562D4">
        <w:t>.</w:t>
      </w:r>
      <w:r>
        <w:rPr>
          <w:rStyle w:val="FootnoteReference"/>
        </w:rPr>
        <w:footnoteReference w:id="787"/>
      </w:r>
    </w:p>
    <w:p w:rsidR="00A210B3" w:rsidRDefault="00A210B3" w:rsidP="00A210B3">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788"/>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A210B3" w:rsidRDefault="00A210B3" w:rsidP="00CC7A1C">
      <w:pPr>
        <w:numPr>
          <w:ilvl w:val="0"/>
          <w:numId w:val="24"/>
        </w:numPr>
      </w:pPr>
      <w:r>
        <w:t>We have reviewed the material submitted to us</w:t>
      </w:r>
      <w:r>
        <w:rPr>
          <w:rStyle w:val="FootnoteReference"/>
        </w:rPr>
        <w:footnoteReference w:id="789"/>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AusNet Services'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90"/>
      </w:r>
      <w:r w:rsidRPr="002E1BC3">
        <w:rPr>
          <w:rStyle w:val="FootnoteReference"/>
        </w:rPr>
        <w:t xml:space="preserve"> </w:t>
      </w:r>
    </w:p>
    <w:p w:rsidR="00A210B3" w:rsidRPr="001562D4" w:rsidDel="00BF79E1" w:rsidRDefault="00A210B3" w:rsidP="00A210B3">
      <w:r>
        <w:t>Therefore, our approach is to:</w:t>
      </w:r>
    </w:p>
    <w:p w:rsidR="00A210B3" w:rsidRPr="0010250E" w:rsidRDefault="00A210B3" w:rsidP="00A210B3">
      <w:pPr>
        <w:pStyle w:val="AERbulletlistfirststyle"/>
      </w:pPr>
      <w:r>
        <w:t>use the</w:t>
      </w:r>
      <w:r w:rsidRPr="0010250E">
        <w:t xml:space="preserve"> theory behind the Black CAPM to inform the equity beta estimate in the Sharpe-Lintner CAPM.</w:t>
      </w:r>
    </w:p>
    <w:p w:rsidR="00A210B3" w:rsidRPr="0010250E" w:rsidRDefault="00A210B3" w:rsidP="00A210B3">
      <w:pPr>
        <w:pStyle w:val="AERbulletlistfirststyle"/>
      </w:pPr>
      <w:r>
        <w:t>not use the</w:t>
      </w:r>
      <w:r w:rsidRPr="0010250E">
        <w:t xml:space="preserve"> Black CAPM to empirically estimate the return on equity for the benchmark efficient entity.</w:t>
      </w:r>
    </w:p>
    <w:p w:rsidR="00A210B3" w:rsidRPr="001562D4" w:rsidRDefault="00A210B3" w:rsidP="00A210B3">
      <w:r>
        <w:t>Our use of the</w:t>
      </w:r>
      <w:r w:rsidRPr="006C4D93">
        <w:t xml:space="preserve"> Black CAPM </w:t>
      </w:r>
      <w:r>
        <w:t>is due to the following reasons:</w:t>
      </w:r>
    </w:p>
    <w:p w:rsidR="00A210B3" w:rsidRPr="0010250E" w:rsidRDefault="00A210B3" w:rsidP="00A210B3">
      <w:pPr>
        <w:pStyle w:val="AERbulletlistfirststyle"/>
      </w:pPr>
      <w:r>
        <w:t>T</w:t>
      </w:r>
      <w:r w:rsidRPr="0010250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A210B3" w:rsidRPr="0010250E" w:rsidRDefault="00A210B3" w:rsidP="00A210B3">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791"/>
      </w:r>
      <w:r w:rsidRPr="0010250E">
        <w:t xml:space="preserve"> In particular, regulators rarely have recourse to the Black CAPM.</w:t>
      </w:r>
      <w:r w:rsidRPr="0010250E">
        <w:rPr>
          <w:rStyle w:val="FootnoteReference"/>
        </w:rPr>
        <w:footnoteReference w:id="792"/>
      </w:r>
      <w:r w:rsidRPr="0010250E">
        <w:t xml:space="preserve"> This view was supported by Handley.</w:t>
      </w:r>
      <w:r w:rsidRPr="0010250E">
        <w:rPr>
          <w:rStyle w:val="FootnoteReference"/>
        </w:rPr>
        <w:footnoteReference w:id="793"/>
      </w:r>
    </w:p>
    <w:p w:rsidR="00A210B3" w:rsidRPr="0010250E" w:rsidRDefault="00A210B3" w:rsidP="00A210B3">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794"/>
      </w:r>
      <w:r w:rsidRPr="0010250E">
        <w:t xml:space="preserve"> </w:t>
      </w:r>
    </w:p>
    <w:p w:rsidR="00A210B3" w:rsidRPr="0010250E" w:rsidRDefault="00A210B3" w:rsidP="00A210B3">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795"/>
      </w:r>
    </w:p>
    <w:p w:rsidR="00A210B3" w:rsidRDefault="00A210B3" w:rsidP="00A210B3">
      <w:r>
        <w:t xml:space="preserve">We elaborate on our reasons for these positions in sections </w:t>
      </w:r>
      <w:r>
        <w:fldChar w:fldCharType="begin"/>
      </w:r>
      <w:r>
        <w:instrText xml:space="preserve"> REF _Ref448924784 \r \h </w:instrText>
      </w:r>
      <w:r>
        <w:fldChar w:fldCharType="separate"/>
      </w:r>
      <w:r w:rsidR="00C6448C">
        <w:t>B.2.1</w:t>
      </w:r>
      <w:r>
        <w:fldChar w:fldCharType="end"/>
      </w:r>
      <w:r>
        <w:t xml:space="preserve"> to </w:t>
      </w:r>
      <w:r>
        <w:fldChar w:fldCharType="begin"/>
      </w:r>
      <w:r>
        <w:instrText xml:space="preserve"> REF _Ref448924785 \r \h </w:instrText>
      </w:r>
      <w:r>
        <w:fldChar w:fldCharType="separate"/>
      </w:r>
      <w:r w:rsidR="00C6448C">
        <w:t>B.2.3</w:t>
      </w:r>
      <w:r>
        <w:fldChar w:fldCharType="end"/>
      </w:r>
      <w:r>
        <w:t xml:space="preserve"> below.</w:t>
      </w:r>
    </w:p>
    <w:p w:rsidR="00A210B3" w:rsidRPr="001562D4" w:rsidRDefault="00A210B3" w:rsidP="00A210B3">
      <w:r>
        <w:t>S</w:t>
      </w:r>
      <w:r w:rsidR="003C78BA">
        <w:t>ome s</w:t>
      </w:r>
      <w:r>
        <w:t>ervice providers previously proposed</w:t>
      </w:r>
      <w:r w:rsidRPr="001562D4">
        <w:t xml:space="preserve"> that empirical estimates from the Black CAPM should be used for e</w:t>
      </w:r>
      <w:r>
        <w:t>stimating the return on equity</w:t>
      </w:r>
      <w:r w:rsidRPr="001562D4">
        <w:t>.</w:t>
      </w:r>
      <w:r w:rsidRPr="001562D4">
        <w:rPr>
          <w:rStyle w:val="FootnoteReference"/>
        </w:rPr>
        <w:footnoteReference w:id="796"/>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w:t>
      </w:r>
      <w:r w:rsidR="003C78BA">
        <w:t>it has been argued</w:t>
      </w:r>
      <w:r>
        <w:t xml:space="preserve"> that: </w:t>
      </w:r>
    </w:p>
    <w:p w:rsidR="00A210B3" w:rsidRPr="0010250E" w:rsidRDefault="00A210B3" w:rsidP="00A210B3">
      <w:pPr>
        <w:pStyle w:val="AERbulletlistfirststyle"/>
      </w:pPr>
      <w:r>
        <w:t xml:space="preserve">Empirical evidence indicates that the SL-CAPM will lead to downwardly biased </w:t>
      </w:r>
      <w:r w:rsidRPr="0010250E">
        <w:t>estimates of the return on equity for low-beta stocks.</w:t>
      </w:r>
      <w:r w:rsidRPr="0010250E">
        <w:rPr>
          <w:rStyle w:val="FootnoteReference"/>
        </w:rPr>
        <w:footnoteReference w:id="797"/>
      </w:r>
    </w:p>
    <w:p w:rsidR="00A210B3" w:rsidRDefault="00A210B3" w:rsidP="00A210B3">
      <w:pPr>
        <w:pStyle w:val="AERbulletlistfirststyle"/>
      </w:pPr>
      <w:r>
        <w:t>The AER cannot reject the use of the Black CAPM based on concerns with reliability without testing SFG's zero-beta premium or 'seeking a reliable estimate' of the premium</w:t>
      </w:r>
      <w:r w:rsidRPr="0010250E">
        <w:rPr>
          <w:rStyle w:val="FootnoteReference"/>
        </w:rPr>
        <w:footnoteReference w:id="798"/>
      </w:r>
    </w:p>
    <w:p w:rsidR="00A210B3" w:rsidRPr="0010250E" w:rsidRDefault="00A210B3" w:rsidP="00A210B3">
      <w:pPr>
        <w:pStyle w:val="AERbulletlistfirststyle"/>
      </w:pPr>
      <w:r>
        <w:t>The AER stated that the zero beta portfolio is hard to estimate but Gray and Hall (SFG) have provided an estimate.</w:t>
      </w:r>
      <w:r>
        <w:rPr>
          <w:rStyle w:val="FootnoteReference"/>
        </w:rPr>
        <w:footnoteReference w:id="799"/>
      </w:r>
    </w:p>
    <w:p w:rsidR="00A210B3" w:rsidRPr="0010250E" w:rsidRDefault="00A210B3" w:rsidP="00A210B3">
      <w:pPr>
        <w:pStyle w:val="AERbulletlistfirststyle"/>
      </w:pPr>
      <w:r>
        <w:t>The AER's return on equity estimate is below those from other relevant return on equity models.</w:t>
      </w:r>
      <w:r w:rsidRPr="0010250E">
        <w:rPr>
          <w:rStyle w:val="FootnoteReference"/>
        </w:rPr>
        <w:footnoteReference w:id="800"/>
      </w:r>
    </w:p>
    <w:p w:rsidR="00A210B3" w:rsidRPr="0010250E" w:rsidRDefault="00A210B3" w:rsidP="00A210B3">
      <w:pPr>
        <w:pStyle w:val="AERbulletlistfirststyle"/>
      </w:pPr>
      <w:r>
        <w:t>Consultant reports and US regulators show that the Black CAPM is used in rate of return regulation cases.</w:t>
      </w:r>
      <w:r w:rsidRPr="0010250E">
        <w:rPr>
          <w:rStyle w:val="FootnoteReference"/>
        </w:rPr>
        <w:footnoteReference w:id="801"/>
      </w:r>
      <w:r w:rsidRPr="0010250E">
        <w:t xml:space="preserve"> </w:t>
      </w:r>
    </w:p>
    <w:p w:rsidR="00A210B3" w:rsidRPr="00A210B3" w:rsidRDefault="00A210B3" w:rsidP="00CC7A1C">
      <w:pPr>
        <w:numPr>
          <w:ilvl w:val="0"/>
          <w:numId w:val="24"/>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AGN's risk in providing regulated services. We elaborate on our response to these submissions in sections </w:t>
      </w:r>
      <w:r>
        <w:fldChar w:fldCharType="begin"/>
      </w:r>
      <w:r>
        <w:instrText xml:space="preserve"> REF _Ref448924784 \r \h </w:instrText>
      </w:r>
      <w:r>
        <w:fldChar w:fldCharType="separate"/>
      </w:r>
      <w:r w:rsidR="00C6448C">
        <w:t>B.2.1</w:t>
      </w:r>
      <w:r>
        <w:fldChar w:fldCharType="end"/>
      </w:r>
      <w:r>
        <w:t xml:space="preserve"> to </w:t>
      </w:r>
      <w:r>
        <w:fldChar w:fldCharType="begin"/>
      </w:r>
      <w:r>
        <w:instrText xml:space="preserve"> REF _Ref448924785 \r \h </w:instrText>
      </w:r>
      <w:r>
        <w:fldChar w:fldCharType="separate"/>
      </w:r>
      <w:r w:rsidR="00C6448C">
        <w:t>B.2.3</w:t>
      </w:r>
      <w:r>
        <w:fldChar w:fldCharType="end"/>
      </w:r>
      <w:r>
        <w:t xml:space="preserve"> below.</w:t>
      </w:r>
    </w:p>
    <w:p w:rsidR="00BB18D4" w:rsidRDefault="00BB18D4" w:rsidP="00BB18D4">
      <w:pPr>
        <w:pStyle w:val="Heading9"/>
      </w:pPr>
      <w:bookmarkStart w:id="136" w:name="_Ref448924784"/>
      <w:bookmarkStart w:id="137" w:name="_Toc456686715"/>
      <w:r w:rsidRPr="00BB18D4">
        <w:t>Empirical reliability of the Black CAPM</w:t>
      </w:r>
      <w:bookmarkEnd w:id="136"/>
      <w:bookmarkEnd w:id="137"/>
    </w:p>
    <w:p w:rsidR="00A210B3" w:rsidRDefault="00A210B3" w:rsidP="00A210B3">
      <w:r>
        <w:t>We consider that there appears no consensus on the methodological choices required to construct a zero-beta portfolio.</w:t>
      </w:r>
    </w:p>
    <w:p w:rsidR="00A210B3" w:rsidRPr="007B60D8" w:rsidRDefault="00A210B3" w:rsidP="00CC7A1C">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802"/>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803"/>
      </w:r>
      <w:r w:rsidRPr="00C61D42">
        <w:t xml:space="preserve"> They noted Beaulieu, Dufour and Khalaf's conclusion that the estimate of the zero beta return is unstable and unreliable over time.</w:t>
      </w:r>
      <w:r w:rsidRPr="00C61D42">
        <w:rPr>
          <w:rStyle w:val="FootnoteReference"/>
        </w:rPr>
        <w:footnoteReference w:id="804"/>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805"/>
      </w:r>
    </w:p>
    <w:p w:rsidR="00A210B3" w:rsidRPr="001562D4" w:rsidRDefault="00A210B3" w:rsidP="00CC7A1C">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806"/>
      </w:r>
    </w:p>
    <w:p w:rsidR="00A210B3" w:rsidRPr="0010250E" w:rsidRDefault="00A210B3" w:rsidP="00A210B3">
      <w:pPr>
        <w:pStyle w:val="AERbulletlistfirststyle"/>
      </w:pPr>
      <w:r w:rsidRPr="001562D4">
        <w:t xml:space="preserve">CEG (2008) reports zero beta </w:t>
      </w:r>
      <w:r w:rsidRPr="0010250E">
        <w:t>premium estimates between 7.21 and 10.31 per cent per annum.</w:t>
      </w:r>
    </w:p>
    <w:p w:rsidR="00A210B3" w:rsidRPr="0010250E" w:rsidRDefault="00A210B3" w:rsidP="00A210B3">
      <w:pPr>
        <w:pStyle w:val="AERbulletlistfirststyle"/>
      </w:pPr>
      <w:r w:rsidRPr="001562D4">
        <w:t xml:space="preserve">NERA (2013) reports zero beta </w:t>
      </w:r>
      <w:r w:rsidRPr="0010250E">
        <w:t>premium estimates between 8.74 and 13.95 per cent per annum.</w:t>
      </w:r>
    </w:p>
    <w:p w:rsidR="00A210B3" w:rsidRDefault="00A210B3" w:rsidP="00CC7A1C">
      <w:pPr>
        <w:numPr>
          <w:ilvl w:val="0"/>
          <w:numId w:val="24"/>
        </w:numPr>
      </w:pPr>
      <w:r w:rsidRPr="001562D4">
        <w:t>NERA also acknowledge</w:t>
      </w:r>
      <w:r>
        <w:t>d</w:t>
      </w:r>
      <w:r w:rsidRPr="001562D4">
        <w:t xml:space="preserve"> that</w:t>
      </w:r>
      <w:r>
        <w:t>:</w:t>
      </w:r>
      <w:r w:rsidRPr="001562D4">
        <w:rPr>
          <w:rStyle w:val="FootnoteReference"/>
        </w:rPr>
        <w:footnoteReference w:id="807"/>
      </w:r>
    </w:p>
    <w:p w:rsidR="00A210B3" w:rsidRDefault="00A210B3" w:rsidP="00A210B3">
      <w:pPr>
        <w:pStyle w:val="AERquote"/>
      </w:pPr>
      <w:r w:rsidRPr="001562D4">
        <w:t>estimates of the zero-beta premium produced by studies that use long time series of Australian data are generally larger than estimates of the MRP that the AER has in the past used</w:t>
      </w:r>
      <w:r>
        <w:t>.</w:t>
      </w:r>
    </w:p>
    <w:p w:rsidR="00A210B3" w:rsidRDefault="00A210B3" w:rsidP="00CC7A1C">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808"/>
      </w:r>
      <w:r>
        <w:t xml:space="preserve"> Similarly, SFG submitted that imprecise estimates of the zero beta premium arose from the imprecision in the relationship between beta and stock returns.</w:t>
      </w:r>
      <w:r>
        <w:rPr>
          <w:rStyle w:val="FootnoteReference"/>
        </w:rPr>
        <w:footnoteReference w:id="809"/>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810"/>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A210B3" w:rsidRDefault="00A210B3" w:rsidP="00CC7A1C">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811"/>
      </w:r>
      <w:r w:rsidRPr="00CA5AF6">
        <w:t xml:space="preserve"> </w:t>
      </w:r>
    </w:p>
    <w:p w:rsidR="00A210B3" w:rsidRPr="00C854DA" w:rsidRDefault="00A210B3" w:rsidP="00CC7A1C">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812"/>
      </w:r>
    </w:p>
    <w:p w:rsidR="00A210B3" w:rsidRPr="001562D4" w:rsidRDefault="00A210B3" w:rsidP="00CC7A1C">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813"/>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814"/>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815"/>
      </w:r>
    </w:p>
    <w:p w:rsidR="00A210B3" w:rsidRPr="001562D4" w:rsidRDefault="00A210B3" w:rsidP="00A210B3">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A210B3" w:rsidRPr="001562D4" w:rsidRDefault="00A210B3" w:rsidP="00CC7A1C">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816"/>
      </w:r>
    </w:p>
    <w:p w:rsidR="00A210B3" w:rsidRDefault="00A210B3" w:rsidP="00A210B3">
      <w:pPr>
        <w:pStyle w:val="AERquote"/>
      </w:pPr>
      <w:r w:rsidRPr="001562D4">
        <w:t>Our point that ‘what you get depends very heavily on what you do’ is well illustrated by the SFG estimate of the zero beta premium, which is quite different to the NERA estimate</w:t>
      </w:r>
    </w:p>
    <w:p w:rsidR="00A210B3" w:rsidRDefault="00A210B3" w:rsidP="00A210B3">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817"/>
      </w:r>
      <w:r>
        <w:t xml:space="preserve"> Having reviewed SFG's report, Partington advised:</w:t>
      </w:r>
      <w:r>
        <w:rPr>
          <w:rStyle w:val="FootnoteReference"/>
        </w:rPr>
        <w:footnoteReference w:id="818"/>
      </w:r>
    </w:p>
    <w:p w:rsidR="00A210B3" w:rsidRPr="009A5577" w:rsidRDefault="00A210B3" w:rsidP="00A210B3">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is unclear what those estimated represent</w:t>
      </w:r>
      <w:r>
        <w:t>.</w:t>
      </w:r>
    </w:p>
    <w:p w:rsidR="00A210B3" w:rsidRPr="00127ECB" w:rsidRDefault="00A210B3" w:rsidP="00A210B3">
      <w:r>
        <w:t xml:space="preserve">We received a number of submissions from </w:t>
      </w:r>
      <w:r w:rsidR="003C78BA">
        <w:t>other</w:t>
      </w:r>
      <w:r>
        <w:t xml:space="preserve"> service providers and their consultants on the Black CAPM in previous regulatory processes. However, they largely surround issues previously considered in our Guideline and/or previous decisions.</w:t>
      </w:r>
      <w:r>
        <w:rPr>
          <w:rStyle w:val="FootnoteReference"/>
        </w:rPr>
        <w:footnoteReference w:id="819"/>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820"/>
      </w:r>
      <w:r>
        <w:t xml:space="preserve"> AusNet Services also argued against the zero-beta portfolio being hard to estimate.</w:t>
      </w:r>
      <w:r>
        <w:rPr>
          <w:rStyle w:val="FootnoteReference"/>
        </w:rPr>
        <w:footnoteReference w:id="821"/>
      </w:r>
    </w:p>
    <w:p w:rsidR="00A210B3" w:rsidRDefault="00A210B3" w:rsidP="00A210B3">
      <w:r>
        <w:t>S</w:t>
      </w:r>
      <w:r w:rsidR="003C78BA">
        <w:t>ome s</w:t>
      </w:r>
      <w:r>
        <w:t xml:space="preserve">ervice providers previously </w:t>
      </w:r>
      <w:r w:rsidR="003C78BA">
        <w:t xml:space="preserve">submitted </w:t>
      </w:r>
      <w:r>
        <w:t>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822"/>
      </w:r>
      <w:r w:rsidRPr="00127ECB">
        <w:t xml:space="preserve"> </w:t>
      </w:r>
      <w:r>
        <w:t>AusNet Services have also submitted that the Black CAPM should be used as part of the multi-model approach for estimating the required return on equity.</w:t>
      </w:r>
      <w:r>
        <w:rPr>
          <w:rStyle w:val="FootnoteReference"/>
        </w:rPr>
        <w:footnoteReference w:id="823"/>
      </w:r>
    </w:p>
    <w:p w:rsidR="00A210B3" w:rsidRDefault="00A210B3" w:rsidP="00A210B3">
      <w:pPr>
        <w:rPr>
          <w:rStyle w:val="AERbody"/>
        </w:rPr>
      </w:pPr>
      <w:r>
        <w:rPr>
          <w:rStyle w:val="AERbody"/>
        </w:rPr>
        <w:t>Partington and Satchell continue to note a range of issues (some of which are long-standing) with the Black CAPM in their latest report:</w:t>
      </w:r>
    </w:p>
    <w:p w:rsidR="00A210B3" w:rsidRPr="0010250E" w:rsidRDefault="00A210B3" w:rsidP="00A210B3">
      <w:pPr>
        <w:pStyle w:val="AERbulletlistfirststyle"/>
      </w:pPr>
      <w:r>
        <w:t>Examinations of important academic research on the Black CAPM show that it is based on a number of unrealistic assumptions, such as unrestricted short-selling.</w:t>
      </w:r>
      <w:r w:rsidRPr="0010250E">
        <w:rPr>
          <w:rStyle w:val="FootnoteReference"/>
        </w:rPr>
        <w:footnoteReference w:id="824"/>
      </w:r>
      <w:r w:rsidRPr="0010250E">
        <w:t xml:space="preserve"> In particular, the 1971 Brennan paper indicates that the Black CAPM is unsuitable for regulatory use due to its assumption of two Markowitz portfolios as we cannot be certain what the properties of the market portfolio actually are. </w:t>
      </w:r>
    </w:p>
    <w:p w:rsidR="00A210B3" w:rsidRPr="0010250E" w:rsidRDefault="00A210B3" w:rsidP="00A210B3">
      <w:pPr>
        <w:pStyle w:val="AERbulletlistfirststyle"/>
        <w:rPr>
          <w:rStyle w:val="AERbody"/>
        </w:rPr>
      </w:pPr>
      <w:r>
        <w:rPr>
          <w:rStyle w:val="AERbody"/>
        </w:rPr>
        <w:t>There are a range of issues with implementing the Black CAPM.</w:t>
      </w:r>
      <w:r w:rsidRPr="0010250E">
        <w:rPr>
          <w:rStyle w:val="FootnoteReference"/>
        </w:rPr>
        <w:footnoteReference w:id="825"/>
      </w:r>
      <w:r w:rsidRPr="0010250E">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A210B3" w:rsidRPr="0010250E" w:rsidRDefault="00A210B3" w:rsidP="00A210B3">
      <w:pPr>
        <w:pStyle w:val="AERbulletlistfirststyle"/>
      </w:pPr>
      <w:r>
        <w:t>The zero beta premium estimates is not current nor observable and the standard errors of the estimates are substantial.</w:t>
      </w:r>
      <w:r w:rsidRPr="0010250E">
        <w:rPr>
          <w:rStyle w:val="FootnoteReference"/>
        </w:rPr>
        <w:footnoteReference w:id="826"/>
      </w:r>
    </w:p>
    <w:p w:rsidR="00A210B3" w:rsidRDefault="00A210B3" w:rsidP="00A210B3">
      <w:r>
        <w:t>After reviewing the material submitted to us, we are satisfied that we do not need to estimate the Black CAPM.</w:t>
      </w:r>
    </w:p>
    <w:p w:rsidR="00A210B3" w:rsidRDefault="00A210B3" w:rsidP="00A210B3">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827"/>
      </w:r>
      <w:r w:rsidRPr="001B55CE">
        <w:t xml:space="preserve"> </w:t>
      </w:r>
    </w:p>
    <w:p w:rsidR="00A210B3" w:rsidRPr="001B6CF5" w:rsidRDefault="00A210B3" w:rsidP="00A210B3">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A210B3" w:rsidRDefault="00A210B3" w:rsidP="00A210B3">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828"/>
      </w:r>
    </w:p>
    <w:p w:rsidR="00A210B3" w:rsidRDefault="00A210B3" w:rsidP="00A210B3">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829"/>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A210B3" w:rsidRDefault="00A210B3" w:rsidP="00A210B3">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830"/>
      </w:r>
    </w:p>
    <w:p w:rsidR="00A210B3" w:rsidRPr="00F8120D" w:rsidRDefault="00A210B3" w:rsidP="00A210B3">
      <w:pPr>
        <w:pStyle w:val="AERquote"/>
      </w:pPr>
      <w:r w:rsidRPr="00F8120D">
        <w:t>[Beaulieu, Dufour and Khalaf (2012) states that] even if estimated betas are not close to one, irregularities associated with WI [weak identification] are not at all precluded [in view of (1) and (2) above]…</w:t>
      </w:r>
    </w:p>
    <w:p w:rsidR="00A210B3" w:rsidRPr="00F8120D" w:rsidRDefault="00A210B3" w:rsidP="00A210B3">
      <w:pPr>
        <w:pStyle w:val="AERquote"/>
      </w:pPr>
      <w:r w:rsidRPr="00F8120D">
        <w:t xml:space="preserve"> [Their statement states that] even if the estimated betas are not close to one, this is not a sufficient condition to preclude problems of estimation and inference.</w:t>
      </w:r>
    </w:p>
    <w:p w:rsidR="00A210B3" w:rsidRPr="003E007E" w:rsidRDefault="00A210B3" w:rsidP="00A210B3">
      <w:pPr>
        <w:pStyle w:val="AERquote"/>
      </w:pPr>
      <w:r w:rsidRPr="00F8120D">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A210B3" w:rsidRDefault="00A210B3" w:rsidP="00A210B3">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831"/>
      </w:r>
    </w:p>
    <w:p w:rsidR="00A210B3" w:rsidRDefault="00A210B3" w:rsidP="00A210B3">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832"/>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833"/>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834"/>
      </w:r>
    </w:p>
    <w:p w:rsidR="00A210B3" w:rsidRPr="00890E90" w:rsidRDefault="00A210B3" w:rsidP="00A210B3">
      <w:r>
        <w:t>HoustonKemp submitted in respect of the asset pricing tests in Lewellen, Nagel and Shanken:</w:t>
      </w:r>
      <w:r w:rsidRPr="00890E90">
        <w:rPr>
          <w:rStyle w:val="FootnoteReference"/>
        </w:rPr>
        <w:footnoteReference w:id="835"/>
      </w:r>
      <w:r w:rsidRPr="00890E90">
        <w:t xml:space="preserve">  </w:t>
      </w:r>
    </w:p>
    <w:p w:rsidR="00A210B3" w:rsidRPr="0010250E" w:rsidRDefault="00A210B3" w:rsidP="00A210B3">
      <w:pPr>
        <w:pStyle w:val="AERbulletlistfirststyle"/>
      </w:pPr>
      <w:r>
        <w:t>Lewellen, Nagel and Shanken</w:t>
      </w:r>
      <w:r w:rsidRPr="0010250E">
        <w:t xml:space="preserve"> find that there is little relation between mean return and beta, and that estimates of the zero-beta premium are large and both economically and statistically significant.</w:t>
      </w:r>
    </w:p>
    <w:p w:rsidR="00A210B3" w:rsidRPr="0010250E" w:rsidRDefault="00A210B3" w:rsidP="00A210B3">
      <w:pPr>
        <w:pStyle w:val="AERbulletlistfirststyle"/>
      </w:pPr>
      <w:r w:rsidRPr="00065C01">
        <w:t>Lewellen, Nagel and Shanken find</w:t>
      </w:r>
      <w:r w:rsidRPr="0010250E">
        <w:t xml:space="preserve"> statistically significant evidence that the Sharpe-Lintner CAPM will deliver downwardly biased estimates of the returns required on low-beta portfolios of stocks.</w:t>
      </w:r>
    </w:p>
    <w:p w:rsidR="00A210B3" w:rsidRPr="009A482A" w:rsidRDefault="00A210B3" w:rsidP="00A210B3">
      <w:pPr>
        <w:rPr>
          <w:rStyle w:val="AERbody"/>
        </w:rPr>
      </w:pPr>
      <w:r w:rsidRPr="009A482A">
        <w:rPr>
          <w:rStyle w:val="AERbody"/>
        </w:rPr>
        <w:t>However, Partington and Satchell cautioned use of results from asset pricing tests:</w:t>
      </w:r>
      <w:r w:rsidRPr="009A482A">
        <w:rPr>
          <w:rStyle w:val="FootnoteReference"/>
        </w:rPr>
        <w:footnoteReference w:id="836"/>
      </w:r>
    </w:p>
    <w:p w:rsidR="00A210B3" w:rsidRDefault="00A210B3" w:rsidP="00A210B3">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A210B3" w:rsidRPr="00A210B3" w:rsidRDefault="00A210B3" w:rsidP="00A210B3">
      <w:pPr>
        <w:pStyle w:val="AERquote"/>
        <w:rPr>
          <w:shd w:val="clear" w:color="auto" w:fill="FFFF00"/>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BB18D4" w:rsidRDefault="00BB18D4" w:rsidP="00BB18D4">
      <w:pPr>
        <w:pStyle w:val="Heading9"/>
      </w:pPr>
      <w:bookmarkStart w:id="138" w:name="_Ref449010288"/>
      <w:bookmarkStart w:id="139" w:name="_Toc456686716"/>
      <w:r w:rsidRPr="00BB18D4">
        <w:t>Low beta bias may not reflect ex ante priced risk</w:t>
      </w:r>
      <w:bookmarkEnd w:id="138"/>
      <w:bookmarkEnd w:id="139"/>
    </w:p>
    <w:p w:rsidR="00A210B3" w:rsidRDefault="00A210B3" w:rsidP="00A210B3">
      <w:r>
        <w:t>S</w:t>
      </w:r>
      <w:r w:rsidR="003C78BA">
        <w:t>ome s</w:t>
      </w:r>
      <w:r>
        <w:t>ervice providers previously submitted that the Sharpe-Lintner CAPM underestimates the return on equity for businesses with an equity beta less than one ('low beta bias'). They submitted that low beta bias is evidenced by the return on equity estimates from Black CAPM and the empirical performance of the Sharpe-Lintner CAPM using ex post data.</w:t>
      </w:r>
      <w:r>
        <w:rPr>
          <w:rStyle w:val="FootnoteReference"/>
        </w:rPr>
        <w:footnoteReference w:id="837"/>
      </w:r>
    </w:p>
    <w:p w:rsidR="00A210B3" w:rsidRDefault="00A210B3" w:rsidP="00A210B3">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C6448C">
        <w:t>B.1.2</w:t>
      </w:r>
      <w:r>
        <w:fldChar w:fldCharType="end"/>
      </w:r>
      <w:r>
        <w:t>. We acknowledge that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A210B3" w:rsidRPr="006C4D93" w:rsidRDefault="00A210B3" w:rsidP="00A210B3">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838"/>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839"/>
      </w:r>
      <w:r>
        <w:t xml:space="preserve"> Handley later reiterated that </w:t>
      </w:r>
      <w:r w:rsidRPr="00725202">
        <w:t>our understanding of the low beta bias is still far</w:t>
      </w:r>
      <w:r>
        <w:t xml:space="preserve"> </w:t>
      </w:r>
      <w:r w:rsidRPr="00725202">
        <w:t>from clear.</w:t>
      </w:r>
      <w:r>
        <w:rPr>
          <w:rStyle w:val="FootnoteReference"/>
        </w:rPr>
        <w:footnoteReference w:id="840"/>
      </w:r>
    </w:p>
    <w:p w:rsidR="00A210B3" w:rsidRDefault="00A210B3" w:rsidP="00A210B3">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841"/>
      </w:r>
    </w:p>
    <w:p w:rsidR="00A210B3" w:rsidRDefault="00A210B3" w:rsidP="00A210B3">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842"/>
      </w:r>
      <w:r>
        <w:t xml:space="preserve"> As such, any attempt to compare the two models must be done with great care.</w:t>
      </w:r>
      <w:r>
        <w:rPr>
          <w:rStyle w:val="FootnoteReference"/>
        </w:rPr>
        <w:footnoteReference w:id="843"/>
      </w:r>
    </w:p>
    <w:p w:rsidR="00A210B3" w:rsidRPr="00A210B3" w:rsidRDefault="00A210B3" w:rsidP="00A210B3">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844"/>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845"/>
      </w:r>
      <w:r w:rsidRPr="001B6CF5">
        <w:t xml:space="preserve"> </w:t>
      </w:r>
    </w:p>
    <w:p w:rsidR="00BB18D4" w:rsidRDefault="00BB18D4" w:rsidP="00BB18D4">
      <w:pPr>
        <w:pStyle w:val="Heading9"/>
      </w:pPr>
      <w:bookmarkStart w:id="140" w:name="_Ref448924785"/>
      <w:bookmarkStart w:id="141" w:name="_Toc456686717"/>
      <w:r w:rsidRPr="00BB18D4">
        <w:t>AER's role for the theory of the Black CAPM</w:t>
      </w:r>
      <w:bookmarkEnd w:id="140"/>
      <w:bookmarkEnd w:id="141"/>
    </w:p>
    <w:p w:rsidR="009A1A4E" w:rsidRDefault="009A1A4E" w:rsidP="00CC7A1C">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9A1A4E" w:rsidRDefault="009A1A4E" w:rsidP="00CC7A1C">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846"/>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9A1A4E" w:rsidRDefault="009A1A4E" w:rsidP="00CC7A1C">
      <w:pPr>
        <w:numPr>
          <w:ilvl w:val="0"/>
          <w:numId w:val="24"/>
        </w:numPr>
      </w:pPr>
      <w:r>
        <w:t xml:space="preserve">Our empirical and conceptual analysis of equity beta for businesses with a similar degree of risk as </w:t>
      </w:r>
      <w:r w:rsidR="00D06AA0">
        <w:t>TasNetworks</w:t>
      </w:r>
      <w:r>
        <w:t xml:space="preserve"> (in the provision of regulated services) indicates an equity beta less than one, and within the range of 0.4 to 0.7.</w:t>
      </w:r>
      <w:r>
        <w:rPr>
          <w:rStyle w:val="FootnoteReference"/>
        </w:rPr>
        <w:footnoteReference w:id="847"/>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9A1A4E" w:rsidRDefault="009A1A4E" w:rsidP="00CC7A1C">
      <w:pPr>
        <w:numPr>
          <w:ilvl w:val="0"/>
          <w:numId w:val="24"/>
        </w:numPr>
      </w:pPr>
      <w:r>
        <w:t>However, it is important to note that:</w:t>
      </w:r>
    </w:p>
    <w:p w:rsidR="009A1A4E" w:rsidRPr="0010250E" w:rsidRDefault="009A1A4E" w:rsidP="009A1A4E">
      <w:pPr>
        <w:pStyle w:val="AERbulletlistfirststyle"/>
      </w:pPr>
      <w:r>
        <w:t>A</w:t>
      </w:r>
      <w:r w:rsidRPr="0010250E">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9A1A4E" w:rsidRPr="0010250E" w:rsidRDefault="009A1A4E" w:rsidP="009A1A4E">
      <w:pPr>
        <w:pStyle w:val="AERbulletlistfirststyle"/>
      </w:pPr>
      <w:r>
        <w:t>W</w:t>
      </w:r>
      <w:r w:rsidRPr="0010250E">
        <w:t>e consider that we cannot reliably estimate the Black CAPM.</w:t>
      </w:r>
    </w:p>
    <w:p w:rsidR="009A1A4E" w:rsidRPr="0010250E" w:rsidRDefault="009A1A4E" w:rsidP="009A1A4E">
      <w:pPr>
        <w:pStyle w:val="AERbulletlistfirststyle"/>
      </w:pPr>
      <w:r>
        <w:t>The</w:t>
      </w:r>
      <w:r w:rsidRPr="0010250E">
        <w:t xml:space="preserve"> empirical tests of the Sharpe-Lintner CAPM using ex-post data do not provide conclusive evidence that the Sharpe-Lintner CAPM has 'low beta bias'.</w:t>
      </w:r>
    </w:p>
    <w:p w:rsidR="009A1A4E" w:rsidRDefault="009A1A4E" w:rsidP="00CC7A1C">
      <w:pPr>
        <w:numPr>
          <w:ilvl w:val="0"/>
          <w:numId w:val="24"/>
        </w:numPr>
      </w:pPr>
      <w:r>
        <w:t xml:space="preserve">Our use of the Black CAPM in informing the equity beta point estimate is supported by recent advice from our expert consultants, McKenzie and Partington and John Handley. </w:t>
      </w:r>
    </w:p>
    <w:p w:rsidR="009A1A4E" w:rsidRDefault="009A1A4E" w:rsidP="00CC7A1C">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848"/>
      </w:r>
    </w:p>
    <w:p w:rsidR="009A1A4E" w:rsidRDefault="009A1A4E" w:rsidP="00CC7A1C">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849"/>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850"/>
      </w:r>
      <w:r>
        <w:t xml:space="preserve"> </w:t>
      </w:r>
    </w:p>
    <w:p w:rsidR="009A1A4E" w:rsidRDefault="009A1A4E" w:rsidP="009A1A4E">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851"/>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9A1A4E" w:rsidRPr="00C61D42" w:rsidRDefault="009A1A4E" w:rsidP="009A1A4E">
      <w:r>
        <w:t>Some s</w:t>
      </w:r>
      <w:r w:rsidRPr="00C61D42">
        <w:t xml:space="preserve">ervice providers have </w:t>
      </w:r>
      <w:r>
        <w:t xml:space="preserve">previously </w:t>
      </w:r>
      <w:r w:rsidRPr="00C61D42">
        <w:t>submitted that we have adjusted the equity beta for the Black CAPM in order to provide a correction for low beta bias.</w:t>
      </w:r>
      <w:r>
        <w:rPr>
          <w:rStyle w:val="FootnoteReference"/>
        </w:rPr>
        <w:footnoteReference w:id="852"/>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853"/>
      </w:r>
      <w:r>
        <w:t xml:space="preserve"> </w:t>
      </w:r>
      <w:r w:rsidRPr="00C61D42">
        <w:t xml:space="preserve">We do not consider </w:t>
      </w:r>
      <w:r>
        <w:t>that</w:t>
      </w:r>
      <w:r w:rsidRPr="00C61D42">
        <w:t xml:space="preserve"> </w:t>
      </w:r>
      <w:r w:rsidR="003C78BA">
        <w:t>it has been</w:t>
      </w:r>
      <w:r w:rsidRPr="00C61D42">
        <w:t xml:space="preserve"> shown that low beta bias exists on an ex ante basis and that it reflects a priced risk factor that would contribute to the allowed rate of return objective. </w:t>
      </w:r>
      <w:r>
        <w:t xml:space="preserve">We also note that the theory of the Black CAPM is only one consideration informing our equity beta point estimate (for more detail, see the 'estimating equity beta' subsection in section </w:t>
      </w:r>
      <w:r>
        <w:fldChar w:fldCharType="begin"/>
      </w:r>
      <w:r>
        <w:instrText xml:space="preserve"> REF _Ref430958591 \r \h </w:instrText>
      </w:r>
      <w:r>
        <w:fldChar w:fldCharType="separate"/>
      </w:r>
      <w:r w:rsidR="00C6448C">
        <w:t>3.4.1</w:t>
      </w:r>
      <w:r>
        <w:fldChar w:fldCharType="end"/>
      </w:r>
      <w:r>
        <w:t>).</w:t>
      </w:r>
    </w:p>
    <w:p w:rsidR="009A1A4E" w:rsidRDefault="009A1A4E" w:rsidP="009A1A4E">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854"/>
      </w:r>
      <w:r>
        <w:t xml:space="preserve"> We do not consider that the Black CAPM can be reliably estimated, and therefore consider that proper regard to the model requires that we do not place weight on estimates from the model and do not estimate the zero-beta premium.</w:t>
      </w:r>
    </w:p>
    <w:p w:rsidR="009A1A4E" w:rsidRDefault="009A1A4E" w:rsidP="009A1A4E">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855"/>
      </w:r>
      <w:r>
        <w:t xml:space="preserve"> </w:t>
      </w:r>
    </w:p>
    <w:p w:rsidR="009A1A4E" w:rsidRPr="0092561B" w:rsidRDefault="009A1A4E" w:rsidP="009A1A4E">
      <w:pPr>
        <w:rPr>
          <w:rStyle w:val="AERbody"/>
        </w:rPr>
      </w:pPr>
      <w:r w:rsidRPr="0092561B">
        <w:rPr>
          <w:rStyle w:val="AERbody"/>
        </w:rPr>
        <w:t>We note that our equity beta estimate of 0.7 is informed by a range of relevant evidence</w:t>
      </w:r>
      <w:r w:rsidRPr="0092561B">
        <w:rPr>
          <w:rStyle w:val="FootnoteReference"/>
        </w:rPr>
        <w:footnoteReference w:id="856"/>
      </w:r>
      <w:r w:rsidRPr="0092561B">
        <w:rPr>
          <w:rStyle w:val="AERbody"/>
        </w:rPr>
        <w:t xml:space="preserve"> and based on exercise of our regulatory judgment. It is not determined in any mechanistic manner as suggested by HoustonKemp. </w:t>
      </w:r>
    </w:p>
    <w:p w:rsidR="009A1A4E" w:rsidRDefault="009A1A4E" w:rsidP="00CC7A1C">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857"/>
      </w:r>
      <w:r w:rsidRPr="00EB6387">
        <w:t xml:space="preserve"> We do not consider </w:t>
      </w:r>
      <w:r>
        <w:t>that Frontier</w:t>
      </w:r>
      <w:r w:rsidRPr="00EB6387">
        <w:t xml:space="preserve"> have raised any substantive new evidence to support their views. Therefore, we maintain the position and reasoning set out above.</w:t>
      </w:r>
    </w:p>
    <w:p w:rsidR="009A1A4E" w:rsidRPr="00F143C8" w:rsidRDefault="009A1A4E" w:rsidP="00CC7A1C">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858"/>
      </w:r>
      <w:r w:rsidRPr="00F143C8">
        <w:t xml:space="preserve"> The </w:t>
      </w:r>
      <w:r>
        <w:t>Consumer Challenge Panel</w:t>
      </w:r>
      <w:r w:rsidRPr="00F143C8">
        <w:t xml:space="preserve"> stated:</w:t>
      </w:r>
      <w:r w:rsidRPr="00F143C8">
        <w:rPr>
          <w:rStyle w:val="FootnoteReference"/>
        </w:rPr>
        <w:footnoteReference w:id="859"/>
      </w:r>
    </w:p>
    <w:p w:rsidR="009A1A4E" w:rsidRPr="00F143C8" w:rsidRDefault="009A1A4E" w:rsidP="009A1A4E">
      <w:pPr>
        <w:pStyle w:val="AERquote"/>
      </w:pPr>
      <w:r w:rsidRPr="00F143C8">
        <w:t>We have discussed our concerns with the Black CAPM above and do not consider it is an appropriate basis for the AER to select an equity beta that is higher than the median of the empirical observations.</w:t>
      </w:r>
    </w:p>
    <w:p w:rsidR="009A1A4E" w:rsidRDefault="009A1A4E" w:rsidP="00CC7A1C">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860"/>
      </w:r>
      <w:r w:rsidRPr="00F143C8">
        <w:t xml:space="preserve"> We note that the theory of the Black CAPM was only one factor that informed our equity beta point estimate.</w:t>
      </w:r>
    </w:p>
    <w:p w:rsidR="009A1A4E" w:rsidRPr="009A1A4E" w:rsidRDefault="009A1A4E" w:rsidP="009A1A4E">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861"/>
      </w:r>
      <w:r w:rsidRPr="001B6CF5">
        <w:t xml:space="preserve"> We consider that this refers to the Guideline in its entirety, including our role for the theory of the Black CAPM.</w:t>
      </w:r>
    </w:p>
    <w:p w:rsidR="00BB18D4" w:rsidRDefault="00BB18D4" w:rsidP="00BB18D4">
      <w:pPr>
        <w:pStyle w:val="Heading8"/>
      </w:pPr>
      <w:bookmarkStart w:id="142" w:name="_Ref449007420"/>
      <w:bookmarkStart w:id="143" w:name="_Toc451943788"/>
      <w:bookmarkStart w:id="144" w:name="_Toc456686718"/>
      <w:bookmarkStart w:id="145" w:name="_Toc481057065"/>
      <w:r w:rsidRPr="00BB18D4">
        <w:t>Fama-French model</w:t>
      </w:r>
      <w:bookmarkEnd w:id="142"/>
      <w:bookmarkEnd w:id="143"/>
      <w:bookmarkEnd w:id="144"/>
      <w:bookmarkEnd w:id="145"/>
    </w:p>
    <w:p w:rsidR="009A1A4E" w:rsidRPr="001562D4" w:rsidRDefault="009A1A4E" w:rsidP="00CC7A1C">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862"/>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63"/>
      </w:r>
    </w:p>
    <w:p w:rsidR="009A1A4E" w:rsidRPr="0010250E" w:rsidRDefault="009A1A4E" w:rsidP="009A1A4E">
      <w:pPr>
        <w:pStyle w:val="AERbulletlistfirststyle"/>
      </w:pPr>
      <w:r w:rsidRPr="001562D4">
        <w:t>the return on the market (thus it incorporates the CAPM</w:t>
      </w:r>
      <w:r w:rsidRPr="0010250E">
        <w:t>'s systematic risk factor by having  the return on the market as a factor)</w:t>
      </w:r>
    </w:p>
    <w:p w:rsidR="009A1A4E" w:rsidRPr="0010250E" w:rsidRDefault="009A1A4E" w:rsidP="009A1A4E">
      <w:pPr>
        <w:pStyle w:val="AERbulletlistfirststyle"/>
      </w:pPr>
      <w:r w:rsidRPr="001562D4">
        <w:t>firm size (measured by market capitalisation)</w:t>
      </w:r>
    </w:p>
    <w:p w:rsidR="009A1A4E" w:rsidRPr="0010250E" w:rsidRDefault="009A1A4E" w:rsidP="009A1A4E">
      <w:pPr>
        <w:pStyle w:val="AERbulletlistfirststyle"/>
      </w:pPr>
      <w:r w:rsidRPr="001562D4">
        <w:t>the ratio of book value to market value</w:t>
      </w:r>
      <w:r w:rsidRPr="0010250E">
        <w:t>.</w:t>
      </w:r>
    </w:p>
    <w:p w:rsidR="009A1A4E" w:rsidRDefault="009A1A4E" w:rsidP="00CC7A1C">
      <w:pPr>
        <w:numPr>
          <w:ilvl w:val="0"/>
          <w:numId w:val="24"/>
        </w:numPr>
      </w:pPr>
      <w:r>
        <w:t>We have reviewed all the material submitted to us</w:t>
      </w:r>
      <w:r>
        <w:rPr>
          <w:rStyle w:val="FootnoteReference"/>
        </w:rPr>
        <w:footnoteReference w:id="864"/>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65"/>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AGN's regulated services</w:t>
      </w:r>
      <w:r w:rsidRPr="001562D4">
        <w:t xml:space="preserve">. </w:t>
      </w:r>
    </w:p>
    <w:p w:rsidR="009A1A4E" w:rsidRPr="001562D4" w:rsidRDefault="009A1A4E" w:rsidP="00CC7A1C">
      <w:pPr>
        <w:numPr>
          <w:ilvl w:val="0"/>
          <w:numId w:val="24"/>
        </w:numPr>
      </w:pPr>
      <w:r>
        <w:t>Our</w:t>
      </w:r>
      <w:r w:rsidRPr="001562D4">
        <w:t xml:space="preserve"> reasons for giving the </w:t>
      </w:r>
      <w:r>
        <w:t>Fama-French model</w:t>
      </w:r>
      <w:r w:rsidRPr="001562D4">
        <w:t xml:space="preserve"> no role </w:t>
      </w:r>
      <w:r>
        <w:t>are:</w:t>
      </w:r>
    </w:p>
    <w:p w:rsidR="009A1A4E" w:rsidRPr="0010250E" w:rsidRDefault="009A1A4E" w:rsidP="009A1A4E">
      <w:pPr>
        <w:pStyle w:val="AERbulletlistfirststyle"/>
      </w:pPr>
      <w:r>
        <w:t>E</w:t>
      </w:r>
      <w:r w:rsidRPr="0010250E">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9A1A4E" w:rsidRPr="0010250E" w:rsidRDefault="009A1A4E" w:rsidP="009A1A4E">
      <w:pPr>
        <w:pStyle w:val="AERbulletlistfirststyle"/>
      </w:pPr>
      <w:r>
        <w:t>T</w:t>
      </w:r>
      <w:r w:rsidRPr="0010250E">
        <w:t>he ex-post (backward looking) observation of apparently priced risk factors does not mean these factors are priced ex-ante (on a forward looking basis).</w:t>
      </w:r>
    </w:p>
    <w:p w:rsidR="009A1A4E" w:rsidRPr="0010250E" w:rsidRDefault="009A1A4E" w:rsidP="009A1A4E">
      <w:pPr>
        <w:pStyle w:val="AERbulletlistfirststyle"/>
      </w:pPr>
      <w:r>
        <w:t>T</w:t>
      </w:r>
      <w:r w:rsidRPr="0010250E">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10250E">
        <w:rPr>
          <w:rStyle w:val="FootnoteReference"/>
        </w:rPr>
        <w:t xml:space="preserve"> </w:t>
      </w:r>
      <w:r w:rsidRPr="0010250E">
        <w:rPr>
          <w:rStyle w:val="FootnoteReference"/>
        </w:rPr>
        <w:footnoteReference w:id="866"/>
      </w:r>
    </w:p>
    <w:p w:rsidR="009A1A4E" w:rsidRPr="0010250E" w:rsidRDefault="009A1A4E" w:rsidP="009A1A4E">
      <w:pPr>
        <w:pStyle w:val="AERbulletlistfirststyle"/>
      </w:pPr>
      <w:r>
        <w:t>T</w:t>
      </w:r>
      <w:r w:rsidRPr="0010250E">
        <w:t>here is little evidence of companies or regulators using the Fama-French model to estimate the return on equity.</w:t>
      </w:r>
      <w:r w:rsidRPr="0010250E">
        <w:rPr>
          <w:rStyle w:val="FootnoteReference"/>
        </w:rPr>
        <w:footnoteReference w:id="867"/>
      </w:r>
    </w:p>
    <w:p w:rsidR="009A1A4E" w:rsidRDefault="009A1A4E" w:rsidP="00CC7A1C">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AGN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9A1A4E" w:rsidRPr="001562D4" w:rsidRDefault="009A1A4E" w:rsidP="00CC7A1C">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868"/>
      </w:r>
      <w:r>
        <w:t xml:space="preserve"> We consider Handley's comments on the model also support our decision to not use the Fame-French model.</w:t>
      </w:r>
      <w:r>
        <w:rPr>
          <w:rStyle w:val="FootnoteReference"/>
        </w:rPr>
        <w:footnoteReference w:id="869"/>
      </w:r>
    </w:p>
    <w:p w:rsidR="009A1A4E" w:rsidRDefault="009A1A4E" w:rsidP="009A1A4E">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870"/>
      </w:r>
      <w:r>
        <w:t xml:space="preserve"> </w:t>
      </w:r>
    </w:p>
    <w:p w:rsidR="009A1A4E" w:rsidRDefault="009A1A4E" w:rsidP="009A1A4E">
      <w:r>
        <w:t>The Consumer Challenge P</w:t>
      </w:r>
      <w:r w:rsidRPr="001562D4">
        <w:t>anel</w:t>
      </w:r>
      <w:r>
        <w:t xml:space="preserve"> was</w:t>
      </w:r>
      <w:r w:rsidRPr="001562D4">
        <w:t xml:space="preserve"> </w:t>
      </w:r>
      <w:r>
        <w:t>also unconvinced by arguments from various service providers</w:t>
      </w:r>
      <w:r w:rsidR="003C78BA">
        <w:t xml:space="preserve"> previously</w:t>
      </w:r>
      <w:r>
        <w:t xml:space="preserve"> 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871"/>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872"/>
      </w:r>
      <w:r>
        <w:t xml:space="preserve"> </w:t>
      </w:r>
    </w:p>
    <w:p w:rsidR="009A1A4E" w:rsidRDefault="009A1A4E" w:rsidP="00CC7A1C">
      <w:pPr>
        <w:numPr>
          <w:ilvl w:val="0"/>
          <w:numId w:val="24"/>
        </w:numPr>
      </w:pPr>
      <w:r>
        <w:t>S</w:t>
      </w:r>
      <w:r w:rsidR="003C78BA">
        <w:t>ome s</w:t>
      </w:r>
      <w:r>
        <w:t>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873"/>
      </w:r>
      <w:r>
        <w:t xml:space="preserve"> </w:t>
      </w:r>
    </w:p>
    <w:p w:rsidR="009A1A4E" w:rsidRPr="0010250E" w:rsidRDefault="009A1A4E" w:rsidP="009A1A4E">
      <w:pPr>
        <w:pStyle w:val="AERbulletlistfirststyle"/>
      </w:pPr>
      <w:r>
        <w:t>The Fama-French model performs better than the Sharpe-Lintner CAPM.</w:t>
      </w:r>
      <w:r w:rsidRPr="0010250E">
        <w:rPr>
          <w:rStyle w:val="FootnoteReference"/>
        </w:rPr>
        <w:footnoteReference w:id="874"/>
      </w:r>
    </w:p>
    <w:p w:rsidR="009A1A4E" w:rsidRPr="0010250E" w:rsidRDefault="009A1A4E" w:rsidP="009A1A4E">
      <w:pPr>
        <w:pStyle w:val="AERbulletlistfirststyle"/>
      </w:pPr>
      <w:r>
        <w:t xml:space="preserve">All models requiring parameter estimates are sensitive to those estimates, including the Sharpe-Lintner CAPM, and the </w:t>
      </w:r>
      <w:r w:rsidRPr="0010250E">
        <w:t>Fama-French model is not materially more sensitive to input choices than the Sharpe-Lintner CAPM.</w:t>
      </w:r>
    </w:p>
    <w:p w:rsidR="009A1A4E" w:rsidRPr="0010250E" w:rsidRDefault="009A1A4E" w:rsidP="009A1A4E">
      <w:pPr>
        <w:pStyle w:val="AERbulletlistfirststyle"/>
        <w:rPr>
          <w:rStyle w:val="AERbody"/>
        </w:rPr>
      </w:pPr>
      <w:r>
        <w:rPr>
          <w:rStyle w:val="AERbody"/>
        </w:rPr>
        <w:t>T</w:t>
      </w:r>
      <w:r w:rsidRPr="008166A1">
        <w:rPr>
          <w:rStyle w:val="AERbody"/>
        </w:rPr>
        <w:t xml:space="preserve">he </w:t>
      </w:r>
      <w:r w:rsidRPr="0010250E">
        <w:rPr>
          <w:rStyle w:val="AERbody"/>
        </w:rPr>
        <w:t>Fama-French model was developed to address mis-pricing on low-cap and value stocks.</w:t>
      </w:r>
      <w:r w:rsidRPr="0010250E">
        <w:rPr>
          <w:rStyle w:val="FootnoteReference"/>
        </w:rPr>
        <w:footnoteReference w:id="875"/>
      </w:r>
      <w:r w:rsidRPr="0010250E">
        <w:rPr>
          <w:rStyle w:val="AERbody"/>
        </w:rPr>
        <w:t xml:space="preserve"> </w:t>
      </w:r>
    </w:p>
    <w:p w:rsidR="009A1A4E" w:rsidRPr="008166A1" w:rsidRDefault="009A1A4E" w:rsidP="00CC7A1C">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876"/>
      </w:r>
      <w:r w:rsidRPr="008166A1">
        <w:rPr>
          <w:rStyle w:val="AERbody"/>
        </w:rPr>
        <w:t xml:space="preserve"> </w:t>
      </w:r>
    </w:p>
    <w:p w:rsidR="009A1A4E" w:rsidRDefault="009A1A4E" w:rsidP="00CC7A1C">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877"/>
      </w:r>
    </w:p>
    <w:p w:rsidR="009A1A4E" w:rsidRPr="006F34DC" w:rsidRDefault="009A1A4E" w:rsidP="009A1A4E">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9A1A4E" w:rsidRPr="001F02B3" w:rsidRDefault="009A1A4E" w:rsidP="00CC7A1C">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878"/>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879"/>
      </w:r>
    </w:p>
    <w:p w:rsidR="009A1A4E" w:rsidRPr="009A1A4E" w:rsidRDefault="009A1A4E" w:rsidP="00CC7A1C">
      <w:pPr>
        <w:numPr>
          <w:ilvl w:val="0"/>
          <w:numId w:val="24"/>
        </w:numPr>
      </w:pPr>
      <w:r>
        <w:t xml:space="preserve">We have discussed the relative empirical performance of the Sharpe-Lintner CAPM in section </w:t>
      </w:r>
      <w:r w:rsidR="00562786">
        <w:t>B.1</w:t>
      </w:r>
      <w:r>
        <w:t xml:space="preserve"> above. We set out our response to the other issues in the following sections.</w:t>
      </w:r>
    </w:p>
    <w:p w:rsidR="00BB18D4" w:rsidRDefault="00BB18D4" w:rsidP="00BB18D4">
      <w:pPr>
        <w:pStyle w:val="Heading9"/>
      </w:pPr>
      <w:bookmarkStart w:id="146" w:name="_Toc456686719"/>
      <w:r w:rsidRPr="00BB18D4">
        <w:t>Sensitivity to methodological choices</w:t>
      </w:r>
      <w:bookmarkEnd w:id="146"/>
    </w:p>
    <w:p w:rsidR="009A1A4E" w:rsidRDefault="009A1A4E" w:rsidP="00CC7A1C">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80"/>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81"/>
      </w:r>
    </w:p>
    <w:p w:rsidR="009A1A4E" w:rsidRDefault="009A1A4E" w:rsidP="00CC7A1C">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882"/>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9A1A4E" w:rsidRPr="00F17532" w:rsidRDefault="009A1A4E" w:rsidP="00CC7A1C">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883"/>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884"/>
      </w:r>
    </w:p>
    <w:p w:rsidR="009A1A4E" w:rsidRPr="001562D4" w:rsidRDefault="009A1A4E" w:rsidP="00CC7A1C">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885"/>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86"/>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87"/>
      </w:r>
      <w:r>
        <w:t xml:space="preserve"> In contrast, we have a higher degree of confidence in our Sharpe-Lintner CAPM input parameters and resulting return on equity estimates.</w:t>
      </w:r>
    </w:p>
    <w:p w:rsidR="009A1A4E" w:rsidRDefault="009A1A4E" w:rsidP="00CC7A1C">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9A1A4E" w:rsidRDefault="009A1A4E" w:rsidP="00CC7A1C">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888"/>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889"/>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890"/>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9A1A4E" w:rsidRDefault="009A1A4E" w:rsidP="00CC7A1C">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891"/>
      </w:r>
      <w:r>
        <w:t xml:space="preserve"> While we recognise that all models can be sensitive, we are not satisfied that the sensitivity of the Fama-French model is comparable to the Sharpe-Lintner CAPM. </w:t>
      </w:r>
    </w:p>
    <w:p w:rsidR="009A1A4E" w:rsidRDefault="009A1A4E" w:rsidP="00CC7A1C">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92"/>
      </w:r>
      <w:r>
        <w:t xml:space="preserve"> We have confidence in our proxy for the risk free rate, which would be the same if we were to apply the Fama-French model.</w:t>
      </w:r>
    </w:p>
    <w:p w:rsidR="009A1A4E" w:rsidRDefault="009A1A4E" w:rsidP="009A1A4E">
      <w:r>
        <w:t>Partington did not agree with SFG's submission that all models are sensitive to different estimation periods and methodologies. He advised:</w:t>
      </w:r>
      <w:r>
        <w:rPr>
          <w:rStyle w:val="FootnoteReference"/>
        </w:rPr>
        <w:footnoteReference w:id="893"/>
      </w:r>
    </w:p>
    <w:p w:rsidR="009A1A4E" w:rsidRDefault="009A1A4E" w:rsidP="009A1A4E">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9A1A4E" w:rsidRDefault="009A1A4E" w:rsidP="00CC7A1C">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894"/>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9A1A4E" w:rsidRPr="006C4D93" w:rsidRDefault="009A1A4E" w:rsidP="00CC7A1C">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895"/>
      </w:r>
      <w:r>
        <w:t xml:space="preserve"> Further, NERA previously submitted:</w:t>
      </w:r>
      <w:r w:rsidRPr="006C4D93">
        <w:rPr>
          <w:rStyle w:val="FootnoteReference"/>
        </w:rPr>
        <w:footnoteReference w:id="896"/>
      </w:r>
    </w:p>
    <w:p w:rsidR="009A1A4E" w:rsidRPr="001562D4" w:rsidRDefault="009A1A4E" w:rsidP="009A1A4E">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9A1A4E" w:rsidRPr="009A1A4E" w:rsidRDefault="009A1A4E" w:rsidP="009A1A4E">
      <w:r>
        <w:t>We do not consider there are clear objective grounds to distinguish the 'best' studies. McKenzie and Partington supported this view.</w:t>
      </w:r>
      <w:r>
        <w:rPr>
          <w:rStyle w:val="FootnoteReference"/>
        </w:rPr>
        <w:footnoteReference w:id="897"/>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898"/>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99"/>
      </w:r>
    </w:p>
    <w:p w:rsidR="00BB18D4" w:rsidRDefault="00BB18D4" w:rsidP="00BB18D4">
      <w:pPr>
        <w:pStyle w:val="Heading9"/>
      </w:pPr>
      <w:bookmarkStart w:id="147" w:name="_Ref449010281"/>
      <w:bookmarkStart w:id="148" w:name="_Toc456686720"/>
      <w:r w:rsidRPr="00BB18D4">
        <w:t>Fama-French factors may not reflect ex ante priced risk</w:t>
      </w:r>
      <w:bookmarkEnd w:id="147"/>
      <w:bookmarkEnd w:id="148"/>
    </w:p>
    <w:p w:rsidR="009A1A4E" w:rsidRDefault="009A1A4E" w:rsidP="00CC7A1C">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900"/>
      </w:r>
    </w:p>
    <w:p w:rsidR="009A1A4E" w:rsidRDefault="009A1A4E" w:rsidP="00CC7A1C">
      <w:pPr>
        <w:numPr>
          <w:ilvl w:val="0"/>
          <w:numId w:val="24"/>
        </w:numPr>
      </w:pPr>
      <w:r>
        <w:t>We are not satisfied the Fama-French model is helpful for our regulatory task because:</w:t>
      </w:r>
    </w:p>
    <w:p w:rsidR="009A1A4E" w:rsidRPr="0010250E" w:rsidRDefault="009A1A4E" w:rsidP="009A1A4E">
      <w:pPr>
        <w:pStyle w:val="AERbulletlistfirststyle"/>
      </w:pPr>
      <w:r>
        <w:t xml:space="preserve">We consider that whether </w:t>
      </w:r>
      <w:r w:rsidRPr="0010250E">
        <w:t>factors are priced in the cross-section is unresolved. SFG referred to a number of possible explanations for why the value factor could be genuinely priced in average returns in the cross section.</w:t>
      </w:r>
      <w:r w:rsidRPr="0010250E">
        <w:rPr>
          <w:rStyle w:val="FootnoteReference"/>
        </w:rPr>
        <w:footnoteReference w:id="901"/>
      </w:r>
      <w:r w:rsidRPr="0010250E">
        <w:t xml:space="preserve"> However, none of the possible reasons is commonly accepted.</w:t>
      </w:r>
      <w:r w:rsidRPr="0010250E">
        <w:rPr>
          <w:rStyle w:val="FootnoteReference"/>
        </w:rPr>
        <w:footnoteReference w:id="902"/>
      </w:r>
    </w:p>
    <w:p w:rsidR="009A1A4E" w:rsidRPr="0010250E" w:rsidRDefault="009A1A4E" w:rsidP="009A1A4E">
      <w:pPr>
        <w:pStyle w:val="AERbulletlistfirststyle"/>
      </w:pPr>
      <w:r>
        <w:t>E</w:t>
      </w:r>
      <w:r w:rsidRPr="0010250E">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9A1A4E" w:rsidRDefault="009A1A4E" w:rsidP="009A1A4E">
      <w:r>
        <w:t>S</w:t>
      </w:r>
      <w:r w:rsidR="003C78BA">
        <w:t>ome s</w:t>
      </w:r>
      <w:r>
        <w:t>ervice providers previously noted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903"/>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904"/>
      </w:r>
    </w:p>
    <w:p w:rsidR="009A1A4E" w:rsidRDefault="009A1A4E" w:rsidP="00CC7A1C">
      <w:pPr>
        <w:pStyle w:val="ListParagraph"/>
        <w:numPr>
          <w:ilvl w:val="0"/>
          <w:numId w:val="24"/>
        </w:numPr>
      </w:pPr>
      <w:r>
        <w:t xml:space="preserve">We note that </w:t>
      </w:r>
      <w:r w:rsidR="003C78BA">
        <w:t xml:space="preserve">some </w:t>
      </w:r>
      <w:r>
        <w:t xml:space="preserve">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905"/>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906"/>
      </w:r>
      <w:r>
        <w:t xml:space="preserve"> They added that f</w:t>
      </w:r>
      <w:r w:rsidRPr="00615EDE">
        <w:t>orecasting stock returns and determining equilibrium expected returns (asset pricing) are two different tasks.</w:t>
      </w:r>
      <w:r>
        <w:rPr>
          <w:rStyle w:val="FootnoteReference"/>
        </w:rPr>
        <w:footnoteReference w:id="907"/>
      </w:r>
      <w:r w:rsidRPr="00615EDE">
        <w:t xml:space="preserve"> </w:t>
      </w:r>
    </w:p>
    <w:p w:rsidR="009A1A4E" w:rsidRPr="009A1A4E" w:rsidRDefault="009A1A4E" w:rsidP="00CC7A1C">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908"/>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BB18D4" w:rsidRDefault="00BB18D4" w:rsidP="00BB18D4">
      <w:pPr>
        <w:pStyle w:val="Heading8"/>
      </w:pPr>
      <w:bookmarkStart w:id="149" w:name="_Ref449007421"/>
      <w:bookmarkStart w:id="150" w:name="_Toc451943789"/>
      <w:bookmarkStart w:id="151" w:name="_Toc456686721"/>
      <w:bookmarkStart w:id="152" w:name="_Toc481057066"/>
      <w:r w:rsidRPr="00BB18D4">
        <w:t>Dividend growth model</w:t>
      </w:r>
      <w:bookmarkEnd w:id="149"/>
      <w:bookmarkEnd w:id="150"/>
      <w:bookmarkEnd w:id="151"/>
      <w:bookmarkEnd w:id="152"/>
    </w:p>
    <w:p w:rsidR="009A1A4E" w:rsidRDefault="009A1A4E" w:rsidP="00CC7A1C">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C6448C">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9A1A4E" w:rsidRPr="00957F0D" w:rsidRDefault="009A1A4E" w:rsidP="00CC7A1C">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9A1A4E" w:rsidRPr="0010250E" w:rsidRDefault="009A1A4E" w:rsidP="009A1A4E">
      <w:pPr>
        <w:pStyle w:val="AERbulletlistfirststyle"/>
      </w:pPr>
      <w:r>
        <w:t>e</w:t>
      </w:r>
      <w:r w:rsidRPr="0010250E">
        <w:t>stimating the return on equity for the benchmark efficient entity</w:t>
      </w:r>
    </w:p>
    <w:p w:rsidR="009A1A4E" w:rsidRPr="0010250E" w:rsidRDefault="009A1A4E" w:rsidP="009A1A4E">
      <w:pPr>
        <w:pStyle w:val="AERbulletlistfirststyle"/>
      </w:pPr>
      <w:r>
        <w:t>p</w:t>
      </w:r>
      <w:r w:rsidRPr="0010250E">
        <w:t>erforming a cross check on whether other models (including the Sharpe-Lintner CAPM) are producing reasonable estimates of the return on equity.</w:t>
      </w:r>
    </w:p>
    <w:p w:rsidR="009A1A4E" w:rsidRPr="00957F0D" w:rsidRDefault="009A1A4E" w:rsidP="00CC7A1C">
      <w:pPr>
        <w:numPr>
          <w:ilvl w:val="0"/>
          <w:numId w:val="24"/>
        </w:numPr>
      </w:pPr>
      <w:r>
        <w:t>Our</w:t>
      </w:r>
      <w:r w:rsidRPr="00957F0D">
        <w:t xml:space="preserve"> reasons for </w:t>
      </w:r>
      <w:r>
        <w:t>this position</w:t>
      </w:r>
      <w:r w:rsidRPr="00957F0D">
        <w:t xml:space="preserve"> are:</w:t>
      </w:r>
    </w:p>
    <w:p w:rsidR="009A1A4E" w:rsidRPr="0010250E" w:rsidRDefault="009A1A4E" w:rsidP="009A1A4E">
      <w:pPr>
        <w:pStyle w:val="AERbulletlistfirststyle"/>
      </w:pPr>
      <w:r>
        <w:t>T</w:t>
      </w:r>
      <w:r w:rsidRPr="0010250E">
        <w:t>here is insufficient data on dividend forecasts to form robust estimates of the required return on equity for Australian energy network service providers.</w:t>
      </w:r>
      <w:r w:rsidRPr="0010250E">
        <w:rPr>
          <w:rStyle w:val="FootnoteReference"/>
        </w:rPr>
        <w:footnoteReference w:id="909"/>
      </w:r>
      <w:r w:rsidRPr="0010250E">
        <w:t xml:space="preserve"> As such, there are practical difficulties in constructing credible datasets for implementing industry specific dividend growth models.</w:t>
      </w:r>
      <w:r w:rsidRPr="0010250E">
        <w:rPr>
          <w:rStyle w:val="FootnoteReference"/>
        </w:rPr>
        <w:footnoteReference w:id="910"/>
      </w:r>
      <w:r w:rsidRPr="0010250E">
        <w:t xml:space="preserve"> Also, there are too few Australian businesses to estimate dividend growth models on an individual business level.</w:t>
      </w:r>
      <w:r w:rsidRPr="0010250E">
        <w:rPr>
          <w:rStyle w:val="FootnoteReference"/>
        </w:rPr>
        <w:footnoteReference w:id="911"/>
      </w:r>
      <w:r w:rsidRPr="0010250E">
        <w:t xml:space="preserve"> However, a sufficiently robust data series exists for dividend yields for the Australian market as a whole.</w:t>
      </w:r>
    </w:p>
    <w:p w:rsidR="009A1A4E" w:rsidRPr="0010250E" w:rsidRDefault="009A1A4E" w:rsidP="009A1A4E">
      <w:pPr>
        <w:pStyle w:val="AERbulletlistfirststyle"/>
      </w:pPr>
      <w:r>
        <w:t>We do not consider that</w:t>
      </w:r>
      <w:r w:rsidRPr="0010250E">
        <w:t xml:space="preserve"> there is a sufficiently robust method for estimating the long-term dividend growth rate</w:t>
      </w:r>
      <w:r w:rsidRPr="0010250E">
        <w:rPr>
          <w:rStyle w:val="CommentReference"/>
        </w:rPr>
        <w:t xml:space="preserve"> </w:t>
      </w:r>
      <w:r w:rsidRPr="0010250E">
        <w:t>for Australian energy network service providers.</w:t>
      </w:r>
      <w:r w:rsidRPr="0010250E">
        <w:rPr>
          <w:rStyle w:val="FootnoteReference"/>
        </w:rPr>
        <w:footnoteReference w:id="912"/>
      </w:r>
      <w:r w:rsidRPr="0010250E">
        <w:t xml:space="preserve"> However, there are developed methods for estimating the long-term growth rate of dividends for the Australian market as a whole.</w:t>
      </w:r>
      <w:r w:rsidRPr="0010250E">
        <w:rPr>
          <w:rStyle w:val="FootnoteReference"/>
        </w:rPr>
        <w:footnoteReference w:id="913"/>
      </w:r>
      <w:r w:rsidRPr="0010250E">
        <w:t xml:space="preserve"> </w:t>
      </w:r>
    </w:p>
    <w:p w:rsidR="009A1A4E" w:rsidRPr="0010250E" w:rsidRDefault="009A1A4E" w:rsidP="009A1A4E">
      <w:pPr>
        <w:pStyle w:val="AERbulletlistfirststyle"/>
      </w:pPr>
      <w:r>
        <w:t>Dividend growth models</w:t>
      </w:r>
      <w:r w:rsidRPr="0010250E">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10250E">
        <w:rPr>
          <w:rStyle w:val="CommentReference"/>
        </w:rPr>
        <w:t xml:space="preserve"> </w:t>
      </w:r>
      <w:r w:rsidRPr="0010250E">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10250E">
        <w:rPr>
          <w:rStyle w:val="FootnoteReference"/>
        </w:rPr>
        <w:footnoteReference w:id="914"/>
      </w:r>
    </w:p>
    <w:p w:rsidR="009A1A4E" w:rsidRPr="0010250E" w:rsidRDefault="009A1A4E" w:rsidP="009A1A4E">
      <w:pPr>
        <w:pStyle w:val="AERbulletlistfirststyle"/>
      </w:pPr>
      <w:r>
        <w:t>Dividend growth model estimates may be upwardly biased due to:</w:t>
      </w:r>
    </w:p>
    <w:p w:rsidR="009A1A4E" w:rsidRDefault="009A1A4E" w:rsidP="009A1A4E">
      <w:pPr>
        <w:pStyle w:val="AERbulletlistsecondstyle"/>
      </w:pPr>
      <w:r>
        <w:t>The well-understood upwards bias in a</w:t>
      </w:r>
      <w:r w:rsidRPr="00B4711B">
        <w:t>nalyst forecasts</w:t>
      </w:r>
      <w:r>
        <w:t>.</w:t>
      </w:r>
      <w:r w:rsidRPr="00B4711B">
        <w:rPr>
          <w:rStyle w:val="FootnoteReference"/>
        </w:rPr>
        <w:footnoteReference w:id="915"/>
      </w:r>
    </w:p>
    <w:p w:rsidR="009A1A4E" w:rsidRDefault="009A1A4E" w:rsidP="009A1A4E">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916"/>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917"/>
      </w:r>
    </w:p>
    <w:p w:rsidR="009A1A4E" w:rsidRDefault="009A1A4E" w:rsidP="009A1A4E">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18"/>
      </w:r>
      <w:r w:rsidRPr="0065391F">
        <w:rPr>
          <w:rStyle w:val="AERbody"/>
        </w:rPr>
        <w:t xml:space="preserve"> </w:t>
      </w:r>
    </w:p>
    <w:p w:rsidR="009A1A4E" w:rsidRPr="00B4711B" w:rsidRDefault="009A1A4E" w:rsidP="009A1A4E">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919"/>
      </w:r>
    </w:p>
    <w:p w:rsidR="009A1A4E" w:rsidRPr="002F6B48" w:rsidRDefault="009A1A4E" w:rsidP="009A1A4E">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9A1A4E" w:rsidRDefault="009A1A4E" w:rsidP="009A1A4E">
      <w:r w:rsidRPr="00767D37">
        <w:t>We note much of th</w:t>
      </w:r>
      <w:r w:rsidR="003C78BA">
        <w:t>is</w:t>
      </w:r>
      <w:r w:rsidRPr="00767D37">
        <w:t xml:space="preserve"> material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920"/>
      </w:r>
      <w:r w:rsidRPr="00690E38">
        <w:t xml:space="preserve"> </w:t>
      </w:r>
      <w:r w:rsidR="009E2F4C">
        <w:t>They were</w:t>
      </w:r>
      <w:r>
        <w:t xml:space="preserve"> resubmitted for our decisions in May, July and August 2016.</w:t>
      </w:r>
    </w:p>
    <w:p w:rsidR="009A1A4E" w:rsidRDefault="009A1A4E" w:rsidP="009A1A4E">
      <w:r w:rsidRPr="00690E38">
        <w:t>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921"/>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922"/>
      </w:r>
      <w:r w:rsidRPr="00690E38">
        <w:t xml:space="preserve"> While we use the dividend growth model to inform the estimate of the market risk premium, we also take these concerns into account.</w:t>
      </w:r>
    </w:p>
    <w:p w:rsidR="009A1A4E" w:rsidRPr="00957F0D" w:rsidRDefault="009A1A4E" w:rsidP="00CC7A1C">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923"/>
      </w:r>
    </w:p>
    <w:p w:rsidR="009A1A4E" w:rsidRPr="00957F0D" w:rsidRDefault="009A1A4E" w:rsidP="009A1A4E">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9A1A4E" w:rsidRPr="00957F0D" w:rsidRDefault="009A1A4E" w:rsidP="00CC7A1C">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924"/>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925"/>
      </w:r>
    </w:p>
    <w:p w:rsidR="009A1A4E" w:rsidRPr="00045ECA" w:rsidRDefault="009A1A4E" w:rsidP="00CC7A1C">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926"/>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927"/>
      </w:r>
      <w:r w:rsidRPr="00045ECA">
        <w:t xml:space="preserve"> </w:t>
      </w:r>
    </w:p>
    <w:p w:rsidR="009A1A4E" w:rsidRDefault="0089007A" w:rsidP="00CC7A1C">
      <w:pPr>
        <w:numPr>
          <w:ilvl w:val="0"/>
          <w:numId w:val="24"/>
        </w:numPr>
      </w:pPr>
      <w:r>
        <w:t xml:space="preserve">During our previous tranche of regulatory decisions, </w:t>
      </w:r>
      <w:r w:rsidR="003C78BA">
        <w:t>we did not receive</w:t>
      </w:r>
      <w:r w:rsidR="009A1A4E">
        <w:t xml:space="preserve"> any substantively new evidence to alleviate our concerns that the dividend growth model cannot reliably estimate return on equity for individual firms or sectors.</w:t>
      </w:r>
      <w:r w:rsidR="009A1A4E">
        <w:rPr>
          <w:rStyle w:val="FootnoteReference"/>
        </w:rPr>
        <w:footnoteReference w:id="928"/>
      </w:r>
      <w:r w:rsidR="009A1A4E">
        <w:t xml:space="preserve"> </w:t>
      </w:r>
      <w:r w:rsidR="003C78BA">
        <w:t>There was no</w:t>
      </w:r>
      <w:r w:rsidR="009A1A4E">
        <w:t xml:space="preserve"> compelling evidence that dividend growth model estimates of market risk premium are not upwardly biased. </w:t>
      </w:r>
      <w:r w:rsidR="003C78BA">
        <w:t>AusNet Services has</w:t>
      </w:r>
      <w:r>
        <w:t xml:space="preserve"> not provided any substantively new evidence.</w:t>
      </w:r>
      <w:r>
        <w:rPr>
          <w:rStyle w:val="FootnoteReference"/>
        </w:rPr>
        <w:footnoteReference w:id="929"/>
      </w:r>
    </w:p>
    <w:p w:rsidR="009A1A4E" w:rsidRPr="004D7F0F" w:rsidRDefault="009A1A4E" w:rsidP="00CC7A1C">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Partington and Satchell also share </w:t>
      </w:r>
      <w:r>
        <w:t>our</w:t>
      </w:r>
      <w:r w:rsidRPr="004D7F0F">
        <w:t xml:space="preserve"> concerns on these issues.</w:t>
      </w:r>
      <w:r w:rsidRPr="004D7F0F">
        <w:rPr>
          <w:rStyle w:val="FootnoteReference"/>
        </w:rPr>
        <w:footnoteReference w:id="930"/>
      </w:r>
    </w:p>
    <w:p w:rsidR="009A1A4E" w:rsidRDefault="009A1A4E" w:rsidP="00CC7A1C">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C6448C">
        <w:t>D.4</w:t>
      </w:r>
      <w:r>
        <w:fldChar w:fldCharType="end"/>
      </w:r>
      <w:r>
        <w:t>.</w:t>
      </w:r>
    </w:p>
    <w:p w:rsidR="009A1A4E" w:rsidRPr="009A1A4E" w:rsidRDefault="009A1A4E" w:rsidP="009A1A4E">
      <w:r>
        <w:t>SFG's construction of the dividend growth model and approach to using the model to estimate return on equity</w:t>
      </w:r>
      <w:r w:rsidR="003C78BA">
        <w:t xml:space="preserve"> has been supported by some service providers in the past</w:t>
      </w:r>
      <w:r>
        <w:t>.</w:t>
      </w:r>
      <w:r w:rsidRPr="001C657E">
        <w:rPr>
          <w:rStyle w:val="FootnoteReference"/>
        </w:rPr>
        <w:t xml:space="preserve"> </w:t>
      </w:r>
      <w:r>
        <w:rPr>
          <w:rStyle w:val="FootnoteReference"/>
        </w:rPr>
        <w:footnoteReference w:id="931"/>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C6448C">
        <w:t>B.4.1</w:t>
      </w:r>
      <w:r>
        <w:fldChar w:fldCharType="end"/>
      </w:r>
      <w:r>
        <w:t xml:space="preserve"> below.</w:t>
      </w:r>
    </w:p>
    <w:p w:rsidR="00BB18D4" w:rsidRDefault="00BB18D4" w:rsidP="00BB18D4">
      <w:pPr>
        <w:pStyle w:val="Heading9"/>
      </w:pPr>
      <w:bookmarkStart w:id="153" w:name="_Ref449021062"/>
      <w:bookmarkStart w:id="154" w:name="_Toc456686722"/>
      <w:r w:rsidRPr="00BB18D4">
        <w:t>SFG's construction of the dividend growth model</w:t>
      </w:r>
      <w:bookmarkEnd w:id="153"/>
      <w:bookmarkEnd w:id="154"/>
    </w:p>
    <w:p w:rsidR="009A1A4E" w:rsidRDefault="009A1A4E" w:rsidP="00CC7A1C">
      <w:pPr>
        <w:numPr>
          <w:ilvl w:val="0"/>
          <w:numId w:val="24"/>
        </w:numPr>
      </w:pPr>
      <w:r>
        <w:t>SFG and several service providers</w:t>
      </w:r>
      <w:r w:rsidR="003C78BA">
        <w:t xml:space="preserve"> have</w:t>
      </w:r>
      <w:r>
        <w:t xml:space="preserve"> previously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932"/>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933"/>
      </w:r>
      <w:r w:rsidRPr="00B4711B">
        <w:t xml:space="preserve"> However, we consider SFG has overstated the ability of its </w:t>
      </w:r>
      <w:r>
        <w:t>dividend growth model</w:t>
      </w:r>
      <w:r w:rsidRPr="00B4711B">
        <w:t xml:space="preserve"> to provide robust return on equity estimates at the industry level.</w:t>
      </w:r>
    </w:p>
    <w:p w:rsidR="009A1A4E" w:rsidRDefault="009A1A4E" w:rsidP="00CC7A1C">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934"/>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9A1A4E" w:rsidRPr="00941168" w:rsidRDefault="009A1A4E" w:rsidP="00CC7A1C">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935"/>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936"/>
      </w:r>
      <w:r w:rsidRPr="00941168">
        <w:t xml:space="preserve"> </w:t>
      </w:r>
    </w:p>
    <w:p w:rsidR="009A1A4E" w:rsidRPr="00941168" w:rsidRDefault="009A1A4E" w:rsidP="00CC7A1C">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9A1A4E" w:rsidRDefault="009A1A4E" w:rsidP="009A1A4E">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9A1A4E" w:rsidRPr="001562D4" w:rsidRDefault="009A1A4E" w:rsidP="00CC7A1C">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37"/>
      </w:r>
    </w:p>
    <w:p w:rsidR="009A1A4E" w:rsidRPr="00B4711B" w:rsidRDefault="009A1A4E" w:rsidP="009A1A4E">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938"/>
      </w:r>
      <w:r w:rsidRPr="00B4711B">
        <w:t xml:space="preserve"> However, this perception of stability is subjective and we do not agree with it. </w:t>
      </w:r>
      <w:r>
        <w:fldChar w:fldCharType="begin"/>
      </w:r>
      <w:r>
        <w:instrText xml:space="preserve"> REF _Ref451895691 \h </w:instrText>
      </w:r>
      <w:r>
        <w:fldChar w:fldCharType="separate"/>
      </w:r>
      <w:r w:rsidR="00C6448C">
        <w:t xml:space="preserve">Figure </w:t>
      </w:r>
      <w:r w:rsidR="00C6448C">
        <w:rPr>
          <w:noProof/>
        </w:rPr>
        <w:t>3</w:t>
      </w:r>
      <w:r w:rsidR="00C6448C">
        <w:noBreakHyphen/>
      </w:r>
      <w:r w:rsidR="00C6448C">
        <w:rPr>
          <w:noProof/>
        </w:rPr>
        <w:t>6</w:t>
      </w:r>
      <w:r>
        <w:fldChar w:fldCharType="end"/>
      </w:r>
      <w:r>
        <w:t xml:space="preserve"> </w:t>
      </w:r>
      <w:r w:rsidRPr="00B4711B">
        <w:t>illustrates this point by showing three time series:</w:t>
      </w:r>
      <w:r w:rsidRPr="00B4711B">
        <w:rPr>
          <w:rStyle w:val="FootnoteReference"/>
        </w:rPr>
        <w:footnoteReference w:id="939"/>
      </w:r>
    </w:p>
    <w:p w:rsidR="009A1A4E" w:rsidRPr="0010250E" w:rsidRDefault="009A1A4E" w:rsidP="009A1A4E">
      <w:pPr>
        <w:pStyle w:val="AERbulletlistfirststyle"/>
      </w:pPr>
      <w:r w:rsidRPr="00B4711B">
        <w:t xml:space="preserve">the return on equity for the market determined by SFG's </w:t>
      </w:r>
      <w:r w:rsidRPr="0010250E">
        <w:t>model (blue line)</w:t>
      </w:r>
    </w:p>
    <w:p w:rsidR="009A1A4E" w:rsidRPr="0010250E" w:rsidRDefault="009A1A4E" w:rsidP="009A1A4E">
      <w:pPr>
        <w:pStyle w:val="AERbulletlistfirststyle"/>
      </w:pPr>
      <w:r w:rsidRPr="00B4711B">
        <w:t xml:space="preserve">the return on equity for network businesses determined by multiplying the </w:t>
      </w:r>
      <w:r w:rsidRPr="0010250E">
        <w:t>market risk premium from SFG's model by 0.94 then adding the prevailing risk free rate (green line)</w:t>
      </w:r>
    </w:p>
    <w:p w:rsidR="009A1A4E" w:rsidRPr="0010250E" w:rsidRDefault="009A1A4E" w:rsidP="009A1A4E">
      <w:pPr>
        <w:pStyle w:val="AERbulletlistfirststyle"/>
      </w:pPr>
      <w:r w:rsidRPr="00B4711B">
        <w:t xml:space="preserve">the return on equity for network businesses determined by directly applying SFG's </w:t>
      </w:r>
      <w:r w:rsidRPr="0010250E">
        <w:t>model (red line).</w:t>
      </w:r>
    </w:p>
    <w:p w:rsidR="009A1A4E" w:rsidRDefault="009A1A4E" w:rsidP="009A1A4E">
      <w:pPr>
        <w:pStyle w:val="Caption"/>
      </w:pPr>
      <w:bookmarkStart w:id="155" w:name="_Ref451895691"/>
      <w:r>
        <w:t xml:space="preserve">Figure </w:t>
      </w:r>
      <w:fldSimple w:instr=" STYLEREF 1 \s ">
        <w:r w:rsidR="00C6448C">
          <w:rPr>
            <w:noProof/>
          </w:rPr>
          <w:t>3</w:t>
        </w:r>
      </w:fldSimple>
      <w:r w:rsidR="00882F3D">
        <w:noBreakHyphen/>
      </w:r>
      <w:fldSimple w:instr=" SEQ Figure \* ARABIC \s 1 ">
        <w:r w:rsidR="00C6448C">
          <w:rPr>
            <w:noProof/>
          </w:rPr>
          <w:t>6</w:t>
        </w:r>
      </w:fldSimple>
      <w:bookmarkEnd w:id="155"/>
      <w:r>
        <w:tab/>
      </w:r>
      <w:r w:rsidRPr="00B4711B">
        <w:t>Movements in SFG's dividend growth model</w:t>
      </w:r>
    </w:p>
    <w:p w:rsidR="009A1A4E" w:rsidRPr="00B4711B" w:rsidRDefault="009A1A4E" w:rsidP="00CC7A1C">
      <w:pPr>
        <w:numPr>
          <w:ilvl w:val="0"/>
          <w:numId w:val="24"/>
        </w:numPr>
      </w:pPr>
      <w:r w:rsidRPr="009A1A4E">
        <w:rPr>
          <w:noProof/>
          <w:lang w:eastAsia="en-AU"/>
        </w:rPr>
        <w:drawing>
          <wp:inline distT="0" distB="0" distL="0" distR="0" wp14:anchorId="5B6A659A" wp14:editId="1BC8B617">
            <wp:extent cx="5382895" cy="32236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9A1A4E" w:rsidRPr="00B4711B" w:rsidRDefault="009A1A4E" w:rsidP="009A1A4E">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940"/>
      </w:r>
    </w:p>
    <w:p w:rsidR="009A1A4E" w:rsidRPr="00B4711B" w:rsidRDefault="009A1A4E" w:rsidP="009A1A4E">
      <w:pPr>
        <w:pStyle w:val="AERtablesource"/>
      </w:pPr>
      <w:r w:rsidRPr="00B4711B">
        <w:t>Note:</w:t>
      </w:r>
      <w:r w:rsidRPr="00B4711B">
        <w:tab/>
        <w:t>SFG calls the market value return on equity, the 'cost of equity'. This is the concept we refer to throughout this decision as the 'return on equity'.</w:t>
      </w:r>
    </w:p>
    <w:p w:rsidR="009A1A4E" w:rsidRPr="00B4711B" w:rsidRDefault="009A1A4E" w:rsidP="009A1A4E">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9A1A4E" w:rsidRPr="009A1A4E" w:rsidRDefault="009A1A4E" w:rsidP="00CC7A1C">
      <w:pPr>
        <w:numPr>
          <w:ilvl w:val="0"/>
          <w:numId w:val="24"/>
        </w:numPr>
      </w:pPr>
      <w:r>
        <w:fldChar w:fldCharType="begin"/>
      </w:r>
      <w:r>
        <w:instrText xml:space="preserve"> REF _Ref451895691 \h </w:instrText>
      </w:r>
      <w:r>
        <w:fldChar w:fldCharType="separate"/>
      </w:r>
      <w:r w:rsidR="00C6448C">
        <w:t xml:space="preserve">Figure </w:t>
      </w:r>
      <w:r w:rsidR="00C6448C">
        <w:rPr>
          <w:noProof/>
        </w:rPr>
        <w:t>3</w:t>
      </w:r>
      <w:r w:rsidR="00C6448C">
        <w:noBreakHyphen/>
      </w:r>
      <w:r w:rsidR="00C6448C">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BB18D4" w:rsidRPr="00BB18D4" w:rsidRDefault="00BB18D4" w:rsidP="00BB18D4">
      <w:pPr>
        <w:pStyle w:val="Heading8"/>
      </w:pPr>
      <w:bookmarkStart w:id="156" w:name="_Ref449018117"/>
      <w:bookmarkStart w:id="157" w:name="_Toc451943790"/>
      <w:bookmarkStart w:id="158" w:name="_Toc456686723"/>
      <w:bookmarkStart w:id="159" w:name="_Toc481057067"/>
      <w:r w:rsidRPr="00BB18D4">
        <w:t>Wright CAPM and historical CAPM</w:t>
      </w:r>
      <w:bookmarkEnd w:id="156"/>
      <w:bookmarkEnd w:id="157"/>
      <w:bookmarkEnd w:id="158"/>
      <w:bookmarkEnd w:id="159"/>
    </w:p>
    <w:p w:rsidR="00C33F1F" w:rsidRDefault="00C33F1F" w:rsidP="00CC7A1C">
      <w:pPr>
        <w:numPr>
          <w:ilvl w:val="0"/>
          <w:numId w:val="24"/>
        </w:numPr>
      </w:pPr>
      <w:bookmarkStart w:id="160" w:name="_Toc443923196"/>
      <w:bookmarkStart w:id="161" w:name="_Toc452629085"/>
      <w:bookmarkStart w:id="162" w:name="_Toc456686724"/>
      <w:bookmarkEnd w:id="106"/>
      <w:bookmarkEnd w:id="107"/>
      <w:bookmarkEnd w:id="108"/>
      <w:bookmarkEnd w:id="109"/>
      <w:bookmarkEnd w:id="110"/>
      <w:bookmarkEnd w:id="111"/>
      <w:bookmarkEnd w:id="112"/>
      <w:bookmarkEnd w:id="113"/>
      <w:bookmarkEnd w:id="114"/>
      <w:bookmarkEnd w:id="115"/>
      <w:bookmarkEnd w:id="116"/>
      <w:bookmarkEnd w:id="117"/>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C33F1F" w:rsidRDefault="00C33F1F" w:rsidP="00CC7A1C">
      <w:pPr>
        <w:numPr>
          <w:ilvl w:val="0"/>
          <w:numId w:val="24"/>
        </w:numPr>
      </w:pPr>
      <m:oMath>
        <m:r>
          <w:rPr>
            <w:rFonts w:ascii="Cambria Math" w:hAnsi="Cambria Math"/>
          </w:rPr>
          <m:t>ke=rf+βe×(rm-rf)</m:t>
        </m:r>
      </m:oMath>
    </w:p>
    <w:p w:rsidR="00C33F1F" w:rsidRPr="0082305A" w:rsidRDefault="00C33F1F" w:rsidP="00C33F1F">
      <w:pPr>
        <w:pStyle w:val="AERtablesource"/>
      </w:pPr>
      <w:r>
        <w:t>W</w:t>
      </w:r>
      <w:r w:rsidRPr="0082305A">
        <w:t>here</w:t>
      </w:r>
      <w:r>
        <w:t>:</w:t>
      </w:r>
      <w:r>
        <w:tab/>
      </w:r>
      <m:oMath>
        <m:r>
          <w:rPr>
            <w:rFonts w:ascii="Cambria Math" w:hAnsi="Cambria Math"/>
          </w:rPr>
          <m:t>ke</m:t>
        </m:r>
      </m:oMath>
      <w:r w:rsidRPr="0082305A">
        <w:t xml:space="preserve"> is the expected return on equity</w:t>
      </w:r>
    </w:p>
    <w:p w:rsidR="00C33F1F" w:rsidRPr="0082305A" w:rsidRDefault="00C33F1F" w:rsidP="00C33F1F">
      <w:pPr>
        <w:pStyle w:val="AERtablesource"/>
      </w:pPr>
      <w:r>
        <w:tab/>
      </w:r>
      <m:oMath>
        <m:r>
          <w:rPr>
            <w:rFonts w:ascii="Cambria Math" w:hAnsi="Cambria Math"/>
          </w:rPr>
          <m:t>rf</m:t>
        </m:r>
      </m:oMath>
      <w:r w:rsidRPr="0082305A">
        <w:t xml:space="preserve"> is the risk free rate</w:t>
      </w:r>
    </w:p>
    <w:p w:rsidR="00C33F1F" w:rsidRPr="0082305A" w:rsidRDefault="00C33F1F" w:rsidP="00C33F1F">
      <w:pPr>
        <w:pStyle w:val="AERtablesource"/>
      </w:pPr>
      <w:r>
        <w:tab/>
      </w:r>
      <m:oMath>
        <m:r>
          <w:rPr>
            <w:rFonts w:ascii="Cambria Math" w:hAnsi="Cambria Math"/>
          </w:rPr>
          <m:t>βe</m:t>
        </m:r>
      </m:oMath>
      <w:r w:rsidRPr="0082305A">
        <w:t xml:space="preserve"> is the equity beta</w:t>
      </w:r>
    </w:p>
    <w:p w:rsidR="00C33F1F" w:rsidRDefault="00C33F1F" w:rsidP="00C33F1F">
      <w:pPr>
        <w:pStyle w:val="AERtablesource"/>
      </w:pPr>
      <w:r>
        <w:tab/>
      </w:r>
      <m:oMath>
        <m:r>
          <w:rPr>
            <w:rFonts w:ascii="Cambria Math" w:hAnsi="Cambria Math"/>
          </w:rPr>
          <m:t>rm</m:t>
        </m:r>
      </m:oMath>
      <w:r w:rsidRPr="0082305A">
        <w:t xml:space="preserve"> is the expected return on the market</w:t>
      </w:r>
    </w:p>
    <w:p w:rsidR="00C33F1F" w:rsidRDefault="00C33F1F" w:rsidP="00CC7A1C">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941"/>
      </w:r>
      <w:r>
        <w:t xml:space="preserve"> </w:t>
      </w:r>
    </w:p>
    <w:p w:rsidR="00C33F1F" w:rsidRPr="00957F0D" w:rsidRDefault="00C33F1F" w:rsidP="00CC7A1C">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C33F1F" w:rsidRPr="00F63640" w:rsidRDefault="00C33F1F" w:rsidP="00C33F1F">
      <w:pPr>
        <w:pStyle w:val="AERbulletlistfirststyle"/>
      </w:pPr>
      <w:r>
        <w:t>e</w:t>
      </w:r>
      <w:r w:rsidRPr="00957F0D">
        <w:t>stimating</w:t>
      </w:r>
      <w:r w:rsidRPr="00F63640">
        <w:t xml:space="preserve"> the return on equity for the benchmark efficient entity</w:t>
      </w:r>
    </w:p>
    <w:p w:rsidR="00C33F1F" w:rsidRPr="00F63640" w:rsidRDefault="00C33F1F" w:rsidP="00C33F1F">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C33F1F" w:rsidRPr="00957F0D" w:rsidRDefault="00C33F1F" w:rsidP="00CC7A1C">
      <w:pPr>
        <w:numPr>
          <w:ilvl w:val="0"/>
          <w:numId w:val="24"/>
        </w:numPr>
      </w:pPr>
      <w:r>
        <w:t>Our</w:t>
      </w:r>
      <w:r w:rsidRPr="00957F0D">
        <w:t xml:space="preserve"> reasons for </w:t>
      </w:r>
      <w:r>
        <w:t>this position</w:t>
      </w:r>
      <w:r w:rsidRPr="00957F0D">
        <w:t xml:space="preserve"> are:</w:t>
      </w:r>
    </w:p>
    <w:p w:rsidR="00C33F1F" w:rsidRPr="00F63640" w:rsidRDefault="00C33F1F" w:rsidP="00C33F1F">
      <w:pPr>
        <w:pStyle w:val="AERbulletlistfirststyle"/>
      </w:pPr>
      <w:r w:rsidRPr="00957F0D">
        <w:t>The models are not theoretically justified. The S</w:t>
      </w:r>
      <w:r>
        <w:t>harpe-</w:t>
      </w:r>
      <w:r w:rsidRPr="00957F0D">
        <w:t>L</w:t>
      </w:r>
      <w:r>
        <w:t xml:space="preserve">intner </w:t>
      </w:r>
      <w:r w:rsidRPr="00F63640">
        <w:t>CAPM is a forward-looking equilibrium asset pricing model and therefore requires forward looking input parameters.</w:t>
      </w:r>
      <w:r w:rsidRPr="00F63640">
        <w:rPr>
          <w:rStyle w:val="FootnoteReference"/>
        </w:rPr>
        <w:footnoteReference w:id="942"/>
      </w:r>
    </w:p>
    <w:p w:rsidR="00C33F1F" w:rsidRPr="00F63640" w:rsidRDefault="00C33F1F" w:rsidP="00C33F1F">
      <w:pPr>
        <w:pStyle w:val="AERbulletlistfirststyle"/>
      </w:pPr>
      <w:r w:rsidRPr="00957F0D">
        <w:t>The models do not take into acc</w:t>
      </w:r>
      <w:r w:rsidRPr="00F63640">
        <w:t>ount changing market conditions. Therefore, they are unlikely to (at a given point in time) estimate an unbiased forward-looking estimate of the required return on equity.</w:t>
      </w:r>
      <w:r w:rsidRPr="009B3DBE">
        <w:t xml:space="preserve"> </w:t>
      </w:r>
      <w:r>
        <w:t>H</w:t>
      </w:r>
      <w:r w:rsidRPr="001562D4">
        <w:t>istorical data may be used as a basis for estimates of the model</w:t>
      </w:r>
      <w:r>
        <w:t xml:space="preserve">’s </w:t>
      </w:r>
      <w:r w:rsidRPr="001562D4">
        <w:t xml:space="preserve">parameters </w:t>
      </w:r>
      <w:r>
        <w:t>where they are good evidence of forward-looking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943"/>
      </w:r>
    </w:p>
    <w:p w:rsidR="00C33F1F" w:rsidRPr="00F63640" w:rsidRDefault="00C33F1F" w:rsidP="00C33F1F">
      <w:pPr>
        <w:pStyle w:val="AERbulletlistfirststyle"/>
      </w:pPr>
      <w:r>
        <w:t>We consider that no</w:t>
      </w:r>
      <w:r w:rsidRPr="00F63640">
        <w:t xml:space="preserve"> compelling empirical evidence is before us </w:t>
      </w:r>
      <w:r>
        <w:t xml:space="preserve">to </w:t>
      </w:r>
      <w:r w:rsidRPr="00F63640">
        <w:t>support the use of the models.</w:t>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w:t>
      </w:r>
      <w:r w:rsidRPr="006C4D93">
        <w:t xml:space="preserve">. </w:t>
      </w:r>
      <w:r>
        <w:t>Frontier submitted that empirical evidence from Wright &amp; Smithers indicates that the return on the market using U.S. data has been relatively stable over time.</w:t>
      </w:r>
      <w:r>
        <w:rPr>
          <w:rStyle w:val="FootnoteReference"/>
        </w:rPr>
        <w:footnoteReference w:id="944"/>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945"/>
      </w:r>
    </w:p>
    <w:p w:rsidR="00C33F1F" w:rsidRPr="00F63640" w:rsidRDefault="00C33F1F" w:rsidP="00C33F1F">
      <w:pPr>
        <w:pStyle w:val="AERbulletlistfirststyle"/>
      </w:pPr>
      <w:r>
        <w:t>M</w:t>
      </w:r>
      <w:r w:rsidRPr="00F63640">
        <w:t>arket practitioners, academics or regulators do not generally accept these models.</w:t>
      </w:r>
      <w:r w:rsidRPr="00F63640">
        <w:rPr>
          <w:rStyle w:val="FootnoteReference"/>
        </w:rPr>
        <w:footnoteReference w:id="946"/>
      </w:r>
      <w:r>
        <w:t xml:space="preserve"> For example, an analysis of 78 suitable independent valuation reports over May 2013 to January 2016 indicates there are no reports that appear to use the Wright CAPM.</w:t>
      </w:r>
    </w:p>
    <w:p w:rsidR="00C33F1F" w:rsidRPr="00957F0D" w:rsidRDefault="00C33F1F" w:rsidP="00C33F1F">
      <w:r w:rsidRPr="00957F0D">
        <w:t xml:space="preserve">Handley considered the Wright </w:t>
      </w:r>
      <w:r>
        <w:t>CAPM</w:t>
      </w:r>
      <w:r w:rsidRPr="00957F0D">
        <w:t xml:space="preserve"> </w:t>
      </w:r>
      <w:r>
        <w:t>and</w:t>
      </w:r>
      <w:r w:rsidRPr="00957F0D">
        <w:t xml:space="preserve"> stated:</w:t>
      </w:r>
      <w:r>
        <w:rPr>
          <w:rStyle w:val="FootnoteReference"/>
        </w:rPr>
        <w:footnoteReference w:id="947"/>
      </w:r>
    </w:p>
    <w:p w:rsidR="00C33F1F" w:rsidRPr="00957F0D" w:rsidRDefault="00C33F1F" w:rsidP="00C33F1F">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948"/>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C33F1F" w:rsidRPr="00957F0D" w:rsidRDefault="00C33F1F" w:rsidP="00C33F1F">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949"/>
      </w:r>
    </w:p>
    <w:p w:rsidR="00C33F1F" w:rsidRPr="00957F0D" w:rsidRDefault="00C33F1F" w:rsidP="00C33F1F">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C33F1F" w:rsidRDefault="00C33F1F" w:rsidP="00CC7A1C">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C33F1F" w:rsidRDefault="00C33F1F" w:rsidP="00CC7A1C">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950"/>
      </w:r>
    </w:p>
    <w:p w:rsidR="001043A2" w:rsidRDefault="001043A2" w:rsidP="00CC7A1C">
      <w:pPr>
        <w:numPr>
          <w:ilvl w:val="0"/>
          <w:numId w:val="24"/>
        </w:numPr>
      </w:pPr>
      <w:r>
        <w:t>AusNet Services resubmitted that the Wright CAPM is relevant to the estimation of the market risk premium, rather than the overall return on equity.</w:t>
      </w:r>
      <w:r>
        <w:rPr>
          <w:rStyle w:val="FootnoteReference"/>
        </w:rPr>
        <w:footnoteReference w:id="951"/>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1043A2" w:rsidRDefault="001043A2" w:rsidP="001043A2">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952"/>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w:t>
      </w:r>
    </w:p>
    <w:p w:rsidR="001043A2" w:rsidRPr="0010250E" w:rsidRDefault="001043A2" w:rsidP="001043A2">
      <w:r w:rsidRPr="00F9248D">
        <w:t>Partington and Satchell, in their most recent report also advised that the 'Wright approach has no support based on any clear evidence in the Australian context'.</w:t>
      </w:r>
      <w:r w:rsidRPr="00F9248D">
        <w:rPr>
          <w:rStyle w:val="FootnoteReference"/>
        </w:rPr>
        <w:footnoteReference w:id="953"/>
      </w:r>
    </w:p>
    <w:p w:rsidR="009A1A4E" w:rsidRPr="0010250E" w:rsidRDefault="009A1A4E" w:rsidP="009A1A4E"/>
    <w:p w:rsidR="00BB18D4" w:rsidRPr="00BB18D4" w:rsidRDefault="00BB18D4" w:rsidP="00BB18D4">
      <w:pPr>
        <w:pStyle w:val="Heading7"/>
      </w:pPr>
      <w:bookmarkStart w:id="163" w:name="_Toc481057068"/>
      <w:r w:rsidRPr="00BB18D4">
        <w:t>Historical stock returns</w:t>
      </w:r>
      <w:bookmarkEnd w:id="160"/>
      <w:bookmarkEnd w:id="161"/>
      <w:bookmarkEnd w:id="162"/>
      <w:bookmarkEnd w:id="163"/>
    </w:p>
    <w:p w:rsidR="00BB18D4" w:rsidRPr="00BB18D4" w:rsidRDefault="00BB18D4" w:rsidP="00BB18D4">
      <w:r w:rsidRPr="00BB18D4">
        <w:t>This appendix examines realised returns to Australian listed equity (stocks) as a proxy for the historical return on the portfolio of all equity in the market. We examine both total returns and excess returns. Excess returns are the realised returns</w:t>
      </w:r>
      <w:r w:rsidRPr="00BB18D4">
        <w:rPr>
          <w:rStyle w:val="FootnoteReference"/>
        </w:rPr>
        <w:footnoteReference w:id="954"/>
      </w:r>
      <w:r w:rsidRPr="00BB18D4">
        <w:t xml:space="preserve"> that stocks have earned in excess of the returns on government bonds with a ten-year term-to-maturity.</w:t>
      </w:r>
    </w:p>
    <w:p w:rsidR="00BB18D4" w:rsidRPr="00BB18D4" w:rsidRDefault="00BB18D4" w:rsidP="00BB18D4">
      <w:pPr>
        <w:rPr>
          <w:rStyle w:val="AERbody"/>
        </w:rPr>
      </w:pPr>
      <w:r w:rsidRPr="00BB18D4">
        <w:rPr>
          <w:rStyle w:val="AERbody"/>
        </w:rPr>
        <w:t>Our dataset and methodology is based on Brailsford, Handley, and Maheswaran (Brailsford et al).</w:t>
      </w:r>
      <w:r w:rsidRPr="00BB18D4">
        <w:rPr>
          <w:rStyle w:val="AERsuperscript"/>
        </w:rPr>
        <w:footnoteReference w:id="955"/>
      </w:r>
      <w:r w:rsidRPr="00BB18D4">
        <w:rPr>
          <w:rStyle w:val="AERbody"/>
        </w:rPr>
        <w:t xml:space="preserve"> A detailed discussion on data and methodology can be found in Brailsford et al, our Guideline, and attachment 3 to our </w:t>
      </w:r>
      <w:r w:rsidR="00A75594">
        <w:rPr>
          <w:rStyle w:val="AERbody"/>
        </w:rPr>
        <w:t>draft</w:t>
      </w:r>
      <w:r w:rsidR="00A75594" w:rsidRPr="00BB18D4">
        <w:rPr>
          <w:rStyle w:val="AERbody"/>
        </w:rPr>
        <w:t xml:space="preserve"> </w:t>
      </w:r>
      <w:r w:rsidRPr="00BB18D4">
        <w:rPr>
          <w:rStyle w:val="AERbody"/>
        </w:rPr>
        <w:t xml:space="preserve">decision for AusNet Services' 2016-20 distribution determination. </w:t>
      </w:r>
    </w:p>
    <w:p w:rsidR="00BB18D4" w:rsidRPr="00BB18D4" w:rsidRDefault="00BB18D4" w:rsidP="00BB18D4">
      <w:r w:rsidRPr="00BB18D4">
        <w:t>In the remainder of this section we examine:</w:t>
      </w:r>
    </w:p>
    <w:p w:rsidR="00BB18D4" w:rsidRPr="00BB18D4" w:rsidRDefault="00BB18D4" w:rsidP="00BB18D4">
      <w:pPr>
        <w:pStyle w:val="AERbulletlistfirststyle"/>
      </w:pPr>
      <w:r w:rsidRPr="00BB18D4">
        <w:t>Prevailing estimates for both excess returns and total returns.</w:t>
      </w:r>
    </w:p>
    <w:p w:rsidR="00BB18D4" w:rsidRPr="00BB18D4" w:rsidRDefault="00BB18D4" w:rsidP="00BB18D4">
      <w:pPr>
        <w:pStyle w:val="AERbulletlistfirststyle"/>
      </w:pPr>
      <w:r w:rsidRPr="00BB18D4">
        <w:t>The relative merits of arithmetic and geometric averages of historical returns.</w:t>
      </w:r>
    </w:p>
    <w:p w:rsidR="00BB18D4" w:rsidRPr="00BB18D4" w:rsidRDefault="00BB18D4" w:rsidP="00BB18D4">
      <w:pPr>
        <w:pStyle w:val="AERbulletlistfirststyle"/>
      </w:pPr>
      <w:r w:rsidRPr="00BB18D4">
        <w:t xml:space="preserve">The relative merits of the ASX's adjustment and NERA's adjustment to historical stock returns data. </w:t>
      </w:r>
    </w:p>
    <w:p w:rsidR="00BB18D4" w:rsidRPr="00BB18D4" w:rsidRDefault="00BB18D4" w:rsidP="00CC7A1C">
      <w:pPr>
        <w:pStyle w:val="Heading8"/>
        <w:numPr>
          <w:ilvl w:val="1"/>
          <w:numId w:val="29"/>
        </w:numPr>
      </w:pPr>
      <w:bookmarkStart w:id="164" w:name="_Toc443923197"/>
      <w:bookmarkStart w:id="165" w:name="_Ref444735329"/>
      <w:bookmarkStart w:id="166" w:name="_Toc451938977"/>
      <w:bookmarkStart w:id="167" w:name="_Toc456686725"/>
      <w:bookmarkStart w:id="168" w:name="_Toc481057069"/>
      <w:r w:rsidRPr="00BB18D4">
        <w:t>Prevailing estimates: excess returns</w:t>
      </w:r>
      <w:bookmarkEnd w:id="164"/>
      <w:bookmarkEnd w:id="165"/>
      <w:bookmarkEnd w:id="166"/>
      <w:bookmarkEnd w:id="167"/>
      <w:bookmarkEnd w:id="168"/>
    </w:p>
    <w:p w:rsidR="00BB18D4" w:rsidRPr="00BB18D4" w:rsidRDefault="00BB18D4" w:rsidP="00BB18D4">
      <w:r w:rsidRPr="00BB18D4">
        <w:fldChar w:fldCharType="begin"/>
      </w:r>
      <w:r w:rsidRPr="00BB18D4">
        <w:instrText xml:space="preserve"> REF _Ref432619921 \h </w:instrText>
      </w:r>
      <w:r w:rsidRPr="00BB18D4">
        <w:fldChar w:fldCharType="separate"/>
      </w:r>
      <w:r w:rsidR="00C6448C" w:rsidRPr="00BB18D4">
        <w:t xml:space="preserve">Table </w:t>
      </w:r>
      <w:r w:rsidR="00C6448C">
        <w:rPr>
          <w:noProof/>
        </w:rPr>
        <w:t>3</w:t>
      </w:r>
      <w:r w:rsidR="00C6448C">
        <w:noBreakHyphen/>
      </w:r>
      <w:r w:rsidR="00C6448C">
        <w:rPr>
          <w:noProof/>
        </w:rPr>
        <w:t>24</w:t>
      </w:r>
      <w:r w:rsidRPr="00BB18D4">
        <w:fldChar w:fldCharType="end"/>
      </w:r>
      <w:r w:rsidRPr="00BB18D4">
        <w:t xml:space="preserve"> sets out our estimates of historical excess returns, measured using both arithmetic and geometric averages, and estimated over different sample periods up until the 201</w:t>
      </w:r>
      <w:r w:rsidR="002C49DA">
        <w:t>6</w:t>
      </w:r>
      <w:r w:rsidRPr="00BB18D4">
        <w:t xml:space="preserve"> calendar year end.</w:t>
      </w:r>
      <w:r w:rsidRPr="00BB18D4">
        <w:rPr>
          <w:rStyle w:val="FootnoteReference"/>
        </w:rPr>
        <w:footnoteReference w:id="956"/>
      </w:r>
      <w:r w:rsidRPr="00BB18D4">
        <w:t xml:space="preserve"> Arithmetic average measures range between 5.</w:t>
      </w:r>
      <w:r w:rsidR="002C49DA">
        <w:t>8</w:t>
      </w:r>
      <w:r w:rsidRPr="00BB18D4">
        <w:t xml:space="preserve"> and 6.</w:t>
      </w:r>
      <w:r w:rsidR="002C49DA">
        <w:t>4</w:t>
      </w:r>
      <w:r w:rsidRPr="00BB18D4">
        <w:t xml:space="preserve"> per cent and geometric average measures range between </w:t>
      </w:r>
      <w:r w:rsidR="002C49DA">
        <w:t>4</w:t>
      </w:r>
      <w:r w:rsidRPr="00BB18D4">
        <w:t>.</w:t>
      </w:r>
      <w:r w:rsidR="002C49DA">
        <w:t>1</w:t>
      </w:r>
      <w:r w:rsidRPr="00BB18D4">
        <w:t xml:space="preserve"> and 4.9 per cent.  </w:t>
      </w:r>
    </w:p>
    <w:p w:rsidR="00BB18D4" w:rsidRPr="00BB18D4" w:rsidRDefault="00BB18D4" w:rsidP="00BB18D4">
      <w:pPr>
        <w:pStyle w:val="Caption"/>
        <w:rPr>
          <w:rStyle w:val="Strong"/>
        </w:rPr>
      </w:pPr>
      <w:bookmarkStart w:id="169" w:name="_Ref432619921"/>
      <w:r w:rsidRPr="00BB18D4">
        <w:t xml:space="preserve">Table </w:t>
      </w:r>
      <w:fldSimple w:instr=" STYLEREF 1 \s ">
        <w:r w:rsidR="00C6448C">
          <w:rPr>
            <w:noProof/>
          </w:rPr>
          <w:t>3</w:t>
        </w:r>
      </w:fldSimple>
      <w:r w:rsidR="00882F3D">
        <w:noBreakHyphen/>
      </w:r>
      <w:fldSimple w:instr=" SEQ Table \* ARABIC \s 1 ">
        <w:r w:rsidR="00C6448C">
          <w:rPr>
            <w:noProof/>
          </w:rPr>
          <w:t>24</w:t>
        </w:r>
      </w:fldSimple>
      <w:bookmarkEnd w:id="169"/>
      <w:r w:rsidRPr="00BB18D4">
        <w:tab/>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BB18D4" w:rsidRPr="00F7507F" w:rsidTr="00BD192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pPr>
              <w:rPr>
                <w:rStyle w:val="Strong"/>
              </w:rPr>
            </w:pPr>
            <w:r w:rsidRPr="00BB18D4">
              <w:rPr>
                <w:rStyle w:val="Strong"/>
              </w:rPr>
              <w:t>Sampling period</w:t>
            </w:r>
          </w:p>
        </w:tc>
        <w:tc>
          <w:tcPr>
            <w:tcW w:w="1667" w:type="pct"/>
            <w:noWrap/>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Arithmetic average</w:t>
            </w:r>
          </w:p>
        </w:tc>
        <w:tc>
          <w:tcPr>
            <w:tcW w:w="1667" w:type="pct"/>
            <w:noWrap/>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Geometric average</w:t>
            </w:r>
          </w:p>
        </w:tc>
      </w:tr>
      <w:tr w:rsidR="00BB18D4" w:rsidRPr="00F7507F" w:rsidTr="00BD192F">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2972FD">
            <w:r w:rsidRPr="00BB18D4">
              <w:t>1883–201</w:t>
            </w:r>
            <w:r w:rsidR="002C49DA">
              <w:t>6</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6.</w:t>
            </w:r>
            <w:r w:rsidR="001D46AF">
              <w:t>3</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4.9</w:t>
            </w:r>
          </w:p>
        </w:tc>
      </w:tr>
      <w:tr w:rsidR="00BB18D4" w:rsidRPr="00F7507F" w:rsidTr="00BD192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2972FD">
            <w:r w:rsidRPr="00BB18D4">
              <w:t>1937–201</w:t>
            </w:r>
            <w:r w:rsidR="002C49DA">
              <w:t>6</w:t>
            </w:r>
          </w:p>
        </w:tc>
        <w:tc>
          <w:tcPr>
            <w:tcW w:w="1667" w:type="pct"/>
            <w:noWrap/>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5.9</w:t>
            </w:r>
          </w:p>
        </w:tc>
        <w:tc>
          <w:tcPr>
            <w:tcW w:w="1667" w:type="pct"/>
            <w:noWrap/>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4.</w:t>
            </w:r>
            <w:r w:rsidR="001D46AF">
              <w:t>1</w:t>
            </w:r>
          </w:p>
        </w:tc>
      </w:tr>
      <w:tr w:rsidR="00BB18D4" w:rsidRPr="00F7507F" w:rsidTr="00BD192F">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2972FD">
            <w:r w:rsidRPr="00BB18D4">
              <w:t>1958–201</w:t>
            </w:r>
            <w:r w:rsidR="002C49DA">
              <w:t>6</w:t>
            </w:r>
          </w:p>
        </w:tc>
        <w:tc>
          <w:tcPr>
            <w:tcW w:w="1667" w:type="pct"/>
            <w:noWrap/>
          </w:tcPr>
          <w:p w:rsidR="00BB18D4" w:rsidRPr="00BB18D4" w:rsidRDefault="00BB18D4" w:rsidP="001D46AF">
            <w:pPr>
              <w:cnfStyle w:val="000000000000" w:firstRow="0" w:lastRow="0" w:firstColumn="0" w:lastColumn="0" w:oddVBand="0" w:evenVBand="0" w:oddHBand="0" w:evenHBand="0" w:firstRowFirstColumn="0" w:firstRowLastColumn="0" w:lastRowFirstColumn="0" w:lastRowLastColumn="0"/>
            </w:pPr>
            <w:r w:rsidRPr="00BB18D4">
              <w:t>6.</w:t>
            </w:r>
            <w:r w:rsidR="001D46AF">
              <w:t>4</w:t>
            </w:r>
          </w:p>
        </w:tc>
        <w:tc>
          <w:tcPr>
            <w:tcW w:w="1667" w:type="pct"/>
            <w:noWrap/>
          </w:tcPr>
          <w:p w:rsidR="00BB18D4" w:rsidRPr="00BB18D4" w:rsidRDefault="00BB18D4" w:rsidP="001D46AF">
            <w:pPr>
              <w:cnfStyle w:val="000000000000" w:firstRow="0" w:lastRow="0" w:firstColumn="0" w:lastColumn="0" w:oddVBand="0" w:evenVBand="0" w:oddHBand="0" w:evenHBand="0" w:firstRowFirstColumn="0" w:firstRowLastColumn="0" w:lastRowFirstColumn="0" w:lastRowLastColumn="0"/>
            </w:pPr>
            <w:r w:rsidRPr="00BB18D4">
              <w:t>4.</w:t>
            </w:r>
            <w:r w:rsidR="001D46AF">
              <w:t>1</w:t>
            </w:r>
          </w:p>
        </w:tc>
      </w:tr>
      <w:tr w:rsidR="00BB18D4" w:rsidRPr="00F7507F" w:rsidTr="00BD192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2972FD">
            <w:r w:rsidRPr="00BB18D4">
              <w:t>1980–201</w:t>
            </w:r>
            <w:r w:rsidR="002C49DA">
              <w:t>6</w:t>
            </w:r>
          </w:p>
        </w:tc>
        <w:tc>
          <w:tcPr>
            <w:tcW w:w="1667" w:type="pct"/>
            <w:noWrap/>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6.</w:t>
            </w:r>
            <w:r w:rsidR="001D46AF">
              <w:t>3</w:t>
            </w:r>
          </w:p>
        </w:tc>
        <w:tc>
          <w:tcPr>
            <w:tcW w:w="1667" w:type="pct"/>
            <w:noWrap/>
          </w:tcPr>
          <w:p w:rsidR="00BB18D4" w:rsidRPr="00BB18D4" w:rsidRDefault="001D46AF" w:rsidP="00BB18D4">
            <w:pPr>
              <w:cnfStyle w:val="000000010000" w:firstRow="0" w:lastRow="0" w:firstColumn="0" w:lastColumn="0" w:oddVBand="0" w:evenVBand="0" w:oddHBand="0" w:evenHBand="1" w:firstRowFirstColumn="0" w:firstRowLastColumn="0" w:lastRowFirstColumn="0" w:lastRowLastColumn="0"/>
            </w:pPr>
            <w:r>
              <w:t>4.1</w:t>
            </w:r>
          </w:p>
        </w:tc>
      </w:tr>
      <w:tr w:rsidR="00BB18D4" w:rsidRPr="00F7507F" w:rsidTr="00BD192F">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2972FD">
            <w:r w:rsidRPr="00BB18D4">
              <w:t>1988–201</w:t>
            </w:r>
            <w:r w:rsidR="002C49DA">
              <w:t>6</w:t>
            </w:r>
          </w:p>
        </w:tc>
        <w:tc>
          <w:tcPr>
            <w:tcW w:w="1667" w:type="pct"/>
            <w:noWrap/>
          </w:tcPr>
          <w:p w:rsidR="00BB18D4" w:rsidRPr="00BB18D4" w:rsidRDefault="00BB18D4" w:rsidP="001D46AF">
            <w:pPr>
              <w:cnfStyle w:val="000000000000" w:firstRow="0" w:lastRow="0" w:firstColumn="0" w:lastColumn="0" w:oddVBand="0" w:evenVBand="0" w:oddHBand="0" w:evenHBand="0" w:firstRowFirstColumn="0" w:firstRowLastColumn="0" w:lastRowFirstColumn="0" w:lastRowLastColumn="0"/>
            </w:pPr>
            <w:r w:rsidRPr="00BB18D4">
              <w:t>5.</w:t>
            </w:r>
            <w:r w:rsidR="001D46AF">
              <w:t>8</w:t>
            </w:r>
          </w:p>
        </w:tc>
        <w:tc>
          <w:tcPr>
            <w:tcW w:w="1667" w:type="pct"/>
            <w:noWrap/>
          </w:tcPr>
          <w:p w:rsidR="00BB18D4" w:rsidRPr="00BB18D4" w:rsidRDefault="00BE50B0" w:rsidP="00BB18D4">
            <w:pPr>
              <w:cnfStyle w:val="000000000000" w:firstRow="0" w:lastRow="0" w:firstColumn="0" w:lastColumn="0" w:oddVBand="0" w:evenVBand="0" w:oddHBand="0" w:evenHBand="0" w:firstRowFirstColumn="0" w:firstRowLastColumn="0" w:lastRowFirstColumn="0" w:lastRowLastColumn="0"/>
            </w:pPr>
            <w:r>
              <w:t>4.</w:t>
            </w:r>
            <w:r w:rsidR="001D46AF">
              <w:t>3</w:t>
            </w:r>
          </w:p>
        </w:tc>
      </w:tr>
    </w:tbl>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 p. 6. AER update for 2012–2015 market data.</w:t>
      </w:r>
    </w:p>
    <w:p w:rsidR="00BB18D4" w:rsidRPr="00BB18D4" w:rsidRDefault="00BB18D4" w:rsidP="00BB18D4">
      <w:pPr>
        <w:pStyle w:val="AERtablesource"/>
      </w:pPr>
      <w:r w:rsidRPr="00BB18D4">
        <w:t xml:space="preserve">Notes: </w:t>
      </w:r>
      <w:r w:rsidRPr="00BB18D4">
        <w:tab/>
        <w:t>Based on a theta of 0.6.</w:t>
      </w:r>
    </w:p>
    <w:p w:rsidR="00BB18D4" w:rsidRPr="00BB18D4" w:rsidRDefault="00BB18D4" w:rsidP="00BB18D4">
      <w:pPr>
        <w:pStyle w:val="Heading8"/>
      </w:pPr>
      <w:bookmarkStart w:id="170" w:name="_Toc443923198"/>
      <w:bookmarkStart w:id="171" w:name="_Ref444735331"/>
      <w:bookmarkStart w:id="172" w:name="_Ref445926700"/>
      <w:bookmarkStart w:id="173" w:name="_Ref449053064"/>
      <w:bookmarkStart w:id="174" w:name="_Toc451938978"/>
      <w:bookmarkStart w:id="175" w:name="_Toc456686726"/>
      <w:bookmarkStart w:id="176" w:name="_Toc481057070"/>
      <w:r w:rsidRPr="00BB18D4">
        <w:t>Prevailing estimates: total returns</w:t>
      </w:r>
      <w:bookmarkEnd w:id="170"/>
      <w:bookmarkEnd w:id="171"/>
      <w:bookmarkEnd w:id="172"/>
      <w:bookmarkEnd w:id="173"/>
      <w:bookmarkEnd w:id="174"/>
      <w:bookmarkEnd w:id="175"/>
      <w:bookmarkEnd w:id="176"/>
    </w:p>
    <w:p w:rsidR="00BB18D4" w:rsidRPr="00BB18D4" w:rsidRDefault="00BB18D4" w:rsidP="00BB18D4">
      <w:r w:rsidRPr="00BB18D4">
        <w:fldChar w:fldCharType="begin"/>
      </w:r>
      <w:r w:rsidRPr="00BB18D4">
        <w:instrText xml:space="preserve"> REF _Ref417570520 \h </w:instrText>
      </w:r>
      <w:r w:rsidRPr="00BB18D4">
        <w:fldChar w:fldCharType="separate"/>
      </w:r>
      <w:r w:rsidR="00C6448C" w:rsidRPr="00BB18D4">
        <w:t xml:space="preserve">Table </w:t>
      </w:r>
      <w:r w:rsidR="00C6448C">
        <w:rPr>
          <w:noProof/>
        </w:rPr>
        <w:t>3</w:t>
      </w:r>
      <w:r w:rsidR="00C6448C">
        <w:noBreakHyphen/>
      </w:r>
      <w:r w:rsidR="00C6448C">
        <w:rPr>
          <w:noProof/>
        </w:rPr>
        <w:t>25</w:t>
      </w:r>
      <w:r w:rsidRPr="00BB18D4">
        <w:fldChar w:fldCharType="end"/>
      </w:r>
      <w:r w:rsidRPr="00BB18D4">
        <w:t xml:space="preserve"> sets out our estimates of historical returns on the market portfolio. The nominal return ranges from 10.0 to 12.</w:t>
      </w:r>
      <w:r w:rsidR="002C49DA">
        <w:t>5</w:t>
      </w:r>
      <w:r w:rsidRPr="00BB18D4">
        <w:t>. We use a range because the estimated return on the market will vary depending on the time period used.</w:t>
      </w:r>
      <w:r w:rsidRPr="00BB18D4">
        <w:rPr>
          <w:rStyle w:val="FootnoteReference"/>
        </w:rPr>
        <w:footnoteReference w:id="957"/>
      </w:r>
    </w:p>
    <w:p w:rsidR="00BB18D4" w:rsidRPr="00BB18D4" w:rsidRDefault="00BB18D4" w:rsidP="00BB18D4">
      <w:pPr>
        <w:pStyle w:val="Caption"/>
        <w:rPr>
          <w:rStyle w:val="Strong"/>
        </w:rPr>
      </w:pPr>
      <w:bookmarkStart w:id="177" w:name="_Ref417570520"/>
      <w:r w:rsidRPr="00BB18D4">
        <w:t xml:space="preserve">Table </w:t>
      </w:r>
      <w:fldSimple w:instr=" STYLEREF 1 \s ">
        <w:r w:rsidR="00C6448C">
          <w:rPr>
            <w:noProof/>
          </w:rPr>
          <w:t>3</w:t>
        </w:r>
      </w:fldSimple>
      <w:r w:rsidR="00882F3D">
        <w:noBreakHyphen/>
      </w:r>
      <w:fldSimple w:instr=" SEQ Table \* ARABIC \s 1 ">
        <w:r w:rsidR="00C6448C">
          <w:rPr>
            <w:noProof/>
          </w:rPr>
          <w:t>25</w:t>
        </w:r>
      </w:fldSimple>
      <w:bookmarkEnd w:id="177"/>
      <w:r w:rsidRPr="00BB18D4">
        <w:tab/>
        <w:t>Historical returns on the market portfolio (per cent)</w:t>
      </w:r>
    </w:p>
    <w:tbl>
      <w:tblPr>
        <w:tblStyle w:val="AERtable-numbers"/>
        <w:tblW w:w="8755" w:type="dxa"/>
        <w:tblLook w:val="04A0" w:firstRow="1" w:lastRow="0" w:firstColumn="1" w:lastColumn="0" w:noHBand="0" w:noVBand="1"/>
      </w:tblPr>
      <w:tblGrid>
        <w:gridCol w:w="1909"/>
        <w:gridCol w:w="3423"/>
        <w:gridCol w:w="3423"/>
      </w:tblGrid>
      <w:tr w:rsidR="00BB18D4" w:rsidRPr="00B9584E" w:rsidTr="00BD1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Sampling period</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Market return (real)</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Market return (nominal)</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2972FD">
            <w:r w:rsidRPr="00BB18D4">
              <w:t>1883–201</w:t>
            </w:r>
            <w:r w:rsidR="002C49DA">
              <w:t>6</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8.6</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11.3</w:t>
            </w:r>
          </w:p>
        </w:tc>
      </w:tr>
      <w:tr w:rsidR="00BB18D4" w:rsidRPr="00B9584E" w:rsidTr="00BD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2972FD">
            <w:r w:rsidRPr="00BB18D4">
              <w:t>1937–201</w:t>
            </w:r>
            <w:r w:rsidR="002C49DA">
              <w:t>6</w:t>
            </w:r>
          </w:p>
        </w:tc>
        <w:tc>
          <w:tcPr>
            <w:tcW w:w="3423" w:type="dxa"/>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7.3</w:t>
            </w:r>
          </w:p>
        </w:tc>
        <w:tc>
          <w:tcPr>
            <w:tcW w:w="3423" w:type="dxa"/>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10.0</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2972FD">
            <w:r w:rsidRPr="00BB18D4">
              <w:t>1958–201</w:t>
            </w:r>
            <w:r w:rsidR="002C49DA">
              <w:t>6</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8.</w:t>
            </w:r>
            <w:r w:rsidR="00BE50B0">
              <w:t>8</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11.</w:t>
            </w:r>
            <w:r w:rsidR="00BE50B0">
              <w:t>5</w:t>
            </w:r>
          </w:p>
        </w:tc>
      </w:tr>
      <w:tr w:rsidR="00BB18D4" w:rsidRPr="00B9584E" w:rsidTr="00BD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2972FD">
            <w:r w:rsidRPr="00BB18D4">
              <w:t>1980–201</w:t>
            </w:r>
            <w:r w:rsidR="002C49DA">
              <w:t>6</w:t>
            </w:r>
          </w:p>
        </w:tc>
        <w:tc>
          <w:tcPr>
            <w:tcW w:w="3423" w:type="dxa"/>
          </w:tcPr>
          <w:p w:rsidR="00BB18D4" w:rsidRPr="00BB18D4" w:rsidRDefault="00BB18D4" w:rsidP="00BE50B0">
            <w:pPr>
              <w:cnfStyle w:val="000000010000" w:firstRow="0" w:lastRow="0" w:firstColumn="0" w:lastColumn="0" w:oddVBand="0" w:evenVBand="0" w:oddHBand="0" w:evenHBand="1" w:firstRowFirstColumn="0" w:firstRowLastColumn="0" w:lastRowFirstColumn="0" w:lastRowLastColumn="0"/>
            </w:pPr>
            <w:r w:rsidRPr="00BB18D4">
              <w:t>9.</w:t>
            </w:r>
            <w:r w:rsidR="001D46AF">
              <w:t>8</w:t>
            </w:r>
          </w:p>
        </w:tc>
        <w:tc>
          <w:tcPr>
            <w:tcW w:w="3423" w:type="dxa"/>
          </w:tcPr>
          <w:p w:rsidR="00BB18D4" w:rsidRPr="00BB18D4" w:rsidRDefault="00BB18D4" w:rsidP="00BE50B0">
            <w:pPr>
              <w:cnfStyle w:val="000000010000" w:firstRow="0" w:lastRow="0" w:firstColumn="0" w:lastColumn="0" w:oddVBand="0" w:evenVBand="0" w:oddHBand="0" w:evenHBand="1" w:firstRowFirstColumn="0" w:firstRowLastColumn="0" w:lastRowFirstColumn="0" w:lastRowLastColumn="0"/>
            </w:pPr>
            <w:r w:rsidRPr="00BB18D4">
              <w:t>12.</w:t>
            </w:r>
            <w:r w:rsidR="00BE50B0">
              <w:t>5</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2972FD">
            <w:r w:rsidRPr="00BB18D4">
              <w:t>1988–201</w:t>
            </w:r>
            <w:r w:rsidR="002C49DA">
              <w:t>6</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9.</w:t>
            </w:r>
            <w:r w:rsidR="001D46AF">
              <w:t>1</w:t>
            </w:r>
          </w:p>
        </w:tc>
        <w:tc>
          <w:tcPr>
            <w:tcW w:w="3423" w:type="dxa"/>
          </w:tcPr>
          <w:p w:rsidR="00BB18D4" w:rsidRPr="00BB18D4" w:rsidRDefault="001D46AF" w:rsidP="00BB18D4">
            <w:pPr>
              <w:cnfStyle w:val="000000000000" w:firstRow="0" w:lastRow="0" w:firstColumn="0" w:lastColumn="0" w:oddVBand="0" w:evenVBand="0" w:oddHBand="0" w:evenHBand="0" w:firstRowFirstColumn="0" w:firstRowLastColumn="0" w:lastRowFirstColumn="0" w:lastRowLastColumn="0"/>
            </w:pPr>
            <w:r>
              <w:t>11.8</w:t>
            </w:r>
          </w:p>
        </w:tc>
      </w:tr>
    </w:tbl>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 p. 6. AER update for 2012–2015 market data.</w:t>
      </w:r>
    </w:p>
    <w:p w:rsidR="00BB18D4" w:rsidRPr="00BB18D4" w:rsidRDefault="00BB18D4" w:rsidP="00BB18D4">
      <w:pPr>
        <w:pStyle w:val="AERtablesource"/>
      </w:pPr>
      <w:r w:rsidRPr="00BB18D4">
        <w:t>Notes</w:t>
      </w:r>
      <w:r w:rsidRPr="00BB18D4">
        <w:tab/>
        <w:t xml:space="preserve">Historical market returns are estimated using arithmetic averages, assuming a theta value of 0.6, and assuming an inflation rate of 2.5 per cent. Nominal figures calculated by the AER using the Fisher equation: </w:t>
      </w:r>
    </w:p>
    <w:p w:rsidR="00BB18D4" w:rsidRPr="00BB18D4" w:rsidRDefault="00BB18D4" w:rsidP="00BB18D4">
      <w:pPr>
        <w:pStyle w:val="AERtablesource"/>
      </w:pPr>
      <w:r w:rsidRPr="00BB18D4">
        <w:tab/>
        <w:t>1+i=(1+r)×(1+</w:t>
      </w:r>
      <w:r w:rsidRPr="00BB18D4">
        <w:rPr>
          <w:rFonts w:hint="eastAsia"/>
        </w:rPr>
        <w:t>π</w:t>
      </w:r>
      <w:r w:rsidRPr="00BB18D4">
        <w:t xml:space="preserve">) where r denotes the real return, i denotes the nominal return and </w:t>
      </w:r>
      <w:r w:rsidRPr="00BB18D4">
        <w:rPr>
          <w:rFonts w:hint="eastAsia"/>
        </w:rPr>
        <w:t>π</w:t>
      </w:r>
      <w:r w:rsidRPr="00BB18D4">
        <w:t xml:space="preserve"> denotes the inflation rate.</w:t>
      </w:r>
    </w:p>
    <w:p w:rsidR="00BB18D4" w:rsidRPr="00BB18D4" w:rsidRDefault="00BB18D4" w:rsidP="00BB18D4">
      <w:r w:rsidRPr="00BB18D4">
        <w:t>We estimate a return on equity under the Wright CAPM</w:t>
      </w:r>
      <w:r w:rsidRPr="00BB18D4">
        <w:rPr>
          <w:rStyle w:val="FootnoteReference"/>
        </w:rPr>
        <w:footnoteReference w:id="958"/>
      </w:r>
      <w:r w:rsidRPr="00BB18D4">
        <w:t xml:space="preserve"> by combining the historical nominal market return with our prevailing risk free rate estimate</w:t>
      </w:r>
      <w:r w:rsidRPr="00BB18D4">
        <w:rPr>
          <w:rStyle w:val="FootnoteReference"/>
        </w:rPr>
        <w:footnoteReference w:id="959"/>
      </w:r>
      <w:r w:rsidRPr="00BB18D4">
        <w:t xml:space="preserve"> and equity beta estimates.</w:t>
      </w:r>
      <w:r w:rsidRPr="00BB18D4">
        <w:rPr>
          <w:rStyle w:val="FootnoteReference"/>
        </w:rPr>
        <w:footnoteReference w:id="960"/>
      </w:r>
      <w:r w:rsidRPr="00BB18D4">
        <w:t xml:space="preserve"> As shown in </w:t>
      </w:r>
      <w:r w:rsidRPr="00BB18D4">
        <w:fldChar w:fldCharType="begin"/>
      </w:r>
      <w:r w:rsidRPr="00BB18D4">
        <w:instrText xml:space="preserve"> REF _Ref443916669 \h </w:instrText>
      </w:r>
      <w:r w:rsidRPr="00BB18D4">
        <w:fldChar w:fldCharType="separate"/>
      </w:r>
      <w:r w:rsidR="00C6448C" w:rsidRPr="00BB18D4">
        <w:t xml:space="preserve">Table </w:t>
      </w:r>
      <w:r w:rsidR="00C6448C">
        <w:rPr>
          <w:noProof/>
        </w:rPr>
        <w:t>3</w:t>
      </w:r>
      <w:r w:rsidR="00C6448C">
        <w:noBreakHyphen/>
      </w:r>
      <w:r w:rsidR="00C6448C">
        <w:rPr>
          <w:noProof/>
        </w:rPr>
        <w:t>26</w:t>
      </w:r>
      <w:r w:rsidRPr="00BB18D4">
        <w:fldChar w:fldCharType="end"/>
      </w:r>
      <w:r w:rsidRPr="00BB18D4">
        <w:t>, our estimated range for equity beta and market return results in Wright CAPM return on equity estimates ranging from 5.</w:t>
      </w:r>
      <w:r w:rsidR="000E1298">
        <w:t>7</w:t>
      </w:r>
      <w:r w:rsidRPr="00BB18D4">
        <w:t xml:space="preserve"> to 9.</w:t>
      </w:r>
      <w:r w:rsidR="009353CC">
        <w:t>6</w:t>
      </w:r>
      <w:r w:rsidRPr="00BB18D4">
        <w:t>.</w:t>
      </w:r>
    </w:p>
    <w:p w:rsidR="00BB18D4" w:rsidRPr="00BB18D4" w:rsidRDefault="00BB18D4" w:rsidP="00BB18D4">
      <w:pPr>
        <w:pStyle w:val="Caption"/>
        <w:rPr>
          <w:rStyle w:val="Strong"/>
        </w:rPr>
      </w:pPr>
      <w:bookmarkStart w:id="178" w:name="_Ref443916669"/>
      <w:r w:rsidRPr="00BB18D4">
        <w:t xml:space="preserve">Table </w:t>
      </w:r>
      <w:fldSimple w:instr=" STYLEREF 1 \s ">
        <w:r w:rsidR="00C6448C">
          <w:rPr>
            <w:noProof/>
          </w:rPr>
          <w:t>3</w:t>
        </w:r>
      </w:fldSimple>
      <w:r w:rsidR="00882F3D">
        <w:noBreakHyphen/>
      </w:r>
      <w:fldSimple w:instr=" SEQ Table \* ARABIC \s 1 ">
        <w:r w:rsidR="00C6448C">
          <w:rPr>
            <w:noProof/>
          </w:rPr>
          <w:t>26</w:t>
        </w:r>
      </w:fldSimple>
      <w:bookmarkEnd w:id="178"/>
      <w:r w:rsidRPr="00BB18D4">
        <w:tab/>
        <w:t>Wright CAPM return on equity (per cent)</w:t>
      </w:r>
    </w:p>
    <w:tbl>
      <w:tblPr>
        <w:tblStyle w:val="AERtable-numbers"/>
        <w:tblW w:w="8755" w:type="dxa"/>
        <w:tblLook w:val="04A0" w:firstRow="1" w:lastRow="0" w:firstColumn="1" w:lastColumn="0" w:noHBand="0" w:noVBand="1"/>
      </w:tblPr>
      <w:tblGrid>
        <w:gridCol w:w="1909"/>
        <w:gridCol w:w="3423"/>
        <w:gridCol w:w="3423"/>
      </w:tblGrid>
      <w:tr w:rsidR="00BB18D4" w:rsidRPr="00B9584E" w:rsidTr="00BD1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AER equity beta estimate</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Wright CAPM return on equity based on 10.0 market return</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Wright CAPM return on equity based on 12.7 market return</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0.4</w:t>
            </w:r>
          </w:p>
        </w:tc>
        <w:tc>
          <w:tcPr>
            <w:tcW w:w="3423" w:type="dxa"/>
          </w:tcPr>
          <w:p w:rsidR="00BB18D4" w:rsidRPr="00BB18D4" w:rsidRDefault="00BB18D4" w:rsidP="007370F1">
            <w:pPr>
              <w:cnfStyle w:val="000000000000" w:firstRow="0" w:lastRow="0" w:firstColumn="0" w:lastColumn="0" w:oddVBand="0" w:evenVBand="0" w:oddHBand="0" w:evenHBand="0" w:firstRowFirstColumn="0" w:firstRowLastColumn="0" w:lastRowFirstColumn="0" w:lastRowLastColumn="0"/>
            </w:pPr>
            <w:r w:rsidRPr="00BB18D4">
              <w:t>5.</w:t>
            </w:r>
            <w:r w:rsidR="001D46AF">
              <w:t>7</w:t>
            </w:r>
          </w:p>
        </w:tc>
        <w:tc>
          <w:tcPr>
            <w:tcW w:w="3423" w:type="dxa"/>
          </w:tcPr>
          <w:p w:rsidR="00BB18D4" w:rsidRPr="00BB18D4" w:rsidRDefault="007370F1" w:rsidP="002972FD">
            <w:pPr>
              <w:cnfStyle w:val="000000000000" w:firstRow="0" w:lastRow="0" w:firstColumn="0" w:lastColumn="0" w:oddVBand="0" w:evenVBand="0" w:oddHBand="0" w:evenHBand="0" w:firstRowFirstColumn="0" w:firstRowLastColumn="0" w:lastRowFirstColumn="0" w:lastRowLastColumn="0"/>
            </w:pPr>
            <w:r>
              <w:t>6</w:t>
            </w:r>
            <w:r w:rsidR="001D46AF">
              <w:t>.</w:t>
            </w:r>
            <w:r w:rsidR="00B30750">
              <w:t>7</w:t>
            </w:r>
          </w:p>
        </w:tc>
      </w:tr>
      <w:tr w:rsidR="00BB18D4" w:rsidRPr="00B9584E" w:rsidTr="00BD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0.7</w:t>
            </w:r>
          </w:p>
        </w:tc>
        <w:tc>
          <w:tcPr>
            <w:tcW w:w="3423" w:type="dxa"/>
          </w:tcPr>
          <w:p w:rsidR="00BB18D4" w:rsidRPr="00BB18D4" w:rsidRDefault="00BB18D4" w:rsidP="00BE50B0">
            <w:pPr>
              <w:cnfStyle w:val="000000010000" w:firstRow="0" w:lastRow="0" w:firstColumn="0" w:lastColumn="0" w:oddVBand="0" w:evenVBand="0" w:oddHBand="0" w:evenHBand="1" w:firstRowFirstColumn="0" w:firstRowLastColumn="0" w:lastRowFirstColumn="0" w:lastRowLastColumn="0"/>
            </w:pPr>
            <w:r w:rsidRPr="00BB18D4">
              <w:t>7.</w:t>
            </w:r>
            <w:r w:rsidR="00BE50B0">
              <w:t>9</w:t>
            </w:r>
          </w:p>
        </w:tc>
        <w:tc>
          <w:tcPr>
            <w:tcW w:w="3423" w:type="dxa"/>
          </w:tcPr>
          <w:p w:rsidR="00BB18D4" w:rsidRPr="00BB18D4" w:rsidRDefault="00BB18D4" w:rsidP="002972FD">
            <w:pPr>
              <w:cnfStyle w:val="000000010000" w:firstRow="0" w:lastRow="0" w:firstColumn="0" w:lastColumn="0" w:oddVBand="0" w:evenVBand="0" w:oddHBand="0" w:evenHBand="1" w:firstRowFirstColumn="0" w:firstRowLastColumn="0" w:lastRowFirstColumn="0" w:lastRowLastColumn="0"/>
            </w:pPr>
            <w:r w:rsidRPr="00BB18D4">
              <w:t>9.</w:t>
            </w:r>
            <w:r w:rsidR="00B30750">
              <w:t>6</w:t>
            </w:r>
          </w:p>
        </w:tc>
      </w:tr>
    </w:tbl>
    <w:p w:rsidR="00BB18D4" w:rsidRPr="00BB18D4" w:rsidRDefault="00BB18D4" w:rsidP="00BB18D4">
      <w:pPr>
        <w:pStyle w:val="AERtablesource"/>
      </w:pPr>
      <w:bookmarkStart w:id="179" w:name="_Toc443923200"/>
      <w:bookmarkStart w:id="180" w:name="_Ref448320174"/>
      <w:bookmarkStart w:id="181" w:name="_Toc451938979"/>
      <w:r w:rsidRPr="00BB18D4">
        <w:t>Source:</w:t>
      </w:r>
      <w:r w:rsidRPr="00BB18D4">
        <w:tab/>
        <w:t>AER analysis.</w:t>
      </w:r>
    </w:p>
    <w:p w:rsidR="00BB18D4" w:rsidRPr="00BB18D4" w:rsidRDefault="00BB18D4" w:rsidP="00BB18D4">
      <w:pPr>
        <w:pStyle w:val="AERtablesource"/>
      </w:pPr>
      <w:r w:rsidRPr="00BB18D4">
        <w:t>Notes:</w:t>
      </w:r>
      <w:r w:rsidRPr="00BB18D4">
        <w:tab/>
        <w:t>Based on a risk free rate estimate of 2.</w:t>
      </w:r>
      <w:r w:rsidR="000E1298">
        <w:t>85</w:t>
      </w:r>
      <w:r w:rsidRPr="00BB18D4">
        <w:t xml:space="preserve"> per cent.</w:t>
      </w:r>
    </w:p>
    <w:p w:rsidR="00BB18D4" w:rsidRPr="00BB18D4" w:rsidRDefault="00BB18D4" w:rsidP="00BB18D4">
      <w:pPr>
        <w:pStyle w:val="Heading8"/>
      </w:pPr>
      <w:bookmarkStart w:id="182" w:name="_Toc456686727"/>
      <w:bookmarkStart w:id="183" w:name="_Toc481057071"/>
      <w:r w:rsidRPr="00BB18D4">
        <w:t>Arithmetic and geometric averages</w:t>
      </w:r>
      <w:bookmarkEnd w:id="179"/>
      <w:bookmarkEnd w:id="180"/>
      <w:bookmarkEnd w:id="181"/>
      <w:bookmarkEnd w:id="182"/>
      <w:bookmarkEnd w:id="183"/>
    </w:p>
    <w:p w:rsidR="00BB18D4" w:rsidRPr="00BB18D4" w:rsidRDefault="00BB18D4" w:rsidP="00BB18D4">
      <w:r w:rsidRPr="00BB18D4">
        <w:t>Historical excess market returns are sensitive to the method of averaging returns over multiple periods. The arithmetic average return is the simple average annual return. The geometric average return is the average compounded annual return.</w:t>
      </w:r>
      <w:r w:rsidRPr="00BB18D4">
        <w:rPr>
          <w:rStyle w:val="FootnoteReference"/>
        </w:rPr>
        <w:footnoteReference w:id="961"/>
      </w:r>
    </w:p>
    <w:p w:rsidR="00BB18D4" w:rsidRPr="00BB18D4" w:rsidRDefault="00BB18D4" w:rsidP="00BB18D4">
      <w:r w:rsidRPr="00BB18D4">
        <w:t>In estimating the market risk premium, we have regard to both arithmetic and geometric average historical excess returns. We set out our reasoning in our final decision for Jemena Gas Networks (JGN), and this material remains relevant.</w:t>
      </w:r>
      <w:r w:rsidRPr="00BB18D4">
        <w:rPr>
          <w:rStyle w:val="FootnoteReference"/>
        </w:rPr>
        <w:footnoteReference w:id="962"/>
      </w:r>
      <w:r w:rsidRPr="00BB18D4">
        <w:t xml:space="preserve"> We also note that Partington and Satchell support our position to have regard to both types of average historical excess returns.</w:t>
      </w:r>
      <w:r w:rsidRPr="00BB18D4">
        <w:rPr>
          <w:rStyle w:val="FootnoteReference"/>
        </w:rPr>
        <w:footnoteReference w:id="963"/>
      </w:r>
      <w:r w:rsidRPr="00BB18D4">
        <w:t xml:space="preserve"> Overall, our decision is informed by the following considerations:</w:t>
      </w:r>
    </w:p>
    <w:p w:rsidR="00BB18D4" w:rsidRPr="00BB18D4" w:rsidRDefault="00BB18D4" w:rsidP="00BB18D4">
      <w:pPr>
        <w:pStyle w:val="AERbulletlistfirststyle"/>
      </w:pPr>
      <w:r w:rsidRPr="00BB18D4">
        <w:t>We consider the arithmetic average of 10-yearly historical excess returns could be an unbiased estimator of a forward looking 10 year return. However, to obtain a sufficiently large dataset, historical excess returns are estimated as the arithmetic or geometric average of annual returns. Since annual historical excess returns are variable, their arithmetic average will overstate the arithmetic average of 10 year historical excess returns. Similarly, the geometric average of annual historical excess returns will understate the arithmetic average of 10 year historical excess returns.</w:t>
      </w:r>
      <w:r w:rsidRPr="00BB18D4">
        <w:rPr>
          <w:rStyle w:val="FootnoteReference"/>
        </w:rPr>
        <w:footnoteReference w:id="964"/>
      </w:r>
    </w:p>
    <w:p w:rsidR="00BB18D4" w:rsidRPr="00BB18D4" w:rsidRDefault="00BB18D4" w:rsidP="00BB18D4">
      <w:pPr>
        <w:pStyle w:val="AERbulletlistfirststyle"/>
      </w:pPr>
      <w:r w:rsidRPr="00BB18D4">
        <w:t>We have previously considered arithmetic and geometric averages relevant when estimating a 10 year forward looking market risk premium using historical annual excess returns.</w:t>
      </w:r>
      <w:r w:rsidRPr="00BB18D4">
        <w:rPr>
          <w:rStyle w:val="FootnoteReference"/>
        </w:rPr>
        <w:footnoteReference w:id="965"/>
      </w:r>
      <w:r w:rsidRPr="00BB18D4">
        <w:t xml:space="preserve"> The Tribunal found no error with this approach.</w:t>
      </w:r>
      <w:r w:rsidRPr="00BB18D4">
        <w:rPr>
          <w:rStyle w:val="FootnoteReference"/>
        </w:rPr>
        <w:footnoteReference w:id="966"/>
      </w:r>
    </w:p>
    <w:p w:rsidR="00BB18D4" w:rsidRPr="00BB18D4" w:rsidRDefault="00BB18D4" w:rsidP="00BB18D4">
      <w:pPr>
        <w:pStyle w:val="AERbulletlistfirststyle"/>
      </w:pPr>
      <w:r w:rsidRPr="00BB18D4">
        <w:t>In their 2014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sidRPr="00BB18D4">
        <w:rPr>
          <w:rStyle w:val="FootnoteReference"/>
        </w:rPr>
        <w:footnoteReference w:id="967"/>
      </w:r>
      <w:r w:rsidRPr="00BB18D4">
        <w:t xml:space="preserve"> While we do not adopt this approach, this indicates that experts and other regulators consider geometric averages valuable.</w:t>
      </w:r>
    </w:p>
    <w:p w:rsidR="00BB18D4" w:rsidRPr="00BB18D4" w:rsidRDefault="00BB18D4" w:rsidP="00BB18D4">
      <w:pPr>
        <w:pStyle w:val="AERbulletlistfirststyle"/>
      </w:pPr>
      <w:r w:rsidRPr="00BB18D4">
        <w:t>McKenzie, Partington, and Satchell recommended the consideration of both arithmetic and geometric averages, tempered by an understanding of their inherent biases.</w:t>
      </w:r>
      <w:r w:rsidRPr="00BB18D4">
        <w:rPr>
          <w:rStyle w:val="FootnoteReference"/>
        </w:rPr>
        <w:footnoteReference w:id="968"/>
      </w:r>
    </w:p>
    <w:p w:rsidR="00BB18D4" w:rsidRPr="00BB18D4" w:rsidRDefault="00BB18D4" w:rsidP="00BB18D4">
      <w:r w:rsidRPr="00BB18D4">
        <w:t>In a series of reports, NERA recommended we give no weight to geometric average historical excess returns.</w:t>
      </w:r>
      <w:r w:rsidRPr="00BB18D4">
        <w:rPr>
          <w:rStyle w:val="FootnoteReference"/>
        </w:rPr>
        <w:footnoteReference w:id="969"/>
      </w:r>
      <w:r w:rsidRPr="00BB18D4">
        <w:t xml:space="preserve"> In June 2015, NERA submitted a further report on this issue.</w:t>
      </w:r>
      <w:r w:rsidRPr="00BB18D4">
        <w:rPr>
          <w:rStyle w:val="FootnoteReference"/>
        </w:rPr>
        <w:footnoteReference w:id="970"/>
      </w:r>
      <w:r w:rsidRPr="00BB18D4">
        <w:t xml:space="preserve"> In January 2016, HoustonKemp submitted a similar report to NERA that also recommended that no weight be given to geometric average historical excess returns.</w:t>
      </w:r>
      <w:r w:rsidRPr="00BB18D4">
        <w:rPr>
          <w:rStyle w:val="FootnoteReference"/>
        </w:rPr>
        <w:footnoteReference w:id="971"/>
      </w:r>
      <w:r w:rsidRPr="00BB18D4">
        <w:t xml:space="preserve"> </w:t>
      </w:r>
    </w:p>
    <w:p w:rsidR="00BB18D4" w:rsidRPr="00BB18D4" w:rsidRDefault="00BB18D4" w:rsidP="00BB18D4">
      <w:r w:rsidRPr="00BB18D4">
        <w:t>We consider NERA and HoustonKemp's submissions take a narrow view of the issue. As Partington and Satchell stated in their October 2015 report:</w:t>
      </w:r>
      <w:r w:rsidRPr="00BB18D4">
        <w:rPr>
          <w:rStyle w:val="FootnoteReference"/>
        </w:rPr>
        <w:footnoteReference w:id="972"/>
      </w:r>
    </w:p>
    <w:p w:rsidR="00BB18D4" w:rsidRPr="00BB18D4" w:rsidRDefault="00BB18D4" w:rsidP="00BB18D4">
      <w:pPr>
        <w:pStyle w:val="AERquote"/>
      </w:pPr>
      <w:r w:rsidRPr="00BB18D4">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BB18D4" w:rsidRPr="00BB18D4" w:rsidRDefault="00BB18D4" w:rsidP="00BB18D4">
      <w:r w:rsidRPr="00BB18D4">
        <w:t>There remains uncertainty over whether an arithmetic or geometric average (or some combination of the two) of historical excess returns provides a better estimate of expected excess returns. The answer to NERA's concern whether geometric or arithmetic averages are better is unclear and not settled amongst academics. Both methods have limitations. This is well summarised by Partington and Satchell:</w:t>
      </w:r>
      <w:r w:rsidRPr="00BB18D4">
        <w:rPr>
          <w:rStyle w:val="FootnoteReference"/>
        </w:rPr>
        <w:footnoteReference w:id="973"/>
      </w:r>
    </w:p>
    <w:p w:rsidR="00BB18D4" w:rsidRPr="00BB18D4" w:rsidRDefault="00BB18D4" w:rsidP="00BB18D4">
      <w:pPr>
        <w:pStyle w:val="AERquote"/>
      </w:pPr>
      <w:r w:rsidRPr="00BB18D4">
        <w:t xml:space="preserve">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 </w:t>
      </w:r>
    </w:p>
    <w:p w:rsidR="00BB18D4" w:rsidRPr="00BB18D4" w:rsidRDefault="00BB18D4" w:rsidP="00BB18D4">
      <w:r w:rsidRPr="00BB18D4">
        <w:t>In their 2012 report, McKenzie and Partington provided numerous references to academic studies that support this view.</w:t>
      </w:r>
      <w:r w:rsidRPr="00BB18D4">
        <w:rPr>
          <w:rStyle w:val="FootnoteReference"/>
        </w:rPr>
        <w:footnoteReference w:id="974"/>
      </w:r>
      <w:r w:rsidRPr="00BB18D4">
        <w:t xml:space="preserve"> They considered that unbiasedness is only one desirable property of an estimator. Another consideration is efficiency, and 'the question then becomes one of trading off bias and efficiency'.</w:t>
      </w:r>
      <w:r w:rsidRPr="00BB18D4">
        <w:rPr>
          <w:rStyle w:val="FootnoteReference"/>
        </w:rPr>
        <w:footnoteReference w:id="975"/>
      </w:r>
      <w:r w:rsidRPr="00BB18D4">
        <w:t xml:space="preserve"> We agree with this view. </w:t>
      </w:r>
    </w:p>
    <w:p w:rsidR="00BB18D4" w:rsidRPr="00BB18D4" w:rsidRDefault="00BB18D4" w:rsidP="00BB18D4">
      <w:r w:rsidRPr="00BB18D4">
        <w:t>Moreover, in their October 2015 report, Partington and Satchell demonstrate that, even in the restricted case that NERA presents, the geometric average can be a superior estimator.</w:t>
      </w:r>
      <w:r w:rsidRPr="00BB18D4">
        <w:rPr>
          <w:rStyle w:val="FootnoteReference"/>
        </w:rPr>
        <w:footnoteReference w:id="976"/>
      </w:r>
      <w:r w:rsidRPr="00BB18D4">
        <w:t xml:space="preserve"> </w:t>
      </w:r>
    </w:p>
    <w:p w:rsidR="00BB18D4" w:rsidRPr="00BB18D4" w:rsidRDefault="00BB18D4" w:rsidP="00BB18D4">
      <w:r w:rsidRPr="00BB18D4">
        <w:t>HoustonKemp submitted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a large gross return, provide an unbiased estimator.</w:t>
      </w:r>
      <w:r w:rsidRPr="00BB18D4">
        <w:rPr>
          <w:rStyle w:val="FootnoteReference"/>
        </w:rPr>
        <w:footnoteReference w:id="977"/>
      </w:r>
      <w:r w:rsidRPr="00BB18D4">
        <w:t xml:space="preserve"> </w:t>
      </w:r>
    </w:p>
    <w:p w:rsidR="00BB18D4" w:rsidRPr="00BB18D4" w:rsidRDefault="00BB18D4" w:rsidP="00BB18D4">
      <w:r w:rsidRPr="00BB18D4">
        <w:t>We consider that HouseKemp's 2016 report has incorrectly considered Partington and Satchell's results on geometric and arithmetic mean returns.  This is well summarised by Partington and Satchell:</w:t>
      </w:r>
      <w:r w:rsidRPr="00BB18D4">
        <w:rPr>
          <w:rStyle w:val="FootnoteReference"/>
        </w:rPr>
        <w:footnoteReference w:id="978"/>
      </w:r>
    </w:p>
    <w:p w:rsidR="00BB18D4" w:rsidRPr="00BB18D4" w:rsidRDefault="00BB18D4" w:rsidP="00BB18D4">
      <w:pPr>
        <w:pStyle w:val="AERquote"/>
      </w:pPr>
      <w:r w:rsidRPr="00BB18D4">
        <w:t>"We are interested in the term exp(</w:t>
      </w:r>
      <m:oMath>
        <m:r>
          <w:rPr>
            <w:rFonts w:ascii="Cambria Math" w:hAnsi="Cambria Math"/>
          </w:rPr>
          <m:t>μ)-1</m:t>
        </m:r>
      </m:oMath>
      <w:r w:rsidRPr="00BB18D4">
        <w:t xml:space="preserve">; which we call the implied arithmetic rate of return. If we knew that the true geometric rate of return is </w:t>
      </w:r>
      <m:oMath>
        <m:r>
          <w:rPr>
            <w:rFonts w:ascii="Cambria Math" w:hAnsi="Cambria Math"/>
          </w:rPr>
          <m:t>μ</m:t>
        </m:r>
      </m:oMath>
      <w:r w:rsidRPr="00BB18D4">
        <w:t xml:space="preserve"> then the true arithmetic rate of return is exp(</w:t>
      </w:r>
      <m:oMath>
        <m:r>
          <w:rPr>
            <w:rFonts w:ascii="Cambria Math" w:hAnsi="Cambria Math"/>
          </w:rPr>
          <m:t>μ)-1</m:t>
        </m:r>
      </m:oMath>
      <w:r w:rsidRPr="00BB18D4">
        <w:t>. This is a property of the parameters of our model and, as yet, involves no notion of expectations of estimators, contrary to any assertions by HoustonKemp. We then consider the extent to which estimators, based on the arithmetic mean and the geometric mean over or under estimate exp(</w:t>
      </w:r>
      <m:oMath>
        <m:r>
          <w:rPr>
            <w:rFonts w:ascii="Cambria Math" w:hAnsi="Cambria Math"/>
          </w:rPr>
          <m:t>μ)-1</m:t>
        </m:r>
      </m:oMath>
      <w:r w:rsidRPr="00BB18D4">
        <w:t>. We showed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independent of the sample size so it is always biased upwards relative to exp(</w:t>
      </w:r>
      <m:oMath>
        <m:r>
          <w:rPr>
            <w:rFonts w:ascii="Cambria Math" w:hAnsi="Cambria Math"/>
          </w:rPr>
          <m:t>μ)-1</m:t>
        </m:r>
      </m:oMath>
      <w:r w:rsidRPr="00BB18D4">
        <w:t>. 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where T is the size of the sample. This is biased upwards relative to exp(</w:t>
      </w:r>
      <m:oMath>
        <m:r>
          <w:rPr>
            <w:rFonts w:ascii="Cambria Math" w:hAnsi="Cambria Math"/>
          </w:rPr>
          <m:t>μ)-1</m:t>
        </m:r>
      </m:oMath>
      <w:r w:rsidRPr="00BB18D4">
        <w:t>; but the bias disappears as T gets large. HoustonKemp arrive at the same formula, see equation (23), page 36, but then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The report then asserts that the bias, relative to the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is increasing in T. The HoustonKemp analysis is simply irrelevant."</w:t>
      </w:r>
    </w:p>
    <w:p w:rsidR="00BB18D4" w:rsidRPr="00BB18D4" w:rsidRDefault="00BB18D4" w:rsidP="00BB18D4">
      <w:r w:rsidRPr="00BB18D4">
        <w:t>NERA has questioned the relevance of the Akgiray (1989) and the Jacquier, Kane and Marcus (2003) articles referenced by Partington and Satchell.</w:t>
      </w:r>
      <w:r w:rsidRPr="00BB18D4">
        <w:rPr>
          <w:rStyle w:val="FootnoteReference"/>
        </w:rPr>
        <w:footnoteReference w:id="979"/>
      </w:r>
      <w:r w:rsidRPr="00BB18D4">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BB18D4" w:rsidRPr="00BB18D4" w:rsidRDefault="00BB18D4" w:rsidP="00BB18D4">
      <w:r w:rsidRPr="00BB18D4">
        <w:t>Frontier Economics have also submitted that  no weight should be given to geometric average historical excess returns.</w:t>
      </w:r>
      <w:r w:rsidRPr="00BB18D4">
        <w:rPr>
          <w:rStyle w:val="FootnoteReference"/>
        </w:rPr>
        <w:footnoteReference w:id="980"/>
      </w:r>
      <w:r w:rsidRPr="00BB18D4">
        <w:rPr>
          <w:rStyle w:val="FootnoteReference"/>
        </w:rPr>
        <w:t xml:space="preserve"> </w:t>
      </w:r>
      <w:r w:rsidRPr="00BB18D4">
        <w:t>Frontier stated that geometric averages do not provide an appropriate estimate of the expected return for the purpose of estimating the market risk premium, notably when forming a range for historical return estimates based on arithmetic averages.</w:t>
      </w:r>
      <w:r w:rsidRPr="00BB18D4">
        <w:rPr>
          <w:rStyle w:val="FootnoteReference"/>
        </w:rPr>
        <w:footnoteReference w:id="981"/>
      </w:r>
      <w:r w:rsidRPr="00BB18D4">
        <w:t xml:space="preserve"> This reiterates views from previous reports and submissions from Frontier, SFG and </w:t>
      </w:r>
      <w:r w:rsidR="003C78BA">
        <w:t xml:space="preserve">some </w:t>
      </w:r>
      <w:r w:rsidRPr="00BB18D4">
        <w:t>service providers</w:t>
      </w:r>
      <w:r w:rsidR="003C78BA">
        <w:t xml:space="preserve"> in past determination processes</w:t>
      </w:r>
      <w:r w:rsidRPr="00BB18D4">
        <w:t>.</w:t>
      </w:r>
      <w:r w:rsidRPr="00BB18D4">
        <w:rPr>
          <w:rStyle w:val="FootnoteReference"/>
        </w:rPr>
        <w:footnoteReference w:id="982"/>
      </w:r>
      <w:r w:rsidRPr="00BB18D4">
        <w:t xml:space="preserve"> </w:t>
      </w:r>
      <w:r w:rsidR="009E2F4C">
        <w:t>The new report</w:t>
      </w:r>
      <w:r w:rsidRPr="00BB18D4">
        <w:t xml:space="preserve"> do</w:t>
      </w:r>
      <w:r w:rsidR="009E2F4C">
        <w:t>es</w:t>
      </w:r>
      <w:r w:rsidRPr="00BB18D4">
        <w:t xml:space="preserve"> not provide new evidence except to cite the AER's own concerns with relying solely on the geometric averages as a forward looking estimate of the market risk premium.</w:t>
      </w:r>
      <w:r w:rsidRPr="00BB18D4">
        <w:rPr>
          <w:rStyle w:val="FootnoteReference"/>
        </w:rPr>
        <w:footnoteReference w:id="983"/>
      </w:r>
    </w:p>
    <w:p w:rsidR="00BB18D4" w:rsidRPr="00BB18D4" w:rsidRDefault="00BB18D4" w:rsidP="00BB18D4">
      <w:r w:rsidRPr="00BB18D4">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 especially considering the weight of evidence we have provided in previous decisions.</w:t>
      </w:r>
      <w:r w:rsidRPr="00BB18D4">
        <w:rPr>
          <w:rStyle w:val="FootnoteReference"/>
        </w:rPr>
        <w:footnoteReference w:id="984"/>
      </w:r>
      <w:r w:rsidRPr="00BB18D4">
        <w:t xml:space="preserve"> We agree with Partington and Satchell's conclusion (a reiteration of McKenzie and Partington's 2012 conclusion) that:</w:t>
      </w:r>
      <w:r w:rsidRPr="00BB18D4">
        <w:rPr>
          <w:rStyle w:val="FootnoteReference"/>
        </w:rPr>
        <w:footnoteReference w:id="985"/>
      </w:r>
    </w:p>
    <w:p w:rsidR="00BB18D4" w:rsidRPr="00BB18D4" w:rsidRDefault="00BB18D4" w:rsidP="00BB18D4">
      <w:pPr>
        <w:pStyle w:val="AERquote"/>
      </w:pPr>
      <w:r w:rsidRPr="00BB18D4">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BB18D4" w:rsidRPr="00BB18D4" w:rsidRDefault="00BB18D4" w:rsidP="00BB18D4"/>
    <w:p w:rsidR="00BB18D4" w:rsidRDefault="00BB18D4" w:rsidP="00BB18D4">
      <w:pPr>
        <w:pStyle w:val="Heading7"/>
      </w:pPr>
      <w:bookmarkStart w:id="184" w:name="_Toc443923203"/>
      <w:bookmarkStart w:id="185" w:name="_Ref451685164"/>
      <w:bookmarkStart w:id="186" w:name="_Toc452629086"/>
      <w:bookmarkStart w:id="187" w:name="_Toc456686729"/>
      <w:bookmarkStart w:id="188" w:name="_Ref478395910"/>
      <w:bookmarkStart w:id="189" w:name="_Ref478396177"/>
      <w:bookmarkStart w:id="190" w:name="_Toc481057072"/>
      <w:r w:rsidRPr="00BB18D4">
        <w:t>AER's dividend growth model</w:t>
      </w:r>
      <w:bookmarkEnd w:id="184"/>
      <w:bookmarkEnd w:id="185"/>
      <w:bookmarkEnd w:id="186"/>
      <w:bookmarkEnd w:id="187"/>
      <w:bookmarkEnd w:id="188"/>
      <w:bookmarkEnd w:id="189"/>
      <w:bookmarkEnd w:id="190"/>
    </w:p>
    <w:p w:rsidR="009F0858" w:rsidRPr="00B4711B" w:rsidRDefault="009F0858" w:rsidP="00CC7A1C">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986"/>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987"/>
      </w:r>
      <w:r>
        <w:t xml:space="preserve"> However, we consider that limited reliance should be placed on estimates from dividend growth models. </w:t>
      </w:r>
    </w:p>
    <w:p w:rsidR="009F0858" w:rsidRPr="00B4711B" w:rsidRDefault="009F0858" w:rsidP="00CC7A1C">
      <w:pPr>
        <w:numPr>
          <w:ilvl w:val="0"/>
          <w:numId w:val="24"/>
        </w:numPr>
      </w:pPr>
      <w:r w:rsidRPr="00B4711B">
        <w:t>In this appendix we set out:</w:t>
      </w:r>
    </w:p>
    <w:p w:rsidR="009F0858" w:rsidRPr="00B4711B" w:rsidRDefault="009F0858" w:rsidP="009F0858">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9F0858" w:rsidRPr="00B4711B" w:rsidRDefault="009F0858" w:rsidP="009F0858">
      <w:pPr>
        <w:pStyle w:val="AERbulletlistfirststyle"/>
      </w:pPr>
      <w:r w:rsidRPr="00B4711B">
        <w:t>Sensitivity analysis surrounding our prevailing estimates.</w:t>
      </w:r>
    </w:p>
    <w:p w:rsidR="009F0858" w:rsidRPr="00B4711B" w:rsidRDefault="009F0858" w:rsidP="009F0858">
      <w:pPr>
        <w:pStyle w:val="AERbulletlistfirststyle"/>
      </w:pPr>
      <w:r w:rsidRPr="00B4711B">
        <w:t xml:space="preserve">Our preferred construction of the </w:t>
      </w:r>
      <w:r>
        <w:t>dividend growth model</w:t>
      </w:r>
      <w:r w:rsidRPr="00B4711B">
        <w:t>.</w:t>
      </w:r>
    </w:p>
    <w:p w:rsidR="009F0858" w:rsidRPr="00B4711B" w:rsidRDefault="009F0858" w:rsidP="009F0858">
      <w:pPr>
        <w:pStyle w:val="AERbulletlistfirststyle"/>
      </w:pPr>
      <w:r>
        <w:t>Limitations with the use of dividend growth models due to potential upward bias</w:t>
      </w:r>
      <w:r w:rsidRPr="00B4711B">
        <w:t xml:space="preserve">. </w:t>
      </w:r>
    </w:p>
    <w:p w:rsidR="009F0858" w:rsidRDefault="009F0858" w:rsidP="00CC7A1C">
      <w:pPr>
        <w:pStyle w:val="Heading8"/>
        <w:numPr>
          <w:ilvl w:val="1"/>
          <w:numId w:val="28"/>
        </w:numPr>
      </w:pPr>
      <w:bookmarkStart w:id="191" w:name="_Toc443923204"/>
      <w:bookmarkStart w:id="192" w:name="_Toc451938982"/>
      <w:bookmarkStart w:id="193" w:name="_Toc456686730"/>
      <w:bookmarkStart w:id="194" w:name="_Toc481057073"/>
      <w:r w:rsidRPr="00B4711B">
        <w:t>Prevailing estimates</w:t>
      </w:r>
      <w:bookmarkEnd w:id="191"/>
      <w:bookmarkEnd w:id="192"/>
      <w:bookmarkEnd w:id="193"/>
      <w:bookmarkEnd w:id="194"/>
      <w:r w:rsidRPr="00B4711B">
        <w:t xml:space="preserve"> </w:t>
      </w:r>
    </w:p>
    <w:p w:rsidR="009F0858" w:rsidRPr="00B4711B" w:rsidRDefault="009F0858" w:rsidP="009F0858">
      <w:r w:rsidRPr="00B4711B">
        <w:t xml:space="preserve">Results in </w:t>
      </w:r>
      <w:r>
        <w:fldChar w:fldCharType="begin"/>
      </w:r>
      <w:r>
        <w:instrText xml:space="preserve"> REF _Ref445384078 \h </w:instrText>
      </w:r>
      <w:r>
        <w:fldChar w:fldCharType="separate"/>
      </w:r>
      <w:r w:rsidR="00C6448C" w:rsidRPr="00C2709F">
        <w:t xml:space="preserve">Table </w:t>
      </w:r>
      <w:r w:rsidR="00C6448C">
        <w:rPr>
          <w:noProof/>
        </w:rPr>
        <w:t>3</w:t>
      </w:r>
      <w:r w:rsidR="00C6448C">
        <w:noBreakHyphen/>
      </w:r>
      <w:r w:rsidR="00C6448C">
        <w:rPr>
          <w:noProof/>
        </w:rPr>
        <w:t>27</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rsidR="00321540">
        <w:t>March 2017</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00321540">
        <w:rPr>
          <w:rStyle w:val="AERbody"/>
        </w:rPr>
        <w:t>6.46</w:t>
      </w:r>
      <w:r w:rsidRPr="00B4711B">
        <w:rPr>
          <w:rStyle w:val="AERbody"/>
        </w:rPr>
        <w:t xml:space="preserve"> to </w:t>
      </w:r>
      <w:r w:rsidR="00321540">
        <w:rPr>
          <w:rStyle w:val="AERbody"/>
        </w:rPr>
        <w:t>7.72</w:t>
      </w:r>
      <w:r w:rsidRPr="00B4711B">
        <w:rPr>
          <w:rStyle w:val="AERbody"/>
        </w:rPr>
        <w:t xml:space="preserve"> per </w:t>
      </w:r>
      <w:r w:rsidRPr="00B4711B">
        <w:t>cent.</w:t>
      </w:r>
      <w:r w:rsidRPr="00890846">
        <w:t xml:space="preserve"> </w:t>
      </w:r>
    </w:p>
    <w:p w:rsidR="009F0858" w:rsidRDefault="009F0858" w:rsidP="009F0858">
      <w:pPr>
        <w:pStyle w:val="Caption"/>
      </w:pPr>
      <w:bookmarkStart w:id="195" w:name="_Ref445384078"/>
      <w:bookmarkStart w:id="196" w:name="_Ref443651296"/>
      <w:r w:rsidRPr="00C2709F">
        <w:t xml:space="preserve">Table </w:t>
      </w:r>
      <w:fldSimple w:instr=" STYLEREF 1 \s ">
        <w:r w:rsidR="00C6448C">
          <w:rPr>
            <w:noProof/>
          </w:rPr>
          <w:t>3</w:t>
        </w:r>
      </w:fldSimple>
      <w:r w:rsidR="00882F3D">
        <w:noBreakHyphen/>
      </w:r>
      <w:fldSimple w:instr=" SEQ Table \* ARABIC \s 1 ">
        <w:r w:rsidR="00C6448C">
          <w:rPr>
            <w:noProof/>
          </w:rPr>
          <w:t>27</w:t>
        </w:r>
      </w:fldSimple>
      <w:bookmarkEnd w:id="195"/>
      <w:r w:rsidRPr="00C2709F">
        <w:t xml:space="preserve"> </w:t>
      </w:r>
      <w:r w:rsidRPr="00C2709F">
        <w:tab/>
      </w:r>
      <w:r>
        <w:t>Market risk premium estimates under dividend growth models</w:t>
      </w:r>
      <w:r w:rsidRPr="00C2709F">
        <w:t xml:space="preserve"> (per cent)</w:t>
      </w:r>
      <w:r w:rsidRPr="00C2709F" w:rsidDel="00184676">
        <w:t xml:space="preserve"> </w:t>
      </w:r>
      <w:bookmarkEnd w:id="196"/>
    </w:p>
    <w:tbl>
      <w:tblPr>
        <w:tblStyle w:val="AERtable-text0"/>
        <w:tblW w:w="0" w:type="auto"/>
        <w:tblLook w:val="04A0" w:firstRow="1" w:lastRow="0" w:firstColumn="1" w:lastColumn="0" w:noHBand="0" w:noVBand="1"/>
      </w:tblPr>
      <w:tblGrid>
        <w:gridCol w:w="2897"/>
        <w:gridCol w:w="2898"/>
        <w:gridCol w:w="2898"/>
      </w:tblGrid>
      <w:tr w:rsidR="00054E05" w:rsidTr="00054E05">
        <w:trPr>
          <w:cnfStyle w:val="100000000000" w:firstRow="1" w:lastRow="0" w:firstColumn="0" w:lastColumn="0" w:oddVBand="0" w:evenVBand="0" w:oddHBand="0" w:evenHBand="0" w:firstRowFirstColumn="0" w:firstRowLastColumn="0" w:lastRowFirstColumn="0" w:lastRowLastColumn="0"/>
        </w:trPr>
        <w:tc>
          <w:tcPr>
            <w:tcW w:w="2897" w:type="dxa"/>
          </w:tcPr>
          <w:p w:rsidR="00054E05" w:rsidRPr="00054E05" w:rsidRDefault="00054E05" w:rsidP="00054E05">
            <w:r w:rsidRPr="00B4711B">
              <w:t xml:space="preserve">Growth rate </w:t>
            </w:r>
          </w:p>
        </w:tc>
        <w:tc>
          <w:tcPr>
            <w:tcW w:w="2898" w:type="dxa"/>
          </w:tcPr>
          <w:p w:rsidR="00054E05" w:rsidRPr="00054E05" w:rsidRDefault="00054E05" w:rsidP="00054E05">
            <w:r w:rsidRPr="00B4711B">
              <w:t>Two stage model</w:t>
            </w:r>
          </w:p>
        </w:tc>
        <w:tc>
          <w:tcPr>
            <w:tcW w:w="2898" w:type="dxa"/>
          </w:tcPr>
          <w:p w:rsidR="00054E05" w:rsidRPr="00054E05" w:rsidRDefault="00054E05" w:rsidP="00054E05">
            <w:r w:rsidRPr="00B4711B">
              <w:t>Three stage model</w:t>
            </w:r>
          </w:p>
        </w:tc>
      </w:tr>
      <w:tr w:rsidR="00054E05" w:rsidTr="00054E05">
        <w:tc>
          <w:tcPr>
            <w:tcW w:w="2897" w:type="dxa"/>
          </w:tcPr>
          <w:p w:rsidR="00054E05" w:rsidRPr="00054E05" w:rsidRDefault="00054E05" w:rsidP="00054E05">
            <w:r w:rsidRPr="001F22B0">
              <w:t>3.8</w:t>
            </w:r>
          </w:p>
        </w:tc>
        <w:tc>
          <w:tcPr>
            <w:tcW w:w="2898" w:type="dxa"/>
          </w:tcPr>
          <w:p w:rsidR="00054E05" w:rsidRPr="00054E05" w:rsidRDefault="00054E05" w:rsidP="00054E05">
            <w:r>
              <w:t>6</w:t>
            </w:r>
            <w:r w:rsidRPr="00054E05">
              <w:t>.49</w:t>
            </w:r>
          </w:p>
        </w:tc>
        <w:tc>
          <w:tcPr>
            <w:tcW w:w="2898" w:type="dxa"/>
          </w:tcPr>
          <w:p w:rsidR="00054E05" w:rsidRPr="00054E05" w:rsidRDefault="00054E05" w:rsidP="00054E05">
            <w:r>
              <w:t>6</w:t>
            </w:r>
            <w:r w:rsidRPr="00054E05">
              <w:t>.46</w:t>
            </w:r>
          </w:p>
        </w:tc>
      </w:tr>
      <w:tr w:rsidR="00054E05" w:rsidTr="00054E05">
        <w:trPr>
          <w:cnfStyle w:val="000000010000" w:firstRow="0" w:lastRow="0" w:firstColumn="0" w:lastColumn="0" w:oddVBand="0" w:evenVBand="0" w:oddHBand="0" w:evenHBand="1" w:firstRowFirstColumn="0" w:firstRowLastColumn="0" w:lastRowFirstColumn="0" w:lastRowLastColumn="0"/>
        </w:trPr>
        <w:tc>
          <w:tcPr>
            <w:tcW w:w="2897" w:type="dxa"/>
          </w:tcPr>
          <w:p w:rsidR="00054E05" w:rsidRPr="00054E05" w:rsidRDefault="00054E05" w:rsidP="00054E05">
            <w:r w:rsidRPr="001F22B0">
              <w:t>4.6</w:t>
            </w:r>
          </w:p>
        </w:tc>
        <w:tc>
          <w:tcPr>
            <w:tcW w:w="2898" w:type="dxa"/>
          </w:tcPr>
          <w:p w:rsidR="00054E05" w:rsidRPr="00054E05" w:rsidRDefault="00054E05" w:rsidP="00054E05">
            <w:r>
              <w:t>7</w:t>
            </w:r>
            <w:r w:rsidRPr="00054E05">
              <w:t>.26</w:t>
            </w:r>
          </w:p>
        </w:tc>
        <w:tc>
          <w:tcPr>
            <w:tcW w:w="2898" w:type="dxa"/>
          </w:tcPr>
          <w:p w:rsidR="00054E05" w:rsidRPr="00054E05" w:rsidRDefault="00054E05" w:rsidP="00054E05">
            <w:r>
              <w:t>7</w:t>
            </w:r>
            <w:r w:rsidRPr="00054E05">
              <w:t>.11</w:t>
            </w:r>
          </w:p>
        </w:tc>
      </w:tr>
      <w:tr w:rsidR="00054E05" w:rsidTr="00054E05">
        <w:tc>
          <w:tcPr>
            <w:tcW w:w="2897" w:type="dxa"/>
          </w:tcPr>
          <w:p w:rsidR="00054E05" w:rsidRPr="00054E05" w:rsidRDefault="00054E05" w:rsidP="00054E05">
            <w:r w:rsidRPr="001F22B0">
              <w:t>5.1</w:t>
            </w:r>
          </w:p>
        </w:tc>
        <w:tc>
          <w:tcPr>
            <w:tcW w:w="2898" w:type="dxa"/>
          </w:tcPr>
          <w:p w:rsidR="00054E05" w:rsidRPr="00054E05" w:rsidRDefault="00054E05" w:rsidP="00054E05">
            <w:r>
              <w:t>7</w:t>
            </w:r>
            <w:r w:rsidRPr="00054E05">
              <w:t>.72</w:t>
            </w:r>
          </w:p>
        </w:tc>
        <w:tc>
          <w:tcPr>
            <w:tcW w:w="2898" w:type="dxa"/>
          </w:tcPr>
          <w:p w:rsidR="00054E05" w:rsidRPr="00054E05" w:rsidRDefault="00054E05" w:rsidP="00054E05">
            <w:r>
              <w:t>7</w:t>
            </w:r>
            <w:r w:rsidRPr="00054E05">
              <w:t>.50</w:t>
            </w:r>
          </w:p>
        </w:tc>
      </w:tr>
    </w:tbl>
    <w:p w:rsidR="009F0858" w:rsidRPr="00B4711B" w:rsidRDefault="009F0858" w:rsidP="009F0858">
      <w:pPr>
        <w:pStyle w:val="AERtablesource"/>
      </w:pPr>
      <w:r w:rsidRPr="00B4711B">
        <w:t xml:space="preserve">Source: </w:t>
      </w:r>
      <w:r w:rsidRPr="00B4711B">
        <w:tab/>
        <w:t>Bloomberg, AER analysis.</w:t>
      </w:r>
      <w:r w:rsidRPr="00B4711B">
        <w:tab/>
      </w:r>
    </w:p>
    <w:p w:rsidR="009F0858" w:rsidRPr="00B4711B" w:rsidRDefault="009F0858" w:rsidP="009F0858">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preliminary decision for </w:t>
      </w:r>
      <w:r w:rsidR="00A16CC8">
        <w:t>AusNet Services</w:t>
      </w:r>
      <w:r w:rsidR="00054E05">
        <w:t>'</w:t>
      </w:r>
      <w:r>
        <w:t xml:space="preserve"> 2016-20 distribution determination</w:t>
      </w:r>
      <w:r w:rsidRPr="00B4711B">
        <w:t>. Market risk premium estimates are based on an assumed theta of 0.6, and a 2 month average (</w:t>
      </w:r>
      <w:r w:rsidR="00054E05">
        <w:t>February - March 2017</w:t>
      </w:r>
      <w:r w:rsidRPr="00B4711B">
        <w:t>) of analysts' dividend forecasts.</w:t>
      </w:r>
    </w:p>
    <w:p w:rsidR="009F0858" w:rsidRPr="009F0858" w:rsidRDefault="009F0858" w:rsidP="00A164C0"/>
    <w:p w:rsidR="009F0858" w:rsidRDefault="009F0858" w:rsidP="009F0858">
      <w:pPr>
        <w:pStyle w:val="Heading8"/>
      </w:pPr>
      <w:bookmarkStart w:id="197" w:name="_Ref443651537"/>
      <w:bookmarkStart w:id="198" w:name="_Toc443923205"/>
      <w:bookmarkStart w:id="199" w:name="_Toc451938983"/>
      <w:bookmarkStart w:id="200" w:name="_Toc456686731"/>
      <w:bookmarkStart w:id="201" w:name="_Toc481057074"/>
      <w:r w:rsidRPr="00B4711B">
        <w:t>Sensitivity analysis</w:t>
      </w:r>
      <w:bookmarkEnd w:id="197"/>
      <w:bookmarkEnd w:id="198"/>
      <w:bookmarkEnd w:id="199"/>
      <w:bookmarkEnd w:id="200"/>
      <w:bookmarkEnd w:id="201"/>
    </w:p>
    <w:p w:rsidR="009F0858" w:rsidRPr="00B4711B" w:rsidRDefault="009F0858" w:rsidP="00CC7A1C">
      <w:pPr>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9F0858" w:rsidRPr="00B4711B" w:rsidRDefault="009F0858" w:rsidP="009F0858">
      <w:pPr>
        <w:pStyle w:val="AERbulletlistfirststyle"/>
      </w:pPr>
      <w:r>
        <w:t>L</w:t>
      </w:r>
      <w:r w:rsidRPr="00B4711B">
        <w:t>ong term dividend growth rate</w:t>
      </w:r>
      <w:r>
        <w:t>.</w:t>
      </w:r>
      <w:r w:rsidRPr="00B4711B">
        <w:t xml:space="preserve"> </w:t>
      </w:r>
    </w:p>
    <w:p w:rsidR="009F0858" w:rsidRPr="00B4711B" w:rsidRDefault="009F0858" w:rsidP="009F0858">
      <w:pPr>
        <w:pStyle w:val="AERbulletlistfirststyle"/>
      </w:pPr>
      <w:r>
        <w:t>P</w:t>
      </w:r>
      <w:r w:rsidRPr="00B4711B">
        <w:t>eriod estimates are averaged over</w:t>
      </w:r>
      <w:r>
        <w:t>.</w:t>
      </w:r>
    </w:p>
    <w:p w:rsidR="009F0858" w:rsidRPr="00B4711B" w:rsidRDefault="009F0858" w:rsidP="009F0858">
      <w:pPr>
        <w:pStyle w:val="AERbulletlistfirststyle"/>
      </w:pPr>
      <w:r>
        <w:t>U</w:t>
      </w:r>
      <w:r w:rsidRPr="00B4711B">
        <w:t>se of analyst forecasts, which are likely to be biased.</w:t>
      </w:r>
    </w:p>
    <w:p w:rsidR="009F0858" w:rsidRPr="00B4711B" w:rsidRDefault="009F0858" w:rsidP="009F0858">
      <w:r>
        <w:t>For further discussion of these issues see se</w:t>
      </w:r>
      <w:r w:rsidRPr="00B4711B">
        <w:t>ction</w:t>
      </w:r>
      <w:r>
        <w:t xml:space="preserve"> </w:t>
      </w:r>
      <w:r>
        <w:fldChar w:fldCharType="begin"/>
      </w:r>
      <w:r>
        <w:instrText xml:space="preserve"> REF _Ref446260197 \r \h </w:instrText>
      </w:r>
      <w:r>
        <w:fldChar w:fldCharType="separate"/>
      </w:r>
      <w:r w:rsidR="00C6448C">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C6448C" w:rsidRPr="00C2709F">
        <w:t xml:space="preserve">Table </w:t>
      </w:r>
      <w:r w:rsidR="00C6448C">
        <w:rPr>
          <w:noProof/>
        </w:rPr>
        <w:t>3</w:t>
      </w:r>
      <w:r w:rsidR="00C6448C">
        <w:noBreakHyphen/>
      </w:r>
      <w:r w:rsidR="00C6448C">
        <w:rPr>
          <w:noProof/>
        </w:rPr>
        <w:t>28</w:t>
      </w:r>
      <w:r>
        <w:fldChar w:fldCharType="end"/>
      </w:r>
      <w:r w:rsidRPr="00B4711B">
        <w:t xml:space="preserve">. </w:t>
      </w:r>
    </w:p>
    <w:p w:rsidR="009F0858" w:rsidRPr="00DB0499" w:rsidRDefault="009F0858" w:rsidP="009F0858">
      <w:pPr>
        <w:pStyle w:val="Caption"/>
      </w:pPr>
      <w:bookmarkStart w:id="202" w:name="_Ref445384013"/>
      <w:bookmarkStart w:id="203" w:name="_Ref443651335"/>
      <w:r w:rsidRPr="00C2709F">
        <w:t xml:space="preserve">Table </w:t>
      </w:r>
      <w:fldSimple w:instr=" STYLEREF 1 \s ">
        <w:r w:rsidR="00C6448C">
          <w:rPr>
            <w:noProof/>
          </w:rPr>
          <w:t>3</w:t>
        </w:r>
      </w:fldSimple>
      <w:r w:rsidR="00882F3D">
        <w:noBreakHyphen/>
      </w:r>
      <w:fldSimple w:instr=" SEQ Table \* ARABIC \s 1 ">
        <w:r w:rsidR="00C6448C">
          <w:rPr>
            <w:noProof/>
          </w:rPr>
          <w:t>28</w:t>
        </w:r>
      </w:fldSimple>
      <w:bookmarkEnd w:id="202"/>
      <w:r w:rsidRPr="00C2709F">
        <w:t xml:space="preserve"> </w:t>
      </w:r>
      <w:r w:rsidRPr="00C2709F">
        <w:tab/>
      </w:r>
      <w:r>
        <w:t>Sensitivities in the dividend growth model</w:t>
      </w:r>
      <w:r w:rsidRPr="00C2709F">
        <w:t xml:space="preserve"> (per cent)</w:t>
      </w:r>
      <w:r w:rsidRPr="00C2709F" w:rsidDel="00184676">
        <w:t xml:space="preserve"> </w:t>
      </w:r>
      <w:bookmarkEnd w:id="203"/>
    </w:p>
    <w:tbl>
      <w:tblPr>
        <w:tblStyle w:val="AERtable-numbers"/>
        <w:tblW w:w="5000" w:type="pct"/>
        <w:tblLook w:val="04A0" w:firstRow="1" w:lastRow="0" w:firstColumn="1" w:lastColumn="0" w:noHBand="0" w:noVBand="1"/>
      </w:tblPr>
      <w:tblGrid>
        <w:gridCol w:w="4236"/>
        <w:gridCol w:w="1866"/>
        <w:gridCol w:w="2591"/>
      </w:tblGrid>
      <w:tr w:rsidR="00054E05" w:rsidTr="00A23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054E05" w:rsidRPr="00054E05" w:rsidRDefault="00054E05" w:rsidP="00054E05">
            <w:r w:rsidRPr="00B4711B">
              <w:t>Sensitivity</w:t>
            </w:r>
          </w:p>
        </w:tc>
        <w:tc>
          <w:tcPr>
            <w:tcW w:w="1073" w:type="pct"/>
            <w:tcBorders>
              <w:top w:val="nil"/>
              <w:left w:val="nil"/>
              <w:bottom w:val="nil"/>
              <w:right w:val="nil"/>
            </w:tcBorders>
            <w:hideMark/>
          </w:tcPr>
          <w:p w:rsidR="00054E05" w:rsidRPr="00054E05" w:rsidRDefault="00054E05" w:rsidP="00054E05">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054E05" w:rsidRPr="00054E05" w:rsidRDefault="00054E05" w:rsidP="00054E05">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054E05">
            <w:r w:rsidRPr="00B4711B">
              <w:t>Baseline</w:t>
            </w:r>
          </w:p>
          <w:p w:rsidR="00054E05" w:rsidRPr="00054E05" w:rsidRDefault="00054E05" w:rsidP="00054E05">
            <w:r w:rsidRPr="00B4711B">
              <w:tab/>
              <w:t xml:space="preserve">4.6% long-term growth rate </w:t>
            </w:r>
          </w:p>
          <w:p w:rsidR="00054E05" w:rsidRPr="00054E05" w:rsidRDefault="00054E05" w:rsidP="00054E05">
            <w:r w:rsidRPr="00B4711B">
              <w:tab/>
            </w:r>
            <w:r w:rsidRPr="00054E05">
              <w:t>2 month average to end March 2017</w:t>
            </w:r>
          </w:p>
          <w:p w:rsidR="00054E05" w:rsidRPr="00054E05" w:rsidRDefault="00054E05" w:rsidP="00054E05">
            <w:r w:rsidRPr="00B4711B">
              <w:tab/>
              <w:t>unadjusted analysts' forecasts</w:t>
            </w:r>
          </w:p>
        </w:tc>
        <w:tc>
          <w:tcPr>
            <w:tcW w:w="1073"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7.26</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.11</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tcPr>
          <w:p w:rsidR="00054E05" w:rsidRPr="00054E05" w:rsidRDefault="00054E05" w:rsidP="00054E05">
            <w:r w:rsidRPr="00B4711B">
              <w:t xml:space="preserve">5.1% long-term growth </w:t>
            </w:r>
            <w:r w:rsidRPr="00054E05">
              <w:t>rate</w:t>
            </w:r>
          </w:p>
        </w:tc>
        <w:tc>
          <w:tcPr>
            <w:tcW w:w="1073" w:type="pct"/>
            <w:tcBorders>
              <w:top w:val="nil"/>
              <w:left w:val="nil"/>
              <w:bottom w:val="nil"/>
              <w:right w:val="nil"/>
            </w:tcBorders>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.72</w:t>
            </w:r>
          </w:p>
        </w:tc>
        <w:tc>
          <w:tcPr>
            <w:tcW w:w="1490" w:type="pct"/>
            <w:tcBorders>
              <w:top w:val="nil"/>
              <w:left w:val="nil"/>
              <w:bottom w:val="nil"/>
              <w:right w:val="nil"/>
            </w:tcBorders>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.5</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054E05" w:rsidRPr="00054E05" w:rsidRDefault="00054E05" w:rsidP="00054E05">
            <w:r w:rsidRPr="00B4711B">
              <w:t>3.78% long-term growth rate</w:t>
            </w:r>
          </w:p>
        </w:tc>
        <w:tc>
          <w:tcPr>
            <w:tcW w:w="1073"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6</w:t>
            </w:r>
            <w:r w:rsidRPr="00054E05">
              <w:t>.49</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6</w:t>
            </w:r>
            <w:r w:rsidRPr="00054E05">
              <w:t>.46</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Pr>
          <w:p w:rsidR="00054E05" w:rsidRPr="00054E05" w:rsidRDefault="00054E05" w:rsidP="00054E05">
            <w:r w:rsidRPr="00B4711B">
              <w:t xml:space="preserve">6 months to end </w:t>
            </w:r>
            <w:r w:rsidRPr="00054E05">
              <w:t>March 2017</w:t>
            </w:r>
          </w:p>
        </w:tc>
        <w:tc>
          <w:tcPr>
            <w:tcW w:w="1073"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.54</w:t>
            </w:r>
          </w:p>
        </w:tc>
        <w:tc>
          <w:tcPr>
            <w:tcW w:w="1490"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.58</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054E05">
            <w:r w:rsidRPr="00B4711B">
              <w:t xml:space="preserve">12 months to end </w:t>
            </w:r>
            <w:r w:rsidRPr="00054E05">
              <w:t>March 2017</w:t>
            </w:r>
          </w:p>
        </w:tc>
        <w:tc>
          <w:tcPr>
            <w:tcW w:w="1073"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.88</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.96</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 xml:space="preserve">Analysts' </w:t>
            </w:r>
            <w:r w:rsidRPr="00054E05">
              <w:t>forecast  + 10%</w:t>
            </w:r>
          </w:p>
        </w:tc>
        <w:tc>
          <w:tcPr>
            <w:tcW w:w="1073"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.82</w:t>
            </w:r>
          </w:p>
        </w:tc>
        <w:tc>
          <w:tcPr>
            <w:tcW w:w="1490"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.65</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054E05">
            <w:r w:rsidRPr="00B4711B">
              <w:t>Analysts' forecast  - 10%</w:t>
            </w:r>
          </w:p>
        </w:tc>
        <w:tc>
          <w:tcPr>
            <w:tcW w:w="1073"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6</w:t>
            </w:r>
            <w:r w:rsidRPr="00054E05">
              <w:t>.70</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6</w:t>
            </w:r>
            <w:r w:rsidRPr="00054E05">
              <w:t>.56</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 xml:space="preserve">Combined - </w:t>
            </w:r>
            <w:r w:rsidRPr="00054E05">
              <w:t>low</w:t>
            </w:r>
          </w:p>
        </w:tc>
        <w:tc>
          <w:tcPr>
            <w:tcW w:w="1073"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5</w:t>
            </w:r>
            <w:r w:rsidRPr="00054E05">
              <w:t>.93</w:t>
            </w:r>
          </w:p>
        </w:tc>
        <w:tc>
          <w:tcPr>
            <w:tcW w:w="1490"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5.90</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Combined - high</w:t>
            </w:r>
          </w:p>
        </w:tc>
        <w:tc>
          <w:tcPr>
            <w:tcW w:w="1073" w:type="pct"/>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8</w:t>
            </w:r>
            <w:r w:rsidRPr="00054E05">
              <w:t>.93</w:t>
            </w:r>
          </w:p>
        </w:tc>
        <w:tc>
          <w:tcPr>
            <w:tcW w:w="1490" w:type="pct"/>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8</w:t>
            </w:r>
            <w:r w:rsidRPr="00054E05">
              <w:t>.94</w:t>
            </w:r>
          </w:p>
        </w:tc>
      </w:tr>
    </w:tbl>
    <w:p w:rsidR="00054E05" w:rsidRPr="00B4711B" w:rsidRDefault="00054E05" w:rsidP="00054E05">
      <w:pPr>
        <w:pStyle w:val="AERtablesource"/>
      </w:pPr>
      <w:r w:rsidRPr="00B4711B">
        <w:t xml:space="preserve">Source: </w:t>
      </w:r>
      <w:r w:rsidRPr="00B4711B">
        <w:tab/>
        <w:t>Bloomberg, AER analysis.</w:t>
      </w:r>
    </w:p>
    <w:p w:rsidR="00054E05" w:rsidRPr="00B4711B" w:rsidRDefault="00054E05" w:rsidP="00054E05">
      <w:pPr>
        <w:pStyle w:val="AERtablesource"/>
      </w:pPr>
      <w:r w:rsidRPr="00B4711B">
        <w:t>Notes:</w:t>
      </w:r>
      <w:r w:rsidRPr="00B4711B">
        <w:tab/>
        <w:t>All market risk premium estimates are based on an assumed theta of 0.6.</w:t>
      </w:r>
    </w:p>
    <w:p w:rsidR="00054E05" w:rsidRPr="00B4711B" w:rsidRDefault="00054E05" w:rsidP="00054E05">
      <w:pPr>
        <w:pStyle w:val="AERtablesource"/>
      </w:pPr>
      <w:r w:rsidRPr="00B4711B">
        <w:tab/>
        <w:t>Combined -</w:t>
      </w:r>
      <w:r>
        <w:t xml:space="preserve"> low is based on 3.78% growth, 2</w:t>
      </w:r>
      <w:r w:rsidRPr="00B4711B">
        <w:t xml:space="preserve"> month averaging, analysts' forecasts - 10%.</w:t>
      </w:r>
    </w:p>
    <w:p w:rsidR="00054E05" w:rsidRPr="00054E05" w:rsidRDefault="00054E05" w:rsidP="00054E05">
      <w:pPr>
        <w:pStyle w:val="AERtablesource"/>
      </w:pPr>
      <w:r w:rsidRPr="00B4711B">
        <w:tab/>
        <w:t xml:space="preserve">Combined - high is based on 5.1% growth, </w:t>
      </w:r>
      <w:r>
        <w:t>1</w:t>
      </w:r>
      <w:r w:rsidRPr="00B4711B">
        <w:t>2 month averaging, analysts' forecasts + 10%.</w:t>
      </w:r>
    </w:p>
    <w:p w:rsidR="009F0858" w:rsidRPr="0046661C" w:rsidRDefault="009F0858" w:rsidP="009F0858">
      <w:pPr>
        <w:pStyle w:val="TOC1"/>
      </w:pPr>
      <w:r>
        <w:t>Long-term</w:t>
      </w:r>
      <w:r w:rsidRPr="0046661C">
        <w:t xml:space="preserve"> dividend</w:t>
      </w:r>
      <w:r>
        <w:t xml:space="preserve"> growth rate</w:t>
      </w:r>
      <w:r w:rsidRPr="0046661C">
        <w:t xml:space="preserve">  </w:t>
      </w:r>
    </w:p>
    <w:p w:rsidR="009F0858" w:rsidRDefault="009F0858" w:rsidP="009F0858">
      <w:r w:rsidRPr="00B4711B">
        <w:t xml:space="preserve">We </w:t>
      </w:r>
      <w:r>
        <w:t>use</w:t>
      </w:r>
      <w:r w:rsidRPr="00B4711B">
        <w:t xml:space="preserve">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988"/>
      </w:r>
      <w:r w:rsidRPr="00B4711B">
        <w:t xml:space="preserve"> </w:t>
      </w:r>
      <w:r>
        <w:t xml:space="preserve">While </w:t>
      </w:r>
      <w:r w:rsidRPr="00B4711B">
        <w:t xml:space="preserve">the top of Lally's range </w:t>
      </w:r>
      <w:r>
        <w:t xml:space="preserve">is </w:t>
      </w:r>
      <w:r w:rsidRPr="00B4711B">
        <w:t>5.1</w:t>
      </w:r>
      <w:r>
        <w:t xml:space="preserve"> </w:t>
      </w:r>
      <w:r w:rsidRPr="00B4711B">
        <w:t>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989"/>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990"/>
      </w:r>
    </w:p>
    <w:p w:rsidR="009F0858" w:rsidRPr="00B4711B" w:rsidRDefault="009F0858" w:rsidP="009F0858">
      <w:r w:rsidRPr="00B4711B">
        <w:t xml:space="preserve">We have not changed our approach set out in the Guideline. We do not adopt a lower long term dividend growth rate. </w:t>
      </w:r>
    </w:p>
    <w:p w:rsidR="009F0858" w:rsidRPr="0046661C" w:rsidRDefault="009F0858" w:rsidP="00CC7A1C">
      <w:pPr>
        <w:pStyle w:val="TOC1"/>
        <w:numPr>
          <w:ilvl w:val="0"/>
          <w:numId w:val="24"/>
        </w:numPr>
      </w:pPr>
      <w:r>
        <w:t>Averaging period</w:t>
      </w:r>
    </w:p>
    <w:p w:rsidR="009F0858" w:rsidRPr="00B4711B" w:rsidRDefault="009F0858" w:rsidP="00CC7A1C">
      <w:pPr>
        <w:numPr>
          <w:ilvl w:val="0"/>
          <w:numId w:val="24"/>
        </w:numPr>
      </w:pPr>
      <w:r w:rsidRPr="00B4711B">
        <w:t xml:space="preserve">We based our </w:t>
      </w:r>
      <w:r>
        <w:t>dividend growth model</w:t>
      </w:r>
      <w:r w:rsidRPr="00B4711B">
        <w:t xml:space="preserve"> estimate on data over </w:t>
      </w:r>
      <w:r w:rsidR="00321540">
        <w:t>the February and March 2017</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9F0858" w:rsidRPr="00B4711B" w:rsidRDefault="009F0858" w:rsidP="00CC7A1C">
      <w:pPr>
        <w:numPr>
          <w:ilvl w:val="0"/>
          <w:numId w:val="24"/>
        </w:numPr>
      </w:pPr>
      <w:r w:rsidRPr="00B4711B">
        <w:t>As seen in</w:t>
      </w:r>
      <w:r>
        <w:t xml:space="preserve"> </w:t>
      </w:r>
      <w:r>
        <w:fldChar w:fldCharType="begin"/>
      </w:r>
      <w:r>
        <w:instrText xml:space="preserve"> REF _Ref445384013 \h </w:instrText>
      </w:r>
      <w:r>
        <w:fldChar w:fldCharType="separate"/>
      </w:r>
      <w:r w:rsidR="00C6448C" w:rsidRPr="00C2709F">
        <w:t xml:space="preserve">Table </w:t>
      </w:r>
      <w:r w:rsidR="00C6448C">
        <w:rPr>
          <w:noProof/>
        </w:rPr>
        <w:t>3</w:t>
      </w:r>
      <w:r w:rsidR="00C6448C">
        <w:noBreakHyphen/>
      </w:r>
      <w:r w:rsidR="00C6448C">
        <w:rPr>
          <w:noProof/>
        </w:rPr>
        <w:t>28</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991"/>
      </w:r>
      <w:r w:rsidRPr="00B4711B">
        <w:t xml:space="preserve"> Having regard to McKenzie and Partington's advice, we also consider a 12 month averaging period.</w:t>
      </w:r>
      <w:r>
        <w:rPr>
          <w:rStyle w:val="FootnoteReference"/>
        </w:rPr>
        <w:footnoteReference w:id="992"/>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993"/>
      </w:r>
      <w:r w:rsidRPr="00B4711B">
        <w:t xml:space="preserve"> </w:t>
      </w:r>
      <w:r>
        <w:t>Partington and Satchell continue to note this limitation in their latest advice.</w:t>
      </w:r>
      <w:r>
        <w:rPr>
          <w:rStyle w:val="FootnoteReference"/>
        </w:rPr>
        <w:footnoteReference w:id="994"/>
      </w:r>
    </w:p>
    <w:p w:rsidR="009F0858" w:rsidRPr="00B4711B" w:rsidRDefault="009F0858" w:rsidP="00CC7A1C">
      <w:pPr>
        <w:numPr>
          <w:ilvl w:val="0"/>
          <w:numId w:val="24"/>
        </w:numPr>
      </w:pPr>
      <w:r w:rsidRPr="00B4711B">
        <w:t xml:space="preserve">To </w:t>
      </w:r>
      <w:r>
        <w:t>demonstrate the potential</w:t>
      </w:r>
      <w:r w:rsidRPr="00B4711B">
        <w:t xml:space="preserve"> impact, we adjusted forecast dividends per share </w:t>
      </w:r>
      <w:r>
        <w:t xml:space="preserve">by </w:t>
      </w:r>
      <w:r w:rsidRPr="00B4711B">
        <w:t>10 per cent downwards</w:t>
      </w:r>
      <w:r>
        <w:t xml:space="preserve"> and </w:t>
      </w:r>
      <w:r w:rsidRPr="00B4711B">
        <w:t xml:space="preserve">upwards. </w:t>
      </w:r>
    </w:p>
    <w:p w:rsidR="009F0858" w:rsidRDefault="009F0858" w:rsidP="009F0858">
      <w:pPr>
        <w:pStyle w:val="Heading8"/>
      </w:pPr>
      <w:bookmarkStart w:id="204" w:name="_Ref448787515"/>
      <w:bookmarkStart w:id="205" w:name="_Toc451938984"/>
      <w:bookmarkStart w:id="206" w:name="_Toc456686732"/>
      <w:bookmarkStart w:id="207" w:name="_Toc481057075"/>
      <w:r w:rsidRPr="00B4711B">
        <w:t>Preferred construction of the dividend growth model</w:t>
      </w:r>
      <w:bookmarkEnd w:id="204"/>
      <w:bookmarkEnd w:id="205"/>
      <w:bookmarkEnd w:id="206"/>
      <w:bookmarkEnd w:id="207"/>
    </w:p>
    <w:p w:rsidR="009F0858" w:rsidRPr="00B4711B" w:rsidRDefault="009F0858" w:rsidP="009F0858">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995"/>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9F0858" w:rsidRPr="00B4711B" w:rsidRDefault="004A6459" w:rsidP="009F0858">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F0858" w:rsidRPr="00B4711B" w:rsidRDefault="009F0858" w:rsidP="009F0858">
      <w:pPr>
        <w:pStyle w:val="AERtablesource"/>
      </w:pPr>
      <w:r w:rsidRPr="00B4711B">
        <w:t>Where:</w:t>
      </w:r>
      <w:r w:rsidRPr="00B4711B">
        <w:tab/>
        <w:t>Pc is the current price of equity, for which we use the S&amp;P/ASX 200 index as the proxy</w:t>
      </w:r>
    </w:p>
    <w:p w:rsidR="009F0858" w:rsidRPr="00B4711B" w:rsidRDefault="009F0858" w:rsidP="009F0858">
      <w:pPr>
        <w:pStyle w:val="AERtablesource"/>
      </w:pPr>
      <w:r w:rsidRPr="00B4711B">
        <w:tab/>
        <w:t>E(Dc) is expected dividends per share for the current financial year</w:t>
      </w:r>
      <w:r w:rsidRPr="00B4711B">
        <w:rPr>
          <w:rStyle w:val="FootnoteReference"/>
        </w:rPr>
        <w:footnoteReference w:id="996"/>
      </w:r>
    </w:p>
    <w:p w:rsidR="009F0858" w:rsidRPr="00B4711B" w:rsidRDefault="009F0858" w:rsidP="009F0858">
      <w:pPr>
        <w:pStyle w:val="AERtablesource"/>
      </w:pPr>
      <w:r w:rsidRPr="00B4711B">
        <w:tab/>
        <w:t>E(Dt) is expected dividends per share for the financial year t years after the current financial year</w:t>
      </w:r>
    </w:p>
    <w:p w:rsidR="009F0858" w:rsidRPr="00B4711B" w:rsidRDefault="009F0858" w:rsidP="009F0858">
      <w:pPr>
        <w:pStyle w:val="AERtablesource"/>
      </w:pPr>
      <w:r w:rsidRPr="00B4711B">
        <w:tab/>
        <w:t>m is the fraction of the current financial year remaining, expressed as a decimal point</w:t>
      </w:r>
    </w:p>
    <w:p w:rsidR="009F0858" w:rsidRPr="00B4711B" w:rsidRDefault="009F0858" w:rsidP="009F0858">
      <w:pPr>
        <w:pStyle w:val="AERtablesource"/>
      </w:pPr>
      <w:r w:rsidRPr="00B4711B">
        <w:tab/>
        <w:t>N is the time period after which dividend growth reverts to its long-term rate (for the two stage model, N = 2, for the three stage model N = 9)</w:t>
      </w:r>
    </w:p>
    <w:p w:rsidR="009F0858" w:rsidRPr="00B4711B" w:rsidRDefault="009F0858" w:rsidP="009F0858">
      <w:pPr>
        <w:pStyle w:val="AERtablesource"/>
      </w:pPr>
      <w:r w:rsidRPr="00B4711B">
        <w:tab/>
        <w:t xml:space="preserve">g is the expected long term growth rate in nominal dividends per share. For this parameter, we use a range of 4.0 to 5.1 per cent, with a point estimate of 4.6 per cent. </w:t>
      </w:r>
    </w:p>
    <w:p w:rsidR="009F0858" w:rsidRPr="00B4711B" w:rsidRDefault="009F0858" w:rsidP="00CC7A1C">
      <w:pPr>
        <w:numPr>
          <w:ilvl w:val="0"/>
          <w:numId w:val="24"/>
        </w:numPr>
      </w:pPr>
      <w:r w:rsidRPr="00B4711B">
        <w:t xml:space="preserve">We adopt two versions of a simple standard </w:t>
      </w:r>
      <w:r>
        <w:t>dividend growth model</w:t>
      </w:r>
      <w:r w:rsidRPr="00B4711B">
        <w:t>:</w:t>
      </w:r>
    </w:p>
    <w:p w:rsidR="009F0858" w:rsidRPr="00B4711B" w:rsidRDefault="009F0858" w:rsidP="009F0858">
      <w:pPr>
        <w:pStyle w:val="AERbulletlistfirststyle"/>
      </w:pPr>
      <w:r w:rsidRPr="00B4711B">
        <w:t xml:space="preserve">A two stage </w:t>
      </w:r>
      <w:r>
        <w:t>model</w:t>
      </w:r>
      <w:r w:rsidRPr="00B4711B">
        <w:t>, which assumes that dividends grow at the long term growth rate following the dividend forecast period.</w:t>
      </w:r>
    </w:p>
    <w:p w:rsidR="009F0858" w:rsidRPr="00B4711B" w:rsidRDefault="009F0858" w:rsidP="009F0858">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9F0858" w:rsidRPr="00B4711B" w:rsidRDefault="009F0858" w:rsidP="009F0858">
      <w:r w:rsidRPr="00B4711B">
        <w:t xml:space="preserve">Our </w:t>
      </w:r>
      <w:r>
        <w:t>dividend growth models</w:t>
      </w:r>
      <w:r w:rsidRPr="00B4711B">
        <w:t xml:space="preserve"> also display the following characteristics:</w:t>
      </w:r>
    </w:p>
    <w:p w:rsidR="009F0858" w:rsidRPr="00B4711B" w:rsidRDefault="009F0858" w:rsidP="009F0858">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 of the daily data.</w:t>
      </w:r>
    </w:p>
    <w:p w:rsidR="009F0858" w:rsidRPr="00B4711B" w:rsidRDefault="009F0858" w:rsidP="009F0858">
      <w:pPr>
        <w:pStyle w:val="AERbulletlistfirststyle"/>
      </w:pPr>
      <w:r w:rsidRPr="00B4711B">
        <w:t xml:space="preserve">They </w:t>
      </w:r>
      <w:r>
        <w:t>use market prices for the ASX 200</w:t>
      </w:r>
      <w:r>
        <w:rPr>
          <w:rStyle w:val="FootnoteReference"/>
        </w:rPr>
        <w:footnoteReference w:id="997"/>
      </w:r>
      <w:r w:rsidRPr="00B4711B">
        <w:t>.</w:t>
      </w:r>
    </w:p>
    <w:p w:rsidR="009F0858" w:rsidRPr="00B4711B" w:rsidRDefault="009F0858" w:rsidP="009F0858">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998"/>
      </w:r>
    </w:p>
    <w:p w:rsidR="009F0858" w:rsidRPr="00B4711B" w:rsidRDefault="009F0858" w:rsidP="009F0858">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999"/>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1000"/>
      </w:r>
      <w:r w:rsidRPr="00B4711B">
        <w:t xml:space="preserve"> which have not persuaded us to depart.</w:t>
      </w:r>
      <w:r w:rsidRPr="00B4711B">
        <w:rPr>
          <w:rStyle w:val="FootnoteReference"/>
        </w:rPr>
        <w:footnoteReference w:id="1001"/>
      </w:r>
      <w:r w:rsidRPr="00B4711B">
        <w:t xml:space="preserve"> Further, experts have critically reviewed</w:t>
      </w:r>
      <w:r w:rsidRPr="00B4711B">
        <w:rPr>
          <w:rStyle w:val="FootnoteReference"/>
        </w:rPr>
        <w:footnoteReference w:id="1002"/>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1003"/>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our preliminary decision on AusNet Services' 2016-20 distribution determination.</w:t>
      </w:r>
    </w:p>
    <w:p w:rsidR="009F0858" w:rsidRDefault="009F0858" w:rsidP="009F0858">
      <w:r>
        <w:t>We note that AusNet Services used the AER's construction of the dividend growth model</w:t>
      </w:r>
      <w:r>
        <w:rPr>
          <w:rStyle w:val="FootnoteReference"/>
        </w:rPr>
        <w:footnoteReference w:id="1004"/>
      </w:r>
      <w:r>
        <w:t xml:space="preserve"> in its multi-model approach to estimating its proposed market risk premium.</w:t>
      </w:r>
      <w:r>
        <w:rPr>
          <w:rStyle w:val="FootnoteReference"/>
        </w:rPr>
        <w:footnoteReference w:id="1005"/>
      </w:r>
      <w:r>
        <w:t xml:space="preserve"> We observe a similar approach in AusNet Services’ revised revenue proposal for its transmission services where it uses the AER’s construction of the 3-stage model modified to set the theta to 0.</w:t>
      </w:r>
      <w:r w:rsidR="005B313B">
        <w:t>3</w:t>
      </w:r>
      <w:r>
        <w:t>5 and no downward adjustment to the long-run GDP growth.</w:t>
      </w:r>
      <w:r>
        <w:rPr>
          <w:rStyle w:val="FootnoteReference"/>
        </w:rPr>
        <w:footnoteReference w:id="1006"/>
      </w:r>
    </w:p>
    <w:p w:rsidR="009F0858" w:rsidRPr="009F0858" w:rsidRDefault="009F0858" w:rsidP="00A164C0">
      <w:r>
        <w:t xml:space="preserve">Service providers have in the past proposed the use of SFG's dividend growth model. </w:t>
      </w:r>
    </w:p>
    <w:p w:rsidR="009F0858" w:rsidRPr="00B4711B" w:rsidRDefault="009F0858" w:rsidP="009F0858">
      <w:pPr>
        <w:pStyle w:val="Heading8"/>
      </w:pPr>
      <w:bookmarkStart w:id="208" w:name="_Ref446260197"/>
      <w:bookmarkStart w:id="209" w:name="_Toc451938985"/>
      <w:bookmarkStart w:id="210" w:name="_Toc456686733"/>
      <w:bookmarkStart w:id="211" w:name="_Toc481057076"/>
      <w:r>
        <w:t>Sources of potential upward bias</w:t>
      </w:r>
      <w:bookmarkEnd w:id="208"/>
      <w:bookmarkEnd w:id="209"/>
      <w:bookmarkEnd w:id="210"/>
      <w:bookmarkEnd w:id="211"/>
    </w:p>
    <w:p w:rsidR="009F0858" w:rsidRDefault="009F0858" w:rsidP="009F0858">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1007"/>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9F0858" w:rsidRDefault="009F0858" w:rsidP="009F0858">
      <w:pPr>
        <w:pStyle w:val="TOC1"/>
      </w:pPr>
      <w:bookmarkStart w:id="212" w:name="_Toc443923219"/>
      <w:r w:rsidRPr="0046661C">
        <w:t>Slow-changing dividends</w:t>
      </w:r>
      <w:bookmarkEnd w:id="212"/>
      <w:r w:rsidRPr="0046661C">
        <w:t xml:space="preserve">  </w:t>
      </w:r>
    </w:p>
    <w:p w:rsidR="009F0858" w:rsidRPr="0065391F" w:rsidRDefault="009F0858" w:rsidP="009F0858">
      <w:r w:rsidRPr="00B4711B">
        <w:t>Dividends are a smoothed version of both free cash flow to equity and profits.</w:t>
      </w:r>
      <w:r w:rsidRPr="00B4711B">
        <w:rPr>
          <w:rStyle w:val="FootnoteReference"/>
        </w:rPr>
        <w:footnoteReference w:id="1008"/>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1009"/>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1010"/>
      </w:r>
      <w:r w:rsidRPr="0065391F">
        <w:t xml:space="preserve"> </w:t>
      </w:r>
    </w:p>
    <w:p w:rsidR="009F0858" w:rsidRDefault="009F0858" w:rsidP="009F0858">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9F0858" w:rsidRDefault="009F0858" w:rsidP="009F0858">
      <w:r>
        <w:t>Frontier submitted that this theoretical possibility is not material in current circumstances. Frontier submitted that:</w:t>
      </w:r>
      <w:r>
        <w:rPr>
          <w:rStyle w:val="FootnoteReference"/>
        </w:rPr>
        <w:footnoteReference w:id="1011"/>
      </w:r>
    </w:p>
    <w:p w:rsidR="009F0858" w:rsidRDefault="009F0858" w:rsidP="009F0858">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EC5833" w:rsidRPr="00D93D9B" w:rsidRDefault="009F0858" w:rsidP="00EC5833">
      <w:pPr>
        <w:rPr>
          <w:rStyle w:val="AERbody"/>
        </w:rPr>
      </w:pPr>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1012"/>
      </w:r>
      <w:r w:rsidR="00EC5833" w:rsidRPr="00D93D9B">
        <w:rPr>
          <w:rStyle w:val="AERbody"/>
        </w:rPr>
        <w:t>Frontier responded to our concerns</w:t>
      </w:r>
      <w:r w:rsidR="00EC5833">
        <w:rPr>
          <w:rStyle w:val="AERbody"/>
        </w:rPr>
        <w:t xml:space="preserve"> about the dividend growth model's use in estimating the market risk premium</w:t>
      </w:r>
      <w:r w:rsidR="00EC5833" w:rsidRPr="00D93D9B">
        <w:rPr>
          <w:rStyle w:val="AERbody"/>
        </w:rPr>
        <w:t xml:space="preserve"> by noting that it is 'highly unlikely for analysts to forecast dividend growth based on strong earnings over the short term if they considered those dividends to be unsustainable in the longer term'.</w:t>
      </w:r>
      <w:r w:rsidR="00EC5833">
        <w:rPr>
          <w:rStyle w:val="FootnoteReference"/>
        </w:rPr>
        <w:footnoteReference w:id="1013"/>
      </w:r>
    </w:p>
    <w:p w:rsidR="00EC5833" w:rsidRPr="00D93D9B" w:rsidRDefault="00EC5833" w:rsidP="00EC5833">
      <w:pPr>
        <w:rPr>
          <w:rStyle w:val="AERbody"/>
        </w:rPr>
      </w:pPr>
      <w:r w:rsidRPr="00D93D9B">
        <w:rPr>
          <w:rStyle w:val="AERbody"/>
        </w:rPr>
        <w:t xml:space="preserve">We note that dividends may be forecasted to increase for a number of reasons, including absence of satisfactory projects for reinvestment of earnings, and not necessarily related to strong earnings. </w:t>
      </w:r>
      <w:r w:rsidR="009E2F4C">
        <w:rPr>
          <w:rStyle w:val="AERbody"/>
        </w:rPr>
        <w:t>I</w:t>
      </w:r>
      <w:r w:rsidRPr="00D93D9B">
        <w:rPr>
          <w:rStyle w:val="AERbody"/>
        </w:rPr>
        <w:t>t is not apparent that there is or will be strong earnings growth. In the RBA chart, while forecast earnings per share in 2016–17 is above that of 2015–16</w:t>
      </w:r>
      <w:r>
        <w:rPr>
          <w:rStyle w:val="AERbody"/>
        </w:rPr>
        <w:t xml:space="preserve"> as Frontier points out</w:t>
      </w:r>
      <w:r w:rsidRPr="00D93D9B">
        <w:rPr>
          <w:rStyle w:val="AERbody"/>
        </w:rPr>
        <w:t>, both slow over time which has been the pattern since 2011–12.</w:t>
      </w:r>
      <w:r>
        <w:rPr>
          <w:rStyle w:val="FootnoteReference"/>
        </w:rPr>
        <w:footnoteReference w:id="1014"/>
      </w:r>
      <w:r w:rsidRPr="00D93D9B">
        <w:rPr>
          <w:rStyle w:val="AERbody"/>
        </w:rPr>
        <w:t xml:space="preserve"> We do not consider that this is indicative or supportive of strong earnings growth. </w:t>
      </w:r>
    </w:p>
    <w:p w:rsidR="009F0858" w:rsidRPr="00BA300D" w:rsidRDefault="00EC5833" w:rsidP="00A164C0">
      <w:r w:rsidRPr="00D93D9B">
        <w:rPr>
          <w:rStyle w:val="AERbody"/>
        </w:rPr>
        <w:t xml:space="preserve">Frontier </w:t>
      </w:r>
      <w:r>
        <w:rPr>
          <w:rStyle w:val="AERbody"/>
        </w:rPr>
        <w:t>added</w:t>
      </w:r>
      <w:r w:rsidRPr="00D93D9B">
        <w:rPr>
          <w:rStyle w:val="AERbody"/>
        </w:rPr>
        <w:t xml:space="preserve"> that there is no evidence to indicate 'future dividends were likely to fall so materially as to make the current dividend unsustainable'.</w:t>
      </w:r>
      <w:r>
        <w:rPr>
          <w:rStyle w:val="FootnoteReference"/>
        </w:rPr>
        <w:footnoteReference w:id="1015"/>
      </w:r>
      <w:r w:rsidRPr="00D93D9B">
        <w:rPr>
          <w:rStyle w:val="AERbody"/>
        </w:rPr>
        <w:t xml:space="preserve"> We note that dividends can be stylised as a function of earning and given information suggests material declines in earnings per share</w:t>
      </w:r>
      <w:r>
        <w:rPr>
          <w:rStyle w:val="AERbody"/>
        </w:rPr>
        <w:t>.</w:t>
      </w:r>
      <w:r>
        <w:rPr>
          <w:rStyle w:val="FootnoteReference"/>
        </w:rPr>
        <w:footnoteReference w:id="1016"/>
      </w:r>
      <w:r w:rsidRPr="00D93D9B">
        <w:rPr>
          <w:rStyle w:val="AERbody"/>
        </w:rPr>
        <w:t xml:space="preserve"> </w:t>
      </w:r>
      <w:r w:rsidRPr="00DD6215">
        <w:t xml:space="preserve"> </w:t>
      </w:r>
      <w:r>
        <w:t xml:space="preserve">We also note that the </w:t>
      </w:r>
      <w:r w:rsidRPr="00691150">
        <w:t xml:space="preserve">chartpack relates to one-year forecasts </w:t>
      </w:r>
      <w:r>
        <w:t>which would not provide conclusive evidence consistent with our 10-year time frame</w:t>
      </w:r>
      <w:r w:rsidRPr="00691150">
        <w:t>.</w:t>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Analyst forecasts are well understood to be upward</w:t>
      </w:r>
      <w:r>
        <w:t>ly</w:t>
      </w:r>
      <w:r w:rsidRPr="00B4711B">
        <w:t xml:space="preserve"> biased.</w:t>
      </w:r>
      <w:r w:rsidRPr="00B4711B">
        <w:rPr>
          <w:rStyle w:val="FootnoteReference"/>
        </w:rPr>
        <w:footnoteReference w:id="1017"/>
      </w:r>
      <w:r w:rsidRPr="00B4711B">
        <w:t xml:space="preserve"> McKenzie and Partington also consider that analysts’ forecasts are slow to adjust to changing information.</w:t>
      </w:r>
      <w:r w:rsidRPr="00B4711B">
        <w:rPr>
          <w:rStyle w:val="FootnoteReference"/>
        </w:rPr>
        <w:footnoteReference w:id="1018"/>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BC7472" w:rsidRDefault="009F0858" w:rsidP="009F0858">
      <w:r>
        <w:t xml:space="preserve">We note that Frontier has not provided any evidence that bias has not increased. </w:t>
      </w:r>
      <w:r w:rsidR="00E574A3">
        <w:t xml:space="preserve">In response, </w:t>
      </w:r>
      <w:r w:rsidR="00B60505">
        <w:t>F</w:t>
      </w:r>
      <w:r w:rsidR="00BC7472">
        <w:t xml:space="preserve">rontier </w:t>
      </w:r>
      <w:r w:rsidR="00B60505">
        <w:t xml:space="preserve">estimated </w:t>
      </w:r>
      <w:r w:rsidR="00FE51DA">
        <w:t xml:space="preserve">that </w:t>
      </w:r>
      <w:r w:rsidR="00B60505">
        <w:t>actual earnings for ASX-20 firms is slightly above (2.37 per cent) the forecast and stated that this is inconsistent with the proposition that forecast earnings are becoming more optimistic over time</w:t>
      </w:r>
      <w:r w:rsidR="00BC7472">
        <w:t>.</w:t>
      </w:r>
      <w:r w:rsidR="00B60505">
        <w:rPr>
          <w:rStyle w:val="FootnoteReference"/>
        </w:rPr>
        <w:footnoteReference w:id="1019"/>
      </w:r>
    </w:p>
    <w:p w:rsidR="009F0858" w:rsidRDefault="009F0858" w:rsidP="009F0858">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B60505" w:rsidRPr="00CE0902" w:rsidRDefault="009F0858" w:rsidP="00CC7A1C">
      <w:pPr>
        <w:numPr>
          <w:ilvl w:val="0"/>
          <w:numId w:val="24"/>
        </w:numPr>
      </w:pPr>
      <w:r>
        <w:t>Further, we do not hold a view either way about whether bias has increased or not. However, Frontier refers to a report by JP Morgan that notes that current price-to-earnings ratios</w:t>
      </w:r>
      <w:r>
        <w:rPr>
          <w:rStyle w:val="FootnoteReference"/>
        </w:rPr>
        <w:footnoteReference w:id="1020"/>
      </w:r>
      <w:r>
        <w:t xml:space="preserve"> could be evidence that the prevailing </w:t>
      </w:r>
      <w:r w:rsidRPr="00C365B3">
        <w:t>market is now more sceptical of analysts’ forecasts than they have been in the past</w:t>
      </w:r>
      <w:r>
        <w:t>.</w:t>
      </w:r>
      <w:r>
        <w:rPr>
          <w:rStyle w:val="FootnoteReference"/>
        </w:rPr>
        <w:footnoteReference w:id="1021"/>
      </w:r>
      <w:r w:rsidRPr="00D03E8B">
        <w:t xml:space="preserve"> </w:t>
      </w:r>
      <w:r>
        <w:t xml:space="preserve">That is, </w:t>
      </w:r>
      <w:r w:rsidRPr="00C365B3">
        <w:t>bias (or at least the market’s perception of bias) may have increased</w:t>
      </w:r>
      <w:r>
        <w:t xml:space="preserve">. </w:t>
      </w:r>
      <w:r w:rsidR="00B60505">
        <w:t>We also have reservations a</w:t>
      </w:r>
      <w:r w:rsidR="008423B5">
        <w:t>bout a survey from only 20 firms.</w:t>
      </w:r>
      <w:r w:rsidR="00B60505">
        <w:t xml:space="preserve"> Partington and Satchell </w:t>
      </w:r>
      <w:r w:rsidR="008423B5">
        <w:t xml:space="preserve">advised that they would </w:t>
      </w:r>
      <w:r w:rsidR="00B60505">
        <w:t>"place little weight on a non-random sample of twenty firms and one year's observations" when assessing the reliability of analyst's forecasts.</w:t>
      </w:r>
      <w:r w:rsidR="00B60505">
        <w:rPr>
          <w:rStyle w:val="FootnoteReference"/>
        </w:rPr>
        <w:footnoteReference w:id="1022"/>
      </w:r>
    </w:p>
    <w:p w:rsidR="0048197D" w:rsidRDefault="0048197D" w:rsidP="00CC7A1C">
      <w:pPr>
        <w:numPr>
          <w:ilvl w:val="0"/>
          <w:numId w:val="24"/>
        </w:numPr>
      </w:pPr>
      <w:r>
        <w:t>Frontier submitted that the AER should focus on estimating the implied return that equates the dividend forecast to the actual stock price, and not on the dividend forecast that the AER thinks the market should have used.</w:t>
      </w:r>
      <w:r>
        <w:rPr>
          <w:rStyle w:val="FootnoteReference"/>
        </w:rPr>
        <w:footnoteReference w:id="1023"/>
      </w:r>
    </w:p>
    <w:p w:rsidR="00827E36" w:rsidRPr="00827E36" w:rsidRDefault="0048197D" w:rsidP="00CC7A1C">
      <w:pPr>
        <w:pStyle w:val="ListParagraph"/>
        <w:numPr>
          <w:ilvl w:val="0"/>
          <w:numId w:val="24"/>
        </w:numPr>
      </w:pPr>
      <w:r>
        <w:t>We remain of the view that i</w:t>
      </w:r>
      <w:r w:rsidRPr="00952754">
        <w:t>f analysts’ dividend and price forecasts are biased, it is also plausible that the analysts’ implied return on equity is biased.</w:t>
      </w:r>
      <w:r w:rsidRPr="00B4711B">
        <w:t xml:space="preserve"> </w:t>
      </w:r>
      <w:r w:rsidR="00827E36" w:rsidRPr="00827E36">
        <w:t xml:space="preserve">Partington and Satchell </w:t>
      </w:r>
      <w:r w:rsidR="00827E36">
        <w:t>agree with us and noted that 'i</w:t>
      </w:r>
      <w:r w:rsidR="00827E36" w:rsidRPr="00827E36">
        <w:t>f we assume the market is unbiased, then the AER are correct in observing that any upward bias in analysts’ forecasts will result in a higher implied return on the market for a given method of inferring that implied return</w:t>
      </w:r>
      <w:r w:rsidR="00827E36">
        <w:t>'.</w:t>
      </w:r>
      <w:r w:rsidR="00827E36">
        <w:rPr>
          <w:rStyle w:val="FootnoteReference"/>
        </w:rPr>
        <w:footnoteReference w:id="1024"/>
      </w:r>
    </w:p>
    <w:p w:rsidR="009F0858" w:rsidRDefault="0048197D" w:rsidP="00CC7A1C">
      <w:pPr>
        <w:numPr>
          <w:ilvl w:val="0"/>
          <w:numId w:val="24"/>
        </w:numPr>
      </w:pPr>
      <w:r w:rsidRPr="00B4711B">
        <w:t>McKenzie and Partington also consider that analysts’ forecasts are slow to adjust to changing information.</w:t>
      </w:r>
      <w:r w:rsidRPr="00B4711B">
        <w:rPr>
          <w:rStyle w:val="FootnoteReference"/>
        </w:rPr>
        <w:footnoteReference w:id="1025"/>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9F0858" w:rsidRPr="0046661C" w:rsidRDefault="009F0858" w:rsidP="00CC7A1C">
      <w:pPr>
        <w:pStyle w:val="TOC1"/>
        <w:numPr>
          <w:ilvl w:val="0"/>
          <w:numId w:val="24"/>
        </w:numPr>
      </w:pPr>
      <w:r>
        <w:t>Dividends as a proxy for free cash flow to equity</w:t>
      </w:r>
    </w:p>
    <w:p w:rsidR="009F0858" w:rsidRPr="009F0858" w:rsidRDefault="009F0858" w:rsidP="00CC7A1C">
      <w:pPr>
        <w:pStyle w:val="ListParagraph"/>
        <w:numPr>
          <w:ilvl w:val="0"/>
          <w:numId w:val="24"/>
        </w:numPr>
        <w:rPr>
          <w:rStyle w:val="AERbody"/>
        </w:rPr>
      </w:pPr>
      <w:r w:rsidRPr="009F0858">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sidRPr="009F0858">
        <w:rPr>
          <w:rStyle w:val="FootnoteReference"/>
        </w:rPr>
        <w:footnoteReference w:id="1026"/>
      </w:r>
    </w:p>
    <w:p w:rsidR="009F0858" w:rsidRDefault="00EC5833" w:rsidP="00CC7A1C">
      <w:pPr>
        <w:pStyle w:val="AERbulletlistfirststyle"/>
        <w:numPr>
          <w:ilvl w:val="0"/>
          <w:numId w:val="24"/>
        </w:numPr>
      </w:pPr>
      <w:r>
        <w:t>Partington and Satchell</w:t>
      </w:r>
      <w:r w:rsidRPr="00772B77">
        <w:t xml:space="preserve"> has advised the need for a downward adjustment</w:t>
      </w:r>
      <w:r>
        <w:t xml:space="preserve"> to the growth rate</w:t>
      </w:r>
      <w:r w:rsidRPr="00772B77">
        <w:t xml:space="preserve">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1027"/>
      </w:r>
      <w:r w:rsidRPr="00772B77">
        <w:t xml:space="preserve"> We agree and consider that the downward adjustment remains appropriate.</w:t>
      </w:r>
      <w:r>
        <w:t xml:space="preserve"> </w:t>
      </w:r>
    </w:p>
    <w:p w:rsidR="009F0858" w:rsidRPr="0046661C" w:rsidRDefault="009F0858" w:rsidP="009F0858">
      <w:pPr>
        <w:pStyle w:val="TOC1"/>
      </w:pPr>
      <w:r>
        <w:t>Low risk free rate and term structure for equity</w:t>
      </w:r>
    </w:p>
    <w:p w:rsidR="009F0858" w:rsidRPr="0065391F" w:rsidRDefault="009F0858" w:rsidP="009F0858">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1028"/>
      </w:r>
      <w:r w:rsidRPr="0065391F">
        <w:rPr>
          <w:rStyle w:val="AERbody"/>
        </w:rPr>
        <w:t xml:space="preserve"> We consider it useful to be aware of this potential bias. This is consistent with McKenzie and Partington’s advice:</w:t>
      </w:r>
      <w:r w:rsidRPr="00F37CD8">
        <w:rPr>
          <w:rStyle w:val="FootnoteReference"/>
        </w:rPr>
        <w:footnoteReference w:id="1029"/>
      </w:r>
    </w:p>
    <w:p w:rsidR="009F0858" w:rsidRPr="00B4711B" w:rsidRDefault="009F0858" w:rsidP="009F0858">
      <w:pPr>
        <w:pStyle w:val="AERquote"/>
      </w:pPr>
      <w:r w:rsidRPr="00B4711B">
        <w:t>we do recommend that it be borne in mind that the existence of a term structure could materially change cost of equity estimates from the DGM.</w:t>
      </w:r>
    </w:p>
    <w:p w:rsidR="009F0858" w:rsidRPr="00B4711B" w:rsidRDefault="009F0858" w:rsidP="009F0858"/>
    <w:p w:rsidR="009F0858" w:rsidRPr="009F0858" w:rsidRDefault="009F0858" w:rsidP="00A164C0"/>
    <w:p w:rsidR="009F0858" w:rsidRPr="009F0858" w:rsidRDefault="009F0858" w:rsidP="00A164C0"/>
    <w:p w:rsidR="006A3314" w:rsidRDefault="006A3314" w:rsidP="006A3314">
      <w:pPr>
        <w:pStyle w:val="Heading7"/>
      </w:pPr>
      <w:bookmarkStart w:id="213" w:name="_Ref451685221"/>
      <w:bookmarkStart w:id="214" w:name="_Ref451685409"/>
      <w:bookmarkStart w:id="215" w:name="_Toc452629087"/>
      <w:bookmarkStart w:id="216" w:name="_Toc456686734"/>
      <w:bookmarkStart w:id="217" w:name="_Toc481057077"/>
      <w:r>
        <w:t>Return on equity conditioning variables</w:t>
      </w:r>
      <w:bookmarkEnd w:id="213"/>
      <w:bookmarkEnd w:id="214"/>
      <w:bookmarkEnd w:id="215"/>
      <w:bookmarkEnd w:id="216"/>
      <w:bookmarkEnd w:id="217"/>
    </w:p>
    <w:p w:rsidR="006A3314" w:rsidRPr="00D7763D" w:rsidRDefault="006A3314" w:rsidP="00CC7A1C">
      <w:pPr>
        <w:numPr>
          <w:ilvl w:val="0"/>
          <w:numId w:val="24"/>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1030"/>
      </w:r>
      <w:r w:rsidRPr="00D7763D">
        <w:t xml:space="preserve"> However, </w:t>
      </w:r>
      <w:r>
        <w:t>we consider that this</w:t>
      </w:r>
      <w:r w:rsidRPr="00D7763D">
        <w:t xml:space="preserve"> information is relevant and may be useful for indicating changes in </w:t>
      </w:r>
      <w:r>
        <w:t>prevailing</w:t>
      </w:r>
      <w:r w:rsidRPr="00D7763D">
        <w:t xml:space="preserve"> market conditions. </w:t>
      </w:r>
    </w:p>
    <w:p w:rsidR="006A3314" w:rsidRPr="00C4668D" w:rsidRDefault="006A3314" w:rsidP="00DD2EC0">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S</w:t>
      </w:r>
      <w:r w:rsidR="003C78BA">
        <w:t>ome s</w:t>
      </w:r>
      <w:r w:rsidRPr="00C4668D">
        <w:t>ervice providers have also proposed the use of price</w:t>
      </w:r>
      <w:r>
        <w:t>-to-</w:t>
      </w:r>
      <w:r w:rsidRPr="00C4668D">
        <w:t>earnings ratios, and we consider</w:t>
      </w:r>
      <w:r>
        <w:t>ed</w:t>
      </w:r>
      <w:r w:rsidRPr="00C4668D">
        <w:t xml:space="preserve"> these </w:t>
      </w:r>
      <w:r>
        <w:t xml:space="preserve">in </w:t>
      </w:r>
      <w:r w:rsidR="00837438">
        <w:t>the 'Price-to-earnings ratios' section</w:t>
      </w:r>
      <w:r>
        <w:t xml:space="preserve"> above</w:t>
      </w:r>
      <w:r w:rsidRPr="00C4668D">
        <w:t>.</w:t>
      </w:r>
      <w:r>
        <w:t xml:space="preserve"> In the Guideline we also stated that we would use yield spreads to inform our overall return on equity estimate.</w:t>
      </w:r>
    </w:p>
    <w:p w:rsidR="006A3314" w:rsidRDefault="006A3314" w:rsidP="006A3314">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w:t>
      </w:r>
      <w:r w:rsidR="003C78BA">
        <w:t xml:space="preserve">some </w:t>
      </w:r>
      <w:r w:rsidRPr="00D7763D">
        <w:t>service providers relied upon this evidence.</w:t>
      </w:r>
      <w:r w:rsidRPr="00D7763D">
        <w:rPr>
          <w:rStyle w:val="FootnoteReference"/>
        </w:rPr>
        <w:footnoteReference w:id="1031"/>
      </w:r>
      <w:r w:rsidRPr="00D7763D">
        <w:t xml:space="preserve"> However, when implied volatility estimates fell in 2013, </w:t>
      </w:r>
      <w:r w:rsidR="003C78BA">
        <w:t xml:space="preserve">other </w:t>
      </w:r>
      <w:r w:rsidRPr="00D7763D">
        <w:t>service providers did not propose we consider this evidence.</w:t>
      </w:r>
      <w:r w:rsidRPr="00D7763D">
        <w:rPr>
          <w:rStyle w:val="FootnoteReference"/>
        </w:rPr>
        <w:footnoteReference w:id="1032"/>
      </w:r>
      <w:r w:rsidRPr="00D7763D">
        <w:t xml:space="preserve"> </w:t>
      </w:r>
    </w:p>
    <w:p w:rsidR="006A3314" w:rsidRPr="00D7763D" w:rsidRDefault="006A3314" w:rsidP="006A3314">
      <w:r>
        <w:t xml:space="preserve">AusNet, in their most recent submission, put forward that no reliance should be placed on the conditioning variables in the absence of formal econometric mapping to a point estimate. However </w:t>
      </w:r>
      <w:r w:rsidR="001E6895">
        <w:t xml:space="preserve"> it stated</w:t>
      </w:r>
      <w:r>
        <w:t xml:space="preserve"> that if they are to be used, they point to a higher market risk premium than the AER estimated given indications of a stable return on equity indicated.</w:t>
      </w:r>
      <w:r>
        <w:rPr>
          <w:rStyle w:val="FootnoteReference"/>
        </w:rPr>
        <w:footnoteReference w:id="1033"/>
      </w:r>
      <w:r>
        <w:t xml:space="preserve"> </w:t>
      </w:r>
    </w:p>
    <w:p w:rsidR="006A3314" w:rsidRDefault="006A3314" w:rsidP="006A3314">
      <w:r w:rsidRPr="00D7763D">
        <w:t xml:space="preserve">For the reasons set out below, we consider that, overall, the conditioning variables </w:t>
      </w:r>
      <w:r>
        <w:t>appear to have experienced moderate short term movement. Consideration of the implied volatility approach, dividend yields and corporate bond spreads show slight increases.</w:t>
      </w:r>
      <w:r>
        <w:rPr>
          <w:rStyle w:val="FootnoteReference"/>
        </w:rPr>
        <w:footnoteReference w:id="1034"/>
      </w:r>
      <w:r>
        <w:t xml:space="preserve"> T</w:t>
      </w:r>
      <w:r w:rsidRPr="00866A7A">
        <w:t>he</w:t>
      </w:r>
      <w:r>
        <w:t xml:space="preserve"> state government bond spreads and the comparison between equity and debt premiums provide no clear indication that there have been any changes to conditioning variables.</w:t>
      </w:r>
      <w:r>
        <w:rPr>
          <w:rStyle w:val="FootnoteReference"/>
        </w:rPr>
        <w:footnoteReference w:id="1035"/>
      </w:r>
      <w:r>
        <w:t xml:space="preserve"> Taken together, we see no significant trend to </w:t>
      </w:r>
      <w:r w:rsidRPr="00D51EE9">
        <w:t>support any further change</w:t>
      </w:r>
      <w:r>
        <w:t xml:space="preserve">s to our approach. </w:t>
      </w:r>
    </w:p>
    <w:p w:rsidR="006A3314" w:rsidRPr="00D7763D" w:rsidRDefault="006A3314" w:rsidP="006A3314">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We acknowledge that </w:t>
      </w:r>
      <w:r>
        <w:t>implied volatility and dividend yields</w:t>
      </w:r>
      <w:r w:rsidRPr="00D7763D">
        <w:t xml:space="preserve"> increased above their long term averages towards the end of </w:t>
      </w:r>
      <w:r>
        <w:t>2015</w:t>
      </w:r>
      <w:r w:rsidR="00B84897">
        <w:t xml:space="preserve">, however they </w:t>
      </w:r>
      <w:r w:rsidR="001E6895">
        <w:t>moved</w:t>
      </w:r>
      <w:r w:rsidR="00B84897">
        <w:t xml:space="preserve"> below long term averages during 2016</w:t>
      </w:r>
      <w:r w:rsidRPr="00D7763D">
        <w:t>.</w:t>
      </w:r>
      <w:r w:rsidR="00782C6C">
        <w:t xml:space="preserve"> </w:t>
      </w:r>
      <w:r w:rsidR="00B84897">
        <w:t>W</w:t>
      </w:r>
      <w:r w:rsidRPr="00D7763D">
        <w:t xml:space="preserve">e consider there is </w:t>
      </w:r>
      <w:r>
        <w:t>in</w:t>
      </w:r>
      <w:r w:rsidRPr="00D7763D">
        <w:t>sufficient evidence of a sustained trend away from their long term averages</w:t>
      </w:r>
      <w:r w:rsidR="00B84897">
        <w:t xml:space="preserve"> </w:t>
      </w:r>
      <w:r w:rsidR="00782C6C">
        <w:t>despite</w:t>
      </w:r>
      <w:r w:rsidR="00B84897">
        <w:t xml:space="preserve"> implied volatility </w:t>
      </w:r>
      <w:r w:rsidR="00782C6C">
        <w:t>continuing to fall below long term averages in early 2017</w:t>
      </w:r>
      <w:r w:rsidRPr="00D7763D">
        <w:t xml:space="preserve">. </w:t>
      </w:r>
    </w:p>
    <w:p w:rsidR="006A3314" w:rsidRPr="00D7763D" w:rsidRDefault="006A3314" w:rsidP="006A3314">
      <w:r w:rsidRPr="00D7763D">
        <w:t>It is important to n</w:t>
      </w:r>
      <w:r>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6A3314" w:rsidRPr="006A3314" w:rsidRDefault="006A3314" w:rsidP="00CC7A1C">
      <w:pPr>
        <w:pStyle w:val="Heading8"/>
        <w:numPr>
          <w:ilvl w:val="1"/>
          <w:numId w:val="30"/>
        </w:numPr>
      </w:pPr>
      <w:bookmarkStart w:id="218" w:name="_Toc443923225"/>
      <w:bookmarkStart w:id="219" w:name="_Toc451938987"/>
      <w:bookmarkStart w:id="220" w:name="_Toc456686735"/>
      <w:bookmarkStart w:id="221" w:name="_Toc481057078"/>
      <w:r>
        <w:t>Implied volatility</w:t>
      </w:r>
      <w:bookmarkEnd w:id="218"/>
      <w:bookmarkEnd w:id="219"/>
      <w:bookmarkEnd w:id="220"/>
      <w:bookmarkEnd w:id="221"/>
    </w:p>
    <w:p w:rsidR="006A3314" w:rsidRPr="002A6C79" w:rsidRDefault="006A3314" w:rsidP="00CC7A1C">
      <w:pPr>
        <w:numPr>
          <w:ilvl w:val="0"/>
          <w:numId w:val="24"/>
        </w:numPr>
      </w:pPr>
      <w:bookmarkStart w:id="222" w:name="_Ref433023909"/>
      <w:r w:rsidRPr="002A6C79">
        <w:t>The implied volatility approach assumes that the market risk premium is the price of risk multiplied by the volume of risk (volatility).</w:t>
      </w:r>
      <w:r w:rsidRPr="002A6C79">
        <w:rPr>
          <w:rStyle w:val="FootnoteReference"/>
        </w:rPr>
        <w:footnoteReference w:id="1036"/>
      </w:r>
      <w:r w:rsidRPr="002A6C79">
        <w:t xml:space="preserve"> </w:t>
      </w:r>
      <w:r w:rsidRPr="002A6C79">
        <w:fldChar w:fldCharType="begin"/>
      </w:r>
      <w:r w:rsidRPr="002A6C79">
        <w:instrText xml:space="preserve"> REF _Ref456703448 \h </w:instrText>
      </w:r>
      <w:r w:rsidRPr="002A6C79">
        <w:fldChar w:fldCharType="separate"/>
      </w:r>
      <w:r w:rsidR="00C6448C" w:rsidRPr="00866A7A">
        <w:t xml:space="preserve">Figure </w:t>
      </w:r>
      <w:r w:rsidR="00C6448C">
        <w:rPr>
          <w:noProof/>
        </w:rPr>
        <w:t>3</w:t>
      </w:r>
      <w:r w:rsidR="00C6448C">
        <w:noBreakHyphen/>
      </w:r>
      <w:r w:rsidR="00C6448C">
        <w:rPr>
          <w:noProof/>
        </w:rPr>
        <w:t>7</w:t>
      </w:r>
      <w:r w:rsidRPr="002A6C79">
        <w:fldChar w:fldCharType="end"/>
      </w:r>
      <w:r w:rsidRPr="002A6C79">
        <w:t xml:space="preserve"> shows volume of risk in the market portfolio estimated using the implied volatility index.</w:t>
      </w:r>
    </w:p>
    <w:p w:rsidR="006A3314" w:rsidRPr="002A6C79" w:rsidRDefault="006A3314" w:rsidP="006A3314">
      <w:r w:rsidRPr="002A6C79">
        <w:t>Implied volatility was high during the global financial crisis and the height of the European debt crisis. However, recent implied volatility levels have generally been below or close to the long run average of 18.</w:t>
      </w:r>
      <w:r w:rsidR="00B30750">
        <w:t>1</w:t>
      </w:r>
      <w:r w:rsidRPr="002A6C79">
        <w:t xml:space="preserve"> per cent (measured from the start of the data series in 1997). We note that after a spike in volatility levels in mid to late 2015 levels have fallen again to below the long term average, leading to our belief that volatility has not seen a sustained move away from the long run average.</w:t>
      </w:r>
    </w:p>
    <w:p w:rsidR="006A3314" w:rsidRDefault="006A3314" w:rsidP="006A3314">
      <w:r w:rsidRPr="002A6C79">
        <w:fldChar w:fldCharType="begin"/>
      </w:r>
      <w:r w:rsidRPr="002A6C79">
        <w:instrText xml:space="preserve"> REF _Ref456703448 \h </w:instrText>
      </w:r>
      <w:r w:rsidRPr="002A6C79">
        <w:fldChar w:fldCharType="separate"/>
      </w:r>
      <w:r w:rsidR="00C6448C" w:rsidRPr="00866A7A">
        <w:t xml:space="preserve">Figure </w:t>
      </w:r>
      <w:r w:rsidR="00C6448C">
        <w:rPr>
          <w:noProof/>
        </w:rPr>
        <w:t>3</w:t>
      </w:r>
      <w:r w:rsidR="00C6448C">
        <w:noBreakHyphen/>
      </w:r>
      <w:r w:rsidR="00C6448C">
        <w:rPr>
          <w:noProof/>
        </w:rPr>
        <w:t>7</w:t>
      </w:r>
      <w:r w:rsidRPr="002A6C79">
        <w:fldChar w:fldCharType="end"/>
      </w:r>
      <w:r w:rsidRPr="002A6C79">
        <w:t xml:space="preserve"> shows the value of this measure of implied volatility relative to its long run average level since the start of the data series in 1997 to </w:t>
      </w:r>
      <w:r w:rsidR="00321540">
        <w:t>March 2017</w:t>
      </w:r>
      <w:r w:rsidRPr="002A6C79">
        <w:rPr>
          <w:rStyle w:val="AERbody"/>
        </w:rPr>
        <w:t>.</w:t>
      </w:r>
      <w:r>
        <w:rPr>
          <w:rStyle w:val="AERbody"/>
        </w:rPr>
        <w:t xml:space="preserve"> We observe that </w:t>
      </w:r>
      <w:r w:rsidRPr="002A6C79">
        <w:t xml:space="preserve">the volatility index </w:t>
      </w:r>
      <w:r>
        <w:t>appears to show a downward trend:</w:t>
      </w:r>
    </w:p>
    <w:p w:rsidR="006A3314" w:rsidRDefault="006A3314" w:rsidP="006A3314">
      <w:pPr>
        <w:pStyle w:val="AERbulletlistfirststyle"/>
      </w:pPr>
      <w:r>
        <w:t xml:space="preserve">The index </w:t>
      </w:r>
      <w:r w:rsidRPr="002A6C79">
        <w:t xml:space="preserve">was </w:t>
      </w:r>
      <w:r w:rsidR="00CC66F3">
        <w:t>14.8</w:t>
      </w:r>
      <w:r w:rsidRPr="002A6C79">
        <w:t xml:space="preserve"> per cent</w:t>
      </w:r>
      <w:r>
        <w:t xml:space="preserve"> if</w:t>
      </w:r>
      <w:r>
        <w:rPr>
          <w:rStyle w:val="AERbody"/>
        </w:rPr>
        <w:t xml:space="preserve"> a</w:t>
      </w:r>
      <w:r>
        <w:t>veraging o</w:t>
      </w:r>
      <w:r w:rsidRPr="002A6C79">
        <w:t>ver the year ending 2</w:t>
      </w:r>
      <w:r w:rsidR="00CC66F3">
        <w:t>0</w:t>
      </w:r>
      <w:r w:rsidRPr="002A6C79">
        <w:t xml:space="preserve"> </w:t>
      </w:r>
      <w:r w:rsidR="00CC66F3">
        <w:t>March 2017.</w:t>
      </w:r>
    </w:p>
    <w:p w:rsidR="006A3314" w:rsidRDefault="006A3314" w:rsidP="006A3314">
      <w:pPr>
        <w:pStyle w:val="AERbulletlistfirststyle"/>
      </w:pPr>
      <w:r>
        <w:t xml:space="preserve">The index was </w:t>
      </w:r>
      <w:r w:rsidR="00CC66F3">
        <w:t>11</w:t>
      </w:r>
      <w:r w:rsidRPr="002A6C79">
        <w:t xml:space="preserve"> per cent</w:t>
      </w:r>
      <w:r>
        <w:t xml:space="preserve"> over </w:t>
      </w:r>
      <w:r w:rsidR="00CC66F3">
        <w:t>TasNetworks'</w:t>
      </w:r>
      <w:r w:rsidRPr="002A6C79">
        <w:t xml:space="preserve"> risk free rate</w:t>
      </w:r>
      <w:r>
        <w:t xml:space="preserve"> averaging period (</w:t>
      </w:r>
      <w:r w:rsidR="00CC66F3">
        <w:t>21 February 2017 to 20 March 2017</w:t>
      </w:r>
      <w:r>
        <w:t>)</w:t>
      </w:r>
      <w:r w:rsidRPr="002A6C79">
        <w:t>.</w:t>
      </w:r>
      <w:r w:rsidRPr="002A6C79">
        <w:rPr>
          <w:rStyle w:val="FootnoteReference"/>
        </w:rPr>
        <w:footnoteReference w:id="1037"/>
      </w:r>
      <w:r w:rsidRPr="0083744B">
        <w:t xml:space="preserve"> </w:t>
      </w:r>
    </w:p>
    <w:p w:rsidR="006A3314" w:rsidRDefault="006A3314" w:rsidP="006A3314">
      <w:pPr>
        <w:pStyle w:val="AERbulletlistfirststyle"/>
      </w:pPr>
      <w:r>
        <w:t>T</w:t>
      </w:r>
      <w:r w:rsidRPr="002A6C79">
        <w:t xml:space="preserve">he index was </w:t>
      </w:r>
      <w:r w:rsidR="00CC66F3">
        <w:t>10.3</w:t>
      </w:r>
      <w:r w:rsidRPr="002A6C79">
        <w:t xml:space="preserve"> per cent</w:t>
      </w:r>
      <w:r>
        <w:t xml:space="preserve"> o</w:t>
      </w:r>
      <w:r w:rsidRPr="002A6C79">
        <w:t xml:space="preserve">n </w:t>
      </w:r>
      <w:r w:rsidR="00CC66F3">
        <w:t>20 March 2017</w:t>
      </w:r>
      <w:r w:rsidRPr="002A6C79">
        <w:t xml:space="preserve">. </w:t>
      </w:r>
      <w:r>
        <w:t xml:space="preserve"> </w:t>
      </w:r>
    </w:p>
    <w:p w:rsidR="006A3314" w:rsidRPr="002A6C79" w:rsidRDefault="006A3314" w:rsidP="006A3314">
      <w:r w:rsidRPr="002A6C79">
        <w:rPr>
          <w:rStyle w:val="AERbody"/>
        </w:rPr>
        <w:t xml:space="preserve">Overall, despite this downward trend over the past year, we consider that </w:t>
      </w:r>
      <w:r w:rsidRPr="002A6C79">
        <w:rPr>
          <w:rStyle w:val="AERbody"/>
        </w:rPr>
        <w:fldChar w:fldCharType="begin"/>
      </w:r>
      <w:r w:rsidRPr="002A6C79">
        <w:rPr>
          <w:rStyle w:val="AERbody"/>
        </w:rPr>
        <w:instrText xml:space="preserve"> REF _Ref456703448 \h </w:instrText>
      </w:r>
      <w:r w:rsidRPr="002A6C79">
        <w:rPr>
          <w:rStyle w:val="AERbody"/>
        </w:rPr>
      </w:r>
      <w:r w:rsidRPr="002A6C79">
        <w:rPr>
          <w:rStyle w:val="AERbody"/>
        </w:rPr>
        <w:fldChar w:fldCharType="separate"/>
      </w:r>
      <w:r w:rsidR="00C6448C" w:rsidRPr="00866A7A">
        <w:t xml:space="preserve">Figure </w:t>
      </w:r>
      <w:r w:rsidR="00C6448C">
        <w:rPr>
          <w:noProof/>
        </w:rPr>
        <w:t>3</w:t>
      </w:r>
      <w:r w:rsidR="00C6448C">
        <w:noBreakHyphen/>
      </w:r>
      <w:r w:rsidR="00C6448C">
        <w:rPr>
          <w:noProof/>
        </w:rPr>
        <w:t>7</w:t>
      </w:r>
      <w:r w:rsidRPr="002A6C79">
        <w:rPr>
          <w:rStyle w:val="AERbody"/>
        </w:rPr>
        <w:fldChar w:fldCharType="end"/>
      </w:r>
      <w:r w:rsidRPr="002A6C79">
        <w:rPr>
          <w:rStyle w:val="AERbody"/>
        </w:rPr>
        <w:t xml:space="preserve"> </w:t>
      </w:r>
      <w:r w:rsidRPr="002A6C79">
        <w:t>shows implied volatility is around its long run average.</w:t>
      </w:r>
      <w:r w:rsidRPr="002A6C79">
        <w:rPr>
          <w:rStyle w:val="AERbody"/>
        </w:rPr>
        <w:t xml:space="preserve"> </w:t>
      </w:r>
    </w:p>
    <w:p w:rsidR="006A3314" w:rsidRDefault="006A3314" w:rsidP="006A3314">
      <w:pPr>
        <w:rPr>
          <w:rStyle w:val="AERbody"/>
        </w:rPr>
      </w:pPr>
    </w:p>
    <w:p w:rsidR="006A3314" w:rsidRPr="00866A7A" w:rsidRDefault="006A3314" w:rsidP="006A3314">
      <w:pPr>
        <w:pStyle w:val="Caption"/>
      </w:pPr>
      <w:bookmarkStart w:id="223" w:name="_Ref456703448"/>
      <w:r w:rsidRPr="00866A7A">
        <w:t xml:space="preserve">Figure </w:t>
      </w:r>
      <w:fldSimple w:instr=" STYLEREF 1 \s ">
        <w:r w:rsidR="00C6448C">
          <w:rPr>
            <w:noProof/>
          </w:rPr>
          <w:t>3</w:t>
        </w:r>
      </w:fldSimple>
      <w:r w:rsidR="00882F3D">
        <w:noBreakHyphen/>
      </w:r>
      <w:fldSimple w:instr=" SEQ Figure \* ARABIC \s 1 ">
        <w:r w:rsidR="00C6448C">
          <w:rPr>
            <w:noProof/>
          </w:rPr>
          <w:t>7</w:t>
        </w:r>
      </w:fldSimple>
      <w:bookmarkEnd w:id="222"/>
      <w:bookmarkEnd w:id="223"/>
      <w:r w:rsidRPr="00866A7A">
        <w:tab/>
        <w:t>Implied volatility (VIX) over time</w:t>
      </w:r>
    </w:p>
    <w:p w:rsidR="006A3314" w:rsidRPr="00866A7A" w:rsidRDefault="006A3314" w:rsidP="00CC7A1C">
      <w:pPr>
        <w:numPr>
          <w:ilvl w:val="0"/>
          <w:numId w:val="24"/>
        </w:numPr>
      </w:pPr>
      <w:r w:rsidRPr="00CD667A">
        <w:t xml:space="preserve"> </w:t>
      </w:r>
      <w:r w:rsidR="00CC66F3" w:rsidRPr="00CC66F3">
        <w:rPr>
          <w:noProof/>
          <w:lang w:eastAsia="en-AU"/>
        </w:rPr>
        <w:drawing>
          <wp:inline distT="0" distB="0" distL="0" distR="0" wp14:anchorId="3D0BA850" wp14:editId="0344D8FC">
            <wp:extent cx="5382895" cy="2368244"/>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2368244"/>
                    </a:xfrm>
                    <a:prstGeom prst="rect">
                      <a:avLst/>
                    </a:prstGeom>
                  </pic:spPr>
                </pic:pic>
              </a:graphicData>
            </a:graphic>
          </wp:inline>
        </w:drawing>
      </w:r>
    </w:p>
    <w:p w:rsidR="006A3314" w:rsidRDefault="006A3314" w:rsidP="006A3314">
      <w:pPr>
        <w:pStyle w:val="AERtablesource"/>
      </w:pPr>
      <w:r w:rsidRPr="00866A7A">
        <w:t xml:space="preserve">Source: </w:t>
      </w:r>
      <w:r w:rsidRPr="00866A7A">
        <w:tab/>
      </w:r>
      <w:r w:rsidR="00B82EC0">
        <w:t xml:space="preserve">AER analysis; </w:t>
      </w:r>
      <w:r w:rsidRPr="00866A7A">
        <w:t>ASX200 VIX volatility index, sourced via Bloomberg co</w:t>
      </w:r>
      <w:r>
        <w:t>de</w:t>
      </w:r>
      <w:r w:rsidRPr="00866A7A">
        <w:t xml:space="preserve"> AS51VIX from 2/1/2008 and </w:t>
      </w:r>
      <w:r>
        <w:t xml:space="preserve">code </w:t>
      </w:r>
      <w:r w:rsidRPr="00866A7A">
        <w:t>CITJAVIX prior to 2/1/2008.</w:t>
      </w:r>
      <w:r>
        <w:t xml:space="preserve"> </w:t>
      </w:r>
    </w:p>
    <w:p w:rsidR="006A3314" w:rsidRDefault="006A3314" w:rsidP="006A3314">
      <w:pPr>
        <w:pStyle w:val="Heading8"/>
      </w:pPr>
      <w:bookmarkStart w:id="224" w:name="_Toc443923226"/>
      <w:bookmarkStart w:id="225" w:name="_Toc451938988"/>
      <w:bookmarkStart w:id="226" w:name="_Toc456686736"/>
      <w:bookmarkStart w:id="227" w:name="_Toc481057079"/>
      <w:r>
        <w:t>Dividend yields</w:t>
      </w:r>
      <w:bookmarkEnd w:id="224"/>
      <w:bookmarkEnd w:id="225"/>
      <w:bookmarkEnd w:id="226"/>
      <w:bookmarkEnd w:id="227"/>
    </w:p>
    <w:p w:rsidR="006A3314" w:rsidRDefault="006A3314" w:rsidP="00CC7A1C">
      <w:pPr>
        <w:numPr>
          <w:ilvl w:val="0"/>
          <w:numId w:val="24"/>
        </w:numPr>
      </w:pPr>
      <w:bookmarkStart w:id="228" w:name="_Ref400009547"/>
      <w:bookmarkStart w:id="229" w:name="_Ref417224600"/>
      <w:bookmarkStart w:id="230" w:name="_Ref433023708"/>
      <w:r w:rsidRPr="00866A7A">
        <w:t xml:space="preserve">We use dividend yields as a directional indicator of the </w:t>
      </w:r>
      <w:r>
        <w:t>market risk premium</w:t>
      </w:r>
      <w:r w:rsidRPr="00866A7A">
        <w:t>.</w:t>
      </w:r>
      <w:r w:rsidRPr="00866A7A">
        <w:rPr>
          <w:rStyle w:val="FootnoteReference"/>
        </w:rPr>
        <w:footnoteReference w:id="1038"/>
      </w:r>
      <w:r w:rsidRPr="00866A7A">
        <w:t xml:space="preserve"> We consider this information by comparing current dividend yields with the average dividend yield through time.</w:t>
      </w:r>
      <w:r w:rsidRPr="00866A7A">
        <w:rPr>
          <w:rStyle w:val="FootnoteReference"/>
        </w:rPr>
        <w:footnoteReference w:id="1039"/>
      </w:r>
      <w:r w:rsidRPr="00866A7A">
        <w:t xml:space="preserve"> </w:t>
      </w:r>
      <w:r>
        <w:fldChar w:fldCharType="begin"/>
      </w:r>
      <w:r>
        <w:instrText xml:space="preserve"> REF _Ref456702693 \h </w:instrText>
      </w:r>
      <w:r>
        <w:fldChar w:fldCharType="separate"/>
      </w:r>
      <w:r w:rsidR="00C6448C" w:rsidRPr="00866A7A">
        <w:t xml:space="preserve">Figure </w:t>
      </w:r>
      <w:r w:rsidR="00C6448C">
        <w:rPr>
          <w:noProof/>
        </w:rPr>
        <w:t>3</w:t>
      </w:r>
      <w:r w:rsidR="00C6448C">
        <w:noBreakHyphen/>
      </w:r>
      <w:r w:rsidR="00C6448C">
        <w:rPr>
          <w:noProof/>
        </w:rPr>
        <w:t>8</w:t>
      </w:r>
      <w:r>
        <w:fldChar w:fldCharType="end"/>
      </w:r>
      <w:r>
        <w:t xml:space="preserve"> </w:t>
      </w:r>
      <w:r w:rsidRPr="00866A7A">
        <w:t>shows dividend yields against their historical average</w:t>
      </w:r>
      <w:r>
        <w:t xml:space="preserve"> up to </w:t>
      </w:r>
      <w:r w:rsidR="00B30750">
        <w:t>20 March 2017</w:t>
      </w:r>
      <w:r>
        <w:t>.</w:t>
      </w:r>
    </w:p>
    <w:p w:rsidR="006A3314" w:rsidRDefault="006A3314" w:rsidP="006A3314">
      <w:r>
        <w:fldChar w:fldCharType="begin"/>
      </w:r>
      <w:r>
        <w:instrText xml:space="preserve"> REF _Ref456702693 \h </w:instrText>
      </w:r>
      <w:r>
        <w:fldChar w:fldCharType="separate"/>
      </w:r>
      <w:r w:rsidR="00C6448C" w:rsidRPr="00866A7A">
        <w:t xml:space="preserve">Figure </w:t>
      </w:r>
      <w:r w:rsidR="00C6448C">
        <w:rPr>
          <w:noProof/>
        </w:rPr>
        <w:t>3</w:t>
      </w:r>
      <w:r w:rsidR="00C6448C">
        <w:noBreakHyphen/>
      </w:r>
      <w:r w:rsidR="00C6448C">
        <w:rPr>
          <w:noProof/>
        </w:rPr>
        <w:t>8</w:t>
      </w:r>
      <w:r>
        <w:fldChar w:fldCharType="end"/>
      </w:r>
      <w:r>
        <w:t xml:space="preserve"> </w:t>
      </w:r>
      <w:r w:rsidRPr="00866A7A">
        <w:t xml:space="preserve">shows dividend yields are </w:t>
      </w:r>
      <w:r>
        <w:t>currently slightly below their long term average. This decrease occurred during 2016 and appears to offset the increase from 2015. It is unclear whether this downward trend will continue however there is no strong evidence to suggest a sustained movement away from the long term average.</w:t>
      </w:r>
    </w:p>
    <w:p w:rsidR="006A3314" w:rsidRPr="00866A7A" w:rsidRDefault="006A3314" w:rsidP="006A3314">
      <w:pPr>
        <w:pStyle w:val="Caption"/>
      </w:pPr>
      <w:bookmarkStart w:id="231" w:name="_Ref456702693"/>
      <w:bookmarkEnd w:id="228"/>
      <w:bookmarkEnd w:id="229"/>
      <w:r w:rsidRPr="00866A7A">
        <w:t xml:space="preserve">Figure </w:t>
      </w:r>
      <w:fldSimple w:instr=" STYLEREF 1 \s ">
        <w:r w:rsidR="00C6448C">
          <w:rPr>
            <w:noProof/>
          </w:rPr>
          <w:t>3</w:t>
        </w:r>
      </w:fldSimple>
      <w:r w:rsidR="00882F3D">
        <w:noBreakHyphen/>
      </w:r>
      <w:fldSimple w:instr=" SEQ Figure \* ARABIC \s 1 ">
        <w:r w:rsidR="00C6448C">
          <w:rPr>
            <w:noProof/>
          </w:rPr>
          <w:t>8</w:t>
        </w:r>
      </w:fldSimple>
      <w:bookmarkEnd w:id="230"/>
      <w:bookmarkEnd w:id="231"/>
      <w:r w:rsidRPr="00866A7A">
        <w:tab/>
        <w:t>Dividend yields</w:t>
      </w:r>
    </w:p>
    <w:p w:rsidR="006A3314" w:rsidRDefault="006A3314" w:rsidP="00CC7A1C">
      <w:pPr>
        <w:numPr>
          <w:ilvl w:val="0"/>
          <w:numId w:val="24"/>
        </w:numPr>
      </w:pPr>
    </w:p>
    <w:p w:rsidR="00CC66F3" w:rsidRPr="00866A7A" w:rsidRDefault="00CC66F3" w:rsidP="00CC7A1C">
      <w:pPr>
        <w:numPr>
          <w:ilvl w:val="0"/>
          <w:numId w:val="24"/>
        </w:numPr>
      </w:pPr>
      <w:r w:rsidRPr="00CC66F3">
        <w:rPr>
          <w:noProof/>
          <w:lang w:eastAsia="en-AU"/>
        </w:rPr>
        <w:drawing>
          <wp:inline distT="0" distB="0" distL="0" distR="0" wp14:anchorId="0344FFD0" wp14:editId="09166DE3">
            <wp:extent cx="5382895" cy="2548824"/>
            <wp:effectExtent l="0" t="0" r="825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2548824"/>
                    </a:xfrm>
                    <a:prstGeom prst="rect">
                      <a:avLst/>
                    </a:prstGeom>
                  </pic:spPr>
                </pic:pic>
              </a:graphicData>
            </a:graphic>
          </wp:inline>
        </w:drawing>
      </w:r>
    </w:p>
    <w:p w:rsidR="006A3314" w:rsidRDefault="006A3314" w:rsidP="006A3314">
      <w:pPr>
        <w:pStyle w:val="AERtablesource"/>
      </w:pPr>
      <w:r w:rsidRPr="00866A7A">
        <w:t>Source:</w:t>
      </w:r>
      <w:r w:rsidRPr="00866A7A">
        <w:tab/>
        <w:t>Bloomberg</w:t>
      </w:r>
      <w:r>
        <w:t xml:space="preserve"> AS51 Index</w:t>
      </w:r>
      <w:r w:rsidRPr="00866A7A">
        <w:t>, AER analysis.</w:t>
      </w:r>
    </w:p>
    <w:p w:rsidR="006A3314" w:rsidRDefault="006A3314" w:rsidP="006A3314">
      <w:pPr>
        <w:pStyle w:val="Heading8"/>
      </w:pPr>
      <w:bookmarkStart w:id="232" w:name="_Toc443923227"/>
      <w:bookmarkStart w:id="233" w:name="_Ref449052987"/>
      <w:r>
        <w:t xml:space="preserve"> </w:t>
      </w:r>
      <w:bookmarkStart w:id="234" w:name="_Ref451685642"/>
      <w:bookmarkStart w:id="235" w:name="_Toc451938989"/>
      <w:bookmarkStart w:id="236" w:name="_Toc456686737"/>
      <w:bookmarkStart w:id="237" w:name="_Toc481057080"/>
      <w:r>
        <w:t>Yield spreads</w:t>
      </w:r>
      <w:bookmarkEnd w:id="232"/>
      <w:bookmarkEnd w:id="233"/>
      <w:bookmarkEnd w:id="234"/>
      <w:bookmarkEnd w:id="235"/>
      <w:bookmarkEnd w:id="236"/>
      <w:bookmarkEnd w:id="237"/>
    </w:p>
    <w:p w:rsidR="006A3314" w:rsidRPr="00033144" w:rsidRDefault="006A3314" w:rsidP="00CC7A1C">
      <w:pPr>
        <w:numPr>
          <w:ilvl w:val="0"/>
          <w:numId w:val="24"/>
        </w:numPr>
      </w:pPr>
      <w:bookmarkStart w:id="238" w:name="_Ref433023841"/>
      <w:r w:rsidRPr="00033144">
        <w:t>Yield spreads are the difference between the yields on different assets, typically debt instruments. We examine two categories of yield spreads:</w:t>
      </w:r>
    </w:p>
    <w:p w:rsidR="006A3314" w:rsidRPr="00A71C54" w:rsidRDefault="006A3314" w:rsidP="006A3314">
      <w:pPr>
        <w:pStyle w:val="AERbulletlistfirststyle"/>
      </w:pPr>
      <w:r w:rsidRPr="00033144">
        <w:t>Credit spreads, used to inform our market risk premium estimate.</w:t>
      </w:r>
    </w:p>
    <w:p w:rsidR="006A3314" w:rsidRPr="00A71C54" w:rsidRDefault="006A3314" w:rsidP="006A3314">
      <w:pPr>
        <w:pStyle w:val="AERbulletlistfirststyle"/>
      </w:pPr>
      <w:r w:rsidRPr="00033144">
        <w:t>The spread between our equity risk premium and debt risk premium, used to inform our overall return on equity estimate.</w:t>
      </w:r>
    </w:p>
    <w:p w:rsidR="006A3314" w:rsidRPr="00033144" w:rsidRDefault="006A3314" w:rsidP="00CC7A1C">
      <w:pPr>
        <w:numPr>
          <w:ilvl w:val="0"/>
          <w:numId w:val="24"/>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1040"/>
      </w:r>
      <w:r w:rsidRPr="00033144">
        <w:t xml:space="preserve"> We consider this information can be used to indicate changes in market conditions. That is, to indicate whether spreads are widening, stabilising or narrowing.</w:t>
      </w:r>
    </w:p>
    <w:p w:rsidR="006A3314" w:rsidRPr="00033144" w:rsidRDefault="006A3314" w:rsidP="00CC7A1C">
      <w:pPr>
        <w:numPr>
          <w:ilvl w:val="0"/>
          <w:numId w:val="24"/>
        </w:numPr>
      </w:pPr>
      <w:r w:rsidRPr="00033144">
        <w:fldChar w:fldCharType="begin"/>
      </w:r>
      <w:r w:rsidRPr="00033144">
        <w:instrText xml:space="preserve"> REF _Ref433023804 \h </w:instrText>
      </w:r>
      <w:r w:rsidRPr="00033144">
        <w:fldChar w:fldCharType="separate"/>
      </w:r>
      <w:r w:rsidR="00C6448C" w:rsidRPr="00033144">
        <w:t xml:space="preserve">Figure </w:t>
      </w:r>
      <w:r w:rsidR="00C6448C">
        <w:rPr>
          <w:noProof/>
        </w:rPr>
        <w:t>3</w:t>
      </w:r>
      <w:r w:rsidR="00C6448C">
        <w:noBreakHyphen/>
      </w:r>
      <w:r w:rsidR="00C6448C">
        <w:rPr>
          <w:noProof/>
        </w:rPr>
        <w:t>9</w:t>
      </w:r>
      <w:r w:rsidRPr="00033144">
        <w:fldChar w:fldCharType="end"/>
      </w:r>
      <w:r w:rsidRPr="00033144">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6A3314" w:rsidRPr="00033144" w:rsidRDefault="006A3314" w:rsidP="00CC7A1C">
      <w:pPr>
        <w:numPr>
          <w:ilvl w:val="0"/>
          <w:numId w:val="24"/>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6A3314" w:rsidRPr="00033144" w:rsidRDefault="006A3314" w:rsidP="006A3314">
      <w:pPr>
        <w:pStyle w:val="Caption"/>
        <w:rPr>
          <w:rStyle w:val="Strong"/>
        </w:rPr>
      </w:pPr>
      <w:bookmarkStart w:id="239" w:name="_Ref433023804"/>
      <w:r w:rsidRPr="00033144">
        <w:t xml:space="preserve">Figure </w:t>
      </w:r>
      <w:fldSimple w:instr=" STYLEREF 1 \s ">
        <w:r w:rsidR="00C6448C">
          <w:rPr>
            <w:noProof/>
          </w:rPr>
          <w:t>3</w:t>
        </w:r>
      </w:fldSimple>
      <w:r w:rsidR="00882F3D">
        <w:noBreakHyphen/>
      </w:r>
      <w:fldSimple w:instr=" SEQ Figure \* ARABIC \s 1 ">
        <w:r w:rsidR="00C6448C">
          <w:rPr>
            <w:noProof/>
          </w:rPr>
          <w:t>9</w:t>
        </w:r>
      </w:fldSimple>
      <w:bookmarkEnd w:id="239"/>
      <w:r w:rsidRPr="00033144">
        <w:tab/>
        <w:t>Australian bond spreads over government yields</w:t>
      </w:r>
    </w:p>
    <w:p w:rsidR="006A3314" w:rsidRPr="00033144" w:rsidRDefault="00CC66F3" w:rsidP="00CC7A1C">
      <w:pPr>
        <w:numPr>
          <w:ilvl w:val="0"/>
          <w:numId w:val="24"/>
        </w:numPr>
      </w:pPr>
      <w:r w:rsidRPr="00CC66F3">
        <w:rPr>
          <w:noProof/>
          <w:lang w:eastAsia="en-AU"/>
        </w:rPr>
        <w:drawing>
          <wp:inline distT="0" distB="0" distL="0" distR="0" wp14:anchorId="3C826518" wp14:editId="716D0E72">
            <wp:extent cx="4308653" cy="38542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04956" cy="3850949"/>
                    </a:xfrm>
                    <a:prstGeom prst="rect">
                      <a:avLst/>
                    </a:prstGeom>
                  </pic:spPr>
                </pic:pic>
              </a:graphicData>
            </a:graphic>
          </wp:inline>
        </w:drawing>
      </w:r>
    </w:p>
    <w:p w:rsidR="006A3314" w:rsidRPr="00033144" w:rsidRDefault="006A3314" w:rsidP="006A3314">
      <w:pPr>
        <w:pStyle w:val="AERtablesource"/>
        <w:rPr>
          <w:rStyle w:val="AERtexthighlight"/>
        </w:rPr>
      </w:pPr>
      <w:r w:rsidRPr="00033144">
        <w:t xml:space="preserve">Source: </w:t>
      </w:r>
      <w:r w:rsidRPr="00033144">
        <w:tab/>
      </w:r>
      <w:r>
        <w:t xml:space="preserve">RBA, Chart Pack, </w:t>
      </w:r>
      <w:r w:rsidR="00CC66F3">
        <w:t xml:space="preserve">April </w:t>
      </w:r>
      <w:r>
        <w:t>201</w:t>
      </w:r>
      <w:r w:rsidR="00CC66F3">
        <w:t>7</w:t>
      </w:r>
      <w:r w:rsidRPr="00033144">
        <w:t xml:space="preserve">. </w:t>
      </w:r>
    </w:p>
    <w:p w:rsidR="006A3314" w:rsidRPr="00033144" w:rsidRDefault="006A3314" w:rsidP="006A3314">
      <w:pPr>
        <w:pStyle w:val="AERtablesource"/>
      </w:pPr>
      <w:r w:rsidRPr="00033144">
        <w:t>Note:</w:t>
      </w:r>
      <w:r w:rsidRPr="00033144">
        <w:tab/>
        <w:t>Swap spreads are for a 3 year maturity. Corporate bonds are a weighted average of senior bonds with remaining maturities of 1 to 5 years and include financial and non-financial corporates.</w:t>
      </w:r>
    </w:p>
    <w:p w:rsidR="006A3314" w:rsidRPr="00033144" w:rsidRDefault="006A3314" w:rsidP="006A3314">
      <w:r>
        <w:fldChar w:fldCharType="begin"/>
      </w:r>
      <w:r>
        <w:instrText xml:space="preserve"> REF _Ref456702743 \h </w:instrText>
      </w:r>
      <w:r>
        <w:fldChar w:fldCharType="separate"/>
      </w:r>
      <w:r w:rsidR="00C6448C" w:rsidRPr="00FA1E95">
        <w:t xml:space="preserve">Figure </w:t>
      </w:r>
      <w:r w:rsidR="00C6448C">
        <w:rPr>
          <w:noProof/>
        </w:rPr>
        <w:t>3</w:t>
      </w:r>
      <w:r w:rsidR="00C6448C">
        <w:noBreakHyphen/>
      </w:r>
      <w:r w:rsidR="00C6448C">
        <w:rPr>
          <w:noProof/>
        </w:rPr>
        <w:t>10</w:t>
      </w:r>
      <w:r>
        <w:fldChar w:fldCharType="end"/>
      </w:r>
      <w:r>
        <w:t xml:space="preserve"> </w:t>
      </w:r>
      <w:r w:rsidRPr="00033144">
        <w:t xml:space="preserve">shows the spread between state government debt and Australian government debt up to </w:t>
      </w:r>
      <w:r w:rsidR="00B30750">
        <w:t>20 March 2017</w:t>
      </w:r>
      <w:r w:rsidRPr="00033144">
        <w:t xml:space="preserve">. This uses maturities of three years as more data are available. </w:t>
      </w:r>
      <w:r>
        <w:fldChar w:fldCharType="begin"/>
      </w:r>
      <w:r>
        <w:instrText xml:space="preserve"> REF _Ref456702743 \h </w:instrText>
      </w:r>
      <w:r>
        <w:fldChar w:fldCharType="separate"/>
      </w:r>
      <w:r w:rsidR="00C6448C" w:rsidRPr="00FA1E95">
        <w:t xml:space="preserve">Figure </w:t>
      </w:r>
      <w:r w:rsidR="00C6448C">
        <w:rPr>
          <w:noProof/>
        </w:rPr>
        <w:t>3</w:t>
      </w:r>
      <w:r w:rsidR="00C6448C">
        <w:noBreakHyphen/>
      </w:r>
      <w:r w:rsidR="00C6448C">
        <w:rPr>
          <w:noProof/>
        </w:rPr>
        <w:t>10</w:t>
      </w:r>
      <w:r>
        <w:fldChar w:fldCharType="end"/>
      </w:r>
      <w:r>
        <w:t xml:space="preserve"> </w:t>
      </w:r>
      <w:r w:rsidRPr="00033144">
        <w:t xml:space="preserve">shows that credit spreads were falling since late 2012, and are now around their pre-2007 levels with no discernible trend. </w:t>
      </w:r>
    </w:p>
    <w:p w:rsidR="006A3314" w:rsidRPr="00FA1E95" w:rsidRDefault="006A3314" w:rsidP="006A3314">
      <w:pPr>
        <w:pStyle w:val="Caption"/>
      </w:pPr>
      <w:bookmarkStart w:id="240" w:name="_Ref456702743"/>
      <w:r w:rsidRPr="00FA1E95">
        <w:t xml:space="preserve">Figure </w:t>
      </w:r>
      <w:fldSimple w:instr=" STYLEREF 1 \s ">
        <w:r w:rsidR="00C6448C">
          <w:rPr>
            <w:noProof/>
          </w:rPr>
          <w:t>3</w:t>
        </w:r>
      </w:fldSimple>
      <w:r w:rsidR="00882F3D">
        <w:noBreakHyphen/>
      </w:r>
      <w:fldSimple w:instr=" SEQ Figure \* ARABIC \s 1 ">
        <w:r w:rsidR="00C6448C">
          <w:rPr>
            <w:noProof/>
          </w:rPr>
          <w:t>10</w:t>
        </w:r>
      </w:fldSimple>
      <w:bookmarkEnd w:id="238"/>
      <w:bookmarkEnd w:id="240"/>
      <w:r w:rsidRPr="00FA1E95">
        <w:tab/>
        <w:t>State government bond spreads over government yields</w:t>
      </w:r>
    </w:p>
    <w:p w:rsidR="006A3314" w:rsidRPr="00FA1E95" w:rsidRDefault="00A84C72" w:rsidP="00CC7A1C">
      <w:pPr>
        <w:numPr>
          <w:ilvl w:val="0"/>
          <w:numId w:val="24"/>
        </w:numPr>
      </w:pPr>
      <w:r w:rsidRPr="00A84C72">
        <w:rPr>
          <w:noProof/>
          <w:lang w:eastAsia="en-AU"/>
        </w:rPr>
        <w:drawing>
          <wp:inline distT="0" distB="0" distL="0" distR="0" wp14:anchorId="7FD01309" wp14:editId="6C774890">
            <wp:extent cx="5382895" cy="3146348"/>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82895" cy="3146348"/>
                    </a:xfrm>
                    <a:prstGeom prst="rect">
                      <a:avLst/>
                    </a:prstGeom>
                  </pic:spPr>
                </pic:pic>
              </a:graphicData>
            </a:graphic>
          </wp:inline>
        </w:drawing>
      </w:r>
    </w:p>
    <w:p w:rsidR="006A3314" w:rsidRPr="00FA1E95" w:rsidRDefault="006A3314" w:rsidP="006A3314">
      <w:pPr>
        <w:pStyle w:val="AERtablesource"/>
      </w:pPr>
      <w:r w:rsidRPr="00FA1E95">
        <w:t xml:space="preserve">Source: </w:t>
      </w:r>
      <w:r w:rsidRPr="00FA1E95">
        <w:tab/>
        <w:t xml:space="preserve">AER analysis, RBA F.2 interest rate statistics. </w:t>
      </w:r>
    </w:p>
    <w:p w:rsidR="006A3314" w:rsidRPr="00033144" w:rsidRDefault="006A3314" w:rsidP="006A3314">
      <w:pPr>
        <w:rPr>
          <w:rStyle w:val="AERbody"/>
        </w:rPr>
      </w:pPr>
      <w:bookmarkStart w:id="241" w:name="_Ref417589908"/>
      <w:r w:rsidRPr="00033144">
        <w:rPr>
          <w:rStyle w:val="AERbody"/>
        </w:rPr>
        <w:t>On the comparison between the return on equity and return on debt, we consider that prevailing debt market conditions provide support for the view that:</w:t>
      </w:r>
    </w:p>
    <w:p w:rsidR="006A3314" w:rsidRPr="00A71C54" w:rsidRDefault="006A3314" w:rsidP="006A3314">
      <w:pPr>
        <w:pStyle w:val="AERbulletlistfirststyle"/>
      </w:pPr>
      <w:r w:rsidRPr="00033144">
        <w:t>our estimated return on equity is not below efficient financing costs</w:t>
      </w:r>
      <w:r w:rsidRPr="00A71C54">
        <w:rPr>
          <w:rStyle w:val="FootnoteReference"/>
        </w:rPr>
        <w:footnoteReference w:id="1041"/>
      </w:r>
    </w:p>
    <w:p w:rsidR="006A3314" w:rsidRPr="00A71C54" w:rsidRDefault="006A3314" w:rsidP="006A3314">
      <w:pPr>
        <w:pStyle w:val="AERbulletlistfirststyle"/>
      </w:pPr>
      <w:r>
        <w:t>AusNet Services'</w:t>
      </w:r>
      <w:r w:rsidRPr="00A71C54">
        <w:t xml:space="preserve"> proposed return on equity is likely to exceed efficient financing costs.</w:t>
      </w:r>
    </w:p>
    <w:p w:rsidR="006A3314" w:rsidRPr="00033144" w:rsidRDefault="006A3314" w:rsidP="00CC7A1C">
      <w:pPr>
        <w:numPr>
          <w:ilvl w:val="0"/>
          <w:numId w:val="24"/>
        </w:numPr>
      </w:pPr>
      <w:r w:rsidRPr="00033144">
        <w:t xml:space="preserve">The current debt market is indicating a premium over the risk free rate of about </w:t>
      </w:r>
      <w:r>
        <w:t>2.</w:t>
      </w:r>
      <w:r w:rsidR="00A84C72">
        <w:t>26</w:t>
      </w:r>
      <w:r w:rsidRPr="00033144">
        <w:t xml:space="preserve"> per cent.</w:t>
      </w:r>
      <w:r w:rsidRPr="00033144">
        <w:rPr>
          <w:rStyle w:val="FootnoteReference"/>
        </w:rPr>
        <w:footnoteReference w:id="1042"/>
      </w:r>
      <w:r w:rsidRPr="00033144">
        <w:t xml:space="preserve"> This compares to our foundation model equity premium over the risk free rate of 4.55 per cent (given a market risk premium of 6.5 per cent and a beta of 0.7). </w:t>
      </w:r>
      <w:r>
        <w:fldChar w:fldCharType="begin"/>
      </w:r>
      <w:r>
        <w:instrText xml:space="preserve"> REF _Ref456700933 \h </w:instrText>
      </w:r>
      <w:r>
        <w:fldChar w:fldCharType="separate"/>
      </w:r>
      <w:r w:rsidR="00C6448C">
        <w:t xml:space="preserve">Figure </w:t>
      </w:r>
      <w:r w:rsidR="00C6448C">
        <w:rPr>
          <w:noProof/>
        </w:rPr>
        <w:t>3</w:t>
      </w:r>
      <w:r w:rsidR="00C6448C">
        <w:noBreakHyphen/>
      </w:r>
      <w:r w:rsidR="00C6448C">
        <w:rPr>
          <w:noProof/>
        </w:rPr>
        <w:t>11</w:t>
      </w:r>
      <w:r>
        <w:fldChar w:fldCharType="end"/>
      </w:r>
      <w:r>
        <w:t xml:space="preserve"> </w:t>
      </w:r>
      <w:r w:rsidRPr="00033144">
        <w:t xml:space="preserve">shows the current and historical debt risk premium and our foundation model equity risk premium. </w:t>
      </w:r>
      <w:r w:rsidR="00782C6C">
        <w:t>TasNetworks</w:t>
      </w:r>
      <w:r>
        <w:t xml:space="preserve"> </w:t>
      </w:r>
      <w:r w:rsidRPr="00033144">
        <w:t xml:space="preserve">proposed an equity risk premium of </w:t>
      </w:r>
      <w:r w:rsidR="00782C6C">
        <w:t>4.55</w:t>
      </w:r>
      <w:r w:rsidRPr="00033144">
        <w:t xml:space="preserve"> per cent.</w:t>
      </w:r>
      <w:r w:rsidRPr="00033144">
        <w:rPr>
          <w:rStyle w:val="FootnoteReference"/>
        </w:rPr>
        <w:footnoteReference w:id="1043"/>
      </w:r>
    </w:p>
    <w:p w:rsidR="006A3314" w:rsidRDefault="006A3314" w:rsidP="006A3314">
      <w:pPr>
        <w:pStyle w:val="Caption"/>
      </w:pPr>
      <w:bookmarkStart w:id="242" w:name="_Ref456700933"/>
      <w:bookmarkEnd w:id="241"/>
      <w:r>
        <w:t xml:space="preserve">Figure </w:t>
      </w:r>
      <w:fldSimple w:instr=" STYLEREF 1 \s ">
        <w:r w:rsidR="00C6448C">
          <w:rPr>
            <w:noProof/>
          </w:rPr>
          <w:t>3</w:t>
        </w:r>
      </w:fldSimple>
      <w:r w:rsidR="00882F3D">
        <w:noBreakHyphen/>
      </w:r>
      <w:fldSimple w:instr=" SEQ Figure \* ARABIC \s 1 ">
        <w:r w:rsidR="00C6448C">
          <w:rPr>
            <w:noProof/>
          </w:rPr>
          <w:t>11</w:t>
        </w:r>
      </w:fldSimple>
      <w:bookmarkEnd w:id="242"/>
      <w:r>
        <w:t xml:space="preserve"> </w:t>
      </w:r>
      <w:r w:rsidRPr="00E4520A">
        <w:t>Comparison of equity risk premium and indicative debt risk premiums</w:t>
      </w:r>
    </w:p>
    <w:p w:rsidR="006A3314" w:rsidRDefault="006A3314" w:rsidP="006A3314"/>
    <w:p w:rsidR="00782C6C" w:rsidRPr="003C3515" w:rsidRDefault="00782C6C" w:rsidP="006A3314">
      <w:r w:rsidRPr="00782C6C">
        <w:rPr>
          <w:noProof/>
          <w:lang w:eastAsia="en-AU"/>
        </w:rPr>
        <w:drawing>
          <wp:inline distT="0" distB="0" distL="0" distR="0" wp14:anchorId="3727A5BD" wp14:editId="070E0D05">
            <wp:extent cx="5382895" cy="2761609"/>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2761609"/>
                    </a:xfrm>
                    <a:prstGeom prst="rect">
                      <a:avLst/>
                    </a:prstGeom>
                  </pic:spPr>
                </pic:pic>
              </a:graphicData>
            </a:graphic>
          </wp:inline>
        </w:drawing>
      </w:r>
    </w:p>
    <w:p w:rsidR="006A3314" w:rsidRPr="00033144" w:rsidRDefault="006A3314" w:rsidP="006A3314">
      <w:pPr>
        <w:pStyle w:val="AERtablesource"/>
      </w:pPr>
      <w:r w:rsidRPr="00033144">
        <w:t>Source:</w:t>
      </w:r>
      <w:r w:rsidRPr="00033144">
        <w:tab/>
        <w:t>AER analysis, RBA interest rates statistics, Bloomberg data.</w:t>
      </w:r>
    </w:p>
    <w:p w:rsidR="006A3314" w:rsidRPr="00033144" w:rsidRDefault="006A3314" w:rsidP="00CC7A1C">
      <w:pPr>
        <w:numPr>
          <w:ilvl w:val="0"/>
          <w:numId w:val="24"/>
        </w:numPr>
      </w:pPr>
      <w:r w:rsidRPr="00033144">
        <w:t xml:space="preserve">We do not consider that the current </w:t>
      </w:r>
      <w:r>
        <w:t>2</w:t>
      </w:r>
      <w:r w:rsidR="00DD79A7">
        <w:t>30</w:t>
      </w:r>
      <w:r w:rsidRPr="00033144">
        <w:t xml:space="preserve"> basis points difference between the equity risk premium allowed in this decision and debt risk premiums</w:t>
      </w:r>
      <w:r w:rsidRPr="00033144">
        <w:rPr>
          <w:rStyle w:val="FootnoteReference"/>
        </w:rPr>
        <w:footnoteReference w:id="1044"/>
      </w:r>
      <w:r w:rsidRPr="00033144">
        <w:t xml:space="preserve"> to be too low, on the basis of:</w:t>
      </w:r>
    </w:p>
    <w:p w:rsidR="006A3314" w:rsidRPr="00A71C54" w:rsidRDefault="006A3314" w:rsidP="006A3314">
      <w:pPr>
        <w:pStyle w:val="AERbulletlistfirststyle"/>
      </w:pPr>
      <w:r w:rsidRPr="00033144">
        <w:t>the low risk nature of a benchmark efficient entity as outlined above</w:t>
      </w:r>
    </w:p>
    <w:p w:rsidR="006A3314" w:rsidRPr="00A71C54" w:rsidRDefault="006A3314" w:rsidP="006A3314">
      <w:pPr>
        <w:pStyle w:val="AERbulletlistfirststyle"/>
      </w:pPr>
      <w:r w:rsidRPr="00033144">
        <w:t>the gap between the equity risk premium and debt risk premium is likely to be wider than stated above, since it compares a promised, pre-tax return on debt to an expected, post-tax return on equity.</w:t>
      </w:r>
      <w:r w:rsidRPr="00A71C54">
        <w:rPr>
          <w:rStyle w:val="FootnoteReference"/>
        </w:rPr>
        <w:footnoteReference w:id="1045"/>
      </w:r>
    </w:p>
    <w:p w:rsidR="006A3314" w:rsidRPr="00033144" w:rsidRDefault="006A3314" w:rsidP="006A3314">
      <w:pPr>
        <w:rPr>
          <w:rStyle w:val="AERbody"/>
        </w:rPr>
      </w:pPr>
      <w:r w:rsidRPr="00033144">
        <w:rPr>
          <w:rStyle w:val="AERbody"/>
        </w:rPr>
        <w:t>In relation to our review of debt risk premiums relative to equity premiums in our April 2015 decisions, ActewAGL submitted:</w:t>
      </w:r>
      <w:r w:rsidRPr="00033144">
        <w:rPr>
          <w:rStyle w:val="FootnoteReference"/>
        </w:rPr>
        <w:footnoteReference w:id="1046"/>
      </w:r>
    </w:p>
    <w:p w:rsidR="006A3314" w:rsidRPr="00033144" w:rsidRDefault="006A3314" w:rsidP="006A3314">
      <w:pPr>
        <w:pStyle w:val="AERquote"/>
      </w:pPr>
      <w:r w:rsidRPr="00033144">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6A3314" w:rsidRPr="00033144" w:rsidRDefault="006A3314" w:rsidP="006A3314">
      <w:r w:rsidRPr="00033144">
        <w:t>We agree that it is difficult to derive definitive conclusions about equity premiums from data on debt premiums, which is one of the reasons why we give this material a directional role.</w:t>
      </w:r>
      <w:r w:rsidRPr="00033144">
        <w:rPr>
          <w:rStyle w:val="FootnoteReference"/>
        </w:rPr>
        <w:footnoteReference w:id="1047"/>
      </w:r>
      <w:r w:rsidRPr="00033144">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033144">
        <w:rPr>
          <w:rStyle w:val="FootnoteReference"/>
        </w:rPr>
        <w:footnoteReference w:id="1048"/>
      </w:r>
    </w:p>
    <w:p w:rsidR="006A3314" w:rsidRPr="00033144" w:rsidRDefault="006A3314" w:rsidP="006A3314">
      <w:r w:rsidRPr="00033144">
        <w:t xml:space="preserve">We note that the overall directional evidence shows that debt risk </w:t>
      </w:r>
      <w:r>
        <w:t>decreased during the middle of 2016 but then increased towards the end of the year</w:t>
      </w:r>
      <w:r w:rsidRPr="00033144">
        <w:t xml:space="preserve">, </w:t>
      </w:r>
      <w:r>
        <w:t>keeping them</w:t>
      </w:r>
      <w:r w:rsidRPr="00033144">
        <w:t xml:space="preserve"> below the levels in December 2013 (when our Rate of Return Guideline was published), as shown in</w:t>
      </w:r>
      <w:r>
        <w:t xml:space="preserve"> </w:t>
      </w:r>
      <w:r>
        <w:fldChar w:fldCharType="begin"/>
      </w:r>
      <w:r>
        <w:instrText xml:space="preserve"> REF _Ref456700933 \h </w:instrText>
      </w:r>
      <w:r>
        <w:fldChar w:fldCharType="separate"/>
      </w:r>
      <w:r w:rsidR="00C6448C">
        <w:t xml:space="preserve">Figure </w:t>
      </w:r>
      <w:r w:rsidR="00C6448C">
        <w:rPr>
          <w:noProof/>
        </w:rPr>
        <w:t>3</w:t>
      </w:r>
      <w:r w:rsidR="00C6448C">
        <w:noBreakHyphen/>
      </w:r>
      <w:r w:rsidR="00C6448C">
        <w:rPr>
          <w:noProof/>
        </w:rPr>
        <w:t>11</w:t>
      </w:r>
      <w:r>
        <w:fldChar w:fldCharType="end"/>
      </w:r>
      <w:r>
        <w:t xml:space="preserve">. </w:t>
      </w:r>
    </w:p>
    <w:p w:rsidR="006A3314" w:rsidRPr="00033144" w:rsidRDefault="006A3314" w:rsidP="006A3314">
      <w:r w:rsidRPr="00033144">
        <w:t xml:space="preserve">We have also examined estimates from broker reports of the spread between debt and equity risk premiums for comparable businesses (see </w:t>
      </w:r>
      <w:r w:rsidRPr="00033144">
        <w:fldChar w:fldCharType="begin"/>
      </w:r>
      <w:r w:rsidRPr="00033144">
        <w:instrText xml:space="preserve"> REF _Ref444730279 \h </w:instrText>
      </w:r>
      <w:r w:rsidRPr="00033144">
        <w:fldChar w:fldCharType="separate"/>
      </w:r>
      <w:r w:rsidR="00C6448C" w:rsidRPr="00033144">
        <w:t xml:space="preserve">Figure </w:t>
      </w:r>
      <w:r w:rsidR="00C6448C">
        <w:rPr>
          <w:noProof/>
        </w:rPr>
        <w:t>3</w:t>
      </w:r>
      <w:r w:rsidR="00C6448C">
        <w:noBreakHyphen/>
      </w:r>
      <w:r w:rsidR="00C6448C">
        <w:rPr>
          <w:noProof/>
        </w:rPr>
        <w:t>12</w:t>
      </w:r>
      <w:r w:rsidRPr="00033144">
        <w:fldChar w:fldCharType="end"/>
      </w:r>
      <w:r w:rsidRPr="00033144">
        <w:t>). However, we note that the variance</w:t>
      </w:r>
      <w:r w:rsidRPr="00033144" w:rsidDel="002521C4">
        <w:t xml:space="preserve"> </w:t>
      </w:r>
      <w:r w:rsidRPr="00033144">
        <w:t>in the most recent broker estimates has increased. We consider that this data does not provide a clear indication of brokers' views on recent movements in risk premiums.</w:t>
      </w:r>
    </w:p>
    <w:p w:rsidR="006A3314" w:rsidRDefault="006A3314" w:rsidP="006A3314">
      <w:pPr>
        <w:pStyle w:val="Caption"/>
      </w:pPr>
      <w:bookmarkStart w:id="243" w:name="_Ref444730279"/>
      <w:r w:rsidRPr="00033144">
        <w:t xml:space="preserve">Figure </w:t>
      </w:r>
      <w:fldSimple w:instr=" STYLEREF 1 \s ">
        <w:r w:rsidR="00C6448C">
          <w:rPr>
            <w:noProof/>
          </w:rPr>
          <w:t>3</w:t>
        </w:r>
      </w:fldSimple>
      <w:r w:rsidR="00882F3D">
        <w:noBreakHyphen/>
      </w:r>
      <w:fldSimple w:instr=" SEQ Figure \* ARABIC \s 1 ">
        <w:r w:rsidR="00C6448C">
          <w:rPr>
            <w:noProof/>
          </w:rPr>
          <w:t>12</w:t>
        </w:r>
      </w:fldSimple>
      <w:bookmarkEnd w:id="243"/>
      <w:r w:rsidRPr="00033144">
        <w:tab/>
        <w:t>Difference between equity and debt premiums in broker reports</w:t>
      </w:r>
    </w:p>
    <w:p w:rsidR="006A3314" w:rsidRPr="00033144" w:rsidRDefault="00B05B6C" w:rsidP="006A3314">
      <w:r w:rsidRPr="00B05B6C">
        <w:t xml:space="preserve"> </w:t>
      </w:r>
      <w:r w:rsidRPr="00B05B6C">
        <w:rPr>
          <w:noProof/>
          <w:lang w:eastAsia="en-AU"/>
        </w:rPr>
        <w:drawing>
          <wp:inline distT="0" distB="0" distL="0" distR="0" wp14:anchorId="411625A0" wp14:editId="09AE366E">
            <wp:extent cx="5382895" cy="3541439"/>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2895" cy="3541439"/>
                    </a:xfrm>
                    <a:prstGeom prst="rect">
                      <a:avLst/>
                    </a:prstGeom>
                  </pic:spPr>
                </pic:pic>
              </a:graphicData>
            </a:graphic>
          </wp:inline>
        </w:drawing>
      </w:r>
    </w:p>
    <w:p w:rsidR="006A3314" w:rsidRPr="00033144" w:rsidRDefault="006A3314" w:rsidP="006A3314">
      <w:pPr>
        <w:pStyle w:val="AERtablesource"/>
      </w:pPr>
      <w:r w:rsidRPr="00033144">
        <w:t>Source:</w:t>
      </w:r>
      <w:r w:rsidRPr="00033144">
        <w:tab/>
        <w:t>AER analysis of various relevant broker reports, RBA and Bloomberg data.</w:t>
      </w:r>
    </w:p>
    <w:p w:rsidR="006A3314" w:rsidRPr="00033144" w:rsidRDefault="006A3314" w:rsidP="006A3314">
      <w:pPr>
        <w:pStyle w:val="AERtablesource"/>
      </w:pPr>
      <w:r w:rsidRPr="00033144">
        <w:t xml:space="preserve">Notes: </w:t>
      </w:r>
      <w:r w:rsidRPr="00033144">
        <w:tab/>
        <w:t xml:space="preserve">The broker estimate of the difference between equity and debt risk premium is calculated by deducting brokers' debt risk premium from their equity risk premium. </w:t>
      </w:r>
    </w:p>
    <w:p w:rsidR="006A3314" w:rsidRPr="00033144" w:rsidRDefault="006A3314" w:rsidP="006A3314">
      <w:pPr>
        <w:pStyle w:val="AERtablesource"/>
      </w:pPr>
      <w:r w:rsidRPr="00033144">
        <w:tab/>
        <w:t xml:space="preserve">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 </w:t>
      </w:r>
    </w:p>
    <w:p w:rsidR="006A3314" w:rsidRPr="00F409A8" w:rsidRDefault="006A3314" w:rsidP="006A3314">
      <w:pPr>
        <w:pStyle w:val="Caption"/>
      </w:pPr>
    </w:p>
    <w:p w:rsidR="006A3314" w:rsidRDefault="006A3314" w:rsidP="006A3314"/>
    <w:p w:rsidR="006A3314" w:rsidRDefault="006A3314" w:rsidP="006A3314"/>
    <w:p w:rsidR="006A3314" w:rsidRDefault="006A3314" w:rsidP="006A3314">
      <w:pPr>
        <w:pStyle w:val="Heading7"/>
      </w:pPr>
      <w:bookmarkStart w:id="244" w:name="_Toc452629088"/>
      <w:bookmarkStart w:id="245" w:name="_Toc456686738"/>
      <w:bookmarkStart w:id="246" w:name="_Toc481057081"/>
      <w:r>
        <w:t>Other practitioner's return on equity estimates</w:t>
      </w:r>
      <w:bookmarkEnd w:id="244"/>
      <w:bookmarkEnd w:id="245"/>
      <w:bookmarkEnd w:id="246"/>
    </w:p>
    <w:p w:rsidR="006A3314" w:rsidRPr="008F4F73" w:rsidRDefault="006A3314" w:rsidP="00CC7A1C">
      <w:pPr>
        <w:numPr>
          <w:ilvl w:val="0"/>
          <w:numId w:val="24"/>
        </w:numPr>
      </w:pPr>
      <w:r w:rsidRPr="008F4F73">
        <w:t xml:space="preserve">Other market practitioners may, in the course of their operations, produce return on equity estimates for entities with a similar degree of risk as </w:t>
      </w:r>
      <w:r w:rsidR="00A16CC8">
        <w:t>TasNetworks</w:t>
      </w:r>
      <w:r w:rsidRPr="008F4F73">
        <w:t xml:space="preserve">. Other practitioners may also produce estimates of input parameters required in the Sharpe-Lintner CAPM (our foundation model). These estimates may be relevant material that can inform our return on equity estimation. </w:t>
      </w:r>
    </w:p>
    <w:p w:rsidR="006A3314" w:rsidRPr="008F4F73" w:rsidRDefault="006A3314" w:rsidP="00CC7A1C">
      <w:pPr>
        <w:numPr>
          <w:ilvl w:val="0"/>
          <w:numId w:val="24"/>
        </w:numPr>
      </w:pPr>
      <w:r w:rsidRPr="008F4F73">
        <w:t>Relevant estimates of other market practitioners are typically sourced from surveys, broker reports, valuation reports, and other regulators' decisions. Such estimates are discussed further in the subsections below.</w:t>
      </w:r>
    </w:p>
    <w:p w:rsidR="006A3314" w:rsidRPr="008F4F73" w:rsidRDefault="006A3314" w:rsidP="006A3314">
      <w:r w:rsidRPr="008F4F73">
        <w:t xml:space="preserve">We have focused on return on equity estimates for companies with a similar degree of non-diversifiable risks as </w:t>
      </w:r>
      <w:r w:rsidR="00A16CC8">
        <w:t>TasNetworks</w:t>
      </w:r>
      <w:r w:rsidRPr="00B01FE9">
        <w:t xml:space="preserve"> </w:t>
      </w:r>
      <w:r w:rsidRPr="008F4F73">
        <w:t>in providing regulated (</w:t>
      </w:r>
      <w:r>
        <w:t>prescribed transmission</w:t>
      </w:r>
      <w:r w:rsidRPr="008F4F73">
        <w:t xml:space="preserv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A16CC8">
        <w:t>TasNetworks</w:t>
      </w:r>
      <w:r w:rsidRPr="00B01FE9">
        <w:t xml:space="preserve"> </w:t>
      </w:r>
      <w:r w:rsidRPr="008F4F73">
        <w:t>in relation to the provision of regulated services.</w:t>
      </w:r>
    </w:p>
    <w:p w:rsidR="006A3314" w:rsidRDefault="006A3314" w:rsidP="006A3314">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1049"/>
      </w:r>
    </w:p>
    <w:p w:rsidR="006A3314" w:rsidRDefault="006A3314" w:rsidP="006A3314">
      <w:r>
        <w:t>S</w:t>
      </w:r>
      <w:r w:rsidR="003C78BA">
        <w:t>ome s</w:t>
      </w:r>
      <w:r>
        <w:t>ervice providers</w:t>
      </w:r>
      <w:r w:rsidR="003C78BA">
        <w:t xml:space="preserve"> have</w:t>
      </w:r>
      <w:r w:rsidRPr="008F4F73">
        <w:t xml:space="preserve"> 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Pr="008F4F73">
        <w:rPr>
          <w:rStyle w:val="FootnoteReference"/>
        </w:rPr>
        <w:footnoteReference w:id="1050"/>
      </w:r>
      <w:r w:rsidRPr="008F4F73">
        <w:t xml:space="preserve"> We note that some estimates from other market practitioners—including from survey respondents, brokers and valuers—may be affected to some extent by 'herding' behaviour.</w:t>
      </w:r>
      <w:r w:rsidRPr="008F4F73">
        <w:rPr>
          <w:rStyle w:val="FootnoteReference"/>
        </w:rPr>
        <w:footnoteReference w:id="1051"/>
      </w:r>
      <w:r w:rsidRPr="008F4F73">
        <w:t xml:space="preserve"> We continue to consider that it is relevant for us to have some regard to these estimates, as long as we remain aware of their limitations.</w:t>
      </w:r>
    </w:p>
    <w:p w:rsidR="006A3314" w:rsidRPr="00286F47" w:rsidRDefault="006A3314" w:rsidP="00CC7A1C">
      <w:pPr>
        <w:pStyle w:val="Heading8"/>
        <w:numPr>
          <w:ilvl w:val="1"/>
          <w:numId w:val="31"/>
        </w:numPr>
      </w:pPr>
      <w:bookmarkStart w:id="247" w:name="_Toc443923230"/>
      <w:bookmarkStart w:id="248" w:name="_Ref446272549"/>
      <w:bookmarkStart w:id="249" w:name="_Toc451943806"/>
      <w:bookmarkStart w:id="250" w:name="_Toc456686739"/>
      <w:bookmarkStart w:id="251" w:name="_Toc481057082"/>
      <w:r>
        <w:t>Prevailing estimates: surveys</w:t>
      </w:r>
      <w:bookmarkEnd w:id="247"/>
      <w:bookmarkEnd w:id="248"/>
      <w:bookmarkEnd w:id="249"/>
      <w:bookmarkEnd w:id="250"/>
      <w:bookmarkEnd w:id="251"/>
    </w:p>
    <w:p w:rsidR="006A3314" w:rsidRPr="00954DE4" w:rsidRDefault="006A3314" w:rsidP="006A3314">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6A3314" w:rsidRPr="00954DE4" w:rsidRDefault="006A3314" w:rsidP="006A3314">
      <w:r>
        <w:fldChar w:fldCharType="begin"/>
      </w:r>
      <w:r>
        <w:instrText xml:space="preserve"> REF _Ref432620068 \h </w:instrText>
      </w:r>
      <w:r>
        <w:fldChar w:fldCharType="separate"/>
      </w:r>
      <w:r w:rsidR="00C6448C">
        <w:t xml:space="preserve">Table </w:t>
      </w:r>
      <w:r w:rsidR="00C6448C">
        <w:rPr>
          <w:noProof/>
        </w:rPr>
        <w:t>3</w:t>
      </w:r>
      <w:r w:rsidR="00C6448C">
        <w:noBreakHyphen/>
      </w:r>
      <w:r w:rsidR="00C6448C">
        <w:rPr>
          <w:noProof/>
        </w:rPr>
        <w:t>29</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6A3314" w:rsidRPr="006F371E" w:rsidRDefault="006A3314" w:rsidP="006A3314">
      <w:pPr>
        <w:pStyle w:val="Caption"/>
      </w:pPr>
      <w:bookmarkStart w:id="252" w:name="_Ref432620068"/>
      <w:r>
        <w:t xml:space="preserve">Table </w:t>
      </w:r>
      <w:fldSimple w:instr=" STYLEREF 1 \s ">
        <w:r w:rsidR="00C6448C">
          <w:rPr>
            <w:noProof/>
          </w:rPr>
          <w:t>3</w:t>
        </w:r>
      </w:fldSimple>
      <w:r w:rsidR="00882F3D">
        <w:noBreakHyphen/>
      </w:r>
      <w:fldSimple w:instr=" SEQ Table \* ARABIC \s 1 ">
        <w:r w:rsidR="00C6448C">
          <w:rPr>
            <w:noProof/>
          </w:rPr>
          <w:t>29</w:t>
        </w:r>
      </w:fldSimple>
      <w:bookmarkEnd w:id="252"/>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BE50B0" w:rsidRPr="00286F47" w:rsidTr="00737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Survey</w:t>
            </w:r>
          </w:p>
        </w:tc>
        <w:tc>
          <w:tcPr>
            <w:tcW w:w="1890"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Mean</w:t>
            </w:r>
            <w:r w:rsidRPr="00BE50B0">
              <w:t xml:space="preserve"> (%)</w:t>
            </w:r>
          </w:p>
        </w:tc>
        <w:tc>
          <w:tcPr>
            <w:tcW w:w="1355"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Median</w:t>
            </w:r>
            <w:r w:rsidRPr="00BE50B0">
              <w:t xml:space="preserve"> (%)</w:t>
            </w:r>
          </w:p>
        </w:tc>
        <w:tc>
          <w:tcPr>
            <w:tcW w:w="1388"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Mode</w:t>
            </w:r>
            <w:r w:rsidRPr="00BE50B0">
              <w:t xml:space="preserve"> (%)</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rsidRPr="00EF7FC8">
              <w:t>Fernandez</w:t>
            </w:r>
            <w:r w:rsidRPr="00BE50B0">
              <w:t xml:space="preserve"> et al (2013)</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rsidRPr="00EF7FC8">
              <w:t>KPMG (2013)</w:t>
            </w:r>
            <w:r w:rsidRPr="00BE50B0">
              <w:rPr>
                <w:rStyle w:val="AERsuperscript"/>
              </w:rPr>
              <w:t>a</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rsidRPr="00EF7FC8">
              <w:t>Fernandez et</w:t>
            </w:r>
            <w:r w:rsidRPr="00BE50B0">
              <w:t xml:space="preserve"> al (2013)</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Asher and Hickling (2013)</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 xml:space="preserve">Fernandez </w:t>
            </w:r>
            <w:r w:rsidRPr="00BE50B0">
              <w:t>et al (2014)</w:t>
            </w:r>
            <w:r w:rsidRPr="00BE50B0">
              <w:rPr>
                <w:rStyle w:val="AERsuperscript"/>
              </w:rPr>
              <w:t xml:space="preserve"> b</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Asher</w:t>
            </w:r>
            <w:r w:rsidRPr="00BE50B0">
              <w:t xml:space="preserve"> and Hickling (2014)</w:t>
            </w:r>
            <w:r w:rsidRPr="00BE50B0">
              <w:rPr>
                <w:rStyle w:val="AERsuperscript"/>
              </w:rPr>
              <w:t xml:space="preserve"> c</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 xml:space="preserve">Fernandez et al </w:t>
            </w:r>
            <w:r w:rsidRPr="00BE50B0">
              <w:t>(2015)</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KPMG (2015)</w:t>
            </w:r>
            <w:r w:rsidRPr="00BE50B0">
              <w:rPr>
                <w:rStyle w:val="AERsuperscript"/>
              </w:rPr>
              <w:t xml:space="preserve"> d</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Asher and Carruther (2015)</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29</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4.9</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r>
      <w:tr w:rsidR="00BE50B0"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Fernandez et al (2016)</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87</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N/A</w:t>
            </w:r>
          </w:p>
        </w:tc>
      </w:tr>
    </w:tbl>
    <w:p w:rsidR="006A3314" w:rsidRDefault="006A3314" w:rsidP="006A3314">
      <w:pPr>
        <w:pStyle w:val="AERtablesource"/>
      </w:pPr>
      <w:r>
        <w:t>Sources:  Several survey reports.</w:t>
      </w:r>
      <w:r>
        <w:rPr>
          <w:rStyle w:val="FootnoteReference"/>
        </w:rPr>
        <w:footnoteReference w:id="1052"/>
      </w:r>
    </w:p>
    <w:p w:rsidR="006A3314" w:rsidRDefault="006A3314" w:rsidP="006A3314">
      <w:pPr>
        <w:pStyle w:val="AERtablesource"/>
      </w:pPr>
      <w:r w:rsidRPr="003723C8">
        <w:t xml:space="preserve">Notes: </w:t>
      </w:r>
      <w:r w:rsidRPr="003723C8">
        <w:tab/>
      </w:r>
      <w:r>
        <w:t>a) While this survey had 23 market participants, 19 specified what market risk premium they used.</w:t>
      </w:r>
    </w:p>
    <w:p w:rsidR="006A3314" w:rsidRDefault="006A3314" w:rsidP="006A3314">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6A3314" w:rsidRDefault="006A3314" w:rsidP="006A3314">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6A3314" w:rsidRPr="00B74249" w:rsidRDefault="006A3314" w:rsidP="006A3314">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6A3314" w:rsidRDefault="006A3314" w:rsidP="006A3314">
      <w:pPr>
        <w:rPr>
          <w:rStyle w:val="AERbody"/>
        </w:rPr>
      </w:pPr>
      <w:r>
        <w:rPr>
          <w:rStyle w:val="AERbody"/>
        </w:rPr>
        <w:t>Several factors should be considered when examining survey evidence:</w:t>
      </w:r>
      <w:r>
        <w:rPr>
          <w:rStyle w:val="FootnoteReference"/>
        </w:rPr>
        <w:footnoteReference w:id="1053"/>
      </w:r>
    </w:p>
    <w:p w:rsidR="006A3314" w:rsidRPr="006C49DC" w:rsidRDefault="006A3314" w:rsidP="006A3314">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6C49DC">
        <w:rPr>
          <w:rStyle w:val="FootnoteReference"/>
        </w:rPr>
        <w:footnoteReference w:id="1054"/>
      </w:r>
      <w:r w:rsidRPr="006C49DC">
        <w:t xml:space="preserve">  </w:t>
      </w:r>
    </w:p>
    <w:p w:rsidR="006A3314" w:rsidRPr="006C49DC" w:rsidRDefault="006A3314" w:rsidP="006A3314">
      <w:pPr>
        <w:pStyle w:val="AERbulletlistfirststyle"/>
      </w:pPr>
      <w:r>
        <w:t>Sample of respondents—f</w:t>
      </w:r>
      <w:r w:rsidRPr="006C49DC">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6C49DC">
        <w:rPr>
          <w:rStyle w:val="FootnoteReference"/>
        </w:rPr>
        <w:footnoteReference w:id="1055"/>
      </w:r>
    </w:p>
    <w:p w:rsidR="006A3314" w:rsidRPr="006C49DC" w:rsidRDefault="006A3314" w:rsidP="006A3314">
      <w:pPr>
        <w:pStyle w:val="AERbulletlistfirststyle"/>
      </w:pPr>
      <w:r>
        <w:t xml:space="preserve">Wording of survey questionnaires—we consider the </w:t>
      </w:r>
      <w:r w:rsidRPr="006C49DC">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6A3314" w:rsidRPr="006C49DC" w:rsidRDefault="006A3314" w:rsidP="006A3314">
      <w:pPr>
        <w:pStyle w:val="AERbulletlistfirststyle"/>
      </w:pPr>
      <w:r>
        <w:t>Survey response rate and non-response bias—</w:t>
      </w:r>
      <w:r w:rsidRPr="006C49DC">
        <w:t>McKenzie and Partington suggested a sample size of more than 30 is sufficiently large statistically so a representative sample of 30 respondents is expected to be adequate.</w:t>
      </w:r>
      <w:r w:rsidRPr="006C49DC">
        <w:rPr>
          <w:rStyle w:val="FootnoteReference"/>
        </w:rPr>
        <w:footnoteReference w:id="1056"/>
      </w:r>
      <w:r w:rsidRPr="006C49DC">
        <w:t xml:space="preserve"> </w:t>
      </w:r>
    </w:p>
    <w:p w:rsidR="006A3314" w:rsidRDefault="006A3314" w:rsidP="006A3314">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C6448C">
        <w:t xml:space="preserve">Table </w:t>
      </w:r>
      <w:r w:rsidR="00C6448C">
        <w:rPr>
          <w:noProof/>
        </w:rPr>
        <w:t>3</w:t>
      </w:r>
      <w:r w:rsidR="00C6448C">
        <w:noBreakHyphen/>
      </w:r>
      <w:r w:rsidR="00C6448C">
        <w:rPr>
          <w:noProof/>
        </w:rPr>
        <w:t>29</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1057"/>
      </w:r>
      <w:r>
        <w:t xml:space="preserve"> </w:t>
      </w:r>
    </w:p>
    <w:p w:rsidR="006A3314" w:rsidRPr="00C852A1" w:rsidRDefault="006A3314" w:rsidP="006A3314">
      <w:r>
        <w:t>AusNet Services has re</w:t>
      </w:r>
      <w:r w:rsidRPr="00C852A1">
        <w:t xml:space="preserve">submitted that survey evidence </w:t>
      </w:r>
      <w:r>
        <w:t>should not be considered given methodological shortcomings (such as the content and relevance of the questions and potential bias in the survey groups).</w:t>
      </w:r>
      <w:r>
        <w:rPr>
          <w:rStyle w:val="FootnoteReference"/>
        </w:rPr>
        <w:footnoteReference w:id="1058"/>
      </w:r>
      <w:r>
        <w:t xml:space="preserve"> </w:t>
      </w:r>
      <w:r w:rsidRPr="00C852A1">
        <w:t xml:space="preserve">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6A3314" w:rsidRDefault="006A3314" w:rsidP="006A3314">
      <w:r w:rsidRPr="00C852A1">
        <w:t xml:space="preserve">Several service providers </w:t>
      </w:r>
      <w:r>
        <w:t>previously</w:t>
      </w:r>
      <w:r w:rsidRPr="00C852A1">
        <w:t xml:space="preserve"> submitted that the surveys we use do not appear to </w:t>
      </w:r>
      <w:r>
        <w:t>comply</w:t>
      </w:r>
      <w:r w:rsidRPr="00C852A1">
        <w:t xml:space="preserve"> with the Federal Court guidelines for conducting surveys.</w:t>
      </w:r>
      <w:r w:rsidRPr="00C852A1">
        <w:rPr>
          <w:rStyle w:val="FootnoteReference"/>
        </w:rPr>
        <w:footnoteReference w:id="1059"/>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6A3314" w:rsidRPr="008F4F73" w:rsidRDefault="006A3314" w:rsidP="006A3314">
      <w:pPr>
        <w:pStyle w:val="Heading8"/>
      </w:pPr>
      <w:bookmarkStart w:id="253" w:name="_Ref445898024"/>
      <w:bookmarkStart w:id="254" w:name="_Toc451943807"/>
      <w:bookmarkStart w:id="255" w:name="_Toc456686740"/>
      <w:bookmarkStart w:id="256" w:name="_Toc481057083"/>
      <w:r w:rsidRPr="008F4F73">
        <w:t>Prevailing estimates: broker reports</w:t>
      </w:r>
      <w:bookmarkEnd w:id="253"/>
      <w:bookmarkEnd w:id="254"/>
      <w:bookmarkEnd w:id="255"/>
      <w:bookmarkEnd w:id="256"/>
    </w:p>
    <w:p w:rsidR="006A3314" w:rsidRPr="003C2547" w:rsidRDefault="006A3314" w:rsidP="00CC7A1C">
      <w:pPr>
        <w:numPr>
          <w:ilvl w:val="0"/>
          <w:numId w:val="24"/>
        </w:numPr>
        <w:rPr>
          <w:rStyle w:val="AERtextblue"/>
        </w:rPr>
      </w:pPr>
      <w:r w:rsidRPr="003C2547">
        <w:fldChar w:fldCharType="begin"/>
      </w:r>
      <w:r w:rsidRPr="003C2547">
        <w:instrText xml:space="preserve"> REF _Ref443644282 \h </w:instrText>
      </w:r>
      <w:r w:rsidRPr="003C2547">
        <w:fldChar w:fldCharType="separate"/>
      </w:r>
      <w:r w:rsidR="00C6448C" w:rsidRPr="003C2547">
        <w:t xml:space="preserve">Table </w:t>
      </w:r>
      <w:r w:rsidR="00C6448C">
        <w:rPr>
          <w:noProof/>
        </w:rPr>
        <w:t>3</w:t>
      </w:r>
      <w:r w:rsidR="00C6448C">
        <w:noBreakHyphen/>
      </w:r>
      <w:r w:rsidR="00C6448C">
        <w:rPr>
          <w:noProof/>
        </w:rPr>
        <w:t>30</w:t>
      </w:r>
      <w:r w:rsidRPr="003C2547">
        <w:fldChar w:fldCharType="end"/>
      </w:r>
      <w:r w:rsidRPr="003C2547">
        <w:t xml:space="preserve"> shows the estimates of return on equity and premium above the risk free rate contained in broker reports which we have examined since our draft decision.</w:t>
      </w:r>
      <w:r w:rsidRPr="003C2547">
        <w:rPr>
          <w:rStyle w:val="FootnoteReference"/>
        </w:rPr>
        <w:footnoteReference w:id="1060"/>
      </w:r>
    </w:p>
    <w:p w:rsidR="006A3314" w:rsidRPr="003C2547" w:rsidRDefault="006A3314" w:rsidP="00CC7A1C">
      <w:pPr>
        <w:pStyle w:val="Caption"/>
        <w:numPr>
          <w:ilvl w:val="0"/>
          <w:numId w:val="24"/>
        </w:numPr>
      </w:pPr>
      <w:bookmarkStart w:id="257" w:name="_Ref443644282"/>
      <w:r w:rsidRPr="003C2547">
        <w:t xml:space="preserve">Table </w:t>
      </w:r>
      <w:fldSimple w:instr=" STYLEREF 1 \s ">
        <w:r w:rsidR="00C6448C">
          <w:rPr>
            <w:noProof/>
          </w:rPr>
          <w:t>3</w:t>
        </w:r>
      </w:fldSimple>
      <w:r w:rsidR="00882F3D">
        <w:noBreakHyphen/>
      </w:r>
      <w:fldSimple w:instr=" SEQ Table \* ARABIC \s 1 ">
        <w:r w:rsidR="00C6448C">
          <w:rPr>
            <w:noProof/>
          </w:rPr>
          <w:t>30</w:t>
        </w:r>
      </w:fldSimple>
      <w:bookmarkEnd w:id="257"/>
      <w:r w:rsidRPr="003C2547">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6A3314" w:rsidTr="00A21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tcPr>
          <w:p w:rsidR="006A3314" w:rsidRPr="003C2547" w:rsidRDefault="006A3314" w:rsidP="006A3314"/>
        </w:tc>
        <w:tc>
          <w:tcPr>
            <w:tcW w:w="1275" w:type="dxa"/>
            <w:tcBorders>
              <w:top w:val="nil"/>
              <w:left w:val="nil"/>
              <w:bottom w:val="nil"/>
              <w:right w:val="nil"/>
            </w:tcBorders>
          </w:tcPr>
          <w:p w:rsidR="006A3314" w:rsidRPr="003C2547" w:rsidRDefault="006A3314" w:rsidP="006A3314">
            <w:pPr>
              <w:cnfStyle w:val="100000000000" w:firstRow="1" w:lastRow="0" w:firstColumn="0" w:lastColumn="0" w:oddVBand="0" w:evenVBand="0" w:oddHBand="0" w:evenHBand="0" w:firstRowFirstColumn="0" w:firstRowLastColumn="0" w:lastRowFirstColumn="0" w:lastRowLastColumn="0"/>
            </w:pPr>
          </w:p>
        </w:tc>
        <w:tc>
          <w:tcPr>
            <w:tcW w:w="1418" w:type="dxa"/>
            <w:tcBorders>
              <w:top w:val="nil"/>
              <w:left w:val="nil"/>
              <w:bottom w:val="nil"/>
              <w:right w:val="nil"/>
            </w:tcBorders>
            <w:hideMark/>
          </w:tcPr>
          <w:p w:rsidR="006A3314" w:rsidRPr="006A3314" w:rsidRDefault="006A3314" w:rsidP="006A3314">
            <w:pPr>
              <w:cnfStyle w:val="100000000000" w:firstRow="1" w:lastRow="0" w:firstColumn="0" w:lastColumn="0" w:oddVBand="0" w:evenVBand="0" w:oddHBand="0" w:evenHBand="0" w:firstRowFirstColumn="0" w:firstRowLastColumn="0" w:lastRowFirstColumn="0" w:lastRowLastColumn="0"/>
            </w:pPr>
            <w:r w:rsidRPr="003C2547">
              <w:t>Return on equity</w:t>
            </w:r>
          </w:p>
        </w:tc>
        <w:tc>
          <w:tcPr>
            <w:tcW w:w="1497" w:type="dxa"/>
            <w:tcBorders>
              <w:top w:val="nil"/>
              <w:left w:val="nil"/>
              <w:bottom w:val="nil"/>
              <w:right w:val="nil"/>
            </w:tcBorders>
            <w:hideMark/>
          </w:tcPr>
          <w:p w:rsidR="006A3314" w:rsidRPr="006A3314" w:rsidRDefault="006A3314" w:rsidP="006A3314">
            <w:pPr>
              <w:cnfStyle w:val="100000000000" w:firstRow="1" w:lastRow="0" w:firstColumn="0" w:lastColumn="0" w:oddVBand="0" w:evenVBand="0" w:oddHBand="0" w:evenHBand="0" w:firstRowFirstColumn="0" w:firstRowLastColumn="0" w:lastRowFirstColumn="0" w:lastRowLastColumn="0"/>
            </w:pPr>
            <w:r w:rsidRPr="003C2547">
              <w:t>Equity risk premium</w:t>
            </w:r>
          </w:p>
        </w:tc>
      </w:tr>
      <w:tr w:rsidR="006A3314" w:rsidTr="00A210B3">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hideMark/>
          </w:tcPr>
          <w:p w:rsidR="006A3314" w:rsidRPr="006A3314" w:rsidRDefault="006A3314" w:rsidP="006A3314">
            <w:r w:rsidRPr="003C2547">
              <w:t>Broker estimate—no imputation adjustment</w:t>
            </w:r>
          </w:p>
        </w:tc>
        <w:tc>
          <w:tcPr>
            <w:tcW w:w="1275" w:type="dxa"/>
            <w:tcBorders>
              <w:top w:val="nil"/>
              <w:left w:val="nil"/>
              <w:bottom w:val="nil"/>
              <w:right w:val="nil"/>
            </w:tcBorders>
            <w:hideMark/>
          </w:tcPr>
          <w:p w:rsidR="006A3314" w:rsidRPr="006A3314" w:rsidRDefault="006A3314" w:rsidP="006A3314">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tcBorders>
              <w:top w:val="nil"/>
              <w:left w:val="nil"/>
              <w:bottom w:val="nil"/>
              <w:right w:val="nil"/>
            </w:tcBorders>
            <w:hideMark/>
          </w:tcPr>
          <w:p w:rsidR="006A3314" w:rsidRPr="006A3314" w:rsidRDefault="007A2F93">
            <w:pPr>
              <w:cnfStyle w:val="000000000000" w:firstRow="0" w:lastRow="0" w:firstColumn="0" w:lastColumn="0" w:oddVBand="0" w:evenVBand="0" w:oddHBand="0" w:evenHBand="0" w:firstRowFirstColumn="0" w:firstRowLastColumn="0" w:lastRowFirstColumn="0" w:lastRowLastColumn="0"/>
            </w:pPr>
            <w:r>
              <w:t>6.2</w:t>
            </w:r>
          </w:p>
        </w:tc>
        <w:tc>
          <w:tcPr>
            <w:tcW w:w="1497" w:type="dxa"/>
            <w:tcBorders>
              <w:top w:val="nil"/>
              <w:left w:val="nil"/>
              <w:bottom w:val="nil"/>
              <w:right w:val="nil"/>
            </w:tcBorders>
            <w:hideMark/>
          </w:tcPr>
          <w:p w:rsidR="006A3314" w:rsidRPr="006A3314" w:rsidRDefault="007A2F93" w:rsidP="00BE50B0">
            <w:pPr>
              <w:cnfStyle w:val="000000000000" w:firstRow="0" w:lastRow="0" w:firstColumn="0" w:lastColumn="0" w:oddVBand="0" w:evenVBand="0" w:oddHBand="0" w:evenHBand="0" w:firstRowFirstColumn="0" w:firstRowLastColumn="0" w:lastRowFirstColumn="0" w:lastRowLastColumn="0"/>
            </w:pPr>
            <w:r>
              <w:t>3.5</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hideMark/>
          </w:tcPr>
          <w:p w:rsidR="006A3314" w:rsidRPr="006A3314" w:rsidRDefault="006A3314" w:rsidP="006A3314">
            <w:r w:rsidRPr="003C2547">
              <w:t>Broker estimate—no imputation adjustment</w:t>
            </w:r>
          </w:p>
        </w:tc>
        <w:tc>
          <w:tcPr>
            <w:tcW w:w="1275" w:type="dxa"/>
            <w:tcBorders>
              <w:top w:val="nil"/>
              <w:left w:val="nil"/>
              <w:bottom w:val="nil"/>
              <w:right w:val="nil"/>
            </w:tcBorders>
            <w:hideMark/>
          </w:tcPr>
          <w:p w:rsidR="006A3314" w:rsidRPr="006A3314" w:rsidRDefault="006A3314" w:rsidP="006A3314">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tcBorders>
              <w:top w:val="nil"/>
              <w:left w:val="nil"/>
              <w:bottom w:val="nil"/>
              <w:right w:val="nil"/>
            </w:tcBorders>
            <w:hideMark/>
          </w:tcPr>
          <w:p w:rsidR="006A3314" w:rsidRPr="006A3314" w:rsidRDefault="007A2F93">
            <w:pPr>
              <w:cnfStyle w:val="000000010000" w:firstRow="0" w:lastRow="0" w:firstColumn="0" w:lastColumn="0" w:oddVBand="0" w:evenVBand="0" w:oddHBand="0" w:evenHBand="1" w:firstRowFirstColumn="0" w:firstRowLastColumn="0" w:lastRowFirstColumn="0" w:lastRowLastColumn="0"/>
            </w:pPr>
            <w:r>
              <w:t>9.4</w:t>
            </w:r>
          </w:p>
        </w:tc>
        <w:tc>
          <w:tcPr>
            <w:tcW w:w="1497" w:type="dxa"/>
            <w:tcBorders>
              <w:top w:val="nil"/>
              <w:left w:val="nil"/>
              <w:bottom w:val="nil"/>
              <w:right w:val="nil"/>
            </w:tcBorders>
            <w:hideMark/>
          </w:tcPr>
          <w:p w:rsidR="006A3314" w:rsidRPr="006A3314" w:rsidRDefault="007A2F93" w:rsidP="006A3314">
            <w:pPr>
              <w:cnfStyle w:val="000000010000" w:firstRow="0" w:lastRow="0" w:firstColumn="0" w:lastColumn="0" w:oddVBand="0" w:evenVBand="0" w:oddHBand="0" w:evenHBand="1" w:firstRowFirstColumn="0" w:firstRowLastColumn="0" w:lastRowFirstColumn="0" w:lastRowLastColumn="0"/>
            </w:pPr>
            <w:r>
              <w:t>5.3</w:t>
            </w:r>
          </w:p>
        </w:tc>
      </w:tr>
      <w:tr w:rsidR="006A3314" w:rsidTr="00A210B3">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hideMark/>
          </w:tcPr>
          <w:p w:rsidR="006A3314" w:rsidRPr="006A3314" w:rsidRDefault="006A3314" w:rsidP="006A3314">
            <w:r w:rsidRPr="003C2547">
              <w:t xml:space="preserve">Broker estimate—adjusted </w:t>
            </w:r>
            <w:r w:rsidRPr="006A3314">
              <w:t>for imputation</w:t>
            </w:r>
          </w:p>
        </w:tc>
        <w:tc>
          <w:tcPr>
            <w:tcW w:w="1275" w:type="dxa"/>
            <w:tcBorders>
              <w:top w:val="nil"/>
              <w:left w:val="nil"/>
              <w:bottom w:val="nil"/>
              <w:right w:val="nil"/>
            </w:tcBorders>
            <w:hideMark/>
          </w:tcPr>
          <w:p w:rsidR="006A3314" w:rsidRPr="006A3314" w:rsidRDefault="006A3314" w:rsidP="006A3314">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tcBorders>
              <w:top w:val="nil"/>
              <w:left w:val="nil"/>
              <w:bottom w:val="nil"/>
              <w:right w:val="nil"/>
            </w:tcBorders>
            <w:hideMark/>
          </w:tcPr>
          <w:p w:rsidR="006A3314" w:rsidRPr="006A3314" w:rsidRDefault="006A3314" w:rsidP="006E5878">
            <w:pPr>
              <w:cnfStyle w:val="000000000000" w:firstRow="0" w:lastRow="0" w:firstColumn="0" w:lastColumn="0" w:oddVBand="0" w:evenVBand="0" w:oddHBand="0" w:evenHBand="0" w:firstRowFirstColumn="0" w:firstRowLastColumn="0" w:lastRowFirstColumn="0" w:lastRowLastColumn="0"/>
            </w:pPr>
            <w:r w:rsidRPr="003C2547">
              <w:t>6</w:t>
            </w:r>
            <w:r w:rsidR="00BE50B0">
              <w:t>.7</w:t>
            </w:r>
          </w:p>
        </w:tc>
        <w:tc>
          <w:tcPr>
            <w:tcW w:w="1497" w:type="dxa"/>
            <w:tcBorders>
              <w:top w:val="nil"/>
              <w:left w:val="nil"/>
              <w:bottom w:val="nil"/>
              <w:right w:val="nil"/>
            </w:tcBorders>
            <w:hideMark/>
          </w:tcPr>
          <w:p w:rsidR="006A3314" w:rsidRPr="006A3314" w:rsidRDefault="006A3314" w:rsidP="006A3314">
            <w:pPr>
              <w:cnfStyle w:val="000000000000" w:firstRow="0" w:lastRow="0" w:firstColumn="0" w:lastColumn="0" w:oddVBand="0" w:evenVBand="0" w:oddHBand="0" w:evenHBand="0" w:firstRowFirstColumn="0" w:firstRowLastColumn="0" w:lastRowFirstColumn="0" w:lastRowLastColumn="0"/>
            </w:pPr>
            <w:r w:rsidRPr="003C2547">
              <w:t>4.1</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single" w:sz="4" w:space="0" w:color="365F91"/>
              <w:right w:val="nil"/>
            </w:tcBorders>
            <w:hideMark/>
          </w:tcPr>
          <w:p w:rsidR="006A3314" w:rsidRPr="006A3314" w:rsidRDefault="006A3314" w:rsidP="006A3314">
            <w:r w:rsidRPr="003C2547">
              <w:t>Broker estimate—adjusted for imputation</w:t>
            </w:r>
          </w:p>
        </w:tc>
        <w:tc>
          <w:tcPr>
            <w:tcW w:w="1275" w:type="dxa"/>
            <w:tcBorders>
              <w:top w:val="nil"/>
              <w:left w:val="nil"/>
              <w:bottom w:val="single" w:sz="4" w:space="0" w:color="365F91"/>
              <w:right w:val="nil"/>
            </w:tcBorders>
            <w:hideMark/>
          </w:tcPr>
          <w:p w:rsidR="006A3314" w:rsidRPr="006A3314" w:rsidRDefault="006A3314" w:rsidP="006A3314">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tcBorders>
              <w:top w:val="nil"/>
              <w:left w:val="nil"/>
              <w:bottom w:val="single" w:sz="4" w:space="0" w:color="365F91"/>
              <w:right w:val="nil"/>
            </w:tcBorders>
            <w:hideMark/>
          </w:tcPr>
          <w:p w:rsidR="006A3314" w:rsidRPr="006A3314" w:rsidRDefault="007A2F93" w:rsidP="00BE50B0">
            <w:pPr>
              <w:cnfStyle w:val="000000010000" w:firstRow="0" w:lastRow="0" w:firstColumn="0" w:lastColumn="0" w:oddVBand="0" w:evenVBand="0" w:oddHBand="0" w:evenHBand="1" w:firstRowFirstColumn="0" w:firstRowLastColumn="0" w:lastRowFirstColumn="0" w:lastRowLastColumn="0"/>
            </w:pPr>
            <w:r>
              <w:t>10</w:t>
            </w:r>
          </w:p>
        </w:tc>
        <w:tc>
          <w:tcPr>
            <w:tcW w:w="1497" w:type="dxa"/>
            <w:tcBorders>
              <w:top w:val="nil"/>
              <w:left w:val="nil"/>
              <w:bottom w:val="single" w:sz="4" w:space="0" w:color="365F91"/>
              <w:right w:val="nil"/>
            </w:tcBorders>
            <w:hideMark/>
          </w:tcPr>
          <w:p w:rsidR="006A3314" w:rsidRPr="006A3314" w:rsidRDefault="007A2F93" w:rsidP="006A3314">
            <w:pPr>
              <w:cnfStyle w:val="000000010000" w:firstRow="0" w:lastRow="0" w:firstColumn="0" w:lastColumn="0" w:oddVBand="0" w:evenVBand="0" w:oddHBand="0" w:evenHBand="1" w:firstRowFirstColumn="0" w:firstRowLastColumn="0" w:lastRowFirstColumn="0" w:lastRowLastColumn="0"/>
            </w:pPr>
            <w:r>
              <w:t>6.1</w:t>
            </w:r>
          </w:p>
        </w:tc>
      </w:tr>
    </w:tbl>
    <w:p w:rsidR="006A3314" w:rsidRPr="003C2547" w:rsidRDefault="006A3314" w:rsidP="00CC7A1C">
      <w:pPr>
        <w:pStyle w:val="AERtablesource"/>
        <w:numPr>
          <w:ilvl w:val="0"/>
          <w:numId w:val="24"/>
        </w:numPr>
      </w:pPr>
      <w:r w:rsidRPr="003C2547">
        <w:t>Source:</w:t>
      </w:r>
      <w:r w:rsidRPr="003C2547">
        <w:tab/>
        <w:t xml:space="preserve">AER analysis of broker reports, dated 1 June 2016 to 20 </w:t>
      </w:r>
      <w:r w:rsidR="00CD659C">
        <w:t>March 2017</w:t>
      </w:r>
      <w:r w:rsidRPr="003C2547">
        <w:t xml:space="preserve"> by Credit Suisse, JP Morgan, Morgan Stanley, and Macquarie Bank that include a valuation for AusNet Services, Spark Infrastructure, APA Group, and/or DUET Group.</w:t>
      </w:r>
    </w:p>
    <w:p w:rsidR="006A3314" w:rsidRPr="003C2547" w:rsidRDefault="006A3314" w:rsidP="00892103">
      <w:r w:rsidRPr="003C2547">
        <w:t>The equity risk premium from the AER's foundation model of 4.55 per cent is within the range of premiums recently estimated by brokers, even when these estimates are adjusted for imputation.</w:t>
      </w:r>
      <w:r w:rsidR="00892103">
        <w:t xml:space="preserve"> TasNetworks' proposed equity risk premium of 4.55 per cent is within the range of premiums recently estimated by brokers.</w:t>
      </w:r>
      <w:r w:rsidRPr="00B91232">
        <w:t xml:space="preserve"> </w:t>
      </w:r>
      <w:r w:rsidRPr="006E5878">
        <w:rPr>
          <w:rStyle w:val="AERtexthighlight"/>
        </w:rPr>
        <w:t xml:space="preserve"> </w:t>
      </w:r>
    </w:p>
    <w:p w:rsidR="006A3314" w:rsidRPr="008F4F73" w:rsidRDefault="006A3314" w:rsidP="006A3314">
      <w:r w:rsidRPr="008F4F73">
        <w:t xml:space="preserve">Directionally, as shown in </w:t>
      </w:r>
      <w:r w:rsidRPr="008F4F73">
        <w:fldChar w:fldCharType="begin"/>
      </w:r>
      <w:r w:rsidRPr="008F4F73">
        <w:instrText xml:space="preserve"> REF _Ref444708458 \h </w:instrText>
      </w:r>
      <w:r w:rsidRPr="008F4F73">
        <w:fldChar w:fldCharType="separate"/>
      </w:r>
      <w:r w:rsidR="00C6448C" w:rsidRPr="008F4F73">
        <w:t xml:space="preserve">Figure </w:t>
      </w:r>
      <w:r w:rsidR="00C6448C">
        <w:rPr>
          <w:noProof/>
        </w:rPr>
        <w:t>3</w:t>
      </w:r>
      <w:r w:rsidR="00C6448C">
        <w:noBreakHyphen/>
      </w:r>
      <w:r w:rsidR="00C6448C">
        <w:rPr>
          <w:noProof/>
        </w:rPr>
        <w:t>13</w:t>
      </w:r>
      <w:r w:rsidRPr="008F4F73">
        <w:fldChar w:fldCharType="end"/>
      </w:r>
      <w:r w:rsidRPr="008F4F73">
        <w:t xml:space="preserve">, </w:t>
      </w:r>
      <w:r>
        <w:t xml:space="preserve">the ERP has remained within similar parameters </w:t>
      </w:r>
      <w:r w:rsidR="00781E59">
        <w:t>since 2015</w:t>
      </w:r>
      <w:r>
        <w:t xml:space="preserve">. </w:t>
      </w:r>
      <w:r w:rsidRPr="008F4F73">
        <w:t>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6A3314" w:rsidRPr="008F4F73" w:rsidRDefault="006A3314" w:rsidP="00CC7A1C">
      <w:pPr>
        <w:pStyle w:val="Caption"/>
        <w:numPr>
          <w:ilvl w:val="0"/>
          <w:numId w:val="24"/>
        </w:numPr>
      </w:pPr>
      <w:bookmarkStart w:id="258" w:name="_Ref444708458"/>
      <w:r w:rsidRPr="008F4F73">
        <w:t xml:space="preserve">Figure </w:t>
      </w:r>
      <w:fldSimple w:instr=" STYLEREF 1 \s ">
        <w:r w:rsidR="00C6448C">
          <w:rPr>
            <w:noProof/>
          </w:rPr>
          <w:t>3</w:t>
        </w:r>
      </w:fldSimple>
      <w:r w:rsidR="00882F3D">
        <w:noBreakHyphen/>
      </w:r>
      <w:fldSimple w:instr=" SEQ Figure \* ARABIC \s 1 ">
        <w:r w:rsidR="00C6448C">
          <w:rPr>
            <w:noProof/>
          </w:rPr>
          <w:t>13</w:t>
        </w:r>
      </w:fldSimple>
      <w:bookmarkEnd w:id="258"/>
      <w:r w:rsidRPr="008F4F73">
        <w:tab/>
        <w:t>Equity risk premium estimates from broker reports</w:t>
      </w:r>
    </w:p>
    <w:p w:rsidR="006A3314" w:rsidRPr="008F4F73" w:rsidRDefault="00B05B6C" w:rsidP="006A3314">
      <w:pPr>
        <w:rPr>
          <w:rStyle w:val="AERtextblue"/>
        </w:rPr>
      </w:pPr>
      <w:r w:rsidRPr="00B05B6C">
        <w:t xml:space="preserve"> </w:t>
      </w:r>
      <w:r w:rsidRPr="00B05B6C">
        <w:rPr>
          <w:noProof/>
          <w:lang w:eastAsia="en-AU"/>
        </w:rPr>
        <w:drawing>
          <wp:inline distT="0" distB="0" distL="0" distR="0" wp14:anchorId="7B6AE27D" wp14:editId="4E7FCF05">
            <wp:extent cx="5382895" cy="3517285"/>
            <wp:effectExtent l="0" t="0" r="825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2895" cy="3517285"/>
                    </a:xfrm>
                    <a:prstGeom prst="rect">
                      <a:avLst/>
                    </a:prstGeom>
                  </pic:spPr>
                </pic:pic>
              </a:graphicData>
            </a:graphic>
          </wp:inline>
        </w:drawing>
      </w:r>
    </w:p>
    <w:p w:rsidR="006A3314" w:rsidRPr="008F4F73" w:rsidRDefault="006A3314" w:rsidP="006A3314">
      <w:pPr>
        <w:pStyle w:val="AERtablesource"/>
      </w:pPr>
      <w:r w:rsidRPr="008F4F73">
        <w:t>Source:</w:t>
      </w:r>
      <w:r w:rsidRPr="008F4F73">
        <w:tab/>
        <w:t>AER analysis of broker reports by Credit Suisse, JP Morgan, Morgan Stanley, and Macquarie Bank that include a valuation for AusNet Services, Spark Infrastructure, APA Group, and/or DUET Group.</w:t>
      </w:r>
    </w:p>
    <w:p w:rsidR="006A3314" w:rsidRPr="008F4F73" w:rsidRDefault="006A3314" w:rsidP="006A3314">
      <w:pPr>
        <w:pStyle w:val="AERtablesource"/>
      </w:pPr>
      <w:bookmarkStart w:id="259" w:name="_Ref445926689"/>
      <w:r w:rsidRPr="008F4F73">
        <w:t>Notes:</w:t>
      </w:r>
      <w:r w:rsidRPr="008F4F73">
        <w:tab/>
        <w:t>Average broker ERP is the mean of estimates from all brokers and for all busin</w:t>
      </w:r>
      <w:r>
        <w:t>esses available at the time.</w:t>
      </w:r>
      <w:r w:rsidRPr="008F4F73">
        <w:t xml:space="preserve"> </w:t>
      </w:r>
    </w:p>
    <w:p w:rsidR="006A3314" w:rsidRPr="008F4F73" w:rsidRDefault="006A3314" w:rsidP="006A3314">
      <w:pPr>
        <w:pStyle w:val="Heading8"/>
      </w:pPr>
      <w:bookmarkStart w:id="260" w:name="_Ref451416171"/>
      <w:bookmarkStart w:id="261" w:name="_Toc451943808"/>
      <w:bookmarkStart w:id="262" w:name="_Toc456686741"/>
      <w:bookmarkStart w:id="263" w:name="_Toc481057084"/>
      <w:r w:rsidRPr="008F4F73">
        <w:t>Prevailing estimates: valuation reports</w:t>
      </w:r>
      <w:bookmarkEnd w:id="259"/>
      <w:bookmarkEnd w:id="260"/>
      <w:bookmarkEnd w:id="261"/>
      <w:bookmarkEnd w:id="262"/>
      <w:bookmarkEnd w:id="263"/>
    </w:p>
    <w:p w:rsidR="006A3314" w:rsidRPr="008F4F73" w:rsidRDefault="006A3314" w:rsidP="00CC7A1C">
      <w:pPr>
        <w:numPr>
          <w:ilvl w:val="0"/>
          <w:numId w:val="24"/>
        </w:numPr>
      </w:pPr>
      <w:r w:rsidRPr="008F4F73">
        <w:rPr>
          <w:rStyle w:val="AERtextblue"/>
        </w:rPr>
        <w:fldChar w:fldCharType="begin"/>
      </w:r>
      <w:r w:rsidRPr="008F4F73">
        <w:rPr>
          <w:rStyle w:val="AERtextblue"/>
        </w:rPr>
        <w:instrText xml:space="preserve"> REF _Ref448176907 \h </w:instrText>
      </w:r>
      <w:r w:rsidRPr="008F4F73">
        <w:rPr>
          <w:rStyle w:val="AERtextblue"/>
        </w:rPr>
      </w:r>
      <w:r w:rsidRPr="008F4F73">
        <w:rPr>
          <w:rStyle w:val="AERtextblue"/>
        </w:rPr>
        <w:fldChar w:fldCharType="separate"/>
      </w:r>
      <w:r w:rsidR="00C6448C" w:rsidRPr="008F4F73">
        <w:t xml:space="preserve">Figure </w:t>
      </w:r>
      <w:r w:rsidR="00C6448C">
        <w:rPr>
          <w:noProof/>
        </w:rPr>
        <w:t>3</w:t>
      </w:r>
      <w:r w:rsidR="00C6448C">
        <w:noBreakHyphen/>
      </w:r>
      <w:r w:rsidR="00C6448C">
        <w:rPr>
          <w:noProof/>
        </w:rPr>
        <w:t>14</w:t>
      </w:r>
      <w:r w:rsidRPr="008F4F73">
        <w:rPr>
          <w:rStyle w:val="AERtextblue"/>
        </w:rPr>
        <w:fldChar w:fldCharType="end"/>
      </w:r>
      <w:r w:rsidRPr="008F4F73">
        <w:rPr>
          <w:rStyle w:val="AERtextblue"/>
        </w:rPr>
        <w:t xml:space="preserve"> </w:t>
      </w:r>
      <w:r w:rsidRPr="008F4F73">
        <w:t xml:space="preserve">outlines the range of return on equity and equity risk premium estimates from relevant independent valuation reports. </w:t>
      </w:r>
      <w:bookmarkStart w:id="264" w:name="_Ref417589947"/>
      <w:r w:rsidRPr="008F4F73">
        <w:t>We consider that the number of reports is too low and the concentration of reports among only a few valuers is too high to be able to place significant reliance on the evidence from valuation reports.</w:t>
      </w:r>
      <w:r w:rsidRPr="008F4F73">
        <w:rPr>
          <w:rStyle w:val="FootnoteReference"/>
        </w:rPr>
        <w:footnoteReference w:id="1061"/>
      </w:r>
    </w:p>
    <w:p w:rsidR="006A3314" w:rsidRPr="008F4F73" w:rsidRDefault="006A3314" w:rsidP="006A3314">
      <w:pPr>
        <w:pStyle w:val="Caption"/>
      </w:pPr>
      <w:bookmarkStart w:id="265" w:name="_Ref448176907"/>
      <w:r w:rsidRPr="008F4F73">
        <w:t xml:space="preserve">Figure </w:t>
      </w:r>
      <w:fldSimple w:instr=" STYLEREF 1 \s ">
        <w:r w:rsidR="00C6448C">
          <w:rPr>
            <w:noProof/>
          </w:rPr>
          <w:t>3</w:t>
        </w:r>
      </w:fldSimple>
      <w:r w:rsidR="00882F3D">
        <w:noBreakHyphen/>
      </w:r>
      <w:fldSimple w:instr=" SEQ Figure \* ARABIC \s 1 ">
        <w:r w:rsidR="00C6448C">
          <w:rPr>
            <w:noProof/>
          </w:rPr>
          <w:t>14</w:t>
        </w:r>
      </w:fldSimple>
      <w:bookmarkEnd w:id="264"/>
      <w:bookmarkEnd w:id="265"/>
      <w:r w:rsidRPr="008F4F73">
        <w:tab/>
        <w:t xml:space="preserve">Equity risk premium from relevant </w:t>
      </w:r>
      <w:r>
        <w:t>valuation</w:t>
      </w:r>
      <w:r w:rsidRPr="008F4F73">
        <w:t xml:space="preserve"> reports over time</w:t>
      </w:r>
    </w:p>
    <w:p w:rsidR="008601AE" w:rsidRPr="008601AE" w:rsidRDefault="0016298C" w:rsidP="00B91232">
      <w:r w:rsidRPr="007A451A">
        <w:rPr>
          <w:noProof/>
          <w:lang w:eastAsia="en-AU"/>
        </w:rPr>
        <w:drawing>
          <wp:inline distT="0" distB="0" distL="0" distR="0" wp14:anchorId="1835C52A" wp14:editId="61D9A7A2">
            <wp:extent cx="5382895" cy="318718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2895" cy="3187180"/>
                    </a:xfrm>
                    <a:prstGeom prst="rect">
                      <a:avLst/>
                    </a:prstGeom>
                  </pic:spPr>
                </pic:pic>
              </a:graphicData>
            </a:graphic>
          </wp:inline>
        </w:drawing>
      </w:r>
    </w:p>
    <w:p w:rsidR="006A3314" w:rsidRPr="008F4F73" w:rsidRDefault="006A3314" w:rsidP="006A3314">
      <w:pPr>
        <w:pStyle w:val="AERtablesource"/>
      </w:pPr>
      <w:r w:rsidRPr="008F4F73">
        <w:t>Source:</w:t>
      </w:r>
      <w:r w:rsidRPr="008F4F73">
        <w:tab/>
        <w:t xml:space="preserve">AER analysis of reports from the Thomson Reuters Connect4 database </w:t>
      </w:r>
    </w:p>
    <w:p w:rsidR="006A3314" w:rsidRPr="008F4F73" w:rsidRDefault="006A3314" w:rsidP="006A3314">
      <w:pPr>
        <w:pStyle w:val="AERtablesource"/>
      </w:pPr>
      <w:r w:rsidRPr="008F4F73">
        <w:t>Notes:</w:t>
      </w:r>
      <w:r w:rsidRPr="008F4F73">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6A3314" w:rsidRPr="008F4F73" w:rsidRDefault="006A3314" w:rsidP="00CC7A1C">
      <w:pPr>
        <w:pStyle w:val="ListParagraph"/>
        <w:numPr>
          <w:ilvl w:val="0"/>
          <w:numId w:val="24"/>
        </w:numPr>
      </w:pPr>
      <w:r w:rsidRPr="008F4F73">
        <w:t>There have been only 1</w:t>
      </w:r>
      <w:r w:rsidR="00DC12FC">
        <w:t>9</w:t>
      </w:r>
      <w:r w:rsidRPr="008F4F73">
        <w:t xml:space="preserve"> relevant independent valuation reports spanning a period going back to 1991.</w:t>
      </w:r>
      <w:r w:rsidRPr="008F4F73">
        <w:rPr>
          <w:rStyle w:val="AERsuperscript"/>
        </w:rPr>
        <w:footnoteReference w:id="1062"/>
      </w:r>
      <w:r w:rsidRPr="008F4F73">
        <w:t xml:space="preserve"> Only 1</w:t>
      </w:r>
      <w:r w:rsidR="00DC12FC">
        <w:t>3</w:t>
      </w:r>
      <w:r w:rsidRPr="008F4F73">
        <w:t xml:space="preserve"> reports included a discounted cash flow analysis with information on a return on equity estimate. These 1</w:t>
      </w:r>
      <w:r w:rsidR="00DC12FC">
        <w:t>3</w:t>
      </w:r>
      <w:r w:rsidRPr="008F4F73">
        <w:t xml:space="preserve"> reports were provided by only </w:t>
      </w:r>
      <w:r w:rsidR="00DC12FC">
        <w:t>four</w:t>
      </w:r>
      <w:r w:rsidR="00DC12FC" w:rsidRPr="008F4F73">
        <w:t xml:space="preserve"> </w:t>
      </w:r>
      <w:r w:rsidRPr="008F4F73">
        <w:t>independent valuation firms, with 9 of the 1</w:t>
      </w:r>
      <w:r w:rsidR="00DC12FC">
        <w:t>3</w:t>
      </w:r>
      <w:r w:rsidRPr="008F4F73">
        <w:t xml:space="preserve"> reports being provided by Grant Samuel &amp; Associates.</w:t>
      </w:r>
    </w:p>
    <w:p w:rsidR="006A3314" w:rsidRPr="008F4F73" w:rsidRDefault="006A3314" w:rsidP="00A164C0">
      <w:r w:rsidRPr="008F4F73">
        <w:t xml:space="preserve">We note that the ranges for return on equity and equity risk premium estimates contained in </w:t>
      </w:r>
      <w:r>
        <w:fldChar w:fldCharType="begin"/>
      </w:r>
      <w:r>
        <w:instrText xml:space="preserve"> REF _Ref448176907 \h </w:instrText>
      </w:r>
      <w:r>
        <w:fldChar w:fldCharType="separate"/>
      </w:r>
      <w:r w:rsidR="00C6448C" w:rsidRPr="008F4F73">
        <w:t xml:space="preserve">Figure </w:t>
      </w:r>
      <w:r w:rsidR="00C6448C">
        <w:rPr>
          <w:noProof/>
        </w:rPr>
        <w:t>3</w:t>
      </w:r>
      <w:r w:rsidR="00C6448C">
        <w:noBreakHyphen/>
      </w:r>
      <w:r w:rsidR="00C6448C">
        <w:rPr>
          <w:noProof/>
        </w:rPr>
        <w:t>14</w:t>
      </w:r>
      <w:r>
        <w:fldChar w:fldCharType="end"/>
      </w:r>
      <w:r w:rsidRPr="008F4F73">
        <w:t xml:space="preserve"> include the final values used in the independent valuation reports and reflect any uplifts applied. However, as noted in </w:t>
      </w:r>
      <w:r w:rsidR="00E92CFA">
        <w:t>3–8</w:t>
      </w:r>
      <w:r w:rsidRPr="008F4F73">
        <w:t>, we have concerns about the applicability of these uplifts to the allowed rate of return objective.</w:t>
      </w:r>
      <w:r w:rsidRPr="008F4F73">
        <w:rPr>
          <w:rStyle w:val="FootnoteReference"/>
        </w:rPr>
        <w:footnoteReference w:id="1063"/>
      </w:r>
      <w:r w:rsidRPr="008F4F73">
        <w:t xml:space="preserve"> We also have concerns that the adjustment for dividend imputation may not be appropriate (see</w:t>
      </w:r>
      <w:r w:rsidR="0002321D">
        <w:t xml:space="preserve"> </w:t>
      </w:r>
      <w:r w:rsidR="00E92CFA">
        <w:t>3–8</w:t>
      </w:r>
      <w:r w:rsidRPr="008F4F73">
        <w:t>). The risk premium appropriately reflecting dividend imputation is likely somewhere between the adjusted and unadjusted premiums, but we are unable to distil a precise estimate due to a lack of transparency in valuation reports.</w:t>
      </w:r>
    </w:p>
    <w:p w:rsidR="00933B54" w:rsidRDefault="00933B54" w:rsidP="00933B54">
      <w:r>
        <w:t xml:space="preserve">The most recent report for a regulated energy business is KPMG’s report for DUET released on 7 March 2017. This report indicates </w:t>
      </w:r>
      <w:r w:rsidRPr="008F4F73">
        <w:t xml:space="preserve">an equity risk premium of </w:t>
      </w:r>
      <w:r>
        <w:t>4.44</w:t>
      </w:r>
      <w:r w:rsidRPr="008F4F73">
        <w:t xml:space="preserve"> to 4.</w:t>
      </w:r>
      <w:r>
        <w:t>6</w:t>
      </w:r>
      <w:r w:rsidRPr="008F4F73">
        <w:t>2 per cent (without adjust</w:t>
      </w:r>
      <w:r>
        <w:t>ment for dividend imputation</w:t>
      </w:r>
      <w:r w:rsidRPr="008F4F73">
        <w:t xml:space="preserve">). </w:t>
      </w:r>
    </w:p>
    <w:p w:rsidR="006A3314" w:rsidRPr="008F4F73" w:rsidRDefault="00933B54" w:rsidP="00933B54">
      <w:pPr>
        <w:numPr>
          <w:ilvl w:val="0"/>
          <w:numId w:val="24"/>
        </w:numPr>
      </w:pPr>
      <w:r>
        <w:t xml:space="preserve">We find this to be consistent with our foundation model estimate of 4.55 per cent. </w:t>
      </w:r>
      <w:r w:rsidR="00DC12FC">
        <w:t>Prior to the DUET report, the most recent</w:t>
      </w:r>
      <w:r w:rsidR="00DC12FC" w:rsidRPr="008F4F73">
        <w:t xml:space="preserve"> </w:t>
      </w:r>
      <w:r w:rsidR="006A3314" w:rsidRPr="008F4F73">
        <w:t>report for a regulated energy network business is Grant Samuel’s report for Envestra on 4 March 2014. We find that this evidence does not support a move away from our foundation model estimate of 4.55 per cent. We note that:</w:t>
      </w:r>
    </w:p>
    <w:p w:rsidR="006A3314" w:rsidRPr="006C49DC" w:rsidRDefault="006A3314" w:rsidP="006A3314">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6A3314" w:rsidRPr="006C49DC" w:rsidRDefault="006A3314" w:rsidP="006A3314">
      <w:pPr>
        <w:pStyle w:val="AERbulletlistfirststyle"/>
      </w:pPr>
      <w:r w:rsidRPr="008F4F73">
        <w:t>Grant Samuel outlined four separate uplift scenarios that supported its discretionary uplift to its rate of return above the initial Sharpe-Lintner CAPM-based estimate.</w:t>
      </w:r>
      <w:r w:rsidRPr="006C49DC">
        <w:rPr>
          <w:rStyle w:val="FootnoteReference"/>
        </w:rPr>
        <w:footnoteReference w:id="1064"/>
      </w:r>
      <w:r w:rsidRPr="006C49DC">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6C49DC">
        <w:rPr>
          <w:rStyle w:val="FootnoteReference"/>
        </w:rPr>
        <w:footnoteReference w:id="1065"/>
      </w:r>
    </w:p>
    <w:p w:rsidR="006A3314" w:rsidRPr="008F4F73" w:rsidRDefault="006A3314" w:rsidP="00CC7A1C">
      <w:pPr>
        <w:pStyle w:val="ListParagraph"/>
        <w:numPr>
          <w:ilvl w:val="0"/>
          <w:numId w:val="24"/>
        </w:numPr>
        <w:rPr>
          <w:rStyle w:val="AERtextblue"/>
        </w:rPr>
      </w:pPr>
      <w:r w:rsidRPr="008F4F73">
        <w:t xml:space="preserve">In </w:t>
      </w:r>
      <w:r>
        <w:t>response to our previous decisions</w:t>
      </w:r>
      <w:r w:rsidRPr="008F4F73">
        <w:t xml:space="preserve">, </w:t>
      </w:r>
      <w:r>
        <w:t>some service providers</w:t>
      </w:r>
      <w:r w:rsidRPr="008F4F73">
        <w:t xml:space="preserve"> submitted that it is not clear how we arrived at our imputation-adjusted equity risk premium range.</w:t>
      </w:r>
      <w:r w:rsidRPr="008F4F73">
        <w:rPr>
          <w:rStyle w:val="FootnoteReference"/>
        </w:rPr>
        <w:footnoteReference w:id="1066"/>
      </w:r>
      <w:r w:rsidRPr="008F4F73">
        <w:t xml:space="preserve"> This range was calculated using the premiums implied by the low (high) equity beta estimate given by the independent valuer for the bottom (top) of the range for each independent valuation report. </w:t>
      </w:r>
    </w:p>
    <w:p w:rsidR="006A3314" w:rsidRPr="008F4F73" w:rsidRDefault="006A3314" w:rsidP="006A3314">
      <w:pPr>
        <w:pStyle w:val="Heading8"/>
      </w:pPr>
      <w:bookmarkStart w:id="266" w:name="_Ref451416189"/>
      <w:bookmarkStart w:id="267" w:name="_Toc451943809"/>
      <w:bookmarkStart w:id="268" w:name="_Toc456686742"/>
      <w:bookmarkStart w:id="269" w:name="_Toc481057085"/>
      <w:bookmarkStart w:id="270" w:name="_Toc443923234"/>
      <w:r w:rsidRPr="008F4F73">
        <w:t>Prevailing estimates: other regulators</w:t>
      </w:r>
      <w:bookmarkEnd w:id="266"/>
      <w:bookmarkEnd w:id="267"/>
      <w:bookmarkEnd w:id="268"/>
      <w:bookmarkEnd w:id="269"/>
    </w:p>
    <w:p w:rsidR="006A3314" w:rsidRPr="008F4F73" w:rsidRDefault="006A3314" w:rsidP="00CC7A1C">
      <w:pPr>
        <w:numPr>
          <w:ilvl w:val="0"/>
          <w:numId w:val="24"/>
        </w:numPr>
      </w:pPr>
      <w:r w:rsidRPr="008F4F73">
        <w:t>The estimates of return on equity from other regulators' decisions (dated between March 2016</w:t>
      </w:r>
      <w:r>
        <w:t xml:space="preserve"> and </w:t>
      </w:r>
      <w:r w:rsidR="00177E7C">
        <w:t>March 2017</w:t>
      </w:r>
      <w:r w:rsidRPr="008F4F73">
        <w:t>) range from 6.</w:t>
      </w:r>
      <w:r w:rsidR="00213CB7">
        <w:t>66</w:t>
      </w:r>
      <w:r>
        <w:t xml:space="preserve"> to </w:t>
      </w:r>
      <w:r w:rsidR="00AA1E14">
        <w:t>10.5</w:t>
      </w:r>
      <w:r w:rsidRPr="008F4F73">
        <w:t xml:space="preserve"> per cent. The premium above the risk free rate from these return on equity estimates decisions ranges from </w:t>
      </w:r>
      <w:r w:rsidR="002624A3">
        <w:t>3.9</w:t>
      </w:r>
      <w:r w:rsidRPr="008F4F73">
        <w:t xml:space="preserve"> to </w:t>
      </w:r>
      <w:r w:rsidR="002624A3">
        <w:t>7.</w:t>
      </w:r>
      <w:r w:rsidR="00AA1E14">
        <w:t>3</w:t>
      </w:r>
      <w:r w:rsidR="002624A3">
        <w:t xml:space="preserve"> </w:t>
      </w:r>
      <w:r w:rsidRPr="008F4F73">
        <w:t>per cent.</w:t>
      </w:r>
      <w:r w:rsidRPr="008F4F73">
        <w:rPr>
          <w:rStyle w:val="FootnoteReference"/>
        </w:rPr>
        <w:footnoteReference w:id="1067"/>
      </w:r>
      <w:r w:rsidRPr="008F4F73">
        <w:t xml:space="preserve"> </w:t>
      </w:r>
    </w:p>
    <w:p w:rsidR="006A3314" w:rsidRPr="008F4F73" w:rsidRDefault="006A3314" w:rsidP="00CC7A1C">
      <w:pPr>
        <w:numPr>
          <w:ilvl w:val="0"/>
          <w:numId w:val="24"/>
        </w:numPr>
      </w:pPr>
      <w:r w:rsidRPr="008F4F73">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8F4F73">
        <w:rPr>
          <w:rStyle w:val="FootnoteReference"/>
        </w:rPr>
        <w:footnoteReference w:id="1068"/>
      </w:r>
      <w:r w:rsidRPr="008F4F73">
        <w:t xml:space="preserve"> as shown in </w:t>
      </w:r>
      <w:r w:rsidRPr="008F4F73">
        <w:fldChar w:fldCharType="begin"/>
      </w:r>
      <w:r w:rsidRPr="008F4F73">
        <w:instrText xml:space="preserve"> REF _Ref444707385 \h </w:instrText>
      </w:r>
      <w:r w:rsidRPr="008F4F73">
        <w:fldChar w:fldCharType="separate"/>
      </w:r>
      <w:r w:rsidR="00C6448C" w:rsidRPr="008F4F73">
        <w:t xml:space="preserve">Figure </w:t>
      </w:r>
      <w:r w:rsidR="00C6448C">
        <w:rPr>
          <w:noProof/>
        </w:rPr>
        <w:t>3</w:t>
      </w:r>
      <w:r w:rsidR="00C6448C">
        <w:noBreakHyphen/>
      </w:r>
      <w:r w:rsidR="00C6448C">
        <w:rPr>
          <w:noProof/>
        </w:rPr>
        <w:t>15</w:t>
      </w:r>
      <w:r w:rsidRPr="008F4F73">
        <w:fldChar w:fldCharType="end"/>
      </w:r>
      <w:r w:rsidRPr="008F4F73">
        <w:t>.</w:t>
      </w:r>
      <w:r w:rsidRPr="008F4F73">
        <w:rPr>
          <w:rStyle w:val="FootnoteReference"/>
        </w:rPr>
        <w:footnoteReference w:id="1069"/>
      </w:r>
      <w:r w:rsidRPr="008F4F73">
        <w:t xml:space="preserve"> </w:t>
      </w:r>
    </w:p>
    <w:p w:rsidR="006A3314" w:rsidRPr="008F4F73" w:rsidRDefault="006A3314" w:rsidP="00CC7A1C">
      <w:pPr>
        <w:pStyle w:val="Caption"/>
        <w:numPr>
          <w:ilvl w:val="0"/>
          <w:numId w:val="24"/>
        </w:numPr>
      </w:pPr>
      <w:bookmarkStart w:id="271" w:name="_Ref444707385"/>
      <w:r w:rsidRPr="008F4F73">
        <w:t xml:space="preserve">Figure </w:t>
      </w:r>
      <w:fldSimple w:instr=" STYLEREF 1 \s ">
        <w:r w:rsidR="00C6448C">
          <w:rPr>
            <w:noProof/>
          </w:rPr>
          <w:t>3</w:t>
        </w:r>
      </w:fldSimple>
      <w:r w:rsidR="00882F3D">
        <w:noBreakHyphen/>
      </w:r>
      <w:fldSimple w:instr=" SEQ Figure \* ARABIC \s 1 ">
        <w:r w:rsidR="00C6448C">
          <w:rPr>
            <w:noProof/>
          </w:rPr>
          <w:t>15</w:t>
        </w:r>
      </w:fldSimple>
      <w:bookmarkEnd w:id="271"/>
      <w:r w:rsidRPr="008F4F73">
        <w:tab/>
        <w:t>Equity risk premium estimates from other regulators' decisions</w:t>
      </w:r>
    </w:p>
    <w:p w:rsidR="006A3314" w:rsidRPr="008F4F73" w:rsidRDefault="006A3314" w:rsidP="006A3314">
      <w:r w:rsidRPr="0068661A">
        <w:t xml:space="preserve"> </w:t>
      </w:r>
      <w:r w:rsidR="00B05B6C" w:rsidRPr="00B05B6C">
        <w:t xml:space="preserve"> </w:t>
      </w:r>
      <w:r w:rsidR="00B05B6C" w:rsidRPr="00B05B6C">
        <w:rPr>
          <w:noProof/>
          <w:lang w:eastAsia="en-AU"/>
        </w:rPr>
        <w:drawing>
          <wp:inline distT="0" distB="0" distL="0" distR="0" wp14:anchorId="7600E7B6" wp14:editId="1BC6269B">
            <wp:extent cx="5382895" cy="4295389"/>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4295389"/>
                    </a:xfrm>
                    <a:prstGeom prst="rect">
                      <a:avLst/>
                    </a:prstGeom>
                  </pic:spPr>
                </pic:pic>
              </a:graphicData>
            </a:graphic>
          </wp:inline>
        </w:drawing>
      </w:r>
    </w:p>
    <w:p w:rsidR="006A3314" w:rsidRPr="008F4F73" w:rsidRDefault="006A3314" w:rsidP="006A3314">
      <w:r w:rsidRPr="006A3314">
        <w:rPr>
          <w:noProof/>
          <w:lang w:eastAsia="en-AU"/>
        </w:rPr>
        <w:drawing>
          <wp:inline distT="0" distB="0" distL="0" distR="0" wp14:anchorId="1BC3DAF5" wp14:editId="43B3A9E4">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82895" cy="172700"/>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6A3314" w:rsidRPr="008F4F73" w:rsidRDefault="006A3314" w:rsidP="006A3314">
      <w:r w:rsidRPr="008F4F73">
        <w:t xml:space="preserve">The estimates of the market risk premium from other regulators' decisions (dated between </w:t>
      </w:r>
      <w:r>
        <w:t>March 2016</w:t>
      </w:r>
      <w:r w:rsidRPr="008F4F73">
        <w:t xml:space="preserve"> and </w:t>
      </w:r>
      <w:r w:rsidR="00321540">
        <w:t>March 2017</w:t>
      </w:r>
      <w:r>
        <w:t>) range from 6 to 7.75</w:t>
      </w:r>
      <w:r w:rsidRPr="008F4F73">
        <w:t xml:space="preserve"> per cent.</w:t>
      </w:r>
      <w:r w:rsidRPr="008F4F73">
        <w:rPr>
          <w:rStyle w:val="FootnoteReference"/>
        </w:rPr>
        <w:footnoteReference w:id="1070"/>
      </w:r>
      <w:r w:rsidRPr="008F4F73">
        <w:t xml:space="preserve"> </w:t>
      </w:r>
      <w:r w:rsidRPr="008F4F73">
        <w:fldChar w:fldCharType="begin"/>
      </w:r>
      <w:r w:rsidRPr="008F4F73">
        <w:instrText xml:space="preserve"> REF _Ref449019545 \h </w:instrText>
      </w:r>
      <w:r w:rsidRPr="008F4F73">
        <w:fldChar w:fldCharType="separate"/>
      </w:r>
      <w:r w:rsidR="00C6448C" w:rsidRPr="008F4F73">
        <w:t xml:space="preserve">Figure </w:t>
      </w:r>
      <w:r w:rsidR="00C6448C">
        <w:rPr>
          <w:noProof/>
        </w:rPr>
        <w:t>3</w:t>
      </w:r>
      <w:r w:rsidR="00C6448C">
        <w:noBreakHyphen/>
      </w:r>
      <w:r w:rsidR="00C6448C">
        <w:rPr>
          <w:noProof/>
        </w:rPr>
        <w:t>16</w:t>
      </w:r>
      <w:r w:rsidRPr="008F4F73">
        <w:fldChar w:fldCharType="end"/>
      </w:r>
      <w:r w:rsidRPr="008F4F73">
        <w:t xml:space="preserve"> shows that our estimate (6.5 per cent) of the market risk premium is consistent with the range of estimates from other regulators over time.</w:t>
      </w:r>
    </w:p>
    <w:p w:rsidR="006A3314" w:rsidRPr="008F4F73" w:rsidRDefault="006A3314" w:rsidP="00CC7A1C">
      <w:pPr>
        <w:pStyle w:val="Caption"/>
        <w:numPr>
          <w:ilvl w:val="0"/>
          <w:numId w:val="24"/>
        </w:numPr>
      </w:pPr>
      <w:bookmarkStart w:id="272" w:name="_Ref449019545"/>
      <w:r w:rsidRPr="008F4F73">
        <w:t xml:space="preserve">Figure </w:t>
      </w:r>
      <w:fldSimple w:instr=" STYLEREF 1 \s ">
        <w:r w:rsidR="00C6448C">
          <w:rPr>
            <w:noProof/>
          </w:rPr>
          <w:t>3</w:t>
        </w:r>
      </w:fldSimple>
      <w:r w:rsidR="00882F3D">
        <w:noBreakHyphen/>
      </w:r>
      <w:fldSimple w:instr=" SEQ Figure \* ARABIC \s 1 ">
        <w:r w:rsidR="00C6448C">
          <w:rPr>
            <w:noProof/>
          </w:rPr>
          <w:t>16</w:t>
        </w:r>
      </w:fldSimple>
      <w:bookmarkEnd w:id="272"/>
      <w:r w:rsidRPr="008F4F73">
        <w:tab/>
        <w:t>Market risk premium estimates from other regulators' decisions</w:t>
      </w:r>
    </w:p>
    <w:p w:rsidR="006A3314" w:rsidRDefault="00B05B6C" w:rsidP="006A3314">
      <w:r w:rsidRPr="00B05B6C">
        <w:t xml:space="preserve"> </w:t>
      </w:r>
      <w:r w:rsidRPr="00B05B6C">
        <w:rPr>
          <w:noProof/>
          <w:lang w:eastAsia="en-AU"/>
        </w:rPr>
        <w:drawing>
          <wp:inline distT="0" distB="0" distL="0" distR="0" wp14:anchorId="5E897534" wp14:editId="5A6242E0">
            <wp:extent cx="5382895" cy="3282071"/>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82895" cy="3282071"/>
                    </a:xfrm>
                    <a:prstGeom prst="rect">
                      <a:avLst/>
                    </a:prstGeom>
                  </pic:spPr>
                </pic:pic>
              </a:graphicData>
            </a:graphic>
          </wp:inline>
        </w:drawing>
      </w:r>
      <w:r w:rsidR="006A3314" w:rsidRPr="008F4F73">
        <w:tab/>
      </w:r>
      <w:r w:rsidR="006A3314" w:rsidRPr="006A3314">
        <w:rPr>
          <w:noProof/>
          <w:lang w:eastAsia="en-AU"/>
        </w:rPr>
        <w:drawing>
          <wp:inline distT="0" distB="0" distL="0" distR="0" wp14:anchorId="06AC764D" wp14:editId="2143232B">
            <wp:extent cx="5382895" cy="1720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82895" cy="172085"/>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6A3314" w:rsidRPr="006A3314" w:rsidRDefault="006A3314" w:rsidP="006A3314"/>
    <w:p w:rsidR="006A3314" w:rsidRDefault="006A3314" w:rsidP="006E5878">
      <w:pPr>
        <w:pStyle w:val="Heading8"/>
      </w:pPr>
      <w:bookmarkStart w:id="273" w:name="_Toc443923237"/>
      <w:bookmarkStart w:id="274" w:name="_Ref445933050"/>
      <w:bookmarkStart w:id="275" w:name="_Ref446278671"/>
      <w:bookmarkStart w:id="276" w:name="_Ref446280177"/>
      <w:bookmarkStart w:id="277" w:name="_Ref449020986"/>
      <w:bookmarkStart w:id="278" w:name="_Toc451333507"/>
      <w:bookmarkStart w:id="279" w:name="_Toc451943810"/>
      <w:bookmarkStart w:id="280" w:name="_Toc456686743"/>
      <w:bookmarkStart w:id="281" w:name="_Ref480805208"/>
      <w:bookmarkStart w:id="282" w:name="_Ref480805939"/>
      <w:bookmarkStart w:id="283" w:name="_Toc481057086"/>
      <w:bookmarkEnd w:id="270"/>
      <w:r w:rsidRPr="008F4F73">
        <w:t xml:space="preserve">Relationship between risk free rate and market risk premium in </w:t>
      </w:r>
      <w:r w:rsidRPr="006C49DC">
        <w:t>valuation reports</w:t>
      </w:r>
      <w:bookmarkEnd w:id="273"/>
      <w:bookmarkEnd w:id="274"/>
      <w:bookmarkEnd w:id="275"/>
      <w:bookmarkEnd w:id="276"/>
      <w:bookmarkEnd w:id="277"/>
      <w:bookmarkEnd w:id="278"/>
      <w:bookmarkEnd w:id="279"/>
      <w:bookmarkEnd w:id="280"/>
      <w:bookmarkEnd w:id="281"/>
      <w:bookmarkEnd w:id="282"/>
      <w:bookmarkEnd w:id="283"/>
    </w:p>
    <w:p w:rsidR="006A3314" w:rsidRPr="00C63A90" w:rsidRDefault="006A3314" w:rsidP="006A3314">
      <w:r w:rsidRPr="00C63A90">
        <w:rPr>
          <w:rStyle w:val="AERbody"/>
        </w:rPr>
        <w:t>S</w:t>
      </w:r>
      <w:r w:rsidR="003C78BA">
        <w:rPr>
          <w:rStyle w:val="AERbody"/>
        </w:rPr>
        <w:t>ome s</w:t>
      </w:r>
      <w:r w:rsidRPr="00C63A90">
        <w:rPr>
          <w:rStyle w:val="AERbody"/>
        </w:rPr>
        <w:t>ervice providers</w:t>
      </w:r>
      <w:r w:rsidRPr="00C63A90">
        <w:t xml:space="preserve"> </w:t>
      </w:r>
      <w:r>
        <w:t xml:space="preserve">have previously </w:t>
      </w:r>
      <w:r w:rsidRPr="00C63A90">
        <w:t>submitted that independent valuation reports provide evidence of an inverse relationship between the risk free rate and the market risk premium.</w:t>
      </w:r>
      <w:r w:rsidRPr="00C63A90">
        <w:rPr>
          <w:rStyle w:val="FootnoteReference"/>
        </w:rPr>
        <w:footnoteReference w:id="1071"/>
      </w:r>
      <w:r w:rsidRPr="00C63A90">
        <w:t xml:space="preserve"> In addition to reports by Incenta and NERA considered in our October and November 2015 decisions, the HoustonKemp report considered in the April and May 2016 decisions submits that there is a statistically significant inverse relationship between the government bond yield and the market risk premium that is applied by independent expert valuation professionals.</w:t>
      </w:r>
      <w:r w:rsidRPr="00C63A90">
        <w:rPr>
          <w:rStyle w:val="FootnoteReference"/>
        </w:rPr>
        <w:footnoteReference w:id="1072"/>
      </w:r>
    </w:p>
    <w:p w:rsidR="006A3314" w:rsidRPr="00C63A90" w:rsidRDefault="006A3314" w:rsidP="00CC7A1C">
      <w:pPr>
        <w:numPr>
          <w:ilvl w:val="0"/>
          <w:numId w:val="24"/>
        </w:numPr>
      </w:pPr>
      <w:r w:rsidRPr="00C63A90">
        <w:t>As stated in previous decisions we consider that there is not sufficient evidence to establish the existence of such a relationship in valuers' estimates, because:</w:t>
      </w:r>
    </w:p>
    <w:p w:rsidR="006A3314" w:rsidRPr="00C63A90" w:rsidRDefault="006A3314" w:rsidP="006A3314">
      <w:pPr>
        <w:pStyle w:val="AERbulletlistfirststyle"/>
      </w:pPr>
      <w:r w:rsidRPr="00C63A90">
        <w:t>Incenta's sample is too small to support a reliable inference.</w:t>
      </w:r>
    </w:p>
    <w:p w:rsidR="006A3314" w:rsidRPr="00C63A90" w:rsidRDefault="006A3314" w:rsidP="006A3314">
      <w:pPr>
        <w:pStyle w:val="AERbulletlistfirststyle"/>
      </w:pPr>
      <w:r w:rsidRPr="00C63A90">
        <w:t>NERA's regression results are driven by its unsupported assumption that any difference between a valuer's stated risk free rate and the prevailing yield on Commonwealth government securities is to be taken as part of their adopted market risk premium.</w:t>
      </w:r>
    </w:p>
    <w:p w:rsidR="006A3314" w:rsidRPr="00C63A90" w:rsidRDefault="006A3314" w:rsidP="006A3314">
      <w:r w:rsidRPr="00C63A90">
        <w:t xml:space="preserve">As HoustonKemp's analysis uses the same methods to that of NERA, our assessment of NERA's analysis in our October and November 2015 decisions are equally applicable to it. </w:t>
      </w:r>
      <w:r w:rsidRPr="00C63A90">
        <w:rPr>
          <w:rStyle w:val="AERbody"/>
        </w:rPr>
        <w:t>These reasons were supported by Partington and Satchell.</w:t>
      </w:r>
      <w:r w:rsidRPr="00C63A90">
        <w:rPr>
          <w:rStyle w:val="FootnoteReference"/>
        </w:rPr>
        <w:footnoteReference w:id="1073"/>
      </w:r>
      <w:r w:rsidRPr="00C63A90">
        <w:rPr>
          <w:rStyle w:val="AERbody"/>
        </w:rPr>
        <w:t xml:space="preserve"> We do not consider that there is sufficient evidence before us to depart from our original assessment. </w:t>
      </w:r>
    </w:p>
    <w:p w:rsidR="006A3314" w:rsidRPr="006A3314" w:rsidRDefault="006A3314" w:rsidP="006A3314"/>
    <w:p w:rsidR="00B047E3" w:rsidRDefault="00B047E3" w:rsidP="004D6A10">
      <w:pPr>
        <w:rPr>
          <w:rStyle w:val="AERbody"/>
        </w:rPr>
      </w:pPr>
    </w:p>
    <w:p w:rsidR="0070354B" w:rsidRDefault="0070354B" w:rsidP="0070354B">
      <w:pPr>
        <w:pStyle w:val="Heading7"/>
      </w:pPr>
      <w:bookmarkStart w:id="284" w:name="_Ref478460051"/>
      <w:bookmarkStart w:id="285" w:name="_Toc481057087"/>
      <w:r>
        <w:t>Empirical estimates of equity beta</w:t>
      </w:r>
      <w:bookmarkEnd w:id="284"/>
      <w:bookmarkEnd w:id="285"/>
    </w:p>
    <w:p w:rsidR="00352220" w:rsidRDefault="00352220" w:rsidP="00CC7A1C">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74"/>
      </w:r>
      <w:r>
        <w:t xml:space="preserve"> </w:t>
      </w:r>
    </w:p>
    <w:p w:rsidR="00352220" w:rsidRDefault="00352220" w:rsidP="00CC7A1C">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352220" w:rsidRDefault="00352220" w:rsidP="00CC7A1C">
      <w:pPr>
        <w:numPr>
          <w:ilvl w:val="0"/>
          <w:numId w:val="24"/>
        </w:numPr>
      </w:pPr>
      <w:r>
        <w:t xml:space="preserve">As discussed in section 3.4.1, empirical estimates using a comparator set of listed Australian energy network firms from Henry's 2014 report are the main determinants of our equity beta estimate for a benchmark efficient entity with a similar degree of risk as </w:t>
      </w:r>
      <w:r w:rsidR="001537E5">
        <w:t>TasNetworks</w:t>
      </w:r>
      <w:r>
        <w:t xml:space="preserve">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r w:rsidRPr="002A2A95">
        <w:t xml:space="preserve"> </w:t>
      </w:r>
    </w:p>
    <w:p w:rsidR="001537E5" w:rsidRDefault="001537E5" w:rsidP="001537E5">
      <w:pPr>
        <w:numPr>
          <w:ilvl w:val="0"/>
          <w:numId w:val="24"/>
        </w:numPr>
      </w:pPr>
      <w:r>
        <w:t>We note (and accept) TasNetworks proposal to adopt our Guideline equity beta of 0.7.</w:t>
      </w:r>
      <w:r>
        <w:rPr>
          <w:rStyle w:val="FootnoteReference"/>
        </w:rPr>
        <w:footnoteReference w:id="1075"/>
      </w:r>
    </w:p>
    <w:p w:rsidR="00352220" w:rsidRDefault="00352220" w:rsidP="00CC7A1C">
      <w:pPr>
        <w:numPr>
          <w:ilvl w:val="0"/>
          <w:numId w:val="24"/>
        </w:numPr>
      </w:pPr>
      <w:r>
        <w:t>We note (and accept) AusNet Services adopted our Guideline equity beta of 0.7.</w:t>
      </w:r>
      <w:r>
        <w:rPr>
          <w:rStyle w:val="FootnoteReference"/>
        </w:rPr>
        <w:footnoteReference w:id="1076"/>
      </w:r>
      <w:r>
        <w:t xml:space="preserve"> However it submitted a CEG report (dated September 2016) that suggested a higher value based on updating and extending Henry's empirical Australian estimates.</w:t>
      </w:r>
      <w:r>
        <w:rPr>
          <w:rStyle w:val="FootnoteReference"/>
        </w:rPr>
        <w:footnoteReference w:id="1077"/>
      </w:r>
      <w:r>
        <w:t xml:space="preserve"> We responded to this material in section 3.4.1 and discuss them in more detail in this appendix. 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AusNet Services in providing regulated services. We consider this information provides some support for an equity beta point estimate towards the upper end of the range.</w:t>
      </w:r>
    </w:p>
    <w:p w:rsidR="00352220" w:rsidRDefault="00352220" w:rsidP="00CC7A1C">
      <w:pPr>
        <w:numPr>
          <w:ilvl w:val="0"/>
          <w:numId w:val="24"/>
        </w:numPr>
      </w:pPr>
      <w:r>
        <w:t>This appendix sets out:</w:t>
      </w:r>
    </w:p>
    <w:p w:rsidR="00352220" w:rsidRDefault="00352220" w:rsidP="00352220">
      <w:pPr>
        <w:pStyle w:val="AERbulletlistfirststyle"/>
        <w:rPr>
          <w:rStyle w:val="AERbody"/>
        </w:rPr>
      </w:pPr>
      <w:r>
        <w:rPr>
          <w:rStyle w:val="AERbody"/>
        </w:rPr>
        <w:t>the Australian and international empirical estimates we consider in this decision</w:t>
      </w:r>
    </w:p>
    <w:p w:rsidR="00352220" w:rsidRDefault="00352220" w:rsidP="00352220">
      <w:pPr>
        <w:pStyle w:val="AERbulletlistfirststyle"/>
        <w:rPr>
          <w:rStyle w:val="AERbody"/>
        </w:rPr>
      </w:pPr>
      <w:r>
        <w:rPr>
          <w:rStyle w:val="AERbody"/>
        </w:rPr>
        <w:t>the comparator set we use for our empirical analysis and our reasons for using this comparator set.</w:t>
      </w:r>
    </w:p>
    <w:p w:rsidR="00352220" w:rsidRPr="00352220" w:rsidRDefault="00352220" w:rsidP="00CC7A1C">
      <w:pPr>
        <w:pStyle w:val="Heading8"/>
        <w:numPr>
          <w:ilvl w:val="1"/>
          <w:numId w:val="32"/>
        </w:numPr>
      </w:pPr>
      <w:bookmarkStart w:id="286" w:name="_Ref446255169"/>
      <w:bookmarkStart w:id="287" w:name="_Toc451938999"/>
      <w:bookmarkStart w:id="288" w:name="_Toc481057088"/>
      <w:r>
        <w:t>Australian e</w:t>
      </w:r>
      <w:r w:rsidRPr="00352220">
        <w:t>mpirical estimates from Henry's 2014 report</w:t>
      </w:r>
      <w:bookmarkEnd w:id="286"/>
      <w:bookmarkEnd w:id="287"/>
      <w:bookmarkEnd w:id="288"/>
    </w:p>
    <w:p w:rsidR="00352220" w:rsidRDefault="00352220" w:rsidP="00CC7A1C">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78"/>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79"/>
      </w:r>
    </w:p>
    <w:p w:rsidR="00352220" w:rsidRPr="00C01E61" w:rsidRDefault="00352220" w:rsidP="00CC7A1C">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C6448C">
        <w:t>G.4.1</w:t>
      </w:r>
      <w:r>
        <w:fldChar w:fldCharType="end"/>
      </w:r>
      <w:r>
        <w:t>)</w:t>
      </w:r>
      <w:r w:rsidRPr="00C01E61">
        <w:t xml:space="preserve">, using </w:t>
      </w:r>
      <w:r>
        <w:t xml:space="preserve">available </w:t>
      </w:r>
      <w:r w:rsidRPr="00C01E61">
        <w:t>data from 29 May 1992 to 28 June 2013.</w:t>
      </w:r>
      <w:r>
        <w:rPr>
          <w:rStyle w:val="FootnoteReference"/>
        </w:rPr>
        <w:footnoteReference w:id="1080"/>
      </w:r>
      <w:r w:rsidRPr="00C01E61">
        <w:t xml:space="preserve"> </w:t>
      </w:r>
      <w:r>
        <w:t>Based on our detailed discussion of methodological choices in recent decisions,</w:t>
      </w:r>
      <w:r>
        <w:rPr>
          <w:rStyle w:val="FootnoteReference"/>
        </w:rPr>
        <w:footnoteReference w:id="1081"/>
      </w:r>
      <w:r>
        <w:t xml:space="preserve"> w</w:t>
      </w:r>
      <w:r w:rsidRPr="00C01E61">
        <w:t>e consider the most useful empirical estimates:</w:t>
      </w:r>
    </w:p>
    <w:p w:rsidR="00352220" w:rsidRPr="001F00F1" w:rsidRDefault="00352220" w:rsidP="00352220">
      <w:pPr>
        <w:pStyle w:val="AERbulletlistfirststyle"/>
      </w:pPr>
      <w:r>
        <w:t>use the Ordinary Least Squares (OLS)</w:t>
      </w:r>
      <w:r w:rsidRPr="001F00F1">
        <w:t xml:space="preserve"> estimator (with the </w:t>
      </w:r>
      <w:r>
        <w:t>Least Absolute Deviation (</w:t>
      </w:r>
      <w:r w:rsidRPr="001F00F1">
        <w:t>LAD</w:t>
      </w:r>
      <w:r>
        <w:t>)</w:t>
      </w:r>
      <w:r w:rsidRPr="001F00F1">
        <w:t xml:space="preserve"> estimator used as a robustness check for outliers in the underlying data)</w:t>
      </w:r>
    </w:p>
    <w:p w:rsidR="00352220" w:rsidRPr="001F00F1" w:rsidRDefault="00352220" w:rsidP="00352220">
      <w:pPr>
        <w:pStyle w:val="AERbulletlistfirststyle"/>
      </w:pPr>
      <w:r w:rsidRPr="00517D1B">
        <w:t>are measured over multiple estimation periods</w:t>
      </w:r>
      <w:r>
        <w:t xml:space="preserve"> </w:t>
      </w:r>
    </w:p>
    <w:p w:rsidR="00352220" w:rsidRDefault="00352220" w:rsidP="00352220">
      <w:pPr>
        <w:pStyle w:val="AERbulletlistfirststyle"/>
      </w:pPr>
      <w:r w:rsidRPr="00517D1B">
        <w:t>use weekly return intervals (with monthly returns used as a robustness check)</w:t>
      </w:r>
    </w:p>
    <w:p w:rsidR="00352220" w:rsidRPr="001F00F1" w:rsidRDefault="00352220" w:rsidP="00352220">
      <w:pPr>
        <w:pStyle w:val="AERbulletlistfirststyle"/>
      </w:pPr>
      <w:r>
        <w:t>use the Brealey–Myers formula</w:t>
      </w:r>
      <w:r w:rsidRPr="00517D1B">
        <w:t xml:space="preserve"> </w:t>
      </w:r>
      <w:r>
        <w:t>to de- and re-lever raw</w:t>
      </w:r>
      <w:r>
        <w:rPr>
          <w:rStyle w:val="FootnoteReference"/>
        </w:rPr>
        <w:footnoteReference w:id="1082"/>
      </w:r>
      <w:r>
        <w:t xml:space="preserve"> estimates to a benchmark gearing of 60 per cent, although we consider both raw and re-levered estimates </w:t>
      </w:r>
    </w:p>
    <w:p w:rsidR="00352220" w:rsidRPr="001F00F1" w:rsidRDefault="00352220" w:rsidP="00352220">
      <w:pPr>
        <w:pStyle w:val="AERbulletlistfirststyle"/>
      </w:pPr>
      <w:r w:rsidRPr="00517D1B">
        <w:t>are based on averages of individual firm estimates and fixed weight portfolios (equal weighting and value weighting)</w:t>
      </w:r>
    </w:p>
    <w:p w:rsidR="00352220" w:rsidRDefault="00352220" w:rsidP="00352220">
      <w:pPr>
        <w:pStyle w:val="AERbulletlistfirststyle"/>
      </w:pPr>
      <w:r w:rsidRPr="00517D1B">
        <w:t>do not apply a Blume or Vasicek adjustment</w:t>
      </w:r>
      <w:r w:rsidRPr="001F00F1">
        <w:t>.</w:t>
      </w:r>
      <w:r w:rsidRPr="001F00F1">
        <w:rPr>
          <w:rStyle w:val="FootnoteReference"/>
        </w:rPr>
        <w:footnoteReference w:id="1083"/>
      </w:r>
    </w:p>
    <w:p w:rsidR="00352220" w:rsidRPr="00D70AB3" w:rsidRDefault="00352220" w:rsidP="00CC7A1C">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C6448C">
        <w:t xml:space="preserve">Table </w:t>
      </w:r>
      <w:r w:rsidR="00C6448C">
        <w:rPr>
          <w:noProof/>
        </w:rPr>
        <w:t>3</w:t>
      </w:r>
      <w:r w:rsidR="00C6448C">
        <w:noBreakHyphen/>
      </w:r>
      <w:r w:rsidR="00C6448C">
        <w:rPr>
          <w:noProof/>
        </w:rPr>
        <w:t>31</w:t>
      </w:r>
      <w:r>
        <w:fldChar w:fldCharType="end"/>
      </w:r>
      <w:r>
        <w:t xml:space="preserve"> and </w:t>
      </w:r>
      <w:r>
        <w:fldChar w:fldCharType="begin"/>
      </w:r>
      <w:r>
        <w:instrText xml:space="preserve"> REF  _Ref446197176 \* Lower \h </w:instrText>
      </w:r>
      <w:r>
        <w:fldChar w:fldCharType="separate"/>
      </w:r>
      <w:r w:rsidR="00C6448C">
        <w:t xml:space="preserve">table </w:t>
      </w:r>
      <w:r w:rsidR="00C6448C">
        <w:rPr>
          <w:noProof/>
        </w:rPr>
        <w:t>3</w:t>
      </w:r>
      <w:r w:rsidR="00C6448C">
        <w:noBreakHyphen/>
      </w:r>
      <w:r w:rsidR="00C6448C">
        <w:rPr>
          <w:noProof/>
        </w:rPr>
        <w:t>32</w:t>
      </w:r>
      <w:r>
        <w:fldChar w:fldCharType="end"/>
      </w:r>
      <w:r>
        <w:t xml:space="preserve"> set out </w:t>
      </w:r>
      <w:r w:rsidRPr="00D70AB3">
        <w:t>Henry's re-levered OLS equity beta estimates for the individual comparator firms (averaged across firms) and fixed weight portfolios respectively. The results show that:</w:t>
      </w:r>
    </w:p>
    <w:p w:rsidR="00352220" w:rsidRPr="001F00F1" w:rsidRDefault="00352220" w:rsidP="00352220">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084"/>
      </w:r>
      <w:r w:rsidRPr="001F00F1">
        <w:t xml:space="preserve"> </w:t>
      </w:r>
    </w:p>
    <w:p w:rsidR="00352220" w:rsidRPr="001F00F1" w:rsidRDefault="00352220" w:rsidP="00352220">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085"/>
      </w:r>
    </w:p>
    <w:p w:rsidR="00352220" w:rsidRDefault="00352220" w:rsidP="00352220">
      <w:pPr>
        <w:pStyle w:val="Caption"/>
      </w:pPr>
      <w:bookmarkStart w:id="289" w:name="_Ref446197185"/>
      <w:r>
        <w:t xml:space="preserve">Table </w:t>
      </w:r>
      <w:fldSimple w:instr=" STYLEREF 1 \s ">
        <w:r w:rsidR="00C6448C">
          <w:rPr>
            <w:noProof/>
          </w:rPr>
          <w:t>3</w:t>
        </w:r>
      </w:fldSimple>
      <w:r w:rsidR="00882F3D">
        <w:noBreakHyphen/>
      </w:r>
      <w:fldSimple w:instr=" SEQ Table \* ARABIC \s 1 ">
        <w:r w:rsidR="00C6448C">
          <w:rPr>
            <w:noProof/>
          </w:rPr>
          <w:t>31</w:t>
        </w:r>
      </w:fldSimple>
      <w:bookmarkEnd w:id="289"/>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352220" w:rsidTr="009D1AA8">
        <w:trPr>
          <w:cnfStyle w:val="100000000000" w:firstRow="1" w:lastRow="0" w:firstColumn="0" w:lastColumn="0" w:oddVBand="0" w:evenVBand="0" w:oddHBand="0" w:evenHBand="0" w:firstRowFirstColumn="0" w:firstRowLastColumn="0" w:lastRowFirstColumn="0" w:lastRowLastColumn="0"/>
        </w:trPr>
        <w:tc>
          <w:tcPr>
            <w:tcW w:w="2093" w:type="dxa"/>
          </w:tcPr>
          <w:p w:rsidR="00352220" w:rsidRPr="00352220" w:rsidRDefault="00352220" w:rsidP="00352220">
            <w:r>
              <w:t>Issue</w:t>
            </w:r>
          </w:p>
        </w:tc>
        <w:tc>
          <w:tcPr>
            <w:tcW w:w="2360" w:type="dxa"/>
          </w:tcPr>
          <w:p w:rsidR="00352220" w:rsidRPr="00352220" w:rsidRDefault="00352220" w:rsidP="00352220">
            <w:r>
              <w:t>Longest available period</w:t>
            </w:r>
          </w:p>
        </w:tc>
        <w:tc>
          <w:tcPr>
            <w:tcW w:w="2459" w:type="dxa"/>
          </w:tcPr>
          <w:p w:rsidR="00352220" w:rsidRPr="00352220" w:rsidRDefault="00352220" w:rsidP="00352220">
            <w:r>
              <w:t>2002 to 2013 (excluding GFC)</w:t>
            </w:r>
          </w:p>
        </w:tc>
        <w:tc>
          <w:tcPr>
            <w:tcW w:w="1781" w:type="dxa"/>
          </w:tcPr>
          <w:p w:rsidR="00352220" w:rsidRPr="00352220" w:rsidRDefault="00352220" w:rsidP="00352220">
            <w:r>
              <w:t xml:space="preserve">Last five years </w:t>
            </w:r>
            <w:r w:rsidRPr="00352220">
              <w:rPr>
                <w:rStyle w:val="FootnoteReference"/>
              </w:rPr>
              <w:t>(a)</w:t>
            </w:r>
          </w:p>
        </w:tc>
      </w:tr>
      <w:tr w:rsidR="00352220" w:rsidTr="009D1AA8">
        <w:tc>
          <w:tcPr>
            <w:tcW w:w="2093" w:type="dxa"/>
          </w:tcPr>
          <w:p w:rsidR="00352220" w:rsidRPr="00352220" w:rsidRDefault="00352220" w:rsidP="00352220">
            <w:r>
              <w:t>Re-levered OLS estimates</w:t>
            </w:r>
          </w:p>
        </w:tc>
        <w:tc>
          <w:tcPr>
            <w:tcW w:w="2360" w:type="dxa"/>
          </w:tcPr>
          <w:p w:rsidR="00352220" w:rsidRPr="00352220" w:rsidRDefault="00352220" w:rsidP="00352220">
            <w:r>
              <w:t>0.52</w:t>
            </w:r>
          </w:p>
        </w:tc>
        <w:tc>
          <w:tcPr>
            <w:tcW w:w="2459" w:type="dxa"/>
          </w:tcPr>
          <w:p w:rsidR="00352220" w:rsidRPr="00352220" w:rsidRDefault="00352220" w:rsidP="00352220">
            <w:r>
              <w:t>0.56</w:t>
            </w:r>
          </w:p>
        </w:tc>
        <w:tc>
          <w:tcPr>
            <w:tcW w:w="1781" w:type="dxa"/>
          </w:tcPr>
          <w:p w:rsidR="00352220" w:rsidRPr="00352220" w:rsidRDefault="00352220" w:rsidP="00352220">
            <w:r>
              <w:t>0.46</w:t>
            </w:r>
          </w:p>
        </w:tc>
      </w:tr>
    </w:tbl>
    <w:p w:rsidR="00352220" w:rsidRPr="0070354B" w:rsidRDefault="00352220" w:rsidP="00352220">
      <w:pPr>
        <w:pStyle w:val="AERtablesource"/>
      </w:pPr>
      <w:r w:rsidRPr="00C01E61">
        <w:t>Source:</w:t>
      </w:r>
      <w:r w:rsidRPr="00C01E61">
        <w:tab/>
      </w:r>
      <w:r w:rsidRPr="0070354B">
        <w:t xml:space="preserve">AER analysis; Henry, </w:t>
      </w:r>
      <w:r w:rsidRPr="0070354B">
        <w:rPr>
          <w:rStyle w:val="AERtextitalic"/>
        </w:rPr>
        <w:t>Estimating β: An update</w:t>
      </w:r>
      <w:r w:rsidRPr="0070354B">
        <w:t>, April 2014.</w:t>
      </w:r>
    </w:p>
    <w:p w:rsidR="00352220" w:rsidRDefault="00352220" w:rsidP="00352220">
      <w:pPr>
        <w:pStyle w:val="AERtablesource"/>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352220" w:rsidRDefault="00352220" w:rsidP="00352220">
      <w:pPr>
        <w:pStyle w:val="Caption"/>
      </w:pPr>
      <w:bookmarkStart w:id="290" w:name="_Ref446197176"/>
      <w:r>
        <w:t xml:space="preserve">Table </w:t>
      </w:r>
      <w:fldSimple w:instr=" STYLEREF 1 \s ">
        <w:r w:rsidR="00C6448C">
          <w:rPr>
            <w:noProof/>
          </w:rPr>
          <w:t>3</w:t>
        </w:r>
      </w:fldSimple>
      <w:r w:rsidR="00882F3D">
        <w:noBreakHyphen/>
      </w:r>
      <w:fldSimple w:instr=" SEQ Table \* ARABIC \s 1 ">
        <w:r w:rsidR="00C6448C">
          <w:rPr>
            <w:noProof/>
          </w:rPr>
          <w:t>32</w:t>
        </w:r>
      </w:fldSimple>
      <w:bookmarkEnd w:id="290"/>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352220" w:rsidTr="009D1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9279A1" w:rsidRDefault="00352220" w:rsidP="00352220"/>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Firms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SKI, SPN</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Equal weighted</w:t>
            </w: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 xml:space="preserve">Longest available </w:t>
            </w:r>
            <w:r w:rsidRPr="00352220">
              <w:t>period</w:t>
            </w:r>
            <w:r w:rsidRPr="00352220">
              <w:rPr>
                <w:rStyle w:val="AERsuperscript"/>
              </w:rPr>
              <w:t>(a)</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0.39</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Value weighted</w:t>
            </w: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Longest available period</w:t>
            </w:r>
            <w:r w:rsidRPr="00352220">
              <w:rPr>
                <w:rStyle w:val="AERsuperscript"/>
              </w:rPr>
              <w:t>(a)</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0.39</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r>
    </w:tbl>
    <w:p w:rsidR="00352220" w:rsidRPr="00C01E61" w:rsidRDefault="00352220" w:rsidP="00352220">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352220" w:rsidRPr="006460A6" w:rsidRDefault="00352220" w:rsidP="00352220">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AusNet Services' preliminary decision</w:t>
      </w:r>
      <w:r w:rsidRPr="006460A6">
        <w:t>.</w:t>
      </w:r>
    </w:p>
    <w:p w:rsidR="00352220" w:rsidRPr="006460A6" w:rsidRDefault="00352220" w:rsidP="00352220">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352220" w:rsidRDefault="00352220" w:rsidP="00CC7A1C">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86"/>
      </w:r>
      <w:r>
        <w:t xml:space="preserve"> The results are as follows:</w:t>
      </w:r>
      <w:r>
        <w:rPr>
          <w:rStyle w:val="FootnoteReference"/>
        </w:rPr>
        <w:footnoteReference w:id="1087"/>
      </w:r>
    </w:p>
    <w:p w:rsidR="00352220" w:rsidRPr="001F00F1" w:rsidRDefault="00352220" w:rsidP="00352220">
      <w:pPr>
        <w:pStyle w:val="AERbulletlistfirststyle"/>
      </w:pPr>
      <w:r w:rsidRPr="00CA72A5">
        <w:t>the re-levered LAD estimates range from 0.38 to 0.58 and the raw LAD estimates range from 0.31 to 0.60.</w:t>
      </w:r>
      <w:r w:rsidRPr="001F00F1">
        <w:rPr>
          <w:rStyle w:val="FootnoteReference"/>
        </w:rPr>
        <w:footnoteReference w:id="1088"/>
      </w:r>
    </w:p>
    <w:p w:rsidR="00352220" w:rsidRPr="001F00F1" w:rsidRDefault="00352220" w:rsidP="00352220">
      <w:pPr>
        <w:pStyle w:val="AERbulletlistfirststyle"/>
      </w:pPr>
      <w:r w:rsidRPr="00CA72A5">
        <w:t>the OLS estimates using monthly return intervals range from 0.37 to 0.58.</w:t>
      </w:r>
      <w:r w:rsidRPr="001F00F1">
        <w:rPr>
          <w:rStyle w:val="FootnoteReference"/>
        </w:rPr>
        <w:footnoteReference w:id="1089"/>
      </w:r>
      <w:r w:rsidRPr="001F00F1">
        <w:t xml:space="preserve"> </w:t>
      </w:r>
    </w:p>
    <w:p w:rsidR="00352220" w:rsidRDefault="00352220" w:rsidP="00CC7A1C">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090"/>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091"/>
      </w:r>
    </w:p>
    <w:p w:rsidR="00352220" w:rsidRDefault="00352220" w:rsidP="00352220">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352220" w:rsidRDefault="00352220" w:rsidP="00CC7A1C">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C6448C">
        <w:t xml:space="preserve">figure </w:t>
      </w:r>
      <w:r w:rsidR="00C6448C">
        <w:rPr>
          <w:noProof/>
        </w:rPr>
        <w:t>3</w:t>
      </w:r>
      <w:r w:rsidR="00C6448C">
        <w:noBreakHyphen/>
      </w:r>
      <w:r w:rsidR="00C6448C">
        <w:rPr>
          <w:noProof/>
        </w:rPr>
        <w:t>17</w:t>
      </w:r>
      <w:r>
        <w:fldChar w:fldCharType="end"/>
      </w:r>
      <w:r>
        <w:t>.</w:t>
      </w:r>
    </w:p>
    <w:p w:rsidR="00352220" w:rsidRDefault="00352220" w:rsidP="00352220">
      <w:pPr>
        <w:pStyle w:val="Caption"/>
      </w:pPr>
      <w:bookmarkStart w:id="291" w:name="_Ref446243940"/>
      <w:r>
        <w:t xml:space="preserve">Figure </w:t>
      </w:r>
      <w:fldSimple w:instr=" STYLEREF 1 \s ">
        <w:r w:rsidR="00C6448C">
          <w:rPr>
            <w:noProof/>
          </w:rPr>
          <w:t>3</w:t>
        </w:r>
      </w:fldSimple>
      <w:r w:rsidR="00882F3D">
        <w:noBreakHyphen/>
      </w:r>
      <w:fldSimple w:instr=" SEQ Figure \* ARABIC \s 1 ">
        <w:r w:rsidR="00C6448C">
          <w:rPr>
            <w:noProof/>
          </w:rPr>
          <w:t>17</w:t>
        </w:r>
      </w:fldSimple>
      <w:bookmarkEnd w:id="291"/>
      <w:r>
        <w:tab/>
        <w:t>Equity beta estimates from Henry's 2014 report (average of individual firm estimates and fixed weight portfolio estimates)</w:t>
      </w:r>
    </w:p>
    <w:p w:rsidR="00352220" w:rsidRDefault="00352220" w:rsidP="00CC7A1C">
      <w:pPr>
        <w:numPr>
          <w:ilvl w:val="0"/>
          <w:numId w:val="24"/>
        </w:numPr>
      </w:pPr>
      <w:r w:rsidRPr="00352220">
        <w:rPr>
          <w:noProof/>
          <w:lang w:eastAsia="en-AU"/>
        </w:rPr>
        <w:drawing>
          <wp:inline distT="0" distB="0" distL="0" distR="0" wp14:anchorId="27A8EF21" wp14:editId="16EA9BE8">
            <wp:extent cx="5472000" cy="329052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352220" w:rsidRPr="00812C81" w:rsidRDefault="00352220" w:rsidP="00352220">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352220" w:rsidRDefault="00352220" w:rsidP="00352220">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352220" w:rsidRPr="0070354B" w:rsidRDefault="00352220" w:rsidP="00352220">
      <w:pPr>
        <w:pStyle w:val="Heading8"/>
      </w:pPr>
      <w:bookmarkStart w:id="292" w:name="_Ref446255164"/>
      <w:bookmarkStart w:id="293" w:name="_Toc451939000"/>
      <w:bookmarkStart w:id="294" w:name="_Toc481057089"/>
      <w:bookmarkStart w:id="295" w:name="_Ref401311140"/>
      <w:bookmarkStart w:id="296" w:name="_Toc401315943"/>
      <w:bookmarkStart w:id="297" w:name="_Toc403990360"/>
      <w:bookmarkStart w:id="298" w:name="_Toc404643523"/>
      <w:bookmarkStart w:id="299" w:name="_Toc415561729"/>
      <w:bookmarkStart w:id="300" w:name="_Toc417396119"/>
      <w:bookmarkStart w:id="301" w:name="_Toc418006918"/>
      <w:bookmarkStart w:id="302" w:name="_Toc431206901"/>
      <w:bookmarkStart w:id="303" w:name="_Toc443584848"/>
      <w:r>
        <w:t>Australian e</w:t>
      </w:r>
      <w:r w:rsidRPr="0070354B">
        <w:t>mpirical estimates from other studies</w:t>
      </w:r>
      <w:bookmarkEnd w:id="292"/>
      <w:bookmarkEnd w:id="293"/>
      <w:bookmarkEnd w:id="294"/>
    </w:p>
    <w:bookmarkEnd w:id="295"/>
    <w:bookmarkEnd w:id="296"/>
    <w:bookmarkEnd w:id="297"/>
    <w:bookmarkEnd w:id="298"/>
    <w:bookmarkEnd w:id="299"/>
    <w:bookmarkEnd w:id="300"/>
    <w:bookmarkEnd w:id="301"/>
    <w:bookmarkEnd w:id="302"/>
    <w:bookmarkEnd w:id="303"/>
    <w:p w:rsidR="00352220" w:rsidRDefault="00352220" w:rsidP="00CC7A1C">
      <w:pPr>
        <w:numPr>
          <w:ilvl w:val="0"/>
          <w:numId w:val="24"/>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C6448C">
        <w:t xml:space="preserve">table </w:t>
      </w:r>
      <w:r w:rsidR="00C6448C">
        <w:rPr>
          <w:noProof/>
        </w:rPr>
        <w:t>3</w:t>
      </w:r>
      <w:r w:rsidR="00C6448C">
        <w:noBreakHyphen/>
      </w:r>
      <w:r w:rsidR="00C6448C">
        <w:rPr>
          <w:noProof/>
        </w:rPr>
        <w:t>33</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092"/>
      </w:r>
      <w:r>
        <w:t xml:space="preserve"> Nonetheless, the empirical estimates presented give us confidence that there is an extensive pattern of support for an empirical equity beta within a range of 0.4 to 0.7.</w:t>
      </w:r>
    </w:p>
    <w:p w:rsidR="00352220" w:rsidRDefault="00352220" w:rsidP="00352220">
      <w:pPr>
        <w:pStyle w:val="Caption"/>
      </w:pPr>
      <w:bookmarkStart w:id="304" w:name="_Ref446197667"/>
      <w:r>
        <w:t xml:space="preserve">Table </w:t>
      </w:r>
      <w:fldSimple w:instr=" STYLEREF 1 \s ">
        <w:r w:rsidR="00C6448C">
          <w:rPr>
            <w:noProof/>
          </w:rPr>
          <w:t>3</w:t>
        </w:r>
      </w:fldSimple>
      <w:r w:rsidR="00882F3D">
        <w:noBreakHyphen/>
      </w:r>
      <w:fldSimple w:instr=" SEQ Table \* ARABIC \s 1 ">
        <w:r w:rsidR="00C6448C">
          <w:rPr>
            <w:noProof/>
          </w:rPr>
          <w:t>33</w:t>
        </w:r>
      </w:fldSimple>
      <w:bookmarkEnd w:id="304"/>
      <w:r>
        <w:tab/>
        <w:t>Equity beta estimates for Australian energy network firms</w:t>
      </w:r>
    </w:p>
    <w:tbl>
      <w:tblPr>
        <w:tblStyle w:val="AERtable-text0"/>
        <w:tblW w:w="0" w:type="auto"/>
        <w:tblLook w:val="04A0" w:firstRow="1" w:lastRow="0" w:firstColumn="1" w:lastColumn="0" w:noHBand="0" w:noVBand="1"/>
      </w:tblPr>
      <w:tblGrid>
        <w:gridCol w:w="1089"/>
        <w:gridCol w:w="844"/>
        <w:gridCol w:w="991"/>
        <w:gridCol w:w="991"/>
        <w:gridCol w:w="1076"/>
        <w:gridCol w:w="3702"/>
      </w:tblGrid>
      <w:tr w:rsidR="00BD5399" w:rsidTr="009D1AA8">
        <w:trPr>
          <w:cnfStyle w:val="100000000000" w:firstRow="1" w:lastRow="0" w:firstColumn="0" w:lastColumn="0" w:oddVBand="0" w:evenVBand="0" w:oddHBand="0" w:evenHBand="0" w:firstRowFirstColumn="0" w:firstRowLastColumn="0" w:lastRowFirstColumn="0" w:lastRowLastColumn="0"/>
        </w:trPr>
        <w:tc>
          <w:tcPr>
            <w:tcW w:w="1101" w:type="dxa"/>
          </w:tcPr>
          <w:p w:rsidR="00BD5399" w:rsidRPr="00BD5399" w:rsidRDefault="00BD5399" w:rsidP="00BD5399">
            <w:r>
              <w:t>Source</w:t>
            </w:r>
          </w:p>
        </w:tc>
        <w:tc>
          <w:tcPr>
            <w:tcW w:w="850" w:type="dxa"/>
          </w:tcPr>
          <w:p w:rsidR="00BD5399" w:rsidRPr="00BD5399" w:rsidRDefault="00BD5399" w:rsidP="00BD5399">
            <w:r>
              <w:t xml:space="preserve">Time </w:t>
            </w:r>
            <w:r w:rsidRPr="00BD5399">
              <w:t>period</w:t>
            </w:r>
          </w:p>
        </w:tc>
        <w:tc>
          <w:tcPr>
            <w:tcW w:w="992" w:type="dxa"/>
          </w:tcPr>
          <w:p w:rsidR="00BD5399" w:rsidRPr="00BD5399" w:rsidRDefault="00BD5399" w:rsidP="00BD5399">
            <w:r>
              <w:t>Individual firm averages</w:t>
            </w:r>
          </w:p>
        </w:tc>
        <w:tc>
          <w:tcPr>
            <w:tcW w:w="993" w:type="dxa"/>
          </w:tcPr>
          <w:p w:rsidR="00BD5399" w:rsidRPr="00BD5399" w:rsidRDefault="00BD5399" w:rsidP="00BD5399">
            <w:r>
              <w:t>Fixed portfolios</w:t>
            </w:r>
          </w:p>
        </w:tc>
        <w:tc>
          <w:tcPr>
            <w:tcW w:w="992" w:type="dxa"/>
          </w:tcPr>
          <w:p w:rsidR="00BD5399" w:rsidRPr="00BD5399" w:rsidRDefault="00BD5399" w:rsidP="00BD5399">
            <w:r>
              <w:t>Varying portfolios</w:t>
            </w:r>
            <w:r w:rsidRPr="00BD5399">
              <w:rPr>
                <w:rStyle w:val="AERsuperscript"/>
              </w:rPr>
              <w:t>(a)</w:t>
            </w:r>
          </w:p>
        </w:tc>
        <w:tc>
          <w:tcPr>
            <w:tcW w:w="3765" w:type="dxa"/>
          </w:tcPr>
          <w:p w:rsidR="00BD5399" w:rsidRPr="00BD5399" w:rsidRDefault="00BD5399" w:rsidP="00BD5399">
            <w:r>
              <w:t>Summary of regression permutations</w:t>
            </w:r>
          </w:p>
        </w:tc>
      </w:tr>
      <w:tr w:rsidR="00BD5399" w:rsidTr="009D1AA8">
        <w:tc>
          <w:tcPr>
            <w:tcW w:w="1101" w:type="dxa"/>
          </w:tcPr>
          <w:p w:rsidR="00BD5399" w:rsidRPr="00BD5399" w:rsidRDefault="00BD5399" w:rsidP="00BD5399">
            <w:r>
              <w:t>CEG 2016</w:t>
            </w:r>
          </w:p>
        </w:tc>
        <w:tc>
          <w:tcPr>
            <w:tcW w:w="850" w:type="dxa"/>
          </w:tcPr>
          <w:p w:rsidR="00BD5399" w:rsidRPr="00BD5399" w:rsidRDefault="00BD5399" w:rsidP="00BD5399">
            <w:r>
              <w:t>1992 -2016</w:t>
            </w:r>
          </w:p>
        </w:tc>
        <w:tc>
          <w:tcPr>
            <w:tcW w:w="992" w:type="dxa"/>
          </w:tcPr>
          <w:p w:rsidR="00BD5399" w:rsidRPr="00BD5399" w:rsidRDefault="00BD5399" w:rsidP="00BD5399">
            <w:r>
              <w:t>0.6-0.6</w:t>
            </w:r>
            <w:r w:rsidRPr="00BD5399">
              <w:t>8</w:t>
            </w:r>
          </w:p>
        </w:tc>
        <w:tc>
          <w:tcPr>
            <w:tcW w:w="993" w:type="dxa"/>
          </w:tcPr>
          <w:p w:rsidR="00BD5399" w:rsidRPr="00BD5399" w:rsidRDefault="00BD5399" w:rsidP="00BD5399">
            <w:r>
              <w:t>0</w:t>
            </w:r>
            <w:r w:rsidRPr="00BD5399">
              <w:t>.62–0.78</w:t>
            </w:r>
            <w:r w:rsidRPr="00BD5399">
              <w:rPr>
                <w:rStyle w:val="AERsuperscript"/>
              </w:rPr>
              <w:t>(b)</w:t>
            </w:r>
          </w:p>
        </w:tc>
        <w:tc>
          <w:tcPr>
            <w:tcW w:w="992" w:type="dxa"/>
          </w:tcPr>
          <w:p w:rsidR="00BD5399" w:rsidRPr="00BD5399" w:rsidRDefault="00BD5399" w:rsidP="00BD5399">
            <w:r>
              <w:t>0.5</w:t>
            </w:r>
            <w:r w:rsidRPr="00BD5399">
              <w:t>3-0.64</w:t>
            </w:r>
          </w:p>
        </w:tc>
        <w:tc>
          <w:tcPr>
            <w:tcW w:w="3765" w:type="dxa"/>
          </w:tcPr>
          <w:p w:rsidR="00BD5399" w:rsidRPr="00BD5399" w:rsidRDefault="00BD5399" w:rsidP="00BD5399">
            <w:r w:rsidRPr="001F00F1">
              <w:t xml:space="preserve">weekly return intervals, multiple estimation period, OLS regression, </w:t>
            </w:r>
            <w:r w:rsidRPr="00BD5399">
              <w:t>time varying portfolios, average/median varying portfolios, raw/re-levered estimates, 9 comparators</w:t>
            </w:r>
          </w:p>
        </w:tc>
      </w:tr>
      <w:tr w:rsidR="00BD5399"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BD5399" w:rsidRPr="00BD5399" w:rsidRDefault="00BD5399" w:rsidP="00BD5399">
            <w:r>
              <w:t>ERA 2016</w:t>
            </w:r>
          </w:p>
        </w:tc>
        <w:tc>
          <w:tcPr>
            <w:tcW w:w="850" w:type="dxa"/>
          </w:tcPr>
          <w:p w:rsidR="00BD5399" w:rsidRPr="00BD5399" w:rsidRDefault="00BD5399" w:rsidP="00BD5399">
            <w:r>
              <w:t>20</w:t>
            </w:r>
            <w:r w:rsidRPr="00BD5399">
              <w:t>11-2016</w:t>
            </w:r>
          </w:p>
        </w:tc>
        <w:tc>
          <w:tcPr>
            <w:tcW w:w="992" w:type="dxa"/>
          </w:tcPr>
          <w:p w:rsidR="00BD5399" w:rsidRPr="00BD5399" w:rsidRDefault="00BD5399" w:rsidP="00BD5399">
            <w:r w:rsidRPr="0070354B">
              <w:t>0.54–0.6</w:t>
            </w:r>
          </w:p>
        </w:tc>
        <w:tc>
          <w:tcPr>
            <w:tcW w:w="993" w:type="dxa"/>
          </w:tcPr>
          <w:p w:rsidR="00BD5399" w:rsidRPr="00BD5399" w:rsidRDefault="00BD5399" w:rsidP="00BD5399">
            <w:r w:rsidRPr="0070354B">
              <w:t>0.64–0.7</w:t>
            </w:r>
            <w:r w:rsidRPr="00BD5399">
              <w:t>8</w:t>
            </w:r>
          </w:p>
        </w:tc>
        <w:tc>
          <w:tcPr>
            <w:tcW w:w="992" w:type="dxa"/>
          </w:tcPr>
          <w:p w:rsidR="00BD5399" w:rsidRPr="00BD5399" w:rsidRDefault="00BD5399" w:rsidP="00BD5399">
            <w:r>
              <w:t>n/a</w:t>
            </w:r>
          </w:p>
        </w:tc>
        <w:tc>
          <w:tcPr>
            <w:tcW w:w="3765" w:type="dxa"/>
          </w:tcPr>
          <w:p w:rsidR="00BD5399" w:rsidRPr="00BD5399" w:rsidRDefault="00BD5399" w:rsidP="00BD5399">
            <w:r>
              <w:t xml:space="preserve">weekly return intervals, 5 years </w:t>
            </w:r>
            <w:r w:rsidRPr="00BD5399">
              <w:t>(June 2011 to May 2016 ) for individual firms and portfolios, OLS/LAD/MM/T-S/ARIMAX/GARCH regressions, equal weight fixed/value weighted portfolios raw estimates, 4 comparators</w:t>
            </w:r>
          </w:p>
        </w:tc>
      </w:tr>
      <w:tr w:rsidR="00BD5399" w:rsidTr="009D1AA8">
        <w:tc>
          <w:tcPr>
            <w:tcW w:w="1101" w:type="dxa"/>
          </w:tcPr>
          <w:p w:rsidR="00BD5399" w:rsidRPr="00BD5399" w:rsidRDefault="00BD5399" w:rsidP="00BD5399">
            <w:r>
              <w:t>ERA 2015</w:t>
            </w:r>
          </w:p>
        </w:tc>
        <w:tc>
          <w:tcPr>
            <w:tcW w:w="850" w:type="dxa"/>
          </w:tcPr>
          <w:p w:rsidR="00BD5399" w:rsidRPr="00BD5399" w:rsidRDefault="00BD5399" w:rsidP="00BD5399">
            <w:r>
              <w:t>2010–2015</w:t>
            </w:r>
          </w:p>
        </w:tc>
        <w:tc>
          <w:tcPr>
            <w:tcW w:w="992" w:type="dxa"/>
          </w:tcPr>
          <w:p w:rsidR="00BD5399" w:rsidRPr="00BD5399" w:rsidRDefault="00BD5399" w:rsidP="00BD5399">
            <w:r>
              <w:t>0</w:t>
            </w:r>
            <w:r w:rsidRPr="00BD5399">
              <w:t>.55–0.59</w:t>
            </w:r>
          </w:p>
        </w:tc>
        <w:tc>
          <w:tcPr>
            <w:tcW w:w="993" w:type="dxa"/>
          </w:tcPr>
          <w:p w:rsidR="00BD5399" w:rsidRPr="00BD5399" w:rsidRDefault="00BD5399" w:rsidP="00BD5399">
            <w:r>
              <w:t>0</w:t>
            </w:r>
            <w:r w:rsidRPr="00BD5399">
              <w:t>.65–0.79</w:t>
            </w:r>
          </w:p>
        </w:tc>
        <w:tc>
          <w:tcPr>
            <w:tcW w:w="992" w:type="dxa"/>
          </w:tcPr>
          <w:p w:rsidR="00BD5399" w:rsidRPr="00BD5399" w:rsidRDefault="00BD5399" w:rsidP="00BD5399">
            <w:r>
              <w:t>n/a</w:t>
            </w:r>
          </w:p>
        </w:tc>
        <w:tc>
          <w:tcPr>
            <w:tcW w:w="3765" w:type="dxa"/>
          </w:tcPr>
          <w:p w:rsidR="00BD5399" w:rsidRPr="00BD5399" w:rsidRDefault="00BD5399" w:rsidP="00BD5399">
            <w:r>
              <w:t>weekly return intervals, 5 years for individual firms</w:t>
            </w:r>
            <w:r w:rsidRPr="00BD5399">
              <w:t xml:space="preserve"> and portfolios, start November 2010 to October 2015, OLS/LAD/MM/T-S/ARIMAX/GARCH regressions, equal weight fixed/value weighted portfolios raw estimates, 4 comparators</w:t>
            </w:r>
          </w:p>
        </w:tc>
      </w:tr>
      <w:tr w:rsidR="00BD5399"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BD5399" w:rsidRPr="00BD5399" w:rsidRDefault="00BD5399" w:rsidP="00BD5399">
            <w:r>
              <w:t>S</w:t>
            </w:r>
            <w:r w:rsidRPr="00BD5399">
              <w:t>FG 2015</w:t>
            </w:r>
          </w:p>
        </w:tc>
        <w:tc>
          <w:tcPr>
            <w:tcW w:w="850" w:type="dxa"/>
          </w:tcPr>
          <w:p w:rsidR="00BD5399" w:rsidRPr="00BD5399" w:rsidRDefault="00BD5399" w:rsidP="00BD5399">
            <w:r>
              <w:t>2002-2013</w:t>
            </w:r>
          </w:p>
        </w:tc>
        <w:tc>
          <w:tcPr>
            <w:tcW w:w="992" w:type="dxa"/>
          </w:tcPr>
          <w:p w:rsidR="00BD5399" w:rsidRPr="00BD5399" w:rsidRDefault="00BD5399" w:rsidP="00BD5399">
            <w:r>
              <w:t>0.37-0.83</w:t>
            </w:r>
          </w:p>
        </w:tc>
        <w:tc>
          <w:tcPr>
            <w:tcW w:w="993" w:type="dxa"/>
          </w:tcPr>
          <w:p w:rsidR="00BD5399" w:rsidRPr="00BD5399" w:rsidRDefault="00BD5399" w:rsidP="00BD5399">
            <w:r>
              <w:t>0.39-0.70</w:t>
            </w:r>
          </w:p>
        </w:tc>
        <w:tc>
          <w:tcPr>
            <w:tcW w:w="992" w:type="dxa"/>
          </w:tcPr>
          <w:p w:rsidR="00BD5399" w:rsidRPr="00BD5399" w:rsidRDefault="00BD5399" w:rsidP="00BD5399">
            <w:r>
              <w:t>n/a</w:t>
            </w:r>
          </w:p>
        </w:tc>
        <w:tc>
          <w:tcPr>
            <w:tcW w:w="3765" w:type="dxa"/>
          </w:tcPr>
          <w:p w:rsidR="00BD5399" w:rsidRPr="00BD5399" w:rsidRDefault="00BD5399" w:rsidP="00BD5399">
            <w:r>
              <w:t>weekly</w:t>
            </w:r>
            <w:r w:rsidRPr="00BD5399">
              <w:t xml:space="preserve"> return intervals, multiple estimation periods, OLS/LAD regressions, equal weight fixed portfolios raw/re-levered estimates, 9 comparators</w:t>
            </w:r>
          </w:p>
        </w:tc>
      </w:tr>
      <w:tr w:rsidR="00BD5399" w:rsidTr="009D1AA8">
        <w:tc>
          <w:tcPr>
            <w:tcW w:w="1101" w:type="dxa"/>
          </w:tcPr>
          <w:p w:rsidR="00BD5399" w:rsidRPr="00BD5399" w:rsidRDefault="00BD5399" w:rsidP="00BD5399">
            <w:r>
              <w:t>Henry 2014</w:t>
            </w:r>
          </w:p>
        </w:tc>
        <w:tc>
          <w:tcPr>
            <w:tcW w:w="850" w:type="dxa"/>
          </w:tcPr>
          <w:p w:rsidR="00BD5399" w:rsidRPr="00BD5399" w:rsidRDefault="00BD5399" w:rsidP="00BD5399">
            <w:r>
              <w:t>1992–2013</w:t>
            </w:r>
          </w:p>
        </w:tc>
        <w:tc>
          <w:tcPr>
            <w:tcW w:w="992" w:type="dxa"/>
          </w:tcPr>
          <w:p w:rsidR="00BD5399" w:rsidRPr="00BD5399" w:rsidRDefault="00BD5399" w:rsidP="00BD5399">
            <w:r>
              <w:t>0.37–0.56</w:t>
            </w:r>
          </w:p>
        </w:tc>
        <w:tc>
          <w:tcPr>
            <w:tcW w:w="993" w:type="dxa"/>
          </w:tcPr>
          <w:p w:rsidR="00BD5399" w:rsidRPr="00BD5399" w:rsidRDefault="00BD5399" w:rsidP="00BD5399">
            <w:r>
              <w:t>0.31–0.70</w:t>
            </w:r>
            <w:r w:rsidRPr="00BD5399">
              <w:rPr>
                <w:rStyle w:val="AERsuperscript"/>
              </w:rPr>
              <w:t>(c)</w:t>
            </w:r>
          </w:p>
        </w:tc>
        <w:tc>
          <w:tcPr>
            <w:tcW w:w="992" w:type="dxa"/>
          </w:tcPr>
          <w:p w:rsidR="00BD5399" w:rsidRPr="00BD5399" w:rsidRDefault="00BD5399" w:rsidP="00BD5399">
            <w:r>
              <w:t>0.39–0.53</w:t>
            </w:r>
          </w:p>
        </w:tc>
        <w:tc>
          <w:tcPr>
            <w:tcW w:w="3765" w:type="dxa"/>
          </w:tcPr>
          <w:p w:rsidR="00BD5399" w:rsidRPr="00BD5399" w:rsidRDefault="00BD5399" w:rsidP="00BD5399">
            <w:r w:rsidRPr="001F00F1">
              <w:t xml:space="preserve">weekly/monthly return intervals, multiple estimation periods, OLS/LAD regressions, value/equal weight fixed portfolios, average/median varying portfolios, </w:t>
            </w:r>
            <w:r w:rsidRPr="00BD5399">
              <w:t>raw/re-levered estimates, 9 comparators</w:t>
            </w:r>
          </w:p>
        </w:tc>
      </w:tr>
      <w:tr w:rsidR="00BD5399"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BD5399" w:rsidRPr="00BD5399" w:rsidRDefault="00BD5399" w:rsidP="00BD5399">
            <w:r>
              <w:t>Grant Samuel 2014</w:t>
            </w:r>
          </w:p>
        </w:tc>
        <w:tc>
          <w:tcPr>
            <w:tcW w:w="850" w:type="dxa"/>
          </w:tcPr>
          <w:p w:rsidR="00BD5399" w:rsidRPr="00BD5399" w:rsidRDefault="00BD5399" w:rsidP="00BD5399">
            <w:r>
              <w:t>2009–2014</w:t>
            </w:r>
            <w:r w:rsidRPr="00BD5399">
              <w:rPr>
                <w:rStyle w:val="AERsuperscript"/>
              </w:rPr>
              <w:t>(d)</w:t>
            </w:r>
          </w:p>
        </w:tc>
        <w:tc>
          <w:tcPr>
            <w:tcW w:w="992" w:type="dxa"/>
          </w:tcPr>
          <w:p w:rsidR="00BD5399" w:rsidRPr="00BD5399" w:rsidRDefault="00BD5399" w:rsidP="00BD5399">
            <w:r>
              <w:t>0.42–0.64</w:t>
            </w:r>
          </w:p>
        </w:tc>
        <w:tc>
          <w:tcPr>
            <w:tcW w:w="993" w:type="dxa"/>
          </w:tcPr>
          <w:p w:rsidR="00BD5399" w:rsidRPr="00BD5399" w:rsidRDefault="00BD5399" w:rsidP="00BD5399">
            <w:r>
              <w:t>n/a</w:t>
            </w:r>
          </w:p>
        </w:tc>
        <w:tc>
          <w:tcPr>
            <w:tcW w:w="992" w:type="dxa"/>
          </w:tcPr>
          <w:p w:rsidR="00BD5399" w:rsidRPr="00BD5399" w:rsidRDefault="00BD5399" w:rsidP="00BD5399">
            <w:r>
              <w:t>n/a</w:t>
            </w:r>
          </w:p>
        </w:tc>
        <w:tc>
          <w:tcPr>
            <w:tcW w:w="3765" w:type="dxa"/>
          </w:tcPr>
          <w:p w:rsidR="00BD5399" w:rsidRPr="00BD5399" w:rsidRDefault="00BD5399" w:rsidP="00BD5399">
            <w:r w:rsidRPr="001F00F1">
              <w:t xml:space="preserve">weekly/monthly </w:t>
            </w:r>
            <w:r w:rsidRPr="00BD5399">
              <w:t>return intervals, multiple estimation periods, OLS regressions, Bloomberg adjusted betas, raw estimates, 5 comparators</w:t>
            </w:r>
          </w:p>
        </w:tc>
      </w:tr>
      <w:tr w:rsidR="00BD5399" w:rsidTr="009D1AA8">
        <w:tc>
          <w:tcPr>
            <w:tcW w:w="1101" w:type="dxa"/>
          </w:tcPr>
          <w:p w:rsidR="00BD5399" w:rsidRPr="00BD5399" w:rsidRDefault="00BD5399" w:rsidP="00BD5399">
            <w:r>
              <w:t>ERA 2013</w:t>
            </w:r>
          </w:p>
        </w:tc>
        <w:tc>
          <w:tcPr>
            <w:tcW w:w="850" w:type="dxa"/>
          </w:tcPr>
          <w:p w:rsidR="00BD5399" w:rsidRPr="00BD5399" w:rsidRDefault="00BD5399" w:rsidP="00BD5399">
            <w:r>
              <w:t>2002–2013</w:t>
            </w:r>
          </w:p>
        </w:tc>
        <w:tc>
          <w:tcPr>
            <w:tcW w:w="992" w:type="dxa"/>
          </w:tcPr>
          <w:p w:rsidR="00BD5399" w:rsidRPr="00BD5399" w:rsidRDefault="00BD5399" w:rsidP="00BD5399">
            <w:r>
              <w:t>0.48–0.52</w:t>
            </w:r>
          </w:p>
        </w:tc>
        <w:tc>
          <w:tcPr>
            <w:tcW w:w="993" w:type="dxa"/>
          </w:tcPr>
          <w:p w:rsidR="00BD5399" w:rsidRPr="00BD5399" w:rsidRDefault="00BD5399" w:rsidP="00BD5399">
            <w:r>
              <w:t>0.39–0.59</w:t>
            </w:r>
          </w:p>
        </w:tc>
        <w:tc>
          <w:tcPr>
            <w:tcW w:w="992" w:type="dxa"/>
          </w:tcPr>
          <w:p w:rsidR="00BD5399" w:rsidRPr="00BD5399" w:rsidRDefault="00BD5399" w:rsidP="00BD5399">
            <w:r>
              <w:t>n/a</w:t>
            </w:r>
          </w:p>
        </w:tc>
        <w:tc>
          <w:tcPr>
            <w:tcW w:w="3765" w:type="dxa"/>
          </w:tcPr>
          <w:p w:rsidR="00BD5399" w:rsidRPr="00BD5399" w:rsidRDefault="00BD5399" w:rsidP="00BD5399">
            <w:r w:rsidRPr="001F00F1">
              <w:t xml:space="preserve">weekly return intervals, OLS/LAD/MM/TS regressions, value/equal weight fixed portfolios, </w:t>
            </w:r>
            <w:r w:rsidRPr="00BD5399">
              <w:t>multiple estimation periods, re-levered estimates, 6 comparators</w:t>
            </w:r>
          </w:p>
        </w:tc>
      </w:tr>
      <w:tr w:rsidR="00BD5399"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BD5399" w:rsidRPr="00BD5399" w:rsidRDefault="00BD5399" w:rsidP="00BD5399">
            <w:r>
              <w:t>SFG 2013</w:t>
            </w:r>
          </w:p>
        </w:tc>
        <w:tc>
          <w:tcPr>
            <w:tcW w:w="850" w:type="dxa"/>
          </w:tcPr>
          <w:p w:rsidR="00BD5399" w:rsidRPr="00BD5399" w:rsidRDefault="00BD5399" w:rsidP="00BD5399">
            <w:r>
              <w:t>2002–2013</w:t>
            </w:r>
          </w:p>
        </w:tc>
        <w:tc>
          <w:tcPr>
            <w:tcW w:w="992" w:type="dxa"/>
          </w:tcPr>
          <w:p w:rsidR="00BD5399" w:rsidRPr="00BD5399" w:rsidRDefault="00BD5399" w:rsidP="00BD5399">
            <w:r>
              <w:t>0.60</w:t>
            </w:r>
          </w:p>
        </w:tc>
        <w:tc>
          <w:tcPr>
            <w:tcW w:w="993" w:type="dxa"/>
          </w:tcPr>
          <w:p w:rsidR="00BD5399" w:rsidRPr="00BD5399" w:rsidRDefault="00BD5399" w:rsidP="00BD5399">
            <w:r>
              <w:t>n/a</w:t>
            </w:r>
          </w:p>
        </w:tc>
        <w:tc>
          <w:tcPr>
            <w:tcW w:w="992" w:type="dxa"/>
          </w:tcPr>
          <w:p w:rsidR="00BD5399" w:rsidRPr="00BD5399" w:rsidRDefault="00BD5399" w:rsidP="00BD5399">
            <w:r>
              <w:t>0.55</w:t>
            </w:r>
          </w:p>
        </w:tc>
        <w:tc>
          <w:tcPr>
            <w:tcW w:w="3765" w:type="dxa"/>
          </w:tcPr>
          <w:p w:rsidR="00BD5399" w:rsidRPr="00BD5399" w:rsidRDefault="00BD5399" w:rsidP="00BD5399">
            <w:r w:rsidRPr="001F00F1">
              <w:t>OLS regressions, four weekly repeat sampling, Vasicek</w:t>
            </w:r>
            <w:r w:rsidRPr="00BD5399">
              <w:t xml:space="preserve"> adjustment, re-levered estimates, 9 comparators</w:t>
            </w:r>
          </w:p>
        </w:tc>
      </w:tr>
      <w:tr w:rsidR="00BD5399" w:rsidTr="009D1AA8">
        <w:tc>
          <w:tcPr>
            <w:tcW w:w="1101" w:type="dxa"/>
          </w:tcPr>
          <w:p w:rsidR="00BD5399" w:rsidRPr="00BD5399" w:rsidRDefault="00BD5399" w:rsidP="00BD5399">
            <w:r>
              <w:t>ERA 2012</w:t>
            </w:r>
          </w:p>
        </w:tc>
        <w:tc>
          <w:tcPr>
            <w:tcW w:w="850" w:type="dxa"/>
          </w:tcPr>
          <w:p w:rsidR="00BD5399" w:rsidRPr="00BD5399" w:rsidRDefault="00BD5399" w:rsidP="00BD5399">
            <w:r>
              <w:t>2002–2011</w:t>
            </w:r>
          </w:p>
        </w:tc>
        <w:tc>
          <w:tcPr>
            <w:tcW w:w="992" w:type="dxa"/>
          </w:tcPr>
          <w:p w:rsidR="00BD5399" w:rsidRPr="00BD5399" w:rsidRDefault="00BD5399" w:rsidP="00BD5399">
            <w:r>
              <w:t>0.44–0.60</w:t>
            </w:r>
          </w:p>
        </w:tc>
        <w:tc>
          <w:tcPr>
            <w:tcW w:w="993" w:type="dxa"/>
          </w:tcPr>
          <w:p w:rsidR="00BD5399" w:rsidRPr="00BD5399" w:rsidRDefault="00BD5399" w:rsidP="00BD5399">
            <w:r>
              <w:t>n/a</w:t>
            </w:r>
          </w:p>
        </w:tc>
        <w:tc>
          <w:tcPr>
            <w:tcW w:w="992" w:type="dxa"/>
          </w:tcPr>
          <w:p w:rsidR="00BD5399" w:rsidRPr="00BD5399" w:rsidRDefault="00BD5399" w:rsidP="00BD5399">
            <w:r>
              <w:t>n/a</w:t>
            </w:r>
          </w:p>
        </w:tc>
        <w:tc>
          <w:tcPr>
            <w:tcW w:w="3765" w:type="dxa"/>
          </w:tcPr>
          <w:p w:rsidR="00BD5399" w:rsidRPr="00BD5399" w:rsidRDefault="00BD5399" w:rsidP="00BD5399">
            <w:r w:rsidRPr="001F00F1">
              <w:t xml:space="preserve">weekly/monthly </w:t>
            </w:r>
            <w:r w:rsidRPr="00BD5399">
              <w:t>return intervals, OLS/LAD regressions, re-levered estimates, 9 comparators</w:t>
            </w:r>
          </w:p>
        </w:tc>
      </w:tr>
      <w:tr w:rsidR="00BD5399"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BD5399" w:rsidRPr="00BD5399" w:rsidRDefault="00BD5399" w:rsidP="00BD5399">
            <w:r>
              <w:t>Henry 2009</w:t>
            </w:r>
          </w:p>
        </w:tc>
        <w:tc>
          <w:tcPr>
            <w:tcW w:w="850" w:type="dxa"/>
          </w:tcPr>
          <w:p w:rsidR="00BD5399" w:rsidRPr="00BD5399" w:rsidRDefault="00BD5399" w:rsidP="00BD5399">
            <w:r>
              <w:t>2002–2008</w:t>
            </w:r>
          </w:p>
        </w:tc>
        <w:tc>
          <w:tcPr>
            <w:tcW w:w="992" w:type="dxa"/>
          </w:tcPr>
          <w:p w:rsidR="00BD5399" w:rsidRPr="00BD5399" w:rsidRDefault="00BD5399" w:rsidP="00BD5399">
            <w:r>
              <w:t>0.45–0.71</w:t>
            </w:r>
          </w:p>
        </w:tc>
        <w:tc>
          <w:tcPr>
            <w:tcW w:w="993" w:type="dxa"/>
          </w:tcPr>
          <w:p w:rsidR="00BD5399" w:rsidRPr="00BD5399" w:rsidRDefault="00BD5399" w:rsidP="00BD5399">
            <w:r>
              <w:t>0.35–0.94</w:t>
            </w:r>
            <w:r w:rsidRPr="00BD5399">
              <w:rPr>
                <w:rStyle w:val="AERsuperscript"/>
              </w:rPr>
              <w:t>(e)</w:t>
            </w:r>
          </w:p>
        </w:tc>
        <w:tc>
          <w:tcPr>
            <w:tcW w:w="992" w:type="dxa"/>
          </w:tcPr>
          <w:p w:rsidR="00BD5399" w:rsidRPr="00BD5399" w:rsidRDefault="00BD5399" w:rsidP="00BD5399">
            <w:r>
              <w:t>0.41</w:t>
            </w:r>
            <w:r>
              <w:softHyphen/>
              <w:t>–0.78</w:t>
            </w:r>
          </w:p>
        </w:tc>
        <w:tc>
          <w:tcPr>
            <w:tcW w:w="3765" w:type="dxa"/>
          </w:tcPr>
          <w:p w:rsidR="00BD5399" w:rsidRPr="00BD5399" w:rsidRDefault="00BD5399" w:rsidP="00BD5399">
            <w:r w:rsidRPr="001F00F1">
              <w:t xml:space="preserve">weekly/monthly return </w:t>
            </w:r>
            <w:r w:rsidRPr="00BD5399">
              <w:t>intervals, various estimation periods, OLS/LAD regressions, value/equal weight fixed portfolios, average/median varying portfolios, re-levered estimates, 9 comparators</w:t>
            </w:r>
          </w:p>
        </w:tc>
      </w:tr>
      <w:tr w:rsidR="00BD5399" w:rsidTr="009D1AA8">
        <w:tc>
          <w:tcPr>
            <w:tcW w:w="1101" w:type="dxa"/>
          </w:tcPr>
          <w:p w:rsidR="00BD5399" w:rsidRPr="00BD5399" w:rsidRDefault="00BD5399" w:rsidP="00BD5399">
            <w:r>
              <w:t>ACG 2009</w:t>
            </w:r>
            <w:r w:rsidRPr="00BD5399">
              <w:rPr>
                <w:rStyle w:val="AERsuperscript"/>
              </w:rPr>
              <w:t>(f)</w:t>
            </w:r>
          </w:p>
        </w:tc>
        <w:tc>
          <w:tcPr>
            <w:tcW w:w="850" w:type="dxa"/>
          </w:tcPr>
          <w:p w:rsidR="00BD5399" w:rsidRPr="00BD5399" w:rsidRDefault="00BD5399" w:rsidP="00BD5399">
            <w:r>
              <w:t>1990–2008</w:t>
            </w:r>
          </w:p>
        </w:tc>
        <w:tc>
          <w:tcPr>
            <w:tcW w:w="992" w:type="dxa"/>
          </w:tcPr>
          <w:p w:rsidR="00BD5399" w:rsidRPr="00BD5399" w:rsidRDefault="00BD5399" w:rsidP="00BD5399">
            <w:r>
              <w:t>0.50–0.58</w:t>
            </w:r>
          </w:p>
        </w:tc>
        <w:tc>
          <w:tcPr>
            <w:tcW w:w="993" w:type="dxa"/>
          </w:tcPr>
          <w:p w:rsidR="00BD5399" w:rsidRPr="00BD5399" w:rsidRDefault="00BD5399" w:rsidP="00BD5399">
            <w:r>
              <w:t>n/a</w:t>
            </w:r>
          </w:p>
        </w:tc>
        <w:tc>
          <w:tcPr>
            <w:tcW w:w="992" w:type="dxa"/>
          </w:tcPr>
          <w:p w:rsidR="00BD5399" w:rsidRPr="00BD5399" w:rsidRDefault="00BD5399" w:rsidP="00BD5399">
            <w:r>
              <w:t>0.69–0.91</w:t>
            </w:r>
          </w:p>
        </w:tc>
        <w:tc>
          <w:tcPr>
            <w:tcW w:w="3765" w:type="dxa"/>
          </w:tcPr>
          <w:p w:rsidR="00BD5399" w:rsidRPr="00BD5399" w:rsidRDefault="00BD5399" w:rsidP="00BD5399">
            <w:r w:rsidRPr="001F00F1">
              <w:t>monthly return intervals, OLS/LAD regressions, multiple estimation periods, raw/re-levered estimates, average/median varying portfolios, 9 comparators</w:t>
            </w:r>
          </w:p>
        </w:tc>
      </w:tr>
      <w:tr w:rsidR="00BD5399"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BD5399" w:rsidRPr="00BD5399" w:rsidRDefault="00BD5399" w:rsidP="00BD5399">
            <w:r>
              <w:t>Henry 2008</w:t>
            </w:r>
          </w:p>
        </w:tc>
        <w:tc>
          <w:tcPr>
            <w:tcW w:w="850" w:type="dxa"/>
          </w:tcPr>
          <w:p w:rsidR="00BD5399" w:rsidRPr="00BD5399" w:rsidRDefault="00BD5399" w:rsidP="00BD5399">
            <w:r>
              <w:t>2002–2008</w:t>
            </w:r>
          </w:p>
        </w:tc>
        <w:tc>
          <w:tcPr>
            <w:tcW w:w="992" w:type="dxa"/>
          </w:tcPr>
          <w:p w:rsidR="00BD5399" w:rsidRPr="00BD5399" w:rsidRDefault="00BD5399" w:rsidP="00BD5399">
            <w:r>
              <w:t>0.35–0.67</w:t>
            </w:r>
          </w:p>
        </w:tc>
        <w:tc>
          <w:tcPr>
            <w:tcW w:w="993" w:type="dxa"/>
          </w:tcPr>
          <w:p w:rsidR="00BD5399" w:rsidRPr="00BD5399" w:rsidRDefault="00BD5399" w:rsidP="00BD5399">
            <w:r>
              <w:t>0.31–0.77</w:t>
            </w:r>
            <w:r w:rsidRPr="00BD5399">
              <w:rPr>
                <w:rStyle w:val="AERsuperscript"/>
              </w:rPr>
              <w:t>(g)</w:t>
            </w:r>
          </w:p>
        </w:tc>
        <w:tc>
          <w:tcPr>
            <w:tcW w:w="992" w:type="dxa"/>
          </w:tcPr>
          <w:p w:rsidR="00BD5399" w:rsidRPr="00BD5399" w:rsidRDefault="00BD5399" w:rsidP="00BD5399">
            <w:r>
              <w:t>n/a</w:t>
            </w:r>
          </w:p>
        </w:tc>
        <w:tc>
          <w:tcPr>
            <w:tcW w:w="3765" w:type="dxa"/>
          </w:tcPr>
          <w:p w:rsidR="00BD5399" w:rsidRPr="00BD5399" w:rsidRDefault="00BD5399" w:rsidP="00BD5399">
            <w:r w:rsidRPr="001F00F1">
              <w:t xml:space="preserve">daily/weekly/monthly return intervals, discrete/continuous returns, various estimation periods, OLS/LAD regressions, value/equal weight portfolios, raw/re-levered estimates, no adjustment/Vasicek/Blume, 10 comparators </w:t>
            </w:r>
          </w:p>
        </w:tc>
      </w:tr>
    </w:tbl>
    <w:p w:rsidR="00352220" w:rsidRPr="00EB6387" w:rsidRDefault="00352220" w:rsidP="00352220">
      <w:pPr>
        <w:pStyle w:val="AERtablesource"/>
      </w:pPr>
      <w:r w:rsidRPr="00660C1E">
        <w:t>Source:</w:t>
      </w:r>
      <w:r w:rsidRPr="00660C1E">
        <w:tab/>
        <w:t>AER analysis</w:t>
      </w:r>
      <w:r w:rsidRPr="00EB6387">
        <w:t>.</w:t>
      </w:r>
      <w:r w:rsidRPr="00EB6387">
        <w:rPr>
          <w:rStyle w:val="FootnoteReference"/>
        </w:rPr>
        <w:footnoteReference w:id="1093"/>
      </w:r>
    </w:p>
    <w:p w:rsidR="00BD5399" w:rsidRDefault="00BD5399" w:rsidP="00BD5399">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BD5399" w:rsidRPr="00660C1E" w:rsidRDefault="00BD5399" w:rsidP="00BD5399">
      <w:pPr>
        <w:pStyle w:val="AERtablesource"/>
      </w:pPr>
      <w:r w:rsidRPr="00660C1E">
        <w:t>(</w:t>
      </w:r>
      <w:r>
        <w:t>b</w:t>
      </w:r>
      <w:r w:rsidRPr="00660C1E">
        <w:t>)</w:t>
      </w:r>
      <w:r w:rsidRPr="00660C1E">
        <w:tab/>
      </w:r>
      <w:r>
        <w:t>These estimates are based on five-year and one year data to June 2016 for the 4 remaining comparator firms (AST, DUE, SKI and APA).</w:t>
      </w:r>
    </w:p>
    <w:p w:rsidR="00BD5399" w:rsidRPr="00660C1E" w:rsidRDefault="00BD5399" w:rsidP="00BD5399">
      <w:pPr>
        <w:pStyle w:val="AERtablesource"/>
      </w:pPr>
      <w:r w:rsidRPr="00660C1E">
        <w:t>(</w:t>
      </w:r>
      <w:r>
        <w:t>c</w:t>
      </w:r>
      <w:r w:rsidRPr="00660C1E">
        <w:t>)</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BD5399" w:rsidRPr="00660C1E" w:rsidRDefault="00BD5399" w:rsidP="00BD5399">
      <w:pPr>
        <w:pStyle w:val="AERtablesource"/>
      </w:pPr>
      <w:r w:rsidRPr="00660C1E">
        <w:t>(</w:t>
      </w:r>
      <w:r>
        <w:t>d</w:t>
      </w:r>
      <w:r w:rsidRPr="00660C1E">
        <w:t>)</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BD5399" w:rsidRPr="00660C1E" w:rsidRDefault="00BD5399" w:rsidP="00BD5399">
      <w:pPr>
        <w:pStyle w:val="AERtablesource"/>
      </w:pPr>
      <w:r w:rsidRPr="00660C1E">
        <w:t>(</w:t>
      </w:r>
      <w:r>
        <w:t>e</w:t>
      </w:r>
      <w:r w:rsidRPr="00660C1E">
        <w:t>)</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BD5399" w:rsidRDefault="00BD5399" w:rsidP="00BD5399">
      <w:pPr>
        <w:pStyle w:val="AERtablesource"/>
      </w:pPr>
      <w:r>
        <w:t>(f</w:t>
      </w:r>
      <w:r w:rsidRPr="00660C1E">
        <w:t>)</w:t>
      </w:r>
      <w:r w:rsidRPr="00660C1E">
        <w:tab/>
        <w:t>ACG did not make it clear what time period its data covered. However, it noted that equity beta estimates were only used where there were more than 20 observations.</w:t>
      </w:r>
    </w:p>
    <w:p w:rsidR="00352220" w:rsidRDefault="00BD5399" w:rsidP="00BD5399">
      <w:pPr>
        <w:pStyle w:val="AERtablesource"/>
      </w:pPr>
      <w:r w:rsidRPr="00660C1E">
        <w:t>(</w:t>
      </w:r>
      <w:r>
        <w:t>g</w:t>
      </w:r>
      <w:r w:rsidRPr="00660C1E">
        <w:t>)</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5A28D5" w:rsidRDefault="00352220" w:rsidP="006E5878">
      <w:r>
        <w:t>We</w:t>
      </w:r>
      <w:r w:rsidRPr="00352220">
        <w:t xml:space="preserve"> note</w:t>
      </w:r>
      <w:r w:rsidR="005F7600">
        <w:t xml:space="preserve"> AusNet Services </w:t>
      </w:r>
      <w:r w:rsidRPr="00352220">
        <w:t xml:space="preserve"> submitted more recent Australian empirical estimates of equity beta since our previous regulatory decision. The new material </w:t>
      </w:r>
      <w:r w:rsidR="00F469D8">
        <w:t xml:space="preserve"> is a</w:t>
      </w:r>
      <w:r w:rsidRPr="00352220">
        <w:t xml:space="preserve"> September 2016 CEG report that claim replication and extension of Henry’s 2014 empirical Australian estimates of equity beta</w:t>
      </w:r>
      <w:r w:rsidRPr="00352220">
        <w:rPr>
          <w:rStyle w:val="FootnoteReference"/>
        </w:rPr>
        <w:footnoteReference w:id="1094"/>
      </w:r>
    </w:p>
    <w:p w:rsidR="00352220" w:rsidRPr="00352220" w:rsidRDefault="00352220" w:rsidP="006E5878">
      <w:pPr>
        <w:pStyle w:val="AERbulletlistfirststyle"/>
        <w:numPr>
          <w:ilvl w:val="0"/>
          <w:numId w:val="0"/>
        </w:numPr>
      </w:pPr>
      <w:r>
        <w:t xml:space="preserve">After considering these materials, we are of the view that </w:t>
      </w:r>
      <w:r w:rsidRPr="00352220">
        <w:t xml:space="preserve">they do not provide satisfactory evidence to depart from our empirical range of 0.4–0.7 and point estimate of 0.7. </w:t>
      </w:r>
    </w:p>
    <w:p w:rsidR="00352220" w:rsidRPr="00352220" w:rsidRDefault="00352220" w:rsidP="00A164C0">
      <w:pPr>
        <w:pStyle w:val="AERbulletlistfirststyle"/>
        <w:numPr>
          <w:ilvl w:val="0"/>
          <w:numId w:val="0"/>
        </w:numPr>
      </w:pPr>
      <w:r>
        <w:t>We discuss this material below.</w:t>
      </w:r>
    </w:p>
    <w:p w:rsidR="00352220" w:rsidRPr="0070354B" w:rsidRDefault="00352220" w:rsidP="00352220">
      <w:pPr>
        <w:pStyle w:val="Heading9"/>
      </w:pPr>
      <w:r w:rsidRPr="0070354B">
        <w:t>September 2016 CEG reports</w:t>
      </w:r>
    </w:p>
    <w:p w:rsidR="00352220" w:rsidRDefault="00352220" w:rsidP="00352220">
      <w:pPr>
        <w:rPr>
          <w:rStyle w:val="AERbody"/>
        </w:rPr>
      </w:pPr>
      <w:r>
        <w:t>We</w:t>
      </w:r>
      <w:r w:rsidRPr="00352220">
        <w:t xml:space="preserve"> note AusNet Services has adopted the Guideline equity beta of 0.7 but still submitted </w:t>
      </w:r>
      <w:r>
        <w:rPr>
          <w:rStyle w:val="AERbody"/>
        </w:rPr>
        <w:t>CEG's September 2016 report in support of a higher beta. We note CEG's main conclusions are:</w:t>
      </w:r>
    </w:p>
    <w:p w:rsidR="00352220" w:rsidRDefault="00352220" w:rsidP="00352220">
      <w:pPr>
        <w:pStyle w:val="AERbulletlistfirststyle"/>
      </w:pPr>
      <w:r>
        <w:t>CEG's extension of Henry's estimates to June 2016 suggest that empirical estimates of equity have increased since Henry's 2014 report</w:t>
      </w:r>
    </w:p>
    <w:p w:rsidR="00352220" w:rsidRPr="00352220" w:rsidRDefault="00352220" w:rsidP="00A164C0">
      <w:pPr>
        <w:pStyle w:val="AERbulletlistfirststyle"/>
      </w:pPr>
      <w:r>
        <w:t>CEG's more recent estimates (one year and five year estimates to June 2016) for still listed firms indicate a more prominent increase in the equity beta</w:t>
      </w:r>
    </w:p>
    <w:p w:rsidR="00352220" w:rsidRDefault="00352220" w:rsidP="00352220">
      <w:pPr>
        <w:rPr>
          <w:rStyle w:val="AERbody"/>
        </w:rPr>
      </w:pPr>
      <w:r>
        <w:rPr>
          <w:rStyle w:val="AERbody"/>
        </w:rPr>
        <w:t>We discuss each conclusion below.</w:t>
      </w:r>
    </w:p>
    <w:p w:rsidR="00352220" w:rsidRDefault="00352220" w:rsidP="009D1AA8">
      <w:pPr>
        <w:pStyle w:val="HeadingBoldItalic"/>
        <w:rPr>
          <w:rStyle w:val="AERtextorange"/>
        </w:rPr>
      </w:pPr>
      <w:r>
        <w:rPr>
          <w:rStyle w:val="AERtextorange"/>
        </w:rPr>
        <w:t>Extension of Henry's results</w:t>
      </w:r>
    </w:p>
    <w:p w:rsidR="00352220" w:rsidRPr="00D609EE" w:rsidRDefault="00352220" w:rsidP="00352220">
      <w:r>
        <w:t>CEG extended</w:t>
      </w:r>
      <w:r w:rsidRPr="00D609EE">
        <w:t xml:space="preserve"> Henry’s estimates to June 2016 </w:t>
      </w:r>
      <w:r>
        <w:t xml:space="preserve">and concluded </w:t>
      </w:r>
      <w:r w:rsidRPr="00D609EE">
        <w:t>that empirical estimates of equity beta have increased since Henry’s 2014 report</w:t>
      </w:r>
      <w:r>
        <w:t xml:space="preserve"> based on the following results</w:t>
      </w:r>
      <w:r w:rsidRPr="00D609EE">
        <w:t xml:space="preserve">: </w:t>
      </w:r>
    </w:p>
    <w:p w:rsidR="00352220" w:rsidRDefault="00352220" w:rsidP="00352220">
      <w:pPr>
        <w:pStyle w:val="AERbulletlistfirststyle"/>
      </w:pPr>
      <w:r>
        <w:t>Individual firm estimates show that the average re-levered equity beta has increased by around (0.04) since the end of Henry’s sample period (or an increase of around 0.09 for firms with 3 years of additional data is available)</w:t>
      </w:r>
      <w:r>
        <w:rPr>
          <w:rStyle w:val="FootnoteReference"/>
        </w:rPr>
        <w:footnoteReference w:id="1095"/>
      </w:r>
    </w:p>
    <w:p w:rsidR="00352220" w:rsidRPr="00D609EE" w:rsidRDefault="00352220" w:rsidP="00352220">
      <w:pPr>
        <w:pStyle w:val="AERbulletlistfirststyle"/>
      </w:pPr>
      <w:r>
        <w:t>Weekly equal weighted portfolio beta show that average beta has increased by around 0.04 since the end of Henry’s sample period (or an increase of around 0.07 for portfolios for which additional data is available)</w:t>
      </w:r>
      <w:r w:rsidRPr="00D609EE">
        <w:rPr>
          <w:rStyle w:val="FootnoteReference"/>
        </w:rPr>
        <w:footnoteReference w:id="1096"/>
      </w:r>
      <w:r w:rsidRPr="00D609EE">
        <w:rPr>
          <w:rStyle w:val="FootnoteReference"/>
        </w:rPr>
        <w:t xml:space="preserve"> </w:t>
      </w:r>
    </w:p>
    <w:p w:rsidR="00352220" w:rsidRPr="00352220" w:rsidRDefault="00352220" w:rsidP="00A164C0">
      <w:pPr>
        <w:pStyle w:val="AERbulletlistfirststyle"/>
        <w:rPr>
          <w:rStyle w:val="AERbody"/>
        </w:rPr>
      </w:pPr>
      <w:r>
        <w:t>W</w:t>
      </w:r>
      <w:r w:rsidRPr="00352220">
        <w:t>eekly value weighted portfolio beta show that re-levered equity beta has increased by around 0.05 since the end of Henry’s sample period (or an increase of around 0.1 for portfolios for which additional data is available)</w:t>
      </w:r>
      <w:r w:rsidRPr="00352220">
        <w:rPr>
          <w:rStyle w:val="FootnoteReference"/>
        </w:rPr>
        <w:footnoteReference w:id="1097"/>
      </w:r>
    </w:p>
    <w:p w:rsidR="00352220" w:rsidRPr="00A164C0" w:rsidRDefault="00352220" w:rsidP="00352220">
      <w:pPr>
        <w:rPr>
          <w:rStyle w:val="AERbody"/>
        </w:rPr>
      </w:pPr>
      <w:r w:rsidRPr="00A164C0">
        <w:rPr>
          <w:rStyle w:val="AERbody"/>
        </w:rPr>
        <w:t>Having analysed CEG’s results, we do not consider that CEG’s extension provides satisfactory evidence of a material change in equity beta estimates</w:t>
      </w:r>
      <w:r>
        <w:rPr>
          <w:rStyle w:val="AERbody"/>
        </w:rPr>
        <w:t xml:space="preserve"> to warrant departure from our empirical range of 0.4–0.7 and point estimate of 0.7</w:t>
      </w:r>
      <w:r w:rsidRPr="00A164C0">
        <w:rPr>
          <w:rStyle w:val="AERbody"/>
        </w:rPr>
        <w:t xml:space="preserve"> for a number of reasons, including: </w:t>
      </w:r>
    </w:p>
    <w:p w:rsidR="00352220" w:rsidRPr="00352220" w:rsidRDefault="00352220" w:rsidP="00A164C0">
      <w:pPr>
        <w:pStyle w:val="AERbulletlistfirststyle"/>
        <w:rPr>
          <w:rStyle w:val="AERbody"/>
          <w:rFonts w:cstheme="minorBidi"/>
        </w:rPr>
      </w:pPr>
      <w:r w:rsidRPr="00A164C0">
        <w:rPr>
          <w:rStyle w:val="AERbody"/>
        </w:rPr>
        <w:t xml:space="preserve">There is no statistical test to see if the </w:t>
      </w:r>
      <w:r w:rsidRPr="00352220">
        <w:rPr>
          <w:rStyle w:val="AERbody"/>
        </w:rPr>
        <w:t>empirical estimates</w:t>
      </w:r>
      <w:r w:rsidRPr="00A164C0">
        <w:rPr>
          <w:rStyle w:val="AERbody"/>
        </w:rPr>
        <w:t xml:space="preserve"> ha</w:t>
      </w:r>
      <w:r w:rsidRPr="00352220">
        <w:rPr>
          <w:rStyle w:val="AERbody"/>
        </w:rPr>
        <w:t>ve</w:t>
      </w:r>
      <w:r w:rsidRPr="00A164C0">
        <w:rPr>
          <w:rStyle w:val="AERbody"/>
        </w:rPr>
        <w:t xml:space="preserve"> changed significantly from Henry’s results</w:t>
      </w:r>
      <w:r w:rsidRPr="00352220">
        <w:rPr>
          <w:rStyle w:val="AERbody"/>
        </w:rPr>
        <w:t xml:space="preserve"> at a statistically significant level</w:t>
      </w:r>
      <w:r w:rsidRPr="00A164C0">
        <w:rPr>
          <w:rStyle w:val="AERbody"/>
        </w:rPr>
        <w:t>.</w:t>
      </w:r>
    </w:p>
    <w:p w:rsidR="00352220" w:rsidRPr="00352220" w:rsidRDefault="00352220" w:rsidP="00A164C0">
      <w:pPr>
        <w:pStyle w:val="AERbulletlistfirststyle"/>
        <w:rPr>
          <w:rStyle w:val="AERbody"/>
        </w:rPr>
      </w:pPr>
      <w:r w:rsidRPr="00A164C0">
        <w:rPr>
          <w:rStyle w:val="AERbody"/>
        </w:rPr>
        <w:t>We note</w:t>
      </w:r>
      <w:r w:rsidRPr="00352220">
        <w:rPr>
          <w:rStyle w:val="AERbody"/>
        </w:rPr>
        <w:t xml:space="preserve"> CEG's replication are generally higher than Henry's original results. In particular,</w:t>
      </w:r>
      <w:r w:rsidRPr="00A164C0">
        <w:rPr>
          <w:rStyle w:val="AERbody"/>
        </w:rPr>
        <w:t xml:space="preserve"> CEG’s </w:t>
      </w:r>
      <w:r w:rsidRPr="00352220">
        <w:rPr>
          <w:rStyle w:val="AERbody"/>
        </w:rPr>
        <w:t xml:space="preserve">replication of SKI's re-levered beta is </w:t>
      </w:r>
      <w:r w:rsidRPr="00A164C0">
        <w:rPr>
          <w:rStyle w:val="AERbody"/>
        </w:rPr>
        <w:t>57 per cent higher than Henry’s estimate which would drive differences between CEG’s replication (and extension) and Henry’s original results</w:t>
      </w:r>
      <w:r w:rsidRPr="00352220">
        <w:rPr>
          <w:rStyle w:val="AERtextsize8"/>
        </w:rPr>
        <w:t>.</w:t>
      </w:r>
      <w:r w:rsidRPr="00352220">
        <w:rPr>
          <w:rStyle w:val="FootnoteReference"/>
        </w:rPr>
        <w:footnoteReference w:id="1098"/>
      </w:r>
      <w:r w:rsidRPr="00352220">
        <w:rPr>
          <w:rStyle w:val="AERtextsize8"/>
        </w:rPr>
        <w:t xml:space="preserve"> </w:t>
      </w:r>
      <w:r w:rsidRPr="00352220">
        <w:rPr>
          <w:rStyle w:val="AERbody"/>
        </w:rPr>
        <w:t>CEG also acknowledged the discrepancy between its replication and Henry's results</w:t>
      </w:r>
      <w:r w:rsidRPr="00A164C0">
        <w:rPr>
          <w:rStyle w:val="AERbody"/>
        </w:rPr>
        <w:t>.</w:t>
      </w:r>
      <w:r w:rsidRPr="00352220">
        <w:rPr>
          <w:rStyle w:val="FootnoteReference"/>
        </w:rPr>
        <w:footnoteReference w:id="1099"/>
      </w:r>
      <w:r w:rsidRPr="00352220">
        <w:rPr>
          <w:rStyle w:val="AERtextsize8"/>
        </w:rPr>
        <w:t xml:space="preserve"> </w:t>
      </w:r>
    </w:p>
    <w:p w:rsidR="00352220" w:rsidRPr="00EA732D" w:rsidRDefault="00352220" w:rsidP="00352220">
      <w:pPr>
        <w:pStyle w:val="AERbulletlistfirststyle"/>
      </w:pPr>
      <w:r w:rsidRPr="0056528A">
        <w:rPr>
          <w:rStyle w:val="AERbody"/>
        </w:rPr>
        <w:t>CEG’s extension does not suggest a material change in empirical estimates to warrant departure from our range of 0.4–0.7 and point estimate of 0.7</w:t>
      </w:r>
      <w:r w:rsidRPr="00EA732D">
        <w:rPr>
          <w:rStyle w:val="AERtextsize8"/>
        </w:rPr>
        <w:t xml:space="preserve">. </w:t>
      </w:r>
      <w:r w:rsidRPr="00EA732D">
        <w:t xml:space="preserve">For example: </w:t>
      </w:r>
    </w:p>
    <w:p w:rsidR="00352220" w:rsidRPr="00EA732D" w:rsidRDefault="00352220" w:rsidP="00352220">
      <w:pPr>
        <w:pStyle w:val="AERbulletlistsecondstyle"/>
        <w:rPr>
          <w:rStyle w:val="AERtextsize8"/>
        </w:rPr>
      </w:pPr>
      <w:r>
        <w:t>T</w:t>
      </w:r>
      <w:r w:rsidRPr="00EA732D">
        <w:t>he average re-levered firm-level estimates increased slightly (by 0.042) from 0.554 to 0.596. The average re-levered portfolio estimates increased by a similar magnitude.</w:t>
      </w:r>
      <w:r>
        <w:t xml:space="preserve"> These estimates are consistent with our range of 0.4–0.7.</w:t>
      </w:r>
    </w:p>
    <w:p w:rsidR="00352220" w:rsidRPr="00EA732D" w:rsidRDefault="00352220" w:rsidP="00352220">
      <w:pPr>
        <w:pStyle w:val="AERbulletlistsecondstyle"/>
        <w:rPr>
          <w:rStyle w:val="AERbody"/>
        </w:rPr>
      </w:pPr>
      <w:r>
        <w:rPr>
          <w:rStyle w:val="AERbody"/>
        </w:rPr>
        <w:t xml:space="preserve">Partington and Satchell advised that </w:t>
      </w:r>
      <w:r w:rsidRPr="00EA732D">
        <w:rPr>
          <w:rStyle w:val="AERbody"/>
        </w:rPr>
        <w:t>'with one exception, all the betas resulting from [CEG’s extension of individual firm beta estimates (longest time period) lay within the 95% confidence interval of Henry’s estimates].</w:t>
      </w:r>
      <w:r w:rsidRPr="00EA732D">
        <w:rPr>
          <w:rStyle w:val="FootnoteReference"/>
        </w:rPr>
        <w:footnoteReference w:id="1100"/>
      </w:r>
      <w:r w:rsidRPr="00EA732D">
        <w:rPr>
          <w:rStyle w:val="AERbody"/>
        </w:rPr>
        <w:t xml:space="preserve"> For equally weighted portfolios, only one portfolio (P5) lay outside the 95% confidence intervals of Henry’s estimates.</w:t>
      </w:r>
      <w:r>
        <w:rPr>
          <w:rStyle w:val="AERbody"/>
        </w:rPr>
        <w:t xml:space="preserve"> This does not suggest a material change in empirical estimates of equity beta.</w:t>
      </w:r>
    </w:p>
    <w:p w:rsidR="00352220" w:rsidRPr="00A164C0" w:rsidRDefault="00352220" w:rsidP="00A164C0">
      <w:pPr>
        <w:pStyle w:val="AERbulletlistsecondstyle"/>
        <w:rPr>
          <w:rStyle w:val="AERbody"/>
        </w:rPr>
      </w:pPr>
      <w:r w:rsidRPr="00EA732D">
        <w:rPr>
          <w:rStyle w:val="AERbody"/>
        </w:rPr>
        <w:t xml:space="preserve">CEG's observed 'increases' in the equity beta </w:t>
      </w:r>
      <w:r w:rsidRPr="00352220">
        <w:rPr>
          <w:rStyle w:val="AERbody"/>
        </w:rPr>
        <w:t>would be overstated due to discrepancies with Henry's original results.</w:t>
      </w:r>
    </w:p>
    <w:p w:rsidR="00352220" w:rsidRPr="00A164C0" w:rsidRDefault="00352220" w:rsidP="00A164C0">
      <w:pPr>
        <w:pStyle w:val="AERbulletlistfirststyle"/>
        <w:rPr>
          <w:rStyle w:val="AERbody"/>
        </w:rPr>
      </w:pPr>
      <w:r w:rsidRPr="00A164C0">
        <w:rPr>
          <w:rStyle w:val="AERbody"/>
        </w:rPr>
        <w:t>Given the above</w:t>
      </w:r>
      <w:r w:rsidRPr="00352220">
        <w:rPr>
          <w:rStyle w:val="AERbody"/>
        </w:rPr>
        <w:t xml:space="preserve"> discrepancy with re-levered equity betas</w:t>
      </w:r>
      <w:r w:rsidRPr="00A164C0">
        <w:rPr>
          <w:rStyle w:val="AERbody"/>
        </w:rPr>
        <w:t xml:space="preserve">, </w:t>
      </w:r>
      <w:r w:rsidRPr="00352220">
        <w:rPr>
          <w:rStyle w:val="AERbody"/>
        </w:rPr>
        <w:t>a</w:t>
      </w:r>
      <w:r w:rsidRPr="00A164C0">
        <w:rPr>
          <w:rStyle w:val="AERbody"/>
        </w:rPr>
        <w:t xml:space="preserve"> comparison of the asset betas (of Henry’s original results and CEG’s extension) shows </w:t>
      </w:r>
      <w:r w:rsidRPr="00352220">
        <w:rPr>
          <w:rStyle w:val="AERbody"/>
        </w:rPr>
        <w:t>little</w:t>
      </w:r>
      <w:r w:rsidRPr="00A164C0">
        <w:rPr>
          <w:rStyle w:val="AERbody"/>
        </w:rPr>
        <w:t xml:space="preserve"> change. </w:t>
      </w:r>
      <w:r w:rsidRPr="00352220">
        <w:rPr>
          <w:rStyle w:val="AERbody"/>
        </w:rPr>
        <w:t>Partington and Satchell also agreed that ‘all increases seem rather small and are very likely statistically insignificant’.</w:t>
      </w:r>
      <w:r w:rsidRPr="00352220">
        <w:rPr>
          <w:rStyle w:val="FootnoteReference"/>
        </w:rPr>
        <w:footnoteReference w:id="1101"/>
      </w:r>
    </w:p>
    <w:p w:rsidR="00352220" w:rsidRPr="00352220" w:rsidRDefault="00352220" w:rsidP="00A164C0">
      <w:pPr>
        <w:pStyle w:val="AERbulletlistfirststyle"/>
        <w:rPr>
          <w:rStyle w:val="AERtextsize8"/>
          <w:rFonts w:cstheme="minorBidi"/>
        </w:rPr>
      </w:pPr>
      <w:r w:rsidRPr="00BA79D8">
        <w:t xml:space="preserve">CEG included a time varying element in the extension estimation of portfolios </w:t>
      </w:r>
      <w:r w:rsidRPr="00352220">
        <w:t>estimates.  Henry 2014 had stated that great caution should be exercised when interpreting the beta estimates from the resulting time varying portfolios as they were not grounded in financial theory.</w:t>
      </w:r>
    </w:p>
    <w:p w:rsidR="00352220" w:rsidRPr="00D609EE" w:rsidRDefault="00352220" w:rsidP="00352220">
      <w:r w:rsidRPr="00A164C0">
        <w:rPr>
          <w:rStyle w:val="AERbody"/>
        </w:rPr>
        <w:t>Our views are supported by</w:t>
      </w:r>
      <w:r>
        <w:rPr>
          <w:rStyle w:val="AERtextsize8"/>
        </w:rPr>
        <w:t xml:space="preserve"> </w:t>
      </w:r>
      <w:r w:rsidRPr="00D609EE">
        <w:t>Partington and Satchell who noted that they ‘are not convinced that there has been material change in beta’ after reviewing CEG’s estimates.</w:t>
      </w:r>
      <w:r>
        <w:rPr>
          <w:rStyle w:val="FootnoteReference"/>
        </w:rPr>
        <w:footnoteReference w:id="1102"/>
      </w:r>
      <w:r w:rsidRPr="00D609EE">
        <w:t xml:space="preserve"> </w:t>
      </w:r>
    </w:p>
    <w:p w:rsidR="00352220" w:rsidRDefault="00352220" w:rsidP="009D1AA8">
      <w:pPr>
        <w:pStyle w:val="HeadingBoldItalic"/>
        <w:rPr>
          <w:rStyle w:val="AERtextorange"/>
        </w:rPr>
      </w:pPr>
      <w:r>
        <w:t>One year and five year estimates of equity beta</w:t>
      </w:r>
    </w:p>
    <w:p w:rsidR="00352220" w:rsidRDefault="00352220" w:rsidP="00352220">
      <w:r>
        <w:t>CEG estimated one year and five year equity beta for the four still-listed firms (APA, SKI, DUE and AST) in Henry's comparator firms and concluded that this suggested a more prominent increase in the equity beta:</w:t>
      </w:r>
    </w:p>
    <w:p w:rsidR="00352220" w:rsidRPr="00F674B0" w:rsidRDefault="00352220" w:rsidP="00352220">
      <w:pPr>
        <w:pStyle w:val="AERbulletlistfirststyle"/>
      </w:pPr>
      <w:r>
        <w:t>Most recent 5 year equity beta have almost doubled on average compared to Henry’s 5 year estimates</w:t>
      </w:r>
      <w:r w:rsidRPr="00F674B0">
        <w:rPr>
          <w:rStyle w:val="FootnoteReference"/>
        </w:rPr>
        <w:footnoteReference w:id="1103"/>
      </w:r>
    </w:p>
    <w:p w:rsidR="00352220" w:rsidRPr="00F674B0" w:rsidRDefault="00352220" w:rsidP="00352220">
      <w:pPr>
        <w:pStyle w:val="AERbulletlistfirststyle"/>
      </w:pPr>
      <w:r>
        <w:t>Most recent one year estimate show a</w:t>
      </w:r>
      <w:r w:rsidRPr="00F674B0">
        <w:t>verage re-levered equity beta has increased by around 0.13 compared to Henry’s 5-year estimates.</w:t>
      </w:r>
      <w:r w:rsidRPr="00F674B0">
        <w:rPr>
          <w:rStyle w:val="FootnoteReference"/>
        </w:rPr>
        <w:footnoteReference w:id="1104"/>
      </w:r>
      <w:r w:rsidRPr="00F674B0">
        <w:t xml:space="preserve">  </w:t>
      </w:r>
    </w:p>
    <w:p w:rsidR="00352220" w:rsidRPr="00352220" w:rsidRDefault="00B62985" w:rsidP="00352220">
      <w:pPr>
        <w:rPr>
          <w:rStyle w:val="AERbody"/>
        </w:rPr>
      </w:pPr>
      <w:r>
        <w:rPr>
          <w:rStyle w:val="AERbody"/>
        </w:rPr>
        <w:t>W</w:t>
      </w:r>
      <w:r w:rsidR="00352220" w:rsidRPr="00A164C0">
        <w:rPr>
          <w:rStyle w:val="AERbody"/>
        </w:rPr>
        <w:t xml:space="preserve">e </w:t>
      </w:r>
      <w:r>
        <w:rPr>
          <w:rStyle w:val="AERbody"/>
        </w:rPr>
        <w:t>have previously outlined</w:t>
      </w:r>
      <w:r w:rsidR="00352220" w:rsidRPr="00A164C0">
        <w:rPr>
          <w:rStyle w:val="AERbody"/>
        </w:rPr>
        <w:t xml:space="preserve"> reservations about the imprecise nature of empirical estimates, particularly for shorter-term estimates and small samples</w:t>
      </w:r>
      <w:r w:rsidR="00352220" w:rsidRPr="003379AF">
        <w:rPr>
          <w:rStyle w:val="AERtextsize8"/>
        </w:rPr>
        <w:t>.</w:t>
      </w:r>
      <w:r w:rsidR="00352220" w:rsidRPr="003379AF">
        <w:rPr>
          <w:rStyle w:val="FootnoteReference"/>
        </w:rPr>
        <w:footnoteReference w:id="1105"/>
      </w:r>
      <w:r w:rsidR="00352220">
        <w:rPr>
          <w:rStyle w:val="AERtextsize8"/>
        </w:rPr>
        <w:t xml:space="preserve"> </w:t>
      </w:r>
      <w:r w:rsidR="00352220" w:rsidRPr="00A164C0">
        <w:rPr>
          <w:rStyle w:val="AERbody"/>
        </w:rPr>
        <w:t xml:space="preserve">We continue to be of this view </w:t>
      </w:r>
      <w:r w:rsidR="00352220">
        <w:rPr>
          <w:rStyle w:val="AERbody"/>
        </w:rPr>
        <w:t xml:space="preserve">and consider that </w:t>
      </w:r>
      <w:r w:rsidR="00352220" w:rsidRPr="00A164C0">
        <w:rPr>
          <w:rStyle w:val="AERbody"/>
        </w:rPr>
        <w:t xml:space="preserve">short term data is more prone to one-off events, fluctuations and volatilities in the market–which may obscure the ‘true’ equity beta for a benchmark efficient entity. Therefore, we have </w:t>
      </w:r>
      <w:r w:rsidR="00E60AE4">
        <w:rPr>
          <w:rStyle w:val="AERbody"/>
        </w:rPr>
        <w:t xml:space="preserve">most </w:t>
      </w:r>
      <w:r w:rsidR="00352220" w:rsidRPr="00A164C0">
        <w:rPr>
          <w:rStyle w:val="AERbody"/>
        </w:rPr>
        <w:t>regard to longer term estimates when determining the equity beta</w:t>
      </w:r>
      <w:r w:rsidR="00352220">
        <w:rPr>
          <w:rStyle w:val="AERbody"/>
        </w:rPr>
        <w:t xml:space="preserve"> and do not consider, as proposed by CEG, that more recent estimates of equity sufficiently justify an increase to our range and/or point estimates.</w:t>
      </w:r>
    </w:p>
    <w:p w:rsidR="0070354B" w:rsidRPr="0070354B" w:rsidRDefault="0070354B" w:rsidP="0070354B">
      <w:pPr>
        <w:pStyle w:val="Heading8"/>
      </w:pPr>
      <w:bookmarkStart w:id="305" w:name="_Toc480965072"/>
      <w:bookmarkStart w:id="306" w:name="_Toc451939001"/>
      <w:bookmarkStart w:id="307" w:name="_Toc481057090"/>
      <w:bookmarkEnd w:id="305"/>
      <w:r>
        <w:t>International e</w:t>
      </w:r>
      <w:r w:rsidRPr="0070354B">
        <w:t>mpirical estimates</w:t>
      </w:r>
      <w:bookmarkEnd w:id="306"/>
      <w:bookmarkEnd w:id="307"/>
      <w:r w:rsidRPr="0070354B">
        <w:t xml:space="preserve"> </w:t>
      </w:r>
    </w:p>
    <w:p w:rsidR="0070354B" w:rsidRDefault="0070354B" w:rsidP="0070354B">
      <w:r>
        <w:t xml:space="preserve">The international empirical estimates we consider in this decision are set out in </w:t>
      </w:r>
      <w:r>
        <w:fldChar w:fldCharType="begin"/>
      </w:r>
      <w:r>
        <w:instrText xml:space="preserve"> REF  _Ref446238074 \* Lower \h </w:instrText>
      </w:r>
      <w:r>
        <w:fldChar w:fldCharType="separate"/>
      </w:r>
      <w:r w:rsidR="00C6448C">
        <w:t xml:space="preserve">table </w:t>
      </w:r>
      <w:r w:rsidR="00C6448C">
        <w:rPr>
          <w:noProof/>
        </w:rPr>
        <w:t>3</w:t>
      </w:r>
      <w:r w:rsidR="00C6448C">
        <w:noBreakHyphen/>
      </w:r>
      <w:r w:rsidR="00C6448C">
        <w:rPr>
          <w:noProof/>
        </w:rPr>
        <w:t>34</w:t>
      </w:r>
      <w:r>
        <w:fldChar w:fldCharType="end"/>
      </w:r>
      <w:r>
        <w:t xml:space="preserve"> and range from 0.3 to 1.0.</w:t>
      </w:r>
      <w:r>
        <w:rPr>
          <w:rStyle w:val="FootnoteReference"/>
        </w:rPr>
        <w:footnoteReference w:id="1106"/>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w:t>
      </w:r>
      <w:r w:rsidR="005C0D5D">
        <w:t>TasNetworks</w:t>
      </w:r>
      <w:r>
        <w:t xml:space="preserve"> in providing regulated services (see section </w:t>
      </w:r>
      <w:r>
        <w:fldChar w:fldCharType="begin"/>
      </w:r>
      <w:r>
        <w:instrText xml:space="preserve"> REF _Ref446254445 \r \h </w:instrText>
      </w:r>
      <w:r>
        <w:fldChar w:fldCharType="separate"/>
      </w:r>
      <w:r w:rsidR="00C6448C">
        <w:t>G.4.3</w:t>
      </w:r>
      <w:r>
        <w:fldChar w:fldCharType="end"/>
      </w:r>
      <w:r>
        <w:t>).</w:t>
      </w:r>
    </w:p>
    <w:p w:rsidR="0070354B" w:rsidRDefault="0070354B" w:rsidP="0070354B">
      <w:pPr>
        <w:pStyle w:val="Caption"/>
      </w:pPr>
      <w:bookmarkStart w:id="308" w:name="_Ref446238074"/>
      <w:r>
        <w:t xml:space="preserve">Table </w:t>
      </w:r>
      <w:fldSimple w:instr=" STYLEREF 1 \s ">
        <w:r w:rsidR="00C6448C">
          <w:rPr>
            <w:noProof/>
          </w:rPr>
          <w:t>3</w:t>
        </w:r>
      </w:fldSimple>
      <w:r w:rsidR="00882F3D">
        <w:noBreakHyphen/>
      </w:r>
      <w:fldSimple w:instr=" SEQ Table \* ARABIC \s 1 ">
        <w:r w:rsidR="00C6448C">
          <w:rPr>
            <w:noProof/>
          </w:rPr>
          <w:t>34</w:t>
        </w:r>
      </w:fldSimple>
      <w:bookmarkEnd w:id="308"/>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0354B" w:rsidTr="00742E6B">
        <w:trPr>
          <w:cnfStyle w:val="100000000000" w:firstRow="1" w:lastRow="0" w:firstColumn="0" w:lastColumn="0" w:oddVBand="0" w:evenVBand="0" w:oddHBand="0" w:evenHBand="0" w:firstRowFirstColumn="0" w:firstRowLastColumn="0" w:lastRowFirstColumn="0" w:lastRowLastColumn="0"/>
        </w:trPr>
        <w:tc>
          <w:tcPr>
            <w:tcW w:w="1809" w:type="dxa"/>
          </w:tcPr>
          <w:p w:rsidR="0070354B" w:rsidRPr="0070354B" w:rsidRDefault="0070354B" w:rsidP="0070354B">
            <w:r>
              <w:t>Report</w:t>
            </w:r>
          </w:p>
        </w:tc>
        <w:tc>
          <w:tcPr>
            <w:tcW w:w="3969" w:type="dxa"/>
          </w:tcPr>
          <w:p w:rsidR="0070354B" w:rsidRPr="0070354B" w:rsidRDefault="0070354B" w:rsidP="0070354B">
            <w:r>
              <w:t>Details</w:t>
            </w:r>
          </w:p>
        </w:tc>
        <w:tc>
          <w:tcPr>
            <w:tcW w:w="1418" w:type="dxa"/>
          </w:tcPr>
          <w:p w:rsidR="0070354B" w:rsidRPr="0070354B" w:rsidRDefault="0070354B" w:rsidP="0070354B">
            <w:r>
              <w:t>Raw estimate</w:t>
            </w:r>
          </w:p>
        </w:tc>
        <w:tc>
          <w:tcPr>
            <w:tcW w:w="1497" w:type="dxa"/>
          </w:tcPr>
          <w:p w:rsidR="0070354B" w:rsidRPr="0070354B" w:rsidRDefault="0070354B" w:rsidP="0070354B">
            <w:r>
              <w:t xml:space="preserve">Re-levered estimate (to 60 per </w:t>
            </w:r>
            <w:r w:rsidRPr="0070354B">
              <w:t>cent gearing)</w:t>
            </w:r>
          </w:p>
        </w:tc>
      </w:tr>
      <w:tr w:rsidR="0070354B" w:rsidTr="00742E6B">
        <w:tc>
          <w:tcPr>
            <w:tcW w:w="1809" w:type="dxa"/>
          </w:tcPr>
          <w:p w:rsidR="0070354B" w:rsidRPr="0070354B" w:rsidRDefault="0070354B" w:rsidP="0070354B">
            <w:r>
              <w:t xml:space="preserve">SFG, </w:t>
            </w:r>
            <w:r w:rsidRPr="0070354B">
              <w:rPr>
                <w:rStyle w:val="AERtextitalic"/>
              </w:rPr>
              <w:t>Regression-based estimates of risk parameters</w:t>
            </w:r>
            <w:r w:rsidRPr="0070354B">
              <w:t>, June 2013, pp. 15, 19</w:t>
            </w:r>
          </w:p>
          <w:p w:rsidR="0070354B" w:rsidRPr="0070354B" w:rsidRDefault="0070354B" w:rsidP="0070354B">
            <w:pPr>
              <w:rPr>
                <w:rStyle w:val="AERtextsize8"/>
              </w:rPr>
            </w:pPr>
            <w:r w:rsidRPr="00707ABA">
              <w:t xml:space="preserve">CEG, </w:t>
            </w:r>
            <w:r w:rsidRPr="0070354B">
              <w:rPr>
                <w:rStyle w:val="AERtextitalic"/>
              </w:rPr>
              <w:t>Information on equity beta from US companies</w:t>
            </w:r>
            <w:r w:rsidRPr="0070354B">
              <w:t>, June 2013</w:t>
            </w:r>
          </w:p>
        </w:tc>
        <w:tc>
          <w:tcPr>
            <w:tcW w:w="3969" w:type="dxa"/>
          </w:tcPr>
          <w:p w:rsidR="0070354B" w:rsidRPr="0070354B" w:rsidRDefault="0070354B" w:rsidP="0070354B">
            <w:pPr>
              <w:rPr>
                <w:rStyle w:val="AERtextsize8"/>
              </w:rPr>
            </w:pPr>
            <w:r w:rsidRPr="00707ABA">
              <w:t xml:space="preserve">The CEG report prepared as a part of the ENA submission to </w:t>
            </w:r>
            <w:r w:rsidRPr="0070354B">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70354B" w:rsidRPr="0070354B" w:rsidRDefault="0070354B" w:rsidP="0070354B">
            <w:r>
              <w:t>0.68</w:t>
            </w:r>
            <w:r w:rsidRPr="0070354B">
              <w:t>—average of individual firm estimates (0.67 without a Vasicek adjustment)</w:t>
            </w:r>
          </w:p>
        </w:tc>
        <w:tc>
          <w:tcPr>
            <w:tcW w:w="1497" w:type="dxa"/>
          </w:tcPr>
          <w:p w:rsidR="0070354B" w:rsidRPr="0070354B" w:rsidRDefault="0070354B" w:rsidP="0070354B">
            <w:r>
              <w:t>0.88</w:t>
            </w:r>
            <w:r w:rsidRPr="0070354B">
              <w:t>—average of individual firm estimates</w:t>
            </w:r>
          </w:p>
          <w:p w:rsidR="0070354B" w:rsidRPr="0070354B" w:rsidRDefault="0070354B" w:rsidP="0070354B">
            <w:r>
              <w:t>0.91</w:t>
            </w:r>
            <w:r w:rsidRPr="0070354B">
              <w:t>—average equity beta of an equal–weighted index of firm returns</w:t>
            </w:r>
            <w:r w:rsidRPr="0070354B">
              <w:rPr>
                <w:rStyle w:val="FootnoteReference"/>
              </w:rPr>
              <w:footnoteReference w:id="1107"/>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rsidRPr="00E518CC">
              <w:t>Damodaran,</w:t>
            </w:r>
            <w:r w:rsidRPr="0070354B">
              <w:t xml:space="preserve"> </w:t>
            </w:r>
            <w:r w:rsidRPr="0070354B">
              <w:rPr>
                <w:rStyle w:val="AERtextitalic"/>
              </w:rPr>
              <w:t>Updated data: The Data page</w:t>
            </w:r>
            <w:r w:rsidRPr="0070354B">
              <w:t xml:space="preserve">, </w:t>
            </w:r>
            <w:r w:rsidRPr="0070354B">
              <w:rPr>
                <w:rStyle w:val="AERtextitalic"/>
              </w:rPr>
              <w:t>Levered and Unlevered Betas by Industry: Download detail</w:t>
            </w:r>
            <w:r w:rsidRPr="0070354B">
              <w:t>, Stern school of Business New York University, last updated 5 January 2016, viewed 18 March 2016</w:t>
            </w:r>
          </w:p>
        </w:tc>
        <w:tc>
          <w:tcPr>
            <w:tcW w:w="3969" w:type="dxa"/>
          </w:tcPr>
          <w:p w:rsidR="0070354B" w:rsidRPr="0070354B" w:rsidRDefault="0070354B" w:rsidP="0070354B">
            <w:pPr>
              <w:rPr>
                <w:rStyle w:val="AERtextsize8"/>
              </w:rPr>
            </w:pPr>
            <w:r w:rsidRPr="00900624">
              <w:rPr>
                <w:rStyle w:val="AERtextsize8"/>
              </w:rPr>
              <w:t xml:space="preserve">The Damodaran equity beta estimates </w:t>
            </w:r>
            <w:r w:rsidRPr="0070354B">
              <w:rPr>
                <w:rStyle w:val="AERtextsize8"/>
              </w:rPr>
              <w:t>for US industry groups have been updated for 2016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0354B" w:rsidRPr="0070354B" w:rsidRDefault="0070354B" w:rsidP="0070354B">
            <w:pPr>
              <w:rPr>
                <w:rStyle w:val="AERtextsize8"/>
              </w:rPr>
            </w:pPr>
            <w:r>
              <w:rPr>
                <w:rStyle w:val="AERtextsize8"/>
              </w:rPr>
              <w:t>0.</w:t>
            </w:r>
            <w:r w:rsidRPr="0070354B">
              <w:rPr>
                <w:rStyle w:val="AERtextsize8"/>
              </w:rPr>
              <w:t>84</w:t>
            </w:r>
          </w:p>
        </w:tc>
        <w:tc>
          <w:tcPr>
            <w:tcW w:w="1497" w:type="dxa"/>
          </w:tcPr>
          <w:p w:rsidR="0070354B" w:rsidRPr="0070354B" w:rsidRDefault="0070354B" w:rsidP="0070354B">
            <w:pPr>
              <w:rPr>
                <w:rStyle w:val="AERtextsize8"/>
              </w:rPr>
            </w:pPr>
            <w:r>
              <w:rPr>
                <w:rStyle w:val="AERtextsize8"/>
              </w:rPr>
              <w:t>1.09</w:t>
            </w:r>
            <w:r w:rsidRPr="0070354B">
              <w:rPr>
                <w:rStyle w:val="AERtextsize8"/>
              </w:rPr>
              <w:t>*</w:t>
            </w:r>
          </w:p>
        </w:tc>
      </w:tr>
      <w:tr w:rsidR="0070354B" w:rsidTr="00742E6B">
        <w:tc>
          <w:tcPr>
            <w:tcW w:w="1809" w:type="dxa"/>
          </w:tcPr>
          <w:p w:rsidR="0070354B" w:rsidRPr="0070354B" w:rsidRDefault="0070354B" w:rsidP="0070354B">
            <w:pPr>
              <w:rPr>
                <w:rStyle w:val="AERtextsize8"/>
              </w:rPr>
            </w:pPr>
            <w:r>
              <w:t xml:space="preserve">FTI Consulting, </w:t>
            </w:r>
            <w:r w:rsidRPr="0070354B">
              <w:rPr>
                <w:rStyle w:val="AERtextitalic"/>
              </w:rPr>
              <w:t>Cost of capital study for the RIIO-T1 and GD1 price controls</w:t>
            </w:r>
            <w:r w:rsidRPr="0070354B">
              <w:t>, July 2012, p. 42</w:t>
            </w:r>
          </w:p>
        </w:tc>
        <w:tc>
          <w:tcPr>
            <w:tcW w:w="3969" w:type="dxa"/>
          </w:tcPr>
          <w:p w:rsidR="0070354B" w:rsidRPr="0070354B" w:rsidRDefault="0070354B" w:rsidP="0070354B">
            <w:pPr>
              <w:rPr>
                <w:rStyle w:val="AERtextsize8"/>
              </w:rPr>
            </w:pPr>
            <w:r>
              <w:t xml:space="preserve">This </w:t>
            </w:r>
            <w:r w:rsidRPr="0070354B">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0354B" w:rsidRPr="0070354B" w:rsidRDefault="0070354B" w:rsidP="0070354B">
            <w:r>
              <w:t>0.45—over 10 May 2011 to 9 May 2012</w:t>
            </w:r>
          </w:p>
          <w:p w:rsidR="0070354B" w:rsidRPr="0070354B" w:rsidRDefault="0070354B" w:rsidP="0070354B">
            <w:pPr>
              <w:rPr>
                <w:rStyle w:val="AERtextsize8"/>
              </w:rPr>
            </w:pPr>
            <w:r>
              <w:t>0.48—</w:t>
            </w:r>
            <w:r w:rsidRPr="0070354B">
              <w:t>over 10 May 2010 to 9 May 2012</w:t>
            </w:r>
          </w:p>
        </w:tc>
        <w:tc>
          <w:tcPr>
            <w:tcW w:w="1497" w:type="dxa"/>
          </w:tcPr>
          <w:p w:rsidR="0070354B" w:rsidRPr="0070354B" w:rsidRDefault="0070354B" w:rsidP="0070354B">
            <w:pPr>
              <w:rPr>
                <w:rStyle w:val="AERtextsize8"/>
              </w:rPr>
            </w:pPr>
            <w:r>
              <w:t xml:space="preserve">We are not able to provide re-levered equity beta estimates because the report does </w:t>
            </w:r>
            <w:r w:rsidRPr="0070354B">
              <w:t>not provide the appropriate gearing data.</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Alberta Utilities Commission, </w:t>
            </w:r>
            <w:r w:rsidRPr="0070354B">
              <w:rPr>
                <w:rStyle w:val="AERtextitalic"/>
              </w:rPr>
              <w:t>2013 Generic Cost of Capital</w:t>
            </w:r>
            <w:r w:rsidRPr="0070354B">
              <w:t>, 23 March 2015, pp. 1, 24–26</w:t>
            </w:r>
          </w:p>
        </w:tc>
        <w:tc>
          <w:tcPr>
            <w:tcW w:w="3969" w:type="dxa"/>
          </w:tcPr>
          <w:p w:rsidR="0070354B" w:rsidRPr="0070354B" w:rsidRDefault="0070354B" w:rsidP="0070354B">
            <w:r>
              <w:t xml:space="preserve">This </w:t>
            </w:r>
            <w:r w:rsidRPr="0070354B">
              <w:t>2013 Generic Cost of Capital report sets out the AUC's approved return on equity for several utilities for the years 2013, 2014, and 2015. The AUC considered advice from the following experts on the equity beta based on estimates of Canadian utilities:</w:t>
            </w:r>
          </w:p>
          <w:p w:rsidR="0070354B" w:rsidRPr="0070354B" w:rsidRDefault="0070354B" w:rsidP="0070354B">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70354B" w:rsidRPr="0070354B" w:rsidRDefault="0070354B" w:rsidP="0070354B">
            <w:pPr>
              <w:pStyle w:val="AERbulletlistfirststyle"/>
            </w:pPr>
            <w:r w:rsidRPr="00FF0D9F">
              <w:t xml:space="preserve">Dr Laurence Booth of the University of Toronto recommended an equity beta range of 0.45 to 0.55 for Canadian stand-alone utilities based on long run beta estimates. </w:t>
            </w:r>
          </w:p>
          <w:p w:rsidR="0070354B" w:rsidRPr="0070354B" w:rsidRDefault="0070354B" w:rsidP="0070354B">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0354B" w:rsidRPr="0070354B" w:rsidRDefault="0070354B" w:rsidP="0070354B">
            <w:pPr>
              <w:rPr>
                <w:rStyle w:val="AERtextsize8"/>
              </w:rPr>
            </w:pPr>
            <w:r>
              <w:rPr>
                <w:rStyle w:val="AERtextsize8"/>
              </w:rPr>
              <w:t>0.3</w:t>
            </w:r>
            <w:r w:rsidRPr="0070354B">
              <w:rPr>
                <w:rStyle w:val="AERtextsize8"/>
              </w:rPr>
              <w:t>–0.7</w:t>
            </w:r>
          </w:p>
        </w:tc>
        <w:tc>
          <w:tcPr>
            <w:tcW w:w="1497" w:type="dxa"/>
          </w:tcPr>
          <w:p w:rsidR="0070354B" w:rsidRPr="0070354B" w:rsidRDefault="0070354B" w:rsidP="0070354B">
            <w:pPr>
              <w:rPr>
                <w:rStyle w:val="AERtextsize8"/>
              </w:rPr>
            </w:pPr>
            <w:r>
              <w:t>This report did not specify whether the equity betas were raw or re-levered to a benchmark gearing.</w:t>
            </w:r>
          </w:p>
        </w:tc>
      </w:tr>
      <w:tr w:rsidR="0070354B" w:rsidTr="00742E6B">
        <w:tc>
          <w:tcPr>
            <w:tcW w:w="1809" w:type="dxa"/>
          </w:tcPr>
          <w:p w:rsidR="0070354B" w:rsidRPr="0070354B" w:rsidRDefault="0070354B" w:rsidP="0070354B">
            <w:pPr>
              <w:rPr>
                <w:rStyle w:val="AERtextsize8"/>
              </w:rPr>
            </w:pPr>
            <w:r>
              <w:t xml:space="preserve">PwC, </w:t>
            </w:r>
            <w:r w:rsidRPr="0070354B">
              <w:rPr>
                <w:rStyle w:val="AERtextitalic"/>
              </w:rPr>
              <w:t>Appreciating Value New Zealand, Edition six</w:t>
            </w:r>
            <w:r w:rsidRPr="0070354B">
              <w:t>, March 2015, p. 20 (See also: http://www.pwc.co.nz/appreciating-value/pwc-wacc-formula)</w:t>
            </w:r>
            <w:r w:rsidRPr="0070354B">
              <w:rPr>
                <w:rStyle w:val="AERtextsize8"/>
              </w:rPr>
              <w:t xml:space="preserve"> </w:t>
            </w:r>
          </w:p>
        </w:tc>
        <w:tc>
          <w:tcPr>
            <w:tcW w:w="3969" w:type="dxa"/>
          </w:tcPr>
          <w:p w:rsidR="0070354B" w:rsidRPr="0070354B" w:rsidRDefault="0070354B" w:rsidP="0070354B">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0354B">
              <w:t xml:space="preserve"> for two comparable firms (Horizon Energy Distribution Limited and Vector Limited). PwC's March 2015 report presents estimates as at 31 December 2014.</w:t>
            </w:r>
          </w:p>
        </w:tc>
        <w:tc>
          <w:tcPr>
            <w:tcW w:w="1418" w:type="dxa"/>
          </w:tcPr>
          <w:p w:rsidR="0070354B" w:rsidRPr="0070354B" w:rsidRDefault="0070354B" w:rsidP="0070354B">
            <w:pPr>
              <w:rPr>
                <w:rStyle w:val="AERtextsize8"/>
              </w:rPr>
            </w:pPr>
            <w:r w:rsidRPr="00217E7D">
              <w:t>0.6</w:t>
            </w:r>
            <w:r w:rsidRPr="0070354B">
              <w:t>—average of individual form estimates</w:t>
            </w:r>
          </w:p>
        </w:tc>
        <w:tc>
          <w:tcPr>
            <w:tcW w:w="1497" w:type="dxa"/>
          </w:tcPr>
          <w:p w:rsidR="0070354B" w:rsidRPr="0070354B" w:rsidRDefault="0070354B" w:rsidP="0070354B">
            <w:pPr>
              <w:rPr>
                <w:rStyle w:val="AERtextsize8"/>
              </w:rPr>
            </w:pPr>
            <w:r>
              <w:t>0.8</w:t>
            </w:r>
            <w:r w:rsidRPr="0070354B">
              <w:t>8—average of individual firm estimates*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The Brattle Group, </w:t>
            </w:r>
            <w:r w:rsidRPr="0070354B">
              <w:rPr>
                <w:rStyle w:val="AERtextitalic"/>
              </w:rPr>
              <w:t>The WACC for the Dutch TSOs, DSOs, water companies and the Dutch pilotage organisation</w:t>
            </w:r>
            <w:r w:rsidRPr="0070354B">
              <w:t>, March 2013, pp. 16–18</w:t>
            </w:r>
          </w:p>
        </w:tc>
        <w:tc>
          <w:tcPr>
            <w:tcW w:w="3969" w:type="dxa"/>
          </w:tcPr>
          <w:p w:rsidR="0070354B" w:rsidRPr="0070354B" w:rsidRDefault="0070354B" w:rsidP="0070354B">
            <w:pPr>
              <w:rPr>
                <w:rStyle w:val="AERtextsize8"/>
              </w:rPr>
            </w:pPr>
            <w:r>
              <w:t xml:space="preserve">This </w:t>
            </w:r>
            <w:r w:rsidRPr="0070354B">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0354B">
              <w:rPr>
                <w:rStyle w:val="FootnoteReference"/>
              </w:rPr>
              <w:footnoteReference w:id="1108"/>
            </w:r>
          </w:p>
        </w:tc>
        <w:tc>
          <w:tcPr>
            <w:tcW w:w="1418" w:type="dxa"/>
          </w:tcPr>
          <w:p w:rsidR="0070354B" w:rsidRPr="0070354B" w:rsidRDefault="0070354B" w:rsidP="0070354B">
            <w:r>
              <w:t>0.58</w:t>
            </w:r>
            <w:r w:rsidRPr="0070354B">
              <w:t>—average of European individual firm estimates</w:t>
            </w:r>
          </w:p>
          <w:p w:rsidR="0070354B" w:rsidRPr="0070354B" w:rsidRDefault="0070354B" w:rsidP="0070354B">
            <w:r>
              <w:t>0.60</w:t>
            </w:r>
            <w:r w:rsidRPr="0070354B">
              <w:t>—average of US individual firm estimates</w:t>
            </w:r>
          </w:p>
          <w:p w:rsidR="0070354B" w:rsidRPr="0070354B" w:rsidRDefault="0070354B" w:rsidP="0070354B">
            <w:pPr>
              <w:rPr>
                <w:rStyle w:val="AERtextsize8"/>
              </w:rPr>
            </w:pPr>
            <w:r>
              <w:t>0.5</w:t>
            </w:r>
            <w:r w:rsidRPr="0070354B">
              <w:t>8—average of European and US individual firm estimates</w:t>
            </w:r>
          </w:p>
        </w:tc>
        <w:tc>
          <w:tcPr>
            <w:tcW w:w="1497" w:type="dxa"/>
          </w:tcPr>
          <w:p w:rsidR="0070354B" w:rsidRPr="0070354B" w:rsidRDefault="0070354B" w:rsidP="0070354B">
            <w:r>
              <w:t>0.71</w:t>
            </w:r>
            <w:r w:rsidRPr="0070354B">
              <w:t>—average of European individual firm estimates*</w:t>
            </w:r>
          </w:p>
          <w:p w:rsidR="0070354B" w:rsidRPr="0070354B" w:rsidRDefault="0070354B" w:rsidP="0070354B">
            <w:r>
              <w:t>1.01</w:t>
            </w:r>
            <w:r w:rsidRPr="0070354B">
              <w:t>—average of US individual firm estimates*</w:t>
            </w:r>
          </w:p>
          <w:p w:rsidR="0070354B" w:rsidRPr="0070354B" w:rsidRDefault="0070354B" w:rsidP="0070354B">
            <w:pPr>
              <w:rPr>
                <w:rStyle w:val="AERtextsize8"/>
              </w:rPr>
            </w:pPr>
            <w:r>
              <w:t>0.80</w:t>
            </w:r>
            <w:r w:rsidRPr="0070354B">
              <w:t>—average of European and US individual firm estimates*</w:t>
            </w:r>
          </w:p>
        </w:tc>
      </w:tr>
      <w:tr w:rsidR="0070354B" w:rsidTr="00742E6B">
        <w:tc>
          <w:tcPr>
            <w:tcW w:w="1809" w:type="dxa"/>
          </w:tcPr>
          <w:p w:rsidR="0070354B" w:rsidRPr="00900624" w:rsidRDefault="0070354B" w:rsidP="0070354B">
            <w:pPr>
              <w:rPr>
                <w:rStyle w:val="AERtextsize8"/>
              </w:rPr>
            </w:pPr>
          </w:p>
        </w:tc>
        <w:tc>
          <w:tcPr>
            <w:tcW w:w="3969" w:type="dxa"/>
          </w:tcPr>
          <w:p w:rsidR="0070354B" w:rsidRDefault="0070354B" w:rsidP="0070354B">
            <w:pPr>
              <w:rPr>
                <w:rStyle w:val="AERtextsize8"/>
              </w:rPr>
            </w:pPr>
          </w:p>
        </w:tc>
        <w:tc>
          <w:tcPr>
            <w:tcW w:w="1418" w:type="dxa"/>
          </w:tcPr>
          <w:p w:rsidR="0070354B" w:rsidRDefault="0070354B" w:rsidP="0070354B">
            <w:pPr>
              <w:rPr>
                <w:rStyle w:val="AERtextsize8"/>
              </w:rPr>
            </w:pPr>
          </w:p>
        </w:tc>
        <w:tc>
          <w:tcPr>
            <w:tcW w:w="1497" w:type="dxa"/>
          </w:tcPr>
          <w:p w:rsidR="0070354B" w:rsidRDefault="0070354B" w:rsidP="0070354B">
            <w:pPr>
              <w:rPr>
                <w:rStyle w:val="AERtextsize8"/>
              </w:rPr>
            </w:pPr>
          </w:p>
        </w:tc>
      </w:tr>
    </w:tbl>
    <w:p w:rsidR="0070354B" w:rsidRPr="0078508E" w:rsidRDefault="0070354B" w:rsidP="00CC7A1C">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70354B" w:rsidRPr="0070354B" w:rsidRDefault="0070354B" w:rsidP="0070354B">
      <w:pPr>
        <w:pStyle w:val="Heading8"/>
      </w:pPr>
      <w:bookmarkStart w:id="309" w:name="_Ref446255536"/>
      <w:bookmarkStart w:id="310" w:name="_Toc451939002"/>
      <w:bookmarkStart w:id="311" w:name="_Toc481057091"/>
      <w:r>
        <w:t>Choice of comparator set</w:t>
      </w:r>
      <w:bookmarkEnd w:id="309"/>
      <w:bookmarkEnd w:id="310"/>
      <w:bookmarkEnd w:id="311"/>
    </w:p>
    <w:p w:rsidR="0070354B" w:rsidRDefault="0070354B" w:rsidP="00CC7A1C">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109"/>
      </w:r>
      <w:r>
        <w:t xml:space="preserve"> These concerns flow from their view that our comparator set of Australian energy network firms is too small to produce reliable equity beta estimates. These service providers and their consultants submitted that:</w:t>
      </w:r>
    </w:p>
    <w:p w:rsidR="0070354B" w:rsidRDefault="0070354B" w:rsidP="0070354B">
      <w:pPr>
        <w:pStyle w:val="AERbulletlistfirststyle"/>
      </w:pPr>
      <w:r>
        <w:t>equity beta estimates based on this comparator set are imprecise and unstable</w:t>
      </w:r>
    </w:p>
    <w:p w:rsidR="0070354B" w:rsidRDefault="0070354B" w:rsidP="0070354B">
      <w:pPr>
        <w:pStyle w:val="AERbulletlistfirststyle"/>
      </w:pPr>
      <w:r>
        <w:t>the estimates could be improved by including international energy firms in the comparator set</w:t>
      </w:r>
    </w:p>
    <w:p w:rsidR="0070354B" w:rsidRDefault="0070354B" w:rsidP="0070354B">
      <w:pPr>
        <w:pStyle w:val="AERbulletlistfirststyle"/>
      </w:pPr>
      <w:r>
        <w:t>the estimates could be improved by including</w:t>
      </w:r>
      <w:r w:rsidRPr="00E52036">
        <w:t xml:space="preserve"> </w:t>
      </w:r>
      <w:r>
        <w:t xml:space="preserve">Australian non-energy infrastructure firms in the comparator set—partly because they consider </w:t>
      </w:r>
      <w:r w:rsidRPr="00E52036">
        <w:t>our comparator set should not be restricted to regulated energy network firms</w:t>
      </w:r>
      <w:r>
        <w:t>.</w:t>
      </w:r>
      <w:r>
        <w:rPr>
          <w:rStyle w:val="FootnoteReference"/>
        </w:rPr>
        <w:footnoteReference w:id="1110"/>
      </w:r>
    </w:p>
    <w:p w:rsidR="0070354B" w:rsidRDefault="0070354B" w:rsidP="00CC7A1C">
      <w:pPr>
        <w:numPr>
          <w:ilvl w:val="0"/>
          <w:numId w:val="24"/>
        </w:numPr>
      </w:pPr>
      <w:r>
        <w:t>We responded to many of these submissions in detail in our recent decisions.</w:t>
      </w:r>
      <w:r>
        <w:rPr>
          <w:rStyle w:val="FootnoteReference"/>
        </w:rPr>
        <w:footnoteReference w:id="1111"/>
      </w:r>
      <w:r>
        <w:t xml:space="preserve"> However, we reproduce our key conclusions in sections </w:t>
      </w:r>
      <w:r>
        <w:fldChar w:fldCharType="begin"/>
      </w:r>
      <w:r>
        <w:instrText xml:space="preserve"> REF _Ref446254453 \r \h </w:instrText>
      </w:r>
      <w:r>
        <w:fldChar w:fldCharType="separate"/>
      </w:r>
      <w:r w:rsidR="00C6448C">
        <w:t>G.4.2</w:t>
      </w:r>
      <w:r>
        <w:fldChar w:fldCharType="end"/>
      </w:r>
      <w:r>
        <w:t xml:space="preserve">, </w:t>
      </w:r>
      <w:r>
        <w:fldChar w:fldCharType="begin"/>
      </w:r>
      <w:r>
        <w:instrText xml:space="preserve"> REF _Ref446254445 \r \h </w:instrText>
      </w:r>
      <w:r>
        <w:fldChar w:fldCharType="separate"/>
      </w:r>
      <w:r w:rsidR="00C6448C">
        <w:t>G.4.3</w:t>
      </w:r>
      <w:r>
        <w:fldChar w:fldCharType="end"/>
      </w:r>
      <w:r>
        <w:t xml:space="preserve">, and </w:t>
      </w:r>
      <w:r>
        <w:fldChar w:fldCharType="begin"/>
      </w:r>
      <w:r>
        <w:instrText xml:space="preserve"> REF _Ref446254437 \r \h </w:instrText>
      </w:r>
      <w:r>
        <w:fldChar w:fldCharType="separate"/>
      </w:r>
      <w:r w:rsidR="00C6448C">
        <w:t>G.4.4</w:t>
      </w:r>
      <w:r>
        <w:fldChar w:fldCharType="end"/>
      </w:r>
      <w:r>
        <w:t>, in response to new submissions and analysis.</w:t>
      </w:r>
    </w:p>
    <w:p w:rsidR="0070354B" w:rsidRDefault="0070354B" w:rsidP="00CC7A1C">
      <w:pPr>
        <w:numPr>
          <w:ilvl w:val="0"/>
          <w:numId w:val="24"/>
        </w:numPr>
      </w:pPr>
      <w:r>
        <w:t xml:space="preserve">Ultimately, we consider there is a trade-off between the increased statistical precision from a larger comparator set and the comparability of the firms in the comparator set to a benchmark efficient entity with a similar degree of risk as </w:t>
      </w:r>
      <w:r w:rsidR="005C0D5D">
        <w:t>TasNetworks</w:t>
      </w:r>
      <w:r>
        <w:t xml:space="preserve"> in providing regulated services.</w:t>
      </w:r>
      <w:r>
        <w:rPr>
          <w:rStyle w:val="FootnoteReference"/>
        </w:rPr>
        <w:footnoteReference w:id="1112"/>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70354B" w:rsidRPr="0006373F" w:rsidRDefault="0070354B" w:rsidP="0070354B">
      <w:pPr>
        <w:pStyle w:val="Heading9"/>
      </w:pPr>
      <w:bookmarkStart w:id="312" w:name="_Ref447740508"/>
      <w:bookmarkStart w:id="313" w:name="_Toc451939003"/>
      <w:r w:rsidRPr="0006373F">
        <w:t>Comparator set for Australian empirical analysis</w:t>
      </w:r>
      <w:bookmarkEnd w:id="312"/>
      <w:bookmarkEnd w:id="313"/>
    </w:p>
    <w:p w:rsidR="0070354B" w:rsidRPr="0048317B" w:rsidRDefault="0070354B" w:rsidP="00CC7A1C">
      <w:pPr>
        <w:numPr>
          <w:ilvl w:val="0"/>
          <w:numId w:val="24"/>
        </w:numPr>
      </w:pPr>
      <w:r w:rsidRPr="0048317B">
        <w:t xml:space="preserve">We define </w:t>
      </w:r>
      <w:r>
        <w:t>a</w:t>
      </w:r>
      <w:r w:rsidRPr="0048317B">
        <w:t xml:space="preserve"> benchmark efficient entity </w:t>
      </w:r>
      <w:r>
        <w:t xml:space="preserve">with a similar degree of risk as </w:t>
      </w:r>
      <w:r w:rsidR="005C0D5D">
        <w:t>TasNetworks</w:t>
      </w:r>
      <w:r>
        <w:t xml:space="preserve"> in providing regulated services</w:t>
      </w:r>
      <w:r w:rsidRPr="0048317B">
        <w:t xml:space="preserve"> as 'a pure play, regulated energy network business operating within Australia'.</w:t>
      </w:r>
      <w:r>
        <w:rPr>
          <w:rStyle w:val="FootnoteReference"/>
        </w:rPr>
        <w:footnoteReference w:id="1113"/>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70354B" w:rsidRDefault="0070354B" w:rsidP="00CC7A1C">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C6448C">
        <w:t xml:space="preserve">Table </w:t>
      </w:r>
      <w:r w:rsidR="00C6448C">
        <w:rPr>
          <w:noProof/>
        </w:rPr>
        <w:t>3</w:t>
      </w:r>
      <w:r w:rsidR="00C6448C">
        <w:noBreakHyphen/>
      </w:r>
      <w:r w:rsidR="00C6448C">
        <w:rPr>
          <w:noProof/>
        </w:rPr>
        <w:t>35</w:t>
      </w:r>
      <w:r>
        <w:fldChar w:fldCharType="end"/>
      </w:r>
      <w:r>
        <w:t xml:space="preserve"> </w:t>
      </w:r>
      <w:r w:rsidRPr="0048317B">
        <w:t>sets out the details of these nine firms.</w:t>
      </w:r>
      <w:r>
        <w:rPr>
          <w:rStyle w:val="FootnoteReference"/>
        </w:rPr>
        <w:footnoteReference w:id="1114"/>
      </w:r>
      <w:r w:rsidRPr="0048317B">
        <w:t xml:space="preserve"> </w:t>
      </w:r>
    </w:p>
    <w:p w:rsidR="0070354B" w:rsidRDefault="0070354B" w:rsidP="00CC7A1C">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115"/>
      </w:r>
      <w:r w:rsidRPr="0048317B">
        <w:t xml:space="preserve"> We account for this by only including data over an applicable time period for these four firms. Whereas, for the other five fi</w:t>
      </w:r>
      <w:r>
        <w:t>rms, we consider</w:t>
      </w:r>
      <w:r w:rsidRPr="0048317B">
        <w:t xml:space="preserve"> data</w:t>
      </w:r>
      <w:r>
        <w:t xml:space="preserve"> up to 28 June 2013</w:t>
      </w:r>
      <w:r w:rsidRPr="0048317B">
        <w:t>.</w:t>
      </w:r>
      <w:r>
        <w:rPr>
          <w:rStyle w:val="FootnoteReference"/>
        </w:rPr>
        <w:footnoteReference w:id="1116"/>
      </w:r>
      <w:r w:rsidRPr="006558B8">
        <w:t xml:space="preserve"> </w:t>
      </w:r>
      <w:r>
        <w:t>We note that Envestra Ltd was delisted on 17 October 2014.</w:t>
      </w:r>
      <w:r>
        <w:rPr>
          <w:rStyle w:val="FootnoteReference"/>
        </w:rPr>
        <w:footnoteReference w:id="1117"/>
      </w:r>
      <w:r>
        <w:t xml:space="preserve"> </w:t>
      </w:r>
    </w:p>
    <w:p w:rsidR="0070354B" w:rsidRDefault="0070354B" w:rsidP="0070354B">
      <w:pPr>
        <w:pStyle w:val="Caption"/>
      </w:pPr>
      <w:bookmarkStart w:id="314" w:name="_Ref446240160"/>
      <w:r>
        <w:t xml:space="preserve">Table </w:t>
      </w:r>
      <w:fldSimple w:instr=" STYLEREF 1 \s ">
        <w:r w:rsidR="00C6448C">
          <w:rPr>
            <w:noProof/>
          </w:rPr>
          <w:t>3</w:t>
        </w:r>
      </w:fldSimple>
      <w:r w:rsidR="00882F3D">
        <w:noBreakHyphen/>
      </w:r>
      <w:fldSimple w:instr=" SEQ Table \* ARABIC \s 1 ">
        <w:r w:rsidR="00C6448C">
          <w:rPr>
            <w:noProof/>
          </w:rPr>
          <w:t>35</w:t>
        </w:r>
      </w:fldSimple>
      <w:bookmarkEnd w:id="314"/>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70354B" w:rsidTr="00742E6B">
        <w:trPr>
          <w:cnfStyle w:val="100000000000" w:firstRow="1" w:lastRow="0" w:firstColumn="0" w:lastColumn="0" w:oddVBand="0" w:evenVBand="0" w:oddHBand="0" w:evenHBand="0" w:firstRowFirstColumn="0" w:firstRowLastColumn="0" w:lastRowFirstColumn="0" w:lastRowLastColumn="0"/>
        </w:trPr>
        <w:tc>
          <w:tcPr>
            <w:tcW w:w="4077" w:type="dxa"/>
          </w:tcPr>
          <w:p w:rsidR="0070354B" w:rsidRPr="0070354B" w:rsidRDefault="0070354B" w:rsidP="0070354B">
            <w:r>
              <w:t>Firm (ASX ticker)</w:t>
            </w:r>
          </w:p>
        </w:tc>
        <w:tc>
          <w:tcPr>
            <w:tcW w:w="2835" w:type="dxa"/>
          </w:tcPr>
          <w:p w:rsidR="0070354B" w:rsidRPr="0070354B" w:rsidRDefault="0070354B" w:rsidP="0070354B">
            <w:r>
              <w:t>Time / trading period</w:t>
            </w:r>
          </w:p>
        </w:tc>
        <w:tc>
          <w:tcPr>
            <w:tcW w:w="1701" w:type="dxa"/>
          </w:tcPr>
          <w:p w:rsidR="0070354B" w:rsidRPr="0070354B" w:rsidRDefault="0070354B" w:rsidP="0070354B">
            <w:r>
              <w:t>Sectors</w:t>
            </w:r>
          </w:p>
        </w:tc>
      </w:tr>
      <w:tr w:rsidR="0070354B" w:rsidTr="00742E6B">
        <w:tc>
          <w:tcPr>
            <w:tcW w:w="4077" w:type="dxa"/>
          </w:tcPr>
          <w:p w:rsidR="0070354B" w:rsidRPr="0070354B" w:rsidRDefault="0070354B" w:rsidP="0070354B">
            <w:pPr>
              <w:rPr>
                <w:rStyle w:val="AERtextsize8"/>
              </w:rPr>
            </w:pPr>
            <w:r w:rsidRPr="0047344A">
              <w:t>AGL</w:t>
            </w:r>
            <w:r w:rsidRPr="0070354B">
              <w:t xml:space="preserve"> Energy Limited (AGK)</w:t>
            </w:r>
          </w:p>
        </w:tc>
        <w:tc>
          <w:tcPr>
            <w:tcW w:w="2835" w:type="dxa"/>
          </w:tcPr>
          <w:p w:rsidR="0070354B" w:rsidRPr="0070354B" w:rsidRDefault="0070354B" w:rsidP="0070354B">
            <w:pPr>
              <w:rPr>
                <w:rStyle w:val="AERtextsize8"/>
              </w:rPr>
            </w:pPr>
            <w:r w:rsidRPr="0047344A">
              <w:t xml:space="preserve">January 1990 – October 2006 </w:t>
            </w:r>
          </w:p>
        </w:tc>
        <w:tc>
          <w:tcPr>
            <w:tcW w:w="1701" w:type="dxa"/>
          </w:tcPr>
          <w:p w:rsidR="0070354B" w:rsidRPr="0070354B" w:rsidRDefault="0070354B" w:rsidP="0070354B">
            <w:r>
              <w:t>Electricity</w:t>
            </w:r>
            <w:r w:rsidRPr="0070354B">
              <w:t xml:space="preserve">, 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Alinta (AAN)</w:t>
            </w:r>
          </w:p>
        </w:tc>
        <w:tc>
          <w:tcPr>
            <w:tcW w:w="2835" w:type="dxa"/>
          </w:tcPr>
          <w:p w:rsidR="0070354B" w:rsidRPr="0070354B" w:rsidRDefault="0070354B" w:rsidP="0070354B">
            <w:pPr>
              <w:rPr>
                <w:rStyle w:val="AERtextsize8"/>
              </w:rPr>
            </w:pPr>
            <w:r w:rsidRPr="0047344A">
              <w:t xml:space="preserve">October 2000 – </w:t>
            </w:r>
            <w:r w:rsidRPr="0070354B">
              <w:t>August 2007</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t>APA Group</w:t>
            </w:r>
            <w:r w:rsidRPr="0070354B">
              <w:t xml:space="preserve"> (APA)</w:t>
            </w:r>
          </w:p>
        </w:tc>
        <w:tc>
          <w:tcPr>
            <w:tcW w:w="2835" w:type="dxa"/>
          </w:tcPr>
          <w:p w:rsidR="0070354B" w:rsidRPr="0070354B" w:rsidRDefault="0070354B" w:rsidP="0070354B">
            <w:pPr>
              <w:rPr>
                <w:rStyle w:val="AERtextsize8"/>
              </w:rPr>
            </w:pPr>
            <w:r w:rsidRPr="0047344A">
              <w:t xml:space="preserve">June </w:t>
            </w:r>
            <w:r w:rsidRPr="0070354B">
              <w:t>2000 – present</w:t>
            </w:r>
          </w:p>
        </w:tc>
        <w:tc>
          <w:tcPr>
            <w:tcW w:w="1701" w:type="dxa"/>
          </w:tcPr>
          <w:p w:rsidR="0070354B" w:rsidRPr="0070354B" w:rsidRDefault="0070354B" w:rsidP="0070354B">
            <w:r>
              <w:t>Gas</w:t>
            </w:r>
            <w:r w:rsidRPr="0070354B">
              <w:t>, Minority interest in other energy infrastructure</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DUET Group (DUE)</w:t>
            </w:r>
          </w:p>
        </w:tc>
        <w:tc>
          <w:tcPr>
            <w:tcW w:w="2835" w:type="dxa"/>
          </w:tcPr>
          <w:p w:rsidR="0070354B" w:rsidRPr="0070354B" w:rsidRDefault="0070354B" w:rsidP="0070354B">
            <w:pPr>
              <w:rPr>
                <w:rStyle w:val="AERtextsize8"/>
              </w:rPr>
            </w:pPr>
            <w:r w:rsidRPr="0047344A">
              <w:t>August 2004</w:t>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rsidRPr="0047344A">
              <w:t>Envestra Ltd. (ENV)</w:t>
            </w:r>
          </w:p>
        </w:tc>
        <w:tc>
          <w:tcPr>
            <w:tcW w:w="2835" w:type="dxa"/>
          </w:tcPr>
          <w:p w:rsidR="0070354B" w:rsidRPr="0070354B" w:rsidRDefault="0070354B" w:rsidP="0070354B">
            <w:pPr>
              <w:rPr>
                <w:rStyle w:val="AERtextsize8"/>
              </w:rPr>
            </w:pPr>
            <w:r w:rsidRPr="0047344A">
              <w:t xml:space="preserve">August 1997 – </w:t>
            </w:r>
            <w:r w:rsidRPr="0070354B">
              <w:t>October 2014</w:t>
            </w:r>
          </w:p>
        </w:tc>
        <w:tc>
          <w:tcPr>
            <w:tcW w:w="1701" w:type="dxa"/>
          </w:tcPr>
          <w:p w:rsidR="0070354B" w:rsidRPr="0070354B" w:rsidRDefault="0070354B" w:rsidP="0070354B">
            <w:r w:rsidRPr="0047344A">
              <w:t xml:space="preserve">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GasNet (GAS)</w:t>
            </w:r>
          </w:p>
        </w:tc>
        <w:tc>
          <w:tcPr>
            <w:tcW w:w="2835" w:type="dxa"/>
          </w:tcPr>
          <w:p w:rsidR="0070354B" w:rsidRPr="0070354B" w:rsidRDefault="0070354B" w:rsidP="0070354B">
            <w:pPr>
              <w:rPr>
                <w:rStyle w:val="AERtextsize8"/>
              </w:rPr>
            </w:pPr>
            <w:r w:rsidRPr="0047344A">
              <w:t xml:space="preserve">December 2001 – November </w:t>
            </w:r>
            <w:r w:rsidRPr="0070354B">
              <w:t>2006</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rsidRPr="0047344A">
              <w:t xml:space="preserve">Hastings </w:t>
            </w:r>
            <w:r w:rsidRPr="0070354B">
              <w:t>Diversified Utilities Fund (HDF)</w:t>
            </w:r>
          </w:p>
        </w:tc>
        <w:tc>
          <w:tcPr>
            <w:tcW w:w="2835" w:type="dxa"/>
          </w:tcPr>
          <w:p w:rsidR="0070354B" w:rsidRPr="0070354B" w:rsidRDefault="0070354B" w:rsidP="0070354B">
            <w:pPr>
              <w:rPr>
                <w:rStyle w:val="AERtextsize8"/>
              </w:rPr>
            </w:pPr>
            <w:r w:rsidRPr="0047344A">
              <w:t xml:space="preserve">December </w:t>
            </w:r>
            <w:r w:rsidRPr="0070354B">
              <w:t>2004– November 2012</w:t>
            </w:r>
          </w:p>
        </w:tc>
        <w:tc>
          <w:tcPr>
            <w:tcW w:w="1701" w:type="dxa"/>
          </w:tcPr>
          <w:p w:rsidR="0070354B" w:rsidRPr="0070354B" w:rsidRDefault="0070354B" w:rsidP="0070354B">
            <w:r w:rsidRPr="0047344A">
              <w:t>Gas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Spark Infrastructure Group (SKI)</w:t>
            </w:r>
          </w:p>
        </w:tc>
        <w:tc>
          <w:tcPr>
            <w:tcW w:w="2835" w:type="dxa"/>
          </w:tcPr>
          <w:p w:rsidR="0070354B" w:rsidRPr="0070354B" w:rsidRDefault="0070354B" w:rsidP="0070354B">
            <w:pPr>
              <w:rPr>
                <w:rStyle w:val="AERtextsize8"/>
              </w:rPr>
            </w:pPr>
            <w:r w:rsidRPr="0047344A">
              <w:t>March 2007</w:t>
            </w:r>
            <w:r w:rsidRPr="0070354B">
              <w:rPr>
                <w:rStyle w:val="FootnoteReference"/>
              </w:rPr>
              <w:footnoteReference w:id="1118"/>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t xml:space="preserve">AusNet Services (AST), formerly </w:t>
            </w:r>
            <w:r w:rsidRPr="0070354B">
              <w:t>SP AusNet (SPN)</w:t>
            </w:r>
          </w:p>
        </w:tc>
        <w:tc>
          <w:tcPr>
            <w:tcW w:w="2835" w:type="dxa"/>
          </w:tcPr>
          <w:p w:rsidR="0070354B" w:rsidRPr="0070354B" w:rsidRDefault="0070354B" w:rsidP="0070354B">
            <w:pPr>
              <w:rPr>
                <w:rStyle w:val="AERtextsize8"/>
              </w:rPr>
            </w:pPr>
            <w:r w:rsidRPr="0047344A">
              <w:t>December 2005 – present</w:t>
            </w:r>
          </w:p>
        </w:tc>
        <w:tc>
          <w:tcPr>
            <w:tcW w:w="1701" w:type="dxa"/>
          </w:tcPr>
          <w:p w:rsidR="0070354B" w:rsidRPr="0070354B" w:rsidRDefault="0070354B" w:rsidP="0070354B">
            <w:r>
              <w:t>Electricity</w:t>
            </w:r>
            <w:r w:rsidRPr="0070354B">
              <w:t xml:space="preserve">, Gas </w:t>
            </w:r>
          </w:p>
        </w:tc>
      </w:tr>
    </w:tbl>
    <w:p w:rsidR="0070354B" w:rsidRPr="0048317B" w:rsidRDefault="0070354B" w:rsidP="0070354B">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70354B" w:rsidRDefault="0070354B" w:rsidP="00CC7A1C">
      <w:pPr>
        <w:numPr>
          <w:ilvl w:val="0"/>
          <w:numId w:val="24"/>
        </w:numPr>
      </w:pPr>
      <w:r>
        <w:t xml:space="preserve">While we consider the firms in </w:t>
      </w:r>
      <w:r>
        <w:fldChar w:fldCharType="begin"/>
      </w:r>
      <w:r>
        <w:instrText xml:space="preserve"> REF  _Ref446240160 \* Lower \h </w:instrText>
      </w:r>
      <w:r>
        <w:fldChar w:fldCharType="separate"/>
      </w:r>
      <w:r w:rsidR="00C6448C">
        <w:t xml:space="preserve">table </w:t>
      </w:r>
      <w:r w:rsidR="00C6448C">
        <w:rPr>
          <w:noProof/>
        </w:rPr>
        <w:t>3</w:t>
      </w:r>
      <w:r w:rsidR="00C6448C">
        <w:noBreakHyphen/>
      </w:r>
      <w:r w:rsidR="00C6448C">
        <w:rPr>
          <w:noProof/>
        </w:rPr>
        <w:t>35</w:t>
      </w:r>
      <w:r>
        <w:fldChar w:fldCharType="end"/>
      </w:r>
      <w:r>
        <w:t xml:space="preserve"> are reasonably comparable to a</w:t>
      </w:r>
      <w:r w:rsidRPr="009E5AA0">
        <w:t xml:space="preserve"> benchmark efficient entity</w:t>
      </w:r>
      <w:r>
        <w:t xml:space="preserve"> with a similar degree of risk as </w:t>
      </w:r>
      <w:r w:rsidR="005C0D5D">
        <w:t>TasNetworks</w:t>
      </w:r>
      <w:r>
        <w:t xml:space="preserve">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70354B" w:rsidRPr="001F00F1" w:rsidRDefault="0070354B" w:rsidP="0070354B">
      <w:pPr>
        <w:pStyle w:val="AERbulletlistfirststyle"/>
      </w:pPr>
      <w:r>
        <w:t xml:space="preserve">Approximately </w:t>
      </w:r>
      <w:r w:rsidR="00B83A31">
        <w:t>10</w:t>
      </w:r>
      <w:r>
        <w:t xml:space="preserve"> per cent of APA Group's revenue in the 201</w:t>
      </w:r>
      <w:r w:rsidR="00B83A31">
        <w:t>6</w:t>
      </w:r>
      <w:r>
        <w:t xml:space="preserve"> financial year (excluding pass–through revenue) was subject to prices determined under full regulation. APA generates a large part of the remaining </w:t>
      </w:r>
      <w:r w:rsidR="00B83A31">
        <w:t>90</w:t>
      </w:r>
      <w:r>
        <w:t xml:space="preserve"> per cent of its revenue from contracts which have set terms, including negotiated pricing for the life of the contract.</w:t>
      </w:r>
      <w:r w:rsidRPr="001F00F1">
        <w:rPr>
          <w:rStyle w:val="FootnoteReference"/>
        </w:rPr>
        <w:footnoteReference w:id="1119"/>
      </w:r>
    </w:p>
    <w:p w:rsidR="0070354B" w:rsidRPr="001F00F1" w:rsidRDefault="0060124E" w:rsidP="0070354B">
      <w:pPr>
        <w:pStyle w:val="AERbulletlistfirststyle"/>
      </w:pPr>
      <w:r w:rsidRPr="0060124E">
        <w:t>DUET Group's assets receive limited unregulated revenue—Dampier Bunbury Pipeline (4 per cent unregulated), United Energy (8 per cent unregulated), Multinet Gas (5 per cent unregulated) in the 2015 financial year.</w:t>
      </w:r>
      <w:r w:rsidRPr="0060124E">
        <w:rPr>
          <w:rStyle w:val="FootnoteReference"/>
        </w:rPr>
        <w:footnoteReference w:id="1120"/>
      </w:r>
      <w:r w:rsidRPr="0060124E">
        <w:t xml:space="preserve"> DUET Group disclosed that 10 per cent of Multinet Gas' revenue was unregulated in the 2016 financial year.</w:t>
      </w:r>
      <w:r w:rsidRPr="0060124E">
        <w:rPr>
          <w:rStyle w:val="FootnoteReference"/>
        </w:rPr>
        <w:footnoteReference w:id="1121"/>
      </w:r>
      <w:r w:rsidRPr="0060124E">
        <w:t xml:space="preserve"> DUET Group did not publicly disclose the share of regulated of revenue for Dampier Bunbury Pipeline and Dampier Bunbury Pipelines.</w:t>
      </w:r>
      <w:r w:rsidRPr="0060124E">
        <w:rPr>
          <w:rStyle w:val="FootnoteReference"/>
        </w:rPr>
        <w:footnoteReference w:id="1122"/>
      </w:r>
      <w:r w:rsidRPr="0060124E">
        <w:t xml:space="preserve"> However, we consider these two assets would have still generated limited unregulated revenue since both are regulated</w:t>
      </w:r>
      <w:r>
        <w:t>.</w:t>
      </w:r>
    </w:p>
    <w:p w:rsidR="0070354B" w:rsidRPr="001F00F1" w:rsidRDefault="0070354B" w:rsidP="0070354B">
      <w:pPr>
        <w:pStyle w:val="AERbulletlistfirststyle"/>
      </w:pPr>
      <w:r>
        <w:t>Approximately 8</w:t>
      </w:r>
      <w:r w:rsidR="00464C22">
        <w:t>8</w:t>
      </w:r>
      <w:r>
        <w:t xml:space="preserve"> per cent of AusNet Services' revenues are regulated, as at</w:t>
      </w:r>
      <w:r w:rsidRPr="001F00F1">
        <w:t xml:space="preserve"> </w:t>
      </w:r>
      <w:r w:rsidR="00464C22">
        <w:t>30 June 2016</w:t>
      </w:r>
      <w:r w:rsidRPr="001F00F1">
        <w:t>.</w:t>
      </w:r>
      <w:r w:rsidRPr="001F00F1">
        <w:rPr>
          <w:rStyle w:val="FootnoteReference"/>
        </w:rPr>
        <w:footnoteReference w:id="1123"/>
      </w:r>
    </w:p>
    <w:p w:rsidR="0070354B" w:rsidRPr="001F00F1" w:rsidRDefault="0070354B" w:rsidP="0070354B">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124"/>
      </w:r>
      <w:r w:rsidRPr="001F00F1">
        <w:t xml:space="preserve"> </w:t>
      </w:r>
    </w:p>
    <w:p w:rsidR="0070354B" w:rsidRPr="001F00F1" w:rsidRDefault="0070354B" w:rsidP="0070354B">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125"/>
      </w:r>
    </w:p>
    <w:p w:rsidR="0070354B" w:rsidRDefault="0070354B" w:rsidP="00CC7A1C">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w:t>
      </w:r>
      <w:r w:rsidR="005C0D5D">
        <w:t>TasNetworks</w:t>
      </w:r>
      <w:r w:rsidRPr="00E6101A">
        <w:t>.</w:t>
      </w:r>
      <w:r>
        <w:rPr>
          <w:rStyle w:val="FootnoteReference"/>
        </w:rPr>
        <w:footnoteReference w:id="1126"/>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127"/>
      </w:r>
    </w:p>
    <w:p w:rsidR="0070354B" w:rsidRPr="0070354B" w:rsidRDefault="0070354B" w:rsidP="0070354B">
      <w:pPr>
        <w:pStyle w:val="Heading9"/>
      </w:pPr>
      <w:bookmarkStart w:id="315" w:name="_Ref446254453"/>
      <w:bookmarkStart w:id="316" w:name="_Toc451939004"/>
      <w:r>
        <w:t xml:space="preserve"> </w:t>
      </w:r>
      <w:r w:rsidRPr="0070354B">
        <w:t>Precision and stability of Australian empirical estimates</w:t>
      </w:r>
      <w:bookmarkEnd w:id="315"/>
      <w:bookmarkEnd w:id="316"/>
    </w:p>
    <w:p w:rsidR="0070354B" w:rsidRDefault="0070354B" w:rsidP="00CC7A1C">
      <w:pPr>
        <w:numPr>
          <w:ilvl w:val="0"/>
          <w:numId w:val="24"/>
        </w:numPr>
      </w:pPr>
      <w:r>
        <w:t>We do not consider our empirical equity beta estimates of listed Australian energy businesses are unreliable. Some service providers' consultants previously appear to have taken a narrow definition of what is reliable in this context. They measured reliability by considering precision and stability of equity beta estimates over time.</w:t>
      </w:r>
      <w:r>
        <w:rPr>
          <w:rStyle w:val="FootnoteReference"/>
        </w:rPr>
        <w:footnoteReference w:id="1128"/>
      </w:r>
      <w:r>
        <w:t xml:space="preserve"> They find that these statistical properties improve as the comparator set increases.</w:t>
      </w:r>
      <w:r>
        <w:rPr>
          <w:rStyle w:val="FootnoteReference"/>
        </w:rPr>
        <w:footnoteReference w:id="1129"/>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130"/>
      </w:r>
    </w:p>
    <w:p w:rsidR="0070354B" w:rsidRDefault="0070354B" w:rsidP="00CC7A1C">
      <w:pPr>
        <w:numPr>
          <w:ilvl w:val="0"/>
          <w:numId w:val="24"/>
        </w:numPr>
      </w:pPr>
      <w:r>
        <w:t>It is also useful to note that Henry performed a separate time series regression for each comparator firm and various portfolios of comparator firms.</w:t>
      </w:r>
      <w:r>
        <w:rPr>
          <w:rStyle w:val="FootnoteReference"/>
        </w:rPr>
        <w:footnoteReference w:id="1131"/>
      </w:r>
      <w:r>
        <w:t xml:space="preserve"> The weekly returns for each firm are regressed against the weekly returns on the market over a period of time (the estimation period).</w:t>
      </w:r>
      <w:r>
        <w:rPr>
          <w:rStyle w:val="FootnoteReference"/>
        </w:rPr>
        <w:footnoteReference w:id="1132"/>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133"/>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C6448C">
        <w:t xml:space="preserve">figure </w:t>
      </w:r>
      <w:r w:rsidR="00C6448C">
        <w:rPr>
          <w:noProof/>
        </w:rPr>
        <w:t>3</w:t>
      </w:r>
      <w:r w:rsidR="00C6448C">
        <w:noBreakHyphen/>
      </w:r>
      <w:r w:rsidR="00C6448C">
        <w:rPr>
          <w:noProof/>
        </w:rPr>
        <w:t>17</w:t>
      </w:r>
      <w:r>
        <w:fldChar w:fldCharType="end"/>
      </w:r>
      <w:r>
        <w:t>). This focus on average and portfolio equity beta estimates further reduces any residual uncertainty associated with individual firm estimates.</w:t>
      </w:r>
    </w:p>
    <w:p w:rsidR="0070354B" w:rsidRDefault="0070354B" w:rsidP="00CC7A1C">
      <w:pPr>
        <w:numPr>
          <w:ilvl w:val="0"/>
          <w:numId w:val="24"/>
        </w:numPr>
      </w:pPr>
      <w:r>
        <w:t xml:space="preserve">Frontier Economics previously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134"/>
      </w:r>
      <w:r>
        <w:t xml:space="preserve"> We have assessed this material and consider it is, in substance, the same evidence that has been previously submitted to us on this issue.</w:t>
      </w:r>
      <w:r>
        <w:rPr>
          <w:rStyle w:val="FootnoteReference"/>
        </w:rPr>
        <w:footnoteReference w:id="1135"/>
      </w:r>
      <w:r>
        <w:t xml:space="preserve"> Nevertheless, Partington and Satchell have analysed the graphs of 10 year rolling beta estimates.</w:t>
      </w:r>
      <w:r>
        <w:rPr>
          <w:rStyle w:val="FootnoteReference"/>
        </w:rPr>
        <w:footnoteReference w:id="1136"/>
      </w:r>
      <w:r>
        <w:t xml:space="preserve"> They conclude</w:t>
      </w:r>
      <w:r w:rsidR="001E6895">
        <w:t>d</w:t>
      </w:r>
      <w:r>
        <w:t xml:space="preserve"> that:</w:t>
      </w:r>
      <w:r>
        <w:rPr>
          <w:rStyle w:val="FootnoteReference"/>
        </w:rPr>
        <w:footnoteReference w:id="1137"/>
      </w:r>
    </w:p>
    <w:p w:rsidR="0070354B" w:rsidRDefault="0070354B" w:rsidP="0070354B">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70354B" w:rsidRDefault="0070354B" w:rsidP="0070354B">
      <w:pPr>
        <w:pStyle w:val="AERquote"/>
      </w:pPr>
      <w:r w:rsidRPr="003B03A8">
        <w:t>.</w:t>
      </w:r>
      <w:r>
        <w:t>...</w:t>
      </w:r>
      <w:r w:rsidRPr="003B03A8">
        <w:t xml:space="preserve"> and in the time series of rolling portfolio beta estimates the US betas appear to be less stable than the Australian betas.</w:t>
      </w:r>
    </w:p>
    <w:p w:rsidR="0070354B" w:rsidRDefault="0070354B" w:rsidP="00CC7A1C">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138"/>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 xml:space="preserve">with a similar degree of risk as </w:t>
      </w:r>
      <w:r w:rsidR="005C0D5D">
        <w:t>TasNetworks</w:t>
      </w:r>
      <w:r>
        <w:t xml:space="preserve">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139"/>
      </w:r>
      <w:r>
        <w:t xml:space="preserve"> Even Frontier performs regressions based on a five year estimation period as a robustness check on its estimates from a 10 year estimation period.</w:t>
      </w:r>
      <w:r>
        <w:rPr>
          <w:rStyle w:val="FootnoteReference"/>
        </w:rPr>
        <w:footnoteReference w:id="1140"/>
      </w:r>
      <w:r>
        <w:t xml:space="preserve"> We do not consider the robustness of our equity beta estimates to different estimation choices is invalidated by the fact that the estimates are based on the same underlying comparator set of firms (or a subset of these firms).</w:t>
      </w:r>
    </w:p>
    <w:p w:rsidR="0070354B" w:rsidRDefault="0070354B" w:rsidP="0070354B">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141"/>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C6448C">
        <w:t>G.1</w:t>
      </w:r>
      <w:r>
        <w:fldChar w:fldCharType="end"/>
      </w:r>
      <w:r>
        <w:t xml:space="preserve"> and </w:t>
      </w:r>
      <w:r>
        <w:fldChar w:fldCharType="begin"/>
      </w:r>
      <w:r>
        <w:instrText xml:space="preserve"> REF _Ref446255164 \r \h </w:instrText>
      </w:r>
      <w:r>
        <w:fldChar w:fldCharType="separate"/>
      </w:r>
      <w:r w:rsidR="00C6448C">
        <w:t>G.2</w:t>
      </w:r>
      <w:r>
        <w:fldChar w:fldCharType="end"/>
      </w:r>
      <w:r>
        <w:t>.</w:t>
      </w:r>
    </w:p>
    <w:p w:rsidR="0070354B" w:rsidRPr="0070354B" w:rsidRDefault="0070354B" w:rsidP="0070354B">
      <w:pPr>
        <w:pStyle w:val="Heading9"/>
      </w:pPr>
      <w:bookmarkStart w:id="317" w:name="_Ref446254445"/>
      <w:bookmarkStart w:id="318" w:name="_Toc451939005"/>
      <w:r>
        <w:t>Use of international energy firms</w:t>
      </w:r>
      <w:bookmarkEnd w:id="317"/>
      <w:bookmarkEnd w:id="318"/>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5C0D5D">
        <w:t>TasNetworks</w:t>
      </w:r>
      <w:r>
        <w:t xml:space="preserve">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70354B" w:rsidRPr="001F00F1" w:rsidRDefault="0070354B" w:rsidP="0070354B">
      <w:pPr>
        <w:pStyle w:val="AERbulletlistfirststyle"/>
      </w:pPr>
      <w:r>
        <w:t>They deviate from our definition of a benchmark efficient entity definition because they do not operate within Australia.</w:t>
      </w:r>
      <w:r w:rsidRPr="005F2073">
        <w:t xml:space="preserve"> </w:t>
      </w:r>
      <w:r>
        <w:t>D</w:t>
      </w:r>
      <w:r w:rsidRPr="001F00F1">
        <w:t>ifferences in regulation of businesses, the domestic economy, geography, business cycles, weather and a number of different factors are likely to result in differences between equity beta estimates for similar businesses between countries.</w:t>
      </w:r>
      <w:r>
        <w:rPr>
          <w:rStyle w:val="FootnoteReference"/>
        </w:rPr>
        <w:footnoteReference w:id="1142"/>
      </w:r>
      <w:r w:rsidRPr="001F00F1">
        <w:t xml:space="preserve"> It is difficult to assign quantitative impacts to these qualitative factors.</w:t>
      </w:r>
    </w:p>
    <w:p w:rsidR="0070354B" w:rsidRPr="001F00F1" w:rsidRDefault="0070354B" w:rsidP="0070354B">
      <w:pPr>
        <w:pStyle w:val="AERbulletlistfirststyle"/>
      </w:pPr>
      <w:r>
        <w:t>W</w:t>
      </w:r>
      <w:r w:rsidRPr="001F00F1">
        <w:t>e discuss equity beta estimates in the context of our foundation model, which is the domestic S</w:t>
      </w:r>
      <w:r>
        <w:t>harpe-</w:t>
      </w:r>
      <w:r w:rsidRPr="001F00F1">
        <w:t>L</w:t>
      </w:r>
      <w:r>
        <w:t xml:space="preserve">intner </w:t>
      </w:r>
      <w:r w:rsidRPr="001F00F1">
        <w:t>CAPM.</w:t>
      </w:r>
      <w:r w:rsidRPr="001F00F1">
        <w:rPr>
          <w:rStyle w:val="FootnoteReference"/>
        </w:rPr>
        <w:footnoteReference w:id="1143"/>
      </w:r>
      <w:r w:rsidRPr="001F00F1">
        <w:t xml:space="preserve"> This provides a strong rationale for estimating the equity beta using Australian data. If we included international energy firms in our comparator set, it may be more appropriate to use an international</w:t>
      </w:r>
      <w:r>
        <w:t xml:space="preserve"> or global</w:t>
      </w:r>
      <w:r w:rsidRPr="001F00F1">
        <w:t xml:space="preserve"> CAPM.</w:t>
      </w:r>
      <w:r>
        <w:rPr>
          <w:rStyle w:val="FootnoteReference"/>
        </w:rPr>
        <w:footnoteReference w:id="1144"/>
      </w:r>
      <w:r w:rsidRPr="001F00F1">
        <w:t xml:space="preserve"> </w:t>
      </w:r>
    </w:p>
    <w:p w:rsidR="0070354B" w:rsidRDefault="0070354B" w:rsidP="0070354B">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145"/>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146"/>
      </w:r>
      <w:r>
        <w:t xml:space="preserve"> As Associate Professor John Handley (Handley) stated:</w:t>
      </w:r>
      <w:r>
        <w:rPr>
          <w:rStyle w:val="FootnoteReference"/>
        </w:rPr>
        <w:footnoteReference w:id="1147"/>
      </w:r>
    </w:p>
    <w:p w:rsidR="0070354B" w:rsidRPr="006048D2" w:rsidRDefault="0070354B" w:rsidP="0070354B">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70354B" w:rsidRPr="001F00F1" w:rsidRDefault="0070354B" w:rsidP="0070354B">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148"/>
      </w:r>
      <w:r w:rsidRPr="001F00F1">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1F00F1">
        <w:rPr>
          <w:rStyle w:val="FootnoteReference"/>
        </w:rPr>
        <w:footnoteReference w:id="1149"/>
      </w:r>
      <w:r w:rsidRPr="001F00F1">
        <w:t xml:space="preserve"> These activities are very different from</w:t>
      </w:r>
      <w:r>
        <w:t xml:space="preserve"> our definition of</w:t>
      </w:r>
      <w:r w:rsidRPr="001F00F1">
        <w:t xml:space="preserve"> </w:t>
      </w:r>
      <w:r>
        <w:t>a</w:t>
      </w:r>
      <w:r w:rsidRPr="001F00F1">
        <w:t xml:space="preserv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150"/>
      </w:r>
    </w:p>
    <w:p w:rsidR="0070354B" w:rsidRPr="001F00F1" w:rsidRDefault="0070354B" w:rsidP="0070354B">
      <w:pPr>
        <w:pStyle w:val="AERbulletlistfirststyle"/>
      </w:pPr>
      <w:r>
        <w:t>W</w:t>
      </w:r>
      <w:r w:rsidRPr="001F00F1">
        <w:t xml:space="preserve">e consider the available Australian data is sufficient for us to form a reasonable equity beta range that is reflective of the equity beta for </w:t>
      </w:r>
      <w:r>
        <w:t xml:space="preserve">a </w:t>
      </w:r>
      <w:r w:rsidRPr="001F00F1">
        <w:t>benchmark efficient entity.</w:t>
      </w:r>
    </w:p>
    <w:p w:rsidR="0070354B" w:rsidRDefault="0070354B" w:rsidP="00CC7A1C">
      <w:pPr>
        <w:numPr>
          <w:ilvl w:val="0"/>
          <w:numId w:val="24"/>
        </w:numPr>
      </w:pPr>
      <w:r>
        <w:t>These factors are discussed in more detail in the Guideline and 2009 WACC review.</w:t>
      </w:r>
      <w:r>
        <w:rPr>
          <w:rStyle w:val="FootnoteReference"/>
        </w:rPr>
        <w:footnoteReference w:id="1151"/>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70354B" w:rsidRPr="00F241AB" w:rsidRDefault="0070354B" w:rsidP="00CC7A1C">
      <w:pPr>
        <w:numPr>
          <w:ilvl w:val="0"/>
          <w:numId w:val="24"/>
        </w:numPr>
      </w:pPr>
      <w:r>
        <w:t xml:space="preserve">The </w:t>
      </w:r>
      <w:r w:rsidR="00292A25">
        <w:t>submitted</w:t>
      </w:r>
      <w:r>
        <w:t xml:space="preserve"> consultant</w:t>
      </w:r>
      <w:r w:rsidR="00292A25">
        <w:t xml:space="preserve"> reports</w:t>
      </w:r>
      <w:r>
        <w:t xml:space="preserve"> appear to have recognised</w:t>
      </w:r>
      <w:r w:rsidRPr="00AA15E3">
        <w:t xml:space="preserve"> </w:t>
      </w:r>
      <w:r>
        <w:t>international energy network firms are less comparable to a benchmark efficient entity than Australian energy network firms. However, some also considered our comparator set of Australian energy network firms is too small and produces unreliable equity beta estimates.</w:t>
      </w:r>
      <w:r>
        <w:rPr>
          <w:rStyle w:val="FootnoteReference"/>
        </w:rPr>
        <w:footnoteReference w:id="1152"/>
      </w:r>
      <w:r>
        <w:t xml:space="preserve"> In analysing these competing considerations, these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153"/>
      </w:r>
    </w:p>
    <w:p w:rsidR="0070354B" w:rsidRDefault="0070354B" w:rsidP="00CC7A1C">
      <w:pPr>
        <w:numPr>
          <w:ilvl w:val="0"/>
          <w:numId w:val="24"/>
        </w:numPr>
      </w:pPr>
      <w:r>
        <w:t>W</w:t>
      </w:r>
      <w:r w:rsidRPr="00F241AB">
        <w:t xml:space="preserve">e do not consider </w:t>
      </w:r>
      <w:r>
        <w:t>these submissions</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 xml:space="preserve">with a similar degree of risk as </w:t>
      </w:r>
      <w:r w:rsidR="005C0D5D">
        <w:t>TasNetworks</w:t>
      </w:r>
      <w:r>
        <w:t xml:space="preserve"> in providing regulated services</w:t>
      </w:r>
      <w:r w:rsidRPr="00F241AB">
        <w:t>.</w:t>
      </w:r>
      <w:r>
        <w:rPr>
          <w:rStyle w:val="FootnoteReference"/>
        </w:rPr>
        <w:footnoteReference w:id="1154"/>
      </w:r>
      <w:r w:rsidRPr="00F241AB">
        <w:t xml:space="preserve"> Handley supports this </w:t>
      </w:r>
      <w:r>
        <w:t>view</w:t>
      </w:r>
      <w:r w:rsidRPr="00F241AB">
        <w:t>.</w:t>
      </w:r>
      <w:r w:rsidRPr="00F241AB">
        <w:rPr>
          <w:rStyle w:val="FootnoteReference"/>
        </w:rPr>
        <w:footnoteReference w:id="1155"/>
      </w:r>
      <w:r>
        <w:t xml:space="preserve"> We provided detailed reasoning for this view in our recent decisions, which we do not reproduce in this decision but which remains applicable.</w:t>
      </w:r>
      <w:r>
        <w:rPr>
          <w:rStyle w:val="FootnoteReference"/>
        </w:rPr>
        <w:footnoteReference w:id="1156"/>
      </w:r>
      <w:r>
        <w:t xml:space="preserve"> However, Partington and Satchell have assessed Frontier Economics' most recent (2016) report on the issue, and conclude that:</w:t>
      </w:r>
      <w:r>
        <w:rPr>
          <w:rStyle w:val="FootnoteReference"/>
        </w:rPr>
        <w:footnoteReference w:id="1157"/>
      </w:r>
    </w:p>
    <w:p w:rsidR="0070354B" w:rsidRDefault="0070354B" w:rsidP="0070354B">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70354B" w:rsidRDefault="0070354B" w:rsidP="0070354B">
      <w:pPr>
        <w:pStyle w:val="AERquote"/>
      </w:pPr>
      <w:r>
        <w:t>…</w:t>
      </w:r>
      <w:r w:rsidRPr="001233AC">
        <w:t>Furthermore, the use of 24% by weight of Australian data and 76% by weight of US data to compute an Australian beta seems intuitively inappropriate.</w:t>
      </w:r>
    </w:p>
    <w:p w:rsidR="0070354B" w:rsidRPr="004C2E1A" w:rsidRDefault="0070354B" w:rsidP="0070354B">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70354B" w:rsidRDefault="0070354B" w:rsidP="00CC7A1C">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158"/>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159"/>
      </w:r>
      <w:r>
        <w:t xml:space="preserve"> </w:t>
      </w:r>
    </w:p>
    <w:p w:rsidR="0070354B" w:rsidRDefault="0070354B" w:rsidP="00CC7A1C">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70354B" w:rsidRPr="0070354B" w:rsidRDefault="0070354B" w:rsidP="0070354B">
      <w:pPr>
        <w:pStyle w:val="Heading9"/>
      </w:pPr>
      <w:bookmarkStart w:id="319" w:name="_Ref446254437"/>
      <w:bookmarkStart w:id="320" w:name="_Toc451939006"/>
      <w:r>
        <w:t>Use of non-energy infrastructure firms</w:t>
      </w:r>
      <w:bookmarkEnd w:id="319"/>
      <w:bookmarkEnd w:id="320"/>
    </w:p>
    <w:p w:rsidR="0070354B" w:rsidRDefault="0070354B">
      <w:pPr>
        <w:numPr>
          <w:ilvl w:val="0"/>
          <w:numId w:val="24"/>
        </w:numPr>
      </w:pPr>
      <w:r>
        <w:t>Frontier Economics (previously SFG) previously submitted that we should include Australian non-energy infrastructure firms in our comparator set in addition to Australian energy firms</w:t>
      </w:r>
      <w:r w:rsidR="006A54DD">
        <w:t>.</w:t>
      </w:r>
      <w:r>
        <w:rPr>
          <w:rStyle w:val="FootnoteReference"/>
        </w:rPr>
        <w:footnoteReference w:id="1160"/>
      </w:r>
      <w:r>
        <w:t xml:space="preserve"> Frontier Economics examined equity beta estimates for nine Australian energy network firms, seven Australian non-energy infrastructure firms</w:t>
      </w:r>
      <w:r>
        <w:rPr>
          <w:rStyle w:val="FootnoteReference"/>
        </w:rPr>
        <w:footnoteReference w:id="1161"/>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162"/>
      </w:r>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466044">
        <w:t>TasNetworks</w:t>
      </w:r>
      <w:r>
        <w:t xml:space="preserve"> in relation to the provision of its regulated services. We do not include non-energy infrastructure firms in our comparator set for empirical analysis. We consider these firms are not suitable comparators in this case, for the following reasons:</w:t>
      </w:r>
    </w:p>
    <w:p w:rsidR="0070354B" w:rsidRPr="001F00F1" w:rsidRDefault="0070354B" w:rsidP="0070354B">
      <w:pPr>
        <w:pStyle w:val="AERbulletlistfirststyle"/>
      </w:pPr>
      <w:r>
        <w:t xml:space="preserve">The allowed rate of return objective requires us to consider the efficient financing costs of a benchmark efficient entity with a similar degree of risk as </w:t>
      </w:r>
      <w:r w:rsidR="00466044">
        <w:t>TasNetworks</w:t>
      </w:r>
      <w:r>
        <w:t xml:space="preserve"> in the provision of regulated electricity network services. These firms do not provide electricity network, or more generally energy network, services.  </w:t>
      </w:r>
    </w:p>
    <w:p w:rsidR="0070354B" w:rsidRDefault="0070354B" w:rsidP="0070354B">
      <w:pPr>
        <w:pStyle w:val="AERbulletlistfirststyle"/>
      </w:pPr>
      <w:r>
        <w:t>D</w:t>
      </w:r>
      <w:r w:rsidRPr="001F00F1">
        <w:t>ifferences in regulation</w:t>
      </w:r>
      <w:r>
        <w:t xml:space="preserve"> (including minimal or no regulation), industry structure and consumer demand for</w:t>
      </w:r>
      <w:r w:rsidRPr="001F00F1">
        <w:t xml:space="preserve"> </w:t>
      </w:r>
      <w:r>
        <w:t xml:space="preserve">non-energy infrastructure firms </w:t>
      </w:r>
      <w:r w:rsidRPr="001F00F1">
        <w:t xml:space="preserve">are likely to result in </w:t>
      </w:r>
      <w:r>
        <w:t>different risk profiles relative to energy network firms regulated under the rules and law.</w:t>
      </w:r>
      <w:r>
        <w:rPr>
          <w:rStyle w:val="FootnoteReference"/>
        </w:rPr>
        <w:footnoteReference w:id="1163"/>
      </w:r>
      <w:r>
        <w:t xml:space="preserve"> For example, a number of Australian non-energy infrastructure firms are unregulated or are partly regulated under different regulatory regimes.</w:t>
      </w:r>
      <w:r>
        <w:rPr>
          <w:rStyle w:val="FootnoteReference"/>
        </w:rPr>
        <w:footnoteReference w:id="1164"/>
      </w:r>
      <w:r>
        <w:t xml:space="preserve"> We explain why we consider </w:t>
      </w:r>
      <w:r w:rsidRPr="006B58F1">
        <w:t>unregulated businesses are likely to have a very different risk profile</w:t>
      </w:r>
      <w:r>
        <w:t xml:space="preserve"> to regulated firms in section 3.3.3. Also, a number of Australian non-energy infrastructure firms provide a range of different services in addition to management of and access to the monopoly infrastructure,</w:t>
      </w:r>
      <w:r>
        <w:rPr>
          <w:rStyle w:val="FootnoteReference"/>
        </w:rPr>
        <w:footnoteReference w:id="1165"/>
      </w:r>
      <w:r>
        <w:t xml:space="preserve"> which are likely to influence their overall risk profile. </w:t>
      </w:r>
    </w:p>
    <w:p w:rsidR="0070354B" w:rsidRPr="007F642B" w:rsidRDefault="0070354B" w:rsidP="0070354B">
      <w:pPr>
        <w:pStyle w:val="AERbulletlistfirststyle"/>
      </w:pPr>
      <w:r>
        <w:t>W</w:t>
      </w:r>
      <w:r w:rsidRPr="007F642B">
        <w:t xml:space="preserve">e consider the available data for Australian energy network firms are sufficient for us to form a reasonable equity beta range that is reflective of the equity beta for </w:t>
      </w:r>
      <w:r>
        <w:t>a</w:t>
      </w:r>
      <w:r w:rsidRPr="007F642B">
        <w:t xml:space="preserve"> benchmark efficient entity.</w:t>
      </w:r>
    </w:p>
    <w:p w:rsidR="0070354B" w:rsidRDefault="0070354B" w:rsidP="00CC7A1C">
      <w:pPr>
        <w:numPr>
          <w:ilvl w:val="0"/>
          <w:numId w:val="24"/>
        </w:numPr>
      </w:pPr>
      <w:r>
        <w:t xml:space="preserve">As discussed at the start of section </w:t>
      </w:r>
      <w:r>
        <w:fldChar w:fldCharType="begin"/>
      </w:r>
      <w:r>
        <w:instrText xml:space="preserve"> REF _Ref446254453 \r \h </w:instrText>
      </w:r>
      <w:r>
        <w:fldChar w:fldCharType="separate"/>
      </w:r>
      <w:r w:rsidR="00C6448C">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w:t>
      </w:r>
      <w:r w:rsidR="00466044">
        <w:t>TasNetworks</w:t>
      </w:r>
      <w:r>
        <w:t xml:space="preserve"> in providing regulated services. </w:t>
      </w:r>
    </w:p>
    <w:p w:rsidR="0070354B" w:rsidRDefault="0070354B" w:rsidP="00CC7A1C">
      <w:pPr>
        <w:numPr>
          <w:ilvl w:val="0"/>
          <w:numId w:val="24"/>
        </w:numPr>
      </w:pPr>
      <w:r>
        <w:t xml:space="preserve">Frontier Economics also performed two statistical tests (the </w:t>
      </w:r>
      <w:r w:rsidRPr="00606073">
        <w:t>Kolmogorov-Smirnov</w:t>
      </w:r>
      <w:r>
        <w:t xml:space="preserve"> test and a t-test)</w:t>
      </w:r>
      <w:r>
        <w:rPr>
          <w:rStyle w:val="FootnoteReference"/>
        </w:rPr>
        <w:footnoteReference w:id="1166"/>
      </w:r>
      <w:r>
        <w:t xml:space="preserve"> to infer that the three comparator sets are drawn from the same population.</w:t>
      </w:r>
      <w:r>
        <w:rPr>
          <w:rStyle w:val="FootnoteReference"/>
        </w:rPr>
        <w:footnoteReference w:id="1167"/>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168"/>
      </w:r>
    </w:p>
    <w:p w:rsidR="0070354B" w:rsidRPr="00D32280" w:rsidRDefault="0070354B" w:rsidP="0070354B">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70354B" w:rsidRDefault="0070354B" w:rsidP="00CC7A1C">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169"/>
      </w:r>
    </w:p>
    <w:p w:rsidR="0070354B" w:rsidRPr="006048D2" w:rsidRDefault="0070354B" w:rsidP="0070354B">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70354B" w:rsidRDefault="0070354B" w:rsidP="00CC7A1C">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170"/>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171"/>
      </w:r>
      <w:r w:rsidRPr="00ED0870">
        <w:t xml:space="preserve"> </w:t>
      </w:r>
    </w:p>
    <w:p w:rsidR="0070354B" w:rsidRDefault="0070354B" w:rsidP="00CC7A1C">
      <w:pPr>
        <w:numPr>
          <w:ilvl w:val="0"/>
          <w:numId w:val="24"/>
        </w:numPr>
      </w:pPr>
      <w:r>
        <w:t xml:space="preserve">Moreover, CEG and SFG provided analysis on the comparability of 56 US energy firms to a (domestic) benchmark efficient entity. We have analysed this material and explained in detail why we consider international energy firms are not reasonably comparable to a benchmark efficient entity with a similar degree of risk as </w:t>
      </w:r>
      <w:r w:rsidR="00466044">
        <w:t>TasNetworks</w:t>
      </w:r>
      <w:r>
        <w:t xml:space="preserve"> in providing regulated services (see section </w:t>
      </w:r>
      <w:r>
        <w:fldChar w:fldCharType="begin"/>
      </w:r>
      <w:r>
        <w:instrText xml:space="preserve"> REF _Ref446254445 \r \h </w:instrText>
      </w:r>
      <w:r>
        <w:fldChar w:fldCharType="separate"/>
      </w:r>
      <w:r w:rsidR="00C6448C">
        <w:t>G.4.3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the service providers we regulate in providing regulated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172"/>
      </w:r>
      <w:r>
        <w:t xml:space="preserve"> </w:t>
      </w:r>
    </w:p>
    <w:p w:rsidR="0070354B" w:rsidRDefault="0070354B" w:rsidP="00CC7A1C">
      <w:pPr>
        <w:numPr>
          <w:ilvl w:val="0"/>
          <w:numId w:val="24"/>
        </w:numPr>
      </w:pPr>
      <w:r>
        <w:t xml:space="preserve">We disagree with the suggestion by several service providers that a benchmark efficient entity should be defined as an unregulated entity operating in a workably competitive market (see </w:t>
      </w:r>
      <w:r w:rsidR="00CC4A6D">
        <w:t>table 3–6</w:t>
      </w:r>
      <w:r>
        <w:t xml:space="preserve">). However, we note in any case that we do not consider there is persuasive evidence that these entities are reasonable comparators for a benchmark efficient entity with similar degree of risk to </w:t>
      </w:r>
      <w:r w:rsidR="00466044">
        <w:t>TasNetworks</w:t>
      </w:r>
      <w:r>
        <w:t xml:space="preserve"> in the provision of its regulated services.</w:t>
      </w:r>
    </w:p>
    <w:p w:rsidR="0070354B" w:rsidRPr="00C01E61" w:rsidRDefault="0070354B" w:rsidP="00CC7A1C">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173"/>
      </w:r>
      <w:r>
        <w:t xml:space="preserve"> The average equity beta estimates from Frontier Economics' analysis of non-energy infrastructure firms range from 0.58 to 0.91,</w:t>
      </w:r>
      <w:r>
        <w:rPr>
          <w:rStyle w:val="FootnoteReference"/>
        </w:rPr>
        <w:footnoteReference w:id="1174"/>
      </w:r>
      <w:r>
        <w:t xml:space="preserve"> which is consistent with our final equity beta estimate of 0.7.</w:t>
      </w:r>
    </w:p>
    <w:p w:rsidR="00A933BB" w:rsidRDefault="00A933BB" w:rsidP="00A933BB">
      <w:pPr>
        <w:pStyle w:val="Heading7"/>
      </w:pPr>
      <w:bookmarkStart w:id="321" w:name="_Toc456686755"/>
      <w:bookmarkStart w:id="322" w:name="_Ref479168039"/>
      <w:bookmarkStart w:id="323" w:name="_Ref479168250"/>
      <w:bookmarkStart w:id="324" w:name="_Ref479168556"/>
      <w:bookmarkStart w:id="325" w:name="_Ref479168723"/>
      <w:bookmarkStart w:id="326" w:name="_Ref479169158"/>
      <w:bookmarkStart w:id="327" w:name="_Ref479169214"/>
      <w:bookmarkStart w:id="328" w:name="_Ref479170782"/>
      <w:bookmarkStart w:id="329" w:name="_Toc481057092"/>
      <w:bookmarkStart w:id="330" w:name="_Toc456686789"/>
      <w:r>
        <w:t>Return on debt approach</w:t>
      </w:r>
      <w:bookmarkEnd w:id="321"/>
      <w:bookmarkEnd w:id="322"/>
      <w:bookmarkEnd w:id="323"/>
      <w:bookmarkEnd w:id="324"/>
      <w:bookmarkEnd w:id="325"/>
      <w:bookmarkEnd w:id="326"/>
      <w:bookmarkEnd w:id="327"/>
      <w:bookmarkEnd w:id="328"/>
      <w:bookmarkEnd w:id="329"/>
    </w:p>
    <w:p w:rsidR="00CE5DD5" w:rsidRPr="00CE5DD5" w:rsidRDefault="00CE5DD5" w:rsidP="00CE5DD5">
      <w:r w:rsidRPr="00CE5DD5">
        <w:t>We transition all of the return on debt</w:t>
      </w:r>
      <w:r w:rsidRPr="00CE5DD5">
        <w:rPr>
          <w:rStyle w:val="FootnoteReference"/>
        </w:rPr>
        <w:footnoteReference w:id="1175"/>
      </w:r>
      <w:r w:rsidRPr="00CE5DD5">
        <w:t xml:space="preserve"> from an on-the-day approach in the first regulatory year to a trailing average by updating 10 per cent of the debt portfolio over 10 years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In this appendix, a 'regulatory period' means a regulatory control period or an access arrangement period.</w:t>
      </w:r>
    </w:p>
    <w:p w:rsidR="00CE5DD5" w:rsidRPr="00CE5DD5" w:rsidRDefault="00CE5DD5" w:rsidP="00CE5DD5">
      <w:r w:rsidRPr="00CE5DD5">
        <w:t>In setting out our reasons for this view, this appendix is structured as follows:</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_Ref447803792 \r \h </w:instrText>
      </w:r>
      <w:r w:rsidRPr="00CE5DD5">
        <w:fldChar w:fldCharType="separate"/>
      </w:r>
      <w:r w:rsidR="00C6448C">
        <w:t>H.1</w:t>
      </w:r>
      <w:r w:rsidRPr="00CE5DD5">
        <w:fldChar w:fldCharType="end"/>
      </w:r>
      <w:r w:rsidRPr="00CE5DD5">
        <w:t xml:space="preserve"> establishes how we interpret the ARORO. This is with a particular focus on defining efficient financing costs (section </w:t>
      </w:r>
      <w:r w:rsidRPr="00CE5DD5">
        <w:fldChar w:fldCharType="begin"/>
      </w:r>
      <w:r w:rsidRPr="00CE5DD5">
        <w:instrText xml:space="preserve"> REF _Ref446405872 \r \h </w:instrText>
      </w:r>
      <w:r w:rsidRPr="00CE5DD5">
        <w:fldChar w:fldCharType="separate"/>
      </w:r>
      <w:r w:rsidR="00C6448C">
        <w:t>H.1.1</w:t>
      </w:r>
      <w:r w:rsidRPr="00CE5DD5">
        <w:fldChar w:fldCharType="end"/>
      </w:r>
      <w:r w:rsidRPr="00CE5DD5">
        <w:t xml:space="preserve">) and how the concept of a benchmark efficient entity interacts with the ARORO (section </w:t>
      </w:r>
      <w:r w:rsidRPr="00CE5DD5">
        <w:fldChar w:fldCharType="begin"/>
      </w:r>
      <w:r w:rsidRPr="00CE5DD5">
        <w:instrText xml:space="preserve"> REF _Ref447803806 \r \h </w:instrText>
      </w:r>
      <w:r w:rsidRPr="00CE5DD5">
        <w:fldChar w:fldCharType="separate"/>
      </w:r>
      <w:r w:rsidR="00C6448C">
        <w:t>H.1.2</w:t>
      </w:r>
      <w:r w:rsidRPr="00CE5DD5">
        <w:fldChar w:fldCharType="end"/>
      </w:r>
      <w:r w:rsidRPr="00CE5DD5">
        <w:t>).</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_Ref444778432 \r \h </w:instrText>
      </w:r>
      <w:r w:rsidRPr="00CE5DD5">
        <w:fldChar w:fldCharType="separate"/>
      </w:r>
      <w:r w:rsidR="00C6448C">
        <w:t>H.2</w:t>
      </w:r>
      <w:r w:rsidRPr="00CE5DD5">
        <w:fldChar w:fldCharType="end"/>
      </w:r>
      <w:r w:rsidRPr="00CE5DD5">
        <w:t xml:space="preserve"> sets out what is required for us to form an allowed return on debt that contributes to the achievement of the ARORO. This includes: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_Ref446603900 \r \h  \* MERGEFORMAT </w:instrText>
      </w:r>
      <w:r w:rsidRPr="00CE5DD5">
        <w:fldChar w:fldCharType="separate"/>
      </w:r>
      <w:r w:rsidR="00C6448C">
        <w:t>H.2.1</w:t>
      </w:r>
      <w:r w:rsidRPr="00CE5DD5">
        <w:fldChar w:fldCharType="end"/>
      </w:r>
      <w:r w:rsidRPr="00CE5DD5">
        <w:t>—the need to provide ex-ante compensation for efficient financing costs (ex-ante efficient compensation) as opposed to providing compensation for historically incurred costs</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_Ref447803918 \r \h </w:instrText>
      </w:r>
      <w:r w:rsidRPr="00CE5DD5">
        <w:fldChar w:fldCharType="separate"/>
      </w:r>
      <w:r w:rsidR="00C6448C">
        <w:t>H.2.2</w:t>
      </w:r>
      <w:r w:rsidRPr="00CE5DD5">
        <w:fldChar w:fldCharType="end"/>
      </w:r>
      <w:r w:rsidRPr="00CE5DD5">
        <w:t xml:space="preserve">—why we consider our approach is consistent with the National Electricity Law /National Gas Law (NEL/NGL)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_Ref447803924 \r \h </w:instrText>
      </w:r>
      <w:r w:rsidRPr="00CE5DD5">
        <w:fldChar w:fldCharType="separate"/>
      </w:r>
      <w:r w:rsidR="00C6448C">
        <w:t>H.2.3</w:t>
      </w:r>
      <w:r w:rsidRPr="00CE5DD5">
        <w:fldChar w:fldCharType="end"/>
      </w:r>
      <w:r w:rsidRPr="00CE5DD5">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_Ref444767739 \r \h </w:instrText>
      </w:r>
      <w:r w:rsidRPr="00CE5DD5">
        <w:fldChar w:fldCharType="separate"/>
      </w:r>
      <w:r w:rsidR="00C6448C">
        <w:t>H.3</w:t>
      </w:r>
      <w:r w:rsidRPr="00CE5DD5">
        <w:fldChar w:fldCharType="end"/>
      </w:r>
      <w:r w:rsidRPr="00CE5DD5">
        <w:t xml:space="preserve"> analyses the on-the-day and trailing average approaches to establish the extent these approaches can contribute to the achievement of the ARORO.</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_Ref447538284 \r \h </w:instrText>
      </w:r>
      <w:r w:rsidRPr="00CE5DD5">
        <w:fldChar w:fldCharType="separate"/>
      </w:r>
      <w:r w:rsidR="00C6448C">
        <w:t>H.4</w:t>
      </w:r>
      <w:r w:rsidRPr="00CE5DD5">
        <w:fldChar w:fldCharType="end"/>
      </w:r>
      <w:r w:rsidRPr="00CE5DD5">
        <w:t xml:space="preserve"> establishes why a full transition can contribute to the achievement of the ARORO when moving from an on-the-day to a trailing average approach.</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_Ref447266532 \r \h </w:instrText>
      </w:r>
      <w:r w:rsidRPr="00CE5DD5">
        <w:fldChar w:fldCharType="separate"/>
      </w:r>
      <w:r w:rsidR="00C6448C">
        <w:t>H.5</w:t>
      </w:r>
      <w:r w:rsidRPr="00CE5DD5">
        <w:fldChar w:fldCharType="end"/>
      </w:r>
      <w:r w:rsidRPr="00CE5DD5">
        <w:t xml:space="preserve"> explains why an immediate (or hybrid) transition will not achieve the ARORO given current interest rates relative to historical interest rates. This includes: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_Ref447886159 \r \h  \* MERGEFORMAT </w:instrText>
      </w:r>
      <w:r w:rsidRPr="00CE5DD5">
        <w:fldChar w:fldCharType="separate"/>
      </w:r>
      <w:r w:rsidR="00C6448C">
        <w:t>H.5.1</w:t>
      </w:r>
      <w:r w:rsidRPr="00CE5DD5">
        <w:fldChar w:fldCharType="end"/>
      </w:r>
      <w:r w:rsidRPr="00CE5DD5">
        <w:t xml:space="preserve">—a mathematical explanation.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_Ref447886226 \r \h  \* MERGEFORMAT </w:instrText>
      </w:r>
      <w:r w:rsidRPr="00CE5DD5">
        <w:fldChar w:fldCharType="separate"/>
      </w:r>
      <w:r w:rsidR="00C6448C">
        <w:t>H.5.2</w:t>
      </w:r>
      <w:r w:rsidRPr="00CE5DD5">
        <w:fldChar w:fldCharType="end"/>
      </w:r>
      <w:r w:rsidRPr="00CE5DD5">
        <w:t>—a further discussion responding to some issues raised in the service providers' revised proposals.</w:t>
      </w:r>
      <w:r w:rsidRPr="00CE5DD5">
        <w:rPr>
          <w:rStyle w:val="FootnoteReference"/>
        </w:rPr>
        <w:footnoteReference w:id="1176"/>
      </w:r>
      <w:r w:rsidRPr="00CE5DD5">
        <w:t xml:space="preserve"> </w:t>
      </w:r>
      <w:r w:rsidRPr="00CE5DD5">
        <w:fldChar w:fldCharType="begin"/>
      </w:r>
      <w:r w:rsidRPr="00CE5DD5">
        <w:instrText xml:space="preserve"> REF _Ref447807493 \h  \* MERGEFORMAT </w:instrText>
      </w:r>
      <w:r w:rsidRPr="00CE5DD5">
        <w:fldChar w:fldCharType="separate"/>
      </w:r>
      <w:r w:rsidR="00C6448C" w:rsidRPr="00CE5DD5">
        <w:t xml:space="preserve">Table </w:t>
      </w:r>
      <w:r w:rsidR="00C6448C">
        <w:t>3</w:t>
      </w:r>
      <w:r w:rsidR="00C6448C">
        <w:noBreakHyphen/>
        <w:t>37</w:t>
      </w:r>
      <w:r w:rsidRPr="00CE5DD5">
        <w:fldChar w:fldCharType="end"/>
      </w:r>
      <w:r w:rsidRPr="00CE5DD5">
        <w:t xml:space="preserve"> responds to arguments supporting an immediate transition to a trailing average. We also provide responses to the CEG’s most recent report on the AER’s current interpretation of the ARORO in this section. For Completeness we retain the explanation from our earlier decisions on why we disagree with an earlier CEG's report recommending that if we apply a hybrid transition, we should assume a benchmark efficient entity would have hedged one third of the base rate (noting this argument becomes redundant as we do not apply a hybrid transition).</w:t>
      </w:r>
      <w:r w:rsidRPr="00CE5DD5">
        <w:rPr>
          <w:rStyle w:val="FootnoteReference"/>
        </w:rPr>
        <w:footnoteReference w:id="1177"/>
      </w:r>
    </w:p>
    <w:p w:rsidR="00CE5DD5" w:rsidRDefault="00CE5DD5" w:rsidP="006E5878">
      <w:r w:rsidRPr="00CE5DD5">
        <w:t xml:space="preserve">This section also explains why, to achieve the ARORO, the on-the-day approach should continue if there is no revenue-neutral transition from the current on the day approach. </w:t>
      </w:r>
    </w:p>
    <w:p w:rsidR="00987246" w:rsidRDefault="00987246" w:rsidP="00987246">
      <w:r>
        <w:t xml:space="preserve">We note that TasNetworks adopted our full transition approach. </w:t>
      </w:r>
      <w:r w:rsidR="002D4487">
        <w:t>Nevertheless, w</w:t>
      </w:r>
      <w:r>
        <w:t>e consider it is necessary to include the analysis and reasoning for why we adopt a full transition approach in th</w:t>
      </w:r>
      <w:r w:rsidR="002D4487">
        <w:t>is</w:t>
      </w:r>
      <w:r>
        <w:t xml:space="preserve"> appendix. We </w:t>
      </w:r>
      <w:r w:rsidR="00F458E9">
        <w:t xml:space="preserve">have </w:t>
      </w:r>
      <w:r>
        <w:t xml:space="preserve">also included the material submitted by AusNet and other service providers (in earlier decisions) who have proposed departures from our current approach to estimating the cost of debt. We consider it is necessary to include this material and the responses to the material given we have considered it in reaching our final decision for TasNetworks.  </w:t>
      </w:r>
      <w:r w:rsidRPr="00907E8E">
        <w:t xml:space="preserve">  </w:t>
      </w:r>
    </w:p>
    <w:p w:rsidR="00CE5DD5" w:rsidRPr="00CE5DD5" w:rsidRDefault="00CE5DD5" w:rsidP="004062E0">
      <w:pPr>
        <w:pStyle w:val="Heading8"/>
        <w:numPr>
          <w:ilvl w:val="1"/>
          <w:numId w:val="36"/>
        </w:numPr>
      </w:pPr>
      <w:bookmarkStart w:id="331" w:name="_Toc480965076"/>
      <w:bookmarkStart w:id="332" w:name="_Ref447803792"/>
      <w:bookmarkStart w:id="333" w:name="_Toc451947832"/>
      <w:bookmarkStart w:id="334" w:name="_Toc481057093"/>
      <w:bookmarkEnd w:id="331"/>
      <w:r w:rsidRPr="00CE5DD5">
        <w:t>Interpretation of the ARORO</w:t>
      </w:r>
      <w:bookmarkEnd w:id="332"/>
      <w:bookmarkEnd w:id="333"/>
      <w:bookmarkEnd w:id="334"/>
    </w:p>
    <w:p w:rsidR="00CE5DD5" w:rsidRPr="00CE5DD5" w:rsidRDefault="00CE5DD5" w:rsidP="00CE5DD5">
      <w:r w:rsidRPr="00CE5DD5">
        <w:t>The ARORO provides that the rate of return for a service provider is to be commensurate with the efficient financing costs of a benchmark efficient entity with a similar degree of risk as that which applies to the service provider in respect of the provision of standard control, prescribed transmission or reference services (regulated services).</w:t>
      </w:r>
      <w:r w:rsidRPr="00CE5DD5">
        <w:rPr>
          <w:rStyle w:val="FootnoteReference"/>
        </w:rPr>
        <w:footnoteReference w:id="1178"/>
      </w:r>
      <w:r w:rsidRPr="00CE5DD5">
        <w:t xml:space="preserve"> Given this, applying the ARORO requires an understanding of:</w:t>
      </w:r>
    </w:p>
    <w:p w:rsidR="00CE5DD5" w:rsidRPr="00CE5DD5" w:rsidRDefault="00CE5DD5" w:rsidP="00CE5DD5">
      <w:pPr>
        <w:pStyle w:val="AERbulletlistfirststyle"/>
      </w:pPr>
      <w:r w:rsidRPr="00CE5DD5">
        <w:t>efficient financing costs</w:t>
      </w:r>
    </w:p>
    <w:p w:rsidR="00CE5DD5" w:rsidRPr="00CE5DD5" w:rsidRDefault="00CE5DD5" w:rsidP="00CE5DD5">
      <w:pPr>
        <w:pStyle w:val="AERbulletlistfirststyle"/>
      </w:pPr>
      <w:r w:rsidRPr="00CE5DD5">
        <w:t>the degree of risk that applies to a benchmark efficient service provider in respect of the provision of regulated services.</w:t>
      </w:r>
    </w:p>
    <w:p w:rsidR="00CE5DD5" w:rsidRPr="00CE5DD5" w:rsidRDefault="00CE5DD5" w:rsidP="00CE5DD5">
      <w:r w:rsidRPr="00CE5DD5">
        <w:t>We elaborate on these components of the ARORO in the following sections.</w:t>
      </w:r>
    </w:p>
    <w:p w:rsidR="00CE5DD5" w:rsidRPr="00CE5DD5" w:rsidRDefault="00CE5DD5" w:rsidP="00CE5DD5">
      <w:pPr>
        <w:pStyle w:val="Heading9"/>
      </w:pPr>
      <w:bookmarkStart w:id="335" w:name="_Ref446405872"/>
      <w:bookmarkStart w:id="336" w:name="_Toc451947833"/>
      <w:r w:rsidRPr="00CE5DD5">
        <w:t>Efficient financing costs</w:t>
      </w:r>
      <w:bookmarkEnd w:id="335"/>
      <w:bookmarkEnd w:id="336"/>
      <w:r w:rsidRPr="00CE5DD5">
        <w:t xml:space="preserve"> </w:t>
      </w:r>
    </w:p>
    <w:p w:rsidR="00CE5DD5" w:rsidRPr="00CE5DD5" w:rsidRDefault="00CE5DD5" w:rsidP="00CC7A1C">
      <w:pPr>
        <w:numPr>
          <w:ilvl w:val="0"/>
          <w:numId w:val="24"/>
        </w:numPr>
      </w:pPr>
      <w:r w:rsidRPr="00CE5DD5">
        <w:t>The ARORO provides for a rate of return commensurate with the efficient financing costs of a benchmark efficient entity with a similar degree of risk as that which applies to the service provider in respect of the provision of regulated services. Given this, it is important to understand efficient financing costs.</w:t>
      </w:r>
      <w:r w:rsidRPr="00CE5DD5">
        <w:rPr>
          <w:rStyle w:val="FootnoteReference"/>
        </w:rPr>
        <w:t xml:space="preserve"> </w:t>
      </w:r>
    </w:p>
    <w:p w:rsidR="00CE5DD5" w:rsidRPr="00CE5DD5" w:rsidRDefault="00CE5DD5" w:rsidP="00CC7A1C">
      <w:pPr>
        <w:numPr>
          <w:ilvl w:val="0"/>
          <w:numId w:val="24"/>
        </w:numPr>
      </w:pPr>
      <w:r w:rsidRPr="00CE5DD5">
        <w:t xml:space="preserve">Economists typically think of efficiency in three dimensions: productive, allocative and dynamic. </w:t>
      </w:r>
      <w:r w:rsidRPr="00CE5DD5">
        <w:fldChar w:fldCharType="begin"/>
      </w:r>
      <w:r w:rsidRPr="00CE5DD5">
        <w:instrText xml:space="preserve"> REF _Ref447803361 \h </w:instrText>
      </w:r>
      <w:r w:rsidRPr="00CE5DD5">
        <w:fldChar w:fldCharType="separate"/>
      </w:r>
      <w:r w:rsidR="00C6448C" w:rsidRPr="00CE5DD5">
        <w:t xml:space="preserve">Table </w:t>
      </w:r>
      <w:r w:rsidR="00C6448C">
        <w:rPr>
          <w:noProof/>
        </w:rPr>
        <w:t>3</w:t>
      </w:r>
      <w:r w:rsidR="00C6448C">
        <w:noBreakHyphen/>
      </w:r>
      <w:r w:rsidR="00C6448C">
        <w:rPr>
          <w:noProof/>
        </w:rPr>
        <w:t>36</w:t>
      </w:r>
      <w:r w:rsidRPr="00CE5DD5">
        <w:fldChar w:fldCharType="end"/>
      </w:r>
      <w:r w:rsidRPr="00CE5DD5">
        <w:t xml:space="preserve"> sets out how this applies in the context of debt financing.</w:t>
      </w:r>
    </w:p>
    <w:p w:rsidR="00CE5DD5" w:rsidRPr="00CE5DD5" w:rsidRDefault="00CE5DD5" w:rsidP="00CE5DD5">
      <w:pPr>
        <w:pStyle w:val="Caption"/>
      </w:pPr>
      <w:bookmarkStart w:id="337" w:name="_Ref447803361"/>
      <w:r w:rsidRPr="00CE5DD5">
        <w:t xml:space="preserve">Table </w:t>
      </w:r>
      <w:fldSimple w:instr=" STYLEREF 1 \s ">
        <w:r w:rsidR="00C6448C">
          <w:rPr>
            <w:noProof/>
          </w:rPr>
          <w:t>3</w:t>
        </w:r>
      </w:fldSimple>
      <w:r w:rsidR="00882F3D">
        <w:noBreakHyphen/>
      </w:r>
      <w:fldSimple w:instr=" SEQ Table \* ARABIC \s 1 ">
        <w:r w:rsidR="00C6448C">
          <w:rPr>
            <w:noProof/>
          </w:rPr>
          <w:t>36</w:t>
        </w:r>
      </w:fldSimple>
      <w:bookmarkEnd w:id="337"/>
      <w:r w:rsidRPr="00CE5DD5">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CE5DD5" w:rsidRPr="00B814E2" w:rsidTr="00C04C58">
        <w:trPr>
          <w:cnfStyle w:val="100000000000" w:firstRow="1" w:lastRow="0" w:firstColumn="0" w:lastColumn="0" w:oddVBand="0" w:evenVBand="0" w:oddHBand="0" w:evenHBand="0" w:firstRowFirstColumn="0" w:firstRowLastColumn="0" w:lastRowFirstColumn="0" w:lastRowLastColumn="0"/>
        </w:trPr>
        <w:tc>
          <w:tcPr>
            <w:tcW w:w="795" w:type="pct"/>
          </w:tcPr>
          <w:p w:rsidR="00CE5DD5" w:rsidRPr="00CE5DD5" w:rsidRDefault="00CE5DD5" w:rsidP="00CE5DD5">
            <w:r w:rsidRPr="00CE5DD5">
              <w:t>Dimension of efficiency</w:t>
            </w:r>
          </w:p>
        </w:tc>
        <w:tc>
          <w:tcPr>
            <w:tcW w:w="2366" w:type="pct"/>
          </w:tcPr>
          <w:p w:rsidR="00CE5DD5" w:rsidRPr="00CE5DD5" w:rsidRDefault="00CE5DD5" w:rsidP="00CE5DD5">
            <w:r w:rsidRPr="00CE5DD5">
              <w:t>Economic meaning</w:t>
            </w:r>
            <w:r w:rsidRPr="00CE5DD5">
              <w:rPr>
                <w:rStyle w:val="AERsuperscript"/>
              </w:rPr>
              <w:footnoteReference w:id="1179"/>
            </w:r>
          </w:p>
        </w:tc>
        <w:tc>
          <w:tcPr>
            <w:tcW w:w="1839" w:type="pct"/>
          </w:tcPr>
          <w:p w:rsidR="00CE5DD5" w:rsidRPr="00CE5DD5" w:rsidRDefault="00CE5DD5" w:rsidP="00CE5DD5">
            <w:r w:rsidRPr="00CE5DD5">
              <w:t>Application to debt financing</w:t>
            </w:r>
            <w:r w:rsidRPr="00CE5DD5">
              <w:rPr>
                <w:rStyle w:val="AERsuperscript"/>
              </w:rPr>
              <w:footnoteReference w:id="1180"/>
            </w:r>
          </w:p>
        </w:tc>
      </w:tr>
      <w:tr w:rsidR="00CE5DD5" w:rsidRPr="00B814E2" w:rsidTr="00C04C58">
        <w:tc>
          <w:tcPr>
            <w:tcW w:w="795" w:type="pct"/>
          </w:tcPr>
          <w:p w:rsidR="00CE5DD5" w:rsidRPr="00CE5DD5" w:rsidRDefault="00CE5DD5" w:rsidP="00CE5DD5">
            <w:r w:rsidRPr="00CE5DD5">
              <w:t>Productive efficiency</w:t>
            </w:r>
          </w:p>
        </w:tc>
        <w:tc>
          <w:tcPr>
            <w:tcW w:w="2366" w:type="pct"/>
          </w:tcPr>
          <w:p w:rsidR="00CE5DD5" w:rsidRPr="00CE5DD5" w:rsidRDefault="00CE5DD5" w:rsidP="00CE5DD5">
            <w:r w:rsidRPr="00CE5DD5">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CE5DD5" w:rsidRPr="00CE5DD5" w:rsidRDefault="00CE5DD5" w:rsidP="00CE5DD5">
            <w:r w:rsidRPr="00CE5DD5">
              <w:t>Refers to least cost financing (that is, the lowest required return on debt) subject to any constraints, such as risk. For our determinations to be productively efficient we need to incentivise service providers to seek the lowest cost financing (all else being equal).</w:t>
            </w:r>
            <w:r w:rsidRPr="00CE5DD5">
              <w:rPr>
                <w:rStyle w:val="AERbody"/>
              </w:rPr>
              <w:t xml:space="preserve"> </w:t>
            </w:r>
          </w:p>
        </w:tc>
      </w:tr>
      <w:tr w:rsidR="00CE5DD5" w:rsidRPr="00B814E2" w:rsidTr="00C04C58">
        <w:trPr>
          <w:cnfStyle w:val="000000010000" w:firstRow="0" w:lastRow="0" w:firstColumn="0" w:lastColumn="0" w:oddVBand="0" w:evenVBand="0" w:oddHBand="0" w:evenHBand="1" w:firstRowFirstColumn="0" w:firstRowLastColumn="0" w:lastRowFirstColumn="0" w:lastRowLastColumn="0"/>
        </w:trPr>
        <w:tc>
          <w:tcPr>
            <w:tcW w:w="795" w:type="pct"/>
          </w:tcPr>
          <w:p w:rsidR="00CE5DD5" w:rsidRPr="00CE5DD5" w:rsidRDefault="00CE5DD5" w:rsidP="00CE5DD5">
            <w:r w:rsidRPr="00CE5DD5">
              <w:t>Allocative efficiency</w:t>
            </w:r>
          </w:p>
        </w:tc>
        <w:tc>
          <w:tcPr>
            <w:tcW w:w="2366" w:type="pct"/>
          </w:tcPr>
          <w:p w:rsidR="00CE5DD5" w:rsidRPr="00CE5DD5" w:rsidRDefault="00CE5DD5" w:rsidP="00CE5DD5">
            <w:r w:rsidRPr="00CE5DD5">
              <w:t>Achieved when the community gets the greatest return (or utility) from its scarce resources.</w:t>
            </w:r>
          </w:p>
        </w:tc>
        <w:tc>
          <w:tcPr>
            <w:tcW w:w="1839" w:type="pct"/>
          </w:tcPr>
          <w:p w:rsidR="00CE5DD5" w:rsidRPr="00CE5DD5" w:rsidRDefault="00CE5DD5" w:rsidP="00CE5DD5">
            <w:r w:rsidRPr="00CE5DD5">
              <w:t>Allocative efficiency can be achieved by setting an allowed return consistent with the expected return in the competitive capital market (determined by demand and supply) for an investment of similar degree of risk as a service provider supplying regulated services.</w:t>
            </w:r>
          </w:p>
        </w:tc>
      </w:tr>
      <w:tr w:rsidR="00CE5DD5" w:rsidRPr="00B814E2" w:rsidTr="00C04C58">
        <w:tc>
          <w:tcPr>
            <w:tcW w:w="795" w:type="pct"/>
          </w:tcPr>
          <w:p w:rsidR="00CE5DD5" w:rsidRPr="00CE5DD5" w:rsidRDefault="00CE5DD5" w:rsidP="00CE5DD5">
            <w:r w:rsidRPr="00CE5DD5">
              <w:t>Dynamic efficiency</w:t>
            </w:r>
          </w:p>
        </w:tc>
        <w:tc>
          <w:tcPr>
            <w:tcW w:w="2366" w:type="pct"/>
          </w:tcPr>
          <w:p w:rsidR="00CE5DD5" w:rsidRPr="00CE5DD5" w:rsidRDefault="00CE5DD5" w:rsidP="00CE5DD5">
            <w:r w:rsidRPr="00CE5DD5">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CE5DD5" w:rsidRPr="00CE5DD5" w:rsidRDefault="00CE5DD5" w:rsidP="00CE5DD5">
            <w:r w:rsidRPr="00CE5DD5">
              <w:t xml:space="preserve">Refers to the existence of appropriate investment incentives.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CE5DD5" w:rsidRPr="00CE5DD5" w:rsidRDefault="00CE5DD5" w:rsidP="00CE5DD5">
      <w:pPr>
        <w:pStyle w:val="AERtablesource"/>
      </w:pPr>
      <w:r w:rsidRPr="00CE5DD5">
        <w:t>Source:</w:t>
      </w:r>
      <w:r w:rsidRPr="00CE5DD5">
        <w:tab/>
        <w:t xml:space="preserve">AER analysis; Productivity Commission, </w:t>
      </w:r>
      <w:r w:rsidRPr="00CE5DD5">
        <w:rPr>
          <w:rStyle w:val="AERtextitalic"/>
        </w:rPr>
        <w:t>On efficiency and effectiveness: Some definitions</w:t>
      </w:r>
      <w:r w:rsidRPr="00CE5DD5">
        <w:t xml:space="preserve">, May 2013; AER, </w:t>
      </w:r>
      <w:r w:rsidRPr="00CE5DD5">
        <w:rPr>
          <w:rStyle w:val="AERtextitalic"/>
        </w:rPr>
        <w:t>Better regulation: Rate of return guidelines consultation paper</w:t>
      </w:r>
      <w:r w:rsidRPr="00CE5DD5">
        <w:t>, May 2013.</w:t>
      </w:r>
    </w:p>
    <w:p w:rsidR="00CE5DD5" w:rsidRPr="00CE5DD5" w:rsidRDefault="00CE5DD5" w:rsidP="00CC7A1C">
      <w:pPr>
        <w:numPr>
          <w:ilvl w:val="0"/>
          <w:numId w:val="24"/>
        </w:numPr>
      </w:pPr>
      <w:r w:rsidRPr="00CE5DD5">
        <w:t>Because the market for capital finance is competitive, a benchmark efficient entity is expected to face competitive prices in the market for funds. Therefore, we consider efficient debt financing costs are reflected in the prevailing cost of debt observed in capital markets for an investment with a similar degree of risk as that which applies to a service provider in respect of the provision of regulated services.</w:t>
      </w:r>
      <w:r w:rsidRPr="00CE5DD5">
        <w:rPr>
          <w:rStyle w:val="FootnoteReference"/>
        </w:rPr>
        <w:footnoteReference w:id="1181"/>
      </w:r>
      <w:r w:rsidRPr="00CE5DD5">
        <w:t xml:space="preserve"> As Alfred Kahn stated:</w:t>
      </w:r>
      <w:r w:rsidRPr="00CE5DD5">
        <w:rPr>
          <w:rStyle w:val="FootnoteReference"/>
        </w:rPr>
        <w:footnoteReference w:id="1182"/>
      </w:r>
    </w:p>
    <w:p w:rsidR="00CE5DD5" w:rsidRPr="00CE5DD5" w:rsidRDefault="00CE5DD5" w:rsidP="00CE5DD5">
      <w:pPr>
        <w:pStyle w:val="AERquote"/>
      </w:pPr>
      <w:r w:rsidRPr="00CE5DD5">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CE5DD5" w:rsidRPr="00CE5DD5" w:rsidRDefault="00CE5DD5" w:rsidP="00CC7A1C">
      <w:pPr>
        <w:numPr>
          <w:ilvl w:val="0"/>
          <w:numId w:val="24"/>
        </w:numPr>
      </w:pPr>
      <w:r w:rsidRPr="00CE5DD5">
        <w:t>Similarly, Associate Professor Graham Partington and Professor Stephen Satchell (Partington and Satchell) interpret efficient financing costs as the opportunity cost of capital, which is a market rate of return for assets with a given level of risk.</w:t>
      </w:r>
      <w:r w:rsidRPr="00CE5DD5">
        <w:rPr>
          <w:rStyle w:val="FootnoteReference"/>
        </w:rPr>
        <w:footnoteReference w:id="1183"/>
      </w:r>
      <w:r w:rsidRPr="00CE5DD5">
        <w:t xml:space="preserve"> They advise the opportunity cost of debt is generally measured using the (appropriately benchmarked) yield to maturity.</w:t>
      </w:r>
      <w:r w:rsidRPr="00CE5DD5">
        <w:rPr>
          <w:rStyle w:val="FootnoteReference"/>
        </w:rPr>
        <w:footnoteReference w:id="1184"/>
      </w:r>
      <w:r w:rsidRPr="00CE5DD5">
        <w:t xml:space="preserve"> They also consider our use of a benchmark BBB+ credit rating and ten year term is appropriate.</w:t>
      </w:r>
      <w:r w:rsidRPr="00CE5DD5">
        <w:rPr>
          <w:rStyle w:val="FootnoteReference"/>
        </w:rPr>
        <w:footnoteReference w:id="1185"/>
      </w:r>
      <w:r w:rsidRPr="00CE5DD5">
        <w:t xml:space="preserve"> In a new report to the AER, Partington and Satchell define the efficient financing cost of a BEE as the current cost of finance that leads to efficient investment.</w:t>
      </w:r>
      <w:r w:rsidRPr="00CE5DD5">
        <w:rPr>
          <w:rStyle w:val="FootnoteReference"/>
        </w:rPr>
        <w:footnoteReference w:id="1186"/>
      </w:r>
      <w:r w:rsidRPr="00CE5DD5">
        <w:t xml:space="preserve"> This is consistent with their previous interpretation.</w:t>
      </w:r>
      <w:r w:rsidRPr="00CE5DD5">
        <w:rPr>
          <w:rStyle w:val="FootnoteReference"/>
        </w:rPr>
        <w:footnoteReference w:id="1187"/>
      </w:r>
    </w:p>
    <w:p w:rsidR="00CE5DD5" w:rsidRPr="00CE5DD5" w:rsidRDefault="00CE5DD5" w:rsidP="00CC7A1C">
      <w:pPr>
        <w:numPr>
          <w:ilvl w:val="0"/>
          <w:numId w:val="24"/>
        </w:numPr>
      </w:pPr>
      <w:r w:rsidRPr="00CE5DD5">
        <w:t>We consider that productive, allocative and dynamic efficiency are advanced by employing a return on debt that reflects prevailing rates in the market for funds. This will also promote the long term interests of consumers in line with the National Electricity Objective / National Gas Objective (NEO/NGO).</w:t>
      </w:r>
      <w:r w:rsidRPr="00CE5DD5">
        <w:rPr>
          <w:rStyle w:val="FootnoteReference"/>
        </w:rPr>
        <w:footnoteReference w:id="1188"/>
      </w:r>
      <w:r w:rsidRPr="00CE5DD5">
        <w:t xml:space="preserve"> </w:t>
      </w:r>
    </w:p>
    <w:p w:rsidR="00CE5DD5" w:rsidRPr="00CE5DD5" w:rsidRDefault="00CE5DD5" w:rsidP="00CE5DD5">
      <w:pPr>
        <w:pStyle w:val="Heading9"/>
      </w:pPr>
      <w:bookmarkStart w:id="338" w:name="_Ref447803806"/>
      <w:bookmarkStart w:id="339" w:name="_Toc451947834"/>
      <w:r w:rsidRPr="00CE5DD5">
        <w:t>Benchmark efficient entity</w:t>
      </w:r>
      <w:bookmarkEnd w:id="338"/>
      <w:bookmarkEnd w:id="339"/>
    </w:p>
    <w:p w:rsidR="00CE5DD5" w:rsidRPr="00CE5DD5" w:rsidRDefault="00CE5DD5" w:rsidP="00CE5DD5">
      <w:r w:rsidRPr="00CE5DD5">
        <w:t>We consider a benchmark efficient entity would be 'a pure play, regulated energy network business operating within Australia'. This has been adopted in:</w:t>
      </w:r>
    </w:p>
    <w:p w:rsidR="00CE5DD5" w:rsidRPr="00CE5DD5" w:rsidRDefault="00CE5DD5" w:rsidP="00CE5DD5">
      <w:pPr>
        <w:pStyle w:val="AERbulletlistfirststyle"/>
      </w:pPr>
      <w:r w:rsidRPr="00CE5DD5">
        <w:t>The rate of return guidelines published in December 2013 (the Guideline).</w:t>
      </w:r>
      <w:r w:rsidRPr="00CE5DD5">
        <w:rPr>
          <w:rStyle w:val="FootnoteReference"/>
        </w:rPr>
        <w:footnoteReference w:id="1189"/>
      </w:r>
      <w:r w:rsidRPr="00CE5DD5">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CE5DD5">
        <w:rPr>
          <w:rStyle w:val="FootnoteReference"/>
        </w:rPr>
        <w:footnoteReference w:id="1190"/>
      </w:r>
      <w:r w:rsidRPr="00CE5DD5">
        <w:t xml:space="preserve"> To the contrary, stakeholders recognised that price and revenue caps had particular roles in mitigating risk as well as other features of the regulatory framework such as maintenance of the regulatory asset base.</w:t>
      </w:r>
      <w:r w:rsidRPr="00CE5DD5">
        <w:rPr>
          <w:rStyle w:val="FootnoteReference"/>
        </w:rPr>
        <w:footnoteReference w:id="1191"/>
      </w:r>
    </w:p>
    <w:p w:rsidR="00CE5DD5" w:rsidRPr="00CE5DD5" w:rsidRDefault="00CE5DD5" w:rsidP="00CE5DD5">
      <w:pPr>
        <w:pStyle w:val="AERbulletlistfirststyle"/>
      </w:pPr>
      <w:r w:rsidRPr="00CE5DD5">
        <w:t>Our previous 2009 weighted average cost of capital (WACC) review.</w:t>
      </w:r>
      <w:r w:rsidRPr="00CE5DD5">
        <w:rPr>
          <w:rStyle w:val="FootnoteReference"/>
        </w:rPr>
        <w:footnoteReference w:id="1192"/>
      </w:r>
      <w:r w:rsidRPr="00CE5DD5">
        <w:t xml:space="preserve"> </w:t>
      </w:r>
    </w:p>
    <w:p w:rsidR="00CE5DD5" w:rsidRPr="00CE5DD5" w:rsidRDefault="00CE5DD5" w:rsidP="00CE5DD5">
      <w:pPr>
        <w:pStyle w:val="AERbulletlistfirststyle"/>
      </w:pPr>
      <w:r w:rsidRPr="00CE5DD5">
        <w:t>Our rate of return decisions following the publication of the Guideline.</w:t>
      </w:r>
      <w:r w:rsidRPr="00CE5DD5">
        <w:rPr>
          <w:rStyle w:val="FootnoteReference"/>
        </w:rPr>
        <w:footnoteReference w:id="1193"/>
      </w:r>
    </w:p>
    <w:p w:rsidR="00CE5DD5" w:rsidRPr="00CE5DD5" w:rsidRDefault="00CE5DD5" w:rsidP="00CE5DD5">
      <w:r w:rsidRPr="00CE5DD5">
        <w:t>We have devoted considerable time to considering the characteristics of a benchmark efficient entity in the Guideline and this decision</w:t>
      </w:r>
      <w:r w:rsidR="00AA7F63">
        <w:t>.</w:t>
      </w:r>
      <w:r w:rsidRPr="00CE5DD5">
        <w:t xml:space="preserve"> </w:t>
      </w:r>
      <w:r w:rsidR="00AA7F63">
        <w:t>W</w:t>
      </w:r>
      <w:r w:rsidRPr="00CE5DD5">
        <w:t>e consider a 'benchmark' is a reference point or standard against which performance of achievements can be assessed.</w:t>
      </w:r>
      <w:r w:rsidRPr="00CE5DD5">
        <w:rPr>
          <w:rStyle w:val="FootnoteReference"/>
        </w:rPr>
        <w:footnoteReference w:id="1194"/>
      </w:r>
      <w:r w:rsidRPr="00CE5DD5">
        <w:t xml:space="preserve"> For a benchmark to be useful, it must 'fairly and accurately represent the key attributes of the market segment or financial instrument in question’.</w:t>
      </w:r>
      <w:r w:rsidRPr="00CE5DD5">
        <w:rPr>
          <w:rStyle w:val="FootnoteReference"/>
        </w:rPr>
        <w:footnoteReference w:id="1195"/>
      </w:r>
      <w:r w:rsidRPr="00CE5DD5">
        <w:t xml:space="preserve"> As the AEMC recognised (underline added for emphasis):</w:t>
      </w:r>
      <w:r w:rsidRPr="00CE5DD5">
        <w:rPr>
          <w:rStyle w:val="FootnoteReference"/>
        </w:rPr>
        <w:footnoteReference w:id="1196"/>
      </w:r>
    </w:p>
    <w:p w:rsidR="00CE5DD5" w:rsidRPr="00CE5DD5" w:rsidRDefault="00CE5DD5" w:rsidP="00CE5DD5">
      <w:pPr>
        <w:pStyle w:val="AERquote"/>
      </w:pPr>
      <w:r w:rsidRPr="00CE5DD5">
        <w:t xml:space="preserve">In order to meet the NEO and the NGO, this [allowed rate of return] objective reflected the need for the rate of return to "correspond to" the efficient financing costs of a benchmark efficient entity, this entity being one </w:t>
      </w:r>
      <w:r w:rsidRPr="00CE5DD5">
        <w:rPr>
          <w:rStyle w:val="AERtextunderline"/>
        </w:rPr>
        <w:t>with similar circumstances and degree of risk to the service provider</w:t>
      </w:r>
      <w:r w:rsidRPr="00CE5DD5">
        <w:t>.</w:t>
      </w:r>
    </w:p>
    <w:p w:rsidR="00CE5DD5" w:rsidRPr="00CE5DD5" w:rsidRDefault="00CE5DD5" w:rsidP="00CE5DD5">
      <w:r w:rsidRPr="00CE5DD5">
        <w:t>It is important to note that a debate has now arisen, since the submission of Victorian electricity DNSP</w:t>
      </w:r>
      <w:r w:rsidR="00AA7F63">
        <w:t>s'</w:t>
      </w:r>
      <w:r w:rsidR="004E4F39">
        <w:rPr>
          <w:rStyle w:val="FootnoteReference"/>
        </w:rPr>
        <w:footnoteReference w:id="1197"/>
      </w:r>
      <w:r w:rsidRPr="00CE5DD5">
        <w:t xml:space="preserve"> proposals in the matters under consideration, as to whether a benchmark efficient entity would be unregulated. In their recent revised proposals the Victorian DNSPs submitted that a benchmark efficient entity with a similar degree of risk in respect of the provision of regulated services must be an unregulated business.</w:t>
      </w:r>
      <w:r w:rsidRPr="00CE5DD5">
        <w:rPr>
          <w:rStyle w:val="FootnoteReference"/>
        </w:rPr>
        <w:footnoteReference w:id="1198"/>
      </w:r>
      <w:r w:rsidRPr="00CE5DD5">
        <w:t xml:space="preserve">  </w:t>
      </w:r>
      <w:r w:rsidR="00EE5360">
        <w:t>However, we note that TasNetworks adopted our decision outlined in the Guideline of a BEE being a regulated business in its regulatory proposal</w:t>
      </w:r>
      <w:r w:rsidRPr="00CE5DD5">
        <w:t>.</w:t>
      </w:r>
      <w:r w:rsidRPr="00CE5DD5">
        <w:rPr>
          <w:rStyle w:val="FootnoteReference"/>
        </w:rPr>
        <w:footnoteReference w:id="1199"/>
      </w:r>
      <w:r w:rsidRPr="00CE5DD5">
        <w:t xml:space="preserve"> The position of the Victorian DNSPs on this matter followed the Tribunal hearing in an application for review of revenue determinations by Networks NSW, and ActewAGL which resulted in the Tribunal recently forming the view that a benchmark efficient entity referred to in the ARORO is likely not a regulated entity.</w:t>
      </w:r>
      <w:r w:rsidRPr="00CE5DD5">
        <w:rPr>
          <w:rStyle w:val="FootnoteReference"/>
        </w:rPr>
        <w:footnoteReference w:id="1200"/>
      </w:r>
      <w:r w:rsidRPr="00CE5DD5">
        <w:t xml:space="preserve">  </w:t>
      </w:r>
    </w:p>
    <w:p w:rsidR="00CE5DD5" w:rsidRPr="00CE5DD5" w:rsidRDefault="00CE5DD5" w:rsidP="00CE5DD5">
      <w:r w:rsidRPr="00CE5DD5">
        <w:t>We did not consider this issue prior to the Tribunal's decision because it had not been raised substantively by any service provider.</w:t>
      </w:r>
      <w:r w:rsidRPr="00CE5DD5">
        <w:rPr>
          <w:rStyle w:val="FootnoteReference"/>
        </w:rPr>
        <w:footnoteReference w:id="1201"/>
      </w:r>
      <w:r w:rsidRPr="00CE5DD5">
        <w:t xml:space="preserve"> Consequently, the Tribunal did not have our fully formed view and reasoning before it when it considered this issue. We consider the Tribunal may have come to its position because it did not have our fully formed arguments before it. We may be required to reconsider this issue when we undertake the remittal of the ACT and NSW DNSPs and JGN decisions. We base our analysis in this decision on the brief material submitted by ActewAGL and other service providers with coincident decisions and the material submitted by AusNet Services in its rev</w:t>
      </w:r>
      <w:r w:rsidR="0095716E">
        <w:t>ised transmission proposal</w:t>
      </w:r>
      <w:r w:rsidRPr="00CE5DD5">
        <w:t>.</w:t>
      </w:r>
      <w:r w:rsidR="0095716E">
        <w:t xml:space="preserve"> </w:t>
      </w:r>
      <w:r w:rsidRPr="00CE5DD5">
        <w:t>This includes consideration of a new report by CEG that was submitted subsequent to our final decisions for the Victorian DNSPs.</w:t>
      </w:r>
      <w:r w:rsidRPr="00CE5DD5">
        <w:rPr>
          <w:rStyle w:val="FootnoteReference"/>
        </w:rPr>
        <w:footnoteReference w:id="1202"/>
      </w:r>
    </w:p>
    <w:p w:rsidR="00CE5DD5" w:rsidRPr="00CE5DD5" w:rsidRDefault="00CE5DD5" w:rsidP="00CE5DD5">
      <w:r w:rsidRPr="00CE5DD5">
        <w:t>After considering the material submitted by ActewAGL and other service providers with coincident decisions, a</w:t>
      </w:r>
      <w:r w:rsidR="0095716E">
        <w:t>nd by AusNet Services</w:t>
      </w:r>
      <w:r w:rsidRPr="00CE5DD5">
        <w:t xml:space="preserve">, we maintain our view that the characteristic 'regulated' should be retained for a benchmark efficient entity when carrying out our analyses. In any case, it would be an entity, whether it is conceived as regulated or not, that has a similar degree of systematic risk as that which applies to </w:t>
      </w:r>
      <w:r w:rsidR="00EE5360">
        <w:t>TasNetworks</w:t>
      </w:r>
      <w:r w:rsidR="00CA2FB2">
        <w:t xml:space="preserve"> </w:t>
      </w:r>
      <w:r w:rsidRPr="00CE5DD5">
        <w:t xml:space="preserve">in the provision of its regulated services. For our analysis, see 'elements of the ARORO' under section 3.3.3 of attachment three. </w:t>
      </w:r>
    </w:p>
    <w:p w:rsidR="00CE5DD5" w:rsidRPr="00CE5DD5" w:rsidRDefault="00CE5DD5" w:rsidP="00CE5DD5">
      <w:r w:rsidRPr="00CE5DD5">
        <w:t>With respect to the current decision before us, we do not consider that the material submitted fully explores the implications of an unregulated benchmark efficient entity for all aspects of our decision on the allowed rate of return. This is consistent with the view we expressed in our final decisions released in May 2016 for Acte</w:t>
      </w:r>
      <w:r w:rsidR="000F53E3">
        <w:t>w</w:t>
      </w:r>
      <w:r w:rsidRPr="00CE5DD5">
        <w:t>AGL and others.</w:t>
      </w:r>
      <w:r w:rsidRPr="00CE5DD5">
        <w:rPr>
          <w:rStyle w:val="FootnoteReference"/>
        </w:rPr>
        <w:footnoteReference w:id="1203"/>
      </w:r>
    </w:p>
    <w:p w:rsidR="00CE5DD5" w:rsidRPr="00CE5DD5" w:rsidRDefault="00CE5DD5" w:rsidP="00CE5DD5">
      <w:r w:rsidRPr="00CE5DD5">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sidRPr="00CE5DD5">
        <w:rPr>
          <w:rStyle w:val="FootnoteReference"/>
        </w:rPr>
        <w:footnoteReference w:id="1204"/>
      </w:r>
    </w:p>
    <w:p w:rsidR="00CE5DD5" w:rsidRPr="00CE5DD5" w:rsidRDefault="00CE5DD5" w:rsidP="00CE5DD5">
      <w:r w:rsidRPr="00CE5DD5">
        <w:t xml:space="preserve">Nevertheless, even if a benchmark efficient entity was necessarily unregulated, we do not consider this would affect our conclusions. Our approach to the cost of debt would be applicable to an unregulated firm if it had a similar degree of risk to the service provider in providing regulated services. Further, irrespective of whether a firm is regulated or not, efficient financing costs reflect the current (or prevailing) forward looking costs observed in capital markets. </w:t>
      </w:r>
    </w:p>
    <w:p w:rsidR="00CE5DD5" w:rsidRPr="00CE5DD5" w:rsidRDefault="00CE5DD5" w:rsidP="00CE5DD5">
      <w:pPr>
        <w:pStyle w:val="Heading8"/>
      </w:pPr>
      <w:bookmarkStart w:id="340" w:name="_Ref444778432"/>
      <w:bookmarkStart w:id="341" w:name="_Toc451947835"/>
      <w:bookmarkStart w:id="342" w:name="_Toc481057094"/>
      <w:r w:rsidRPr="00CE5DD5">
        <w:t>Requirements under the ARORO</w:t>
      </w:r>
      <w:bookmarkEnd w:id="340"/>
      <w:bookmarkEnd w:id="341"/>
      <w:bookmarkEnd w:id="342"/>
    </w:p>
    <w:p w:rsidR="00CE5DD5" w:rsidRPr="00CE5DD5" w:rsidRDefault="00CE5DD5" w:rsidP="00CE5DD5">
      <w:r w:rsidRPr="00CE5DD5">
        <w:t>The ARORO provides that the rate of return for a service provider is to be commensurate with the efficient financing costs of a benchmark efficient entity with a similar degree of risk as that which applies to the service provider in respect of the provision of regulated services.</w:t>
      </w:r>
      <w:r w:rsidRPr="00CE5DD5">
        <w:rPr>
          <w:rStyle w:val="FootnoteReference"/>
        </w:rPr>
        <w:footnoteReference w:id="1205"/>
      </w:r>
      <w:r w:rsidRPr="00CE5DD5">
        <w:t xml:space="preserve"> We consider this requires us to set an allowed rate of return that appropriately compensates investors on their capital investments (in an ex-ante sense) and aims to minimise the long run cost of capital (all else being equal).</w:t>
      </w:r>
      <w:r w:rsidRPr="00CE5DD5">
        <w:rPr>
          <w:rStyle w:val="FootnoteReference"/>
        </w:rPr>
        <w:footnoteReference w:id="1206"/>
      </w:r>
      <w:r w:rsidRPr="00CE5DD5">
        <w:t xml:space="preserve"> By appropriate compensation we mean that the ex-ante return should be commensurate with the </w:t>
      </w:r>
      <w:r w:rsidRPr="00CE5DD5">
        <w:rPr>
          <w:rStyle w:val="AERtextunderline"/>
        </w:rPr>
        <w:t>expected</w:t>
      </w:r>
      <w:r w:rsidRPr="00CE5DD5">
        <w:t xml:space="preserve"> return in the capital market for an investment with a similar degree of risk as that of a benchmark efficient entity in the position of the service provider supplying regulated services.</w:t>
      </w:r>
      <w:r w:rsidRPr="00CE5DD5">
        <w:rPr>
          <w:rStyle w:val="FootnoteReference"/>
        </w:rPr>
        <w:footnoteReference w:id="1207"/>
      </w:r>
      <w:r w:rsidRPr="00CE5DD5">
        <w:t xml:space="preserve"> We consider this is the efficient return expected in a competitive capital market, consistent with models underpinning financial theory on efficient markets.</w:t>
      </w:r>
      <w:r w:rsidRPr="00CE5DD5">
        <w:rPr>
          <w:rStyle w:val="FootnoteReference"/>
        </w:rPr>
        <w:footnoteReference w:id="1208"/>
      </w:r>
    </w:p>
    <w:p w:rsidR="00CE5DD5" w:rsidRPr="00CE5DD5" w:rsidRDefault="00CE5DD5" w:rsidP="00CE5DD5">
      <w:r w:rsidRPr="00CE5DD5">
        <w:t>We elaborate on this in the following sections by setting out why and how a rate of return that meets the ARORO must:</w:t>
      </w:r>
    </w:p>
    <w:p w:rsidR="00CE5DD5" w:rsidRPr="00CE5DD5" w:rsidRDefault="00CE5DD5" w:rsidP="00CE5DD5">
      <w:pPr>
        <w:pStyle w:val="AERbulletlistfirststyle"/>
      </w:pPr>
      <w:r w:rsidRPr="00CE5DD5">
        <w:t xml:space="preserve">provide for ex-ante efficient compensation </w:t>
      </w:r>
    </w:p>
    <w:p w:rsidR="00CE5DD5" w:rsidRPr="00CE5DD5" w:rsidRDefault="00CE5DD5" w:rsidP="00CE5DD5">
      <w:pPr>
        <w:pStyle w:val="AERbulletlistfirststyle"/>
      </w:pPr>
      <w:r w:rsidRPr="00CE5DD5">
        <w:t>be consistent with the NEL/NGL</w:t>
      </w:r>
    </w:p>
    <w:p w:rsidR="00CE5DD5" w:rsidRPr="00CE5DD5" w:rsidRDefault="00CE5DD5" w:rsidP="00CE5DD5">
      <w:pPr>
        <w:pStyle w:val="AERbulletlistfirststyle"/>
      </w:pPr>
      <w:r w:rsidRPr="00CE5DD5">
        <w:t>require a revenue-neutral transition if there is a change in the methodology used to estimate the allowed return on debt (assuming that both methodologies can meet the ARORO but produce different estimates across time).</w:t>
      </w:r>
    </w:p>
    <w:p w:rsidR="00CE5DD5" w:rsidRPr="00CE5DD5" w:rsidRDefault="00CE5DD5" w:rsidP="00CE5DD5">
      <w:pPr>
        <w:pStyle w:val="Heading9"/>
      </w:pPr>
      <w:bookmarkStart w:id="343" w:name="_Ref446603900"/>
      <w:bookmarkStart w:id="344" w:name="_Toc451947836"/>
      <w:r w:rsidRPr="00CE5DD5">
        <w:t>Ex-ante efficient compensation</w:t>
      </w:r>
      <w:bookmarkEnd w:id="343"/>
      <w:bookmarkEnd w:id="344"/>
    </w:p>
    <w:p w:rsidR="00CE5DD5" w:rsidRPr="00CE5DD5" w:rsidRDefault="00CE5DD5" w:rsidP="00CE5DD5">
      <w:r w:rsidRPr="00CE5DD5">
        <w:t xml:space="preserve">We consider a rate of return that meets the ARORO must provide ex-ante compensation for efficient financing costs (we refer to this as ex-ante efficient compensation). </w:t>
      </w:r>
    </w:p>
    <w:p w:rsidR="00CE5DD5" w:rsidRPr="00CE5DD5" w:rsidRDefault="00CE5DD5" w:rsidP="00CE5DD5">
      <w:r w:rsidRPr="00CE5DD5">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 rate of return for a benchmark efficient entity such that the return on its investment (in its RAB) equals its efficient cost.</w:t>
      </w:r>
      <w:r w:rsidRPr="00CE5DD5">
        <w:rPr>
          <w:rStyle w:val="FootnoteReference"/>
        </w:rPr>
        <w:footnoteReference w:id="1209"/>
      </w:r>
      <w:r w:rsidRPr="00CE5DD5">
        <w:t xml:space="preserve"> This is a zero net present value (NPV) investment condition,</w:t>
      </w:r>
      <w:r w:rsidRPr="00CE5DD5">
        <w:rPr>
          <w:rStyle w:val="FootnoteReference"/>
        </w:rPr>
        <w:footnoteReference w:id="1210"/>
      </w:r>
      <w:r w:rsidRPr="00CE5DD5">
        <w:t xml:space="preserve"> which is a forward looking concept that shows a benchmark efficient entity is provided with a reasonable opportunity to recover at least efficient financing costs over the life of its investment (in its RAB). Partington and Satchell described it as follows:</w:t>
      </w:r>
      <w:r w:rsidRPr="00CE5DD5">
        <w:rPr>
          <w:rStyle w:val="FootnoteReference"/>
        </w:rPr>
        <w:footnoteReference w:id="1211"/>
      </w:r>
      <w:r w:rsidRPr="00CE5DD5">
        <w:t xml:space="preserve"> </w:t>
      </w:r>
    </w:p>
    <w:p w:rsidR="00CE5DD5" w:rsidRPr="00CE5DD5" w:rsidRDefault="00CE5DD5" w:rsidP="00CE5DD5">
      <w:pPr>
        <w:pStyle w:val="AERquote"/>
      </w:pPr>
      <w:r w:rsidRPr="00CE5DD5">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CE5DD5" w:rsidRPr="00CE5DD5" w:rsidRDefault="00CE5DD5" w:rsidP="00CE5DD5">
      <w:r w:rsidRPr="00CE5DD5">
        <w:t xml:space="preserve">As discussed in section </w:t>
      </w:r>
      <w:r w:rsidR="008B41F6">
        <w:fldChar w:fldCharType="begin"/>
      </w:r>
      <w:r w:rsidR="008B41F6">
        <w:instrText xml:space="preserve"> REF _Ref479168847 \r \h </w:instrText>
      </w:r>
      <w:r w:rsidR="008B41F6">
        <w:fldChar w:fldCharType="separate"/>
      </w:r>
      <w:r w:rsidR="00C6448C">
        <w:t>3.3.3</w:t>
      </w:r>
      <w:r w:rsidR="008B41F6">
        <w:fldChar w:fldCharType="end"/>
      </w:r>
      <w:r w:rsidR="008B41F6">
        <w:t xml:space="preserve"> </w:t>
      </w:r>
      <w:r w:rsidRPr="00CE5DD5">
        <w:t xml:space="preserve">and </w:t>
      </w:r>
      <w:r w:rsidRPr="00CE5DD5">
        <w:fldChar w:fldCharType="begin"/>
      </w:r>
      <w:r w:rsidRPr="00CE5DD5">
        <w:instrText xml:space="preserve"> REF _Ref446405872 \r \h </w:instrText>
      </w:r>
      <w:r w:rsidRPr="00CE5DD5">
        <w:fldChar w:fldCharType="separate"/>
      </w:r>
      <w:r w:rsidR="00C6448C">
        <w:t>H.1.1</w:t>
      </w:r>
      <w:r w:rsidRPr="00CE5DD5">
        <w:fldChar w:fldCharType="end"/>
      </w:r>
      <w:r w:rsidRPr="00CE5DD5">
        <w:t>, we consider efficient financing costs, for debt and equity, should be based on (appropriately benchmarked) prevailing market rates. This reflects the current opportunity cost of capital for investments of similar risk to a benchmark efficient entity in the position of a service provider supplying regulated services.</w:t>
      </w:r>
      <w:r w:rsidRPr="00CE5DD5">
        <w:rPr>
          <w:rStyle w:val="FootnoteReference"/>
        </w:rPr>
        <w:footnoteReference w:id="1212"/>
      </w:r>
      <w:r w:rsidRPr="00CE5DD5">
        <w:t xml:space="preserve"> The opportunity cost of capital is the rate used to discount firms' expected future cash flows in NPV calculations.</w:t>
      </w:r>
      <w:r w:rsidRPr="00CE5DD5">
        <w:rPr>
          <w:rStyle w:val="FootnoteReference"/>
        </w:rPr>
        <w:footnoteReference w:id="1213"/>
      </w:r>
    </w:p>
    <w:p w:rsidR="00CE5DD5" w:rsidRPr="00CE5DD5" w:rsidRDefault="00CE5DD5" w:rsidP="00CE5DD5">
      <w:r w:rsidRPr="00CE5DD5">
        <w:t>Under the ex-ante regulatory regime, we reset the allowed rate of return (through the returns on debt and equity) at the commencement of each regulatory period (or annually for the allowed return on debt if we use a trailing average). If the allowed rate of return is reset to reflect the prevailing market cost of capital, it provides ex-ante efficient compensation over each reset period.</w:t>
      </w:r>
      <w:r w:rsidRPr="00CE5DD5">
        <w:rPr>
          <w:rStyle w:val="FootnoteReference"/>
        </w:rPr>
        <w:footnoteReference w:id="1214"/>
      </w:r>
      <w:r w:rsidRPr="00CE5DD5">
        <w:t xml:space="preserve"> </w:t>
      </w:r>
    </w:p>
    <w:p w:rsidR="00CE5DD5" w:rsidRPr="00CE5DD5" w:rsidRDefault="00CE5DD5" w:rsidP="00CE5DD5">
      <w:r w:rsidRPr="00CE5DD5">
        <w:t xml:space="preserve">As shown in section </w:t>
      </w:r>
      <w:r w:rsidRPr="00CE5DD5">
        <w:fldChar w:fldCharType="begin"/>
      </w:r>
      <w:r w:rsidRPr="00CE5DD5">
        <w:instrText xml:space="preserve"> REF _Ref444767739 \r \h </w:instrText>
      </w:r>
      <w:r w:rsidRPr="00CE5DD5">
        <w:fldChar w:fldCharType="separate"/>
      </w:r>
      <w:r w:rsidR="00C6448C">
        <w:t>H.3</w:t>
      </w:r>
      <w:r w:rsidRPr="00CE5DD5">
        <w:fldChar w:fldCharType="end"/>
      </w:r>
      <w:r w:rsidRPr="00CE5DD5">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RAB).This is supported by Partington and Satchell who expressed their strong favour in the on the day approach over trailing average approach.</w:t>
      </w:r>
      <w:r w:rsidRPr="00CE5DD5">
        <w:rPr>
          <w:rStyle w:val="FootnoteReference"/>
        </w:rPr>
        <w:footnoteReference w:id="1215"/>
      </w:r>
    </w:p>
    <w:p w:rsidR="00CE5DD5" w:rsidRPr="00CE5DD5" w:rsidRDefault="00CE5DD5" w:rsidP="00CE5DD5">
      <w:r w:rsidRPr="00CE5DD5">
        <w:t>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sidRPr="00CE5DD5">
        <w:rPr>
          <w:rStyle w:val="FootnoteReference"/>
        </w:rPr>
        <w:footnoteReference w:id="1216"/>
      </w:r>
    </w:p>
    <w:p w:rsidR="00CE5DD5" w:rsidRPr="00CE5DD5" w:rsidRDefault="00CE5DD5" w:rsidP="00CE5DD5">
      <w:r w:rsidRPr="00CE5DD5">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rsidRPr="00CE5DD5">
        <w:t xml:space="preserve"> is as follows:</w:t>
      </w:r>
      <w:r w:rsidRPr="00CE5DD5">
        <w:rPr>
          <w:rStyle w:val="FootnoteReference"/>
        </w:rPr>
        <w:footnoteReference w:id="1217"/>
      </w:r>
    </w:p>
    <w:p w:rsidR="00CE5DD5" w:rsidRPr="00CE5DD5" w:rsidRDefault="004A6459" w:rsidP="00CE5DD5">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CE5DD5" w:rsidRPr="00CE5DD5" w:rsidRDefault="00CE5DD5" w:rsidP="00CE5DD5">
      <w:pPr>
        <w:pStyle w:val="AERbodytextnospace"/>
      </w:pPr>
    </w:p>
    <w:p w:rsidR="00CE5DD5" w:rsidRPr="00CE5DD5" w:rsidRDefault="00CE5DD5" w:rsidP="00CE5DD5">
      <w:pPr>
        <w:pStyle w:val="AERbodytextnospace"/>
      </w:pPr>
      <w:r w:rsidRPr="00CE5DD5">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CE5DD5">
        <w:t xml:space="preserve"> is the price of the bond at time 0 </w:t>
      </w:r>
    </w:p>
    <w:p w:rsidR="00CE5DD5" w:rsidRPr="00CE5DD5" w:rsidRDefault="00CE5DD5" w:rsidP="00CE5DD5">
      <w:pPr>
        <w:pStyle w:val="AERbodytextnospace"/>
      </w:pPr>
      <w:r w:rsidRPr="00CE5DD5">
        <w:tab/>
      </w:r>
      <w:r w:rsidRPr="00CE5DD5">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CE5DD5">
        <w:t xml:space="preserve"> is the coupon (or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CE5DD5" w:rsidRPr="00CE5DD5" w:rsidRDefault="00CE5DD5" w:rsidP="00CE5DD5">
      <w:pPr>
        <w:pStyle w:val="AERbodytextnospace"/>
      </w:pPr>
      <w:r w:rsidRPr="00CE5DD5">
        <w:tab/>
      </w:r>
      <w:r w:rsidRPr="00CE5DD5">
        <w:tab/>
      </w:r>
      <m:oMath>
        <m:r>
          <w:rPr>
            <w:rFonts w:ascii="Cambria Math" w:hAnsi="Cambria Math"/>
          </w:rPr>
          <m:t>c</m:t>
        </m:r>
      </m:oMath>
      <w:r w:rsidRPr="00CE5DD5">
        <w:t xml:space="preserve"> is the coupon rate </w:t>
      </w:r>
    </w:p>
    <w:p w:rsidR="00CE5DD5" w:rsidRPr="00CE5DD5" w:rsidRDefault="00CE5DD5" w:rsidP="00CE5DD5">
      <w:pPr>
        <w:pStyle w:val="AERbodytextnospace"/>
      </w:pPr>
      <w:r w:rsidRPr="00CE5DD5">
        <w:tab/>
      </w:r>
      <w:r w:rsidRPr="00CE5DD5">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CE5DD5">
        <w:t xml:space="preserve"> is the required rate of return or cost of capital (based on market rates) at time 0 </w:t>
      </w:r>
    </w:p>
    <w:p w:rsidR="00CE5DD5" w:rsidRPr="00CE5DD5" w:rsidRDefault="00CE5DD5" w:rsidP="00CE5DD5">
      <w:pPr>
        <w:pStyle w:val="AERbodytextnospace"/>
      </w:pPr>
      <w:r w:rsidRPr="00CE5DD5">
        <w:tab/>
      </w:r>
      <w:r w:rsidRPr="00CE5DD5">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CE5DD5">
        <w:t xml:space="preserve"> is the face (or par) value of the bond (or principal repayment) at maturity.</w:t>
      </w:r>
    </w:p>
    <w:p w:rsidR="00CE5DD5" w:rsidRPr="00CE5DD5" w:rsidRDefault="00CE5DD5" w:rsidP="00CE5DD5">
      <w:r w:rsidRPr="00CE5DD5">
        <w:t>The above formula shows that for a bond's price to equal its face (or par) value, at any time 0, the coupon rate (which is akin to the allowed rate of return) must be set (or reset) to equal the prevailing cost of capital.</w:t>
      </w:r>
      <w:r w:rsidRPr="00CE5DD5">
        <w:rPr>
          <w:rStyle w:val="FootnoteReference"/>
        </w:rPr>
        <w:footnoteReference w:id="1218"/>
      </w:r>
      <w:r w:rsidRPr="00CE5DD5">
        <w:t xml:space="preserve"> If the coupon rate is set (or reset) to a value above (below) the prevailing cost of capital, the price of the bond would trade above (below) its face value. This means the investor that paid the face value would be ex-ante over (under) compensated relative to other investments of similar risk.</w:t>
      </w:r>
    </w:p>
    <w:p w:rsidR="00CE5DD5" w:rsidRPr="00CE5DD5" w:rsidRDefault="00CE5DD5" w:rsidP="00CE5DD5">
      <w:pPr>
        <w:pStyle w:val="HeadingBoldBlue"/>
      </w:pPr>
      <w:r w:rsidRPr="00CE5DD5">
        <w:t>Compensation for historically incurred costs</w:t>
      </w:r>
    </w:p>
    <w:p w:rsidR="00CE5DD5" w:rsidRPr="00CE5DD5" w:rsidRDefault="00CE5DD5" w:rsidP="00CE5DD5">
      <w:r w:rsidRPr="00CE5DD5">
        <w:t>We do not interpret the ARORO to require us to compensate a benchmark efficient entity for historically incurred financing costs where this will lead to compensation that would not be ex-ante efficient.</w:t>
      </w:r>
    </w:p>
    <w:p w:rsidR="00CE5DD5" w:rsidRPr="00CE5DD5" w:rsidRDefault="00CE5DD5" w:rsidP="00CE5DD5">
      <w:r w:rsidRPr="00CE5DD5">
        <w:t xml:space="preserve">We consider setting an allowed rate of return that provides ex-ante efficient compensation gives a benchmark efficient entity a reasonable opportunity to recover at least efficient financing costs. This sets a </w:t>
      </w:r>
      <w:r w:rsidRPr="00CE5DD5">
        <w:rPr>
          <w:rStyle w:val="AERtextunderline"/>
        </w:rPr>
        <w:t>forward looking</w:t>
      </w:r>
      <w:r w:rsidRPr="00CE5DD5">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sidRPr="00CE5DD5">
        <w:rPr>
          <w:rStyle w:val="FootnoteReference"/>
        </w:rPr>
        <w:footnoteReference w:id="1219"/>
      </w:r>
      <w:r w:rsidRPr="00CE5DD5">
        <w:t xml:space="preserve"> Partington and Satchell agree with this view.</w:t>
      </w:r>
      <w:r w:rsidRPr="00CE5DD5">
        <w:rPr>
          <w:rStyle w:val="FootnoteReference"/>
        </w:rPr>
        <w:footnoteReference w:id="1220"/>
      </w:r>
      <w:r w:rsidRPr="00CE5DD5">
        <w:t xml:space="preserve"> The timeline below shows how we consider ex-post movements in interest rates (and historical costs) relate to ex-ante efficient compensation.</w:t>
      </w:r>
    </w:p>
    <w:p w:rsidR="00CE5DD5" w:rsidRPr="00CE5DD5" w:rsidRDefault="00CE5DD5" w:rsidP="00CE5DD5">
      <w:r w:rsidRPr="00CE5DD5">
        <w:rPr>
          <w:noProof/>
          <w:lang w:eastAsia="en-AU"/>
        </w:rPr>
        <mc:AlternateContent>
          <mc:Choice Requires="wpg">
            <w:drawing>
              <wp:inline distT="0" distB="0" distL="0" distR="0" wp14:anchorId="711FD4C4" wp14:editId="6D324C06">
                <wp:extent cx="5086350" cy="2524125"/>
                <wp:effectExtent l="38100" t="0" r="0" b="0"/>
                <wp:docPr id="57" name="Group 57"/>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58" name="Group 58"/>
                        <wpg:cNvGrpSpPr/>
                        <wpg:grpSpPr>
                          <a:xfrm>
                            <a:off x="0" y="0"/>
                            <a:ext cx="4411384" cy="2203376"/>
                            <a:chOff x="0" y="0"/>
                            <a:chExt cx="4411384" cy="2203376"/>
                          </a:xfrm>
                        </wpg:grpSpPr>
                        <wpg:grpSp>
                          <wpg:cNvPr id="59" name="Group 59"/>
                          <wpg:cNvGrpSpPr/>
                          <wpg:grpSpPr>
                            <a:xfrm>
                              <a:off x="0" y="0"/>
                              <a:ext cx="4411384" cy="2203376"/>
                              <a:chOff x="0" y="1"/>
                              <a:chExt cx="4411384" cy="2203376"/>
                            </a:xfrm>
                          </wpg:grpSpPr>
                          <wps:wsp>
                            <wps:cNvPr id="60" name="Text Box 60"/>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6A0" w:rsidRDefault="00E636A0" w:rsidP="00CE5DD5">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Group 61"/>
                            <wpg:cNvGrpSpPr/>
                            <wpg:grpSpPr>
                              <a:xfrm>
                                <a:off x="0" y="257175"/>
                                <a:ext cx="4019550" cy="492442"/>
                                <a:chOff x="0" y="0"/>
                                <a:chExt cx="4019550" cy="492442"/>
                              </a:xfrm>
                            </wpg:grpSpPr>
                            <wps:wsp>
                              <wps:cNvPr id="62" name="Straight Arrow Connector 62"/>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3" name="Oval 63"/>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Brace 64"/>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Brace 65"/>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Text Box 66"/>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6A0" w:rsidRDefault="00E636A0" w:rsidP="00CE5DD5">
                                  <w:pPr>
                                    <w:pStyle w:val="AERbodytextnospaceleftalign"/>
                                  </w:pPr>
                                  <w:r>
                                    <w:t>Historically incurred costs:</w:t>
                                  </w:r>
                                </w:p>
                                <w:p w:rsidR="00E636A0" w:rsidRDefault="00E636A0" w:rsidP="00CE5DD5">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6A0" w:rsidRDefault="00E636A0" w:rsidP="00CE5DD5">
                                  <w:pPr>
                                    <w:pStyle w:val="AERbodytextnospaceleftalign"/>
                                  </w:pPr>
                                  <w:r>
                                    <w:t>Ex-post movement in interest rates:</w:t>
                                  </w:r>
                                </w:p>
                                <w:p w:rsidR="00E636A0" w:rsidRDefault="00E636A0" w:rsidP="00CE5DD5">
                                  <w:pPr>
                                    <w:pStyle w:val="AERbodytextnospaceleftalign"/>
                                  </w:pPr>
                                  <w:r>
                                    <w:t>—unknown at date x, but the associated risks are priced into the forward looking rate of return at date x</w:t>
                                  </w:r>
                                </w:p>
                                <w:p w:rsidR="00E636A0" w:rsidRDefault="00E636A0" w:rsidP="00CE5DD5">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6A0" w:rsidRDefault="00E636A0" w:rsidP="00CE5DD5">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Oval 69"/>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7"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">
                <v:group id="Group 58"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ext Box 60"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E636A0" w:rsidRDefault="00E636A0" w:rsidP="00CE5DD5">
                            <w:pPr>
                              <w:pStyle w:val="AERbodytextnospaceleftalign"/>
                            </w:pPr>
                            <w:proofErr w:type="gramStart"/>
                            <w:r>
                              <w:t>reset</w:t>
                            </w:r>
                            <w:proofErr w:type="gramEnd"/>
                            <w:r>
                              <w:t xml:space="preserve"> date x</w:t>
                            </w:r>
                          </w:p>
                        </w:txbxContent>
                      </v:textbox>
                    </v:shape>
                    <v:group id="Group 61"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62"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2L8MAAADbAAAADwAAAGRycy9kb3ducmV2LnhtbESPT4vCMBTE7wt+h/AEL2LTepClmooI&#10;7npy8c/B46N5tsXmpTSprd/eCAseh5n5DbNaD6YWD2pdZVlBEsUgiHOrKy4UXM672TcI55E11pZJ&#10;wZMcrLPR1wpTbXs+0uPkCxEg7FJUUHrfpFK6vCSDLrINcfButjXog2wLqVvsA9zUch7HC2mw4rBQ&#10;YkPbkvL7qTMKnEwufZ/8/eyL6eHc+d8pHa6dUpPxsFmC8DT4T/i/vdcKFnN4fwk/QG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Vdi/DAAAA2wAAAA8AAAAAAAAAAAAA&#10;AAAAoQIAAGRycy9kb3ducmV2LnhtbFBLBQYAAAAABAAEAPkAAACRAwAAAAA=&#10;" strokecolor="#06648a [3040]">
                        <v:stroke startarrow="open" endarrow="open"/>
                      </v:shape>
                      <v:oval id="Oval 63"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AOsMA&#10;AADbAAAADwAAAGRycy9kb3ducmV2LnhtbESPQYvCMBSE74L/ITzBm6YqqK1GkYWFVfZiu7DXZ/Ns&#10;q81LabJa/71ZEDwOM/MNs952phY3al1lWcFkHIEgzq2uuFDwk32OliCcR9ZYWyYFD3Kw3fR7a0y0&#10;vfORbqkvRICwS1BB6X2TSOnykgy6sW2Ig3e2rUEfZFtI3eI9wE0tp1E0lwYrDgslNvRRUn5N/4yC&#10;4nh1hynG+eUUL9J9XWXf8W+m1HDQ7VYgPHX+HX61v7SC+Qz+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AOsMAAADbAAAADwAAAAAAAAAAAAAAAACYAgAAZHJzL2Rv&#10;d25yZXYueG1sUEsFBgAAAAAEAAQA9QAAAIgDA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4"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TfcUA&#10;AADbAAAADwAAAGRycy9kb3ducmV2LnhtbESPT4vCMBTE7wt+h/AEb2uqqEg1ioqKy7IH/1y8PZpn&#10;W21eShNr3U9vhIU9DjPzG2Y6b0whaqpcbllBrxuBIE6szjlVcDpuPscgnEfWWFgmBU9yMJ+1PqYY&#10;a/vgPdUHn4oAYRejgsz7MpbSJRkZdF1bEgfvYiuDPsgqlbrCR4CbQvajaCQN5hwWMixplVFyO9yN&#10;gnqwvf1c18XxudzvztuT/v0efl2V6rSbxQSEp8b/h//aO61gNID3l/A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N9xQAAANsAAAAPAAAAAAAAAAAAAAAAAJgCAABkcnMv&#10;ZG93bnJldi54bWxQSwUGAAAAAAQABAD1AAAAigMAAAAA&#10;" adj="269" strokecolor="#06648a [3040]"/>
                      <v:shape id="Right Brace 65"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25sYA&#10;AADbAAAADwAAAGRycy9kb3ducmV2LnhtbESPT2vCQBTE70K/w/IKvemmpYYSXaUtrSjiIeqlt0f2&#10;mb/7NmS3MfrpuwXB4zAzv2Hmy8E0oqfOlZYVPE8iEMSZ1SXnCo6H7/EbCOeRNTaWScGFHCwXD6M5&#10;JtqeOaV+73MRIOwSVFB43yZSuqwgg25iW+LgnWxn0AfZ5VJ3eA5w08iXKIqlwZLDQoEtfRaU1ftf&#10;o6B/XdW76qs5XD7S9c/qqK/b6aZS6ulxeJ+B8DT4e/jWXmsF8RT+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A25sYAAADbAAAADwAAAAAAAAAAAAAAAACYAgAAZHJz&#10;L2Rvd25yZXYueG1sUEsFBgAAAAAEAAQA9QAAAIsDAAAAAA==&#10;" adj="269" strokecolor="#06648a [3040]"/>
                    </v:group>
                    <v:shape id="Text Box 66"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E636A0" w:rsidRDefault="00E636A0" w:rsidP="00CE5DD5">
                            <w:pPr>
                              <w:pStyle w:val="AERbodytextnospaceleftalign"/>
                            </w:pPr>
                            <w:r>
                              <w:t>Historically incurred costs:</w:t>
                            </w:r>
                          </w:p>
                          <w:p w:rsidR="00E636A0" w:rsidRDefault="00E636A0" w:rsidP="00CE5DD5">
                            <w:pPr>
                              <w:pStyle w:val="AERbodytextnospaceleftalign"/>
                            </w:pPr>
                            <w:r>
                              <w:t>—incorporating these into the rate of return at date x does not lead to ex-ante efficient compensation for the reset period (x to x+1)</w:t>
                            </w:r>
                          </w:p>
                        </w:txbxContent>
                      </v:textbox>
                    </v:shape>
                    <v:shape id="Text Box 67"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E636A0" w:rsidRDefault="00E636A0" w:rsidP="00CE5DD5">
                            <w:pPr>
                              <w:pStyle w:val="AERbodytextnospaceleftalign"/>
                            </w:pPr>
                            <w:r>
                              <w:t>Ex-post movement in interest rates:</w:t>
                            </w:r>
                          </w:p>
                          <w:p w:rsidR="00E636A0" w:rsidRDefault="00E636A0" w:rsidP="00CE5DD5">
                            <w:pPr>
                              <w:pStyle w:val="AERbodytextnospaceleftalign"/>
                            </w:pPr>
                            <w:r>
                              <w:t>—unknown at date x, but the associated risks are priced into the forward looking rate of return at date x</w:t>
                            </w:r>
                          </w:p>
                          <w:p w:rsidR="00E636A0" w:rsidRDefault="00E636A0" w:rsidP="00CE5DD5">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68"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E636A0" w:rsidRDefault="00E636A0" w:rsidP="00CE5DD5">
                          <w:pPr>
                            <w:pStyle w:val="AERbodytextnospaceleftalign"/>
                          </w:pPr>
                          <w:proofErr w:type="gramStart"/>
                          <w:r>
                            <w:t>reset</w:t>
                          </w:r>
                          <w:proofErr w:type="gramEnd"/>
                          <w:r>
                            <w:t xml:space="preserve"> date x+1</w:t>
                          </w:r>
                        </w:p>
                      </w:txbxContent>
                    </v:textbox>
                  </v:shape>
                </v:group>
                <v:oval id="Oval 69"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30MIA&#10;AADbAAAADwAAAGRycy9kb3ducmV2LnhtbESPQYvCMBSE74L/ITzBm6Z6cLfVKCIIKnuxFbw+m2db&#10;bV5KE7X+e7OwsMdhZr5hFqvO1OJJrassK5iMIxDEudUVFwpO2Xb0DcJ5ZI21ZVLwJgerZb+3wETb&#10;Fx/pmfpCBAi7BBWU3jeJlC4vyaAb24Y4eFfbGvRBtoXULb4C3NRyGkUzabDisFBiQ5uS8nv6MAqK&#10;490dphjnt0v8le7rKvuJz5lSw0G3noPw1Pn/8F97pxXMYvj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bfQwgAAANsAAAAPAAAAAAAAAAAAAAAAAJgCAABkcnMvZG93&#10;bnJldi54bWxQSwUGAAAAAAQABAD1AAAAhwMAAAAA&#10;" fillcolor="white [3201]" strokecolor="#076a92 [3200]" strokeweight="2pt"/>
                <w10:anchorlock/>
              </v:group>
            </w:pict>
          </mc:Fallback>
        </mc:AlternateContent>
      </w:r>
    </w:p>
    <w:p w:rsidR="00CE5DD5" w:rsidRPr="00CE5DD5" w:rsidRDefault="00CE5DD5" w:rsidP="00CE5DD5">
      <w:r w:rsidRPr="00CE5DD5">
        <w:t xml:space="preserve">If, at reset date x+1, we set an allowed rate of return that provides compensation for a service provider's actual (historical) cost outcomes from the previous period, we would effectively remove realised gains or losses from risk it had previously borne. The regulatory regime is an ex-ante regime that is not intended to remove all risk from service providers and their capital investors. We set a forward looking allowed rate of return that compensates investors with a risk premium over the risk free rate for the compensable risk of their investment. The risk premiums we set (on both debt and equity) are based on appropriate benchmark returns from capital markets. If we removed all risks </w:t>
      </w:r>
      <w:r w:rsidR="00455E57">
        <w:t>faced by</w:t>
      </w:r>
      <w:r w:rsidR="00455E57" w:rsidRPr="00CE5DD5">
        <w:t xml:space="preserve"> </w:t>
      </w:r>
      <w:r w:rsidRPr="00CE5DD5">
        <w:t xml:space="preserve">capital investors then the appropriate return would theoretically be the risk free rate. </w:t>
      </w:r>
    </w:p>
    <w:p w:rsidR="00CE5DD5" w:rsidRPr="00CE5DD5" w:rsidRDefault="00CE5DD5" w:rsidP="00CE5DD5">
      <w:r w:rsidRPr="00CE5DD5">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CE5DD5" w:rsidRPr="00CE5DD5" w:rsidRDefault="00CE5DD5" w:rsidP="00CE5DD5">
      <w:r w:rsidRPr="00CE5DD5">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sidRPr="00CE5DD5">
        <w:rPr>
          <w:rStyle w:val="FootnoteReference"/>
        </w:rPr>
        <w:footnoteReference w:id="1221"/>
      </w:r>
      <w:r w:rsidRPr="00CE5DD5">
        <w:t xml:space="preserve"> </w:t>
      </w:r>
    </w:p>
    <w:p w:rsidR="00CE5DD5" w:rsidRPr="00CE5DD5" w:rsidRDefault="00CE5DD5" w:rsidP="00CE5DD5">
      <w:pPr>
        <w:pStyle w:val="HeadingBoldItalic"/>
      </w:pPr>
      <w:r w:rsidRPr="00CE5DD5">
        <w:t>Desirability of minimising mismatch</w:t>
      </w:r>
    </w:p>
    <w:p w:rsidR="00CE5DD5" w:rsidRPr="00CE5DD5" w:rsidRDefault="00CE5DD5" w:rsidP="00CE5DD5">
      <w:r w:rsidRPr="00CE5DD5">
        <w:t>In determining the allowed return on debt, we are required to have regard to the 'mismatch' between a benchmark efficient entity's actual debt cost outcomes (or cash outflows) and the return on debt allowance.</w:t>
      </w:r>
      <w:r w:rsidRPr="00CE5DD5">
        <w:rPr>
          <w:rStyle w:val="FootnoteReference"/>
        </w:rPr>
        <w:footnoteReference w:id="1222"/>
      </w:r>
      <w:r w:rsidRPr="00CE5DD5">
        <w:t xml:space="preserve"> However, we do not consider that this permits us to set a rate of return that will not meet the ARORO or will not achieve the NEO/NGO.</w:t>
      </w:r>
    </w:p>
    <w:p w:rsidR="00CE5DD5" w:rsidRPr="00CE5DD5" w:rsidRDefault="00CE5DD5" w:rsidP="00CE5DD5">
      <w:r w:rsidRPr="00CE5DD5">
        <w:t>Rather, some mismatch between the actual (cash) debt costs and the regulated debt allowance is an intrinsic part of incentive regulation―whether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sidRPr="00CE5DD5">
        <w:rPr>
          <w:rStyle w:val="FootnoteReference"/>
        </w:rPr>
        <w:footnoteReference w:id="1223"/>
      </w:r>
      <w:r w:rsidRPr="00CE5DD5">
        <w:t xml:space="preserve"> SFG recognised this in its report for the Australian Energy Market Commission (AEMC). Here, SFG considered a mismatch between a firm's debt service payments and the regulatory allowance could arise for a number of reasons, including:</w:t>
      </w:r>
      <w:r w:rsidRPr="00CE5DD5">
        <w:rPr>
          <w:rStyle w:val="FootnoteReference"/>
        </w:rPr>
        <w:footnoteReference w:id="1224"/>
      </w:r>
    </w:p>
    <w:p w:rsidR="00CE5DD5" w:rsidRPr="00CE5DD5" w:rsidRDefault="00CE5DD5" w:rsidP="00CE5DD5">
      <w:pPr>
        <w:pStyle w:val="AERbulletlistfirststyle"/>
      </w:pPr>
      <w:r w:rsidRPr="00CE5DD5">
        <w:t>‘because the cost of capital is, in fact, variable over time’ rather than because there is problem with the measurement</w:t>
      </w:r>
    </w:p>
    <w:p w:rsidR="00CE5DD5" w:rsidRPr="00CE5DD5" w:rsidRDefault="00CE5DD5" w:rsidP="00CE5DD5">
      <w:pPr>
        <w:pStyle w:val="AERbulletlistfirststyle"/>
      </w:pPr>
      <w:r w:rsidRPr="00CE5DD5">
        <w:t>because 'there may be a difference between the rate at which the business can borrow and the regulatory benchmark'.</w:t>
      </w:r>
    </w:p>
    <w:p w:rsidR="00CE5DD5" w:rsidRPr="00CE5DD5" w:rsidRDefault="00CE5DD5" w:rsidP="00CE5DD5">
      <w:r w:rsidRPr="00CE5DD5">
        <w:t xml:space="preserve">We consider a service provider's ex-post mismatch does not (of itself) imply the regulator is setting a rate of return that will not appropriately compensate a benchmark efficient entity for its efficient cost of debt finance. 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 </w:t>
      </w:r>
    </w:p>
    <w:p w:rsidR="00CE5DD5" w:rsidRPr="00CE5DD5" w:rsidRDefault="00CE5DD5" w:rsidP="00CE5DD5">
      <w:r w:rsidRPr="00CE5DD5">
        <w:t xml:space="preserve">In section </w:t>
      </w:r>
      <w:r w:rsidRPr="00CE5DD5">
        <w:fldChar w:fldCharType="begin"/>
      </w:r>
      <w:r w:rsidRPr="00CE5DD5">
        <w:instrText xml:space="preserve"> REF _Ref444773920 \r \h </w:instrText>
      </w:r>
      <w:r w:rsidRPr="00CE5DD5">
        <w:fldChar w:fldCharType="separate"/>
      </w:r>
      <w:r w:rsidR="00C6448C">
        <w:t>H.3.3</w:t>
      </w:r>
      <w:r w:rsidRPr="00CE5DD5">
        <w:fldChar w:fldCharType="end"/>
      </w:r>
      <w:r w:rsidRPr="00CE5DD5">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CE5DD5" w:rsidRPr="00CE5DD5" w:rsidRDefault="00CE5DD5" w:rsidP="00CE5DD5">
      <w:r w:rsidRPr="00CE5DD5">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sidRPr="00CE5DD5">
        <w:rPr>
          <w:rStyle w:val="FootnoteReference"/>
        </w:rPr>
        <w:footnoteReference w:id="1225"/>
      </w:r>
      <w:r w:rsidRPr="00CE5DD5">
        <w:t xml:space="preserve"> on observed data from service providers comparable to a benchmark efficient entity operating under an on-the-day approach (where the risk of mismatch is likely more material).</w:t>
      </w:r>
      <w:r w:rsidRPr="00CE5DD5">
        <w:rPr>
          <w:rStyle w:val="FootnoteReference"/>
        </w:rPr>
        <w:footnoteReference w:id="1226"/>
      </w:r>
      <w:r w:rsidRPr="00CE5DD5">
        <w:t xml:space="preserve"> Therefore, the allowed rate of return should be commensurate with the efficient financing costs of a benchmark efficient entity with a similar degree of risk as a regulated service provider operating under this approach. To the extent a benchmark efficient entity's investors expect that moving to a  trailing average approach would reduce the  risk they require compensation for, our allowed return on debt will likely be generous to  service providers.</w:t>
      </w:r>
      <w:r w:rsidRPr="00CE5DD5">
        <w:rPr>
          <w:rStyle w:val="FootnoteReference"/>
        </w:rPr>
        <w:footnoteReference w:id="1227"/>
      </w:r>
      <w:r w:rsidRPr="00CE5DD5">
        <w:t xml:space="preserve"> In particular, our estimate of systematic risk (beta) includes historical data, which will capture the systematic risk that a benchmark efficient entity would have been exposed to under the on-the-day approach.</w:t>
      </w:r>
    </w:p>
    <w:p w:rsidR="00CE5DD5" w:rsidRPr="00CE5DD5" w:rsidRDefault="00CE5DD5" w:rsidP="00CE5DD5">
      <w:r w:rsidRPr="00CE5DD5">
        <w:t xml:space="preserve">We also note that Partington and Satchell considered mismatch between a service provider's actual incurred cost of debt and allowed return on debt is a consequence of its particular debt financing choices as an issue faces all </w:t>
      </w:r>
      <w:r w:rsidR="000F53E3" w:rsidRPr="00CE5DD5">
        <w:t>firms. They</w:t>
      </w:r>
      <w:r w:rsidRPr="00CE5DD5">
        <w:t xml:space="preserve"> do not consider this affects a benchmark efficient entity's opportunity to earn the efficient return on its RAB.</w:t>
      </w:r>
      <w:r w:rsidRPr="00CE5DD5">
        <w:rPr>
          <w:rStyle w:val="FootnoteReference"/>
        </w:rPr>
        <w:footnoteReference w:id="1228"/>
      </w:r>
      <w:r w:rsidRPr="00CE5DD5">
        <w:t xml:space="preserve"> Instead, the competitive equilibrium that results in zero NVP investments, which is characterised by product prices and the market value of assets and securities adjusting to a value where they offer the current cost of capital, is what regulators are generally attempting to replicate. It is this action of the regulator that determines the allowed rate of return.  In this process the allowed rate for the cost of debt may well not match the historic cost of debt. Partington and Satchell referred to this mismatch as a direct consequence of interest rate risk (which is consistent with our interpretation above).</w:t>
      </w:r>
      <w:r w:rsidR="0051093A">
        <w:rPr>
          <w:rStyle w:val="FootnoteReference"/>
        </w:rPr>
        <w:footnoteReference w:id="1229"/>
      </w:r>
      <w:r w:rsidR="0051093A" w:rsidRPr="00CE5DD5" w:rsidDel="0051093A">
        <w:t xml:space="preserve"> </w:t>
      </w:r>
      <w:r w:rsidRPr="00CE5DD5">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sidRPr="00CE5DD5">
        <w:rPr>
          <w:rStyle w:val="FootnoteReference"/>
        </w:rPr>
        <w:footnoteReference w:id="1230"/>
      </w:r>
      <w:r w:rsidRPr="00CE5DD5">
        <w:t xml:space="preserve"> To the extent that this type of mismatch results in compensation that is not ex-ante efficient, we consider this would not meet the ARORO. </w:t>
      </w:r>
    </w:p>
    <w:p w:rsidR="00CE5DD5" w:rsidRPr="00CE5DD5" w:rsidRDefault="00CE5DD5" w:rsidP="00CE5DD5">
      <w:r w:rsidRPr="00CE5DD5">
        <w:t xml:space="preserve">While a trailing average approach is expected to reduce the former type of mismatch relative to an on-the-day approach, an on-the-day approach is expected to reduce the latter type of mismatch relative to a trailing average approach. </w:t>
      </w:r>
    </w:p>
    <w:p w:rsidR="00CE5DD5" w:rsidRPr="00CE5DD5" w:rsidRDefault="00CE5DD5" w:rsidP="00CE5DD5">
      <w:pPr>
        <w:pStyle w:val="Heading9"/>
      </w:pPr>
      <w:bookmarkStart w:id="345" w:name="_Ref447803918"/>
      <w:bookmarkStart w:id="346" w:name="_Toc451947837"/>
      <w:r w:rsidRPr="00CE5DD5">
        <w:t>Consistency with the NEL/NGL</w:t>
      </w:r>
      <w:bookmarkEnd w:id="345"/>
      <w:bookmarkEnd w:id="346"/>
    </w:p>
    <w:p w:rsidR="00CE5DD5" w:rsidRPr="00CE5DD5" w:rsidRDefault="00CE5DD5" w:rsidP="00CE5DD5">
      <w:r w:rsidRPr="00CE5DD5">
        <w:t>We consider an allowed rate of return that meets the ARORO should lead to economically efficient investment, provision of and use of infrastructure, consistent with the NEL/NGL.</w:t>
      </w:r>
      <w:r w:rsidRPr="00CE5DD5">
        <w:rPr>
          <w:rStyle w:val="FootnoteReference"/>
        </w:rPr>
        <w:footnoteReference w:id="1231"/>
      </w:r>
      <w:r w:rsidRPr="00CE5DD5">
        <w:t xml:space="preserve"> This allowed rate of return should also provide service providers with a </w:t>
      </w:r>
      <w:r w:rsidRPr="00CE5DD5">
        <w:rPr>
          <w:rStyle w:val="AERtextunderline"/>
        </w:rPr>
        <w:t>reasonable opportunity</w:t>
      </w:r>
      <w:r w:rsidRPr="00CE5DD5">
        <w:t xml:space="preserve"> to recover their efficient costs. We consider our interpretation of the ARORO is consistent with the wording in the NEO/NGO in the NEL/NGL. Our view appears consistent with the views of the AEMC when it stated:</w:t>
      </w:r>
      <w:r w:rsidRPr="00CE5DD5">
        <w:rPr>
          <w:rStyle w:val="FootnoteReference"/>
        </w:rPr>
        <w:footnoteReference w:id="1232"/>
      </w:r>
    </w:p>
    <w:p w:rsidR="00CE5DD5" w:rsidRPr="00CE5DD5" w:rsidRDefault="00CE5DD5" w:rsidP="00CE5DD5">
      <w:pPr>
        <w:pStyle w:val="AERquote"/>
      </w:pPr>
      <w:r w:rsidRPr="00CE5DD5">
        <w:t>If the rate of return estimate is set to the efficient required return, there will be no incentive for under- or over- investment. Such incentives for inefficient investment become more pronounced when the rate of return estimate differs from the efficient required return.</w:t>
      </w:r>
    </w:p>
    <w:p w:rsidR="00CE5DD5" w:rsidRPr="00CE5DD5" w:rsidRDefault="00CE5DD5" w:rsidP="00CE5DD5">
      <w:r w:rsidRPr="00CE5DD5">
        <w:t xml:space="preserve">The concept that a reasonable return to investment is important to achieving efficient regulatory investment appears common sense. Setting </w:t>
      </w:r>
      <w:r w:rsidR="00455E57">
        <w:t xml:space="preserve">an </w:t>
      </w:r>
      <w:r w:rsidRPr="00CE5DD5">
        <w:t>too high (or low) expected return relative to the expected return on alternate equivalent risk investments would be expected to lead to distorted over (or under) investment in regulated assets (all else being equal). The aim of setting an expected return to achieve efficient investment also appears broadly accepted in regulatory literature.</w:t>
      </w:r>
      <w:r w:rsidRPr="00CE5DD5">
        <w:rPr>
          <w:rStyle w:val="FootnoteReference"/>
        </w:rPr>
        <w:footnoteReference w:id="1233"/>
      </w:r>
      <w:r w:rsidRPr="00CE5DD5">
        <w:t xml:space="preserve"> This is also consistent with advice from the Consumer Challenge Panel Sub Panel 3 (CCP3) that stated:</w:t>
      </w:r>
      <w:r w:rsidRPr="00CE5DD5">
        <w:rPr>
          <w:rStyle w:val="FootnoteReference"/>
        </w:rPr>
        <w:footnoteReference w:id="1234"/>
      </w:r>
    </w:p>
    <w:p w:rsidR="00CE5DD5" w:rsidRPr="00CE5DD5" w:rsidRDefault="00CE5DD5" w:rsidP="00CE5DD5">
      <w:pPr>
        <w:pStyle w:val="AERquote"/>
      </w:pPr>
      <w:r w:rsidRPr="00CE5DD5">
        <w:t xml:space="preserve">The AER must have regard to the impact of their RoR decision on capex incentives. Given that the DNSPs’ revised proposal is significantly above current costs of capital for BBB/BBB+ rated companies, there will be perverse incentives to overinvest in the network. </w:t>
      </w:r>
    </w:p>
    <w:p w:rsidR="00CE5DD5" w:rsidRPr="00CE5DD5" w:rsidRDefault="00CE5DD5" w:rsidP="00CE5DD5">
      <w:r w:rsidRPr="00CE5DD5">
        <w:t>Similarly, Partington and Satchell consider the rule requirements are consistent with the zero NPV investment condition, stating:</w:t>
      </w:r>
      <w:r w:rsidRPr="00CE5DD5">
        <w:rPr>
          <w:rStyle w:val="FootnoteReference"/>
        </w:rPr>
        <w:footnoteReference w:id="1235"/>
      </w:r>
    </w:p>
    <w:p w:rsidR="00CE5DD5" w:rsidRPr="00CE5DD5" w:rsidRDefault="00CE5DD5" w:rsidP="00CE5DD5">
      <w:pPr>
        <w:pStyle w:val="AERquote"/>
      </w:pPr>
      <w:r w:rsidRPr="00CE5DD5">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costs and risks of overinvestment. There is very clear criterion that can be applied to meet these requirements. That criterion is that investment in regulated assets should be a zero NPV activity.</w:t>
      </w:r>
      <w:r w:rsidRPr="00CE5DD5" w:rsidDel="00770BC0">
        <w:t xml:space="preserve"> </w:t>
      </w:r>
    </w:p>
    <w:p w:rsidR="00CE5DD5" w:rsidRPr="00CE5DD5" w:rsidRDefault="00CE5DD5" w:rsidP="00CE5DD5">
      <w:pPr>
        <w:pStyle w:val="Heading9"/>
      </w:pPr>
      <w:bookmarkStart w:id="347" w:name="_Ref447803924"/>
      <w:bookmarkStart w:id="348" w:name="_Toc451947838"/>
      <w:r w:rsidRPr="00CE5DD5">
        <w:t>Requirement for a revenue-neutral transition if there is a regime change</w:t>
      </w:r>
      <w:bookmarkEnd w:id="347"/>
      <w:bookmarkEnd w:id="348"/>
    </w:p>
    <w:p w:rsidR="00CE5DD5" w:rsidRPr="00CE5DD5" w:rsidRDefault="00CE5DD5" w:rsidP="00CE5DD5">
      <w:r w:rsidRPr="00CE5DD5">
        <w:t xml:space="preserve">We consider that both an on-the-day methodology to setting the cost of debt and a trailing average methodology can meet the ARORO. However, in moving between different approaches, a transition that is revenue-neutral in a present value sense will meet the ARORO. Section </w:t>
      </w:r>
      <w:r w:rsidRPr="00CE5DD5">
        <w:fldChar w:fldCharType="begin"/>
      </w:r>
      <w:r w:rsidRPr="00CE5DD5">
        <w:instrText xml:space="preserve"> REF _Ref444767739 \r \h </w:instrText>
      </w:r>
      <w:r w:rsidRPr="00CE5DD5">
        <w:fldChar w:fldCharType="separate"/>
      </w:r>
      <w:r w:rsidR="00C6448C">
        <w:t>H.3</w:t>
      </w:r>
      <w:r w:rsidRPr="00CE5DD5">
        <w:fldChar w:fldCharType="end"/>
      </w:r>
      <w:r w:rsidRPr="00CE5DD5">
        <w:t xml:space="preserve"> further discusses the position that either approach can result in a reasonable return on capital (and therefore could meet the ARORO). This position also appears consistent with SFG's view that the AEMC noted in its final rule determination where it stated:</w:t>
      </w:r>
      <w:r w:rsidRPr="00CE5DD5">
        <w:rPr>
          <w:rStyle w:val="FootnoteReference"/>
        </w:rPr>
        <w:footnoteReference w:id="1236"/>
      </w:r>
    </w:p>
    <w:p w:rsidR="00CE5DD5" w:rsidRPr="00CE5DD5" w:rsidRDefault="00CE5DD5" w:rsidP="00CE5DD5">
      <w:pPr>
        <w:pStyle w:val="AERquote"/>
      </w:pPr>
      <w:r w:rsidRPr="00CE5DD5">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 approaches will by definition result in smoother estimates of the return on debt over time.</w:t>
      </w:r>
    </w:p>
    <w:p w:rsidR="00CE5DD5" w:rsidRPr="00CE5DD5" w:rsidRDefault="00CE5DD5" w:rsidP="00CE5DD5">
      <w:r w:rsidRPr="00CE5DD5">
        <w:t>We note that when undertaking the rule change in 2012 the AEMC added in clause 6.5.3(k)(4) that states (emphasis added):</w:t>
      </w:r>
    </w:p>
    <w:p w:rsidR="00CE5DD5" w:rsidRPr="00CE5DD5" w:rsidRDefault="00CE5DD5" w:rsidP="00CE5DD5">
      <w:pPr>
        <w:pStyle w:val="AERquote"/>
      </w:pPr>
      <w:r w:rsidRPr="00CE5DD5">
        <w:t>(k) In estimating the return on debt under paragraph (h), regard must be had to the following factors…</w:t>
      </w:r>
    </w:p>
    <w:p w:rsidR="00CE5DD5" w:rsidRPr="00CE5DD5" w:rsidRDefault="00CE5DD5" w:rsidP="00CE5DD5">
      <w:pPr>
        <w:pStyle w:val="AERquote"/>
      </w:pPr>
      <w:r w:rsidRPr="00CE5DD5">
        <w:t xml:space="preserve">(4)  any impacts (including in relation to the costs of servicing debt across regulatory control periods) on a benchmark efficient entity referred to in the allowed rate of return objective that could arise </w:t>
      </w:r>
      <w:r w:rsidRPr="00CE5DD5">
        <w:rPr>
          <w:rStyle w:val="AERtextboldunderline"/>
        </w:rPr>
        <w:t>as a result of changing the methodology</w:t>
      </w:r>
      <w:r w:rsidRPr="00CE5DD5">
        <w:t xml:space="preserve"> that is used to estimate the return on debt from one regulatory control period to the next.</w:t>
      </w:r>
    </w:p>
    <w:p w:rsidR="00CE5DD5" w:rsidRPr="00CE5DD5" w:rsidRDefault="00CE5DD5" w:rsidP="00CE5DD5">
      <w:r w:rsidRPr="00CE5DD5">
        <w:t>This clause is explicit in requiring us to have regard to any impacts on a benchmark efficient entity that could arise as a result of a change of methodology. This would include having regard to any material changes in the present value of a benchmark efficient entity's regulated revenue purely due to changing the debt estimation methodology. If such changes increased a benchmark efficient entity's value, then this would benefit its equity holders at the expense of consumers. Conversely, if such changes decreased a benchmark efficient entity's value, then this would cost its equity holders but provide a short term financial benefit to consumers (which may not be a long-term benefit to the extent this results in underinvestment).  As such, this methodological change may also have a material negative impact on the confidence in the predictability of the regulatory regime.</w:t>
      </w:r>
      <w:r w:rsidRPr="00CE5DD5">
        <w:rPr>
          <w:rStyle w:val="FootnoteReference"/>
        </w:rPr>
        <w:footnoteReference w:id="1237"/>
      </w:r>
      <w:r w:rsidRPr="00CE5DD5">
        <w:t xml:space="preserve"> This is also noted by Partington and Satchell. They proposed that under the trailing average approach consumers are effectively guaranteeing revenue to pay the historic cost of debt. A cost arising from that guarantee will arise immediately under a switch to the historic trailing average without transition as consumers will find themselves paying the premium of historic rates over current rates (knowing historic rates is much higher than the current rates). </w:t>
      </w:r>
      <w:r w:rsidR="00455E57">
        <w:rPr>
          <w:rStyle w:val="FootnoteReference"/>
        </w:rPr>
        <w:footnoteReference w:id="1238"/>
      </w:r>
      <w:r w:rsidR="00455E57">
        <w:t xml:space="preserve"> </w:t>
      </w:r>
      <w:r w:rsidRPr="00CE5DD5">
        <w:t>We consider the AEMC's guidance on the intent of this clause is consistent with our approach (emphasis added):</w:t>
      </w:r>
      <w:r w:rsidRPr="00CE5DD5">
        <w:rPr>
          <w:rStyle w:val="FootnoteReference"/>
        </w:rPr>
        <w:footnoteReference w:id="1239"/>
      </w:r>
    </w:p>
    <w:p w:rsidR="00CE5DD5" w:rsidRPr="00CE5DD5" w:rsidRDefault="00CE5DD5" w:rsidP="00CE5DD5">
      <w:pPr>
        <w:pStyle w:val="AERquote"/>
      </w:pPr>
      <w:r w:rsidRPr="00CE5DD5">
        <w:t xml:space="preserve">The purpose of the fourth factor is for the regulator to have regard to </w:t>
      </w:r>
      <w:r w:rsidRPr="00CE5DD5">
        <w:rPr>
          <w:rStyle w:val="AERtextboldunderline"/>
        </w:rPr>
        <w:t>impacts of changes in the methodology</w:t>
      </w:r>
      <w:r w:rsidRPr="00CE5DD5">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CE5DD5" w:rsidRPr="00CE5DD5" w:rsidRDefault="00CE5DD5" w:rsidP="00CE5DD5">
      <w:r w:rsidRPr="00CE5DD5">
        <w:t>We have taken this factor into account and consider our transitional approach is consistent with the intent of this factor. Nevertheless, we consider that irrespective of this factor, our transition approach meets the requirements of the ARORO, NEO/NGO and RPPs. Partington and Satchell and the CCP3, in the context of our decisions released in May and July 2016, formed a similar view that the full transition to a trailing average in the Guideline would better satisfy the ARORO than the Victorian DNSP various revised proposals.</w:t>
      </w:r>
      <w:r w:rsidRPr="00CE5DD5">
        <w:rPr>
          <w:rStyle w:val="FootnoteReference"/>
        </w:rPr>
        <w:footnoteReference w:id="1240"/>
      </w:r>
      <w:r w:rsidRPr="00CE5DD5">
        <w:t xml:space="preserve"> Partington and Satchell remain of the view this is the case having considered CEG’s new report.</w:t>
      </w:r>
      <w:r w:rsidRPr="00CE5DD5">
        <w:rPr>
          <w:rStyle w:val="FootnoteReference"/>
        </w:rPr>
        <w:footnoteReference w:id="1241"/>
      </w:r>
      <w:r w:rsidR="001E6895">
        <w:t xml:space="preserve"> </w:t>
      </w:r>
      <w:r w:rsidRPr="00CE5DD5">
        <w:t>They proposed that a revenue neutral transition (full transition) in present value terms is appropriate as this involves no unplanned wealth transfers arising from regulatory risk. Without a revenue neutral transition the wealth transfer away from consumers will be a substantial unintended cost to consumers of the regulatory change to a trailing average.</w:t>
      </w:r>
      <w:r w:rsidRPr="00CE5DD5">
        <w:rPr>
          <w:rStyle w:val="FootnoteReference"/>
        </w:rPr>
        <w:footnoteReference w:id="1242"/>
      </w:r>
      <w:r w:rsidRPr="00CE5DD5">
        <w:t xml:space="preserve"> We also consider that an immediate (or hybrid) transition to a trailing average would result in a material and unexpected change in the present value of a benchmark efficient entity relative to a value consistent with investor expectations formed under the on-the-day regime. If this occurred it would likely increase expected regulatory uncertainty going forward. We consider this may both undermine confidence in the predictability of the regulatory arrangements and not minimise efficient financing costs (all else being equal).</w:t>
      </w:r>
      <w:r w:rsidRPr="00CE5DD5">
        <w:rPr>
          <w:rStyle w:val="FootnoteReference"/>
        </w:rPr>
        <w:footnoteReference w:id="1243"/>
      </w:r>
      <w:r w:rsidRPr="00CE5DD5">
        <w:t xml:space="preserve"> For these reasons, we consider a lack of transition to limit uncertainty of regulatory changes affecting the value of the benchmark efficient entity is unlikely to be consistent with achieving the NEO/NGO and the RPPs.</w:t>
      </w:r>
    </w:p>
    <w:p w:rsidR="00CE5DD5" w:rsidRPr="00CE5DD5" w:rsidRDefault="00CE5DD5" w:rsidP="00CE5DD5">
      <w:r w:rsidRPr="00CE5DD5">
        <w:t>Similarly, SFG advised the AEMC that a transition may be required to limit 'regulatory risk' and to avoid being inconsistent with the NEO and RPPs.</w:t>
      </w:r>
      <w:r w:rsidRPr="00CE5DD5">
        <w:rPr>
          <w:rStyle w:val="FootnoteReference"/>
        </w:rPr>
        <w:footnoteReference w:id="1244"/>
      </w:r>
      <w:r w:rsidRPr="00CE5DD5">
        <w:t xml:space="preserve"> SFG also considered that the transition we proposed (the QTC method) would be an appropriate means of transitioning from the current rules (that used an on-the-day methodology) to the use of a historical average cost of debt approach.</w:t>
      </w:r>
      <w:r w:rsidRPr="00CE5DD5">
        <w:rPr>
          <w:rStyle w:val="FootnoteReference"/>
        </w:rPr>
        <w:footnoteReference w:id="1245"/>
      </w:r>
      <w:r w:rsidRPr="00CE5DD5">
        <w:t xml:space="preserve"> The desirability for predictability was also commented on by an Expert Panel on Energy Access pricing for the Ministerial Council on Energy in 2006 who noted [emphasis added]:</w:t>
      </w:r>
      <w:r w:rsidRPr="00CE5DD5">
        <w:rPr>
          <w:rStyle w:val="FootnoteReference"/>
        </w:rPr>
        <w:footnoteReference w:id="1246"/>
      </w:r>
    </w:p>
    <w:p w:rsidR="00CE5DD5" w:rsidRPr="00CE5DD5" w:rsidRDefault="00CE5DD5" w:rsidP="00CE5DD5">
      <w:pPr>
        <w:pStyle w:val="AERquote"/>
      </w:pPr>
      <w:r w:rsidRPr="00CE5DD5">
        <w:t>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with the outcome of the review…</w:t>
      </w:r>
    </w:p>
    <w:p w:rsidR="00CE5DD5" w:rsidRPr="00CE5DD5" w:rsidRDefault="00CE5DD5" w:rsidP="00CE5DD5">
      <w:pPr>
        <w:pStyle w:val="AERquote"/>
      </w:pPr>
      <w:r w:rsidRPr="00CE5DD5">
        <w:rPr>
          <w:rStyle w:val="Strong"/>
        </w:rPr>
        <w:t>Equally important is the predictability of those decisions</w:t>
      </w:r>
      <w:r w:rsidRPr="00CE5DD5">
        <w:t xml:space="preserve"> – that is the development of an approach that gives energy users and investors in transmission and distribution infrastructure confidence that access and pricing outcomes will be guided by known principles that are applied in a consistent manner.</w:t>
      </w:r>
    </w:p>
    <w:p w:rsidR="00CE5DD5" w:rsidRPr="00CE5DD5" w:rsidRDefault="00CE5DD5" w:rsidP="00CE5DD5">
      <w:r w:rsidRPr="00CE5DD5">
        <w:t>We consider our approach is consistent with the desire for predictability in regulatory decisions by using a transition to avoid material wealth impacts from the change in methodology. HoustonKemp also provided support for a transition when it advised the Essential Services Commission of SA (ESCOSA):</w:t>
      </w:r>
      <w:r w:rsidRPr="00CE5DD5">
        <w:rPr>
          <w:rStyle w:val="FootnoteReference"/>
        </w:rPr>
        <w:footnoteReference w:id="1247"/>
      </w:r>
    </w:p>
    <w:p w:rsidR="00CE5DD5" w:rsidRPr="00CE5DD5" w:rsidRDefault="00CE5DD5" w:rsidP="00CE5DD5">
      <w:pPr>
        <w:pStyle w:val="AERquote"/>
      </w:pPr>
      <w:r w:rsidRPr="00CE5DD5">
        <w:t>Consistent with regulatory best practice, a regulatory authority should seek to avoid imposing windfall gains or losses as a result of regulatory changes. A regulatory change that imposes windfall gains or losses will be to the detriment of regulatory certainty and will likely increase the perceived level of regulatory risk, and so the cost of capital.</w:t>
      </w:r>
    </w:p>
    <w:p w:rsidR="00CE5DD5" w:rsidRPr="00CE5DD5" w:rsidRDefault="00CE5DD5" w:rsidP="00CE5DD5">
      <w:r w:rsidRPr="00CE5DD5">
        <w:t>A transition is also likely to be important for maintaining the incentives on service providers to adopt efficient financing practices under the regulatory regime. We consider this is consistent with the Revenue and Pricing Principles, which indicate regulated firms should be provided with a range of incentives including incentives that should promote the efficient provision of electricity network/pipeline services.</w:t>
      </w:r>
      <w:r w:rsidRPr="00CE5DD5">
        <w:rPr>
          <w:rStyle w:val="FootnoteReference"/>
        </w:rPr>
        <w:footnoteReference w:id="1248"/>
      </w:r>
      <w:r w:rsidRPr="00CE5DD5">
        <w:t xml:space="preserve"> These principles show our regime is intended to be an incentive base regime as opposed to a cost of service regime. To promote efficiency incentives, we consider regulated firms should be required to bear the consequences of their chosen financing approach from the prior regulatory period where returns were set under the on-the-day methodology and any financing decisions they made over this period were made in the expectation this methodology would continue. It could significantly undermine service providers' incentives to manage financial risk efficiently if we provide an allowed return on debt in this decision that results in regulated firms not bearing the consequences of their chosen financing practices. This is because service providers were required to bear and manage this risk.</w:t>
      </w:r>
      <w:r w:rsidRPr="00CE5DD5">
        <w:rPr>
          <w:rStyle w:val="FootnoteReference"/>
        </w:rPr>
        <w:footnoteReference w:id="1249"/>
      </w:r>
      <w:r w:rsidRPr="00CE5DD5">
        <w:t xml:space="preserve"> </w:t>
      </w:r>
    </w:p>
    <w:p w:rsidR="00CE5DD5" w:rsidRPr="00CE5DD5" w:rsidRDefault="00CE5DD5" w:rsidP="00CE5DD5">
      <w:r w:rsidRPr="00CE5DD5">
        <w:t>Partington and Satchell argued that it is the on the day approach that promotes efficient investment.</w:t>
      </w:r>
      <w:r w:rsidR="00F77F90">
        <w:rPr>
          <w:rStyle w:val="FootnoteReference"/>
        </w:rPr>
        <w:footnoteReference w:id="1250"/>
      </w:r>
      <w:r w:rsidRPr="00CE5DD5">
        <w:t xml:space="preserve"> If a trailing average approach is to apply, the AER’s transition is less distortionary in terms of investment incentives than a switch to a trailing average without transition. As an immediate switch to the trailing average immediately gives rise to a regulatory allowed return that exceeds the current required return, Partington and Satchell proposed that it will immediately give rise to economic rents and an incentive to overinvest.</w:t>
      </w:r>
      <w:r w:rsidRPr="00CE5DD5">
        <w:rPr>
          <w:rStyle w:val="FootnoteReference"/>
        </w:rPr>
        <w:footnoteReference w:id="1251"/>
      </w:r>
    </w:p>
    <w:p w:rsidR="00CE5DD5" w:rsidRPr="00CE5DD5" w:rsidRDefault="00CE5DD5" w:rsidP="00CE5DD5">
      <w:pPr>
        <w:pStyle w:val="Heading8"/>
      </w:pPr>
      <w:bookmarkStart w:id="349" w:name="_Ref444767739"/>
      <w:bookmarkStart w:id="350" w:name="_Toc451947839"/>
      <w:bookmarkStart w:id="351" w:name="_Toc481057095"/>
      <w:r w:rsidRPr="00CE5DD5">
        <w:t>On-the-day and trailing average approaches</w:t>
      </w:r>
      <w:bookmarkEnd w:id="349"/>
      <w:bookmarkEnd w:id="350"/>
      <w:bookmarkEnd w:id="351"/>
    </w:p>
    <w:p w:rsidR="00CE5DD5" w:rsidRPr="00CE5DD5" w:rsidRDefault="00CE5DD5" w:rsidP="00CE5DD5">
      <w:r w:rsidRPr="00CE5DD5">
        <w:t>In this section, we analyse the on-the-day and trailing average approaches to establish whether these approaches can contribute to the achievement of the ARORO. We also explain that, while we consider both approaches would be open to us; we would expect either approach to produce different estimates at given points in time.</w:t>
      </w:r>
    </w:p>
    <w:p w:rsidR="00CE5DD5" w:rsidRPr="00CE5DD5" w:rsidRDefault="00CE5DD5" w:rsidP="00CE5DD5">
      <w:r w:rsidRPr="00CE5DD5">
        <w:t>From establishing this, we can demonstrate that in changing approaches from the on-the-day to the trailing average approach (or vice versa); a revenue neutral transition (in present value terms) is required to contribute to the achievement of the ARORO.</w:t>
      </w:r>
    </w:p>
    <w:p w:rsidR="00CE5DD5" w:rsidRPr="00CE5DD5" w:rsidRDefault="00CE5DD5" w:rsidP="00CE5DD5">
      <w:pPr>
        <w:pStyle w:val="Heading9"/>
      </w:pPr>
      <w:bookmarkStart w:id="352" w:name="_Ref445131744"/>
      <w:bookmarkStart w:id="353" w:name="_Toc451947840"/>
      <w:r w:rsidRPr="00CE5DD5">
        <w:t>On-the-day approach</w:t>
      </w:r>
      <w:bookmarkEnd w:id="352"/>
      <w:bookmarkEnd w:id="353"/>
    </w:p>
    <w:p w:rsidR="00CE5DD5" w:rsidRPr="00CE5DD5" w:rsidRDefault="00CE5DD5" w:rsidP="00CE5DD5">
      <w:r w:rsidRPr="00CE5DD5">
        <w:t>The on-the-day approach estimates the allowed return on debt for a service provider as the prevailing cost of debt as close as possible to the start of the regulatory period.</w:t>
      </w:r>
      <w:r w:rsidRPr="00CE5DD5">
        <w:rPr>
          <w:rStyle w:val="FootnoteReference"/>
        </w:rPr>
        <w:footnoteReference w:id="1252"/>
      </w:r>
      <w:r w:rsidRPr="00CE5DD5">
        <w:t xml:space="preserve"> The on-the-day approach is the longstanding return on debt approach adopted by us and generally by other regulators in Australia.</w:t>
      </w:r>
      <w:r w:rsidRPr="00CE5DD5">
        <w:rPr>
          <w:rStyle w:val="FootnoteReference"/>
        </w:rPr>
        <w:footnoteReference w:id="1253"/>
      </w:r>
      <w:r w:rsidRPr="00CE5DD5">
        <w:t xml:space="preserve"> While the NER</w:t>
      </w:r>
      <w:r w:rsidR="001E6895">
        <w:t xml:space="preserve"> and </w:t>
      </w:r>
      <w:r w:rsidRPr="00CE5DD5">
        <w:t>NGR no longer mandate that we adopt this approach, they still make it available to us.</w:t>
      </w:r>
      <w:r w:rsidRPr="00CE5DD5">
        <w:rPr>
          <w:rStyle w:val="FootnoteReference"/>
        </w:rPr>
        <w:footnoteReference w:id="1254"/>
      </w:r>
      <w:r w:rsidRPr="00CE5DD5">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sidRPr="00CE5DD5">
        <w:rPr>
          <w:rStyle w:val="FootnoteReference"/>
        </w:rPr>
        <w:footnoteReference w:id="1255"/>
      </w:r>
    </w:p>
    <w:p w:rsidR="00CE5DD5" w:rsidRPr="00CE5DD5" w:rsidRDefault="00CE5DD5" w:rsidP="00CE5DD5">
      <w:r w:rsidRPr="00CE5DD5">
        <w:t xml:space="preserve">We consider 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CE5DD5">
        <w:rPr>
          <w:rStyle w:val="AERtextunderline"/>
        </w:rPr>
        <w:t>and</w:t>
      </w:r>
      <w:r w:rsidRPr="00CE5DD5">
        <w:t xml:space="preserve"> over each regulatory period (see section </w:t>
      </w:r>
      <w:r w:rsidRPr="00CE5DD5">
        <w:fldChar w:fldCharType="begin"/>
      </w:r>
      <w:r w:rsidRPr="00CE5DD5">
        <w:instrText xml:space="preserve"> REF _Ref444773920 \r \h </w:instrText>
      </w:r>
      <w:r w:rsidRPr="00CE5DD5">
        <w:fldChar w:fldCharType="separate"/>
      </w:r>
      <w:r w:rsidR="00C6448C">
        <w:t>H.3.3</w:t>
      </w:r>
      <w:r w:rsidRPr="00CE5DD5">
        <w:fldChar w:fldCharType="end"/>
      </w:r>
      <w:r w:rsidRPr="00CE5DD5">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CE5DD5">
        <w:rPr>
          <w:rStyle w:val="FootnoteReference"/>
        </w:rPr>
        <w:footnoteReference w:id="1256"/>
      </w:r>
    </w:p>
    <w:p w:rsidR="00CE5DD5" w:rsidRPr="00CE5DD5" w:rsidRDefault="00CE5DD5" w:rsidP="00CE5DD5">
      <w:r w:rsidRPr="00CE5DD5">
        <w:t xml:space="preserve">While we have chosen to move towards a trailing average approach (section </w:t>
      </w:r>
      <w:r w:rsidRPr="00CE5DD5">
        <w:fldChar w:fldCharType="begin"/>
      </w:r>
      <w:r w:rsidRPr="00CE5DD5">
        <w:instrText xml:space="preserve"> REF _Ref444774464 \r \h </w:instrText>
      </w:r>
      <w:r w:rsidRPr="00CE5DD5">
        <w:fldChar w:fldCharType="separate"/>
      </w:r>
      <w:r w:rsidR="00C6448C">
        <w:t>H.3.2</w:t>
      </w:r>
      <w:r w:rsidRPr="00CE5DD5">
        <w:fldChar w:fldCharType="end"/>
      </w:r>
      <w:r w:rsidRPr="00CE5DD5">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CE5DD5" w:rsidRPr="00CE5DD5" w:rsidRDefault="00CE5DD5" w:rsidP="00CE5DD5">
      <w:pPr>
        <w:pStyle w:val="AERbulletlistfirststyle"/>
      </w:pPr>
      <w:r w:rsidRPr="00CE5DD5">
        <w:t>It is consistent with the prevailing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CE5DD5" w:rsidRPr="00CE5DD5" w:rsidRDefault="00CE5DD5" w:rsidP="00CE5DD5">
      <w:pPr>
        <w:pStyle w:val="AERbulletlistfirststyle"/>
      </w:pPr>
      <w:r w:rsidRPr="00CE5DD5">
        <w:t>It leads to an estimate that is likely to more closely imitate the outcomes of a competitive market near the start of the regulatory period than a trailing average approach.</w:t>
      </w:r>
    </w:p>
    <w:p w:rsidR="00CE5DD5" w:rsidRPr="00CE5DD5" w:rsidRDefault="00CE5DD5" w:rsidP="00CE5DD5">
      <w:pPr>
        <w:pStyle w:val="HeadingBoldBlue"/>
      </w:pPr>
      <w:bookmarkStart w:id="354" w:name="_Ref445121562"/>
      <w:r w:rsidRPr="00CE5DD5">
        <w:t>Consistent with prevailing market cost of debt</w:t>
      </w:r>
      <w:bookmarkEnd w:id="354"/>
    </w:p>
    <w:p w:rsidR="00CE5DD5" w:rsidRPr="00CE5DD5" w:rsidRDefault="00CE5DD5" w:rsidP="00CE5DD5">
      <w:r w:rsidRPr="00CE5DD5">
        <w:t xml:space="preserve">As discussed in section </w:t>
      </w:r>
      <w:r w:rsidRPr="00CE5DD5">
        <w:fldChar w:fldCharType="begin"/>
      </w:r>
      <w:r w:rsidRPr="00CE5DD5">
        <w:instrText xml:space="preserve"> REF _Ref446405872 \r \h </w:instrText>
      </w:r>
      <w:r w:rsidRPr="00CE5DD5">
        <w:fldChar w:fldCharType="separate"/>
      </w:r>
      <w:r w:rsidR="00C6448C">
        <w:t>H.1.1</w:t>
      </w:r>
      <w:r w:rsidRPr="00CE5DD5">
        <w:fldChar w:fldCharType="end"/>
      </w:r>
      <w:r w:rsidRPr="00CE5DD5">
        <w:t xml:space="preserve"> and </w:t>
      </w:r>
      <w:r w:rsidRPr="00CE5DD5">
        <w:fldChar w:fldCharType="begin"/>
      </w:r>
      <w:r w:rsidRPr="00CE5DD5">
        <w:instrText xml:space="preserve"> REF _Ref446603900 \r \h </w:instrText>
      </w:r>
      <w:r w:rsidRPr="00CE5DD5">
        <w:fldChar w:fldCharType="separate"/>
      </w:r>
      <w:r w:rsidR="00C6448C">
        <w:t>H.2.1</w:t>
      </w:r>
      <w:r w:rsidRPr="00CE5DD5">
        <w:fldChar w:fldCharType="end"/>
      </w:r>
      <w:r w:rsidRPr="00CE5DD5">
        <w:t xml:space="preserve">, we consider efficient financing costs, for debt and equity, should be based on (appropriately benchmarked) prevailing market rates. As shown mathematically in section </w:t>
      </w:r>
      <w:r w:rsidRPr="00CE5DD5">
        <w:fldChar w:fldCharType="begin"/>
      </w:r>
      <w:r w:rsidRPr="00CE5DD5">
        <w:instrText xml:space="preserve"> REF _Ref444767739 \r \h </w:instrText>
      </w:r>
      <w:r w:rsidRPr="00CE5DD5">
        <w:fldChar w:fldCharType="separate"/>
      </w:r>
      <w:r w:rsidR="00C6448C">
        <w:t>H.3</w:t>
      </w:r>
      <w:r w:rsidRPr="00CE5DD5">
        <w:fldChar w:fldCharType="end"/>
      </w:r>
      <w:r w:rsidRPr="00CE5DD5">
        <w:t>, the on-the-day approach resets the entire allowed rate of return (which includes the return on debt) to reflect, as closely as possible, the prevailing market cost of capital (which includes the cost of debt) at the commencement of each regulatory period.</w:t>
      </w:r>
    </w:p>
    <w:p w:rsidR="00CE5DD5" w:rsidRPr="00CE5DD5" w:rsidRDefault="00CE5DD5" w:rsidP="00CE5DD5">
      <w:r w:rsidRPr="00CE5DD5">
        <w:t>We consider an allowed return on debt that reflects the prevailing market cost of debt promotes efficient investment decisions. When firms make investment decisions, they estimate the cost of capital based on prevailing market rates. This is important because the cost of capital is based on investors’ expectations of future returns.</w:t>
      </w:r>
      <w:r w:rsidRPr="00CE5DD5">
        <w:rPr>
          <w:rStyle w:val="FootnoteReference"/>
        </w:rPr>
        <w:footnoteReference w:id="1257"/>
      </w:r>
      <w:r w:rsidRPr="00CE5DD5">
        <w:t xml:space="preserve"> Firms then use this estimate to set a discount rate at which they discount the expected future cash flows of the proposed investment in order to determine its viability (that is, whether the NPV of the expected cash flows is greater than or equal to zero).</w:t>
      </w:r>
    </w:p>
    <w:p w:rsidR="00CE5DD5" w:rsidRPr="00CE5DD5" w:rsidRDefault="00CE5DD5" w:rsidP="00CE5DD5">
      <w:r w:rsidRPr="00CE5DD5">
        <w:t xml:space="preserve">As discussed in section </w:t>
      </w:r>
      <w:r w:rsidRPr="00CE5DD5">
        <w:fldChar w:fldCharType="begin"/>
      </w:r>
      <w:r w:rsidRPr="00CE5DD5">
        <w:instrText xml:space="preserve"> REF _Ref446603900 \r \h </w:instrText>
      </w:r>
      <w:r w:rsidRPr="00CE5DD5">
        <w:fldChar w:fldCharType="separate"/>
      </w:r>
      <w:r w:rsidR="00C6448C">
        <w:t>H.2.1</w:t>
      </w:r>
      <w:r w:rsidRPr="00CE5DD5">
        <w:fldChar w:fldCharType="end"/>
      </w:r>
      <w:r w:rsidRPr="00CE5DD5">
        <w:t>, we consider the ARORO requires us to set an allowed rate of return for a benchmark efficient entity such that the return on its investment in its RAB equals its efficient cost (that is, the zero NPV investment condition). The prevailing market cost of capital is the only discount rate that sets the present value of expected future cash flows equal to the RAB. In its 2012 report to the AEMC, SFG summarised this point by stating:</w:t>
      </w:r>
      <w:r w:rsidRPr="00CE5DD5">
        <w:rPr>
          <w:rStyle w:val="FootnoteReference"/>
        </w:rPr>
        <w:footnoteReference w:id="1258"/>
      </w:r>
    </w:p>
    <w:p w:rsidR="00CE5DD5" w:rsidRPr="00CE5DD5" w:rsidRDefault="00CE5DD5" w:rsidP="00CE5DD5">
      <w:pPr>
        <w:pStyle w:val="AERquote"/>
      </w:pPr>
      <w:r w:rsidRPr="00CE5DD5">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CE5DD5" w:rsidRPr="00CE5DD5" w:rsidRDefault="00CE5DD5" w:rsidP="00CC7A1C">
      <w:pPr>
        <w:numPr>
          <w:ilvl w:val="0"/>
          <w:numId w:val="24"/>
        </w:numPr>
      </w:pPr>
      <w:r w:rsidRPr="00CE5DD5">
        <w:t>Similarly, Partington and Satchell (who recommend the on-the-day approach) stated:</w:t>
      </w:r>
      <w:r w:rsidRPr="00CE5DD5">
        <w:rPr>
          <w:rStyle w:val="FootnoteReference"/>
        </w:rPr>
        <w:footnoteReference w:id="1259"/>
      </w:r>
    </w:p>
    <w:p w:rsidR="00CE5DD5" w:rsidRPr="00CE5DD5" w:rsidRDefault="00CE5DD5" w:rsidP="00CE5DD5">
      <w:pPr>
        <w:pStyle w:val="AERquote"/>
      </w:pPr>
      <w:r w:rsidRPr="00CE5DD5">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CE5DD5" w:rsidRPr="00CE5DD5" w:rsidRDefault="00CE5DD5" w:rsidP="00CC7A1C">
      <w:pPr>
        <w:numPr>
          <w:ilvl w:val="0"/>
          <w:numId w:val="24"/>
        </w:numPr>
      </w:pPr>
      <w:r w:rsidRPr="00CE5DD5">
        <w:t>Therefore, we consider the on-the-day approach provides an appropriate signal for investment decisions made near the commencement of the regulatory period. We consider this would promote efficient investment decisions that increase dynamic efficiency. Partington and Satchell also argue in their reports to the AER, in terms of investment efficiency, it would be better to maintain the on the day approach rather than move to a trailing average, even with a transition.</w:t>
      </w:r>
      <w:r w:rsidRPr="00CE5DD5">
        <w:rPr>
          <w:rStyle w:val="FootnoteReference"/>
        </w:rPr>
        <w:footnoteReference w:id="1260"/>
      </w:r>
      <w:r w:rsidRPr="00CE5DD5">
        <w:t xml:space="preserve"> This aligns with the AEMC's view that:</w:t>
      </w:r>
      <w:r w:rsidRPr="00CE5DD5">
        <w:rPr>
          <w:rStyle w:val="FootnoteReference"/>
        </w:rPr>
        <w:footnoteReference w:id="1261"/>
      </w:r>
    </w:p>
    <w:p w:rsidR="00CE5DD5" w:rsidRPr="00CE5DD5" w:rsidRDefault="00CE5DD5" w:rsidP="00CE5DD5">
      <w:pPr>
        <w:pStyle w:val="AERquote"/>
      </w:pPr>
      <w:r w:rsidRPr="00CE5DD5">
        <w:t>[the return on debt framework] should try to create an incentive for service providers to adopt efficient financing practices and minimise the risk of creating distortions in the service provider's investment decisions.</w:t>
      </w:r>
    </w:p>
    <w:p w:rsidR="00CE5DD5" w:rsidRPr="00CE5DD5" w:rsidRDefault="00CE5DD5" w:rsidP="00CE5DD5">
      <w:r w:rsidRPr="00CE5DD5">
        <w:t>If we were to set the allowed return on debt in a different way, it would no longer be an estimate of the cost of debt (and thus the cost of capital) at the time of the determination or access arrangement. For example, under a trailing average approach, the overall allowed return on debt predominately compensates for historical interest rates, rather than for the risk of providing debt finance in the future.</w:t>
      </w:r>
      <w:r w:rsidRPr="00CE5DD5">
        <w:rPr>
          <w:rStyle w:val="FootnoteReference"/>
        </w:rPr>
        <w:footnoteReference w:id="1262"/>
      </w:r>
      <w:r w:rsidRPr="00CE5DD5">
        <w:t xml:space="preserve">  Only 10 per cent of the allowed return on debt will compensate for the risk of providing debt finance in the future because 10 per cent of the return on debt is updated annually to reflect prevailing interest rates. As discussed in section </w:t>
      </w:r>
      <w:r w:rsidRPr="00CE5DD5">
        <w:fldChar w:fldCharType="begin"/>
      </w:r>
      <w:r w:rsidRPr="00CE5DD5">
        <w:instrText xml:space="preserve"> REF _Ref446603900 \r \h </w:instrText>
      </w:r>
      <w:r w:rsidRPr="00CE5DD5">
        <w:fldChar w:fldCharType="separate"/>
      </w:r>
      <w:r w:rsidR="00C6448C">
        <w:t>H.2.1</w:t>
      </w:r>
      <w:r w:rsidRPr="00CE5DD5">
        <w:fldChar w:fldCharType="end"/>
      </w:r>
      <w:r w:rsidRPr="00CE5DD5">
        <w:t>, this results in a mismatch between the allowed return on debt and the prevailing cost of debt for a benchmark efficient entity at the time of the determination or access arrangement.</w:t>
      </w:r>
    </w:p>
    <w:p w:rsidR="00CE5DD5" w:rsidRPr="00CE5DD5" w:rsidRDefault="00CE5DD5" w:rsidP="00CE5DD5">
      <w:r w:rsidRPr="00CE5DD5">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sidRPr="00CE5DD5">
        <w:rPr>
          <w:rStyle w:val="FootnoteReference"/>
        </w:rPr>
        <w:footnoteReference w:id="1263"/>
      </w:r>
      <w:r w:rsidRPr="00CE5DD5">
        <w:t xml:space="preserve"> </w:t>
      </w:r>
    </w:p>
    <w:p w:rsidR="00CE5DD5" w:rsidRPr="00CE5DD5" w:rsidRDefault="00CE5DD5" w:rsidP="00CE5DD5">
      <w:pPr>
        <w:pStyle w:val="HeadingBoldBlue"/>
      </w:pPr>
      <w:r w:rsidRPr="00CE5DD5">
        <w:t>Imitates the outcomes of a competitive market</w:t>
      </w:r>
    </w:p>
    <w:p w:rsidR="00CE5DD5" w:rsidRPr="00CE5DD5" w:rsidRDefault="00CE5DD5" w:rsidP="00CE5DD5">
      <w:r w:rsidRPr="00CE5DD5">
        <w:t>We consider an allowed return on debt that reflects the prevailing market cost of debt at the time of the determination or access arrangement (that is, an on-the-day approach) is likely to promote economic efficiency because:</w:t>
      </w:r>
    </w:p>
    <w:p w:rsidR="00CE5DD5" w:rsidRPr="00CE5DD5" w:rsidRDefault="00CE5DD5" w:rsidP="00CE5DD5">
      <w:pPr>
        <w:pStyle w:val="AERbulletlistfirststyle"/>
      </w:pPr>
      <w:r w:rsidRPr="00CE5DD5">
        <w:t>Productive efficiency refers to least cost financing (that is, the lowest required return on debt). An allowed return on debt that reflects the (appropriately benchmarked) prevailing market cost of debt will likely promote productive efficiency. This is because a benchmark efficient entity faces competitive prices in the market for funds.</w:t>
      </w:r>
    </w:p>
    <w:p w:rsidR="00CE5DD5" w:rsidRPr="00CE5DD5" w:rsidRDefault="00CE5DD5" w:rsidP="00CE5DD5">
      <w:pPr>
        <w:pStyle w:val="AERbulletlistfirststyle"/>
      </w:pPr>
      <w:r w:rsidRPr="00CE5DD5">
        <w:t>Allocative efficiency refers to the allowed return on debt reflecting investors' opportunity cost of debt for investments of similar risk. The prevailing market cost of debt at any given time is likely to reflect investors' opportunity cost. This is because the market for capital finance is competitive with many buyers and sellers.</w:t>
      </w:r>
    </w:p>
    <w:p w:rsidR="00CE5DD5" w:rsidRPr="00CE5DD5" w:rsidRDefault="00CE5DD5" w:rsidP="00CE5DD5">
      <w:pPr>
        <w:pStyle w:val="AERbulletlistfirststyle"/>
      </w:pPr>
      <w:r w:rsidRPr="00CE5DD5">
        <w:t xml:space="preserve">Dynamic efficiency refers to the existence of appropriate investment incentives. As discussed above, a return on debt that reflects the prevailing market cost of debt provides an appropriate signal for new investment and promotes efficient investment decisions. </w:t>
      </w:r>
    </w:p>
    <w:p w:rsidR="00CE5DD5" w:rsidRPr="00CE5DD5" w:rsidRDefault="00CE5DD5" w:rsidP="00CE5DD5">
      <w:r w:rsidRPr="00CE5DD5">
        <w:t>Moreover, a return on debt that better reflects the prevailing market cost of debt more closely imitates the outcomes of a competitive market. This is because the current market cost of debt reflects investors' opportunity cost of debt for investments of similar risk.</w:t>
      </w:r>
      <w:r w:rsidRPr="00CE5DD5" w:rsidDel="004F070F">
        <w:t xml:space="preserve"> </w:t>
      </w:r>
    </w:p>
    <w:p w:rsidR="00CE5DD5" w:rsidRPr="00CE5DD5" w:rsidRDefault="00CE5DD5" w:rsidP="00CE5DD5">
      <w:r w:rsidRPr="00CE5DD5">
        <w:t>The current market cost of debt represents the costs that other service providers will face to enter the market. The on-the-day approach is more consistent than the trailing average approach with the theory that prices in a competitive market would be constrained by the entry, or threat of entry, of new providers. This is because in a competitive market, prices are theoretically constrained by entry or the threat of entry.</w:t>
      </w:r>
      <w:r w:rsidRPr="00CE5DD5">
        <w:rPr>
          <w:rStyle w:val="FootnoteReference"/>
        </w:rPr>
        <w:footnoteReference w:id="1264"/>
      </w:r>
      <w:r w:rsidRPr="00CE5DD5">
        <w:t xml:space="preserve"> As observed by HoustonKemp:</w:t>
      </w:r>
      <w:r w:rsidRPr="00CE5DD5">
        <w:rPr>
          <w:rStyle w:val="FootnoteReference"/>
        </w:rPr>
        <w:footnoteReference w:id="1265"/>
      </w:r>
    </w:p>
    <w:p w:rsidR="00CE5DD5" w:rsidRPr="00CE5DD5" w:rsidRDefault="00CE5DD5" w:rsidP="00CE5DD5">
      <w:pPr>
        <w:pStyle w:val="AERquote"/>
      </w:pPr>
      <w:r w:rsidRPr="00CE5DD5">
        <w:t>when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CE5DD5" w:rsidRPr="00CE5DD5" w:rsidRDefault="00CE5DD5" w:rsidP="00CE5DD5">
      <w:r w:rsidRPr="00CE5DD5">
        <w:t>Similarly, Chairmont captured this concept when it advised:</w:t>
      </w:r>
      <w:r w:rsidRPr="00CE5DD5">
        <w:rPr>
          <w:rStyle w:val="FootnoteReference"/>
        </w:rPr>
        <w:footnoteReference w:id="1266"/>
      </w:r>
    </w:p>
    <w:p w:rsidR="00CE5DD5" w:rsidRPr="00CE5DD5" w:rsidRDefault="00CE5DD5" w:rsidP="00CE5DD5">
      <w:pPr>
        <w:pStyle w:val="AERquote"/>
      </w:pPr>
      <w:r w:rsidRPr="00CE5DD5">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CE5DD5" w:rsidRPr="00CE5DD5" w:rsidRDefault="00CE5DD5" w:rsidP="00CE5DD5">
      <w:r w:rsidRPr="00CE5DD5">
        <w:t>We also note that Partington and Satchell considered the on-the-day approach is consistent with competitive market outcomes, stating:</w:t>
      </w:r>
      <w:r w:rsidRPr="00CE5DD5">
        <w:rPr>
          <w:rStyle w:val="FootnoteReference"/>
        </w:rPr>
        <w:footnoteReference w:id="1267"/>
      </w:r>
    </w:p>
    <w:p w:rsidR="00CE5DD5" w:rsidRPr="00CE5DD5" w:rsidRDefault="00CE5DD5" w:rsidP="00CE5DD5">
      <w:pPr>
        <w:pStyle w:val="AERquote"/>
      </w:pPr>
      <w:r w:rsidRPr="00CE5DD5">
        <w:t>The equilibrium in a competitive market is that investments in assets are zero NPV. This implies that firms can expect to recover the current cost of capital, which in the form of the WACC includes the current cost of debt.</w:t>
      </w:r>
    </w:p>
    <w:p w:rsidR="00CE5DD5" w:rsidRPr="00CE5DD5" w:rsidRDefault="00CE5DD5" w:rsidP="00CE5DD5">
      <w:pPr>
        <w:pStyle w:val="Heading9"/>
      </w:pPr>
      <w:bookmarkStart w:id="355" w:name="_Ref444774464"/>
      <w:bookmarkStart w:id="356" w:name="_Toc451947841"/>
      <w:r w:rsidRPr="00CE5DD5">
        <w:t>Trailing average approach</w:t>
      </w:r>
      <w:bookmarkEnd w:id="355"/>
      <w:bookmarkEnd w:id="356"/>
    </w:p>
    <w:p w:rsidR="00CE5DD5" w:rsidRPr="00CE5DD5" w:rsidRDefault="00CE5DD5" w:rsidP="00CC7A1C">
      <w:pPr>
        <w:numPr>
          <w:ilvl w:val="0"/>
          <w:numId w:val="24"/>
        </w:numPr>
      </w:pPr>
      <w:r w:rsidRPr="00CE5DD5">
        <w:t>The trailing average approach estimates the allowed return on debt for a service provider as an average of the cost of debt over 10 years (which is annually updated). This approach is available to us under the NER/NGR.</w:t>
      </w:r>
      <w:r w:rsidRPr="00CE5DD5">
        <w:rPr>
          <w:rStyle w:val="FootnoteReference"/>
        </w:rPr>
        <w:footnoteReference w:id="1268"/>
      </w:r>
    </w:p>
    <w:p w:rsidR="00CE5DD5" w:rsidRPr="00CE5DD5" w:rsidRDefault="00CE5DD5" w:rsidP="00CC7A1C">
      <w:pPr>
        <w:numPr>
          <w:ilvl w:val="0"/>
          <w:numId w:val="24"/>
        </w:numPr>
      </w:pPr>
      <w:r w:rsidRPr="00CE5DD5">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rsidRPr="00CE5DD5">
        <w:fldChar w:fldCharType="begin"/>
      </w:r>
      <w:r w:rsidRPr="00CE5DD5">
        <w:instrText xml:space="preserve"> REF _Ref444773920 \r \h </w:instrText>
      </w:r>
      <w:r w:rsidRPr="00CE5DD5">
        <w:fldChar w:fldCharType="separate"/>
      </w:r>
      <w:r w:rsidR="00C6448C">
        <w:t>H.3.3</w:t>
      </w:r>
      <w:r w:rsidRPr="00CE5DD5">
        <w:fldChar w:fldCharType="end"/>
      </w:r>
      <w:r w:rsidRPr="00CE5DD5">
        <w:t>.</w:t>
      </w:r>
    </w:p>
    <w:p w:rsidR="00CE5DD5" w:rsidRPr="00CE5DD5" w:rsidRDefault="00CE5DD5" w:rsidP="00CE5DD5">
      <w:r w:rsidRPr="00CE5DD5">
        <w:t>Further, the trailing average approach may have particular benefits that an on-the-day approach cannot achieve. For instance, when it advised the AEMC, SFG stated that 'if it can be demonstrated that the benefits of a regulated rate of return which is less variable over time outweigh the costs associated with investment distortions, then a trailing average should be considered'.</w:t>
      </w:r>
      <w:r w:rsidRPr="00CE5DD5">
        <w:rPr>
          <w:rStyle w:val="FootnoteReference"/>
        </w:rPr>
        <w:footnoteReference w:id="1269"/>
      </w:r>
      <w:r w:rsidRPr="00CE5DD5">
        <w:t xml:space="preserve"> The potential benefits mainly relate to smoother prices and a potentially reduced mismatch between a benchmark efficient entity's actual debt cost outcomes (or cash outflows) and the allowed return on debt (see section </w:t>
      </w:r>
      <w:r w:rsidRPr="00CE5DD5">
        <w:fldChar w:fldCharType="begin"/>
      </w:r>
      <w:r w:rsidRPr="00CE5DD5">
        <w:instrText xml:space="preserve"> REF _Ref446603900 \r \h </w:instrText>
      </w:r>
      <w:r w:rsidRPr="00CE5DD5">
        <w:fldChar w:fldCharType="separate"/>
      </w:r>
      <w:r w:rsidR="00C6448C">
        <w:t>H.2.1</w:t>
      </w:r>
      <w:r w:rsidRPr="00CE5DD5">
        <w:fldChar w:fldCharType="end"/>
      </w:r>
      <w:r w:rsidRPr="00CE5DD5">
        <w:t>), which we discuss further below.</w:t>
      </w:r>
    </w:p>
    <w:p w:rsidR="00CE5DD5" w:rsidRPr="00CE5DD5" w:rsidRDefault="00CE5DD5" w:rsidP="00CE5DD5">
      <w:r w:rsidRPr="00CE5DD5">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CE5DD5" w:rsidRPr="00CE5DD5" w:rsidRDefault="00CE5DD5" w:rsidP="00CE5DD5">
      <w:pPr>
        <w:pStyle w:val="HeadingBoldBlue"/>
      </w:pPr>
      <w:r w:rsidRPr="00CE5DD5">
        <w:t>Reduced mismatch</w:t>
      </w:r>
    </w:p>
    <w:p w:rsidR="00CE5DD5" w:rsidRPr="00CE5DD5" w:rsidRDefault="00CE5DD5" w:rsidP="00CE5DD5">
      <w:r w:rsidRPr="00CE5DD5">
        <w:t xml:space="preserve">In section </w:t>
      </w:r>
      <w:r w:rsidRPr="00CE5DD5">
        <w:fldChar w:fldCharType="begin"/>
      </w:r>
      <w:r w:rsidRPr="00CE5DD5">
        <w:instrText xml:space="preserve"> REF _Ref446603900 \r \h </w:instrText>
      </w:r>
      <w:r w:rsidRPr="00CE5DD5">
        <w:fldChar w:fldCharType="separate"/>
      </w:r>
      <w:r w:rsidR="00C6448C">
        <w:t>H.2.1</w:t>
      </w:r>
      <w:r w:rsidRPr="00CE5DD5">
        <w:fldChar w:fldCharType="end"/>
      </w:r>
      <w:r w:rsidRPr="00CE5DD5">
        <w:t>, we introduce and discuss the concept of an ex-post 'mismatch' between a benchmark efficient entity's actual debt cost outcomes (or cash outflows) and the regulatory return on debt allowance in determining the allowed return on debt. We consider an ex-post mismatch can occur for a number of reasons, including because a benchmark efficient entity does not (or cannot) engage in debt financing practices that result in debt cash outflows that match the regulatory return on debt allowance. We explain this below in the context of comparing the trailing average with the on-the-day approach to estimating the return on debt.</w:t>
      </w:r>
    </w:p>
    <w:p w:rsidR="00CE5DD5" w:rsidRPr="00CE5DD5" w:rsidRDefault="00CE5DD5" w:rsidP="00CE5DD5">
      <w:r w:rsidRPr="00CE5DD5">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sidRPr="00CE5DD5">
        <w:rPr>
          <w:rStyle w:val="FootnoteReference"/>
        </w:rPr>
        <w:footnoteReference w:id="1270"/>
      </w:r>
      <w:r w:rsidRPr="00CE5DD5">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CE5DD5" w:rsidRPr="00CE5DD5" w:rsidRDefault="00CE5DD5" w:rsidP="00CE5DD5">
      <w:r w:rsidRPr="00CE5DD5">
        <w:t>In contrast to the on-the-day approach, a trailing average approach is expected to better account for a benchmark efficient entity's actual (cash) debt costs within a regulatory period because it provides service providers with a return on debt allowance that they can more readily match each regulatory period.</w:t>
      </w:r>
      <w:r w:rsidRPr="00CE5DD5">
        <w:rPr>
          <w:rStyle w:val="FootnoteReference"/>
        </w:rPr>
        <w:footnoteReference w:id="1271"/>
      </w:r>
      <w:r w:rsidRPr="00CE5DD5">
        <w:t xml:space="preserve"> As such, this will likely reduce the mismatch between actual debt interest costs of regulated firms and the regulated return on debt allowance.</w:t>
      </w:r>
      <w:r w:rsidRPr="00CE5DD5">
        <w:rPr>
          <w:rStyle w:val="FootnoteReference"/>
        </w:rPr>
        <w:footnoteReference w:id="1272"/>
      </w:r>
      <w:r w:rsidRPr="00CE5DD5">
        <w:t xml:space="preserve"> Given that a trailing average approach reduces the risk of cash flow mismatch (a form of interest rate risk), it might better lead to productive efficiency. All else being equal, this reduced risk and the reduced need to enter hedging arrangements might lower the cost of financing. Partington and Satchell proposed that a motivation that has been advanced for the switch to the trailing average is that there will be less volatility in revenue and prices. In the case of the switch to a trailing average, while the physical assets may remain unchanged, the expected cash flows from revenue are changed. Ceteris Paribus, the risk of the assets will fall and hence the required return will fall.</w:t>
      </w:r>
      <w:r w:rsidRPr="00CE5DD5">
        <w:rPr>
          <w:rStyle w:val="FootnoteReference"/>
        </w:rPr>
        <w:footnoteReference w:id="1273"/>
      </w:r>
    </w:p>
    <w:p w:rsidR="00CE5DD5" w:rsidRPr="00CE5DD5" w:rsidRDefault="00CE5DD5" w:rsidP="00CE5DD5">
      <w:r w:rsidRPr="00CE5DD5">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rsidRPr="00CE5DD5">
        <w:fldChar w:fldCharType="begin"/>
      </w:r>
      <w:r w:rsidRPr="00CE5DD5">
        <w:instrText xml:space="preserve"> REF _Ref446603900 \r \h </w:instrText>
      </w:r>
      <w:r w:rsidRPr="00CE5DD5">
        <w:fldChar w:fldCharType="separate"/>
      </w:r>
      <w:r w:rsidR="00C6448C">
        <w:t>H.2.1</w:t>
      </w:r>
      <w:r w:rsidRPr="00CE5DD5">
        <w:fldChar w:fldCharType="end"/>
      </w:r>
      <w:r w:rsidRPr="00CE5DD5">
        <w:t xml:space="preserve"> and </w:t>
      </w:r>
      <w:r w:rsidRPr="00CE5DD5">
        <w:fldChar w:fldCharType="begin"/>
      </w:r>
      <w:r w:rsidRPr="00CE5DD5">
        <w:instrText xml:space="preserve"> REF _Ref444773920 \r \h </w:instrText>
      </w:r>
      <w:r w:rsidRPr="00CE5DD5">
        <w:fldChar w:fldCharType="separate"/>
      </w:r>
      <w:r w:rsidR="00C6448C">
        <w:t>H.3.3</w:t>
      </w:r>
      <w:r w:rsidRPr="00CE5DD5">
        <w:fldChar w:fldCharType="end"/>
      </w:r>
      <w:r w:rsidRPr="00CE5DD5">
        <w:t xml:space="preserve">). </w:t>
      </w:r>
    </w:p>
    <w:p w:rsidR="00CE5DD5" w:rsidRPr="00CE5DD5" w:rsidRDefault="00CE5DD5" w:rsidP="00CE5DD5">
      <w:pPr>
        <w:pStyle w:val="Heading9"/>
      </w:pPr>
      <w:bookmarkStart w:id="357" w:name="_Ref444773920"/>
      <w:bookmarkStart w:id="358" w:name="_Ref448326736"/>
      <w:bookmarkStart w:id="359" w:name="_Toc451947842"/>
      <w:r w:rsidRPr="00CE5DD5">
        <w:t>Mathematical explanation</w:t>
      </w:r>
      <w:bookmarkEnd w:id="357"/>
      <w:bookmarkEnd w:id="358"/>
      <w:bookmarkEnd w:id="359"/>
    </w:p>
    <w:p w:rsidR="00CE5DD5" w:rsidRPr="00CE5DD5" w:rsidRDefault="00CE5DD5" w:rsidP="00CE5DD5">
      <w:r w:rsidRPr="00CE5DD5">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CE5DD5" w:rsidRPr="00CE5DD5" w:rsidRDefault="00CE5DD5" w:rsidP="00CE5DD5">
      <w:pPr>
        <w:pStyle w:val="AERbulletlistfirststyle"/>
      </w:pPr>
      <w:r w:rsidRPr="00CE5DD5">
        <w:t>The on-the-day approach service providers with the reasonable opportunity to recover at least efficient costs over each regulatory period and over the term of the RAB.</w:t>
      </w:r>
      <w:r w:rsidRPr="00CE5DD5">
        <w:rPr>
          <w:rStyle w:val="FootnoteReference"/>
        </w:rPr>
        <w:footnoteReference w:id="1274"/>
      </w:r>
    </w:p>
    <w:p w:rsidR="00CE5DD5" w:rsidRPr="00CE5DD5" w:rsidRDefault="00CE5DD5" w:rsidP="00CE5DD5">
      <w:pPr>
        <w:pStyle w:val="AERbulletlistfirststyle"/>
      </w:pPr>
      <w:r w:rsidRPr="00CE5DD5">
        <w:t>The trailing average approach provides service providers with the reasonable opportunity to recover at least efficient costs over the term of the RAB.</w:t>
      </w:r>
    </w:p>
    <w:p w:rsidR="00CE5DD5" w:rsidRPr="00CE5DD5" w:rsidRDefault="00CE5DD5" w:rsidP="00CE5DD5">
      <w:r w:rsidRPr="00CE5DD5">
        <w:t xml:space="preserve">If switching between regimes, a full transition provides </w:t>
      </w:r>
      <w:r w:rsidR="0002321D">
        <w:t xml:space="preserve">service providers </w:t>
      </w:r>
      <w:r w:rsidRPr="00CE5DD5">
        <w:t xml:space="preserve">with </w:t>
      </w:r>
      <w:r w:rsidR="0002321D">
        <w:t>a</w:t>
      </w:r>
      <w:r w:rsidR="0002321D" w:rsidRPr="00CE5DD5">
        <w:t xml:space="preserve"> </w:t>
      </w:r>
      <w:r w:rsidRPr="00CE5DD5">
        <w:t>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CE5DD5" w:rsidRPr="00CE5DD5" w:rsidRDefault="00CE5DD5" w:rsidP="00CE5DD5">
      <w:r w:rsidRPr="00CE5DD5">
        <w:t>We use the following notation:</w:t>
      </w:r>
    </w:p>
    <w:p w:rsidR="00CE5DD5" w:rsidRPr="00CE5DD5" w:rsidRDefault="004A6459" w:rsidP="00CE5DD5">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CE5DD5" w:rsidRPr="00CE5DD5">
        <w:t xml:space="preserve"> denotes net operating cash flows for year </w:t>
      </w:r>
      <m:oMath>
        <m:r>
          <w:rPr>
            <w:rFonts w:ascii="Cambria Math" w:hAnsi="Cambria Math"/>
          </w:rPr>
          <m:t>t</m:t>
        </m:r>
        <m:r>
          <w:rPr>
            <w:rStyle w:val="FootnoteReference"/>
            <w:rFonts w:ascii="Cambria Math" w:hAnsi="Cambria Math"/>
            <w:i/>
          </w:rPr>
          <w:footnoteReference w:id="1275"/>
        </m:r>
      </m:oMath>
      <w:r w:rsidR="00CE5DD5" w:rsidRPr="00CE5DD5">
        <w:t>―that is, revenue less operating  expenditure (opex).</w:t>
      </w:r>
      <w:r w:rsidR="00CE5DD5" w:rsidRPr="00CE5DD5">
        <w:rPr>
          <w:rStyle w:val="FootnoteReference"/>
        </w:rPr>
        <w:footnoteReference w:id="1276"/>
      </w:r>
      <w:r w:rsidR="00CE5DD5" w:rsidRPr="00CE5DD5">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CE5DD5" w:rsidRPr="00CE5DD5">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CE5DD5" w:rsidRPr="00CE5DD5">
        <w:t xml:space="preserve">is the return on capital cash flow. </w:t>
      </w:r>
    </w:p>
    <w:p w:rsidR="00CE5DD5" w:rsidRPr="00CE5DD5" w:rsidRDefault="004A6459" w:rsidP="00CE5DD5">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CE5DD5" w:rsidRPr="00CE5DD5">
        <w:t xml:space="preserve"> is the allowed rate of return (which is reset periodically).</w:t>
      </w:r>
      <w:r w:rsidR="00CE5DD5" w:rsidRPr="00CE5DD5">
        <w:rPr>
          <w:rStyle w:val="FootnoteReference"/>
        </w:rPr>
        <w:footnoteReference w:id="1277"/>
      </w:r>
    </w:p>
    <w:p w:rsidR="00CE5DD5" w:rsidRPr="00CE5DD5" w:rsidRDefault="004A6459" w:rsidP="00CE5DD5">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CE5DD5" w:rsidRPr="00CE5DD5">
        <w:t xml:space="preserve"> is the closing RAB at the end of year </w:t>
      </w:r>
      <m:oMath>
        <m:r>
          <w:rPr>
            <w:rFonts w:ascii="Cambria Math" w:hAnsi="Cambria Math"/>
          </w:rPr>
          <m:t>t</m:t>
        </m:r>
      </m:oMath>
      <w:r w:rsidR="00CE5DD5" w:rsidRPr="00CE5DD5">
        <w:t xml:space="preserve"> (which equals the opening RAB at the beginning of year </w:t>
      </w:r>
      <m:oMath>
        <m:r>
          <w:rPr>
            <w:rFonts w:ascii="Cambria Math" w:hAnsi="Cambria Math"/>
          </w:rPr>
          <m:t>t+1</m:t>
        </m:r>
      </m:oMath>
      <w:r w:rsidR="00CE5DD5" w:rsidRPr="00CE5DD5">
        <w:t>).</w:t>
      </w:r>
    </w:p>
    <w:p w:rsidR="00CE5DD5" w:rsidRPr="00CE5DD5" w:rsidRDefault="004A6459" w:rsidP="00CE5DD5">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CE5DD5" w:rsidRPr="00CE5DD5">
        <w:t xml:space="preserve">is the ex-ante cost of capital prevailing in the market for the investment at time </w:t>
      </w:r>
      <m:oMath>
        <m:r>
          <w:rPr>
            <w:rFonts w:ascii="Cambria Math" w:hAnsi="Cambria Math"/>
          </w:rPr>
          <m:t>i</m:t>
        </m:r>
      </m:oMath>
      <w:r w:rsidR="00CE5DD5" w:rsidRPr="00CE5DD5">
        <w:t>,</w:t>
      </w:r>
      <w:r w:rsidR="00CE5DD5" w:rsidRPr="00CE5DD5">
        <w:rPr>
          <w:rStyle w:val="FootnoteReference"/>
        </w:rPr>
        <w:footnoteReference w:id="1278"/>
      </w:r>
      <w:r w:rsidR="00CE5DD5" w:rsidRPr="00CE5DD5">
        <w:t xml:space="preserve"> with a term of </w:t>
      </w:r>
      <m:oMath>
        <m:r>
          <w:rPr>
            <w:rFonts w:ascii="Cambria Math" w:hAnsi="Cambria Math"/>
          </w:rPr>
          <m:t>j</m:t>
        </m:r>
      </m:oMath>
      <w:r w:rsidR="00CE5DD5" w:rsidRPr="00CE5DD5">
        <w:t xml:space="preserve"> years—used to discount the expected cash flows.</w:t>
      </w:r>
    </w:p>
    <w:p w:rsidR="00CE5DD5" w:rsidRPr="00CE5DD5" w:rsidRDefault="00CE5DD5" w:rsidP="00CE5DD5">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CE5DD5">
        <w:t xml:space="preserve"> denotes expected value.</w:t>
      </w:r>
    </w:p>
    <w:p w:rsidR="00CE5DD5" w:rsidRPr="00CE5DD5" w:rsidRDefault="004A6459" w:rsidP="00CE5DD5">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CE5DD5" w:rsidRPr="00CE5DD5">
        <w:t xml:space="preserve"> denotes present value, at year t (can also be referred to as market value). </w:t>
      </w:r>
    </w:p>
    <w:p w:rsidR="00CE5DD5" w:rsidRPr="00CE5DD5" w:rsidRDefault="00CE5DD5" w:rsidP="00CE5DD5">
      <w:r w:rsidRPr="00CE5DD5">
        <w:t>For simplicity, we assume within-period investment equals depreciation in all periods prior to the end of the term of the RAB (year</w:t>
      </w:r>
      <m:oMath>
        <m:r>
          <w:rPr>
            <w:rFonts w:ascii="Cambria Math" w:hAnsi="Cambria Math"/>
          </w:rPr>
          <m:t xml:space="preserve"> t=T</m:t>
        </m:r>
      </m:oMath>
      <w:r w:rsidRPr="00CE5DD5">
        <w:t>),</w:t>
      </w:r>
      <w:r w:rsidRPr="00CE5DD5">
        <w:rPr>
          <w:rStyle w:val="FootnoteReference"/>
        </w:rPr>
        <w:footnoteReference w:id="1279"/>
      </w:r>
      <w:r w:rsidRPr="00CE5DD5">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CE5DD5">
        <w:t>).</w:t>
      </w:r>
      <w:r w:rsidRPr="00CE5DD5">
        <w:rPr>
          <w:rStyle w:val="FootnoteReference"/>
        </w:rPr>
        <w:footnoteReference w:id="1280"/>
      </w:r>
      <w:r w:rsidRPr="00CE5DD5">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rsidRPr="00CE5DD5">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CE5DD5">
        <w:t xml:space="preserve"> is depreciation (or return of capital) for year </w:t>
      </w:r>
      <m:oMath>
        <m:r>
          <w:rPr>
            <w:rFonts w:ascii="Cambria Math" w:hAnsi="Cambria Math"/>
          </w:rPr>
          <m:t>t</m:t>
        </m:r>
      </m:oMath>
      <w:r w:rsidRPr="00CE5DD5">
        <w:t xml:space="preserve">. </w:t>
      </w:r>
    </w:p>
    <w:p w:rsidR="00CE5DD5" w:rsidRPr="00CE5DD5" w:rsidRDefault="00CE5DD5" w:rsidP="00CE5DD5">
      <w:r w:rsidRPr="00CE5DD5">
        <w:t>We note the mathematical explanation in this section is a simplification of reality. We use it to demonstrate the principle that the allowed rate of return should be set (and periodically reset) such that the ex-ante allowed return on (and of) capital cash flows equals the ex-ante cost of a benchmark efficient entity's investment in its RAB (in present value terms). This gives service providers a reasonable opportunity to recover at least efficient financing costs over the term of the RAB. As Brennan (1991) stated:</w:t>
      </w:r>
      <w:r w:rsidRPr="00CE5DD5">
        <w:rPr>
          <w:rStyle w:val="FootnoteReference"/>
        </w:rPr>
        <w:footnoteReference w:id="1281"/>
      </w:r>
    </w:p>
    <w:p w:rsidR="00CE5DD5" w:rsidRPr="00CE5DD5" w:rsidRDefault="00CE5DD5" w:rsidP="00CE5DD5">
      <w:pPr>
        <w:pStyle w:val="AERquote"/>
      </w:pPr>
      <w:r w:rsidRPr="00CE5DD5">
        <w:t>With regard to investor compensation, the basic goal of regulation is to give investors an income stream just sufficient to cover the costs of their assets, and no more</w:t>
      </w:r>
    </w:p>
    <w:p w:rsidR="00CE5DD5" w:rsidRPr="00CE5DD5" w:rsidRDefault="00CE5DD5" w:rsidP="00CE5DD5">
      <w:pPr>
        <w:pStyle w:val="HeadingBoldBlue"/>
      </w:pPr>
      <w:r w:rsidRPr="00CE5DD5">
        <w:t>On-the-day approach</w:t>
      </w:r>
    </w:p>
    <w:p w:rsidR="00CE5DD5" w:rsidRPr="00CE5DD5" w:rsidRDefault="00CE5DD5" w:rsidP="00CE5DD5">
      <w:r w:rsidRPr="00CE5DD5">
        <w:t>For simplicity, assume the term of the risk free rate matches the regulatory period (five years) under the on-the-day approach.</w:t>
      </w:r>
      <w:r w:rsidRPr="00CE5DD5">
        <w:rPr>
          <w:rStyle w:val="FootnoteReference"/>
        </w:rPr>
        <w:footnoteReference w:id="1282"/>
      </w:r>
      <w:r w:rsidRPr="00CE5DD5">
        <w:t xml:space="preserve">  If we provide service providers with a reasonable opportunity to recover at least efficient costs over a regulatory period commencing year </w:t>
      </w:r>
      <m:oMath>
        <m:r>
          <w:rPr>
            <w:rFonts w:ascii="Cambria Math" w:hAnsi="Cambria Math"/>
          </w:rPr>
          <m:t>t</m:t>
        </m:r>
      </m:oMath>
      <w:r w:rsidRPr="00CE5DD5">
        <w:t xml:space="preserve">, then the present value of expected net operating cash flows over this period plus the closing RAB (at </w:t>
      </w:r>
      <m:oMath>
        <m:r>
          <w:rPr>
            <w:rFonts w:ascii="Cambria Math" w:hAnsi="Cambria Math"/>
          </w:rPr>
          <m:t>t+5</m:t>
        </m:r>
      </m:oMath>
      <w:r w:rsidRPr="00CE5DD5">
        <w:t xml:space="preserve">) should equal the opening RAB (at </w:t>
      </w:r>
      <m:oMath>
        <m:r>
          <w:rPr>
            <w:rFonts w:ascii="Cambria Math" w:hAnsi="Cambria Math"/>
          </w:rPr>
          <m:t>t</m:t>
        </m:r>
      </m:oMath>
      <w:r w:rsidRPr="00CE5DD5">
        <w:t xml:space="preserve">). Under our depreciation assumptions, the opening RAB (at </w:t>
      </w:r>
      <m:oMath>
        <m:r>
          <w:rPr>
            <w:rFonts w:ascii="Cambria Math" w:hAnsi="Cambria Math"/>
          </w:rPr>
          <m:t>t</m:t>
        </m:r>
      </m:oMath>
      <w:r w:rsidRPr="00CE5DD5">
        <w:t xml:space="preserve">) will equal its initial value (at </w:t>
      </w:r>
      <m:oMath>
        <m:r>
          <w:rPr>
            <w:rFonts w:ascii="Cambria Math" w:hAnsi="Cambria Math"/>
          </w:rPr>
          <m:t>t=0</m:t>
        </m:r>
      </m:oMath>
      <w:r w:rsidRPr="00CE5DD5">
        <w:t>).</w:t>
      </w:r>
    </w:p>
    <w:p w:rsidR="00CE5DD5" w:rsidRPr="00CE5DD5" w:rsidRDefault="00CE5DD5" w:rsidP="00CE5DD5">
      <w:r w:rsidRPr="00CE5DD5">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CE5DD5">
        <w:t>)</w:t>
      </w:r>
      <w:r w:rsidRPr="00CE5DD5">
        <w:rPr>
          <w:rStyle w:val="FootnoteReference"/>
        </w:rPr>
        <w:footnoteReference w:id="1283"/>
      </w:r>
      <w:r w:rsidRPr="00CE5DD5">
        <w:t xml:space="preserve"> at the commencement of each regulatory period. We show this below: </w:t>
      </w:r>
    </w:p>
    <w:p w:rsidR="00CE5DD5" w:rsidRPr="00CE5DD5" w:rsidRDefault="004A6459" w:rsidP="00CE5DD5">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CE5DD5" w:rsidRPr="00CE5DD5" w:rsidRDefault="00CE5DD5" w:rsidP="00CE5DD5">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284"/>
          </m:r>
        </m:oMath>
      </m:oMathPara>
    </w:p>
    <w:p w:rsidR="00CE5DD5" w:rsidRPr="00CE5DD5" w:rsidRDefault="00CE5DD5" w:rsidP="00CE5DD5">
      <w:r w:rsidRPr="00CE5DD5">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rsidRPr="00CE5DD5">
        <w:t>,</w:t>
      </w:r>
      <w:r w:rsidRPr="00CE5DD5">
        <w:rPr>
          <w:rStyle w:val="FootnoteReference"/>
        </w:rPr>
        <w:footnoteReference w:id="1285"/>
      </w:r>
      <w:r w:rsidRPr="00CE5DD5">
        <w:t xml:space="preserve"> and the present value (at time </w:t>
      </w:r>
      <m:oMath>
        <m:r>
          <w:rPr>
            <w:rFonts w:ascii="Cambria Math" w:hAnsi="Cambria Math"/>
          </w:rPr>
          <m:t>t+5</m:t>
        </m:r>
      </m:oMath>
      <w:r w:rsidRPr="00CE5DD5">
        <w:t xml:space="preserve">) of expected future cash flows over the remaining term of the RAB equals the closing RAB at the end of year </w:t>
      </w:r>
      <m:oMath>
        <m:r>
          <w:rPr>
            <w:rFonts w:ascii="Cambria Math" w:hAnsi="Cambria Math"/>
          </w:rPr>
          <m:t>t+5</m:t>
        </m:r>
      </m:oMath>
      <w:r w:rsidRPr="00CE5DD5">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CE5DD5">
        <w:t>).</w:t>
      </w:r>
    </w:p>
    <w:p w:rsidR="00CE5DD5" w:rsidRPr="00CE5DD5" w:rsidRDefault="00CE5DD5" w:rsidP="00CE5DD5">
      <w:r w:rsidRPr="00CE5DD5">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CE5DD5">
        <w:t>, and:</w:t>
      </w:r>
      <w:r w:rsidRPr="00CE5DD5">
        <w:rPr>
          <w:rStyle w:val="FootnoteReference"/>
        </w:rPr>
        <w:footnoteReference w:id="1286"/>
      </w:r>
    </w:p>
    <w:p w:rsidR="00CE5DD5" w:rsidRPr="00CE5DD5" w:rsidRDefault="004A6459" w:rsidP="00CE5DD5">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CE5DD5" w:rsidRPr="00CE5DD5" w:rsidRDefault="00CE5DD5" w:rsidP="00CE5DD5">
      <w:pPr>
        <w:pStyle w:val="ListContinue"/>
      </w:pPr>
      <w:r w:rsidRPr="00CE5DD5">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CE5DD5" w:rsidRPr="00CE5DD5" w:rsidRDefault="004A6459" w:rsidP="00CE5DD5">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CE5DD5" w:rsidRPr="00CE5DD5" w:rsidRDefault="00CE5DD5" w:rsidP="00CE5DD5">
      <w:r w:rsidRPr="00CE5DD5">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rsidRPr="00CE5DD5">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rsidRPr="00CE5DD5">
        <w:t>:</w:t>
      </w:r>
      <w:r w:rsidRPr="00CE5DD5">
        <w:rPr>
          <w:rStyle w:val="FootnoteReference"/>
        </w:rPr>
        <w:footnoteReference w:id="1287"/>
      </w:r>
    </w:p>
    <w:p w:rsidR="00CE5DD5" w:rsidRPr="00CE5DD5" w:rsidRDefault="004A6459" w:rsidP="00CE5DD5">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CE5DD5" w:rsidRPr="00CE5DD5" w:rsidRDefault="004A6459" w:rsidP="00CE5DD5">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CE5DD5" w:rsidRPr="00CE5DD5" w:rsidRDefault="00CE5DD5" w:rsidP="00CE5DD5">
      <m:oMathPara>
        <m:oMath>
          <m:r>
            <w:rPr>
              <w:rFonts w:ascii="Cambria Math" w:hAnsi="Cambria Math"/>
            </w:rPr>
            <m:t>…</m:t>
          </m:r>
        </m:oMath>
      </m:oMathPara>
    </w:p>
    <w:p w:rsidR="00CE5DD5" w:rsidRPr="00CE5DD5" w:rsidRDefault="004A6459" w:rsidP="00CE5DD5">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CE5DD5" w:rsidRPr="00CE5DD5" w:rsidRDefault="00CE5DD5" w:rsidP="00CE5DD5">
      <w:r w:rsidRPr="00CE5DD5">
        <w:t>The above present value principle should hold under any regulatory period under the on-the-day approach, and therefore should hold over the term of the RAB, which would comprise of multiple regulatory periods.</w:t>
      </w:r>
      <w:r w:rsidRPr="00CE5DD5">
        <w:rPr>
          <w:rStyle w:val="FootnoteReference"/>
        </w:rPr>
        <w:footnoteReference w:id="1288"/>
      </w:r>
      <w:r w:rsidRPr="00CE5DD5">
        <w:t xml:space="preserve"> The allowed rate of return is reset to reflect the (appropriately benchmarked) prevailing market cost of capital at the commencement of each regulatory period. Therefore, the present (or market) value of the RAB is reset to its statutory value (or, under our assumptions, its initial value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 at the commencement of each regulatory period. This is supported by Partington and Satchell.</w:t>
      </w:r>
      <w:r w:rsidRPr="00CE5DD5">
        <w:rPr>
          <w:rStyle w:val="FootnoteReference"/>
        </w:rPr>
        <w:footnoteReference w:id="1289"/>
      </w:r>
      <w:r w:rsidRPr="00CE5DD5">
        <w:t xml:space="preserve"> To this extent, the regulatory regime under an on-the-day approach can be likened to a long term floating rate security where the allowed rate of return is the coupon rate, reset at the start of each regulatory period such that the present (or market) value of the bond equals its par (or face) value.</w:t>
      </w:r>
      <w:r w:rsidRPr="00CE5DD5">
        <w:rPr>
          <w:rStyle w:val="FootnoteReference"/>
        </w:rPr>
        <w:footnoteReference w:id="1290"/>
      </w:r>
    </w:p>
    <w:p w:rsidR="00CE5DD5" w:rsidRPr="00CE5DD5" w:rsidRDefault="00CE5DD5" w:rsidP="00CE5DD5">
      <w:r w:rsidRPr="00CE5DD5">
        <w:t>We consider this section shows the on-the-day approach provides service providers with a reasonable opportunity to recover at least efficient costs.</w:t>
      </w:r>
      <w:r w:rsidRPr="00CE5DD5">
        <w:rPr>
          <w:rStyle w:val="FootnoteReference"/>
        </w:rPr>
        <w:footnoteReference w:id="1291"/>
      </w:r>
      <w:r w:rsidRPr="00CE5DD5">
        <w:t xml:space="preserve"> That is, at the commencement of each regulatory period, the present value of expected future cash flows will equal the RAB. We note that given the ARORO is standalone, the ARORO will be achieved if the present value of expected return on (and of) capital cash flows equal the start-of-period opening RAB.</w:t>
      </w:r>
    </w:p>
    <w:p w:rsidR="00CE5DD5" w:rsidRPr="00CE5DD5" w:rsidRDefault="00CE5DD5" w:rsidP="00CE5DD5">
      <w:pPr>
        <w:pStyle w:val="HeadingBoldBlue"/>
      </w:pPr>
      <w:r w:rsidRPr="00CE5DD5">
        <w:t>Trailing average approach</w:t>
      </w:r>
    </w:p>
    <w:p w:rsidR="00CE5DD5" w:rsidRPr="00CE5DD5" w:rsidRDefault="00CE5DD5" w:rsidP="00CE5DD5">
      <w:r w:rsidRPr="00CE5DD5">
        <w:t>Under the trailing average approach, the service providers would not necessarily have a reasonable opportunity to recover at least efficient costs over a regulatory period. However, the service providers would still have a reasonable opportunity to recover at least efficient costs over the term of the RAB.</w:t>
      </w:r>
    </w:p>
    <w:p w:rsidR="00CE5DD5" w:rsidRPr="00CE5DD5" w:rsidRDefault="00CE5DD5" w:rsidP="00CE5DD5">
      <w:r w:rsidRPr="00CE5DD5">
        <w:t xml:space="preserve">Assume we set the allowed rate of return based on a trailing average return on debt for a particular regulatory period (commencing year </w:t>
      </w:r>
      <m:oMath>
        <m:r>
          <w:rPr>
            <w:rFonts w:ascii="Cambria Math" w:hAnsi="Cambria Math"/>
          </w:rPr>
          <m:t>t</m:t>
        </m:r>
      </m:oMath>
      <w:r w:rsidRPr="00CE5DD5">
        <w:t xml:space="preserve">). As set out above, for the present value principle to hold over the regulatory period commencing year </w:t>
      </w:r>
      <m:oMath>
        <m:r>
          <w:rPr>
            <w:rFonts w:ascii="Cambria Math" w:hAnsi="Cambria Math"/>
          </w:rPr>
          <m:t>t</m:t>
        </m:r>
      </m:oMath>
      <w:r w:rsidRPr="00CE5DD5">
        <w:t xml:space="preserve">, the present value of expected net operating cash flows over this period plus the closing RAB (at </w:t>
      </w:r>
      <m:oMath>
        <m:r>
          <w:rPr>
            <w:rFonts w:ascii="Cambria Math" w:hAnsi="Cambria Math"/>
          </w:rPr>
          <m:t>t+5</m:t>
        </m:r>
      </m:oMath>
      <w:r w:rsidRPr="00CE5DD5">
        <w:t xml:space="preserve">) should equate to the opening RAB (at </w:t>
      </w:r>
      <m:oMath>
        <m:r>
          <w:rPr>
            <w:rFonts w:ascii="Cambria Math" w:hAnsi="Cambria Math"/>
          </w:rPr>
          <m:t>t</m:t>
        </m:r>
      </m:oMath>
      <w:r w:rsidRPr="00CE5DD5">
        <w:t xml:space="preserve">). Under our depreciation assumptions, this should result in the opening RAB (at </w:t>
      </w:r>
      <m:oMath>
        <m:r>
          <w:rPr>
            <w:rFonts w:ascii="Cambria Math" w:hAnsi="Cambria Math"/>
          </w:rPr>
          <m:t>t</m:t>
        </m:r>
      </m:oMath>
      <w:r w:rsidRPr="00CE5DD5">
        <w:t xml:space="preserve">) being equal to its initial value (at </w:t>
      </w:r>
      <m:oMath>
        <m:r>
          <w:rPr>
            <w:rFonts w:ascii="Cambria Math" w:hAnsi="Cambria Math"/>
          </w:rPr>
          <m:t>t=0</m:t>
        </m:r>
      </m:oMath>
      <w:r w:rsidRPr="00CE5DD5">
        <w:t xml:space="preserve">). That is, for the present value principle to hold over a regulatory period commencing year </w:t>
      </w:r>
      <m:oMath>
        <m:r>
          <w:rPr>
            <w:rFonts w:ascii="Cambria Math" w:hAnsi="Cambria Math"/>
          </w:rPr>
          <m:t>t</m:t>
        </m:r>
      </m:oMath>
      <w:r w:rsidRPr="00CE5DD5">
        <w:t>, the following equality must hold:</w:t>
      </w:r>
    </w:p>
    <w:p w:rsidR="00CE5DD5" w:rsidRPr="00CE5DD5" w:rsidRDefault="004A6459" w:rsidP="00CE5DD5">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CE5DD5" w:rsidRPr="00CE5DD5" w:rsidRDefault="00CE5DD5" w:rsidP="00CE5DD5">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CE5DD5" w:rsidRPr="00CE5DD5" w:rsidRDefault="00CE5DD5" w:rsidP="00CE5DD5">
      <w:r w:rsidRPr="00CE5DD5">
        <w:t>where, under an immediate trailing average approach (under our assumptions):</w:t>
      </w:r>
      <w:r w:rsidRPr="00CE5DD5">
        <w:rPr>
          <w:rStyle w:val="FootnoteReference"/>
        </w:rPr>
        <w:footnoteReference w:id="1292"/>
      </w:r>
    </w:p>
    <w:p w:rsidR="00CE5DD5" w:rsidRPr="00CE5DD5" w:rsidRDefault="004A6459" w:rsidP="00CE5DD5">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CE5DD5" w:rsidRPr="00CE5DD5" w:rsidRDefault="00CE5DD5" w:rsidP="00CE5DD5">
      <w:r w:rsidRPr="00CE5DD5">
        <w:tab/>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CE5DD5" w:rsidRPr="00CE5DD5" w:rsidRDefault="00CE5DD5" w:rsidP="00CE5DD5">
      <w:r w:rsidRPr="00CE5DD5">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CE5DD5">
        <w:t>,</w:t>
      </w:r>
      <w:r w:rsidRPr="00CE5DD5">
        <w:rPr>
          <w:rStyle w:val="FootnoteReference"/>
        </w:rPr>
        <w:footnoteReference w:id="1293"/>
      </w:r>
      <w:r w:rsidRPr="00CE5DD5">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CE5DD5">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 xml:space="preserve"> under our assumptions).</w:t>
      </w:r>
      <w:r w:rsidRPr="00CE5DD5">
        <w:rPr>
          <w:rStyle w:val="FootnoteReference"/>
        </w:rPr>
        <w:t xml:space="preserve"> </w:t>
      </w:r>
    </w:p>
    <w:p w:rsidR="00CE5DD5" w:rsidRPr="00CE5DD5" w:rsidRDefault="00CE5DD5" w:rsidP="00CE5DD5">
      <w:r w:rsidRPr="00CE5DD5">
        <w:t>Despite this, we can show the service providers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CE5DD5" w:rsidRPr="00CE5DD5" w:rsidRDefault="00CE5DD5" w:rsidP="00CE5DD5">
      <w:r w:rsidRPr="00CE5DD5">
        <w:t>There are three different components to the trailing average approach: the transition in, the full staggered portfolio, and the transition out at the end of the investment horizon (or end of the term of the RAB). We show these below.</w:t>
      </w:r>
    </w:p>
    <w:p w:rsidR="00CE5DD5" w:rsidRPr="00CE5DD5" w:rsidRDefault="00CE5DD5" w:rsidP="00CE5DD5">
      <w:r w:rsidRPr="00CE5DD5">
        <w:t>The allowed return on equity continues to be reset to reflect the prevailing market cost of equity at the commencement of each regulatory period. Therefore, we can reasonably assume the present value of expected return on equity cash flows equals the equity financed component of the RAB each regulatory period, although Partington and Satchell note there are likely to be complications associated with leverage.</w:t>
      </w:r>
      <w:r w:rsidRPr="00CE5DD5">
        <w:rPr>
          <w:rStyle w:val="FootnoteReference"/>
        </w:rPr>
        <w:footnoteReference w:id="1294"/>
      </w:r>
      <w:r w:rsidRPr="00CE5DD5">
        <w:t xml:space="preserve"> Because of this, in the following sections we focus on the return on debt cash flows and assume, for simplicity, the RAB is 100 per cent debt financed.</w:t>
      </w:r>
    </w:p>
    <w:p w:rsidR="00CE5DD5" w:rsidRPr="00CE5DD5" w:rsidRDefault="00CE5DD5" w:rsidP="00CE5DD5">
      <w:pPr>
        <w:pStyle w:val="HeadingBoldItalic"/>
      </w:pPr>
      <w:r w:rsidRPr="00CE5DD5">
        <w:t>Transition into the staggered portfolio</w:t>
      </w:r>
    </w:p>
    <w:p w:rsidR="00CE5DD5" w:rsidRPr="00CE5DD5" w:rsidRDefault="00CE5DD5" w:rsidP="00CE5DD5">
      <w:pPr>
        <w:rPr>
          <w:rStyle w:val="AERbody"/>
        </w:rPr>
      </w:pPr>
      <w:r w:rsidRPr="00CE5DD5">
        <w:rPr>
          <w:rStyle w:val="AERbody"/>
        </w:rPr>
        <w:t>On the first year of a trailing average, a business would either:</w:t>
      </w:r>
    </w:p>
    <w:p w:rsidR="00CE5DD5" w:rsidRPr="00CE5DD5" w:rsidRDefault="00CE5DD5" w:rsidP="00CE5DD5">
      <w:pPr>
        <w:pStyle w:val="AERbulletlistfirststyle"/>
        <w:rPr>
          <w:rStyle w:val="AERbody"/>
        </w:rPr>
      </w:pPr>
      <w:r w:rsidRPr="00CE5DD5">
        <w:rPr>
          <w:rStyle w:val="AERbody"/>
        </w:rPr>
        <w:t>Raise an equal-weighted portfolio of 1, 2, 3 ... 9, 10 year debt. Each year 10 per cent of this would expire and the business would replace this with 10 year debt.</w:t>
      </w:r>
    </w:p>
    <w:p w:rsidR="00CE5DD5" w:rsidRPr="00CE5DD5" w:rsidRDefault="00CE5DD5" w:rsidP="00CE5DD5">
      <w:pPr>
        <w:pStyle w:val="AERbulletlistfirststyle"/>
        <w:rPr>
          <w:rStyle w:val="AERbody"/>
        </w:rPr>
      </w:pPr>
      <w:r w:rsidRPr="00CE5DD5">
        <w:rPr>
          <w:rStyle w:val="AERbody"/>
        </w:rPr>
        <w:t>Raise 10 year debt. Each year it would refinance 10 per cent of this and replace this with more 10 year debt.</w:t>
      </w:r>
    </w:p>
    <w:p w:rsidR="00CE5DD5" w:rsidRPr="00CE5DD5" w:rsidRDefault="00CE5DD5" w:rsidP="00CE5DD5">
      <w:pPr>
        <w:rPr>
          <w:rStyle w:val="AERbody"/>
        </w:rPr>
      </w:pPr>
      <w:r w:rsidRPr="00CE5DD5">
        <w:rPr>
          <w:rStyle w:val="AERbody"/>
        </w:rPr>
        <w:t>We have calculated the return on debt allowance assuming the latter option. Since we expect this would be the higher cost option given interest rates on longer-term debt securities are often higher than those on shorter-term debt securities, our debt allowance should be conservative in the service providers' favour.</w:t>
      </w:r>
    </w:p>
    <w:p w:rsidR="00CE5DD5" w:rsidRPr="00CE5DD5" w:rsidRDefault="00CE5DD5" w:rsidP="00CE5DD5">
      <w:r w:rsidRPr="00CE5DD5">
        <w:rPr>
          <w:rStyle w:val="AERbody"/>
        </w:rPr>
        <w:t xml:space="preserve">Valuing the return on debt allowance using the first of the two options would be expected to provide a benchmark efficient entity </w:t>
      </w:r>
      <w:r w:rsidRPr="00CE5DD5">
        <w:t xml:space="preserve">a reasonable opportunity to recover at least efficient costs for its initial investment at </w:t>
      </w:r>
      <m:oMath>
        <m:r>
          <w:rPr>
            <w:rFonts w:ascii="Cambria Math" w:hAnsi="Cambria Math"/>
          </w:rPr>
          <m:t>t=0</m:t>
        </m:r>
      </m:oMath>
      <w:r w:rsidRPr="00CE5DD5">
        <w:t xml:space="preserve"> as this would allow the following equality to hold:</w:t>
      </w:r>
      <w:r w:rsidRPr="00CE5DD5">
        <w:rPr>
          <w:rStyle w:val="FootnoteReference"/>
        </w:rPr>
        <w:footnoteReference w:id="1295"/>
      </w:r>
    </w:p>
    <w:p w:rsidR="00CE5DD5" w:rsidRPr="00CE5DD5" w:rsidRDefault="004A6459" w:rsidP="00CE5DD5">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296"/>
        </m:r>
      </m:oMath>
      <w:r w:rsidR="00CE5DD5" w:rsidRPr="00CE5DD5">
        <w:t xml:space="preserve"> </w:t>
      </w:r>
    </w:p>
    <w:p w:rsidR="00CE5DD5" w:rsidRPr="00CE5DD5" w:rsidRDefault="00CE5DD5" w:rsidP="00CE5DD5">
      <w:r w:rsidRPr="00CE5DD5">
        <w:t>where, under our assumptions:</w:t>
      </w:r>
      <w:r w:rsidRPr="00CE5DD5">
        <w:rPr>
          <w:rStyle w:val="FootnoteReference"/>
        </w:rPr>
        <w:footnoteReference w:id="1297"/>
      </w:r>
    </w:p>
    <w:p w:rsidR="00CE5DD5" w:rsidRPr="00CE5DD5" w:rsidRDefault="004A6459" w:rsidP="00CE5DD5">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CE5DD5" w:rsidRPr="00CE5DD5" w:rsidRDefault="00CE5DD5" w:rsidP="00CE5DD5">
      <w:pPr>
        <w:pStyle w:val="ListContinue2"/>
      </w:pPr>
      <w:r w:rsidRPr="00CE5DD5">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CE5DD5" w:rsidRPr="00CE5DD5" w:rsidRDefault="00CE5DD5" w:rsidP="00CE5DD5">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w:t>
      </w:r>
    </w:p>
    <w:p w:rsidR="00CE5DD5" w:rsidRPr="00CE5DD5" w:rsidRDefault="00CE5DD5" w:rsidP="00CE5DD5">
      <w:r w:rsidRPr="00CE5DD5">
        <w:t>As demonstrated under 'On-the-day approach', this equality holds because, for each one-tenth portion of the RAB:</w:t>
      </w:r>
    </w:p>
    <w:p w:rsidR="00CE5DD5" w:rsidRPr="00CE5DD5" w:rsidRDefault="00CE5DD5" w:rsidP="00CE5DD5">
      <w:pPr>
        <w:pStyle w:val="AERbulletlistfirststyle"/>
      </w:pPr>
      <w:r w:rsidRPr="00CE5DD5">
        <w:t xml:space="preserve">the expected net operating cash flows are, effectively, based on an allowed rate of return that reflects prevailing market rates at year </w:t>
      </w:r>
      <m:oMath>
        <m:r>
          <w:rPr>
            <w:rFonts w:ascii="Cambria Math" w:hAnsi="Cambria Math"/>
          </w:rPr>
          <m:t>t=0</m:t>
        </m:r>
      </m:oMath>
      <w:r w:rsidRPr="00CE5DD5">
        <w:t>, with the expectation that the allowed rate of return will be periodically reset to prevailing market rates</w:t>
      </w:r>
    </w:p>
    <w:p w:rsidR="00CE5DD5" w:rsidRPr="00CE5DD5" w:rsidRDefault="00CE5DD5" w:rsidP="00CE5DD5">
      <w:pPr>
        <w:pStyle w:val="AERbulletlistfirststyle"/>
      </w:pPr>
      <w:r w:rsidRPr="00CE5DD5">
        <w:t>the present (or market) value of the closing RAB (portion) at the end of each 'reset period' equals its statutory value.</w:t>
      </w:r>
    </w:p>
    <w:p w:rsidR="00CE5DD5" w:rsidRPr="00CE5DD5" w:rsidRDefault="00CE5DD5" w:rsidP="00CE5DD5">
      <w:r w:rsidRPr="00CE5DD5">
        <w:t xml:space="preserve">For example, at </w:t>
      </w:r>
      <m:oMath>
        <m:r>
          <w:rPr>
            <w:rFonts w:ascii="Cambria Math" w:hAnsi="Cambria Math"/>
          </w:rPr>
          <m:t>t=0</m:t>
        </m:r>
      </m:oMath>
      <w:r w:rsidRPr="00CE5DD5">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Pr="00CE5DD5">
        <w:t xml:space="preserve">, should equal portion one of the opening RAB at </w:t>
      </w:r>
      <m:oMath>
        <m:r>
          <w:rPr>
            <w:rFonts w:ascii="Cambria Math" w:hAnsi="Cambria Math"/>
          </w:rPr>
          <m:t>t=0</m:t>
        </m:r>
      </m:oMath>
      <w:r w:rsidRPr="00CE5DD5">
        <w:t xml:space="preserve">. This is because it is expected that, at </w:t>
      </w:r>
      <m:oMath>
        <m:r>
          <w:rPr>
            <w:rFonts w:ascii="Cambria Math" w:hAnsi="Cambria Math"/>
          </w:rPr>
          <m:t>t=1</m:t>
        </m:r>
      </m:oMath>
      <w:r w:rsidRPr="00CE5DD5">
        <w:t xml:space="preserve">, we reset the allowed rate of return on portion one of the RAB to reflect the prevailing market cost of capital, and continue resetting every ten years (see equalities under 'The staggered portfolio' and 'End of the term of the RAB' below). </w:t>
      </w:r>
    </w:p>
    <w:p w:rsidR="00CE5DD5" w:rsidRPr="00CE5DD5" w:rsidRDefault="00CE5DD5" w:rsidP="00CE5DD5">
      <w:r w:rsidRPr="00CE5DD5">
        <w:t xml:space="preserve">Similarly, at </w:t>
      </w:r>
      <m:oMath>
        <m:r>
          <w:rPr>
            <w:rFonts w:ascii="Cambria Math" w:hAnsi="Cambria Math"/>
          </w:rPr>
          <m:t>t=0</m:t>
        </m:r>
      </m:oMath>
      <w:r w:rsidRPr="00CE5DD5">
        <w:t>, portion two of the initial RAB is financed through debt with a term of two years, and the present value relationship holds for portion two over the two year period. The same logic applies to portions three to ten.</w:t>
      </w:r>
    </w:p>
    <w:p w:rsidR="00CE5DD5" w:rsidRPr="00CE5DD5" w:rsidRDefault="00CE5DD5" w:rsidP="00CE5DD5">
      <w:r w:rsidRPr="00CE5DD5">
        <w:t>What this shows, is that at the beginning of the transition into a trailing average approach, the present value of expected future cash flows should equal the RAB (all else equal).</w:t>
      </w:r>
    </w:p>
    <w:p w:rsidR="00CE5DD5" w:rsidRPr="00CE5DD5" w:rsidRDefault="00CE5DD5" w:rsidP="00CE5DD5">
      <w:pPr>
        <w:pStyle w:val="HeadingBoldItalic"/>
      </w:pPr>
      <w:r w:rsidRPr="00CE5DD5">
        <w:t>The staggered portfolio</w:t>
      </w:r>
    </w:p>
    <w:p w:rsidR="00CE5DD5" w:rsidRPr="00CE5DD5" w:rsidRDefault="00CE5DD5" w:rsidP="00CE5DD5">
      <w:r w:rsidRPr="00CE5DD5">
        <w:t>A</w:t>
      </w:r>
      <w:r w:rsidR="001E6895">
        <w:t>s</w:t>
      </w:r>
      <w:r w:rsidRPr="00CE5DD5">
        <w:t xml:space="preserve">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sidRPr="00CE5DD5">
        <w:rPr>
          <w:rStyle w:val="FootnoteReference"/>
        </w:rPr>
        <w:footnoteReference w:id="1298"/>
      </w:r>
      <w:r w:rsidRPr="00CE5DD5">
        <w:t xml:space="preserve"> as </w:t>
      </w:r>
      <m:oMath>
        <m:r>
          <w:rPr>
            <w:rFonts w:ascii="Cambria Math" w:hAnsi="Cambria Math"/>
          </w:rPr>
          <m:t>p1</m:t>
        </m:r>
      </m:oMath>
      <w:r w:rsidRPr="00CE5DD5">
        <w:t xml:space="preserve"> to </w:t>
      </w:r>
      <m:oMath>
        <m:r>
          <w:rPr>
            <w:rFonts w:ascii="Cambria Math" w:hAnsi="Cambria Math"/>
          </w:rPr>
          <m:t>p10</m:t>
        </m:r>
      </m:oMath>
      <w:r w:rsidRPr="00CE5DD5">
        <w:t xml:space="preserve">. From </w:t>
      </w:r>
      <m:oMath>
        <m:r>
          <w:rPr>
            <w:rFonts w:ascii="Cambria Math" w:hAnsi="Cambria Math"/>
          </w:rPr>
          <m:t>t=1</m:t>
        </m:r>
      </m:oMath>
      <w:r w:rsidRPr="00CE5DD5">
        <w:t xml:space="preserve"> to </w:t>
      </w:r>
      <m:oMath>
        <m:r>
          <w:rPr>
            <w:rFonts w:ascii="Cambria Math" w:hAnsi="Cambria Math"/>
          </w:rPr>
          <m:t>t=10</m:t>
        </m:r>
      </m:oMath>
      <w:r w:rsidRPr="00CE5DD5">
        <w:t>, the present value relationships can be presented as:</w:t>
      </w:r>
    </w:p>
    <w:p w:rsidR="00CE5DD5" w:rsidRPr="00CE5DD5" w:rsidRDefault="004A6459" w:rsidP="00CE5DD5">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299"/>
        </m:r>
      </m:oMath>
      <w:r w:rsidR="00CE5DD5" w:rsidRPr="00CE5DD5">
        <w:t xml:space="preserve"> </w:t>
      </w:r>
    </w:p>
    <w:p w:rsidR="00CE5DD5" w:rsidRPr="00CE5DD5" w:rsidRDefault="004A6459" w:rsidP="00CE5DD5">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CE5DD5" w:rsidRPr="00CE5DD5">
        <w:t xml:space="preserve"> </w:t>
      </w:r>
    </w:p>
    <w:p w:rsidR="00CE5DD5" w:rsidRPr="00CE5DD5" w:rsidRDefault="00CE5DD5" w:rsidP="00CE5DD5">
      <w:r w:rsidRPr="00CE5DD5">
        <w:t>…</w:t>
      </w:r>
    </w:p>
    <w:p w:rsidR="00CE5DD5" w:rsidRPr="00CE5DD5" w:rsidRDefault="004A6459" w:rsidP="00CE5DD5">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CE5DD5" w:rsidRPr="00CE5DD5">
        <w:rPr>
          <w:rStyle w:val="AERtextsize10"/>
        </w:rPr>
        <w:t xml:space="preserve"> </w:t>
      </w:r>
    </w:p>
    <w:p w:rsidR="00CE5DD5" w:rsidRPr="00CE5DD5" w:rsidRDefault="00CE5DD5" w:rsidP="00CE5DD5">
      <w:r w:rsidRPr="00CE5DD5">
        <w:t>where the expected net operating cash flow generated each year from portions 1 to 10 of the RAB is based on the portion of the allowed rate of return that reflects the prevailing market cost of capital at time 1 to 10 respectively;</w:t>
      </w:r>
      <w:r w:rsidRPr="00CE5DD5">
        <w:rPr>
          <w:rStyle w:val="FootnoteReference"/>
        </w:rPr>
        <w:footnoteReference w:id="1300"/>
      </w:r>
      <w:r w:rsidRPr="00CE5DD5">
        <w:t xml:space="preserve"> that is:</w:t>
      </w:r>
      <w:r w:rsidRPr="00CE5DD5">
        <w:rPr>
          <w:rStyle w:val="FootnoteReference"/>
        </w:rPr>
        <w:footnoteReference w:id="1301"/>
      </w:r>
      <w:r w:rsidRPr="00CE5DD5">
        <w:t xml:space="preserve">  </w:t>
      </w:r>
    </w:p>
    <w:p w:rsidR="00CE5DD5" w:rsidRPr="00CE5DD5" w:rsidRDefault="00CE5DD5" w:rsidP="00CE5DD5">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rsidRPr="00CE5DD5">
        <w:t xml:space="preserve"> </w:t>
      </w:r>
    </w:p>
    <w:p w:rsidR="00CE5DD5" w:rsidRPr="00CE5DD5" w:rsidRDefault="00CE5DD5" w:rsidP="00CE5DD5">
      <w:r w:rsidRPr="00CE5DD5">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CE5DD5">
        <w:t>.</w:t>
      </w:r>
    </w:p>
    <w:p w:rsidR="00CE5DD5" w:rsidRPr="00CE5DD5" w:rsidRDefault="00CE5DD5" w:rsidP="00CE5DD5">
      <w:r w:rsidRPr="00CE5DD5">
        <w:t>As demonstrated under 'On-the-day approach', the above equalities hold because, for each portion of the RAB:</w:t>
      </w:r>
    </w:p>
    <w:p w:rsidR="00CE5DD5" w:rsidRPr="00CE5DD5" w:rsidRDefault="00CE5DD5" w:rsidP="00CE5DD5">
      <w:pPr>
        <w:pStyle w:val="AERbulletlistfirststyle"/>
      </w:pPr>
      <w:r w:rsidRPr="00CE5DD5">
        <w:t xml:space="preserve">the expected net operating cash flows are, effectively, based on an allowed rate of return that reflects prevailing market rates at year </w:t>
      </w:r>
      <m:oMath>
        <m:r>
          <w:rPr>
            <w:rFonts w:ascii="Cambria Math" w:hAnsi="Cambria Math"/>
          </w:rPr>
          <m:t>t=1…10</m:t>
        </m:r>
      </m:oMath>
      <w:r w:rsidRPr="00CE5DD5">
        <w:t xml:space="preserve"> respectively, with the expectation that the allowed rate of return will be reset to prevailing market rates every ten years</w:t>
      </w:r>
    </w:p>
    <w:p w:rsidR="00CE5DD5" w:rsidRPr="00CE5DD5" w:rsidRDefault="00CE5DD5" w:rsidP="00CE5DD5">
      <w:pPr>
        <w:pStyle w:val="AERbulletlistfirststyle"/>
      </w:pPr>
      <w:r w:rsidRPr="00CE5DD5">
        <w:t>the present (or market) value of the closing RAB (portion) at the end of each 'reset period' equals its statutory value.</w:t>
      </w:r>
    </w:p>
    <w:p w:rsidR="00CE5DD5" w:rsidRPr="00CE5DD5" w:rsidRDefault="00CE5DD5" w:rsidP="00CE5DD5">
      <w:r w:rsidRPr="00CE5DD5">
        <w:t xml:space="preserve">In this way, the staggered portfolio can be seen as ten on-the-day approaches on ten portions of the RAB. Therefore, for each portion of the RAB, the present value of expected net operating cash flows over the ten year 'reset period' plus the closing RAB (portion) at </w:t>
      </w:r>
      <m:oMath>
        <m:r>
          <w:rPr>
            <w:rFonts w:ascii="Cambria Math" w:hAnsi="Cambria Math"/>
          </w:rPr>
          <m:t>t+10</m:t>
        </m:r>
      </m:oMath>
      <w:r w:rsidRPr="00CE5DD5">
        <w:t xml:space="preserve"> should equal the opening RAB (portion) at </w:t>
      </w:r>
      <m:oMath>
        <m:r>
          <w:rPr>
            <w:rFonts w:ascii="Cambria Math" w:hAnsi="Cambria Math"/>
          </w:rPr>
          <m:t>t</m:t>
        </m:r>
      </m:oMath>
      <w:r w:rsidRPr="00CE5DD5">
        <w:t>.</w:t>
      </w:r>
    </w:p>
    <w:p w:rsidR="00CE5DD5" w:rsidRPr="00CE5DD5" w:rsidRDefault="00CE5DD5" w:rsidP="00CE5DD5">
      <w:r w:rsidRPr="00CE5DD5">
        <w:t>We also note that while Partington and Satchell recommend the on-the-day approach, they acknowledge 'since the trailing average approach resets one tenth of the cost of debt to the market rate each year, the compensation is correctly set for one tenth of the debt each year'.</w:t>
      </w:r>
      <w:r w:rsidRPr="00CE5DD5">
        <w:rPr>
          <w:rStyle w:val="FootnoteReference"/>
        </w:rPr>
        <w:footnoteReference w:id="1302"/>
      </w:r>
    </w:p>
    <w:p w:rsidR="00CE5DD5" w:rsidRPr="00CE5DD5" w:rsidRDefault="00CE5DD5" w:rsidP="00CE5DD5">
      <w:pPr>
        <w:pStyle w:val="HeadingBoldItalic"/>
      </w:pPr>
      <w:r w:rsidRPr="00CE5DD5">
        <w:t>End of the term of the RAB</w:t>
      </w:r>
    </w:p>
    <w:p w:rsidR="00CE5DD5" w:rsidRPr="00CE5DD5" w:rsidRDefault="00CE5DD5" w:rsidP="00CE5DD5">
      <w:r w:rsidRPr="00CE5DD5">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rsidRPr="00CE5DD5">
        <w:t>, the business could either:</w:t>
      </w:r>
      <w:r w:rsidRPr="00CE5DD5">
        <w:rPr>
          <w:rStyle w:val="FootnoteReference"/>
        </w:rPr>
        <w:footnoteReference w:id="1303"/>
      </w:r>
    </w:p>
    <w:p w:rsidR="00CE5DD5" w:rsidRPr="00CE5DD5" w:rsidRDefault="00CE5DD5" w:rsidP="00CE5DD5">
      <w:pPr>
        <w:pStyle w:val="AERbulletlistfirststyle"/>
        <w:rPr>
          <w:rStyle w:val="AERbody"/>
        </w:rPr>
      </w:pPr>
      <w:r w:rsidRPr="00CE5DD5">
        <w:rPr>
          <w:rStyle w:val="AERbody"/>
        </w:rPr>
        <w:t>Raise 9, 8 … 2, 1 year debt on a staggered basis. All its debt would thus expire in year T and it would repay the entire initial value of the RAB back to its investors.</w:t>
      </w:r>
    </w:p>
    <w:p w:rsidR="00CE5DD5" w:rsidRPr="00CE5DD5" w:rsidRDefault="00CE5DD5" w:rsidP="00CE5DD5">
      <w:pPr>
        <w:pStyle w:val="AERbulletlistfirststyle"/>
        <w:rPr>
          <w:rStyle w:val="AERbody"/>
        </w:rPr>
      </w:pPr>
      <w:r w:rsidRPr="00CE5DD5">
        <w:rPr>
          <w:rStyle w:val="AERbody"/>
        </w:rPr>
        <w:t xml:space="preserve">Allow its staggered portfolio to gradually expire, repaying 10 per cent of the initial value of the RAB to investors each year. </w:t>
      </w:r>
    </w:p>
    <w:p w:rsidR="00CE5DD5" w:rsidRPr="00CE5DD5" w:rsidRDefault="00CE5DD5" w:rsidP="00CE5DD5">
      <w:r w:rsidRPr="00CE5DD5">
        <w:t xml:space="preserve">This means our return on debt allowance would have to allow for a transition out of the staggered portfolio. </w:t>
      </w:r>
      <w:r w:rsidRPr="00CE5DD5">
        <w:rPr>
          <w:rStyle w:val="AERbody"/>
        </w:rPr>
        <w:t xml:space="preserve">Valuing the return on debt allowance using the first of the two options would be expected to provide a benchmark efficient entity </w:t>
      </w:r>
      <w:r w:rsidRPr="00CE5DD5">
        <w:t xml:space="preserve">a reasonable opportunity to recover at least efficient costs as this would allow the following equalities to hold (from </w:t>
      </w:r>
      <m:oMath>
        <m:r>
          <w:rPr>
            <w:rFonts w:ascii="Cambria Math" w:hAnsi="Cambria Math"/>
          </w:rPr>
          <m:t>t=T-10</m:t>
        </m:r>
      </m:oMath>
      <w:r w:rsidRPr="00CE5DD5">
        <w:t xml:space="preserve"> to </w:t>
      </w:r>
      <m:oMath>
        <m:r>
          <w:rPr>
            <w:rFonts w:ascii="Cambria Math" w:hAnsi="Cambria Math"/>
          </w:rPr>
          <m:t>t=T-1</m:t>
        </m:r>
      </m:oMath>
      <w:r w:rsidRPr="00CE5DD5">
        <w:t>):</w:t>
      </w:r>
    </w:p>
    <w:p w:rsidR="00CE5DD5" w:rsidRPr="00CE5DD5" w:rsidRDefault="004A6459" w:rsidP="00CE5DD5">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304"/>
        </m:r>
      </m:oMath>
      <w:r w:rsidR="00CE5DD5" w:rsidRPr="00CE5DD5">
        <w:rPr>
          <w:rStyle w:val="AERtextsize10"/>
        </w:rPr>
        <w:t xml:space="preserve"> </w:t>
      </w:r>
    </w:p>
    <w:p w:rsidR="00CE5DD5" w:rsidRPr="00CE5DD5" w:rsidRDefault="004A6459" w:rsidP="00CE5DD5">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CE5DD5" w:rsidRPr="00CE5DD5">
        <w:t xml:space="preserve"> </w:t>
      </w:r>
    </w:p>
    <w:p w:rsidR="00CE5DD5" w:rsidRPr="00CE5DD5" w:rsidRDefault="00CE5DD5" w:rsidP="00CE5DD5">
      <w:r w:rsidRPr="00CE5DD5">
        <w:t>…</w:t>
      </w:r>
    </w:p>
    <w:p w:rsidR="00CE5DD5" w:rsidRPr="00CE5DD5" w:rsidRDefault="004A6459" w:rsidP="00CE5DD5">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CE5DD5" w:rsidRPr="00CE5DD5">
        <w:t xml:space="preserve"> </w:t>
      </w:r>
    </w:p>
    <w:p w:rsidR="00CE5DD5" w:rsidRPr="00CE5DD5" w:rsidRDefault="00CE5DD5" w:rsidP="00CE5DD5">
      <w:r w:rsidRPr="00CE5DD5">
        <w:t>where the proportion of net operating cash flow generated from each portion of the RAB each year equals the interest payment on that tranche of debt; that is:</w:t>
      </w:r>
      <w:r w:rsidRPr="00CE5DD5">
        <w:rPr>
          <w:rStyle w:val="FootnoteReference"/>
        </w:rPr>
        <w:footnoteReference w:id="1305"/>
      </w:r>
      <w:r w:rsidRPr="00CE5DD5">
        <w:t xml:space="preserve">  </w:t>
      </w:r>
    </w:p>
    <w:p w:rsidR="00CE5DD5" w:rsidRPr="00CE5DD5" w:rsidRDefault="00CE5DD5" w:rsidP="00CE5DD5">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rsidRPr="00CE5DD5">
        <w:t xml:space="preserve">  </w:t>
      </w:r>
    </w:p>
    <w:p w:rsidR="00CE5DD5" w:rsidRPr="00CE5DD5" w:rsidRDefault="00CE5DD5" w:rsidP="00CE5DD5">
      <w:r w:rsidRPr="00CE5DD5">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w:t>
      </w:r>
    </w:p>
    <w:p w:rsidR="00CE5DD5" w:rsidRPr="00CE5DD5" w:rsidRDefault="00CE5DD5" w:rsidP="00CE5DD5">
      <w:r w:rsidRPr="00CE5DD5">
        <w:t>As shown in the above sections, the above equalities hold because, for each portion of the RAB:</w:t>
      </w:r>
    </w:p>
    <w:p w:rsidR="00CE5DD5" w:rsidRPr="00CE5DD5" w:rsidRDefault="00CE5DD5" w:rsidP="00CE5DD5">
      <w:pPr>
        <w:pStyle w:val="AERbulletlistfirststyle"/>
      </w:pPr>
      <w:r w:rsidRPr="00CE5DD5">
        <w:t xml:space="preserve">the expected net operating cash flows are, effectively, based on an allowed rate of return that reflects prevailing market rates at year </w:t>
      </w:r>
      <m:oMath>
        <m:r>
          <w:rPr>
            <w:rFonts w:ascii="Cambria Math" w:hAnsi="Cambria Math"/>
          </w:rPr>
          <m:t>t=T-10…T-1</m:t>
        </m:r>
      </m:oMath>
      <w:r w:rsidRPr="00CE5DD5">
        <w:t xml:space="preserve"> respectively</w:t>
      </w:r>
    </w:p>
    <w:p w:rsidR="00CE5DD5" w:rsidRPr="00CE5DD5" w:rsidRDefault="00CE5DD5" w:rsidP="00CE5DD5">
      <w:pPr>
        <w:pStyle w:val="AERbulletlistfirststyle"/>
      </w:pPr>
      <w:r w:rsidRPr="00CE5DD5">
        <w:t>the present (or market) value of the closing RAB (portion) at the end of each period equals its statutory value.</w:t>
      </w:r>
    </w:p>
    <w:p w:rsidR="00CE5DD5" w:rsidRPr="00CE5DD5" w:rsidRDefault="00CE5DD5" w:rsidP="00CE5DD5">
      <w:r w:rsidRPr="00CE5DD5">
        <w:t>Given these equalities hold, the service providers would expect to have a reasonable opportunity to recover at least efficient costs for each of its investment portions. Since this applies to all stages of the trailing average approach, the service providers would expect to have a reasonable opportunity to recover at least efficient costs over the entire term of the RAB.</w:t>
      </w:r>
    </w:p>
    <w:p w:rsidR="00CE5DD5" w:rsidRPr="00CE5DD5" w:rsidRDefault="00CE5DD5" w:rsidP="00CE5DD5">
      <w:r w:rsidRPr="00CE5DD5">
        <w:t>The sections above show that the key distinction between an on-the-day and a trailing average approach is:</w:t>
      </w:r>
    </w:p>
    <w:p w:rsidR="00CE5DD5" w:rsidRPr="00CE5DD5" w:rsidRDefault="00CE5DD5" w:rsidP="00CE5DD5">
      <w:pPr>
        <w:pStyle w:val="AERbulletlistfirststyle"/>
      </w:pPr>
      <w:r w:rsidRPr="00CE5DD5">
        <w:t xml:space="preserve">the on-the-day approach results in the entire allowed rate of return being reset to reflect prevailing market (or efficient) rates near the commencement of the regulatory period </w:t>
      </w:r>
    </w:p>
    <w:p w:rsidR="00CE5DD5" w:rsidRPr="00CE5DD5" w:rsidRDefault="00CE5DD5" w:rsidP="00CE5DD5">
      <w:pPr>
        <w:pStyle w:val="AERbulletlistfirststyle"/>
      </w:pPr>
      <w:r w:rsidRPr="00CE5DD5">
        <w:t xml:space="preserve">the trailing average approach results in one tenth of the allowed rate of return being reset to reflect prevailing market (or efficient) rates each year. </w:t>
      </w:r>
    </w:p>
    <w:p w:rsidR="00CE5DD5" w:rsidRPr="00CE5DD5" w:rsidRDefault="00CE5DD5" w:rsidP="00CE5DD5">
      <w:pPr>
        <w:rPr>
          <w:rStyle w:val="AERbody"/>
        </w:rPr>
      </w:pPr>
      <w:r w:rsidRPr="00CE5DD5">
        <w:rPr>
          <w:rStyle w:val="AERbody"/>
        </w:rPr>
        <w:t xml:space="preserve">However, both approaches to setting the allowed rate of return, if appropriately implemented (in a forward looking manner) should result in the same </w:t>
      </w:r>
      <w:r w:rsidRPr="00CE5DD5">
        <w:t>ex-ante compensation for a benchmark efficient entity's ex-ante efficient financing costs over the term of the RAB</w:t>
      </w:r>
      <w:r w:rsidRPr="00CE5DD5">
        <w:rPr>
          <w:rStyle w:val="AERbody"/>
        </w:rPr>
        <w:t>.</w:t>
      </w:r>
    </w:p>
    <w:p w:rsidR="00CE5DD5" w:rsidRPr="00CE5DD5" w:rsidRDefault="00CE5DD5" w:rsidP="00CE5DD5">
      <w:pPr>
        <w:pStyle w:val="Heading8"/>
      </w:pPr>
      <w:bookmarkStart w:id="360" w:name="_Ref447538284"/>
      <w:bookmarkStart w:id="361" w:name="_Toc451947843"/>
      <w:bookmarkStart w:id="362" w:name="_Toc481057096"/>
      <w:r w:rsidRPr="00CE5DD5">
        <w:t>A full transition satisfies the ARORO</w:t>
      </w:r>
      <w:bookmarkEnd w:id="360"/>
      <w:bookmarkEnd w:id="361"/>
      <w:bookmarkEnd w:id="362"/>
    </w:p>
    <w:p w:rsidR="00CE5DD5" w:rsidRPr="00CE5DD5" w:rsidRDefault="00CE5DD5" w:rsidP="00CE5DD5">
      <w:r w:rsidRPr="00CE5DD5">
        <w:t>If moving from the on-the-day to the trailing average approach, we consider a full transition is required to meet the ARORO and the objectives of the NEL/NGL. A full transition is revenue neutral in a present value sense.</w:t>
      </w:r>
      <w:r w:rsidRPr="00CE5DD5">
        <w:rPr>
          <w:rStyle w:val="FootnoteReference"/>
        </w:rPr>
        <w:footnoteReference w:id="1306"/>
      </w:r>
      <w:r w:rsidRPr="00CE5DD5">
        <w:t xml:space="preserve"> Assuming the on-the-day or trailing average approach would contribute to the achievement of the ARORO, a revenue neutral transition will also contribute to the achievement of the ARORO.</w:t>
      </w:r>
    </w:p>
    <w:p w:rsidR="00CE5DD5" w:rsidRPr="00CE5DD5" w:rsidRDefault="00CE5DD5" w:rsidP="00CE5DD5">
      <w:r w:rsidRPr="00CE5DD5">
        <w:t xml:space="preserve">As shown in section </w:t>
      </w:r>
      <w:r w:rsidRPr="00CE5DD5">
        <w:fldChar w:fldCharType="begin"/>
      </w:r>
      <w:r w:rsidRPr="00CE5DD5">
        <w:instrText xml:space="preserve"> REF _Ref444773920 \r \h </w:instrText>
      </w:r>
      <w:r w:rsidRPr="00CE5DD5">
        <w:fldChar w:fldCharType="separate"/>
      </w:r>
      <w:r w:rsidR="00C6448C">
        <w:t>H.3.3</w:t>
      </w:r>
      <w:r w:rsidRPr="00CE5DD5">
        <w:fldChar w:fldCharType="end"/>
      </w:r>
      <w:r w:rsidRPr="00CE5DD5">
        <w:t>, ex-ante efficient compensation can hold under either the on-the-day approach or the trailing average approach (if a transition is applied). As such, both approaches are capable of being approximately equivalent over the term of the RAB (which will be multiple regulatory periods).</w:t>
      </w:r>
    </w:p>
    <w:p w:rsidR="00CE5DD5" w:rsidRPr="00CE5DD5" w:rsidRDefault="00CE5DD5" w:rsidP="00CE5DD5">
      <w:r w:rsidRPr="00CE5DD5">
        <w:t>For this reason, setting the return on debt allowance under the assumption that the service provider</w:t>
      </w:r>
      <w:r>
        <w:t xml:space="preserve"> </w:t>
      </w:r>
      <w:r w:rsidRPr="00CE5DD5">
        <w:t>does not instantly have a trailing average debt portfolio, but rather has to develop, it should neither have a positive or negative affect on the service provider. Rather, we expect this would be NPV neutral. This is supported by Partington and Satchell. They stated that the transition to the trailing average may approximate the zero NPV investment criterion that would be achieved under the on day approach. However, using the full trailing average (i.e. with no transition), which by definition is entirely backwards looking, will not give rise to efficient investment outcomes meeting the zero NPV investment criterion.</w:t>
      </w:r>
      <w:r w:rsidRPr="00CE5DD5">
        <w:rPr>
          <w:rStyle w:val="FootnoteReference"/>
        </w:rPr>
        <w:footnoteReference w:id="1307"/>
      </w:r>
    </w:p>
    <w:p w:rsidR="00CE5DD5" w:rsidRPr="00CE5DD5" w:rsidRDefault="00CE5DD5" w:rsidP="00CE5DD5">
      <w:r w:rsidRPr="00CE5DD5">
        <w:t xml:space="preserve">We show in section </w:t>
      </w:r>
      <w:r w:rsidRPr="00CE5DD5">
        <w:fldChar w:fldCharType="begin"/>
      </w:r>
      <w:r w:rsidRPr="00CE5DD5">
        <w:instrText xml:space="preserve"> REF _Ref444773920 \r \h </w:instrText>
      </w:r>
      <w:r w:rsidRPr="00CE5DD5">
        <w:fldChar w:fldCharType="separate"/>
      </w:r>
      <w:r w:rsidR="00C6448C">
        <w:t>H.3.3</w:t>
      </w:r>
      <w:r w:rsidRPr="00CE5DD5">
        <w:fldChar w:fldCharType="end"/>
      </w:r>
      <w:r w:rsidRPr="00CE5DD5">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period, the present value of expected future cash flows will unlikely equal the RAB because the cash flows based on historical interest rates will either be higher or too low (relative to the prevailing cost of debt in the market). Given this, switching between regimes without a full transition would not satisfy the requirement to provide service providers with a reasonable opportunity to recover at least efficient costs over either the regulatory period or over the term of the RAB.</w:t>
      </w:r>
    </w:p>
    <w:p w:rsidR="00CE5DD5" w:rsidRPr="00CE5DD5" w:rsidRDefault="00CE5DD5" w:rsidP="00CE5DD5">
      <w:pPr>
        <w:pStyle w:val="Heading8"/>
      </w:pPr>
      <w:bookmarkStart w:id="363" w:name="_Ref447266532"/>
      <w:bookmarkStart w:id="364" w:name="_Toc451947844"/>
      <w:bookmarkStart w:id="365" w:name="_Toc481057097"/>
      <w:r w:rsidRPr="00CE5DD5">
        <w:t>An immediate (or hybrid) transition will not satisfy the ARORO</w:t>
      </w:r>
      <w:bookmarkEnd w:id="363"/>
      <w:bookmarkEnd w:id="364"/>
      <w:bookmarkEnd w:id="365"/>
    </w:p>
    <w:p w:rsidR="00CE5DD5" w:rsidRPr="00CE5DD5" w:rsidRDefault="00CE5DD5" w:rsidP="00CE5DD5">
      <w:r w:rsidRPr="00CE5DD5">
        <w:t xml:space="preserve">We consider a full transition to a trailing average will result in an ex-ante reasonable return and would contribute to the achievement of the ARORO (see section </w:t>
      </w:r>
      <w:r w:rsidRPr="00CE5DD5">
        <w:fldChar w:fldCharType="begin"/>
      </w:r>
      <w:r w:rsidRPr="00CE5DD5">
        <w:instrText xml:space="preserve"> REF _Ref447538284 \r \h </w:instrText>
      </w:r>
      <w:r w:rsidRPr="00CE5DD5">
        <w:fldChar w:fldCharType="separate"/>
      </w:r>
      <w:r w:rsidR="00C6448C">
        <w:t>H.4</w:t>
      </w:r>
      <w:r w:rsidRPr="00CE5DD5">
        <w:fldChar w:fldCharType="end"/>
      </w:r>
      <w:r w:rsidRPr="00CE5DD5">
        <w:t>). Conversely, we do not consider that an immediate (or hybrid) transition to a trailing average will result in an ex-ante reasonable return and would contribute to the achievement of the ARORO. This is because these approaches are not revenue neutral (in a present value sense). Rather, because these approaches would not be revenue-neutral (supported by Partington and Satchell</w:t>
      </w:r>
      <w:r w:rsidRPr="00CE5DD5">
        <w:rPr>
          <w:rStyle w:val="FootnoteReference"/>
        </w:rPr>
        <w:footnoteReference w:id="1308"/>
      </w:r>
      <w:r w:rsidRPr="00CE5DD5">
        <w:t>), these would result in ex-ante overcompensation if moving from a high to a low interest rate environment. Conversely, these would result in ex-ante undercompensation if moving from a low to a high interest rate environment. We show the difference between our</w:t>
      </w:r>
      <w:r w:rsidR="005537CC">
        <w:t xml:space="preserve"> full transition</w:t>
      </w:r>
      <w:r w:rsidRPr="00CE5DD5">
        <w:t xml:space="preserve"> approach a</w:t>
      </w:r>
      <w:r w:rsidR="0095716E">
        <w:t xml:space="preserve">nd </w:t>
      </w:r>
      <w:r w:rsidR="005537CC">
        <w:t xml:space="preserve">the immediate transition to the trailing average approach that some service </w:t>
      </w:r>
      <w:r w:rsidR="000F53E3">
        <w:t>providers</w:t>
      </w:r>
      <w:r w:rsidR="005537CC">
        <w:t xml:space="preserve"> have favoured</w:t>
      </w:r>
      <w:r w:rsidR="005537CC">
        <w:rPr>
          <w:rStyle w:val="FootnoteReference"/>
        </w:rPr>
        <w:footnoteReference w:id="1309"/>
      </w:r>
      <w:r w:rsidRPr="00CE5DD5">
        <w:t xml:space="preserve">mathematically in section </w:t>
      </w:r>
      <w:r w:rsidRPr="00CE5DD5">
        <w:fldChar w:fldCharType="begin"/>
      </w:r>
      <w:r w:rsidRPr="00CE5DD5">
        <w:instrText xml:space="preserve"> REF _Ref447886159 \r \h </w:instrText>
      </w:r>
      <w:r w:rsidRPr="00CE5DD5">
        <w:fldChar w:fldCharType="separate"/>
      </w:r>
      <w:r w:rsidR="00C6448C">
        <w:t>H.5.1</w:t>
      </w:r>
      <w:r w:rsidRPr="00CE5DD5">
        <w:fldChar w:fldCharType="end"/>
      </w:r>
      <w:r w:rsidRPr="00CE5DD5">
        <w:t xml:space="preserve">. </w:t>
      </w:r>
    </w:p>
    <w:p w:rsidR="00CE5DD5" w:rsidRPr="00CE5DD5" w:rsidRDefault="00CE5DD5" w:rsidP="00CE5DD5">
      <w:r w:rsidRPr="00CE5DD5">
        <w:t>It is also worth noting that while stakeholders generally supported moving to a trailing average approach when we developed the Guideline, the trailing average cannot be considered in isolation of the transition set out in the Guideline.</w:t>
      </w:r>
      <w:r w:rsidRPr="00CE5DD5">
        <w:rPr>
          <w:rStyle w:val="FootnoteReference"/>
        </w:rPr>
        <w:footnoteReference w:id="1310"/>
      </w:r>
      <w:r w:rsidRPr="00CE5DD5">
        <w:t xml:space="preserve"> This was supported by the CCP3 in the context of the 2016 AER Vic DNSP decision in advising:</w:t>
      </w:r>
      <w:r w:rsidRPr="00CE5DD5">
        <w:rPr>
          <w:rStyle w:val="FootnoteReference"/>
        </w:rPr>
        <w:footnoteReference w:id="1311"/>
      </w:r>
    </w:p>
    <w:p w:rsidR="00CE5DD5" w:rsidRPr="00CE5DD5" w:rsidRDefault="00CE5DD5" w:rsidP="00CE5DD5">
      <w:pPr>
        <w:pStyle w:val="AERquote"/>
      </w:pPr>
      <w:r w:rsidRPr="00CE5DD5">
        <w:t>consumer acceptance for the 10</w:t>
      </w:r>
      <w:r w:rsidRPr="00CE5DD5">
        <w:rPr>
          <w:rFonts w:ascii="Cambria Math" w:hAnsi="Cambria Math" w:cs="Cambria Math"/>
        </w:rPr>
        <w:t>‐</w:t>
      </w:r>
      <w:r w:rsidRPr="00CE5DD5">
        <w:t>year trailing average cost of debt (rather than continuation of the “on</w:t>
      </w:r>
      <w:r w:rsidRPr="00CE5DD5">
        <w:rPr>
          <w:rFonts w:ascii="Cambria Math" w:hAnsi="Cambria Math" w:cs="Cambria Math"/>
        </w:rPr>
        <w:t>‐</w:t>
      </w:r>
      <w:r w:rsidRPr="00CE5DD5">
        <w:t>the</w:t>
      </w:r>
      <w:r w:rsidRPr="00CE5DD5">
        <w:rPr>
          <w:rFonts w:ascii="Cambria Math" w:hAnsi="Cambria Math" w:cs="Cambria Math"/>
        </w:rPr>
        <w:t>‐</w:t>
      </w:r>
      <w:r w:rsidRPr="00CE5DD5">
        <w:t>day” or a 5</w:t>
      </w:r>
      <w:r w:rsidRPr="00CE5DD5">
        <w:rPr>
          <w:rFonts w:ascii="Cambria Math" w:hAnsi="Cambria Math" w:cs="Cambria Math"/>
        </w:rPr>
        <w:t>‐</w:t>
      </w:r>
      <w:r w:rsidRPr="00CE5DD5">
        <w:t>year trailing average aligned with the regulatory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CE5DD5">
        <w:rPr>
          <w:rFonts w:ascii="Cambria Math" w:hAnsi="Cambria Math" w:cs="Cambria Math"/>
        </w:rPr>
        <w:t>‐</w:t>
      </w:r>
      <w:r w:rsidRPr="00CE5DD5">
        <w:t>year rolling average approach.</w:t>
      </w:r>
    </w:p>
    <w:p w:rsidR="00CE5DD5" w:rsidRPr="00CE5DD5" w:rsidRDefault="00CE5DD5" w:rsidP="00CE5DD5">
      <w:r w:rsidRPr="00CE5DD5">
        <w:t>For this reason, the CCP3 also advised that, 'the significant impact on consumers of the DNSPs’ proposed departure from the RoR Guideline risks a collapse in consumer confidence in the regulatory process'.</w:t>
      </w:r>
      <w:r w:rsidRPr="00CE5DD5">
        <w:rPr>
          <w:rStyle w:val="FootnoteReference"/>
        </w:rPr>
        <w:footnoteReference w:id="1312"/>
      </w:r>
      <w:r w:rsidRPr="00CE5DD5">
        <w:t xml:space="preserve"> </w:t>
      </w:r>
    </w:p>
    <w:p w:rsidR="00CE5DD5" w:rsidRPr="00CE5DD5" w:rsidRDefault="00CE5DD5" w:rsidP="00CE5DD5">
      <w:r w:rsidRPr="00CE5DD5">
        <w:t>Moreover, Partington and Satchell advise that, given a move to the trailing average approach, our full transition is preferable to an immediate (or hybrid) transition.</w:t>
      </w:r>
      <w:r w:rsidRPr="00CE5DD5">
        <w:rPr>
          <w:rStyle w:val="FootnoteReference"/>
        </w:rPr>
        <w:footnoteReference w:id="1313"/>
      </w:r>
      <w:r w:rsidRPr="00CE5DD5">
        <w:t xml:space="preserve"> They also state that:</w:t>
      </w:r>
      <w:r w:rsidRPr="00CE5DD5">
        <w:rPr>
          <w:rStyle w:val="FootnoteReference"/>
        </w:rPr>
        <w:footnoteReference w:id="1314"/>
      </w:r>
    </w:p>
    <w:p w:rsidR="00CE5DD5" w:rsidRPr="00CE5DD5" w:rsidRDefault="00CE5DD5" w:rsidP="00CE5DD5">
      <w:pPr>
        <w:pStyle w:val="AERquote"/>
      </w:pPr>
      <w:r w:rsidRPr="00CE5DD5">
        <w:t>…it is appropriate in the present case, of significant divergence between the trailing average and the current cost of debt, that a transition should be made to the trailing average rather than immediately moving to full implementation.</w:t>
      </w:r>
    </w:p>
    <w:p w:rsidR="00CE5DD5" w:rsidRPr="00CE5DD5" w:rsidRDefault="00CE5DD5" w:rsidP="00CE5DD5">
      <w:r w:rsidRPr="00CE5DD5">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rsidRPr="00CE5DD5">
        <w:fldChar w:fldCharType="begin"/>
      </w:r>
      <w:r w:rsidRPr="00CE5DD5">
        <w:instrText xml:space="preserve"> REF _Ref448326736 \r \h </w:instrText>
      </w:r>
      <w:r w:rsidRPr="00CE5DD5">
        <w:fldChar w:fldCharType="separate"/>
      </w:r>
      <w:r w:rsidR="00C6448C">
        <w:t>H.3.3</w:t>
      </w:r>
      <w:r w:rsidRPr="00CE5DD5">
        <w:fldChar w:fldCharType="end"/>
      </w:r>
      <w:r w:rsidRPr="00CE5DD5">
        <w:t xml:space="preserve">, the on-the-day approach provides ex-ante efficient compensation for a benchmark efficient entity's efficient cost of financing over each regulatory period and over the term of the RAB. </w:t>
      </w:r>
    </w:p>
    <w:p w:rsidR="00CE5DD5" w:rsidRPr="00CE5DD5" w:rsidRDefault="00CE5DD5" w:rsidP="00CE5DD5">
      <w:pPr>
        <w:pStyle w:val="Heading9"/>
      </w:pPr>
      <w:bookmarkStart w:id="366" w:name="_Ref447886159"/>
      <w:bookmarkStart w:id="367" w:name="_Ref451538254"/>
      <w:bookmarkStart w:id="368" w:name="_Toc451947845"/>
      <w:r w:rsidRPr="00CE5DD5">
        <w:t>Mathematical explanation</w:t>
      </w:r>
      <w:bookmarkEnd w:id="366"/>
      <w:bookmarkEnd w:id="367"/>
      <w:bookmarkEnd w:id="368"/>
    </w:p>
    <w:p w:rsidR="00CE5DD5" w:rsidRPr="00CE5DD5" w:rsidRDefault="00CE5DD5" w:rsidP="00CE5DD5">
      <w:r w:rsidRPr="00CE5DD5">
        <w:t xml:space="preserve">This section demonstrates the difference (in present value terms) between our full transition and </w:t>
      </w:r>
      <w:r w:rsidR="00C042FB">
        <w:t xml:space="preserve">the </w:t>
      </w:r>
      <w:r w:rsidRPr="00CE5DD5">
        <w:t>immediate transition to the trailing average approach. We use the following notation:</w:t>
      </w:r>
    </w:p>
    <w:p w:rsidR="00CE5DD5" w:rsidRPr="00CE5DD5" w:rsidRDefault="004A6459" w:rsidP="00CE5DD5">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CE5DD5" w:rsidRPr="00CE5DD5">
        <w:t xml:space="preserve"> denotes present value, at year t </w:t>
      </w:r>
    </w:p>
    <w:p w:rsidR="00CE5DD5" w:rsidRPr="00CE5DD5" w:rsidRDefault="00CE5DD5" w:rsidP="00CE5DD5">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CE5DD5">
        <w:t xml:space="preserve"> denotes expected value</w:t>
      </w:r>
    </w:p>
    <w:p w:rsidR="00CE5DD5" w:rsidRPr="00CE5DD5" w:rsidRDefault="004A6459" w:rsidP="00CE5DD5">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CE5DD5" w:rsidRPr="00CE5DD5">
        <w:t xml:space="preserve"> is the closing RAB at the end of year </w:t>
      </w:r>
      <m:oMath>
        <m:r>
          <w:rPr>
            <w:rFonts w:ascii="Cambria Math" w:hAnsi="Cambria Math"/>
          </w:rPr>
          <m:t>t</m:t>
        </m:r>
      </m:oMath>
      <w:r w:rsidR="00CE5DD5" w:rsidRPr="00CE5DD5">
        <w:t xml:space="preserve"> (which equals the opening RAB at the beginning of year </w:t>
      </w:r>
      <m:oMath>
        <m:r>
          <w:rPr>
            <w:rFonts w:ascii="Cambria Math" w:hAnsi="Cambria Math"/>
          </w:rPr>
          <m:t>t+1</m:t>
        </m:r>
      </m:oMath>
      <w:r w:rsidR="00CE5DD5" w:rsidRPr="00CE5DD5">
        <w:t>).</w:t>
      </w:r>
    </w:p>
    <w:p w:rsidR="00CE5DD5" w:rsidRPr="00CE5DD5" w:rsidRDefault="00CE5DD5" w:rsidP="00CE5DD5">
      <w:pPr>
        <w:pStyle w:val="AERbulletlistfirststyle"/>
      </w:pPr>
      <w:r w:rsidRPr="00CE5DD5">
        <w:t>0.6 is the proportion of the RAB that is debt financed</w:t>
      </w:r>
    </w:p>
    <w:p w:rsidR="00CE5DD5" w:rsidRPr="00CE5DD5" w:rsidRDefault="004A6459" w:rsidP="00CE5DD5">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CE5DD5" w:rsidRPr="00CE5DD5">
        <w:t xml:space="preserve"> are the estimates of the return on debt used to calculate the return on capital cash flows</w:t>
      </w:r>
    </w:p>
    <w:p w:rsidR="00CE5DD5" w:rsidRPr="00CE5DD5" w:rsidRDefault="004A6459" w:rsidP="00CE5DD5">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CE5DD5" w:rsidRPr="00CE5DD5">
        <w:t xml:space="preserve"> is the (spot) discount rate at year </w:t>
      </w:r>
      <m:oMath>
        <m:r>
          <w:rPr>
            <w:rFonts w:ascii="Cambria Math" w:hAnsi="Cambria Math"/>
          </w:rPr>
          <m:t>t</m:t>
        </m:r>
      </m:oMath>
      <w:r w:rsidR="00CE5DD5" w:rsidRPr="00CE5DD5">
        <w:t xml:space="preserve"> for a term of </w:t>
      </w:r>
      <m:oMath>
        <m:r>
          <w:rPr>
            <w:rFonts w:ascii="Cambria Math" w:hAnsi="Cambria Math"/>
          </w:rPr>
          <m:t>j</m:t>
        </m:r>
      </m:oMath>
      <w:r w:rsidR="00CE5DD5" w:rsidRPr="00CE5DD5">
        <w:t xml:space="preserve"> years.</w:t>
      </w:r>
    </w:p>
    <w:p w:rsidR="00CE5DD5" w:rsidRPr="00CE5DD5" w:rsidRDefault="00CE5DD5" w:rsidP="00CE5DD5">
      <w:r w:rsidRPr="00CE5DD5">
        <w:t xml:space="preserve">The present value of our proposed return on debt allowance over the next ten years (under a full transition) at time </w:t>
      </w:r>
      <m:oMath>
        <m:r>
          <w:rPr>
            <w:rFonts w:ascii="Cambria Math" w:hAnsi="Cambria Math"/>
          </w:rPr>
          <m:t>t=0</m:t>
        </m:r>
      </m:oMath>
      <w:r w:rsidRPr="00CE5DD5">
        <w:t xml:space="preserve"> is as follows:</w:t>
      </w:r>
      <w:r w:rsidRPr="00CE5DD5">
        <w:rPr>
          <w:rStyle w:val="FootnoteReference"/>
        </w:rPr>
        <w:footnoteReference w:id="1315"/>
      </w:r>
    </w:p>
    <w:p w:rsidR="00CE5DD5" w:rsidRPr="00CE5DD5" w:rsidRDefault="004A6459" w:rsidP="00CE5DD5">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CE5DD5"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CE5DD5">
        <w:t xml:space="preserve"> </w:t>
      </w:r>
      <w:r w:rsidRPr="00CE5DD5">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CE5DD5">
        <w:t xml:space="preserve"> </w:t>
      </w:r>
      <w:r w:rsidRPr="00CE5DD5">
        <w:br/>
        <w:t xml:space="preserve">The present value of the service providers' proposed return on debt allowance over the next ten years (under an immediate transition) at time </w:t>
      </w:r>
      <m:oMath>
        <m:r>
          <w:rPr>
            <w:rFonts w:ascii="Cambria Math" w:hAnsi="Cambria Math"/>
          </w:rPr>
          <m:t>t=0</m:t>
        </m:r>
      </m:oMath>
      <w:r w:rsidRPr="00CE5DD5">
        <w:t xml:space="preserve">  is as follows:</w:t>
      </w:r>
    </w:p>
    <w:p w:rsidR="00CE5DD5" w:rsidRPr="00CE5DD5" w:rsidRDefault="004A6459" w:rsidP="00CE5DD5">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CE5DD5"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CE5DD5">
        <w:t xml:space="preserve"> </w:t>
      </w:r>
    </w:p>
    <w:p w:rsidR="00CE5DD5" w:rsidRPr="00CE5DD5" w:rsidRDefault="00CE5DD5" w:rsidP="00CE5DD5">
      <m:oMath>
        <m:r>
          <w:rPr>
            <w:rFonts w:ascii="Cambria Math" w:hAnsi="Cambria Math"/>
          </w:rPr>
          <m:t>+</m:t>
        </m:r>
        <m:r>
          <m:rPr>
            <m:sty m:val="p"/>
          </m:rPr>
          <w:rPr>
            <w:rFonts w:ascii="Cambria Math" w:hAnsi="Cambria Math"/>
          </w:rPr>
          <m:t>…</m:t>
        </m:r>
      </m:oMath>
      <w:r w:rsidRPr="00CE5DD5">
        <w:t xml:space="preserve"> </w:t>
      </w:r>
      <w:r w:rsidRPr="00CE5DD5">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CE5DD5">
        <w:t xml:space="preserve"> </w:t>
      </w:r>
    </w:p>
    <w:p w:rsidR="00CE5DD5" w:rsidRPr="00CE5DD5" w:rsidRDefault="00CE5DD5" w:rsidP="00CE5DD5">
      <w:r w:rsidRPr="00CE5DD5">
        <w:t>Subtracting the present value of our return on debt allowance over the next ten years from the present value of the service providers' proposed return on debt allowance over the next ten years gives the following difference in present value terms:</w:t>
      </w:r>
    </w:p>
    <w:p w:rsidR="00CE5DD5" w:rsidRPr="00CE5DD5" w:rsidRDefault="004A6459" w:rsidP="00CE5DD5">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CE5DD5"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CE5DD5">
        <w:t xml:space="preserve"> </w:t>
      </w:r>
      <w:r w:rsidRPr="00CE5DD5">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CE5DD5">
        <w:t xml:space="preserve"> </w:t>
      </w:r>
    </w:p>
    <w:p w:rsidR="00CE5DD5" w:rsidRPr="00CE5DD5" w:rsidRDefault="00CE5DD5" w:rsidP="00CE5DD5">
      <m:oMath>
        <m:r>
          <w:rPr>
            <w:rFonts w:ascii="Cambria Math" w:hAnsi="Cambria Math"/>
          </w:rPr>
          <m:t>+0</m:t>
        </m:r>
      </m:oMath>
      <w:r w:rsidRPr="00CE5DD5">
        <w:t xml:space="preserve"> </w:t>
      </w:r>
    </w:p>
    <w:p w:rsidR="00CE5DD5" w:rsidRPr="00CE5DD5" w:rsidRDefault="00CE5DD5" w:rsidP="00CE5DD5">
      <w:r w:rsidRPr="00CE5DD5">
        <w:t>We can conclude several things from the above calculation in relation to the expected return on debt allowance:</w:t>
      </w:r>
    </w:p>
    <w:p w:rsidR="00CE5DD5" w:rsidRPr="00CE5DD5" w:rsidRDefault="00CE5DD5" w:rsidP="00CE5DD5">
      <w:pPr>
        <w:pStyle w:val="AERbulletlistfirststyle"/>
      </w:pPr>
      <w:r w:rsidRPr="00CE5DD5">
        <w:t xml:space="preserve">Assuming you use the same data series, term and credit rating, the difference between our proposed return on debt allowance and </w:t>
      </w:r>
      <w:r w:rsidR="00616770">
        <w:t>return on debt allowance under no transition</w:t>
      </w:r>
      <w:r w:rsidR="00616770" w:rsidRPr="00CE5DD5">
        <w:t xml:space="preserve"> </w:t>
      </w:r>
      <w:r w:rsidRPr="00CE5DD5">
        <w:t>is a fixed amount in each of the first nine years.</w:t>
      </w:r>
      <w:r w:rsidRPr="00CE5DD5">
        <w:rPr>
          <w:rStyle w:val="FootnoteReference"/>
        </w:rPr>
        <w:footnoteReference w:id="1316"/>
      </w:r>
    </w:p>
    <w:p w:rsidR="00CE5DD5" w:rsidRPr="00CE5DD5" w:rsidRDefault="00CE5DD5" w:rsidP="00CE5DD5">
      <w:pPr>
        <w:pStyle w:val="AERbulletlistfirststyle"/>
      </w:pPr>
      <w:r w:rsidRPr="00CE5DD5">
        <w:t xml:space="preserve">Assuming you use the same data series, term and credit rating, there is no difference between our proposed return on debt allowance and </w:t>
      </w:r>
      <w:r w:rsidR="00616770">
        <w:t>return on debt allowance under no transition</w:t>
      </w:r>
      <w:r w:rsidR="00616770" w:rsidRPr="00CE5DD5">
        <w:t xml:space="preserve"> </w:t>
      </w:r>
      <w:r w:rsidRPr="00CE5DD5">
        <w:t>from year ten onwards.</w:t>
      </w:r>
    </w:p>
    <w:p w:rsidR="00CE5DD5" w:rsidRPr="00CE5DD5" w:rsidRDefault="00CE5DD5" w:rsidP="00CE5DD5">
      <w:pPr>
        <w:pStyle w:val="AERbulletlistfirststyle"/>
      </w:pPr>
      <w:r w:rsidRPr="00CE5DD5">
        <w:t xml:space="preserve">The present value of the difference in our proposed return on debt allowance and </w:t>
      </w:r>
      <w:r w:rsidR="00616770">
        <w:t>return on debt allowance under no transition</w:t>
      </w:r>
      <w:r w:rsidR="00616770" w:rsidRPr="00CE5DD5" w:rsidDel="00616770">
        <w:t xml:space="preserve"> </w:t>
      </w:r>
      <w:r w:rsidRPr="00CE5DD5">
        <w:t>for each of the next nine years can be calculated today.</w:t>
      </w:r>
      <w:r w:rsidRPr="00CE5DD5">
        <w:rPr>
          <w:rStyle w:val="FootnoteReference"/>
        </w:rPr>
        <w:footnoteReference w:id="1317"/>
      </w:r>
      <w:r w:rsidRPr="00CE5DD5">
        <w:t xml:space="preserve"> This total present value is a sum of the difference in values for each of the next nine years (as shown above).</w:t>
      </w:r>
    </w:p>
    <w:p w:rsidR="00CE5DD5" w:rsidRPr="00CE5DD5" w:rsidRDefault="00CE5DD5" w:rsidP="00CE5DD5">
      <w:pPr>
        <w:pStyle w:val="AERbulletlistfirststyle"/>
      </w:pPr>
      <w:r w:rsidRPr="00CE5DD5">
        <w:t xml:space="preserve">Given that current interest rates are well below average historical rates over the last nine years, </w:t>
      </w:r>
      <w:r w:rsidR="00616770">
        <w:t>return on debt allowance under no transition</w:t>
      </w:r>
      <w:r w:rsidR="00616770" w:rsidRPr="00CE5DD5" w:rsidDel="00616770">
        <w:t xml:space="preserve"> </w:t>
      </w:r>
      <w:r w:rsidRPr="00CE5DD5">
        <w:t>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CE5DD5" w:rsidRPr="00CE5DD5" w:rsidRDefault="00616770" w:rsidP="00CE5DD5">
      <w:r>
        <w:t xml:space="preserve">The </w:t>
      </w:r>
      <w:r w:rsidR="00CE5DD5" w:rsidRPr="00CE5DD5">
        <w:t xml:space="preserve">above propositions also hold </w:t>
      </w:r>
      <w:r>
        <w:t>when comparing our transitional approach with a hybrid transitional approach.</w:t>
      </w:r>
      <w:r w:rsidRPr="00CE5DD5">
        <w:t xml:space="preserve"> </w:t>
      </w:r>
      <w:r>
        <w:t>That</w:t>
      </w:r>
      <w:r w:rsidR="00CE5DD5" w:rsidRPr="00CE5DD5">
        <w:t xml:space="preserve"> is, the difference </w:t>
      </w:r>
      <w:r>
        <w:t xml:space="preserve">between these allowances </w:t>
      </w:r>
      <w:r w:rsidR="00CE5DD5" w:rsidRPr="00CE5DD5">
        <w:t xml:space="preserve">each year will be a fixed amount that can be quantified and </w:t>
      </w:r>
      <w:r w:rsidR="000F53E3" w:rsidRPr="00CE5DD5">
        <w:t>valued</w:t>
      </w:r>
      <w:r w:rsidR="000F53E3">
        <w:t>. However</w:t>
      </w:r>
      <w:r>
        <w:t>, the magnitude of this difference will differ depending on the approach proposed.</w:t>
      </w:r>
    </w:p>
    <w:p w:rsidR="00CE5DD5" w:rsidRPr="00CE5DD5" w:rsidRDefault="00CE5DD5" w:rsidP="00CE5DD5">
      <w:r w:rsidRPr="00CE5DD5">
        <w:t>In relation to the risk associated with the alternative return on debt allowances, 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sidRPr="00CE5DD5">
        <w:rPr>
          <w:rStyle w:val="FootnoteReference"/>
        </w:rPr>
        <w:footnoteReference w:id="1318"/>
      </w:r>
      <w:r w:rsidRPr="00CE5DD5">
        <w:t xml:space="preserve"> </w:t>
      </w:r>
    </w:p>
    <w:p w:rsidR="00CE5DD5" w:rsidRPr="00CE5DD5" w:rsidRDefault="00CE5DD5" w:rsidP="00CE5DD5">
      <w:r w:rsidRPr="00CE5DD5">
        <w:t xml:space="preserve">This above analysis implies the key difference between our proposed return on debt allowance and </w:t>
      </w:r>
      <w:r w:rsidR="00616770">
        <w:t xml:space="preserve">the other transitional approaches that service providers have recently proposed </w:t>
      </w:r>
      <w:r w:rsidRPr="00CE5DD5">
        <w:t>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sidRPr="00CE5DD5">
        <w:rPr>
          <w:rStyle w:val="FootnoteReference"/>
        </w:rPr>
        <w:footnoteReference w:id="1319"/>
      </w:r>
    </w:p>
    <w:p w:rsidR="00CE5DD5" w:rsidRPr="00CE5DD5" w:rsidRDefault="00CE5DD5" w:rsidP="00CE5DD5">
      <w:pPr>
        <w:pStyle w:val="AERquote"/>
      </w:pPr>
      <w:r w:rsidRPr="00CE5DD5">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r w:rsidRPr="00CE5DD5">
        <w:rPr>
          <w:rFonts w:eastAsiaTheme="minorHAnsi"/>
        </w:rPr>
        <w:t xml:space="preserve"> </w:t>
      </w:r>
    </w:p>
    <w:p w:rsidR="00CE5DD5" w:rsidRPr="00CE5DD5" w:rsidRDefault="00CE5DD5" w:rsidP="00CE5DD5">
      <w:r w:rsidRPr="00CE5DD5">
        <w:t>In their new report to the AER, they further state:</w:t>
      </w:r>
      <w:r w:rsidRPr="00CE5DD5">
        <w:rPr>
          <w:rStyle w:val="FootnoteReference"/>
        </w:rPr>
        <w:footnoteReference w:id="1320"/>
      </w:r>
    </w:p>
    <w:p w:rsidR="00CE5DD5" w:rsidRPr="00CE5DD5" w:rsidRDefault="00CE5DD5" w:rsidP="00CE5DD5">
      <w:pPr>
        <w:pStyle w:val="AERquote"/>
      </w:pPr>
      <w:r w:rsidRPr="00CE5DD5">
        <w:t>As far as possible regulatory action should not damage stakeholders’ confidence in the regulatory process. When there are substantial and unintended wealth transfers that arise from regulatory change this may damage confidence in the regulator by those who suffer the wealth loss and increase the perception of regulatory risk.</w:t>
      </w:r>
    </w:p>
    <w:p w:rsidR="00CE5DD5" w:rsidRPr="00CE5DD5" w:rsidRDefault="00CE5DD5" w:rsidP="00CE5DD5"/>
    <w:p w:rsidR="00CE5DD5" w:rsidRPr="00CE5DD5" w:rsidRDefault="00616770" w:rsidP="00CE5DD5">
      <w:pPr>
        <w:pStyle w:val="Heading9"/>
      </w:pPr>
      <w:bookmarkStart w:id="369" w:name="_Ref447886226"/>
      <w:bookmarkStart w:id="370" w:name="_Toc451947846"/>
      <w:r>
        <w:t xml:space="preserve">Regulatory proposal of TasNetworks and </w:t>
      </w:r>
      <w:r w:rsidR="00CE5DD5" w:rsidRPr="00CE5DD5">
        <w:t>Revised regulatory proposal of AusNet Services</w:t>
      </w:r>
      <w:bookmarkEnd w:id="369"/>
      <w:bookmarkEnd w:id="370"/>
      <w:r w:rsidR="00CE5DD5" w:rsidRPr="00CE5DD5">
        <w:t xml:space="preserve"> </w:t>
      </w:r>
    </w:p>
    <w:p w:rsidR="004D26DF" w:rsidRPr="00CE5DD5" w:rsidRDefault="00616770" w:rsidP="00173350">
      <w:r>
        <w:t>TasNetworks and</w:t>
      </w:r>
      <w:r w:rsidR="00CE5DD5" w:rsidRPr="00CE5DD5">
        <w:t xml:space="preserve"> AusNet accepted the 10 year trailing average approach set out in the AER’s Guideline (full transition)</w:t>
      </w:r>
      <w:r>
        <w:t xml:space="preserve"> in their initial regulatory proposals</w:t>
      </w:r>
      <w:r w:rsidR="00CE5DD5" w:rsidRPr="00CE5DD5">
        <w:t>.</w:t>
      </w:r>
      <w:r w:rsidR="00CE5DD5" w:rsidRPr="00CE5DD5">
        <w:rPr>
          <w:rStyle w:val="FootnoteReference"/>
        </w:rPr>
        <w:footnoteReference w:id="1321"/>
      </w:r>
      <w:r w:rsidR="00CE5DD5" w:rsidRPr="00CE5DD5">
        <w:t xml:space="preserve"> </w:t>
      </w:r>
      <w:r>
        <w:t>While TasNetworks maintained this position in its revised regulatory proposal,</w:t>
      </w:r>
      <w:r w:rsidR="002A5E10">
        <w:t xml:space="preserve"> AusNet</w:t>
      </w:r>
      <w:r w:rsidR="00AB5AB7">
        <w:t xml:space="preserve"> substantially</w:t>
      </w:r>
      <w:r w:rsidR="00CE5DD5" w:rsidRPr="00CE5DD5">
        <w:t xml:space="preserve"> changed its position to propose an ‘immediate transition’ and 'hybrid transition' as its second preference in its revised proposal</w:t>
      </w:r>
      <w:r w:rsidR="004D26DF">
        <w:t>.</w:t>
      </w:r>
      <w:r w:rsidR="00CE5DD5" w:rsidRPr="00CE5DD5">
        <w:t xml:space="preserve"> </w:t>
      </w:r>
      <w:r w:rsidR="00CE5DD5" w:rsidRPr="00CE5DD5">
        <w:rPr>
          <w:rStyle w:val="FootnoteReference"/>
        </w:rPr>
        <w:footnoteReference w:id="1322"/>
      </w:r>
      <w:r>
        <w:t xml:space="preserve"> </w:t>
      </w:r>
      <w:r w:rsidR="004D26DF">
        <w:t>The hybrid transition</w:t>
      </w:r>
      <w:r w:rsidR="00CE5DD5" w:rsidRPr="00CE5DD5">
        <w:t xml:space="preserve"> combined a 10 year transition of the base rate into a trailing average approach with a backwards looking trailing average DRP. </w:t>
      </w:r>
    </w:p>
    <w:p w:rsidR="00CE5DD5" w:rsidRPr="00CE5DD5" w:rsidRDefault="00CE5DD5" w:rsidP="00173350">
      <w:r w:rsidRPr="00CE5DD5">
        <w:t>While we have fully considered and responded to its revised proposal in making this decision, we note AusNet Services is no longer maintaining</w:t>
      </w:r>
      <w:r w:rsidR="004D26DF">
        <w:t xml:space="preserve"> either</w:t>
      </w:r>
      <w:r w:rsidRPr="00CE5DD5">
        <w:t xml:space="preserve"> its proposal for an immediate trailing average</w:t>
      </w:r>
      <w:r w:rsidR="004D26DF">
        <w:t xml:space="preserve"> or its second preference proposal for a hybrid transition</w:t>
      </w:r>
      <w:r w:rsidRPr="00CE5DD5">
        <w:t xml:space="preserve">. Its revised position (to no longer request an immediate backward looking trailing average) appears consistent with its decision to not appeal our May 2016 decision to apply a full transition when calculating the cost of debt for its </w:t>
      </w:r>
      <w:r w:rsidR="00D77FFC" w:rsidRPr="00CE5DD5">
        <w:t>Victoria</w:t>
      </w:r>
      <w:r w:rsidR="00D77FFC">
        <w:t>n electricity distribution network</w:t>
      </w:r>
      <w:r w:rsidRPr="00CE5DD5">
        <w:t>.</w:t>
      </w:r>
      <w:r w:rsidRPr="00CE5DD5">
        <w:rPr>
          <w:rStyle w:val="FootnoteReference"/>
        </w:rPr>
        <w:t xml:space="preserve"> </w:t>
      </w:r>
      <w:r w:rsidRPr="00CE5DD5">
        <w:rPr>
          <w:rStyle w:val="FootnoteReference"/>
        </w:rPr>
        <w:footnoteReference w:id="1323"/>
      </w:r>
      <w:r w:rsidRPr="00CE5DD5">
        <w:t xml:space="preserve">   </w:t>
      </w:r>
    </w:p>
    <w:p w:rsidR="00CE5DD5" w:rsidRPr="00CE5DD5" w:rsidRDefault="00CE5DD5" w:rsidP="00CE5DD5">
      <w:r w:rsidRPr="00CE5DD5">
        <w:t xml:space="preserve">In response to the Victorian </w:t>
      </w:r>
      <w:r w:rsidR="00D77FFC">
        <w:t>DNSPs</w:t>
      </w:r>
      <w:r w:rsidR="00C042FB">
        <w:t>'</w:t>
      </w:r>
      <w:r w:rsidRPr="00CE5DD5">
        <w:t xml:space="preserve"> revised proposal</w:t>
      </w:r>
      <w:r w:rsidR="0027602F">
        <w:t>s</w:t>
      </w:r>
      <w:r w:rsidRPr="00CE5DD5">
        <w:t xml:space="preserve"> on this topic (that also changed their transition approach in their initial proposals to an immediate backward looking trailing average), CCP3 submitted that following this new position, these service providers were proposing a higher effective DRP than what they would have incurred during the Global Financial Crisis.</w:t>
      </w:r>
      <w:r w:rsidRPr="00CE5DD5">
        <w:rPr>
          <w:rStyle w:val="FootnoteReference"/>
        </w:rPr>
        <w:footnoteReference w:id="1324"/>
      </w:r>
      <w:r w:rsidRPr="00CE5DD5">
        <w:t xml:space="preserve"> It subsequently advised:</w:t>
      </w:r>
      <w:r w:rsidRPr="00CE5DD5">
        <w:rPr>
          <w:rStyle w:val="FootnoteReference"/>
        </w:rPr>
        <w:footnoteReference w:id="1325"/>
      </w:r>
    </w:p>
    <w:p w:rsidR="00CE5DD5" w:rsidRPr="00CE5DD5" w:rsidRDefault="00CE5DD5" w:rsidP="00CE5DD5">
      <w:pPr>
        <w:pStyle w:val="AERquote"/>
      </w:pPr>
      <w:r w:rsidRPr="00CE5DD5">
        <w:t>CCP3 does not consider that the DNSPs’ revised RoD proposals for 2016</w:t>
      </w:r>
      <w:r w:rsidRPr="00CE5DD5">
        <w:rPr>
          <w:rFonts w:ascii="Cambria Math" w:hAnsi="Cambria Math" w:cs="Cambria Math"/>
        </w:rPr>
        <w:t>‐</w:t>
      </w:r>
      <w:r w:rsidRPr="00CE5DD5">
        <w:t>20 reflect a reasonable expectation of their current overall efficient debt portfolio costs; nor do the RoD proposals reflect expected future debt costs.</w:t>
      </w:r>
    </w:p>
    <w:p w:rsidR="00CE5DD5" w:rsidRPr="00CE5DD5" w:rsidRDefault="00CE5DD5" w:rsidP="00CE5DD5">
      <w:pPr>
        <w:pStyle w:val="HeadingBoldBlue"/>
      </w:pPr>
      <w:r w:rsidRPr="00CE5DD5">
        <w:t>Proposals for immediately adopting a trailing average</w:t>
      </w:r>
    </w:p>
    <w:p w:rsidR="00CE5DD5" w:rsidRPr="00CE5DD5" w:rsidRDefault="00D77FFC" w:rsidP="00CE5DD5">
      <w:r>
        <w:t xml:space="preserve">AusNet </w:t>
      </w:r>
      <w:r w:rsidRPr="00CE5DD5">
        <w:t>Service</w:t>
      </w:r>
      <w:r>
        <w:t>s in relation to its transmission determination, and ActewAGL Gas and the Victorian DNSPs in relation to their distribution processes completed last year</w:t>
      </w:r>
      <w:r w:rsidRPr="00CE5DD5" w:rsidDel="00D77FFC">
        <w:t xml:space="preserve"> </w:t>
      </w:r>
      <w:r w:rsidR="00CE5DD5" w:rsidRPr="00CE5DD5">
        <w:t>submitted a range of (often interrelated) reasons for supporting the change in preference seen in their revised proposals towards immediately transitioning to a trailing average. We do not agree with the logic driving th</w:t>
      </w:r>
      <w:r>
        <w:t>ese</w:t>
      </w:r>
      <w:r w:rsidR="00CE5DD5" w:rsidRPr="00CE5DD5">
        <w:t xml:space="preserve"> change</w:t>
      </w:r>
      <w:r>
        <w:t>s</w:t>
      </w:r>
      <w:r w:rsidR="00CE5DD5" w:rsidRPr="00CE5DD5">
        <w:t xml:space="preserve"> in preference, which </w:t>
      </w:r>
      <w:r w:rsidR="00CE5DD5" w:rsidRPr="00CE5DD5">
        <w:fldChar w:fldCharType="begin"/>
      </w:r>
      <w:r w:rsidR="00CE5DD5" w:rsidRPr="00CE5DD5">
        <w:instrText xml:space="preserve"> REF  _Ref447807493 \* Lower \h </w:instrText>
      </w:r>
      <w:r w:rsidR="00CE5DD5" w:rsidRPr="00CE5DD5">
        <w:fldChar w:fldCharType="separate"/>
      </w:r>
      <w:r w:rsidR="00C6448C" w:rsidRPr="00CE5DD5">
        <w:t xml:space="preserve">table </w:t>
      </w:r>
      <w:r w:rsidR="00C6448C">
        <w:rPr>
          <w:noProof/>
        </w:rPr>
        <w:t>3</w:t>
      </w:r>
      <w:r w:rsidR="00C6448C">
        <w:noBreakHyphen/>
      </w:r>
      <w:r w:rsidR="00C6448C">
        <w:rPr>
          <w:noProof/>
        </w:rPr>
        <w:t>37</w:t>
      </w:r>
      <w:r w:rsidR="00CE5DD5" w:rsidRPr="00CE5DD5">
        <w:fldChar w:fldCharType="end"/>
      </w:r>
      <w:r w:rsidR="00CE5DD5" w:rsidRPr="00CE5DD5">
        <w:t xml:space="preserve"> addresses. This table covers the reasons put forward by service providers in relation</w:t>
      </w:r>
      <w:r w:rsidR="00DF4722">
        <w:t xml:space="preserve"> to</w:t>
      </w:r>
      <w:r w:rsidR="00CE5DD5" w:rsidRPr="00CE5DD5">
        <w:t xml:space="preserve"> decisions released in May and July 2016, as well as the reasons put forward by AusNet Transmi</w:t>
      </w:r>
      <w:r w:rsidR="0016738D">
        <w:t>s</w:t>
      </w:r>
      <w:r w:rsidR="00CE5DD5" w:rsidRPr="00CE5DD5">
        <w:t>sion in its revised proposal</w:t>
      </w:r>
      <w:r w:rsidR="00A6401F">
        <w:t>.</w:t>
      </w:r>
    </w:p>
    <w:p w:rsidR="00CE5DD5" w:rsidRPr="00CE5DD5" w:rsidRDefault="00CE5DD5" w:rsidP="00CE5DD5">
      <w:pPr>
        <w:pStyle w:val="Caption"/>
      </w:pPr>
      <w:bookmarkStart w:id="371" w:name="_Ref447807493"/>
      <w:r w:rsidRPr="00CE5DD5">
        <w:t xml:space="preserve">Table </w:t>
      </w:r>
      <w:fldSimple w:instr=" STYLEREF 1 \s ">
        <w:r w:rsidR="00C6448C">
          <w:rPr>
            <w:noProof/>
          </w:rPr>
          <w:t>3</w:t>
        </w:r>
      </w:fldSimple>
      <w:r w:rsidR="00882F3D">
        <w:noBreakHyphen/>
      </w:r>
      <w:fldSimple w:instr=" SEQ Table \* ARABIC \s 1 ">
        <w:r w:rsidR="00C6448C">
          <w:rPr>
            <w:noProof/>
          </w:rPr>
          <w:t>37</w:t>
        </w:r>
      </w:fldSimple>
      <w:bookmarkEnd w:id="371"/>
      <w:r w:rsidRPr="00CE5DD5">
        <w:t xml:space="preserve"> </w:t>
      </w:r>
      <w:r w:rsidRPr="00CE5DD5">
        <w:tab/>
        <w:t>AER view of reasons in revised regulatory proposals</w:t>
      </w:r>
    </w:p>
    <w:tbl>
      <w:tblPr>
        <w:tblStyle w:val="AERtable-text0"/>
        <w:tblW w:w="0" w:type="auto"/>
        <w:tblLook w:val="04A0" w:firstRow="1" w:lastRow="0" w:firstColumn="1" w:lastColumn="0" w:noHBand="0" w:noVBand="1"/>
      </w:tblPr>
      <w:tblGrid>
        <w:gridCol w:w="2802"/>
        <w:gridCol w:w="5891"/>
      </w:tblGrid>
      <w:tr w:rsidR="00CE5DD5" w:rsidTr="00C04C58">
        <w:trPr>
          <w:cnfStyle w:val="100000000000" w:firstRow="1" w:lastRow="0" w:firstColumn="0" w:lastColumn="0" w:oddVBand="0" w:evenVBand="0" w:oddHBand="0" w:evenHBand="0" w:firstRowFirstColumn="0" w:firstRowLastColumn="0" w:lastRowFirstColumn="0" w:lastRowLastColumn="0"/>
        </w:trPr>
        <w:tc>
          <w:tcPr>
            <w:tcW w:w="2802" w:type="dxa"/>
          </w:tcPr>
          <w:p w:rsidR="00CE5DD5" w:rsidRPr="00CE5DD5" w:rsidRDefault="00CE5DD5" w:rsidP="00CE5DD5">
            <w:r w:rsidRPr="00CE5DD5">
              <w:t>Reason provided in revised regulatory proposals</w:t>
            </w:r>
          </w:p>
        </w:tc>
        <w:tc>
          <w:tcPr>
            <w:tcW w:w="5891" w:type="dxa"/>
          </w:tcPr>
          <w:p w:rsidR="00CE5DD5" w:rsidRPr="00CE5DD5" w:rsidRDefault="00CE5DD5" w:rsidP="00CE5DD5">
            <w:r w:rsidRPr="00CE5DD5">
              <w:t>AER view</w:t>
            </w:r>
          </w:p>
        </w:tc>
      </w:tr>
      <w:tr w:rsidR="00CE5DD5" w:rsidTr="00C04C58">
        <w:tc>
          <w:tcPr>
            <w:tcW w:w="2802" w:type="dxa"/>
          </w:tcPr>
          <w:p w:rsidR="00CE5DD5" w:rsidRPr="00CE5DD5" w:rsidRDefault="00CE5DD5" w:rsidP="00CE5DD5">
            <w:r w:rsidRPr="00CE5DD5">
              <w:t xml:space="preserve">An immediate (or hybrid) transition is consistent with a historically-based definition of efficient financing costs. </w:t>
            </w:r>
          </w:p>
        </w:tc>
        <w:tc>
          <w:tcPr>
            <w:tcW w:w="5891" w:type="dxa"/>
          </w:tcPr>
          <w:p w:rsidR="00CE5DD5" w:rsidRPr="00CE5DD5" w:rsidRDefault="00CE5DD5" w:rsidP="00CE5DD5">
            <w:r w:rsidRPr="00CE5DD5">
              <w:t xml:space="preserve">We do not consider 'efficient financing costs' in the ARORO refers to historical costs, requiring compensation for losses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CE5DD5">
              <w:fldChar w:fldCharType="begin"/>
            </w:r>
            <w:r w:rsidRPr="00CE5DD5">
              <w:instrText xml:space="preserve"> REF _Ref446603900 \r \h </w:instrText>
            </w:r>
            <w:r w:rsidRPr="00CE5DD5">
              <w:fldChar w:fldCharType="separate"/>
            </w:r>
            <w:r w:rsidR="00C6448C">
              <w:t>H.2.1</w:t>
            </w:r>
            <w:r w:rsidRPr="00CE5DD5">
              <w:fldChar w:fldCharType="end"/>
            </w:r>
            <w:r w:rsidRPr="00CE5DD5">
              <w:t xml:space="preserve">). If provided with ex-ante efficient compensation, then a benchmark efficient entity has a reasonable opportunity to recover its efficient debt financing costs. </w:t>
            </w:r>
          </w:p>
          <w:p w:rsidR="00CE5DD5" w:rsidRPr="00CE5DD5" w:rsidRDefault="00CE5DD5" w:rsidP="00CE5DD5">
            <w:r w:rsidRPr="00CE5DD5">
              <w:t xml:space="preserve">The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CE5DD5">
              <w:fldChar w:fldCharType="begin"/>
            </w:r>
            <w:r w:rsidRPr="00CE5DD5">
              <w:instrText xml:space="preserve"> REF _Ref446405872 \r \h </w:instrText>
            </w:r>
            <w:r w:rsidRPr="00CE5DD5">
              <w:fldChar w:fldCharType="separate"/>
            </w:r>
            <w:r w:rsidR="00C6448C">
              <w:t>H.1.1</w:t>
            </w:r>
            <w:r w:rsidRPr="00CE5DD5">
              <w:fldChar w:fldCharType="end"/>
            </w:r>
            <w:r w:rsidRPr="00CE5DD5">
              <w:t>).</w:t>
            </w:r>
            <w:r w:rsidRPr="00CE5DD5">
              <w:rPr>
                <w:rStyle w:val="FootnoteReference"/>
              </w:rPr>
              <w:footnoteReference w:id="1326"/>
            </w:r>
          </w:p>
          <w:p w:rsidR="00CE5DD5" w:rsidRPr="00CE5DD5" w:rsidRDefault="00CE5DD5" w:rsidP="00CE5DD5">
            <w:r w:rsidRPr="00CE5DD5">
              <w:t xml:space="preserve">The trailing average approach can also reflect prevailing market rates because one-tenth of the historical average is updated each year to reflect prevailing market rates (see section </w:t>
            </w:r>
            <w:r w:rsidRPr="00CE5DD5">
              <w:fldChar w:fldCharType="begin"/>
            </w:r>
            <w:r w:rsidRPr="00CE5DD5">
              <w:instrText xml:space="preserve"> REF _Ref444773920 \r \h </w:instrText>
            </w:r>
            <w:r w:rsidRPr="00CE5DD5">
              <w:fldChar w:fldCharType="separate"/>
            </w:r>
            <w:r w:rsidR="00C6448C">
              <w:t>H.3.3</w:t>
            </w:r>
            <w:r w:rsidRPr="00CE5DD5">
              <w:fldChar w:fldCharType="end"/>
            </w:r>
            <w:r w:rsidRPr="00CE5DD5">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2802" w:type="dxa"/>
          </w:tcPr>
          <w:p w:rsidR="00CE5DD5" w:rsidRPr="00CE5DD5" w:rsidRDefault="00CE5DD5" w:rsidP="00CE5DD5">
            <w:r w:rsidRPr="00CE5DD5">
              <w:t>Immediately implementing a trailing average (in whole or part) would reduce the ex-post 'mismatch' between the allowed return on debt cash flows and a benchmark efficient entity's actual (historical) debt costs (or cash outflows).</w:t>
            </w:r>
            <w:r w:rsidRPr="00CE5DD5">
              <w:rPr>
                <w:rStyle w:val="FootnoteReference"/>
              </w:rPr>
              <w:footnoteReference w:id="1327"/>
            </w:r>
            <w:r w:rsidRPr="00CE5DD5">
              <w:t xml:space="preserve"> </w:t>
            </w:r>
          </w:p>
        </w:tc>
        <w:tc>
          <w:tcPr>
            <w:tcW w:w="5891" w:type="dxa"/>
          </w:tcPr>
          <w:p w:rsidR="00CE5DD5" w:rsidRPr="00CE5DD5" w:rsidRDefault="00CE5DD5" w:rsidP="00CE5DD5">
            <w:r w:rsidRPr="00CE5DD5">
              <w:t xml:space="preserve">As discussed in section </w:t>
            </w:r>
            <w:r w:rsidRPr="00CE5DD5">
              <w:fldChar w:fldCharType="begin"/>
            </w:r>
            <w:r w:rsidRPr="00CE5DD5">
              <w:instrText xml:space="preserve"> REF _Ref446603900 \r \h </w:instrText>
            </w:r>
            <w:r w:rsidRPr="00CE5DD5">
              <w:fldChar w:fldCharType="separate"/>
            </w:r>
            <w:r w:rsidR="00C6448C">
              <w:t>H.2.1</w:t>
            </w:r>
            <w:r w:rsidRPr="00CE5DD5">
              <w:fldChar w:fldCharType="end"/>
            </w:r>
            <w:r w:rsidRPr="00CE5DD5">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CE5DD5">
              <w:rPr>
                <w:rStyle w:val="FootnoteReference"/>
              </w:rPr>
              <w:footnoteReference w:id="1328"/>
            </w:r>
          </w:p>
          <w:p w:rsidR="00CE5DD5" w:rsidRPr="00CE5DD5" w:rsidRDefault="00CE5DD5" w:rsidP="00CE5DD5">
            <w:r w:rsidRPr="00CE5DD5">
              <w:t>We consider that under ex-ante regulation, we are required to have regard to the desirability of reducing the risk of a mismatch (going forward).</w:t>
            </w:r>
            <w:r w:rsidRPr="00CE5DD5">
              <w:rPr>
                <w:rStyle w:val="FootnoteReference"/>
              </w:rPr>
              <w:footnoteReference w:id="1329"/>
            </w:r>
            <w:r w:rsidRPr="00CE5DD5">
              <w:t xml:space="preserve"> In contrast to what service providers suggest, we are not required to remove a mismatch that has eventuated (ex-post). Ex-post mismatch reflects the realisation of interest rate risk that has already occurred and cannot be hedged.</w:t>
            </w:r>
            <w:r w:rsidRPr="00CE5DD5">
              <w:rPr>
                <w:rStyle w:val="FootnoteReference"/>
              </w:rPr>
              <w:footnoteReference w:id="1330"/>
            </w:r>
            <w:r w:rsidRPr="00CE5DD5">
              <w:t xml:space="preserve"> The equity value of the service providers we regulate should already reflect the value of any losses (or gains) from interest rate movements.</w:t>
            </w:r>
            <w:r w:rsidRPr="00CE5DD5">
              <w:rPr>
                <w:rStyle w:val="FootnoteReference"/>
              </w:rPr>
              <w:footnoteReference w:id="1331"/>
            </w:r>
          </w:p>
          <w:p w:rsidR="00CE5DD5" w:rsidRPr="00CE5DD5" w:rsidRDefault="00CE5DD5" w:rsidP="00CE5DD5">
            <w:r w:rsidRPr="00CE5DD5">
              <w:t xml:space="preserve">We consider the desirability of reducing mismatch risk is only applicable to new debt. All proposed approaches (immediate, hybrid and full transition) have 10 per cent of the allowed return on debt reset each year (see section </w:t>
            </w:r>
            <w:r w:rsidRPr="00CE5DD5">
              <w:fldChar w:fldCharType="begin"/>
            </w:r>
            <w:r w:rsidRPr="00CE5DD5">
              <w:instrText xml:space="preserve"> REF _Ref447886159 \r \h </w:instrText>
            </w:r>
            <w:r w:rsidRPr="00CE5DD5">
              <w:fldChar w:fldCharType="separate"/>
            </w:r>
            <w:r w:rsidR="00C6448C">
              <w:t>H.5.1</w:t>
            </w:r>
            <w:r w:rsidRPr="00CE5DD5">
              <w:fldChar w:fldCharType="end"/>
            </w:r>
            <w:r w:rsidRPr="00CE5DD5">
              <w:t>). Therefore, all proposed approaches should have the same exposure to future interest rate risk and result in the same level of genuine mismatch risk from changes in future interest rates.</w:t>
            </w:r>
          </w:p>
        </w:tc>
      </w:tr>
      <w:tr w:rsidR="00CE5DD5" w:rsidTr="00C04C58">
        <w:tc>
          <w:tcPr>
            <w:tcW w:w="2802" w:type="dxa"/>
          </w:tcPr>
          <w:p w:rsidR="00CE5DD5" w:rsidRPr="00CE5DD5" w:rsidRDefault="00CE5DD5" w:rsidP="00CE5DD5">
            <w:r w:rsidRPr="00CE5DD5">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CE5DD5">
              <w:rPr>
                <w:rStyle w:val="FootnoteReference"/>
              </w:rPr>
              <w:footnoteReference w:id="1332"/>
            </w:r>
          </w:p>
        </w:tc>
        <w:tc>
          <w:tcPr>
            <w:tcW w:w="5891" w:type="dxa"/>
          </w:tcPr>
          <w:p w:rsidR="00CE5DD5" w:rsidRPr="00CE5DD5" w:rsidRDefault="00CE5DD5" w:rsidP="00CE5DD5">
            <w:r w:rsidRPr="00CE5DD5">
              <w:t xml:space="preserve">Given the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CE5DD5">
              <w:fldChar w:fldCharType="begin"/>
            </w:r>
            <w:r w:rsidRPr="00CE5DD5">
              <w:instrText xml:space="preserve"> REF _Ref445131744 \r \h </w:instrText>
            </w:r>
            <w:r w:rsidRPr="00CE5DD5">
              <w:fldChar w:fldCharType="separate"/>
            </w:r>
            <w:r w:rsidR="00C6448C">
              <w:t>H.3.1</w:t>
            </w:r>
            <w:r w:rsidRPr="00CE5DD5">
              <w:fldChar w:fldCharType="end"/>
            </w:r>
            <w:r w:rsidRPr="00CE5DD5">
              <w:t xml:space="preserve">). </w:t>
            </w:r>
          </w:p>
          <w:p w:rsidR="00CE5DD5" w:rsidRPr="00CE5DD5" w:rsidRDefault="00CE5DD5" w:rsidP="00CE5DD5">
            <w:r w:rsidRPr="00CE5DD5">
              <w:t>Also, we consider 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2802" w:type="dxa"/>
          </w:tcPr>
          <w:p w:rsidR="00CE5DD5" w:rsidRPr="00CE5DD5" w:rsidRDefault="00CE5DD5" w:rsidP="00CE5DD5">
            <w:r w:rsidRPr="00CE5DD5">
              <w:t>CEG advised that incentives created by the on-the-day regime may not have resulted in efficient financing practices and may not be commensurate with 'efficient financing costs' referenced in the ARORO.</w:t>
            </w:r>
            <w:r w:rsidRPr="00CE5DD5">
              <w:rPr>
                <w:rStyle w:val="FootnoteReference"/>
              </w:rPr>
              <w:footnoteReference w:id="1333"/>
            </w:r>
            <w:r w:rsidRPr="00CE5DD5">
              <w:t xml:space="preserve"> </w:t>
            </w:r>
          </w:p>
          <w:p w:rsidR="00CE5DD5" w:rsidRPr="00CE5DD5" w:rsidRDefault="00CE5DD5" w:rsidP="00CE5DD5"/>
        </w:tc>
        <w:tc>
          <w:tcPr>
            <w:tcW w:w="5891" w:type="dxa"/>
          </w:tcPr>
          <w:p w:rsidR="00CE5DD5" w:rsidRPr="00CE5DD5" w:rsidRDefault="00CE5DD5" w:rsidP="00CE5DD5">
            <w:r w:rsidRPr="00CE5DD5">
              <w:t xml:space="preserve">We observe that CEG did not indicate what it considered 'efficient financing costs' meant in the context of the ARORO. As explained in section </w:t>
            </w:r>
            <w:r w:rsidRPr="00CE5DD5">
              <w:fldChar w:fldCharType="begin"/>
            </w:r>
            <w:r w:rsidRPr="00CE5DD5">
              <w:instrText xml:space="preserve"> REF _Ref444778432 \r \h  \* MERGEFORMAT </w:instrText>
            </w:r>
            <w:r w:rsidRPr="00CE5DD5">
              <w:fldChar w:fldCharType="separate"/>
            </w:r>
            <w:r w:rsidR="00C6448C">
              <w:t>H.2</w:t>
            </w:r>
            <w:r w:rsidRPr="00CE5DD5">
              <w:fldChar w:fldCharType="end"/>
            </w:r>
            <w:r w:rsidRPr="00CE5DD5">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CE5DD5" w:rsidTr="00C04C58">
        <w:tc>
          <w:tcPr>
            <w:tcW w:w="2802" w:type="dxa"/>
          </w:tcPr>
          <w:p w:rsidR="00CE5DD5" w:rsidRPr="00CE5DD5" w:rsidRDefault="00CE5DD5" w:rsidP="00CE5DD5">
            <w:r w:rsidRPr="00CE5DD5">
              <w:t>The AER should define a benchmark efficient entity as unregulated rather than regulated.</w:t>
            </w:r>
            <w:r w:rsidRPr="00CE5DD5">
              <w:rPr>
                <w:rStyle w:val="FootnoteReference"/>
              </w:rPr>
              <w:footnoteReference w:id="1334"/>
            </w:r>
          </w:p>
          <w:p w:rsidR="00CE5DD5" w:rsidRPr="00CE5DD5" w:rsidRDefault="00CE5DD5" w:rsidP="00CE5DD5">
            <w:r w:rsidRPr="00CE5DD5">
              <w:t xml:space="preserve">An unregulated benchmark efficient entity is consistent with the intent of the law to replicate workably competitive market outcomes. </w:t>
            </w:r>
          </w:p>
        </w:tc>
        <w:tc>
          <w:tcPr>
            <w:tcW w:w="5891" w:type="dxa"/>
          </w:tcPr>
          <w:p w:rsidR="00CE5DD5" w:rsidRPr="00CE5DD5" w:rsidRDefault="00CE5DD5" w:rsidP="00CE5DD5">
            <w:r w:rsidRPr="00CE5DD5">
              <w:t>Section 3.3 of the rate of return attachment discusses why we consider that defining a benchmark efficient entity as regulated is required to give effect to the rules and the NEL/NGL.</w:t>
            </w:r>
          </w:p>
          <w:p w:rsidR="00CE5DD5" w:rsidRPr="00CE5DD5" w:rsidRDefault="00CE5DD5" w:rsidP="00CE5DD5">
            <w:r w:rsidRPr="00CE5DD5">
              <w:t>Seeking to replicate the outcomes of a workably competitive market does not require defining a benchmark efficient entity as unregulated. Rather, it requires that we replicate the efficiency outcomes that we would expect under a workably competitive market (and the resulting prices and service levels).</w:t>
            </w:r>
            <w:r w:rsidRPr="00CE5DD5">
              <w:rPr>
                <w:rStyle w:val="FootnoteReference"/>
              </w:rPr>
              <w:footnoteReference w:id="1335"/>
            </w:r>
          </w:p>
          <w:p w:rsidR="00CE5DD5" w:rsidRPr="00CE5DD5" w:rsidRDefault="00CE5DD5" w:rsidP="00CE5DD5">
            <w:r w:rsidRPr="00CE5DD5">
              <w:t>We consider our approach preferable for achieving efficiency outcomes expected in a workably competitive market.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2802" w:type="dxa"/>
          </w:tcPr>
          <w:p w:rsidR="00CE5DD5" w:rsidRPr="00CE5DD5" w:rsidRDefault="00CE5DD5" w:rsidP="00CE5DD5">
            <w:r w:rsidRPr="00CE5DD5">
              <w:t>Efficient financing costs are properly identified by reference to financing practices that would be adopted in workably competitive markets.</w:t>
            </w:r>
            <w:r w:rsidRPr="00CE5DD5">
              <w:rPr>
                <w:rStyle w:val="FootnoteReference"/>
              </w:rPr>
              <w:footnoteReference w:id="1336"/>
            </w:r>
          </w:p>
        </w:tc>
        <w:tc>
          <w:tcPr>
            <w:tcW w:w="5891" w:type="dxa"/>
          </w:tcPr>
          <w:p w:rsidR="00CE5DD5" w:rsidRPr="00CE5DD5" w:rsidRDefault="00CE5DD5" w:rsidP="00CE5DD5">
            <w:r w:rsidRPr="00CE5DD5">
              <w:t xml:space="preserve">We do not consider a benchmark efficient entity's past financing practices determine its efficient financing costs (although we note we benchmark current gearing, credit rating  and debt term at issuance in determining a benchmark efficient entity's ex ante efficient allowed return on debt). Rather, we consider achieving the ARORO requires a benchmark efficient entity be ex-ante appropriately compensated for its efficient financing costs in present value terms, where efficient financing costs are based on prevailing market rates (see section </w:t>
            </w:r>
            <w:r w:rsidRPr="00CE5DD5">
              <w:fldChar w:fldCharType="begin"/>
            </w:r>
            <w:r w:rsidRPr="00CE5DD5">
              <w:instrText xml:space="preserve"> REF _Ref446603900 \r \h </w:instrText>
            </w:r>
            <w:r w:rsidRPr="00CE5DD5">
              <w:fldChar w:fldCharType="separate"/>
            </w:r>
            <w:r w:rsidR="00C6448C">
              <w:t>H.2.1</w:t>
            </w:r>
            <w:r w:rsidRPr="00CE5DD5">
              <w:fldChar w:fldCharType="end"/>
            </w:r>
            <w:r w:rsidRPr="00CE5DD5">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CE5DD5" w:rsidRPr="00CE5DD5" w:rsidRDefault="00CE5DD5" w:rsidP="00CE5DD5">
            <w:r w:rsidRPr="00CE5DD5">
              <w:t>We note that Partington and Satchell also advise against interpreting the efficient financing costs as relating to some assumed financing strategy. They state a number of reasons to support their view, including that what constitutes a benchmark efficient financing practice is ambiguous.</w:t>
            </w:r>
            <w:r w:rsidRPr="00CE5DD5">
              <w:rPr>
                <w:rStyle w:val="FootnoteReference"/>
              </w:rPr>
              <w:footnoteReference w:id="1337"/>
            </w:r>
          </w:p>
        </w:tc>
      </w:tr>
    </w:tbl>
    <w:p w:rsidR="00CE5DD5" w:rsidRPr="00CE5DD5" w:rsidRDefault="00CE5DD5" w:rsidP="00CE5DD5">
      <w:pPr>
        <w:pStyle w:val="AERtablesource"/>
      </w:pPr>
      <w:r w:rsidRPr="00CE5DD5">
        <w:t>Source:</w:t>
      </w:r>
      <w:r w:rsidRPr="00CE5DD5">
        <w:tab/>
        <w:t>AER analysis, service providers' revised proposals and supporting material.</w:t>
      </w:r>
    </w:p>
    <w:p w:rsidR="00CE5DD5" w:rsidRPr="00CE5DD5" w:rsidRDefault="00CE5DD5" w:rsidP="00CE5DD5">
      <w:pPr>
        <w:pStyle w:val="HeadingBoldBlue"/>
      </w:pPr>
      <w:r w:rsidRPr="00CE5DD5">
        <w:t>Response to CEG's report</w:t>
      </w:r>
    </w:p>
    <w:p w:rsidR="00CE5DD5" w:rsidRPr="00CE5DD5" w:rsidRDefault="00554B67" w:rsidP="00CE5DD5">
      <w:r>
        <w:t xml:space="preserve">Despite the fact that </w:t>
      </w:r>
      <w:r w:rsidR="00FE1567">
        <w:t>TasNetworks and AusNet</w:t>
      </w:r>
      <w:r w:rsidR="00DE363B">
        <w:t xml:space="preserve"> (</w:t>
      </w:r>
      <w:r w:rsidR="00FE1567">
        <w:t>via correspondence</w:t>
      </w:r>
      <w:r w:rsidR="00DE363B">
        <w:t xml:space="preserve">s on 9 December 2016 and 20 December 2016) </w:t>
      </w:r>
      <w:r w:rsidR="00FE1567">
        <w:t>adopted our full transition approach</w:t>
      </w:r>
      <w:r w:rsidR="00DE363B">
        <w:rPr>
          <w:rStyle w:val="FootnoteReference"/>
        </w:rPr>
        <w:footnoteReference w:id="1338"/>
      </w:r>
      <w:r w:rsidR="00FE1567">
        <w:t>, it is necessary to respond to the issues raised in AusNet's revised proposal</w:t>
      </w:r>
      <w:r w:rsidR="00DE363B">
        <w:t xml:space="preserve"> and</w:t>
      </w:r>
      <w:r w:rsidR="00FE1567">
        <w:t xml:space="preserve"> </w:t>
      </w:r>
      <w:r w:rsidR="002C66FC">
        <w:t>the</w:t>
      </w:r>
      <w:r w:rsidR="00CE5DD5" w:rsidRPr="00CE5DD5">
        <w:t xml:space="preserve"> report by CEG on the AER’s current interpretation of the ARORO </w:t>
      </w:r>
      <w:r w:rsidR="00DE363B">
        <w:t xml:space="preserve">submitted by AusNet </w:t>
      </w:r>
      <w:r w:rsidR="00CE5DD5" w:rsidRPr="00CE5DD5">
        <w:t xml:space="preserve">with its revised </w:t>
      </w:r>
      <w:r w:rsidR="006B701F">
        <w:t>revenue</w:t>
      </w:r>
      <w:r w:rsidR="006B701F" w:rsidRPr="00CE5DD5">
        <w:t xml:space="preserve"> </w:t>
      </w:r>
      <w:r w:rsidR="00CE5DD5" w:rsidRPr="00CE5DD5">
        <w:t>proposal</w:t>
      </w:r>
      <w:r w:rsidR="002C66FC">
        <w:t xml:space="preserve"> given that we have considered this material in reaching this final decision</w:t>
      </w:r>
      <w:r w:rsidR="00CE5DD5" w:rsidRPr="00CE5DD5">
        <w:t>.</w:t>
      </w:r>
      <w:r w:rsidR="00CE5DD5" w:rsidRPr="00CE5DD5">
        <w:rPr>
          <w:rStyle w:val="FootnoteReference"/>
        </w:rPr>
        <w:t xml:space="preserve"> </w:t>
      </w:r>
      <w:r w:rsidR="00CE5DD5" w:rsidRPr="00CE5DD5">
        <w:rPr>
          <w:rStyle w:val="FootnoteReference"/>
        </w:rPr>
        <w:footnoteReference w:id="1339"/>
      </w:r>
      <w:r w:rsidR="00CE5DD5" w:rsidRPr="00CE5DD5">
        <w:t xml:space="preserve"> In the new report, CEG critiqued the AER’s approach and rational for a full transition to a trailing average cost of debt and stated that </w:t>
      </w:r>
      <w:r w:rsidR="001E6895">
        <w:t>it</w:t>
      </w:r>
      <w:r w:rsidR="00CE5DD5" w:rsidRPr="00CE5DD5">
        <w:t xml:space="preserve"> do</w:t>
      </w:r>
      <w:r w:rsidR="001E6895">
        <w:t>es</w:t>
      </w:r>
      <w:r w:rsidR="00CE5DD5" w:rsidRPr="00CE5DD5">
        <w:t xml:space="preserve"> not believe that the AER’s 2016 interpretation is consistent with a reasonable economic interpretation of the ARORO.</w:t>
      </w:r>
      <w:r w:rsidR="00CE5DD5" w:rsidRPr="00CE5DD5">
        <w:rPr>
          <w:rStyle w:val="FootnoteReference"/>
        </w:rPr>
        <w:footnoteReference w:id="1340"/>
      </w:r>
      <w:r w:rsidR="00CE5DD5" w:rsidRPr="00CE5DD5">
        <w:t xml:space="preserve"> CEG proposed that the correct approach to determine the allowed rate of return on debt is an approach that results in a match to the BEE’s efficiently incurred financing costs. </w:t>
      </w:r>
    </w:p>
    <w:p w:rsidR="00CE5DD5" w:rsidRPr="00CE5DD5" w:rsidRDefault="00CE5DD5" w:rsidP="00CE5DD5">
      <w:r w:rsidRPr="00CE5DD5">
        <w:t>We do not agree with CEG. We consider our interpretation of an allowed rate of return that compensates investors on their capital investments (in an ex-ante sense) and aims to minimise the long run cost of capital is consistent with the ARORO. We consider ex-ante efficient compensation should result in the ex-ante allowed return on capital cash flows having a present value equal to the present value of the ex-ante efficient cost of capital cash flows required to finance the regulatory asset base (RAB). In that sense, we must set allowances with a present value equal to the present value of future efficient costs.</w:t>
      </w:r>
      <w:r w:rsidR="000F18DA">
        <w:rPr>
          <w:rStyle w:val="FootnoteReference"/>
        </w:rPr>
        <w:footnoteReference w:id="1341"/>
      </w:r>
      <w:r w:rsidRPr="00CE5DD5">
        <w:t xml:space="preserve"> This is a zero net present value (NPV) investment condition. The theory of finance is that in computing the weighted average cost of capital for use in NPV calculations it is the current required returns on debt and equity (forward looking) that should be used for the WACC, instead of the historical values. </w:t>
      </w:r>
      <w:r w:rsidR="00D77FFC">
        <w:t>We consider that the continuation of the on the day approach is revenue neutral in a present value sense and would contribute to the achievement of the ARORO. As discussed in section</w:t>
      </w:r>
      <w:r w:rsidR="00E7595F">
        <w:t xml:space="preserve"> </w:t>
      </w:r>
      <w:r w:rsidR="00E7595F">
        <w:fldChar w:fldCharType="begin"/>
      </w:r>
      <w:r w:rsidR="00E7595F">
        <w:instrText xml:space="preserve"> REF _Ref444767739 \r \h </w:instrText>
      </w:r>
      <w:r w:rsidR="00E7595F">
        <w:fldChar w:fldCharType="separate"/>
      </w:r>
      <w:r w:rsidR="00C6448C">
        <w:t>H.3</w:t>
      </w:r>
      <w:r w:rsidR="00E7595F">
        <w:fldChar w:fldCharType="end"/>
      </w:r>
      <w:r w:rsidR="00D77FFC">
        <w:t>, a revenue neutral transition will also contribute to the achievement of the ARORO.</w:t>
      </w:r>
      <w:r w:rsidR="00D77FFC" w:rsidRPr="0000612B">
        <w:t xml:space="preserve"> </w:t>
      </w:r>
      <w:r w:rsidR="00D77FFC">
        <w:t xml:space="preserve">However, we do not consider a change in </w:t>
      </w:r>
      <w:r w:rsidR="000F53E3">
        <w:t>methodology</w:t>
      </w:r>
      <w:r w:rsidR="00D77FFC">
        <w:t xml:space="preserve"> that results in material wealth transfers will contribute to the achievement of the ARORO. For this reason, we consider a</w:t>
      </w:r>
      <w:r w:rsidR="00D77FFC" w:rsidRPr="00347500">
        <w:t xml:space="preserve"> full transition is required if there is a change in methodology from on-the-day approach to trailing average approach</w:t>
      </w:r>
      <w:r w:rsidR="00D77FFC">
        <w:t>.</w:t>
      </w:r>
    </w:p>
    <w:p w:rsidR="00CE5DD5" w:rsidRPr="00CE5DD5" w:rsidRDefault="007938E5" w:rsidP="00CE5DD5">
      <w:r>
        <w:fldChar w:fldCharType="begin"/>
      </w:r>
      <w:r>
        <w:instrText xml:space="preserve"> REF _Ref479867871 \h </w:instrText>
      </w:r>
      <w:r>
        <w:fldChar w:fldCharType="separate"/>
      </w:r>
      <w:r w:rsidR="00C6448C" w:rsidRPr="00CE5DD5">
        <w:t xml:space="preserve">Table </w:t>
      </w:r>
      <w:r w:rsidR="00C6448C">
        <w:rPr>
          <w:noProof/>
        </w:rPr>
        <w:t>3</w:t>
      </w:r>
      <w:r w:rsidR="00C6448C">
        <w:noBreakHyphen/>
      </w:r>
      <w:r w:rsidR="00C6448C">
        <w:rPr>
          <w:noProof/>
        </w:rPr>
        <w:t>38</w:t>
      </w:r>
      <w:r>
        <w:fldChar w:fldCharType="end"/>
      </w:r>
      <w:r>
        <w:t xml:space="preserve"> </w:t>
      </w:r>
      <w:r w:rsidR="00CE5DD5" w:rsidRPr="00CE5DD5">
        <w:t>sets out the key issues raised by CEG in its September 2016 report. We sought advice from Partington and Satchell and provide a summary of our response</w:t>
      </w:r>
      <w:r w:rsidR="000F18DA">
        <w:t>s</w:t>
      </w:r>
      <w:r w:rsidR="00CE5DD5" w:rsidRPr="00CE5DD5">
        <w:t xml:space="preserve"> in the table below.</w:t>
      </w:r>
      <w:r w:rsidR="00D77FFC">
        <w:rPr>
          <w:rStyle w:val="FootnoteReference"/>
        </w:rPr>
        <w:footnoteReference w:id="1342"/>
      </w:r>
    </w:p>
    <w:p w:rsidR="00CE5DD5" w:rsidRPr="00CE5DD5" w:rsidRDefault="00CE5DD5" w:rsidP="00CE5DD5">
      <w:pPr>
        <w:pStyle w:val="Caption"/>
      </w:pPr>
      <w:bookmarkStart w:id="372" w:name="_Ref479867871"/>
      <w:r w:rsidRPr="00CE5DD5">
        <w:t xml:space="preserve">Table </w:t>
      </w:r>
      <w:fldSimple w:instr=" STYLEREF 1 \s ">
        <w:r w:rsidR="00C6448C">
          <w:rPr>
            <w:noProof/>
          </w:rPr>
          <w:t>3</w:t>
        </w:r>
      </w:fldSimple>
      <w:r w:rsidR="00882F3D">
        <w:noBreakHyphen/>
      </w:r>
      <w:fldSimple w:instr=" SEQ Table \* ARABIC \s 1 ">
        <w:r w:rsidR="00C6448C">
          <w:rPr>
            <w:noProof/>
          </w:rPr>
          <w:t>38</w:t>
        </w:r>
      </w:fldSimple>
      <w:bookmarkEnd w:id="372"/>
      <w:r w:rsidRPr="00CE5DD5">
        <w:tab/>
        <w:t xml:space="preserve"> Key issues raised by CEG</w:t>
      </w:r>
    </w:p>
    <w:tbl>
      <w:tblPr>
        <w:tblStyle w:val="AERtable-text0"/>
        <w:tblW w:w="0" w:type="auto"/>
        <w:tblLook w:val="04A0" w:firstRow="1" w:lastRow="0" w:firstColumn="1" w:lastColumn="0" w:noHBand="0" w:noVBand="1"/>
      </w:tblPr>
      <w:tblGrid>
        <w:gridCol w:w="3794"/>
        <w:gridCol w:w="4899"/>
      </w:tblGrid>
      <w:tr w:rsidR="00CE5DD5" w:rsidTr="00C04C58">
        <w:trPr>
          <w:cnfStyle w:val="100000000000" w:firstRow="1" w:lastRow="0" w:firstColumn="0" w:lastColumn="0" w:oddVBand="0" w:evenVBand="0" w:oddHBand="0" w:evenHBand="0" w:firstRowFirstColumn="0" w:firstRowLastColumn="0" w:lastRowFirstColumn="0" w:lastRowLastColumn="0"/>
        </w:trPr>
        <w:tc>
          <w:tcPr>
            <w:tcW w:w="3794" w:type="dxa"/>
          </w:tcPr>
          <w:p w:rsidR="00CE5DD5" w:rsidRPr="00CE5DD5" w:rsidRDefault="00CE5DD5" w:rsidP="00CE5DD5">
            <w:r w:rsidRPr="00CE5DD5">
              <w:t>Issue</w:t>
            </w:r>
          </w:p>
        </w:tc>
        <w:tc>
          <w:tcPr>
            <w:tcW w:w="4899" w:type="dxa"/>
          </w:tcPr>
          <w:p w:rsidR="00CE5DD5" w:rsidRPr="00CE5DD5" w:rsidRDefault="00CE5DD5" w:rsidP="00CE5DD5">
            <w:r w:rsidRPr="00CE5DD5">
              <w:t>Summary of response</w:t>
            </w:r>
          </w:p>
        </w:tc>
      </w:tr>
      <w:tr w:rsidR="00CE5DD5" w:rsidTr="00C04C58">
        <w:tc>
          <w:tcPr>
            <w:tcW w:w="3794" w:type="dxa"/>
          </w:tcPr>
          <w:p w:rsidR="00CE5DD5" w:rsidRPr="00CE5DD5" w:rsidRDefault="00CE5DD5" w:rsidP="00CE5DD5">
            <w:r w:rsidRPr="00CE5DD5">
              <w:t>The AER’s application of the NPV=0 criterion in the AusNet Services draft decision only holds if you assume a BEE has no debt at the commencement of the regulatory control period</w:t>
            </w:r>
            <w:r w:rsidRPr="00CE5DD5">
              <w:rPr>
                <w:rStyle w:val="FootnoteReference"/>
              </w:rPr>
              <w:footnoteReference w:id="1343"/>
            </w:r>
          </w:p>
        </w:tc>
        <w:tc>
          <w:tcPr>
            <w:tcW w:w="4899" w:type="dxa"/>
          </w:tcPr>
          <w:p w:rsidR="00CE5DD5" w:rsidRPr="00CE5DD5" w:rsidRDefault="00CE5DD5" w:rsidP="00CE5DD5">
            <w:r w:rsidRPr="00CE5DD5">
              <w:t>With respect to</w:t>
            </w:r>
            <w:r w:rsidR="0027602F">
              <w:t xml:space="preserve"> the</w:t>
            </w:r>
            <w:r w:rsidRPr="00CE5DD5">
              <w:t xml:space="preserve"> cost of debt, it is the current cost of debt (as currently required in the market) that should be used in the WACC to calculate</w:t>
            </w:r>
            <w:r w:rsidR="0027602F">
              <w:t xml:space="preserve"> the</w:t>
            </w:r>
            <w:r w:rsidRPr="00CE5DD5">
              <w:t xml:space="preserve"> NPV, not the historic cost of debt</w:t>
            </w:r>
            <w:r w:rsidR="0027602F">
              <w:t xml:space="preserve">. This is </w:t>
            </w:r>
            <w:r w:rsidRPr="00CE5DD5">
              <w:t>basic</w:t>
            </w:r>
            <w:r w:rsidR="0027602F">
              <w:t xml:space="preserve"> valuation </w:t>
            </w:r>
            <w:r w:rsidRPr="00CE5DD5">
              <w:t>theory in corporate finance text book</w:t>
            </w:r>
            <w:r w:rsidR="0027602F">
              <w:t>s</w:t>
            </w:r>
            <w:r w:rsidRPr="00CE5DD5">
              <w:t xml:space="preserve">. The AER’s application of the NPV=0 criterion holds regardless of the debt held by a BEE before the commencement of the regulatory control period. </w:t>
            </w:r>
            <w:r w:rsidR="0027602F">
              <w:t>Appropriate regulatory c</w:t>
            </w:r>
            <w:r w:rsidRPr="00CE5DD5">
              <w:t xml:space="preserve">ompensation is about setting allowances with a present value equal to the present value of future efficient costs. </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3794" w:type="dxa"/>
          </w:tcPr>
          <w:p w:rsidR="00CE5DD5" w:rsidRPr="00CE5DD5" w:rsidRDefault="00CE5DD5" w:rsidP="00CE5DD5">
            <w:r w:rsidRPr="00CE5DD5">
              <w:t>Mismatch risk is correctly defined as “regulatory risk’ and not ‘interest rate risk’. The implication is to reduce regulatory risk we must set allowed debt costs to match historically incurred debt costs.</w:t>
            </w:r>
            <w:r w:rsidR="00FF6705">
              <w:rPr>
                <w:rStyle w:val="FootnoteReference"/>
              </w:rPr>
              <w:footnoteReference w:id="1344"/>
            </w:r>
          </w:p>
          <w:p w:rsidR="00CE5DD5" w:rsidRPr="00CE5DD5" w:rsidRDefault="00CE5DD5" w:rsidP="00CE5DD5"/>
        </w:tc>
        <w:tc>
          <w:tcPr>
            <w:tcW w:w="4899" w:type="dxa"/>
          </w:tcPr>
          <w:p w:rsidR="00CE5DD5" w:rsidRPr="00CE5DD5" w:rsidRDefault="00CE5DD5" w:rsidP="00CE5DD5">
            <w:r w:rsidRPr="00CE5DD5">
              <w:t>CEG is incorrect in defining mismatch risk as regulatory risk. We consider mismatch risk</w:t>
            </w:r>
            <w:r w:rsidR="0027602F">
              <w:t xml:space="preserve"> under the on</w:t>
            </w:r>
            <w:r w:rsidR="00553BA5">
              <w:t xml:space="preserve"> the</w:t>
            </w:r>
            <w:r w:rsidR="0027602F">
              <w:t xml:space="preserve"> day approach</w:t>
            </w:r>
            <w:r w:rsidRPr="00CE5DD5">
              <w:t xml:space="preserve"> flows from unexpected changes in interest rate</w:t>
            </w:r>
            <w:r w:rsidR="00553BA5">
              <w:t>s</w:t>
            </w:r>
            <w:r w:rsidRPr="00CE5DD5">
              <w:t>. This is agreed by our consultants.</w:t>
            </w:r>
            <w:r w:rsidR="00FF6705">
              <w:rPr>
                <w:rStyle w:val="FootnoteReference"/>
              </w:rPr>
              <w:footnoteReference w:id="1345"/>
            </w:r>
            <w:r w:rsidRPr="00CE5DD5">
              <w:t xml:space="preserve"> In competitive market, the equilibrium is achieved by setting product prices that result in zero NPV investments. In achieving the competitive equilibrium, the allowed rate of return should be set at the current cost of capital, which may not match the historical costs.  This gives rise to interest rate risk, the risk associated with a mismatch between the allowed return on debt and a BEE’s actual return on debt.</w:t>
            </w:r>
            <w:r w:rsidRPr="00CE5DD5">
              <w:rPr>
                <w:rStyle w:val="FootnoteReference"/>
              </w:rPr>
              <w:t xml:space="preserve"> </w:t>
            </w:r>
            <w:r w:rsidRPr="00CE5DD5">
              <w:rPr>
                <w:rStyle w:val="FootnoteReference"/>
              </w:rPr>
              <w:footnoteReference w:id="1346"/>
            </w:r>
            <w:r w:rsidRPr="00CE5DD5">
              <w:t xml:space="preserve">  </w:t>
            </w:r>
          </w:p>
          <w:p w:rsidR="00CE5DD5" w:rsidRPr="00CE5DD5" w:rsidRDefault="00CE5DD5" w:rsidP="00CE5DD5">
            <w:r w:rsidRPr="00CE5DD5">
              <w:t xml:space="preserve">However, we agree with our consultants that changes in the method for determining compensation for the cost of debt may give </w:t>
            </w:r>
            <w:r w:rsidR="0027602F">
              <w:t xml:space="preserve">rise </w:t>
            </w:r>
            <w:r w:rsidRPr="00CE5DD5">
              <w:t>to regulatory risk; however the risk may apply either to the regulated entities, or to the consumers. In the case of a switch to a trailing average approach, there may be risk for some regulated entities in that their preferred financing strategy changes and there is a cost in switching. There is also regulatory risk and cost to consumers in that, under the trailing average approach, they are effectively guaranteeing revenue to pay the historic cost of debt. A cost arising from that guarantee will arise immediately under a switch to the historic trailing average (without a transition) as consumers will find themselves paying the premium of historic rates over current rates</w:t>
            </w:r>
            <w:r w:rsidR="008D170F">
              <w:t xml:space="preserve"> (</w:t>
            </w:r>
            <w:r w:rsidR="008D170F" w:rsidRPr="008D170F">
              <w:t>historic rates are much higher than the current rates)</w:t>
            </w:r>
            <w:r w:rsidRPr="00CE5DD5">
              <w:rPr>
                <w:rStyle w:val="FootnoteReference"/>
              </w:rPr>
              <w:footnoteReference w:id="1347"/>
            </w:r>
            <w:r w:rsidRPr="00CE5DD5">
              <w:t xml:space="preserve">. </w:t>
            </w:r>
          </w:p>
          <w:p w:rsidR="00CE5DD5" w:rsidRPr="00CE5DD5" w:rsidRDefault="00CE5DD5" w:rsidP="00CE5DD5"/>
        </w:tc>
      </w:tr>
      <w:tr w:rsidR="00CE5DD5" w:rsidTr="00C04C58">
        <w:tc>
          <w:tcPr>
            <w:tcW w:w="3794" w:type="dxa"/>
          </w:tcPr>
          <w:p w:rsidR="00CE5DD5" w:rsidRPr="00CE5DD5" w:rsidRDefault="00CE5DD5" w:rsidP="00CE5DD5">
            <w:r w:rsidRPr="00CE5DD5">
              <w:t>The use of a trailing average will provide better investment incentives than prevailing rates.</w:t>
            </w:r>
            <w:r w:rsidRPr="00CE5DD5">
              <w:rPr>
                <w:rStyle w:val="FootnoteReference"/>
              </w:rPr>
              <w:footnoteReference w:id="1348"/>
            </w:r>
          </w:p>
          <w:p w:rsidR="00CE5DD5" w:rsidRPr="00CE5DD5" w:rsidRDefault="00CE5DD5" w:rsidP="00CE5DD5"/>
          <w:p w:rsidR="00CE5DD5" w:rsidRPr="00CE5DD5" w:rsidRDefault="00CE5DD5" w:rsidP="00CE5DD5"/>
        </w:tc>
        <w:tc>
          <w:tcPr>
            <w:tcW w:w="4899" w:type="dxa"/>
          </w:tcPr>
          <w:p w:rsidR="00CE5DD5" w:rsidRPr="00CE5DD5" w:rsidRDefault="00CE5DD5" w:rsidP="00CE5DD5">
            <w:r w:rsidRPr="00CE5DD5">
              <w:t>The trailing average reflects histor</w:t>
            </w:r>
            <w:r w:rsidR="0027602F">
              <w:t>ic interest rate</w:t>
            </w:r>
            <w:r w:rsidR="00406119">
              <w:t>s</w:t>
            </w:r>
            <w:r w:rsidRPr="00CE5DD5">
              <w:t xml:space="preserve"> and only by chance this </w:t>
            </w:r>
            <w:r w:rsidR="00FF6705">
              <w:t xml:space="preserve">will </w:t>
            </w:r>
            <w:r w:rsidRPr="00CE5DD5">
              <w:t xml:space="preserve">reflect </w:t>
            </w:r>
            <w:r w:rsidR="0027602F">
              <w:t xml:space="preserve">the </w:t>
            </w:r>
            <w:r w:rsidRPr="00CE5DD5">
              <w:t>current required return</w:t>
            </w:r>
            <w:r w:rsidR="0027602F">
              <w:t xml:space="preserve"> on debt</w:t>
            </w:r>
            <w:r w:rsidRPr="00CE5DD5">
              <w:t>.</w:t>
            </w:r>
          </w:p>
          <w:p w:rsidR="00CE5DD5" w:rsidRPr="00CE5DD5" w:rsidRDefault="00CE5DD5" w:rsidP="00CE5DD5">
            <w:r w:rsidRPr="00CE5DD5">
              <w:t xml:space="preserve">Our consultants consider that since the trailing average is unlikely to reflect current required return, then by definition it will not give the correct signal with respect to the desirability of investments. In other words, they consider it is inappropriate for the computation of an investment’s NPV </w:t>
            </w:r>
            <w:r w:rsidR="0027602F">
              <w:t xml:space="preserve">to be based on historic rates </w:t>
            </w:r>
            <w:r w:rsidR="006912FE" w:rsidRPr="00CE5DD5">
              <w:t xml:space="preserve">and </w:t>
            </w:r>
            <w:r w:rsidR="0027602F">
              <w:t xml:space="preserve">consider that </w:t>
            </w:r>
            <w:r w:rsidR="006912FE" w:rsidRPr="00CE5DD5">
              <w:t>if</w:t>
            </w:r>
            <w:r w:rsidRPr="00CE5DD5">
              <w:t xml:space="preserve"> the allowed rate of return is based on the historic cost of debt (</w:t>
            </w:r>
            <w:r w:rsidR="0027602F">
              <w:t>calculat</w:t>
            </w:r>
            <w:r w:rsidR="00553BA5">
              <w:t>ed</w:t>
            </w:r>
            <w:r w:rsidR="0027602F">
              <w:t xml:space="preserve"> </w:t>
            </w:r>
            <w:r w:rsidRPr="00CE5DD5">
              <w:t xml:space="preserve">using </w:t>
            </w:r>
            <w:r w:rsidR="0027602F">
              <w:t xml:space="preserve">a </w:t>
            </w:r>
            <w:r w:rsidRPr="00CE5DD5">
              <w:t>trailing average approach), it is likely to result in either understatement or overstatement of the current required rate of return. They consider this will lead to either an understatement or overstatement of allowable revenue, which will in turn provide incentives for underinvestment and overinvestment respectively</w:t>
            </w:r>
            <w:r w:rsidRPr="00CE5DD5">
              <w:rPr>
                <w:rStyle w:val="FootnoteReference"/>
              </w:rPr>
              <w:footnoteReference w:id="1349"/>
            </w:r>
            <w:r w:rsidRPr="00CE5DD5">
              <w:t xml:space="preserve">. Thus, they do not consider the use of a trailing average will provide better investment incentives than </w:t>
            </w:r>
            <w:r w:rsidR="0027602F">
              <w:t xml:space="preserve">the use of the </w:t>
            </w:r>
            <w:r w:rsidRPr="00CE5DD5">
              <w:t xml:space="preserve">prevailing rate. They note that SFG (for the AEMC) and others have expressed the same view that the on the day rate is likely to provide better investment incentives. </w:t>
            </w:r>
          </w:p>
          <w:p w:rsidR="00CE5DD5" w:rsidRPr="00CE5DD5" w:rsidRDefault="00CE5DD5" w:rsidP="00CE5DD5">
            <w:r w:rsidRPr="00CE5DD5">
              <w:t>Having considered our consultants’ views we remain of the view that the trailing average (</w:t>
            </w:r>
            <w:r w:rsidR="0027602F">
              <w:t xml:space="preserve">implemented </w:t>
            </w:r>
            <w:r w:rsidRPr="00CE5DD5">
              <w:t xml:space="preserve">with full transition) will promote relatively efficient investment signals as cash flows with the correct present value are obtained </w:t>
            </w:r>
            <w:r w:rsidR="0027602F">
              <w:t>over the life of the asset</w:t>
            </w:r>
            <w:r w:rsidRPr="00CE5DD5">
              <w:t xml:space="preserve">. To the extent the investment incentives are inferior to those obtained under the on the day approach, we consider the benefits of the trailing average (implemented with full transition) still warrant its use.  </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3794" w:type="dxa"/>
          </w:tcPr>
          <w:p w:rsidR="00CE5DD5" w:rsidRPr="00CE5DD5" w:rsidRDefault="00CE5DD5" w:rsidP="00CE5DD5">
            <w:r w:rsidRPr="00CE5DD5">
              <w:t>ARORO arguably requires compensation to match the BEE’s efficiently incurred financing costs regardless of efficiency</w:t>
            </w:r>
            <w:r w:rsidRPr="00CE5DD5">
              <w:rPr>
                <w:rStyle w:val="FootnoteReference"/>
              </w:rPr>
              <w:footnoteReference w:id="1350"/>
            </w:r>
          </w:p>
          <w:p w:rsidR="00CE5DD5" w:rsidRPr="00CE5DD5" w:rsidRDefault="00CE5DD5" w:rsidP="00CE5DD5"/>
          <w:p w:rsidR="00CE5DD5" w:rsidRPr="00CE5DD5" w:rsidRDefault="00CE5DD5" w:rsidP="00CE5DD5"/>
        </w:tc>
        <w:tc>
          <w:tcPr>
            <w:tcW w:w="4899" w:type="dxa"/>
          </w:tcPr>
          <w:p w:rsidR="00CE5DD5" w:rsidRPr="00CE5DD5" w:rsidRDefault="00CE5DD5" w:rsidP="00FD4A9E">
            <w:r w:rsidRPr="00CE5DD5">
              <w:t>CEG refers to historic financing costs as efficient financing costs, which we do not agree with. We consider efficient financing cost</w:t>
            </w:r>
            <w:r w:rsidR="0027602F">
              <w:t>s</w:t>
            </w:r>
            <w:r w:rsidRPr="00CE5DD5">
              <w:t xml:space="preserve"> should be defined on an ex-ante</w:t>
            </w:r>
            <w:r w:rsidR="0027602F">
              <w:t xml:space="preserve"> or forward looking</w:t>
            </w:r>
            <w:r w:rsidRPr="00CE5DD5">
              <w:t xml:space="preserve"> basis and should reflect the current cost of capital. </w:t>
            </w:r>
            <w:r w:rsidR="00FD4A9E">
              <w:t>The current cost of capital</w:t>
            </w:r>
            <w:r w:rsidRPr="00CE5DD5">
              <w:t xml:space="preserve"> is the opportunity cost that investors currently demand in order to buy a firm’s securities. </w:t>
            </w:r>
            <w:r w:rsidR="00FD4A9E">
              <w:t>We consider c</w:t>
            </w:r>
            <w:r w:rsidRPr="00CE5DD5">
              <w:t>ompensations based on historic financing cost</w:t>
            </w:r>
            <w:r w:rsidR="00FD4A9E">
              <w:t>s</w:t>
            </w:r>
            <w:r w:rsidRPr="00CE5DD5">
              <w:t xml:space="preserve"> are not </w:t>
            </w:r>
            <w:r w:rsidR="00FD4A9E">
              <w:t xml:space="preserve">reflective of </w:t>
            </w:r>
            <w:r w:rsidRPr="00CE5DD5">
              <w:t>efficient</w:t>
            </w:r>
            <w:r w:rsidR="00FD4A9E">
              <w:t xml:space="preserve"> financing costs</w:t>
            </w:r>
            <w:r w:rsidRPr="00CE5DD5">
              <w:t>. If there was a change in methodology from using on the day approach to trailing average approach, we consider a full transition is required to meet the ARORO and the objectives of the NEL/NGL</w:t>
            </w:r>
            <w:r w:rsidR="00FF6705">
              <w:t>. A full transition is revenue n</w:t>
            </w:r>
            <w:r w:rsidRPr="00CE5DD5">
              <w:t xml:space="preserve">eutral in a present value sense (shown in section H.7.3 in the AER draft decision) </w:t>
            </w:r>
          </w:p>
        </w:tc>
      </w:tr>
      <w:tr w:rsidR="00CE5DD5" w:rsidTr="00C04C58">
        <w:tc>
          <w:tcPr>
            <w:tcW w:w="3794" w:type="dxa"/>
          </w:tcPr>
          <w:p w:rsidR="00CE5DD5" w:rsidRPr="00CE5DD5" w:rsidRDefault="00CE5DD5" w:rsidP="00CE5DD5">
            <w:r w:rsidRPr="00CE5DD5">
              <w:t>The AER has changed its definition/approach to the NPV=0 criterion</w:t>
            </w:r>
            <w:r w:rsidR="00FF6705">
              <w:rPr>
                <w:rStyle w:val="FootnoteReference"/>
              </w:rPr>
              <w:footnoteReference w:id="1351"/>
            </w:r>
          </w:p>
        </w:tc>
        <w:tc>
          <w:tcPr>
            <w:tcW w:w="4899" w:type="dxa"/>
          </w:tcPr>
          <w:p w:rsidR="00CE5DD5" w:rsidRPr="00CE5DD5" w:rsidRDefault="00CE5DD5" w:rsidP="00CE5DD5">
            <w:r w:rsidRPr="00CE5DD5">
              <w:t>We consider the approach we are currently adopting to the NPV=0 criterion, which is ex-ante efficient compensation should result in the ex-ante allowed return on capital cash flows having a present value equal to the present value of the ex-ante efficient cost of capital cash flows required to finance the regulatory asset base (RAB), is consistent with a reasonable interpretation of the ARORO. This is supported by our consultants.</w:t>
            </w:r>
            <w:r w:rsidRPr="00CE5DD5">
              <w:rPr>
                <w:rStyle w:val="FootnoteReference"/>
              </w:rPr>
              <w:footnoteReference w:id="1352"/>
            </w:r>
            <w:r w:rsidRPr="00CE5DD5">
              <w:t xml:space="preserve"> </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3794" w:type="dxa"/>
          </w:tcPr>
          <w:p w:rsidR="00CE5DD5" w:rsidRPr="00CE5DD5" w:rsidRDefault="00CE5DD5" w:rsidP="00CE5DD5">
            <w:r w:rsidRPr="00CE5DD5">
              <w:t xml:space="preserve">The mathematical proof  under the AER’s assumption that allowed rates of return are based on a 5 year horizon is invalid given that the AER compensates </w:t>
            </w:r>
            <w:r w:rsidR="00FB6E64">
              <w:t xml:space="preserve">debt based </w:t>
            </w:r>
            <w:r w:rsidRPr="00CE5DD5">
              <w:t>on a 10 year horizon</w:t>
            </w:r>
            <w:r w:rsidRPr="00CE5DD5">
              <w:rPr>
                <w:rStyle w:val="FootnoteReference"/>
              </w:rPr>
              <w:footnoteReference w:id="1353"/>
            </w:r>
          </w:p>
        </w:tc>
        <w:tc>
          <w:tcPr>
            <w:tcW w:w="4899" w:type="dxa"/>
          </w:tcPr>
          <w:p w:rsidR="00CE5DD5" w:rsidRPr="00CE5DD5" w:rsidRDefault="00FD4A9E" w:rsidP="00CE5DD5">
            <w:r w:rsidRPr="00CE5DD5">
              <w:t>We consider this is not a valid criticism. As long as the allowed rate of return in the cash flows is equal to the discount rate used</w:t>
            </w:r>
            <w:r w:rsidRPr="00FD4A9E">
              <w:t xml:space="preserve">,  the RAB at time t+5 should be the same as at time t. We consider our allowed return estimated based on debt with a 10 year maturity should </w:t>
            </w:r>
            <w:r w:rsidR="000F53E3" w:rsidRPr="00FD4A9E">
              <w:t>approximately</w:t>
            </w:r>
            <w:r w:rsidRPr="00FD4A9E">
              <w:t xml:space="preserve"> achieve this for the reasons set out in our decision. The algebra from our consultants is provided below.</w:t>
            </w:r>
          </w:p>
        </w:tc>
      </w:tr>
    </w:tbl>
    <w:p w:rsidR="00CE5DD5" w:rsidRPr="00CE5DD5" w:rsidRDefault="00CE5DD5" w:rsidP="00CE5DD5">
      <w:r w:rsidRPr="00CE5DD5">
        <w:t>In the report to the AER, Partington and Satchell expressed their view that a trailing average is inferior to the on the day approach in terms of an efficient investment incentive.</w:t>
      </w:r>
      <w:r w:rsidRPr="00CE5DD5">
        <w:rPr>
          <w:rStyle w:val="FootnoteReference"/>
        </w:rPr>
        <w:footnoteReference w:id="1354"/>
      </w:r>
      <w:r w:rsidR="001E6895">
        <w:t xml:space="preserve"> </w:t>
      </w:r>
      <w:r w:rsidRPr="00CE5DD5">
        <w:t>They proposed that the trailing average is likely to be an incentive for inefficient investment and the generation of economic rents</w:t>
      </w:r>
      <w:r w:rsidRPr="00CE5DD5">
        <w:rPr>
          <w:rStyle w:val="FootnoteReference"/>
        </w:rPr>
        <w:footnoteReference w:id="1355"/>
      </w:r>
      <w:r w:rsidRPr="00CE5DD5">
        <w:t xml:space="preserve">, as we discussed in </w:t>
      </w:r>
      <w:r w:rsidR="00E7595F">
        <w:fldChar w:fldCharType="begin"/>
      </w:r>
      <w:r w:rsidR="00E7595F">
        <w:instrText xml:space="preserve"> REF _Ref447803924 \r \h </w:instrText>
      </w:r>
      <w:r w:rsidR="00E7595F">
        <w:fldChar w:fldCharType="separate"/>
      </w:r>
      <w:r w:rsidR="00C6448C">
        <w:t>H.2.3</w:t>
      </w:r>
      <w:r w:rsidR="00E7595F">
        <w:fldChar w:fldCharType="end"/>
      </w:r>
      <w:r w:rsidR="00E7595F">
        <w:t xml:space="preserve"> </w:t>
      </w:r>
      <w:r w:rsidRPr="00CE5DD5">
        <w:t xml:space="preserve">above. Moreover, Partington and Satchell also pointed out that the cost of equity should be adjusted downwards if </w:t>
      </w:r>
      <w:r w:rsidR="0072585D">
        <w:t xml:space="preserve">a </w:t>
      </w:r>
      <w:r w:rsidRPr="00CE5DD5">
        <w:t>trailing average approach is adopted, otherwise the regulated entities would be likely to be overcompensated and there would be an incentive to overinvestment. They stated:</w:t>
      </w:r>
      <w:r w:rsidRPr="00CE5DD5">
        <w:rPr>
          <w:rStyle w:val="FootnoteReference"/>
        </w:rPr>
        <w:footnoteReference w:id="1356"/>
      </w:r>
    </w:p>
    <w:p w:rsidR="00CE5DD5" w:rsidRPr="00CE5DD5" w:rsidRDefault="00CE5DD5" w:rsidP="00CE5DD5">
      <w:pPr>
        <w:pStyle w:val="AERquote"/>
      </w:pPr>
      <w:r w:rsidRPr="00CE5DD5">
        <w:t xml:space="preserve"> “Setting the allowed return by using the historic cost of debt and weighting by the amount of financing undertaken substantially reduces the risk of leverage while retaining the benefits. A key effect of leverage for equity holders is to increase the volatility of returns. The equity holders gain from higher returns when the return on debt financed assets exceeds the cost of debt and lose when the return on debt financed assets is less than the cost of debt. The latter risk of loss is reduced if the allowed return is set using the historic cost of debt and more so if the weighting is by the amount of financing undertaken. The volatility of equity returns would be reduced and a consequence of this would be that equity betas would come down. Thus a reduction in the allowed cost of equity would be warranted. If this reduction were not made the regulated entities would be likely to be overcompensated and so there would be an incentive to overinvestment.”</w:t>
      </w:r>
    </w:p>
    <w:p w:rsidR="00CE5DD5" w:rsidRPr="00CE5DD5" w:rsidRDefault="00CE5DD5" w:rsidP="00FC43C9">
      <w:r w:rsidRPr="00CE5DD5">
        <w:t>While we note Partington and Satchell’s concerns, we remain of the view that a trailing aver</w:t>
      </w:r>
      <w:r w:rsidR="006E04B7">
        <w:t>a</w:t>
      </w:r>
      <w:r w:rsidRPr="00CE5DD5">
        <w:t xml:space="preserve">ge (implemented with full transition) will result in reasonably efficient investment incentives. We also note that the use of a trailing average will smooth price volatility for consumers moving forward. </w:t>
      </w:r>
    </w:p>
    <w:p w:rsidR="00CE5DD5" w:rsidRPr="00CE5DD5" w:rsidRDefault="00CE5DD5" w:rsidP="00FC43C9">
      <w:r w:rsidRPr="00CE5DD5">
        <w:t>While we acknowledge the introduction of a trailing average may reduce regulated firms default risk and equity beta, we consider material changes in risk should be reflected in benchmarked cost of capital parameters in the future. To the extent this occurs this benefit may flow through to consumers in the form of lower regulated rates of return in future revenue determinations.</w:t>
      </w:r>
    </w:p>
    <w:p w:rsidR="00CE5DD5" w:rsidRPr="00CE5DD5" w:rsidRDefault="00CE5DD5" w:rsidP="00CE5DD5">
      <w:pPr>
        <w:pStyle w:val="HeadingBoldItalic"/>
      </w:pPr>
      <w:r w:rsidRPr="00CE5DD5">
        <w:t>Response to CEG’s criticism on the AER’s application of the NPV=0 criterion</w:t>
      </w:r>
    </w:p>
    <w:p w:rsidR="00CE5DD5" w:rsidRPr="00CE5DD5" w:rsidRDefault="00CE5DD5" w:rsidP="00CE5DD5">
      <w:r w:rsidRPr="00CE5DD5">
        <w:t xml:space="preserve">We agree with our consultants that the zero </w:t>
      </w:r>
      <w:r w:rsidR="00FD4A9E">
        <w:t>net present value (</w:t>
      </w:r>
      <w:r w:rsidRPr="00CE5DD5">
        <w:t>NPV</w:t>
      </w:r>
      <w:r w:rsidR="00FD4A9E">
        <w:t>)</w:t>
      </w:r>
      <w:r w:rsidRPr="00CE5DD5">
        <w:t xml:space="preserve">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 </w:t>
      </w:r>
      <w:r w:rsidRPr="00CE5DD5">
        <w:rPr>
          <w:rStyle w:val="FootnoteReference"/>
        </w:rPr>
        <w:footnoteReference w:id="1357"/>
      </w:r>
      <w:r w:rsidRPr="00CE5DD5">
        <w:t xml:space="preserve"> This is basic theory of business finance.</w:t>
      </w:r>
    </w:p>
    <w:p w:rsidR="00CE5DD5" w:rsidRPr="00CE5DD5" w:rsidRDefault="00CE5DD5" w:rsidP="00CE5DD5">
      <w:r w:rsidRPr="00CE5DD5">
        <w:t>Partington and Satchell consider that the allowed rate of return should be the rate of return consistent with regulated assets being a zero NPV investment. The theory of finance (and common practice) is that in computing the weighted average cost of capital</w:t>
      </w:r>
      <w:r w:rsidR="00FD4A9E">
        <w:t xml:space="preserve"> (WACC)</w:t>
      </w:r>
      <w:r w:rsidRPr="00CE5DD5">
        <w:t xml:space="preserve"> for use in NPV calculations it is the current required returns on debt and equity that should be used.</w:t>
      </w:r>
      <w:r w:rsidRPr="00CE5DD5">
        <w:rPr>
          <w:rStyle w:val="FootnoteReference"/>
        </w:rPr>
        <w:footnoteReference w:id="1358"/>
      </w:r>
      <w:r w:rsidRPr="00CE5DD5">
        <w:t xml:space="preserve"> </w:t>
      </w:r>
    </w:p>
    <w:p w:rsidR="00CE5DD5" w:rsidRPr="00CE5DD5" w:rsidRDefault="00CE5DD5" w:rsidP="00CE5DD5">
      <w:r w:rsidRPr="00CE5DD5">
        <w:t>We agree with Partington and Satchell that efficient debt financing costs reflect prevailing market rates and investment in regulated firms shou</w:t>
      </w:r>
      <w:r w:rsidR="006E04B7">
        <w:t>l</w:t>
      </w:r>
      <w:r w:rsidRPr="00CE5DD5">
        <w:t>d be a zero NPV activity. Given this, we consider the trailing aver</w:t>
      </w:r>
      <w:r w:rsidR="006E04B7">
        <w:t>a</w:t>
      </w:r>
      <w:r w:rsidRPr="00CE5DD5">
        <w:t xml:space="preserve">ge must be estimated based on prevailing rates (i.e. implemented in a forward looking manner) to ensure a zero NPV condition is maintained. </w:t>
      </w:r>
    </w:p>
    <w:p w:rsidR="00CE5DD5" w:rsidRPr="00CE5DD5" w:rsidRDefault="00CE5DD5" w:rsidP="00CE5DD5">
      <w:r w:rsidRPr="00CE5DD5">
        <w:t>CEG claim</w:t>
      </w:r>
      <w:r w:rsidR="00FD4A9E">
        <w:t>s</w:t>
      </w:r>
      <w:r w:rsidRPr="00CE5DD5">
        <w:t xml:space="preserve"> </w:t>
      </w:r>
      <w:r w:rsidR="00BF595D">
        <w:t>the AER's view is the</w:t>
      </w:r>
      <w:r w:rsidRPr="00CE5DD5">
        <w:t xml:space="preserve"> zero NPV investment criterion is based on the present value of cash flows ‘before efficiently incurred debt financing costs are removed’.</w:t>
      </w:r>
      <w:r w:rsidRPr="00CE5DD5">
        <w:rPr>
          <w:rStyle w:val="FootnoteReference"/>
        </w:rPr>
        <w:footnoteReference w:id="1359"/>
      </w:r>
      <w:r w:rsidRPr="00CE5DD5">
        <w:t xml:space="preserve"> It </w:t>
      </w:r>
      <w:r w:rsidR="00BF595D">
        <w:t>then</w:t>
      </w:r>
      <w:r w:rsidRPr="00CE5DD5">
        <w:t xml:space="preserve"> claims that ‘the AER’s new NPV criterion assumes zero debt financing at the commencement of the regulatory control period’.</w:t>
      </w:r>
      <w:r w:rsidRPr="00CE5DD5">
        <w:rPr>
          <w:rStyle w:val="FootnoteReference"/>
        </w:rPr>
        <w:footnoteReference w:id="1360"/>
      </w:r>
      <w:r w:rsidRPr="00CE5DD5">
        <w:t xml:space="preserve"> </w:t>
      </w:r>
      <w:r w:rsidR="00BF595D" w:rsidRPr="00CE5DD5">
        <w:t>W</w:t>
      </w:r>
      <w:r w:rsidR="00BF595D">
        <w:t>e agree the NPV calculation should be performed on total cash flows to capital before debt financing costs are removed. This is supported by our consultants. However, we</w:t>
      </w:r>
      <w:r w:rsidR="00BF595D" w:rsidRPr="00CE5DD5">
        <w:t xml:space="preserve"> disagree with CEG</w:t>
      </w:r>
      <w:r w:rsidR="00BF595D">
        <w:t xml:space="preserve"> that this assumes no debt financing at the commencement of the regulatory control </w:t>
      </w:r>
      <w:r w:rsidR="000F53E3">
        <w:t>period</w:t>
      </w:r>
      <w:r w:rsidR="000F53E3" w:rsidRPr="00CE5DD5">
        <w:t>. As</w:t>
      </w:r>
      <w:r w:rsidRPr="00CE5DD5">
        <w:t xml:space="preserve"> explained above, we consider it is the current required returns on debt rather than the historical cost of debt that is relevant in NPV calculation. We consider our zero NPV criterion is consistent with well accepted finance theory and holds even if a benchmark efficient entity has </w:t>
      </w:r>
      <w:r w:rsidR="00BF595D">
        <w:t xml:space="preserve">outstanding </w:t>
      </w:r>
      <w:r w:rsidRPr="00CE5DD5">
        <w:t xml:space="preserve">debt. This is supported by our consultants. Partington and Satchell argue that if debt financing costs were to be removed from the cash flow before computing the present value of the cash flow, </w:t>
      </w:r>
      <w:r w:rsidR="000F53E3">
        <w:t>you would</w:t>
      </w:r>
      <w:r w:rsidRPr="00CE5DD5">
        <w:t xml:space="preserve"> be left with the cash-flow to equity. The cash flow to equity would appropriately be discounted at the current cost of equity to give the market value of equity. While the debt financing cash flows would be discounted at the current cost of debt to give the market value of debt. These two values add together would be exactly the same as </w:t>
      </w:r>
      <w:r w:rsidR="00BF595D">
        <w:t xml:space="preserve">the </w:t>
      </w:r>
      <w:r w:rsidR="000F53E3">
        <w:t>value</w:t>
      </w:r>
      <w:r w:rsidR="000F53E3" w:rsidRPr="00CE5DD5">
        <w:t xml:space="preserve"> obtained</w:t>
      </w:r>
      <w:r w:rsidRPr="00CE5DD5">
        <w:t xml:space="preserve"> by valuing the cash flows before “debt financing costs are removed” by discounting at the WACC based on the current costs of debt and equity. </w:t>
      </w:r>
      <w:r w:rsidRPr="00CE5DD5">
        <w:rPr>
          <w:rStyle w:val="FootnoteReference"/>
        </w:rPr>
        <w:footnoteReference w:id="1361"/>
      </w:r>
      <w:r w:rsidRPr="00CE5DD5">
        <w:t xml:space="preserve"> </w:t>
      </w:r>
    </w:p>
    <w:p w:rsidR="00CE5DD5" w:rsidRPr="00CE5DD5" w:rsidRDefault="00CE5DD5" w:rsidP="00CE5DD5">
      <w:r w:rsidRPr="00CE5DD5">
        <w:t>We also agree with Partington and Satchell that any shifts in the value of assets and liabilities occurs  at the time interest rate changes and would give rise to (immediate) gains or losses to the debtholders and shareholders. Consequently, at the start of the next regulatory period, the effect of interest rate shifts will already have been fully reflected in the equity market value of the entity undertaking the investment.</w:t>
      </w:r>
      <w:r w:rsidRPr="00CE5DD5">
        <w:rPr>
          <w:rStyle w:val="FootnoteReference"/>
        </w:rPr>
        <w:footnoteReference w:id="1362"/>
      </w:r>
      <w:r w:rsidRPr="00CE5DD5">
        <w:t xml:space="preserve"> Therefore, we consider our application of the NPV=0 criterion holds for a BEE with debt financing at the commencement of the regulatory control period.</w:t>
      </w:r>
    </w:p>
    <w:p w:rsidR="00CE5DD5" w:rsidRPr="00CE5DD5" w:rsidRDefault="00CE5DD5" w:rsidP="00CE5DD5">
      <w:r w:rsidRPr="00CE5DD5">
        <w:t xml:space="preserve">Partington and Satchell further emphasise the appropriate discount rate in computing the NPV as the opportunity cost of capital to support the points made above. </w:t>
      </w:r>
      <w:r w:rsidRPr="00CE5DD5">
        <w:rPr>
          <w:rStyle w:val="FootnoteReference"/>
        </w:rPr>
        <w:footnoteReference w:id="1363"/>
      </w:r>
      <w:r w:rsidRPr="00CE5DD5">
        <w:t xml:space="preserve"> The current required rates of return on a firm’s asset should be equal to the rate of return that is currently offered in the capital market by securities of equivalent risk to the asset in equilibrium. If the return on the</w:t>
      </w:r>
      <w:r w:rsidR="00BF595D">
        <w:t xml:space="preserve"> regulated</w:t>
      </w:r>
      <w:r w:rsidRPr="00CE5DD5">
        <w:t xml:space="preserve"> asset is lower than the return on the equivalent risk securities, investors will prefer to invest in </w:t>
      </w:r>
      <w:r w:rsidR="00BF595D">
        <w:t xml:space="preserve">other </w:t>
      </w:r>
      <w:r w:rsidRPr="00CE5DD5">
        <w:t xml:space="preserve">securities rather than the </w:t>
      </w:r>
      <w:r w:rsidR="00BF595D">
        <w:t xml:space="preserve">regulated </w:t>
      </w:r>
      <w:r w:rsidRPr="00CE5DD5">
        <w:t>asset.</w:t>
      </w:r>
      <w:r w:rsidR="00266C03">
        <w:t xml:space="preserve"> </w:t>
      </w:r>
      <w:r w:rsidRPr="00CE5DD5">
        <w:t>Hence, the prevailing cost of capital</w:t>
      </w:r>
      <w:r w:rsidR="00BF595D">
        <w:t xml:space="preserve"> from securities with the same risk as the regulated </w:t>
      </w:r>
      <w:r w:rsidR="00072776">
        <w:t>asset</w:t>
      </w:r>
      <w:r w:rsidRPr="00CE5DD5">
        <w:t xml:space="preserve"> should be set as an allowed rate of return as it gives the opportunity cost of capital </w:t>
      </w:r>
      <w:r w:rsidR="00BF595D" w:rsidRPr="00CE5DD5">
        <w:t xml:space="preserve">. </w:t>
      </w:r>
      <w:r w:rsidR="00BF595D">
        <w:t>Partington and Satchell also note that</w:t>
      </w:r>
      <w:r w:rsidR="00BF595D" w:rsidRPr="00CE5DD5">
        <w:t xml:space="preserve"> </w:t>
      </w:r>
      <w:r w:rsidRPr="00CE5DD5">
        <w:t>it is well understood that in a competitive industry the competition drives the prices of the goods produced to an equilibrium where investment is a zero NPV activity.</w:t>
      </w:r>
      <w:r w:rsidR="00597C6C">
        <w:rPr>
          <w:rStyle w:val="FootnoteReference"/>
        </w:rPr>
        <w:footnoteReference w:id="1364"/>
      </w:r>
      <w:r w:rsidRPr="00CE5DD5">
        <w:t xml:space="preserve"> Partington and Satchell also point out that in markets where producers have significant monopoly power this competitive equilibrium will not prevail unless there is a regulator who sets an allowed rate of return that result in zero NPV investments.</w:t>
      </w:r>
      <w:r w:rsidRPr="00CE5DD5">
        <w:rPr>
          <w:rStyle w:val="FootnoteReference"/>
        </w:rPr>
        <w:footnoteReference w:id="1365"/>
      </w:r>
    </w:p>
    <w:p w:rsidR="00CE5DD5" w:rsidRPr="00CE5DD5" w:rsidRDefault="00CE5DD5" w:rsidP="00FC43C9">
      <w:pPr>
        <w:pStyle w:val="HeadingBoldItalic"/>
      </w:pPr>
      <w:r w:rsidRPr="00CE5DD5">
        <w:t>The validity of the AER’s mathematical proof</w:t>
      </w:r>
    </w:p>
    <w:p w:rsidR="00CE5DD5" w:rsidRPr="00CE5DD5" w:rsidRDefault="00CE5DD5" w:rsidP="00CE5DD5">
      <w:r w:rsidRPr="00CE5DD5">
        <w:t>CEG proposed that the mathematical proof under the AER’s assumption that allowed rates of return are based on a 5 year horizon is invalid given that the AER compensates on a 10 year horizon for the cost of debt.</w:t>
      </w:r>
      <w:r w:rsidR="00597C6C">
        <w:rPr>
          <w:rStyle w:val="FootnoteReference"/>
        </w:rPr>
        <w:footnoteReference w:id="1366"/>
      </w:r>
      <w:r w:rsidRPr="00CE5DD5">
        <w:t xml:space="preserve"> To address this issue we sought advice from our consultants. They provided the mathematical proof </w:t>
      </w:r>
      <w:r w:rsidR="00597C6C">
        <w:t xml:space="preserve">and explanation </w:t>
      </w:r>
      <w:r w:rsidRPr="00CE5DD5">
        <w:t>below:</w:t>
      </w:r>
      <w:r w:rsidR="00EF48B3">
        <w:rPr>
          <w:rStyle w:val="FootnoteReference"/>
        </w:rPr>
        <w:footnoteReference w:id="1367"/>
      </w:r>
    </w:p>
    <w:p w:rsidR="00CE5DD5" w:rsidRPr="00CE5DD5" w:rsidRDefault="00CE5DD5" w:rsidP="00CE5DD5">
      <w:r w:rsidRPr="00CE5DD5">
        <w:t xml:space="preserve">Let N be the regulatory period, t the current time, let c be the allowed rate of return and r the discount rate, both known at time t. Let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CE5DD5">
        <w:t xml:space="preserve"> be the RAB at time t. </w:t>
      </w:r>
    </w:p>
    <w:p w:rsidR="00CE5DD5" w:rsidRPr="00CE5DD5" w:rsidRDefault="00CE5DD5" w:rsidP="00CE5DD5">
      <w:r w:rsidRPr="00CE5DD5">
        <w:t xml:space="preserve">Let </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CE5DD5">
        <w:t xml:space="preserve"> be the present value of an investment at time t; let </w:t>
      </w:r>
      <m:oMath>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 xml:space="preserve"> </m:t>
        </m:r>
      </m:oMath>
      <w:r w:rsidRPr="00CE5DD5">
        <w:t>be the net operating cash flow for year t. The present value equation is that:</w:t>
      </w:r>
    </w:p>
    <w:p w:rsidR="00CE5DD5" w:rsidRPr="00CE5DD5" w:rsidRDefault="004A6459" w:rsidP="00CE5DD5">
      <m:oMath>
        <m:sSub>
          <m:sSubPr>
            <m:ctrlPr>
              <w:rPr>
                <w:rFonts w:ascii="Cambria Math" w:hAnsi="Cambria Math"/>
                <w:i/>
              </w:rPr>
            </m:ctrlPr>
          </m:sSubPr>
          <m:e>
            <m:r>
              <w:rPr>
                <w:rFonts w:ascii="Cambria Math" w:hAnsi="Cambria Math"/>
              </w:rPr>
              <m:t>PV</m:t>
            </m:r>
          </m:e>
          <m:sub>
            <m:r>
              <w:rPr>
                <w:rFonts w:ascii="Cambria Math" w:hAnsi="Cambria Math"/>
              </w:rPr>
              <m:t>t</m:t>
            </m:r>
          </m:sub>
        </m:sSub>
        <m:r>
          <w:rPr>
            <w:rFonts w:ascii="Cambria Math" w:hAnsi="Cambria Math"/>
          </w:rPr>
          <m:t xml:space="preserve"> </m:t>
        </m:r>
      </m:oMath>
      <w:r w:rsidR="00CE5DD5" w:rsidRPr="00CE5DD5">
        <w:t>=</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s=t+1</m:t>
                </m:r>
              </m:sub>
              <m:sup>
                <m:r>
                  <w:rPr>
                    <w:rFonts w:ascii="Cambria Math" w:hAnsi="Cambria Math"/>
                  </w:rPr>
                  <m:t>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s</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s-t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t+N</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N</m:t>
                        </m:r>
                      </m:sup>
                    </m:sSup>
                  </m:den>
                </m:f>
              </m:e>
            </m:nary>
          </m:e>
        </m:d>
        <m:r>
          <w:rPr>
            <w:rFonts w:ascii="Cambria Math" w:hAnsi="Cambria Math"/>
          </w:rPr>
          <m:t xml:space="preserve">                   </m:t>
        </m:r>
      </m:oMath>
      <w:r w:rsidR="00CE5DD5" w:rsidRPr="00CE5DD5">
        <w:tab/>
      </w:r>
      <w:r w:rsidR="00CE5DD5" w:rsidRPr="00CE5DD5">
        <w:tab/>
      </w:r>
      <w:r w:rsidR="00CE5DD5" w:rsidRPr="00CE5DD5">
        <w:tab/>
        <w:t>(1)</w:t>
      </w:r>
    </w:p>
    <w:p w:rsidR="00CE5DD5" w:rsidRPr="00CE5DD5" w:rsidRDefault="00CE5DD5" w:rsidP="00CE5DD5">
      <w:r w:rsidRPr="00CE5DD5">
        <w:t>Consistent with the AER’s assumptions in H7.3, we make the following two assumptions:</w:t>
      </w:r>
    </w:p>
    <w:p w:rsidR="00CE5DD5" w:rsidRPr="00CE5DD5" w:rsidRDefault="00CE5DD5" w:rsidP="00CE5DD5">
      <w:r w:rsidRPr="00CE5DD5">
        <w:t>Assumption 1</w:t>
      </w:r>
      <w:r w:rsidR="006E04B7">
        <w:t>:</w:t>
      </w:r>
      <w:r w:rsidRPr="00CE5DD5">
        <w:t xml:space="preserve"> We shall assume that </w:t>
      </w:r>
      <m:oMath>
        <m:sSub>
          <m:sSubPr>
            <m:ctrlPr>
              <w:rPr>
                <w:rFonts w:ascii="Cambria Math" w:hAnsi="Cambria Math"/>
                <w:i/>
              </w:rPr>
            </m:ctrlPr>
          </m:sSubPr>
          <m:e>
            <m:r>
              <w:rPr>
                <w:rFonts w:ascii="Cambria Math" w:hAnsi="Cambria Math"/>
              </w:rPr>
              <m:t>CF</m:t>
            </m:r>
          </m:e>
          <m:sub>
            <m:r>
              <w:rPr>
                <w:rFonts w:ascii="Cambria Math" w:hAnsi="Cambria Math"/>
              </w:rPr>
              <m:t>s</m:t>
            </m:r>
          </m:sub>
        </m:sSub>
      </m:oMath>
      <w:r w:rsidRPr="00CE5DD5">
        <w:t>= c</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CE5DD5">
        <w:t>; s=t+1,...,t+N.</w:t>
      </w:r>
    </w:p>
    <w:p w:rsidR="00CE5DD5" w:rsidRPr="00CE5DD5" w:rsidRDefault="00CE5DD5" w:rsidP="00CE5DD5">
      <w:r w:rsidRPr="00CE5DD5">
        <w:t>Assumption 2</w:t>
      </w:r>
      <w:r w:rsidR="006E04B7">
        <w:t>:</w:t>
      </w:r>
      <w:r w:rsidRPr="00CE5DD5">
        <w:t xml:space="preserve"> We shall assume that </w:t>
      </w:r>
      <m:oMath>
        <m:sSub>
          <m:sSubPr>
            <m:ctrlPr>
              <w:rPr>
                <w:rFonts w:ascii="Cambria Math" w:hAnsi="Cambria Math"/>
                <w:i/>
              </w:rPr>
            </m:ctrlPr>
          </m:sSubPr>
          <m:e>
            <m:r>
              <w:rPr>
                <w:rFonts w:ascii="Cambria Math" w:hAnsi="Cambria Math"/>
              </w:rPr>
              <m:t>K</m:t>
            </m:r>
          </m:e>
          <m:sub>
            <m:r>
              <w:rPr>
                <w:rFonts w:ascii="Cambria Math" w:hAnsi="Cambria Math"/>
              </w:rPr>
              <m:t>t+N</m:t>
            </m:r>
          </m:sub>
        </m:sSub>
        <m:r>
          <w:rPr>
            <w:rFonts w:ascii="Cambria Math" w:hAnsi="Cambria Math"/>
          </w:rPr>
          <m:t xml:space="preserve"> </m:t>
        </m:r>
      </m:oMath>
      <w:r w:rsidRPr="00CE5DD5">
        <w:t>=</w:t>
      </w:r>
      <m:oMath>
        <m:r>
          <w:rPr>
            <w:rFonts w:ascii="Cambria Math" w:hAnsi="Cambria Math"/>
          </w:rPr>
          <m:t xml:space="preserve"> </m:t>
        </m:r>
        <m:sSub>
          <m:sSubPr>
            <m:ctrlPr>
              <w:rPr>
                <w:rFonts w:ascii="Cambria Math" w:hAnsi="Cambria Math"/>
                <w:i/>
              </w:rPr>
            </m:ctrlPr>
          </m:sSubPr>
          <m:e>
            <m:r>
              <w:rPr>
                <w:rFonts w:ascii="Cambria Math" w:hAnsi="Cambria Math"/>
              </w:rPr>
              <m:t>PV</m:t>
            </m:r>
          </m:e>
          <m:sub>
            <m:r>
              <w:rPr>
                <w:rFonts w:ascii="Cambria Math" w:hAnsi="Cambria Math"/>
              </w:rPr>
              <m:t>t</m:t>
            </m:r>
          </m:sub>
        </m:sSub>
      </m:oMath>
    </w:p>
    <w:p w:rsidR="00CE5DD5" w:rsidRPr="00CE5DD5" w:rsidRDefault="00CE5DD5" w:rsidP="00CE5DD5">
      <w:r w:rsidRPr="00CE5DD5">
        <w:t>Theorem. If equation 1 holds as well as Assumptions 1 and 2, then c = r.</w:t>
      </w:r>
    </w:p>
    <w:p w:rsidR="00CE5DD5" w:rsidRPr="00CE5DD5" w:rsidRDefault="00CE5DD5" w:rsidP="00CE5DD5">
      <w:r w:rsidRPr="00CE5DD5">
        <w:t>Proof.</w:t>
      </w:r>
    </w:p>
    <w:p w:rsidR="00CE5DD5" w:rsidRPr="00CE5DD5" w:rsidRDefault="00CE5DD5" w:rsidP="00CE5DD5">
      <w:r w:rsidRPr="00CE5DD5">
        <w:t>Under the above assumptions, nothing is stochastic at time t; so we can drop the expected value operator. Equation 1 becomes, letting a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(1+r)</m:t>
            </m:r>
          </m:den>
        </m:f>
      </m:oMath>
    </w:p>
    <w:p w:rsidR="00CE5DD5" w:rsidRPr="00CE5DD5" w:rsidRDefault="00CE5DD5" w:rsidP="00CE5DD5">
      <w:r w:rsidRPr="00CE5DD5">
        <w:t>1 = c</w:t>
      </w:r>
      <m:oMath>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CE5DD5">
        <w:t>; simplifying, we see that</w:t>
      </w:r>
    </w:p>
    <w:p w:rsidR="00CE5DD5" w:rsidRPr="00CE5DD5" w:rsidRDefault="00CE5DD5" w:rsidP="00CE5DD5">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=ca</m:t>
        </m:r>
        <m:d>
          <m:dPr>
            <m:ctrlPr>
              <w:rPr>
                <w:rFonts w:ascii="Cambria Math" w:hAnsi="Cambria Math"/>
                <w:i/>
              </w:rPr>
            </m:ctrlPr>
          </m:dPr>
          <m:e>
            <m:f>
              <m:fPr>
                <m:ctrlPr>
                  <w:rPr>
                    <w:rFonts w:ascii="Cambria Math" w:hAnsi="Cambria Math"/>
                    <w:i/>
                  </w:rPr>
                </m:ctrlPr>
              </m:fPr>
              <m:num>
                <m:r>
                  <w:rPr>
                    <w:rFonts w:ascii="Cambria Math" w:hAnsi="Cambria Math"/>
                  </w:rPr>
                  <m:t xml:space="preserve">   1-</m:t>
                </m:r>
                <m:sSup>
                  <m:sSupPr>
                    <m:ctrlPr>
                      <w:rPr>
                        <w:rFonts w:ascii="Cambria Math" w:hAnsi="Cambria Math"/>
                        <w:i/>
                      </w:rPr>
                    </m:ctrlPr>
                  </m:sSupPr>
                  <m:e>
                    <m:r>
                      <w:rPr>
                        <w:rFonts w:ascii="Cambria Math" w:hAnsi="Cambria Math"/>
                      </w:rPr>
                      <m:t>a</m:t>
                    </m:r>
                  </m:e>
                  <m:sup>
                    <m:r>
                      <w:rPr>
                        <w:rFonts w:ascii="Cambria Math" w:hAnsi="Cambria Math"/>
                      </w:rPr>
                      <m:t>N</m:t>
                    </m:r>
                  </m:sup>
                </m:sSup>
              </m:num>
              <m:den>
                <m:r>
                  <w:rPr>
                    <w:rFonts w:ascii="Cambria Math" w:hAnsi="Cambria Math"/>
                  </w:rPr>
                  <m:t>1-a</m:t>
                </m:r>
              </m:den>
            </m:f>
          </m:e>
        </m:d>
      </m:oMath>
      <w:r w:rsidRPr="00CE5DD5">
        <w:t>,</w:t>
      </w:r>
    </w:p>
    <w:p w:rsidR="00CE5DD5" w:rsidRPr="00CE5DD5" w:rsidRDefault="00CE5DD5" w:rsidP="00CE5DD5">
      <w:r w:rsidRPr="00CE5DD5">
        <w:t xml:space="preserve">as long as r&gt;0, a&lt;1 </w:t>
      </w:r>
    </w:p>
    <w:p w:rsidR="00CE5DD5" w:rsidRPr="00CE5DD5" w:rsidRDefault="00CE5DD5" w:rsidP="00CE5DD5">
      <w:r w:rsidRPr="00CE5DD5">
        <w:t xml:space="preserve">We can cancel </w:t>
      </w:r>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CE5DD5">
        <w:t>and 1=</w:t>
      </w:r>
      <m:oMath>
        <m:r>
          <w:rPr>
            <w:rFonts w:ascii="Cambria Math" w:hAnsi="Cambria Math"/>
          </w:rPr>
          <m:t xml:space="preserve"> c</m:t>
        </m:r>
        <m:d>
          <m:dPr>
            <m:ctrlPr>
              <w:rPr>
                <w:rFonts w:ascii="Cambria Math" w:hAnsi="Cambria Math"/>
                <w:i/>
              </w:rPr>
            </m:ctrlPr>
          </m:dPr>
          <m:e>
            <m:f>
              <m:fPr>
                <m:ctrlPr>
                  <w:rPr>
                    <w:rFonts w:ascii="Cambria Math" w:hAnsi="Cambria Math"/>
                    <w:i/>
                  </w:rPr>
                </m:ctrlPr>
              </m:fPr>
              <m:num>
                <m:r>
                  <w:rPr>
                    <w:rFonts w:ascii="Cambria Math" w:hAnsi="Cambria Math"/>
                  </w:rPr>
                  <m:t xml:space="preserve">   a</m:t>
                </m:r>
              </m:num>
              <m:den>
                <m:r>
                  <w:rPr>
                    <w:rFonts w:ascii="Cambria Math" w:hAnsi="Cambria Math"/>
                  </w:rPr>
                  <m:t>1-a</m:t>
                </m:r>
              </m:den>
            </m:f>
          </m:e>
        </m:d>
      </m:oMath>
      <w:r w:rsidRPr="00CE5DD5">
        <w:t>,</w:t>
      </w:r>
    </w:p>
    <w:p w:rsidR="00CE5DD5" w:rsidRPr="00CE5DD5" w:rsidRDefault="00CE5DD5" w:rsidP="00CE5DD5">
      <w:r w:rsidRPr="00CE5DD5">
        <w:t xml:space="preserve"> c =</w:t>
      </w:r>
      <m:oMath>
        <m:r>
          <w:rPr>
            <w:rFonts w:ascii="Cambria Math" w:hAnsi="Cambria Math"/>
          </w:rPr>
          <m:t xml:space="preserve"> </m:t>
        </m:r>
        <m:f>
          <m:fPr>
            <m:ctrlPr>
              <w:rPr>
                <w:rFonts w:ascii="Cambria Math" w:hAnsi="Cambria Math"/>
                <w:i/>
              </w:rPr>
            </m:ctrlPr>
          </m:fPr>
          <m:num>
            <m:r>
              <w:rPr>
                <w:rFonts w:ascii="Cambria Math" w:hAnsi="Cambria Math"/>
              </w:rPr>
              <m:t>1-a</m:t>
            </m:r>
          </m:num>
          <m:den>
            <m:r>
              <w:rPr>
                <w:rFonts w:ascii="Cambria Math" w:hAnsi="Cambria Math"/>
              </w:rPr>
              <m:t>a</m:t>
            </m:r>
          </m:den>
        </m:f>
        <m:r>
          <w:rPr>
            <w:rFonts w:ascii="Cambria Math" w:hAnsi="Cambria Math"/>
          </w:rPr>
          <m:t xml:space="preserve"> </m:t>
        </m:r>
      </m:oMath>
      <w:r w:rsidRPr="00CE5DD5">
        <w:t>=</w:t>
      </w:r>
      <m:oMath>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(1+r)</m:t>
                </m:r>
              </m:den>
            </m:f>
          </m:num>
          <m:den>
            <m:f>
              <m:fPr>
                <m:ctrlPr>
                  <w:rPr>
                    <w:rFonts w:ascii="Cambria Math" w:hAnsi="Cambria Math"/>
                    <w:i/>
                  </w:rPr>
                </m:ctrlPr>
              </m:fPr>
              <m:num>
                <m:r>
                  <w:rPr>
                    <w:rFonts w:ascii="Cambria Math" w:hAnsi="Cambria Math"/>
                  </w:rPr>
                  <m:t>1</m:t>
                </m:r>
              </m:num>
              <m:den>
                <m:r>
                  <w:rPr>
                    <w:rFonts w:ascii="Cambria Math" w:hAnsi="Cambria Math"/>
                  </w:rPr>
                  <m:t>(1+r)</m:t>
                </m:r>
              </m:den>
            </m:f>
          </m:den>
        </m:f>
        <m:r>
          <w:rPr>
            <w:rFonts w:ascii="Cambria Math" w:hAnsi="Cambria Math"/>
          </w:rPr>
          <m:t xml:space="preserve"> </m:t>
        </m:r>
      </m:oMath>
      <w:r w:rsidRPr="00CE5DD5">
        <w:t xml:space="preserve"> . We multiply top and bottom by 1+r,</w:t>
      </w:r>
    </w:p>
    <w:p w:rsidR="00CE5DD5" w:rsidRPr="00CE5DD5" w:rsidRDefault="00CE5DD5" w:rsidP="00CE5DD5">
      <w:r w:rsidRPr="00CE5DD5">
        <w:t>c=</w:t>
      </w:r>
      <m:oMath>
        <m:f>
          <m:fPr>
            <m:ctrlPr>
              <w:rPr>
                <w:rFonts w:ascii="Cambria Math" w:hAnsi="Cambria Math"/>
                <w:i/>
              </w:rPr>
            </m:ctrlPr>
          </m:fPr>
          <m:num>
            <m:r>
              <w:rPr>
                <w:rFonts w:ascii="Cambria Math" w:hAnsi="Cambria Math"/>
              </w:rPr>
              <m:t>1+r-1</m:t>
            </m:r>
          </m:num>
          <m:den>
            <m:r>
              <w:rPr>
                <w:rFonts w:ascii="Cambria Math" w:hAnsi="Cambria Math"/>
              </w:rPr>
              <m:t>1</m:t>
            </m:r>
          </m:den>
        </m:f>
      </m:oMath>
      <w:r w:rsidRPr="00CE5DD5">
        <w:t>=r</w:t>
      </w:r>
    </w:p>
    <w:p w:rsidR="00CE5DD5" w:rsidRPr="00CE5DD5" w:rsidRDefault="00CE5DD5" w:rsidP="00CE5DD5">
      <w:r w:rsidRPr="00CE5DD5">
        <w:t xml:space="preserve">This proof demonstrates that if the discount rate is equal to the 5 year rate at the beginning of the regulatory period, then the RAB at </w:t>
      </w:r>
      <w:r w:rsidR="00597C6C">
        <w:t xml:space="preserve">time </w:t>
      </w:r>
      <w:r w:rsidRPr="00CE5DD5">
        <w:t>t+5 will be the same as at</w:t>
      </w:r>
      <w:r w:rsidR="00597C6C">
        <w:t xml:space="preserve"> time</w:t>
      </w:r>
      <w:r w:rsidRPr="00CE5DD5">
        <w:t xml:space="preserve"> t as long as the allowed rate of return in the cash flows is equal to the 5 year rate. The same property will be true if we use the 10 year rate to discount</w:t>
      </w:r>
      <w:r w:rsidR="00597C6C">
        <w:t xml:space="preserve"> cash flows with</w:t>
      </w:r>
      <w:r w:rsidRPr="00CE5DD5">
        <w:t xml:space="preserve"> as long as the allowed rate of return in the cash flows is equal to the discount rate used. Also the value of N is arbitrary, so the above would be true if the regulatory period is five years, or ten years, or some other period.</w:t>
      </w:r>
    </w:p>
    <w:p w:rsidR="00CE5DD5" w:rsidRDefault="00CE5DD5" w:rsidP="00CE5DD5">
      <w:r w:rsidRPr="00CE5DD5">
        <w:t>It would matter, however, if we used the 10 year rate for discounting and the 5 year rate for the allowed rate of return in the cash flows (or vice-versa) and, because the term structure had appreciable slope, these two numbers were notably different.</w:t>
      </w:r>
      <w:r w:rsidR="0072585D">
        <w:t xml:space="preserve"> </w:t>
      </w:r>
      <w:r w:rsidR="0072585D" w:rsidRPr="0072585D">
        <w:t xml:space="preserve">However, our use of a 10 year return on debt does not imply an allowed return materially above the appropriate discount rate, </w:t>
      </w:r>
      <w:r w:rsidR="00DF0600" w:rsidRPr="0072585D">
        <w:t>particularly</w:t>
      </w:r>
      <w:r w:rsidR="0072585D" w:rsidRPr="0072585D">
        <w:t xml:space="preserve"> given we do not explicitly provide allowances for </w:t>
      </w:r>
      <w:r w:rsidR="00DF0600" w:rsidRPr="0072585D">
        <w:t>certain</w:t>
      </w:r>
      <w:r w:rsidR="0072585D" w:rsidRPr="0072585D">
        <w:t xml:space="preserve"> costs as we noted in footnote 1106 of our draft decision.</w:t>
      </w:r>
      <w:r w:rsidR="0072585D" w:rsidRPr="0072585D">
        <w:rPr>
          <w:rStyle w:val="FootnoteReference"/>
        </w:rPr>
        <w:footnoteReference w:id="1368"/>
      </w:r>
      <w:r w:rsidR="0072585D" w:rsidRPr="0072585D">
        <w:t xml:space="preserve"> Our commentary on this point was also noted by our consultants.</w:t>
      </w:r>
      <w:r w:rsidR="0072585D" w:rsidRPr="0072585D">
        <w:rPr>
          <w:rStyle w:val="FootnoteReference"/>
        </w:rPr>
        <w:footnoteReference w:id="1369"/>
      </w:r>
      <w:r w:rsidR="0072585D" w:rsidRPr="0072585D">
        <w:t xml:space="preserve"> </w:t>
      </w:r>
    </w:p>
    <w:p w:rsidR="00597C6C" w:rsidRPr="00CE5DD5" w:rsidRDefault="00597C6C" w:rsidP="00597C6C">
      <w:r>
        <w:t>Having fully considered CEG's arguments and sought and received advice on the matter, we remain of the view our mathematical proof is valid in demonstrating why a full transition is necessary to achieve the ARORO.</w:t>
      </w:r>
    </w:p>
    <w:p w:rsidR="00597C6C" w:rsidRPr="00CE5DD5" w:rsidRDefault="00597C6C" w:rsidP="00CE5DD5"/>
    <w:p w:rsidR="00CE5DD5" w:rsidRPr="00CE5DD5" w:rsidRDefault="00CE5DD5" w:rsidP="00CE5DD5">
      <w:pPr>
        <w:pStyle w:val="HeadingBoldBlue"/>
      </w:pPr>
      <w:r w:rsidRPr="00CE5DD5">
        <w:t xml:space="preserve">Proposals for a hybrid approach based on partial hedging </w:t>
      </w:r>
    </w:p>
    <w:p w:rsidR="00CE5DD5" w:rsidRPr="00CE5DD5" w:rsidRDefault="00CE5DD5" w:rsidP="00CE5DD5">
      <w:r w:rsidRPr="00CE5DD5">
        <w:t>Several service providers previously submitted that if we do not accept their first preference to adopt an immediate transition, we should apply a hybrid transition based on the assumption that a benchmark efficient entity would only hedge one third of the base rate.</w:t>
      </w:r>
      <w:r w:rsidRPr="00CE5DD5">
        <w:rPr>
          <w:rStyle w:val="FootnoteReference"/>
        </w:rPr>
        <w:footnoteReference w:id="1370"/>
      </w:r>
      <w:r w:rsidRPr="00CE5DD5">
        <w:t xml:space="preserve"> In expressing this preference, these service providers assume</w:t>
      </w:r>
      <w:r w:rsidR="00597C6C">
        <w:t>d</w:t>
      </w:r>
      <w:r w:rsidRPr="00CE5DD5">
        <w:t xml:space="preserve"> it would have been optimal for a benchmark efficient entity to hedge one third (rather than 100 per cent) of the base rate under the on-the-day approach.</w:t>
      </w:r>
      <w:r w:rsidRPr="00CE5DD5">
        <w:rPr>
          <w:rStyle w:val="FootnoteReference"/>
        </w:rPr>
        <w:footnoteReference w:id="1371"/>
      </w:r>
      <w:r w:rsidRPr="00CE5DD5">
        <w:t xml:space="preserve"> We note that </w:t>
      </w:r>
      <w:r w:rsidR="008A4EA6">
        <w:t>TasNetworks did not propose partial hedging in its regulatory proposal.</w:t>
      </w:r>
      <w:r w:rsidR="00344E89">
        <w:t xml:space="preserve"> </w:t>
      </w:r>
      <w:r w:rsidRPr="00CE5DD5">
        <w:t xml:space="preserve">Nevertheless, </w:t>
      </w:r>
      <w:r w:rsidR="00597C6C">
        <w:t xml:space="preserve">for completeness, </w:t>
      </w:r>
      <w:r w:rsidRPr="00CE5DD5">
        <w:t xml:space="preserve">we consider it is appropriate for the AER to continue to respond to the partial hedging argument that was proposed by some other service providers who we made decisions for in 2016. </w:t>
      </w:r>
    </w:p>
    <w:p w:rsidR="00CE5DD5" w:rsidRPr="00CE5DD5" w:rsidRDefault="00CE5DD5" w:rsidP="00CE5DD5">
      <w:r w:rsidRPr="00CE5DD5">
        <w:t xml:space="preserve">Under the on-the-day regime, there are multiple ways that service providers could finance their debt whilst still having a reasonable opportunity to recover at least efficient costs over the life of their assets. While hedging interest rate risk should not change a service provider's ability to recover at least efficient costs ex-ante, it affects its ability to recover its actual (historical) cost over any given regulatory period. We do not base our reasons for a full transition on actual (historical) debt costs or debt financing (or hedging) practices because we are operating under an ex-ante regulatory regime rather than a cost of service model (see </w:t>
      </w:r>
      <w:r w:rsidRPr="00CE5DD5">
        <w:fldChar w:fldCharType="begin"/>
      </w:r>
      <w:r w:rsidRPr="00CE5DD5">
        <w:instrText xml:space="preserve"> REF  _Ref447807493 \* Lower \h </w:instrText>
      </w:r>
      <w:r w:rsidRPr="00CE5DD5">
        <w:fldChar w:fldCharType="separate"/>
      </w:r>
      <w:r w:rsidR="00C6448C" w:rsidRPr="00CE5DD5">
        <w:t xml:space="preserve">table </w:t>
      </w:r>
      <w:r w:rsidR="00C6448C">
        <w:rPr>
          <w:noProof/>
        </w:rPr>
        <w:t>3</w:t>
      </w:r>
      <w:r w:rsidR="00C6448C">
        <w:noBreakHyphen/>
      </w:r>
      <w:r w:rsidR="00C6448C">
        <w:rPr>
          <w:noProof/>
        </w:rPr>
        <w:t>37</w:t>
      </w:r>
      <w:r w:rsidRPr="00CE5DD5">
        <w:fldChar w:fldCharType="end"/>
      </w:r>
      <w:r w:rsidRPr="00CE5DD5">
        <w:t xml:space="preserve"> above).</w:t>
      </w:r>
    </w:p>
    <w:p w:rsidR="00CE5DD5" w:rsidRPr="00CE5DD5" w:rsidRDefault="00CE5DD5" w:rsidP="00CE5DD5">
      <w:r w:rsidRPr="00CE5DD5">
        <w:t xml:space="preserve">Nevertheless, </w:t>
      </w:r>
      <w:r w:rsidR="00EA3075">
        <w:t xml:space="preserve">in making our May 2016 decisions </w:t>
      </w:r>
      <w:r w:rsidRPr="00CE5DD5">
        <w:t>we reviewed the service providers' submissions and CEG's</w:t>
      </w:r>
      <w:r w:rsidR="00EA3075">
        <w:t xml:space="preserve"> January</w:t>
      </w:r>
      <w:r w:rsidRPr="00CE5DD5">
        <w:t xml:space="preserve"> 2016 report in detail. </w:t>
      </w:r>
      <w:r w:rsidR="00EA3075">
        <w:t>As we noted in our decisions made in May 2016, w</w:t>
      </w:r>
      <w:r w:rsidRPr="00CE5DD5">
        <w:t>e are not satisfied it is reasonable to assume (in isolation) the benchmark efficient financing strategy under the on-the-day approach involved hedging only one third of the base rate.</w:t>
      </w:r>
    </w:p>
    <w:p w:rsidR="00CE5DD5" w:rsidRPr="00CE5DD5" w:rsidRDefault="00CE5DD5" w:rsidP="00CE5DD5">
      <w:r w:rsidRPr="00CE5DD5">
        <w:t>First, observed practices of regulated energy network firms appear more consistent with a benchmark assumption of 100 per cent hedging than one third hedging (of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Pr="00CE5DD5">
        <w:rPr>
          <w:rStyle w:val="FootnoteReference"/>
        </w:rPr>
        <w:footnoteReference w:id="1372"/>
      </w:r>
      <w:r w:rsidRPr="00CE5DD5">
        <w:t xml:space="preserve"> More recently, we collected return on debt data from a number of regulated energy network service providers. This data corroborated our findings from the 2009 WACC review.</w:t>
      </w:r>
      <w:r w:rsidRPr="00CE5DD5">
        <w:rPr>
          <w:rStyle w:val="FootnoteReference"/>
        </w:rPr>
        <w:footnoteReference w:id="1373"/>
      </w:r>
      <w:r w:rsidRPr="00CE5DD5">
        <w:t xml:space="preserve"> Recent annual reports also show similar findings.</w:t>
      </w:r>
      <w:r w:rsidRPr="00CE5DD5">
        <w:rPr>
          <w:rStyle w:val="FootnoteReference"/>
        </w:rPr>
        <w:footnoteReference w:id="1374"/>
      </w:r>
      <w:r w:rsidRPr="00CE5DD5">
        <w:t xml:space="preserve"> </w:t>
      </w:r>
    </w:p>
    <w:p w:rsidR="00CE5DD5" w:rsidRPr="00CE5DD5" w:rsidRDefault="00CE5DD5" w:rsidP="00CE5DD5">
      <w:r w:rsidRPr="00CE5DD5">
        <w:t>Second, we consider proposals to depart from specific aspects of our preferred benchmark efficient financing practices should not be viewed in isolation. CEG has assessed in isolation a more complex hedging strategy (of one third of the base rate) without regard to the other simplifications associated with our preferred benchmark efficient financing practice under the on-the-day approach. We are not satisfied that CEG's analysis shows our benchmark efficient financing practice under the on-the-day approach as a whole is unreasonable. CEG has not analysed the other simplifications we have employed in forming our view, and has not demonstrated that a more complex benchmark efficient financing practice (overall) leads to a materially preferable outcome. On the other hand, in forming its view that our proposed benchmark efficient financing practice is appropriate, Chairmont assessed a range of variations to this financing practice, including variations in hedging, term, and timing and type of debt issuance.</w:t>
      </w:r>
      <w:r w:rsidRPr="00CE5DD5">
        <w:rPr>
          <w:rStyle w:val="FootnoteReference"/>
        </w:rPr>
        <w:footnoteReference w:id="1375"/>
      </w:r>
    </w:p>
    <w:p w:rsidR="00CE5DD5" w:rsidRPr="00CE5DD5" w:rsidRDefault="00CE5DD5" w:rsidP="00CE5DD5">
      <w:r w:rsidRPr="00CE5DD5">
        <w:t xml:space="preserve">Third, we responded to submissions supporting an optimal hedging ratio of less than one third (including CEG's June 2015 report) in our </w:t>
      </w:r>
      <w:r w:rsidR="00EA3075">
        <w:t>October and November 2015</w:t>
      </w:r>
      <w:r w:rsidRPr="00CE5DD5">
        <w:t xml:space="preserve"> decisions, based on advice from Lally and Chairmont.</w:t>
      </w:r>
      <w:r w:rsidRPr="00CE5DD5">
        <w:rPr>
          <w:rStyle w:val="FootnoteReference"/>
        </w:rPr>
        <w:footnoteReference w:id="1376"/>
      </w:r>
      <w:r w:rsidRPr="00CE5DD5">
        <w:t xml:space="preserve"> CEG responded to Lally and Chairmont's advice in its</w:t>
      </w:r>
      <w:r w:rsidR="00EA3075">
        <w:t xml:space="preserve"> January </w:t>
      </w:r>
      <w:r w:rsidRPr="00CE5DD5">
        <w:t xml:space="preserve">2016 report. However, our reasons for a gradual transition are not based on the actual debt financing and/or hedging practices of service providers (efficient or not). Further, we consider the reasoning provided above is sufficient to show that 100 per cent hedging (of the base rate) is a reasonable benchmark. Therefore, we </w:t>
      </w:r>
      <w:r w:rsidR="00EA3075">
        <w:t>did</w:t>
      </w:r>
      <w:r w:rsidRPr="00CE5DD5">
        <w:t xml:space="preserve"> not commission further advice from </w:t>
      </w:r>
      <w:r w:rsidR="00EA3075">
        <w:t xml:space="preserve">either Lally or Chairmont </w:t>
      </w:r>
      <w:r w:rsidRPr="00CE5DD5">
        <w:t xml:space="preserve">in response to CEG's </w:t>
      </w:r>
      <w:r w:rsidR="00EA3075">
        <w:t xml:space="preserve">January </w:t>
      </w:r>
      <w:r w:rsidRPr="00CE5DD5">
        <w:t xml:space="preserve">2016 report. </w:t>
      </w:r>
    </w:p>
    <w:p w:rsidR="00CE5DD5" w:rsidRPr="00CE5DD5" w:rsidRDefault="00CE5DD5" w:rsidP="00CE5DD5">
      <w:r w:rsidRPr="00CE5DD5">
        <w:t xml:space="preserve">Further, we do not consider an on-the-day approach would require compensation for swap transaction costs. Several service providers </w:t>
      </w:r>
      <w:r w:rsidR="00EA3075">
        <w:t xml:space="preserve">have previously </w:t>
      </w:r>
      <w:r w:rsidRPr="00CE5DD5">
        <w:t>proposed to add an allowance for swap transaction costs to their return on debt each year if a hybrid transition (full or partial) is used.</w:t>
      </w:r>
      <w:r w:rsidRPr="00CE5DD5">
        <w:rPr>
          <w:rStyle w:val="FootnoteReference"/>
        </w:rPr>
        <w:footnoteReference w:id="1377"/>
      </w:r>
      <w:r w:rsidRPr="00CE5DD5">
        <w:t xml:space="preserve"> This is in line with CEG's advice (or references to Chairmont).</w:t>
      </w:r>
      <w:r w:rsidRPr="00CE5DD5">
        <w:rPr>
          <w:rStyle w:val="FootnoteReference"/>
        </w:rPr>
        <w:footnoteReference w:id="1378"/>
      </w:r>
      <w:r w:rsidRPr="00CE5DD5">
        <w:t xml:space="preserve"> We note that service providers</w:t>
      </w:r>
      <w:r w:rsidR="00EA3075">
        <w:t xml:space="preserve"> in prior decisions</w:t>
      </w:r>
      <w:r w:rsidRPr="00CE5DD5">
        <w:t xml:space="preserve"> request</w:t>
      </w:r>
      <w:r w:rsidR="00EA3075">
        <w:t>ed</w:t>
      </w:r>
      <w:r w:rsidRPr="00CE5DD5">
        <w:t xml:space="preserve"> this allowance if we apply a hybrid transition to a trailing average.</w:t>
      </w:r>
      <w:r w:rsidRPr="00CE5DD5">
        <w:rPr>
          <w:rStyle w:val="FootnoteReference"/>
        </w:rPr>
        <w:footnoteReference w:id="1379"/>
      </w:r>
      <w:r w:rsidRPr="00CE5DD5">
        <w:t xml:space="preserve"> We maintain our view from our recent decisions.</w:t>
      </w:r>
      <w:r w:rsidRPr="00CE5DD5">
        <w:rPr>
          <w:rStyle w:val="FootnoteReference"/>
        </w:rPr>
        <w:footnoteReference w:id="1380"/>
      </w:r>
      <w:r w:rsidRPr="00CE5DD5">
        <w:t xml:space="preserve"> That is:</w:t>
      </w:r>
    </w:p>
    <w:p w:rsidR="00CE5DD5" w:rsidRPr="00CE5DD5" w:rsidRDefault="00CE5DD5" w:rsidP="00CE5DD5">
      <w:pPr>
        <w:pStyle w:val="AERbulletlistfirststyle"/>
      </w:pPr>
      <w:r w:rsidRPr="00CE5DD5">
        <w:t xml:space="preserve">We are not satisfied that customers should pay for the service providers' reduction in interest rate risk that results from hedging. CEG </w:t>
      </w:r>
      <w:r w:rsidR="00EA3075">
        <w:t xml:space="preserve">in its January 2016 report </w:t>
      </w:r>
      <w:r w:rsidRPr="00CE5DD5">
        <w:t>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CE5DD5">
        <w:rPr>
          <w:rStyle w:val="FootnoteReference"/>
        </w:rPr>
        <w:footnoteReference w:id="1381"/>
      </w:r>
      <w:r w:rsidRPr="00CE5DD5">
        <w:t xml:space="preserve"> We disagree. We consider a rate of return that meets the ARORO must provide for ex-ante efficient compensation (see section </w:t>
      </w:r>
      <w:r w:rsidRPr="00CE5DD5">
        <w:fldChar w:fldCharType="begin"/>
      </w:r>
      <w:r w:rsidRPr="00CE5DD5">
        <w:instrText xml:space="preserve"> REF _Ref444778432 \r \h </w:instrText>
      </w:r>
      <w:r w:rsidRPr="00CE5DD5">
        <w:fldChar w:fldCharType="separate"/>
      </w:r>
      <w:r w:rsidR="00C6448C">
        <w:t>H.2</w:t>
      </w:r>
      <w:r w:rsidRPr="00CE5DD5">
        <w:fldChar w:fldCharType="end"/>
      </w:r>
      <w:r w:rsidRPr="00CE5DD5">
        <w:t>), and this view does not invalidate our reference to the NERA report.</w:t>
      </w:r>
    </w:p>
    <w:p w:rsidR="00CE5DD5" w:rsidRPr="00CE5DD5" w:rsidRDefault="00CE5DD5" w:rsidP="00CE5DD5">
      <w:pPr>
        <w:pStyle w:val="AERbulletlistfirststyle"/>
      </w:pPr>
      <w:r w:rsidRPr="00CE5DD5">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 hedge when the benefits outweigh the costs, stating that this 'suggests the costs are covered by the value enhancement that results'.</w:t>
      </w:r>
      <w:r w:rsidRPr="00CE5DD5">
        <w:rPr>
          <w:rStyle w:val="FootnoteReference"/>
        </w:rPr>
        <w:footnoteReference w:id="1382"/>
      </w:r>
    </w:p>
    <w:p w:rsidR="00CE5DD5" w:rsidRPr="00CE5DD5" w:rsidRDefault="00CE5DD5" w:rsidP="00CE5DD5">
      <w:pPr>
        <w:pStyle w:val="AERbulletlistfirststyle"/>
      </w:pPr>
      <w:r w:rsidRPr="00CE5DD5">
        <w:t>We agree with Lally's advice that hedging would have been self-funding because the saving in converting 10 year debt into five year debt would have offset the cost of the hedge. Moreover, there is wide support for the view that interest rates on longer-term debt securities are often higher than those on shorter-term debt securities.</w:t>
      </w:r>
      <w:r w:rsidRPr="00CE5DD5">
        <w:rPr>
          <w:rStyle w:val="FootnoteReference"/>
        </w:rPr>
        <w:footnoteReference w:id="1383"/>
      </w:r>
      <w:r w:rsidRPr="00CE5DD5">
        <w:t xml:space="preserve"> Therefore, even if we are incorrect in assuming hedging costs do not need compensation, we have effectively provided an allowance for these costs by using a ten year term on the base rate.</w:t>
      </w:r>
    </w:p>
    <w:p w:rsidR="00A933BB" w:rsidRDefault="00A933BB" w:rsidP="00A933BB">
      <w:pPr>
        <w:pStyle w:val="Heading7"/>
      </w:pPr>
      <w:bookmarkStart w:id="373" w:name="_Toc480965082"/>
      <w:bookmarkStart w:id="374" w:name="_Ref479168623"/>
      <w:bookmarkStart w:id="375" w:name="_Toc481057098"/>
      <w:bookmarkEnd w:id="373"/>
      <w:r>
        <w:t>Return on debt implementation</w:t>
      </w:r>
      <w:bookmarkEnd w:id="374"/>
      <w:bookmarkEnd w:id="375"/>
    </w:p>
    <w:p w:rsidR="00A933BB" w:rsidRDefault="00A933BB" w:rsidP="00A933BB">
      <w:r>
        <w:t>This section sets out our detailed analysis of the key issues raised by stakeholders relating to the implementation of the return on debt approach. The analysis is set out in the following sections:</w:t>
      </w:r>
    </w:p>
    <w:p w:rsidR="00A933BB" w:rsidRPr="00A933BB" w:rsidRDefault="00A933BB" w:rsidP="00A933BB">
      <w:pPr>
        <w:pStyle w:val="AERbulletlistfirststyle"/>
      </w:pPr>
      <w:r>
        <w:t>criticisms of our current approach</w:t>
      </w:r>
    </w:p>
    <w:p w:rsidR="00A933BB" w:rsidRDefault="00A933BB" w:rsidP="00A933BB">
      <w:pPr>
        <w:pStyle w:val="AERbulletlistsecondstyle"/>
      </w:pPr>
      <w:r>
        <w:t>CEG’s curve criteria</w:t>
      </w:r>
    </w:p>
    <w:p w:rsidR="00A933BB" w:rsidRDefault="00A933BB" w:rsidP="00A933BB">
      <w:pPr>
        <w:pStyle w:val="AERbulletlistsecondstyle"/>
      </w:pPr>
      <w:r>
        <w:t>issues with the RBA curve</w:t>
      </w:r>
    </w:p>
    <w:p w:rsidR="00A933BB" w:rsidRDefault="00A933BB" w:rsidP="00A933BB">
      <w:pPr>
        <w:pStyle w:val="AERbulletlistsecondstyle"/>
      </w:pPr>
      <w:r>
        <w:t>the issue of sample size</w:t>
      </w:r>
    </w:p>
    <w:p w:rsidR="00A933BB" w:rsidRDefault="00A933BB" w:rsidP="00A933BB">
      <w:pPr>
        <w:pStyle w:val="AERbulletlistsecondstyle"/>
      </w:pPr>
      <w:r>
        <w:t>the Asciano, Mirvac and Jemena bonds</w:t>
      </w:r>
    </w:p>
    <w:p w:rsidR="00A933BB" w:rsidRDefault="00A933BB" w:rsidP="00A933BB">
      <w:pPr>
        <w:pStyle w:val="AERbulletlistsecondstyle"/>
      </w:pPr>
      <w:r>
        <w:t>conservativeness of the current approach</w:t>
      </w:r>
    </w:p>
    <w:p w:rsidR="00A933BB" w:rsidRPr="00A933BB" w:rsidRDefault="00A933BB" w:rsidP="00A933BB">
      <w:pPr>
        <w:pStyle w:val="AERbulletlistfirststyle"/>
      </w:pPr>
      <w:r>
        <w:t>the Thomson Reuters curve</w:t>
      </w:r>
    </w:p>
    <w:p w:rsidR="00A933BB" w:rsidRPr="00A933BB" w:rsidRDefault="00A933BB" w:rsidP="00A933BB">
      <w:pPr>
        <w:pStyle w:val="AERbulletlistfirststyle"/>
      </w:pPr>
      <w:r>
        <w:t>other issues</w:t>
      </w:r>
    </w:p>
    <w:p w:rsidR="00A933BB" w:rsidRDefault="00A933BB" w:rsidP="00A933BB">
      <w:pPr>
        <w:pStyle w:val="AERbulletlistsecondstyle"/>
      </w:pPr>
      <w:r>
        <w:t>choice of extrapolation method</w:t>
      </w:r>
    </w:p>
    <w:p w:rsidR="00A80B9D" w:rsidRDefault="00A80B9D" w:rsidP="00A933BB">
      <w:pPr>
        <w:pStyle w:val="AERbulletlistfirststyle"/>
      </w:pPr>
      <w:r>
        <w:t>credit rating</w:t>
      </w:r>
    </w:p>
    <w:p w:rsidR="00A933BB" w:rsidRDefault="00A933BB" w:rsidP="00A933BB">
      <w:r w:rsidRPr="00D729CA">
        <w:t xml:space="preserve">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 in time, it is possible that one curve or the other will better reflect the costs of the benchmark entity. However, for the reasons set out in this and previous decisions, we are not satisfied that there is a robust means to quantitatively identify which of the curves </w:t>
      </w:r>
      <w:r>
        <w:t>is the best match</w:t>
      </w:r>
      <w:r w:rsidRPr="00D729CA">
        <w:t>.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FE10B8" w:rsidRDefault="00FE10B8" w:rsidP="00FE10B8">
      <w:r>
        <w:t xml:space="preserve">We note that TasNetworks adopted our current approach of using a simple average of the BVAL and RBA curves. We consider it is necessary to include the analysis and reasoning for why we adopted the current approach in the appendix. We also included the material submitted by AusNet and other service providers (in earlier decisions) who have proposed departures from our current approach to estimating the cost of debt. We consider it is necessary to include this material and the responses to the material given we have considered it in reaching our final decision for TasNetworks, despite the fact that TasNetworks has accepted our approach to estimating the return on debt.  </w:t>
      </w:r>
      <w:r w:rsidRPr="00907E8E">
        <w:t xml:space="preserve">  </w:t>
      </w:r>
    </w:p>
    <w:p w:rsidR="00A933BB" w:rsidRDefault="00A933BB" w:rsidP="00CC7A1C">
      <w:pPr>
        <w:pStyle w:val="Heading8"/>
        <w:numPr>
          <w:ilvl w:val="1"/>
          <w:numId w:val="33"/>
        </w:numPr>
      </w:pPr>
      <w:bookmarkStart w:id="376" w:name="_Toc481057099"/>
      <w:bookmarkStart w:id="377" w:name="_Toc449624775"/>
      <w:bookmarkStart w:id="378" w:name="_Toc451947848"/>
      <w:r>
        <w:t>Criticisms of our current approach</w:t>
      </w:r>
      <w:bookmarkEnd w:id="376"/>
    </w:p>
    <w:p w:rsidR="00A933BB" w:rsidRDefault="00A933BB" w:rsidP="00A164C0">
      <w:pPr>
        <w:pStyle w:val="Heading9"/>
      </w:pPr>
      <w:r>
        <w:t>Using appropriate criteria</w:t>
      </w:r>
    </w:p>
    <w:p w:rsidR="00A933BB" w:rsidRPr="0080170B" w:rsidRDefault="00A933BB" w:rsidP="00A933BB">
      <w:r w:rsidRPr="0080170B">
        <w:t>We consider that decisions on the rate of return are more likely to achieve the allowed rate of return objective if they use estimation methods, financial models, market data and other evidence that are:</w:t>
      </w:r>
      <w:r>
        <w:rPr>
          <w:rStyle w:val="FootnoteReference"/>
        </w:rPr>
        <w:footnoteReference w:id="1384"/>
      </w:r>
      <w:r w:rsidRPr="0080170B">
        <w:t xml:space="preserve"> </w:t>
      </w:r>
    </w:p>
    <w:p w:rsidR="00A933BB" w:rsidRPr="0080170B" w:rsidRDefault="00A933BB" w:rsidP="00A933BB">
      <w:pPr>
        <w:pStyle w:val="AERquote"/>
      </w:pPr>
    </w:p>
    <w:p w:rsidR="00A933BB" w:rsidRPr="0080170B" w:rsidRDefault="00A933BB" w:rsidP="00A933BB">
      <w:pPr>
        <w:pStyle w:val="AERquote"/>
      </w:pPr>
      <w:r w:rsidRPr="0080170B">
        <w:t xml:space="preserve">(1) where applicable, reflective of economic and finance principles and market information </w:t>
      </w:r>
    </w:p>
    <w:p w:rsidR="00A933BB" w:rsidRPr="00A933BB" w:rsidRDefault="00A933BB" w:rsidP="00A933BB">
      <w:pPr>
        <w:pStyle w:val="AERquoteindent1"/>
      </w:pPr>
      <w:r>
        <w:tab/>
      </w:r>
      <w:r w:rsidRPr="00A933BB">
        <w:t>(a)</w:t>
      </w:r>
      <w:r w:rsidRPr="00A933BB">
        <w:tab/>
        <w:t xml:space="preserve">estimation methods and financial models are consistent with well accepted economic and finance principles and informed by sound empirical analysis and robust data </w:t>
      </w:r>
    </w:p>
    <w:p w:rsidR="00A933BB" w:rsidRPr="0080170B" w:rsidRDefault="00A933BB" w:rsidP="00A933BB">
      <w:pPr>
        <w:pStyle w:val="AERquote"/>
      </w:pPr>
      <w:r w:rsidRPr="0080170B">
        <w:t xml:space="preserve">(2) fit for purpose </w:t>
      </w:r>
    </w:p>
    <w:p w:rsidR="00A933BB" w:rsidRPr="00A933BB" w:rsidRDefault="00A933BB" w:rsidP="00A933BB">
      <w:pPr>
        <w:pStyle w:val="AERquote"/>
      </w:pPr>
      <w:r>
        <w:tab/>
      </w:r>
      <w:r w:rsidRPr="00A933BB">
        <w:t xml:space="preserve">(a) </w:t>
      </w:r>
      <w:r w:rsidRPr="00A933BB">
        <w:tab/>
        <w:t xml:space="preserve">the use of estimation methods, financial models, market data and other evidence should be consistent with the original purpose for which it was compiled and have regard to the limitations of that purpose </w:t>
      </w:r>
    </w:p>
    <w:p w:rsidR="00A933BB" w:rsidRPr="0080170B" w:rsidRDefault="00A933BB" w:rsidP="00A933BB">
      <w:pPr>
        <w:pStyle w:val="AERquote"/>
      </w:pPr>
      <w:r>
        <w:tab/>
      </w:r>
      <w:r w:rsidRPr="0080170B">
        <w:t>(b)</w:t>
      </w:r>
      <w:r>
        <w:tab/>
      </w:r>
      <w:r w:rsidRPr="0080170B">
        <w:t xml:space="preserve">promote simple over complex approaches where appropriate </w:t>
      </w:r>
    </w:p>
    <w:p w:rsidR="00A933BB" w:rsidRPr="0080170B" w:rsidRDefault="00A933BB" w:rsidP="00A933BB">
      <w:pPr>
        <w:pStyle w:val="AERquote"/>
      </w:pPr>
      <w:r w:rsidRPr="0080170B">
        <w:t xml:space="preserve">(3) implemented in accordance with good practice </w:t>
      </w:r>
    </w:p>
    <w:p w:rsidR="00A933BB" w:rsidRPr="00A933BB" w:rsidRDefault="00A933BB" w:rsidP="00A933BB">
      <w:pPr>
        <w:pStyle w:val="AERquote"/>
      </w:pPr>
      <w:r>
        <w:tab/>
      </w:r>
      <w:r w:rsidRPr="00A933BB">
        <w:t xml:space="preserve">(a) </w:t>
      </w:r>
      <w:r w:rsidRPr="00A933BB">
        <w:tab/>
        <w:t xml:space="preserve">supported by robust, transparent and replicable analysis that is derived from available credible datasets </w:t>
      </w:r>
    </w:p>
    <w:p w:rsidR="00A933BB" w:rsidRPr="0080170B" w:rsidRDefault="00A933BB" w:rsidP="00A933BB">
      <w:pPr>
        <w:pStyle w:val="AERquote"/>
      </w:pPr>
      <w:r w:rsidRPr="0080170B">
        <w:t xml:space="preserve">(4) where models of the return on equity and debt are used these are </w:t>
      </w:r>
    </w:p>
    <w:p w:rsidR="00A933BB" w:rsidRPr="00A933BB" w:rsidRDefault="00A933BB" w:rsidP="00A933BB">
      <w:pPr>
        <w:pStyle w:val="AERquote"/>
      </w:pPr>
      <w:r>
        <w:tab/>
      </w:r>
      <w:r w:rsidRPr="00A933BB">
        <w:t xml:space="preserve">(a) </w:t>
      </w:r>
      <w:r w:rsidRPr="00A933BB">
        <w:tab/>
        <w:t xml:space="preserve">based on quantitative modelling that is sufficiently robust as to not be unduly sensitive to errors in inputs estimation </w:t>
      </w:r>
    </w:p>
    <w:p w:rsidR="00A933BB" w:rsidRPr="00A933BB" w:rsidRDefault="00A933BB" w:rsidP="00A933BB">
      <w:pPr>
        <w:pStyle w:val="AERquote"/>
      </w:pPr>
      <w:r>
        <w:tab/>
      </w:r>
      <w:r w:rsidRPr="00A933BB">
        <w:t xml:space="preserve">(b) </w:t>
      </w:r>
      <w:r w:rsidRPr="00A933BB">
        <w:tab/>
        <w:t xml:space="preserve">based on quantitative modelling which avoids arbitrary filtering or adjustment of data, which does not have a sound rationale </w:t>
      </w:r>
    </w:p>
    <w:p w:rsidR="00A933BB" w:rsidRPr="0080170B" w:rsidRDefault="00A933BB" w:rsidP="00A933BB">
      <w:pPr>
        <w:pStyle w:val="AERquote"/>
      </w:pPr>
      <w:r w:rsidRPr="0080170B">
        <w:t xml:space="preserve">(5) where market data and other information is used, this information is </w:t>
      </w:r>
    </w:p>
    <w:p w:rsidR="00A933BB" w:rsidRPr="0080170B" w:rsidRDefault="00A933BB" w:rsidP="00A933BB">
      <w:pPr>
        <w:pStyle w:val="AERquote"/>
      </w:pPr>
      <w:r>
        <w:tab/>
      </w:r>
      <w:r w:rsidRPr="0080170B">
        <w:t xml:space="preserve">(a) </w:t>
      </w:r>
      <w:r>
        <w:tab/>
      </w:r>
      <w:r w:rsidRPr="0080170B">
        <w:t xml:space="preserve">credible and verifiable </w:t>
      </w:r>
    </w:p>
    <w:p w:rsidR="00A933BB" w:rsidRPr="0080170B" w:rsidRDefault="00A933BB" w:rsidP="00A933BB">
      <w:pPr>
        <w:pStyle w:val="AERquote"/>
      </w:pPr>
      <w:r>
        <w:tab/>
      </w:r>
      <w:r w:rsidRPr="0080170B">
        <w:t>(b)</w:t>
      </w:r>
      <w:r>
        <w:tab/>
      </w:r>
      <w:r w:rsidRPr="0080170B">
        <w:t xml:space="preserve">comparable and timely </w:t>
      </w:r>
    </w:p>
    <w:p w:rsidR="00A933BB" w:rsidRPr="0080170B" w:rsidRDefault="00A933BB" w:rsidP="00A933BB">
      <w:pPr>
        <w:pStyle w:val="AERquote"/>
      </w:pPr>
      <w:r>
        <w:tab/>
      </w:r>
      <w:r w:rsidRPr="0080170B">
        <w:t xml:space="preserve">(c) </w:t>
      </w:r>
      <w:r>
        <w:tab/>
      </w:r>
      <w:r w:rsidRPr="0080170B">
        <w:t xml:space="preserve">clearly sourced </w:t>
      </w:r>
    </w:p>
    <w:p w:rsidR="00A933BB" w:rsidRPr="0080170B" w:rsidRDefault="00A933BB" w:rsidP="00A933BB">
      <w:pPr>
        <w:pStyle w:val="AERquote"/>
      </w:pPr>
      <w:r w:rsidRPr="0080170B">
        <w:t xml:space="preserve">(6) sufficiently flexible as to allow changing </w:t>
      </w:r>
    </w:p>
    <w:p w:rsidR="00A933BB" w:rsidRDefault="00A933BB" w:rsidP="00A933BB">
      <w:r>
        <w:t>These criteria are in the rate of return guideline and have been through a rigorous consultation process. When making our decisions we are required to have regard to the revenue and pricing principles. We have to give consideration to the need for network service prices and charges to provide returns commensurate with both regulatory and commercial risks involved in providing the services. We must also have regard to the economic risks of under or over investment. We seek to minimise regulatory, economic and commercial risks in the national electricity and gas markets through consistency in the application of our regulatory approaches, after having undertaken rigorous consultation and testing of those approaches.</w:t>
      </w:r>
    </w:p>
    <w:p w:rsidR="00A933BB" w:rsidRPr="00D729CA" w:rsidRDefault="00A933BB" w:rsidP="00A933BB">
      <w:r w:rsidRPr="00D729CA">
        <w:t xml:space="preserve">In the event that we were to consider inclusion of additional curves in future, we are not persuaded by the methodology adopted by CEG to justify a recommendation of </w:t>
      </w:r>
      <w:r>
        <w:t>a</w:t>
      </w:r>
      <w:r w:rsidRPr="00D729CA">
        <w:t xml:space="preserve"> 100</w:t>
      </w:r>
      <w:r>
        <w:t> per cent</w:t>
      </w:r>
      <w:r w:rsidRPr="00D729CA">
        <w:t xml:space="preserve"> reliance on the RBA curve.</w:t>
      </w:r>
      <w:r w:rsidRPr="00D729CA">
        <w:rPr>
          <w:rStyle w:val="FootnoteReference"/>
        </w:rPr>
        <w:footnoteReference w:id="1385"/>
      </w:r>
      <w:r w:rsidRPr="00D729CA">
        <w:t xml:space="preserve"> This particular weighting appears arbitrary and is based on qualitative criteria set out by CEG which do not appear to improve on or replace the set of principles that were set out in the </w:t>
      </w:r>
      <w:r>
        <w:t>G</w:t>
      </w:r>
      <w:r w:rsidRPr="00D729CA">
        <w:t>uideline and consulted on more widely.</w:t>
      </w:r>
      <w:r w:rsidRPr="00D729CA">
        <w:rPr>
          <w:rStyle w:val="FootnoteReference"/>
        </w:rPr>
        <w:footnoteReference w:id="1386"/>
      </w:r>
      <w:r w:rsidRPr="00D729CA">
        <w:t xml:space="preserve"> As noted recently by the Tribunal in relation to the choice of data sets adopted in our guideline:</w:t>
      </w:r>
    </w:p>
    <w:p w:rsidR="00A933BB" w:rsidRPr="00D729CA" w:rsidRDefault="00A933BB" w:rsidP="00A933BB">
      <w:pPr>
        <w:pStyle w:val="AERquote"/>
      </w:pPr>
      <w:r w:rsidRPr="00D729CA">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D729CA">
        <w:rPr>
          <w:rStyle w:val="FootnoteReference"/>
        </w:rPr>
        <w:footnoteReference w:id="1387"/>
      </w:r>
    </w:p>
    <w:p w:rsidR="00A933BB" w:rsidRPr="00D729CA" w:rsidRDefault="00A933BB" w:rsidP="00A933BB">
      <w:r w:rsidRPr="00D729CA">
        <w:t xml:space="preserve">We remain satisfied that our criteria developed and applied in the </w:t>
      </w:r>
      <w:r>
        <w:t>G</w:t>
      </w:r>
      <w:r w:rsidRPr="00D729CA">
        <w:t>uideline and subsequent decisions remain fit for purpose. Further, we are satisfied that application of these criteria will contribute to estimates that will achieve the allowed rate of return objective.</w:t>
      </w:r>
    </w:p>
    <w:p w:rsidR="00A933BB" w:rsidRDefault="00A933BB" w:rsidP="00A164C0">
      <w:pPr>
        <w:pStyle w:val="Heading9"/>
      </w:pPr>
      <w:r>
        <w:t>Issues with the RBA curve</w:t>
      </w:r>
    </w:p>
    <w:p w:rsidR="00A933BB" w:rsidRDefault="00A933BB" w:rsidP="00A933BB">
      <w:r>
        <w:t xml:space="preserve">Overall, we remain unpersuaded that either the BVAL or RBA curve is clearly superior for the purposes of estimating the return on debt required to achieve the ARORO. </w:t>
      </w:r>
    </w:p>
    <w:p w:rsidR="00A933BB" w:rsidRDefault="00A933BB" w:rsidP="00A933BB">
      <w:r>
        <w:t>In making our decisions to adopt a simple average of the BVAL and RBA curves, we have consistently identified that both curves exhibit both strengths and weaknesses. The submissions made by AusNet Services have focussed primarily on alleged shortcomings in the BVAL curve. However, in our view these submissions have not fully engaged with the shortcomings of the RBA curve. Below, we discuss:</w:t>
      </w:r>
    </w:p>
    <w:p w:rsidR="00A933BB" w:rsidRPr="00A933BB" w:rsidRDefault="00A933BB" w:rsidP="00A933BB">
      <w:pPr>
        <w:pStyle w:val="AERbulletlistfirststyle"/>
      </w:pPr>
      <w:r>
        <w:t>Difficulties with relying on foreign bonds</w:t>
      </w:r>
    </w:p>
    <w:p w:rsidR="00A933BB" w:rsidRPr="00A933BB" w:rsidRDefault="00A933BB" w:rsidP="00A933BB">
      <w:pPr>
        <w:pStyle w:val="AERbulletlistsecondstyle"/>
      </w:pPr>
      <w:r>
        <w:t>Data quality of Australian bonds denominated in other currencies</w:t>
      </w:r>
    </w:p>
    <w:p w:rsidR="00A933BB" w:rsidRPr="00A933BB" w:rsidRDefault="00A933BB" w:rsidP="00DA5359">
      <w:pPr>
        <w:pStyle w:val="AERbulletlistsecondstyle"/>
      </w:pPr>
      <w:r>
        <w:t>Bloomberg and Thomson Reuters both exclude foreign denominated data</w:t>
      </w:r>
    </w:p>
    <w:p w:rsidR="00A933BB" w:rsidRPr="00A933BB" w:rsidRDefault="00A933BB" w:rsidP="00DA5359">
      <w:pPr>
        <w:pStyle w:val="AERbulletlistsecondstyle"/>
      </w:pPr>
      <w:r>
        <w:t>Failure</w:t>
      </w:r>
      <w:r w:rsidRPr="00A933BB">
        <w:t xml:space="preserve"> of covered interest parity</w:t>
      </w:r>
    </w:p>
    <w:p w:rsidR="00A933BB" w:rsidRPr="00A933BB" w:rsidRDefault="00A933BB" w:rsidP="00A933BB">
      <w:pPr>
        <w:pStyle w:val="AERbulletlistfirststyle"/>
      </w:pPr>
      <w:r>
        <w:t>Monthly publication</w:t>
      </w:r>
    </w:p>
    <w:p w:rsidR="00A933BB" w:rsidRPr="00A933BB" w:rsidRDefault="00A933BB" w:rsidP="00A933BB">
      <w:pPr>
        <w:pStyle w:val="AERbulletlistfirststyle"/>
      </w:pPr>
      <w:r>
        <w:t>Inclusion of bonds with embedded options</w:t>
      </w:r>
    </w:p>
    <w:p w:rsidR="00A933BB" w:rsidRPr="00A933BB" w:rsidRDefault="00A933BB" w:rsidP="00A933BB">
      <w:pPr>
        <w:pStyle w:val="AERbulletlistfirststyle"/>
      </w:pPr>
      <w:r>
        <w:t>Inclusion of secured bonds</w:t>
      </w:r>
    </w:p>
    <w:p w:rsidR="00A933BB" w:rsidRDefault="00A933BB" w:rsidP="00A933BB">
      <w:r>
        <w:t xml:space="preserve">Overall, our view remains that both the Bloomberg and RBA curves have strengths and weaknesses. However, we note that in many cases the Bloomberg and Thomson Reuters curves adopt similar bond selection criteria, and that both of these providers differ materially from the RBA bond selection criteria. While neither set of criteria is clearly superior, our confidence in the BVAL criteria and the view the RBA is not superior in this regard, is reinforced by the similarities between the approaches adopted by these independent commercial providers of yield curve estimates. </w:t>
      </w:r>
    </w:p>
    <w:p w:rsidR="00A933BB" w:rsidRPr="00A164C0" w:rsidRDefault="00A933BB" w:rsidP="00A164C0">
      <w:pPr>
        <w:pStyle w:val="HeadingBoldBlue"/>
        <w:rPr>
          <w:rStyle w:val="AERtextorange"/>
          <w:color w:val="70635A" w:themeColor="text2"/>
        </w:rPr>
      </w:pPr>
      <w:r w:rsidRPr="00A164C0">
        <w:rPr>
          <w:rStyle w:val="AERtextorange"/>
          <w:color w:val="70635A" w:themeColor="text2"/>
        </w:rPr>
        <w:t>Difficulties with relying on foreign bonds</w:t>
      </w:r>
    </w:p>
    <w:p w:rsidR="00A933BB" w:rsidRPr="00306D87" w:rsidRDefault="00A933BB" w:rsidP="00A933BB">
      <w:r>
        <w:t>AusNet Services and CEG have submitted that the RBA curve is a clearly better fit to the benchmark efficient entity due to its relatively high composition of foreign bonds matching historical patterns of issuance.</w:t>
      </w:r>
      <w:r>
        <w:rPr>
          <w:rStyle w:val="FootnoteReference"/>
        </w:rPr>
        <w:footnoteReference w:id="1388"/>
      </w:r>
      <w:r>
        <w:t xml:space="preserve"> However, we are not persuaded by this analysis. While we agree there is evidence that the benchmark efficient entity may issue some or a large proportion of its debt in foreign markets, the RBA curve is affected by the issues raised below.</w:t>
      </w:r>
    </w:p>
    <w:p w:rsidR="00A933BB" w:rsidRDefault="00A933BB" w:rsidP="00A933BB">
      <w:pPr>
        <w:pStyle w:val="HeadingItalic"/>
      </w:pPr>
      <w:r>
        <w:t>Data quality of Australian bonds denominated in other currencies</w:t>
      </w:r>
    </w:p>
    <w:p w:rsidR="00A933BB" w:rsidRDefault="00A933BB" w:rsidP="00A933BB">
      <w:r>
        <w:t>In making our initial decision to rely on the BVAL and RBA curves we considered expert evidence from both Lally and the ACCC Regulatory Economics unit (ACCC REU).</w:t>
      </w:r>
      <w:r>
        <w:rPr>
          <w:rStyle w:val="FootnoteReference"/>
        </w:rPr>
        <w:footnoteReference w:id="1389"/>
      </w:r>
      <w:r>
        <w:t xml:space="preserve"> In particular, Lally observed that that the Queensland Treasury Corporation, who raise debt finance, have identified that secondary market activity in these bonds is low and that most of the data is only “indicative non-binding bid and offer quotes”.</w:t>
      </w:r>
      <w:r>
        <w:rPr>
          <w:rStyle w:val="FootnoteReference"/>
        </w:rPr>
        <w:footnoteReference w:id="1390"/>
      </w:r>
      <w:r>
        <w:t xml:space="preserve"> Where bonds are traded infrequently, the pricing data becomes ‘stale’ and is less likely to be reliable. </w:t>
      </w:r>
    </w:p>
    <w:p w:rsidR="00A933BB" w:rsidRDefault="00A933BB" w:rsidP="00A933BB">
      <w:r>
        <w:t>Bloomberg addresses these data-quality issues by the inclusion of a filter based on BVAL scores. The BVAL score is a proprietary measure of the amount and consistency of the market inputs used to calculate each price.</w:t>
      </w:r>
      <w:r>
        <w:rPr>
          <w:rStyle w:val="FootnoteReference"/>
        </w:rPr>
        <w:footnoteReference w:id="1391"/>
      </w:r>
      <w:r>
        <w:t xml:space="preserve"> The RBA curve sources its data from Bloomberg but does not apply a comparable filter,</w:t>
      </w:r>
      <w:r>
        <w:rPr>
          <w:rStyle w:val="FootnoteReference"/>
        </w:rPr>
        <w:footnoteReference w:id="1392"/>
      </w:r>
      <w:r>
        <w:t xml:space="preserve"> and relies on the size of the bond issuance as an indirect filter for data quality. In combination, our view is that a larger sample comprised mostly of foreign bond data is therefore not clearly an improvement in the overall data quality of the sample, and may at times worsen the overall data quality.</w:t>
      </w:r>
    </w:p>
    <w:p w:rsidR="00A933BB" w:rsidRDefault="00A933BB" w:rsidP="00A933BB">
      <w:pPr>
        <w:pStyle w:val="HeadingItalic"/>
      </w:pPr>
      <w:r>
        <w:t>Bloomberg and Thomson Reuters both exclude foreign denominated data</w:t>
      </w:r>
    </w:p>
    <w:p w:rsidR="00A933BB" w:rsidRPr="00A933BB" w:rsidRDefault="00A933BB" w:rsidP="00A933BB">
      <w:r>
        <w:t>As noted in previous decisions,</w:t>
      </w:r>
      <w:r>
        <w:rPr>
          <w:rStyle w:val="FootnoteReference"/>
        </w:rPr>
        <w:footnoteReference w:id="1393"/>
      </w:r>
      <w:r>
        <w:t xml:space="preserve"> the RBA curve is the only curve of the three currently available (including Thomson Reuters) to include non-AUD denominated bonds in its curve. In discussing methodological choices with Thomson Reuters, </w:t>
      </w:r>
      <w:r w:rsidR="006A54DD">
        <w:t xml:space="preserve">it </w:t>
      </w:r>
      <w:r>
        <w:t xml:space="preserve">identified that the Thomson Reuters curve excludes debt issued in other markets because </w:t>
      </w:r>
      <w:r w:rsidR="006A54DD">
        <w:t>it</w:t>
      </w:r>
      <w:r>
        <w:t xml:space="preserve"> rel</w:t>
      </w:r>
      <w:r w:rsidR="006A54DD">
        <w:t>ies</w:t>
      </w:r>
      <w:r>
        <w:t xml:space="preserve"> on strong assumptions to compare with AUD bonds on a like-for-like basis.</w:t>
      </w:r>
      <w:r>
        <w:rPr>
          <w:rStyle w:val="FootnoteReference"/>
        </w:rPr>
        <w:footnoteReference w:id="1394"/>
      </w:r>
      <w:r>
        <w:t xml:space="preserve"> In our view, where credible independent experts (Bloomberg and Thomson Reuters) both exclude non-AUD debt from their bond samples despite its impact on sample size, it is reasonable to exercise caution in relying heavily on non-AUD data. </w:t>
      </w:r>
    </w:p>
    <w:p w:rsidR="00A933BB" w:rsidRPr="00306D87" w:rsidRDefault="00A933BB" w:rsidP="00A933BB">
      <w:pPr>
        <w:pStyle w:val="HeadingItalic"/>
      </w:pPr>
      <w:r>
        <w:t>Failure of covered interest parity</w:t>
      </w:r>
    </w:p>
    <w:p w:rsidR="00A933BB" w:rsidRDefault="00A933BB" w:rsidP="00A933BB">
      <w:r>
        <w:t>At any point in time, the composition of issued bonds’ currency in the RBA curve will reflect past issuances by Australian owned (or Australian risk origin) entities in foreign markets. As noted by Lally on foreign and domestic debt:</w:t>
      </w:r>
      <w:r>
        <w:rPr>
          <w:rStyle w:val="FootnoteReference"/>
        </w:rPr>
        <w:footnoteReference w:id="1395"/>
      </w:r>
    </w:p>
    <w:p w:rsidR="00A933BB" w:rsidRDefault="00A933BB" w:rsidP="00A933BB">
      <w:pPr>
        <w:pStyle w:val="AERquote"/>
      </w:pPr>
      <w:r>
        <w:t>[A]t every point in time at which the costs of debt for these two types of debt are estimated (in the course of determining a trailing average), the weighting for these types of bonds in the index will reflect earlier issuance decisions (the average term from the issuance of ten-year bonds until a randomly selected secondary market trade on that bond would be about five years), the weights fluctuate over time (see Arsov et al, 2013, Graph 3) because the differential in the costs of debt from the two sources fluctuates over time…</w:t>
      </w:r>
    </w:p>
    <w:p w:rsidR="00A933BB" w:rsidRDefault="00A933BB" w:rsidP="00A933BB">
      <w:r>
        <w:t xml:space="preserve">That composition is appropriate if the cost of issuance (including yield and issuance fees) in different markets is almost identical due to the possibility of arbitrage or if the differences in cost do not change over time. Otherwise, a rational firm would issue into the cheapest market at that particular point in time—taking into account related benefits such as diversification of risk—and not necessarily according to the broad composition of the RBA curve. </w:t>
      </w:r>
    </w:p>
    <w:p w:rsidR="00A933BB" w:rsidRDefault="00A933BB" w:rsidP="00A933BB">
      <w:r>
        <w:t>The equivalence of interest rate and issuance costs in different markets is called Covered Interest Parity. Several papers (for example, Recent Trends in Cross-currency Basis from the Bank of Japan (2016)</w:t>
      </w:r>
      <w:r>
        <w:rPr>
          <w:rStyle w:val="FootnoteReference"/>
        </w:rPr>
        <w:footnoteReference w:id="1396"/>
      </w:r>
      <w:r>
        <w:t xml:space="preserve"> and Deviations from Covered Interest Rate Parity (2016)</w:t>
      </w:r>
      <w:r>
        <w:rPr>
          <w:rStyle w:val="FootnoteReference"/>
        </w:rPr>
        <w:footnoteReference w:id="1397"/>
      </w:r>
      <w:r>
        <w:t>) have shown that since 2014 the Covered Interest Parity may be violated for risk-free assets in several of the main currencies used for issuing bonds. Even if parity did hold for risk-free assets, it may not hold for BBB rated bonds due difficulty creating arbitrage. As such, we would expect that a rational firm would re-evaluate its issuance strategy and possibly vary from its historical domestic-foreign issuance composition.</w:t>
      </w:r>
      <w:r>
        <w:rPr>
          <w:rStyle w:val="FootnoteReference"/>
        </w:rPr>
        <w:footnoteReference w:id="1398"/>
      </w:r>
      <w:r>
        <w:t xml:space="preserve"> As such, we have some concern in relying substantially on an assumption that historical issuance patterns (as reflected in the RBA curve) would remain constant over time. In combination with the other issues discussed in this section, we are therefore not persuaded that the inclusion of foreign bonds in the RBA sample will necessarily be a better fit to the costs faced by the benchmark efficient entity over the forthcoming regulatory period.</w:t>
      </w:r>
    </w:p>
    <w:p w:rsidR="00A933BB" w:rsidRPr="00A164C0" w:rsidRDefault="00A933BB" w:rsidP="00A164C0">
      <w:pPr>
        <w:pStyle w:val="HeadingBoldBlue"/>
        <w:rPr>
          <w:rStyle w:val="AERtextorange"/>
          <w:color w:val="70635A" w:themeColor="text2"/>
        </w:rPr>
      </w:pPr>
      <w:r w:rsidRPr="00A164C0">
        <w:rPr>
          <w:rStyle w:val="AERtextorange"/>
          <w:color w:val="70635A" w:themeColor="text2"/>
        </w:rPr>
        <w:t>Monthly publication</w:t>
      </w:r>
    </w:p>
    <w:p w:rsidR="00A933BB" w:rsidRDefault="00A933BB" w:rsidP="00A933BB">
      <w:r>
        <w:t>While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and Thomson Reuters curves are published daily, which means that we have approximately 20 times as many data points for estimating the spread-to-swap over the course of a month compared to the RBA curve.</w:t>
      </w:r>
      <w:r>
        <w:rPr>
          <w:rStyle w:val="FootnoteReference"/>
        </w:rPr>
        <w:footnoteReference w:id="1399"/>
      </w:r>
      <w:r>
        <w:t xml:space="preserve"> </w:t>
      </w:r>
    </w:p>
    <w:p w:rsidR="00A933BB" w:rsidRDefault="00A933BB" w:rsidP="00A933BB">
      <w:r>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A933BB" w:rsidRDefault="00A933BB" w:rsidP="00A933BB">
      <w:pPr>
        <w:pStyle w:val="Caption"/>
      </w:pPr>
      <w:r>
        <w:t xml:space="preserve">Figure </w:t>
      </w:r>
      <w:fldSimple w:instr=" STYLEREF 1 \s ">
        <w:r w:rsidR="00C6448C">
          <w:rPr>
            <w:noProof/>
          </w:rPr>
          <w:t>3</w:t>
        </w:r>
      </w:fldSimple>
      <w:r w:rsidR="00882F3D">
        <w:noBreakHyphen/>
      </w:r>
      <w:fldSimple w:instr=" SEQ Figure \* ARABIC \s 1 ">
        <w:r w:rsidR="00C6448C">
          <w:rPr>
            <w:noProof/>
          </w:rPr>
          <w:t>18</w:t>
        </w:r>
      </w:fldSimple>
      <w:r>
        <w:tab/>
        <w:t>Illustration of monthly publication on sample size and error</w:t>
      </w:r>
    </w:p>
    <w:p w:rsidR="00A933BB" w:rsidRDefault="00A933BB" w:rsidP="00A933BB">
      <w:r w:rsidRPr="00A933BB">
        <w:rPr>
          <w:noProof/>
          <w:lang w:eastAsia="en-AU"/>
        </w:rPr>
        <w:drawing>
          <wp:inline distT="0" distB="0" distL="0" distR="0" wp14:anchorId="3D9B86E1" wp14:editId="12923398">
            <wp:extent cx="5334635" cy="32435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9B02F6" w:rsidRDefault="009B02F6" w:rsidP="00A933BB">
      <w:r>
        <w:t>Source: AER</w:t>
      </w:r>
    </w:p>
    <w:p w:rsidR="00A933BB" w:rsidRDefault="00A933BB" w:rsidP="00A933BB">
      <w:r>
        <w:t xml:space="preserve">In addition, the RBA's publication of data on one day a month masks any underlying daily volatility in its estimates. </w:t>
      </w:r>
    </w:p>
    <w:p w:rsidR="00A933BB" w:rsidRDefault="00A933BB" w:rsidP="00A164C0">
      <w:pPr>
        <w:pStyle w:val="HeadingBoldBlue"/>
      </w:pPr>
      <w:r>
        <w:t>Inclusion of bonds with e</w:t>
      </w:r>
      <w:r w:rsidRPr="00C10969">
        <w:t>mbedded options</w:t>
      </w:r>
    </w:p>
    <w:p w:rsidR="00A933BB" w:rsidRDefault="00A933BB" w:rsidP="00A933BB">
      <w:r>
        <w:t>The RBA curve, unlike the BVAL and Thomson Reuters curves, includes bonds with embedded options. These embedded options, such as those in callable, convertible or puttable bonds, have an impact on the distribution of risk between issuer and lender and as a consequence have an impact on the bond’s yield.</w:t>
      </w:r>
      <w:r>
        <w:rPr>
          <w:rStyle w:val="FootnoteReference"/>
        </w:rPr>
        <w:footnoteReference w:id="1400"/>
      </w:r>
      <w:r>
        <w:t xml:space="preserve"> As a result, these bonds need to be adjusted to account for the change in yield due to the optionality so that they can be compared on a like-for-like basis with debt without options. This is a complex process, as the conversion requires some strong assumptions. In the RBA’s model, these calculations are outsourced to Bloomberg.</w:t>
      </w:r>
      <w:r>
        <w:rPr>
          <w:rStyle w:val="FootnoteReference"/>
        </w:rPr>
        <w:footnoteReference w:id="1401"/>
      </w:r>
      <w:r>
        <w:t xml:space="preserve"> The BVAL curve’s sample avoids this risk, because it does not include bonds with optionality (other than make-whole options) due to the need for yield conversion.</w:t>
      </w:r>
      <w:r>
        <w:rPr>
          <w:rStyle w:val="FootnoteReference"/>
        </w:rPr>
        <w:footnoteReference w:id="1402"/>
      </w:r>
      <w:r>
        <w:t xml:space="preserve"> Again, we note that Bloomberg and Thomson Reuters adopt a largely consistent approach to excluding bonds with options. </w:t>
      </w:r>
    </w:p>
    <w:p w:rsidR="00A933BB" w:rsidRPr="00A164C0" w:rsidRDefault="00A933BB" w:rsidP="00A164C0">
      <w:pPr>
        <w:pStyle w:val="Heading9"/>
        <w:rPr>
          <w:rStyle w:val="AERtextitalic"/>
          <w:i w:val="0"/>
        </w:rPr>
      </w:pPr>
      <w:r w:rsidRPr="00A164C0">
        <w:rPr>
          <w:rStyle w:val="AERtextitalic"/>
          <w:i w:val="0"/>
        </w:rPr>
        <w:t>CEG's analysis of sample size</w:t>
      </w:r>
    </w:p>
    <w:p w:rsidR="00A933BB" w:rsidRPr="00D729CA" w:rsidRDefault="00A933BB" w:rsidP="00A933BB">
      <w:r w:rsidRPr="00D729CA">
        <w:t>In its reports, CEG has criticised the relatively smaller sample size arising from the BVAL selection criteria compared to the RBA selection criteria.</w:t>
      </w:r>
      <w:r w:rsidRPr="00D729CA">
        <w:rPr>
          <w:rStyle w:val="FootnoteReference"/>
        </w:rPr>
        <w:footnoteReference w:id="1403"/>
      </w:r>
      <w:r w:rsidRPr="00D729CA">
        <w:t xml:space="preserve"> We agree that a large sample size is clearly preferable to a smaller sample where it is clear that </w:t>
      </w:r>
      <w:r>
        <w:t>the additional data won’t introduce bias or increase variance</w:t>
      </w:r>
      <w:r w:rsidRPr="00D729CA">
        <w:t>. However:</w:t>
      </w:r>
    </w:p>
    <w:p w:rsidR="00A933BB" w:rsidRPr="00A933BB" w:rsidRDefault="00A933BB" w:rsidP="00A933BB">
      <w:pPr>
        <w:pStyle w:val="AERbulletlistfirststyle"/>
      </w:pPr>
      <w:r w:rsidRPr="00D729CA">
        <w:t xml:space="preserve">where it is not clear </w:t>
      </w:r>
      <w:r w:rsidRPr="00A933BB">
        <w:t>whether the data will introduce bias or increase variance, it is a complex exercise to determine whether the benefits of a larger sample outweigh the disadvantages of lower quality data</w:t>
      </w:r>
    </w:p>
    <w:p w:rsidR="00A933BB" w:rsidRPr="00A933BB" w:rsidRDefault="00A933BB" w:rsidP="00A933BB">
      <w:pPr>
        <w:pStyle w:val="AERbulletlistfirststyle"/>
      </w:pPr>
      <w:r w:rsidRPr="00D729CA">
        <w:t>a smaller sample does not imply that a curve is not fit for purpose. A larger sample</w:t>
      </w:r>
      <w:r w:rsidRPr="00A933BB">
        <w:t xml:space="preserve"> (all else being equal) is an advantageous feature of a curve, however it needs to be considered in the context of all of the curve's other features and criteria. </w:t>
      </w:r>
    </w:p>
    <w:p w:rsidR="00A933BB" w:rsidRPr="00A933BB" w:rsidRDefault="00A933BB" w:rsidP="00A933BB">
      <w:r w:rsidRPr="00D729CA">
        <w:t>In its reports, CEG</w:t>
      </w:r>
      <w:r w:rsidRPr="00A933BB">
        <w:t xml:space="preserve"> ignored the impact on the required sample size caused by the inclusion of the shaper curves by Bloomberg. The shaper curves have been created with the use of many bonds outside of the BBB sample and should lower the number of bonds needed in the sample to achieve a curve with a similar MSE (in reference to the BEE’s cost of debt). The RBA method does not use shaper curves. </w:t>
      </w:r>
    </w:p>
    <w:p w:rsidR="00A933BB" w:rsidRPr="00D729CA" w:rsidRDefault="00A933BB" w:rsidP="00A933BB">
      <w:r w:rsidRPr="00D729CA">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D729CA">
        <w:rPr>
          <w:rStyle w:val="FootnoteReference"/>
        </w:rPr>
        <w:footnoteReference w:id="1404"/>
      </w:r>
      <w:r w:rsidRPr="00D729CA">
        <w:t xml:space="preserve"> While we agree that </w:t>
      </w:r>
      <w:r>
        <w:t>the</w:t>
      </w:r>
      <w:r w:rsidRPr="00D729CA">
        <w:t xml:space="preserve"> RBA curve is based on a larger data sample, we are not persuaded that the relatively smaller BVAL sample will not contribute to an estimate which achieves the allowed rate of return objective.</w:t>
      </w:r>
    </w:p>
    <w:p w:rsidR="00A933BB" w:rsidRDefault="00A933BB" w:rsidP="00A164C0">
      <w:pPr>
        <w:pStyle w:val="Heading9"/>
      </w:pPr>
      <w:r>
        <w:t xml:space="preserve">Response of BVAL curve to Asciano, Mirvac and Jemena bonds </w:t>
      </w:r>
    </w:p>
    <w:p w:rsidR="00A933BB" w:rsidRDefault="00A933BB" w:rsidP="00A933BB">
      <w:r>
        <w:t xml:space="preserve">A key impetus in choosing an approach that relied on credible, independent third party curves rather than an AER-developed curve was to create stability and to avoid routine and ongoing debate about the suitability of individual bonds. For this reason, we undertook detailed analysis of the bond selection criteria of both the RBA and BVAL curves prior to settling on our approach. However, while AusNet Services and CEG appear to accept that both Bloomberg and the RBA are credible, independent experts, they have submitted the BVAL curve is not fit-for-purpose in part based on the inclusion of particular bonds which pass its bond selection criteria. </w:t>
      </w:r>
    </w:p>
    <w:p w:rsidR="00A933BB" w:rsidRPr="00A95890" w:rsidRDefault="00A933BB" w:rsidP="00A933BB">
      <w:r>
        <w:t xml:space="preserve">Specifically, AusNet and CEG analyse the inclusion of the Asciano (EK907291), Mirvac (QZ330503) and Jemena (LW474837) bonds in 2016 and attempt to show weaknesses in the BVAL curve. As previously mentioned above, we agree that the BVAL curve has some weaknesses but on balance these are not larger than the RBA curve’s. In this section we respond to some of the issues raised by CEG and AusNet in relation to the inclusion of these bonds. </w:t>
      </w:r>
    </w:p>
    <w:p w:rsidR="00A933BB" w:rsidRDefault="00A933BB" w:rsidP="00A164C0">
      <w:pPr>
        <w:pStyle w:val="HeadingBoldBlue"/>
      </w:pPr>
      <w:r>
        <w:t>Asciano bond</w:t>
      </w:r>
    </w:p>
    <w:p w:rsidR="00A933BB" w:rsidRDefault="00A933BB" w:rsidP="00A933BB">
      <w:r>
        <w:t>AusNet has argued that between May 2015 and 28 July 2016, the BVAL curve placed an inappropriately high weighting on the Asciano bond. In particular, AusNet cited a particularly high correlation between the BVAL 10 year spread and the Asciano bond.</w:t>
      </w:r>
      <w:r>
        <w:rPr>
          <w:rStyle w:val="FootnoteReference"/>
        </w:rPr>
        <w:footnoteReference w:id="1405"/>
      </w:r>
      <w:r>
        <w:t xml:space="preserve"> However, AusNet did not specify what correlation would be appropriate. If the BVAL curve was an exact estimate of the BEE’s cost of debt, we would expect that the Asciano bond and the BVAL curve would both respond to systemic factors in the market. Therefore, we would expect high correlation between the Asciano bond and the BVAL curve. </w:t>
      </w:r>
    </w:p>
    <w:p w:rsidR="00A933BB" w:rsidRDefault="00A933BB" w:rsidP="00A933BB">
      <w:r>
        <w:t>AusNet also submitted that the Asciano bond did not behave like other long maturity bonds:</w:t>
      </w:r>
      <w:r>
        <w:rPr>
          <w:rStyle w:val="FootnoteReference"/>
        </w:rPr>
        <w:footnoteReference w:id="1406"/>
      </w:r>
      <w:r>
        <w:t xml:space="preserve"> </w:t>
      </w:r>
    </w:p>
    <w:p w:rsidR="00A933BB" w:rsidRDefault="00A933BB" w:rsidP="00A933BB">
      <w:pPr>
        <w:pStyle w:val="AERquoteindent1"/>
      </w:pPr>
      <w:r w:rsidRPr="00B46A9C">
        <w:t>This was particularly problematic because Asciano was the subject of takeover activity over this period. The influence of takeover activity on the Asciano bond’s yields reflects firm-specific factors that would have no relevance to the benchmark efficient firm, and is therefore not relevant to setting the return on debt faced by debt investors in a benchmark efficient entity.</w:t>
      </w:r>
    </w:p>
    <w:p w:rsidR="00A933BB" w:rsidRPr="00A526EA" w:rsidRDefault="00A933BB" w:rsidP="00A933BB">
      <w:pPr>
        <w:pStyle w:val="AERquoteindent1"/>
      </w:pPr>
      <w:r w:rsidRPr="00A526EA">
        <w:t>As set out in AusNet Services’ 24 March 2016 submission to the AER and supporting CEG memo (Appendix 6E – CEG, Review of AER Position on Curve Selection), over AusNet Services’ distribution businesses’ averaging period, all bonds included in the RBA’s sample with tenors between 8 and 12 years (excluding the Asciano bond) exhibited very different movements in yields than the Asciano bond. At this time, there was a high degree of financial market volatility, which is consistent with the finding that there was a general rise in DRPs across the market. The Asciano bond was an outlier over this time period as its DRP did not increase by an amount commensurate with the general market. As the BVAL curve moved in (close to) lock step with the Asciano bond’s yields, the BVAL curve did not reflect general market movements.</w:t>
      </w:r>
    </w:p>
    <w:p w:rsidR="00A933BB" w:rsidRDefault="00A933BB" w:rsidP="00A933BB">
      <w:r>
        <w:t>W</w:t>
      </w:r>
      <w:r w:rsidRPr="00D729CA">
        <w:t xml:space="preserve">e are </w:t>
      </w:r>
      <w:r>
        <w:t xml:space="preserve">still </w:t>
      </w:r>
      <w:r w:rsidRPr="00D729CA">
        <w:t xml:space="preserve">not satisfied that there is persuasive evidence in support of these arguments. The analysis submitted by CEG and AusNet services may support a conclusion that the movements in the Asciano bond are not representative </w:t>
      </w:r>
      <w:r>
        <w:t>of</w:t>
      </w:r>
      <w:r w:rsidRPr="00D729CA">
        <w:t xml:space="preserve"> the movements of bonds issued in European and American bond markets. However, yields </w:t>
      </w:r>
      <w:r>
        <w:t xml:space="preserve">in different BBB corporate markets do not necessarily move in a one to one fashion. This can be seen in the figure below for the case where hedging does not occur and it also does not hold for when hedging takes place (we explore this further in the Failure of Covered Interest Parity section). </w:t>
      </w:r>
      <w:r w:rsidRPr="00D729CA">
        <w:t>As set out in our previous decisions, the BVAL bond criteria include only AUD denominated bonds.</w:t>
      </w:r>
      <w:r w:rsidRPr="00D729CA">
        <w:rPr>
          <w:rStyle w:val="FootnoteReference"/>
        </w:rPr>
        <w:footnoteReference w:id="1407"/>
      </w:r>
      <w:r w:rsidRPr="00D729CA">
        <w:t xml:space="preserve"> The Reuters criteria similarly allow only AUD denominated bonds.</w:t>
      </w:r>
      <w:r w:rsidRPr="00D729CA">
        <w:rPr>
          <w:rStyle w:val="FootnoteReference"/>
        </w:rPr>
        <w:footnoteReference w:id="1408"/>
      </w:r>
      <w:r w:rsidRPr="00D729CA">
        <w:t xml:space="preserve"> In contrast, the RBA curve includes AUD denominated bonds, but the majority of bonds within the RBA curve are USD or EU denominated.</w:t>
      </w:r>
      <w:r w:rsidRPr="00D729CA">
        <w:rPr>
          <w:rStyle w:val="FootnoteReference"/>
        </w:rPr>
        <w:footnoteReference w:id="1409"/>
      </w:r>
      <w:r w:rsidRPr="00D729CA">
        <w:t xml:space="preserve"> </w:t>
      </w:r>
    </w:p>
    <w:p w:rsidR="00A933BB" w:rsidRDefault="00A933BB" w:rsidP="00A933BB">
      <w:pPr>
        <w:pStyle w:val="Caption"/>
      </w:pPr>
      <w:r>
        <w:t xml:space="preserve">Figure </w:t>
      </w:r>
      <w:fldSimple w:instr=" STYLEREF 1 \s ">
        <w:r w:rsidR="00C6448C">
          <w:rPr>
            <w:noProof/>
          </w:rPr>
          <w:t>3</w:t>
        </w:r>
      </w:fldSimple>
      <w:r w:rsidR="00882F3D">
        <w:noBreakHyphen/>
      </w:r>
      <w:fldSimple w:instr=" SEQ Figure \* ARABIC \s 1 ">
        <w:r w:rsidR="00C6448C">
          <w:rPr>
            <w:noProof/>
          </w:rPr>
          <w:t>19</w:t>
        </w:r>
      </w:fldSimple>
      <w:r>
        <w:tab/>
        <w:t xml:space="preserve">US and Australian BBB Corporate Bond yields </w:t>
      </w:r>
    </w:p>
    <w:tbl>
      <w:tblPr>
        <w:tblStyle w:val="TableGrid"/>
        <w:tblW w:w="0" w:type="auto"/>
        <w:tblLook w:val="04A0" w:firstRow="1" w:lastRow="0" w:firstColumn="1" w:lastColumn="0" w:noHBand="0" w:noVBand="1"/>
      </w:tblPr>
      <w:tblGrid>
        <w:gridCol w:w="4346"/>
        <w:gridCol w:w="4347"/>
      </w:tblGrid>
      <w:tr w:rsidR="00A933BB" w:rsidTr="00EA6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A933BB" w:rsidRPr="00A933BB" w:rsidRDefault="00A933BB" w:rsidP="00A933BB">
            <w:r w:rsidRPr="00A933BB">
              <w:rPr>
                <w:noProof/>
                <w:lang w:eastAsia="en-AU"/>
              </w:rPr>
              <w:drawing>
                <wp:inline distT="0" distB="0" distL="0" distR="0" wp14:anchorId="0DD1F722" wp14:editId="4B028D92">
                  <wp:extent cx="2570400" cy="2124000"/>
                  <wp:effectExtent l="0" t="0" r="1905" b="0"/>
                  <wp:docPr id="38" name="Picture 38" descr="C:\Users\SHCOLL\AppData\Local\Temp\1\Temp1_us-bond-yields-gif.zip\us-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COLL\AppData\Local\Temp\1\Temp1_us-bond-yields-gif.zip\us-bond-yields.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0400" cy="2124000"/>
                          </a:xfrm>
                          <a:prstGeom prst="rect">
                            <a:avLst/>
                          </a:prstGeom>
                          <a:noFill/>
                          <a:ln>
                            <a:noFill/>
                          </a:ln>
                        </pic:spPr>
                      </pic:pic>
                    </a:graphicData>
                  </a:graphic>
                </wp:inline>
              </w:drawing>
            </w:r>
          </w:p>
        </w:tc>
        <w:tc>
          <w:tcPr>
            <w:tcW w:w="4347" w:type="dxa"/>
          </w:tcPr>
          <w:p w:rsidR="00A933BB" w:rsidRPr="00A933BB" w:rsidRDefault="00A933BB" w:rsidP="00A933BB">
            <w:pPr>
              <w:cnfStyle w:val="100000000000" w:firstRow="1" w:lastRow="0" w:firstColumn="0" w:lastColumn="0" w:oddVBand="0" w:evenVBand="0" w:oddHBand="0" w:evenHBand="0" w:firstRowFirstColumn="0" w:firstRowLastColumn="0" w:lastRowFirstColumn="0" w:lastRowLastColumn="0"/>
            </w:pPr>
            <w:r w:rsidRPr="00A933BB">
              <w:rPr>
                <w:noProof/>
                <w:lang w:eastAsia="en-AU"/>
              </w:rPr>
              <w:drawing>
                <wp:inline distT="0" distB="0" distL="0" distR="0" wp14:anchorId="3BFDF90C" wp14:editId="1948277D">
                  <wp:extent cx="2570400" cy="2271600"/>
                  <wp:effectExtent l="0" t="0" r="1905" b="0"/>
                  <wp:docPr id="39" name="Picture 39" descr="C:\Users\SHCOLL\AppData\Local\Temp\1\Temp1_australian-bond-yields-gif.zip\australian-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COLL\AppData\Local\Temp\1\Temp1_australian-bond-yields-gif.zip\australian-bond-yields.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0400" cy="2271600"/>
                          </a:xfrm>
                          <a:prstGeom prst="rect">
                            <a:avLst/>
                          </a:prstGeom>
                          <a:noFill/>
                          <a:ln>
                            <a:noFill/>
                          </a:ln>
                        </pic:spPr>
                      </pic:pic>
                    </a:graphicData>
                  </a:graphic>
                </wp:inline>
              </w:drawing>
            </w:r>
          </w:p>
        </w:tc>
      </w:tr>
    </w:tbl>
    <w:p w:rsidR="00A933BB" w:rsidRDefault="00A933BB" w:rsidP="00A933BB">
      <w:r>
        <w:t>The takeover attempt did have an effect on Asciano’s credit ratings but not in the way that CEG described.</w:t>
      </w:r>
      <w:r>
        <w:rPr>
          <w:rStyle w:val="FootnoteReference"/>
        </w:rPr>
        <w:footnoteReference w:id="1410"/>
      </w:r>
      <w:r>
        <w:t xml:space="preserve"> The Asciano bond’s credit rating was downgraded in response to the takeover (which should be associated with a rise in yields). This rise was lower than those denominated in USD or EU according to AusNet. This suggests that it could be the different markets driving the result and not the takeover and would suggest that the BVAL curve responded as intended. </w:t>
      </w:r>
    </w:p>
    <w:p w:rsidR="00A933BB" w:rsidRDefault="00A933BB" w:rsidP="00A933BB">
      <w:r>
        <w:t>We do not agree with AusNet or CEG that their analysis demonstrates that the BVAL curve was ‘too reliant’ on the Asciano bond, or that this led to a BVAL estimate which did not contribute to achievement of the ARORO. In contrast, we are satisfied with Bloomberg’s indication that the 10 year estimate is dependent on the Asciano bond, the other 20 bonds and the shaper curves.</w:t>
      </w:r>
      <w:r>
        <w:rPr>
          <w:rStyle w:val="FootnoteReference"/>
        </w:rPr>
        <w:footnoteReference w:id="1411"/>
      </w:r>
      <w:r>
        <w:t xml:space="preserve"> </w:t>
      </w:r>
    </w:p>
    <w:p w:rsidR="00A933BB" w:rsidRDefault="00A933BB" w:rsidP="00A164C0">
      <w:pPr>
        <w:pStyle w:val="HeadingBoldBlue"/>
      </w:pPr>
      <w:r w:rsidRPr="00A95890">
        <w:t>Mirvac bond</w:t>
      </w:r>
    </w:p>
    <w:p w:rsidR="00A933BB" w:rsidRDefault="00A933BB" w:rsidP="00A933BB">
      <w:r>
        <w:t>We agree that, with the benefit of hindsight, the inclusion of the Mirvac bond was an error due to the inclusion of ‘bad data’. The bad data, however, was quickly removed. While unfortunate that this occurred at all, the outcome was reassuring. Producing such a yield curve is a complex exercise and we gain confidence from demonstration that the 3</w:t>
      </w:r>
      <w:r w:rsidRPr="00A933BB">
        <w:t>rd</w:t>
      </w:r>
      <w:r>
        <w:t xml:space="preserve"> party providers are vigilant to the quality of our input curves. This is another reason why we choose to rely on credible independent experts for the curve estimate.</w:t>
      </w:r>
    </w:p>
    <w:p w:rsidR="00A933BB" w:rsidRDefault="00A933BB" w:rsidP="00A933BB">
      <w:r>
        <w:t>It is also not the first time our input curves have been revised to allow for improvements. A</w:t>
      </w:r>
      <w:r w:rsidRPr="001D62A1">
        <w:t>s of October 2015 the RBA made retrospective changes to its yield curve.</w:t>
      </w:r>
      <w:r w:rsidRPr="001D62A1">
        <w:rPr>
          <w:rStyle w:val="FootnoteReference"/>
        </w:rPr>
        <w:footnoteReference w:id="1412"/>
      </w:r>
      <w:r w:rsidRPr="001D62A1">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1D62A1">
        <w:rPr>
          <w:rStyle w:val="FootnoteReference"/>
        </w:rPr>
        <w:footnoteReference w:id="1413"/>
      </w:r>
      <w:r w:rsidRPr="001D62A1">
        <w:t xml:space="preserve"> Nonetheless, we note that none of the service providers appear to have engaged in the revised proposals or subsequent submissions with the potential risks and implications of material retrospective changes made to the RBA curve.</w:t>
      </w:r>
    </w:p>
    <w:p w:rsidR="00A933BB" w:rsidRDefault="00A933BB" w:rsidP="00A933BB">
      <w:r>
        <w:t>CEG also used the inclusion of the Mirvac bond to test the robustness of the curve to outliers.</w:t>
      </w:r>
      <w:r>
        <w:rPr>
          <w:rStyle w:val="FootnoteReference"/>
        </w:rPr>
        <w:footnoteReference w:id="1414"/>
      </w:r>
      <w:r>
        <w:t xml:space="preserve"> The comparison used between the Reuters and Bloomberg curves, however, is not particularly informative because the Reuters curve does not include the Jemena bond which has a similar yield to the Mirvac bond. If a single bond is included (see below figure), the Bloomberg curve is also stable.</w:t>
      </w:r>
    </w:p>
    <w:p w:rsidR="00A933BB" w:rsidRDefault="00A933BB" w:rsidP="00A933BB">
      <w:pPr>
        <w:pStyle w:val="Caption"/>
      </w:pPr>
      <w:r>
        <w:t xml:space="preserve">Figure </w:t>
      </w:r>
      <w:fldSimple w:instr=" STYLEREF 1 \s ">
        <w:r w:rsidR="00C6448C">
          <w:rPr>
            <w:noProof/>
          </w:rPr>
          <w:t>3</w:t>
        </w:r>
      </w:fldSimple>
      <w:r w:rsidR="00882F3D">
        <w:noBreakHyphen/>
      </w:r>
      <w:fldSimple w:instr=" SEQ Figure \* ARABIC \s 1 ">
        <w:r w:rsidR="00C6448C">
          <w:rPr>
            <w:noProof/>
          </w:rPr>
          <w:t>20</w:t>
        </w:r>
      </w:fldSimple>
      <w:r>
        <w:tab/>
        <w:t>BVAL curve and bond constituents, 31 August 2016</w:t>
      </w:r>
    </w:p>
    <w:p w:rsidR="00A933BB" w:rsidRPr="00A933BB" w:rsidRDefault="00A933BB" w:rsidP="00A933BB">
      <w:r w:rsidRPr="00A933BB">
        <w:rPr>
          <w:noProof/>
          <w:lang w:eastAsia="en-AU"/>
        </w:rPr>
        <w:drawing>
          <wp:inline distT="0" distB="0" distL="0" distR="0" wp14:anchorId="001FAFFE" wp14:editId="5AAF64FC">
            <wp:extent cx="5731510" cy="3079230"/>
            <wp:effectExtent l="0" t="0" r="254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079230"/>
                    </a:xfrm>
                    <a:prstGeom prst="rect">
                      <a:avLst/>
                    </a:prstGeom>
                    <a:noFill/>
                    <a:ln>
                      <a:noFill/>
                    </a:ln>
                  </pic:spPr>
                </pic:pic>
              </a:graphicData>
            </a:graphic>
          </wp:inline>
        </w:drawing>
      </w:r>
    </w:p>
    <w:p w:rsidR="00A933BB" w:rsidRPr="00A933BB" w:rsidRDefault="00A933BB" w:rsidP="00A933BB">
      <w:r>
        <w:t>Source</w:t>
      </w:r>
      <w:r w:rsidR="009B02F6">
        <w:t>s</w:t>
      </w:r>
      <w:r>
        <w:t>: Bloomberg</w:t>
      </w:r>
      <w:r w:rsidR="009B02F6">
        <w:t>;</w:t>
      </w:r>
      <w:r>
        <w:t xml:space="preserve"> CEG analysis</w:t>
      </w:r>
    </w:p>
    <w:p w:rsidR="00A933BB" w:rsidRDefault="00A933BB" w:rsidP="00A164C0">
      <w:pPr>
        <w:pStyle w:val="HeadingBoldBlue"/>
      </w:pPr>
      <w:r>
        <w:t>Jemena bond</w:t>
      </w:r>
    </w:p>
    <w:p w:rsidR="00A933BB" w:rsidRDefault="00A933BB" w:rsidP="00A933BB">
      <w:r>
        <w:t>CEG argues that because Bloomberg removed the Mirvac bond, which was closer to the resulting yield curve than the Jemena bond, that Bloomberg erred by not removing the Jemena bond as well. Bloomberg has stated that it does not rely only on yields as a test to omit outliers.</w:t>
      </w:r>
      <w:r>
        <w:rPr>
          <w:rStyle w:val="FootnoteReference"/>
        </w:rPr>
        <w:footnoteReference w:id="1415"/>
      </w:r>
      <w:r>
        <w:t xml:space="preserve"> For example, if the bonds had particularly stale pricing data then the bonds would be removed from Bloomberg and not the RBA curve. </w:t>
      </w:r>
    </w:p>
    <w:p w:rsidR="00A933BB" w:rsidRDefault="00A933BB" w:rsidP="00A933BB">
      <w:r>
        <w:t>The Jemena bond is issued by one of the regulated entities and should be more closely representative of the BEE than many of the other included bonds. Both Bloomberg and the RBA included the bond in the BBB band, because the S&amp;P gave the bond a credit rating in the BBB band. Since September 2016, S&amp;P has re-evaluated the bond and given it an A- credit rating and Bloomberg has moved the Jemena bond into its A credit rating yield curves. While it may have been possible for Bloomberg to predict S&amp;P’s credit rating movements we are not persuaded that it erred by not doing so in this instance. We also note that a bond can be rerated up or down and there is no prima facie reason to consider either a lag in rerating, or movement of the bond to a different curve following market rerating, is indicative of systematic bias.</w:t>
      </w:r>
    </w:p>
    <w:p w:rsidR="00A933BB" w:rsidRDefault="00A933BB" w:rsidP="00A933BB">
      <w:r>
        <w:t>If a bond being on the cusp of a credit rating changes the yield to a substantial degree, it implies that we are being markedly conservative by estimating the return on debt using curves which include BBB-, BBB and BBB+ rated firms when the BEE is a BBB+ rated firm.</w:t>
      </w:r>
    </w:p>
    <w:p w:rsidR="00A933BB" w:rsidRPr="00A933BB" w:rsidRDefault="00A933BB" w:rsidP="00A164C0">
      <w:pPr>
        <w:pStyle w:val="Heading9"/>
      </w:pPr>
      <w:r>
        <w:t>BVAL and our overall approach still likely to be conservative</w:t>
      </w:r>
    </w:p>
    <w:p w:rsidR="00A933BB" w:rsidRDefault="00A933BB" w:rsidP="00A933BB">
      <w:r>
        <w:t xml:space="preserve">Estimates from the BVAL curve have a number of factors that should ensure the estimate is on the conservative side of the BEE’s cost of debt. These include: </w:t>
      </w:r>
    </w:p>
    <w:p w:rsidR="00A933BB" w:rsidRPr="00A933BB" w:rsidRDefault="00A933BB" w:rsidP="00A933BB">
      <w:pPr>
        <w:pStyle w:val="ListParagraph"/>
      </w:pPr>
      <w:r>
        <w:t>the increase of benchmark maturity from the average 8.7 to 10 years</w:t>
      </w:r>
      <w:r w:rsidRPr="00A933BB">
        <w:rPr>
          <w:rStyle w:val="FootnoteReference"/>
        </w:rPr>
        <w:footnoteReference w:id="1416"/>
      </w:r>
    </w:p>
    <w:p w:rsidR="00A933BB" w:rsidRPr="00A933BB" w:rsidRDefault="00A933BB" w:rsidP="00A933BB">
      <w:pPr>
        <w:pStyle w:val="ListParagraph"/>
      </w:pPr>
      <w:r>
        <w:t>the use of the total BBB band instead of the BEE’s credit rating of BBB+</w:t>
      </w:r>
    </w:p>
    <w:p w:rsidR="00A933BB" w:rsidRPr="00A933BB" w:rsidRDefault="00A933BB" w:rsidP="00A933BB">
      <w:pPr>
        <w:pStyle w:val="ListParagraph"/>
      </w:pPr>
      <w:r>
        <w:t xml:space="preserve">The likelihood of the networks having lower loss given default than the average of Australian issuers </w:t>
      </w:r>
    </w:p>
    <w:p w:rsidR="00A933BB" w:rsidRPr="00D729CA" w:rsidRDefault="00A933BB" w:rsidP="00A164C0">
      <w:pPr>
        <w:pStyle w:val="Heading8"/>
      </w:pPr>
      <w:bookmarkStart w:id="379" w:name="_Toc481057100"/>
      <w:r w:rsidRPr="00D729CA">
        <w:t>The Thomson Reuters curve</w:t>
      </w:r>
      <w:bookmarkEnd w:id="377"/>
      <w:bookmarkEnd w:id="378"/>
      <w:bookmarkEnd w:id="379"/>
    </w:p>
    <w:p w:rsidR="00A933BB" w:rsidRDefault="00A933BB" w:rsidP="00A933BB">
      <w:r>
        <w:t xml:space="preserve">We remain satisfied that a simple average of the BVAL and RBA curves will contribute to an estimate that will achieve the ARORO. However, we have not yet formed a definitive view on the suitability of the Reuters curve, and are open to further considering this curve in the future. AusNet Services submitted in their revised proposal that if we were not persuaded to accept their proposal to use only the RBA curve in making our estimate, then we should make use of the Thomson Reuters curve in addition to the Bloomberg and RBA curves. This alternative has not been proposed by the other service providers in this tranche of determinations. </w:t>
      </w:r>
    </w:p>
    <w:p w:rsidR="00A933BB" w:rsidRDefault="00A933BB" w:rsidP="00A933BB">
      <w:r>
        <w:t>We have decided not to</w:t>
      </w:r>
      <w:r w:rsidRPr="00D729CA">
        <w:t xml:space="preserve"> </w:t>
      </w:r>
      <w:r>
        <w:t>adopt the Thomson Reuters c</w:t>
      </w:r>
      <w:r w:rsidRPr="00D729CA">
        <w:t>urve for the following reasons:</w:t>
      </w:r>
    </w:p>
    <w:p w:rsidR="00A933BB" w:rsidRPr="00A933BB" w:rsidRDefault="00A933BB" w:rsidP="00A933BB">
      <w:pPr>
        <w:pStyle w:val="AERbulletlistfirststyle"/>
      </w:pPr>
      <w:r>
        <w:t xml:space="preserve">We </w:t>
      </w:r>
      <w:r w:rsidRPr="00A933BB">
        <w:t>are satisfied that our current approach is fit for purpose and is likely to contribute to achievement of the ARORO. In contrast, there has been limited time in which to assess whether use of the Thomson Reuters curve would also do so.</w:t>
      </w:r>
    </w:p>
    <w:p w:rsidR="00A933BB" w:rsidRPr="00A933BB" w:rsidRDefault="00A933BB" w:rsidP="00A933BB">
      <w:pPr>
        <w:pStyle w:val="AERbulletlistfirststyle"/>
      </w:pPr>
      <w:r>
        <w:t>in the most recent round of decisions none of the networks proposed using the Thomson Reuters curve in their initial proposals</w:t>
      </w:r>
      <w:r w:rsidRPr="00A933BB">
        <w:t>.</w:t>
      </w:r>
      <w:r w:rsidRPr="00A933BB">
        <w:rPr>
          <w:rStyle w:val="FootnoteReference"/>
        </w:rPr>
        <w:footnoteReference w:id="1417"/>
      </w:r>
      <w:r w:rsidRPr="00A933BB">
        <w:t xml:space="preserve"> As AusNet Services only submitted this alternative in its revised proposal, there has been limited opportunity for rigorous testing in industry wide stakeholder consultation.</w:t>
      </w:r>
    </w:p>
    <w:p w:rsidR="00A933BB" w:rsidRPr="00A933BB" w:rsidRDefault="00A933BB" w:rsidP="00A933BB">
      <w:pPr>
        <w:pStyle w:val="AERbulletlistfirststyle"/>
      </w:pPr>
      <w:r>
        <w:t xml:space="preserve">our analysis in the time available has indicated that </w:t>
      </w:r>
      <w:r w:rsidRPr="00A933BB">
        <w:t>there are a number of approach design issues (e.g. weighting, extrapolation, contingencies, domestic or blended, etc) that should be consulted on and addressed before relying on the curve. AusNet Services has not itself submitted a preferred approach to address issues of weighting, extrapolation and contingencies in a manner that would satisfy us that it is clearly superior to the approach we have adopted, or which could be used, at least, as a starting point for further consultation with stakeholders. The AER flagged these issues in its draft decision.</w:t>
      </w:r>
    </w:p>
    <w:p w:rsidR="00A933BB" w:rsidRPr="00A933BB" w:rsidRDefault="00A933BB" w:rsidP="00A933BB">
      <w:pPr>
        <w:pStyle w:val="AERbulletlistfirststyle"/>
      </w:pPr>
      <w:r>
        <w:t>for the past 18 months</w:t>
      </w:r>
      <w:r w:rsidRPr="00A933BB">
        <w:t xml:space="preserve"> the differences between the simplest case of including the curve (equal weighted average) and the current return on debt appear immaterial when considered in the context that this alternative approach has not been through a rigorous industry wide consultation process.</w:t>
      </w:r>
    </w:p>
    <w:p w:rsidR="00A933BB" w:rsidRDefault="00A933BB" w:rsidP="00A933BB">
      <w:r>
        <w:t>We have discussed our satisfaction that the current approach will continue to achieve the ARORO in the ‘</w:t>
      </w:r>
      <w:r w:rsidRPr="00484372">
        <w:t>Choice of third party data series</w:t>
      </w:r>
      <w:r>
        <w:t xml:space="preserve">’ section. We discuss the other three points below. </w:t>
      </w:r>
    </w:p>
    <w:p w:rsidR="00A933BB" w:rsidRDefault="00A933BB" w:rsidP="00A164C0">
      <w:pPr>
        <w:pStyle w:val="Heading9"/>
      </w:pPr>
      <w:r>
        <w:t>Initial network proposals did not propose the Thomson Reuters curve</w:t>
      </w:r>
    </w:p>
    <w:p w:rsidR="00A933BB" w:rsidRDefault="00A933BB" w:rsidP="00A933BB">
      <w:r>
        <w:t xml:space="preserve">In the current tranche of proposals, the networks did not mention the Thomson Reuters curves in their initial proposals. </w:t>
      </w:r>
    </w:p>
    <w:p w:rsidR="00A933BB" w:rsidRDefault="00A933BB" w:rsidP="00A933BB">
      <w:r>
        <w:t>Notwithstanding this, in our draft decision for AusNet Services, we made the following comments:</w:t>
      </w:r>
    </w:p>
    <w:p w:rsidR="00A933BB" w:rsidRDefault="00A933BB" w:rsidP="00A933BB">
      <w:pPr>
        <w:pStyle w:val="AERquoteindent3"/>
      </w:pPr>
      <w:r w:rsidRPr="005C2CDD">
        <w:t>In other recent proposals, service providers indicated that Thomson Reuters also now publishes a yield curve that we could use to estimate the return on debt. We have therefore sought to evaluate all three curves to the fullest extent possible. For the reasons in this section and in Appendix</w:t>
      </w:r>
      <w:r w:rsidR="00821AEE">
        <w:t xml:space="preserve"> A</w:t>
      </w:r>
      <w:r w:rsidRPr="005C2CDD">
        <w:t>, and given AusNet Services has not proposed we used Thomson Reuters curve, we remain satisfied that a simple average of the BVAL and RBA curves will contribute to an estimate that will achieve the ARORO. However, we have not yet formed a definitive view on the suitability of the Reuters curve, and are open to further considering this curve in the future.</w:t>
      </w:r>
      <w:r>
        <w:rPr>
          <w:rStyle w:val="FootnoteReference"/>
        </w:rPr>
        <w:footnoteReference w:id="1418"/>
      </w:r>
    </w:p>
    <w:p w:rsidR="00A933BB" w:rsidRDefault="00A933BB" w:rsidP="00A933BB">
      <w:r>
        <w:t>Responding to our draft decision in its revised proposal, AusNet Services maintained the position that the RBA curve alone should be used in estimating return on debt. However, AusNet Services submitted in the alternative that the AER should apply positive weight to the Thomson Reuters curve in the following terms</w:t>
      </w:r>
      <w:r>
        <w:rPr>
          <w:rStyle w:val="FootnoteReference"/>
        </w:rPr>
        <w:footnoteReference w:id="1419"/>
      </w:r>
      <w:r>
        <w:t xml:space="preserve">: </w:t>
      </w:r>
    </w:p>
    <w:p w:rsidR="00A933BB" w:rsidRPr="00BC575B" w:rsidRDefault="00A933BB" w:rsidP="00A933BB">
      <w:pPr>
        <w:pStyle w:val="AERquote"/>
      </w:pPr>
      <w:r w:rsidRPr="00B4571F">
        <w:t xml:space="preserve">“AusNet Services continues to assert that reliance on a single curve (RBA) is the only </w:t>
      </w:r>
      <w:r w:rsidR="00DF0600" w:rsidRPr="00B4571F">
        <w:t>appropriate</w:t>
      </w:r>
      <w:r w:rsidRPr="00B4571F">
        <w:t xml:space="preserve"> and correct application in all the current prevailing circumstances. However, should the AER insist on applying positive weight to Bloomberg (which AusNet Services asserts is a flawed approach), then it should also apply positive weight to the Thompson [SIC] Reuters Curve, given they have many similar characteristics. The AER’s Draft Decision flags that it has not had time to consider the Thomsons [SIC] Reuters Curve fully, but acknowledges its similarities with the BVAL curve”</w:t>
      </w:r>
    </w:p>
    <w:p w:rsidR="00A933BB" w:rsidRDefault="00A933BB" w:rsidP="00A933BB">
      <w:r>
        <w:t>AusNet Services’ submission to use the Thomson Reuters curve as an alternative approach did not contain any detail on how to implement the three-curve return on debt series, despite this being an important issue identified by the AER in its draft decision that would need to be addressed. These choices in approach can be both material and complex. We formed our current approach to weighting and extrapolation having regard to expert input</w:t>
      </w:r>
      <w:r>
        <w:rPr>
          <w:rStyle w:val="FootnoteReference"/>
        </w:rPr>
        <w:footnoteReference w:id="1420"/>
      </w:r>
      <w:r>
        <w:t xml:space="preserve"> and a full round of consultation following our NSW/ACT draft decision. Such an addition though does not appear to be of much material difference at present.  </w:t>
      </w:r>
    </w:p>
    <w:p w:rsidR="00A933BB" w:rsidRPr="008731D1" w:rsidRDefault="00A933BB" w:rsidP="00A164C0">
      <w:pPr>
        <w:pStyle w:val="Heading9"/>
      </w:pPr>
      <w:r>
        <w:t>Implementation concerns</w:t>
      </w:r>
    </w:p>
    <w:p w:rsidR="00A933BB" w:rsidRDefault="00A933BB" w:rsidP="00A933BB">
      <w:r>
        <w:t>As AusNet Services raised the Thomson Reuters curve only as part of its revised proposal and without addressing implementation issues, we do not have evidence before us on the correct implementation of the curve (if it were to be included). Items that are required for optimal implementation include the extrapolation method, the use of the blended or domestic curve,</w:t>
      </w:r>
      <w:r>
        <w:rPr>
          <w:rStyle w:val="FootnoteReference"/>
        </w:rPr>
        <w:footnoteReference w:id="1421"/>
      </w:r>
      <w:r>
        <w:t xml:space="preserve"> the optimal weighting and the required new contingencies. </w:t>
      </w:r>
    </w:p>
    <w:p w:rsidR="00A933BB" w:rsidRDefault="00A933BB" w:rsidP="00A933BB">
      <w:r>
        <w:t>If we were to add the Thomson Reuters curve, we would have to resolve the above issues without any guidance from the AusNet’s proposal and with very limited opportunity for other stakeholders to develop their own submissions on AusNet’s alternative. We are therefore not satisfied that using the Thomson Reuters curve in any particular manner would be likely to contribute to achievement of the ARORO, nor do we consider it would be good regulatory practice to begin using the curve in these circumstances.</w:t>
      </w:r>
    </w:p>
    <w:p w:rsidR="00A933BB" w:rsidRPr="00A933BB" w:rsidRDefault="00A933BB" w:rsidP="00A164C0">
      <w:pPr>
        <w:pStyle w:val="HeadingBoldBlue"/>
      </w:pPr>
      <w:r w:rsidRPr="00AF037F">
        <w:t>Extrapolation methodologies</w:t>
      </w:r>
    </w:p>
    <w:p w:rsidR="00A933BB" w:rsidRDefault="00A933BB" w:rsidP="00A933BB">
      <w:r>
        <w:t>Currently, we extrapolate both the RBA curve and, where it does not publish to 10 years, the BVAL curve. We do so as follows:</w:t>
      </w:r>
    </w:p>
    <w:p w:rsidR="00A933BB" w:rsidRPr="00A933BB" w:rsidRDefault="00A933BB" w:rsidP="00A933BB">
      <w:r>
        <w:t>We extrapolate the RBA curve from its ‘published’ 10 year term (effective term is closer to 9 years) to an ‘actual’ 10 year term using linear extrapolation from the published 7 and 10 year estimates. This method is based on advice from Lally, who suggested that linear extrapolation was reasonable where the extrapolation term range was relatively small.</w:t>
      </w:r>
    </w:p>
    <w:p w:rsidR="00A933BB" w:rsidRPr="00A933BB" w:rsidRDefault="00A933BB" w:rsidP="00A933BB">
      <w:r>
        <w:t>We extrapolate the BVAL curve, where necessary, using the corresponding margin from the RBA curve. For example, if BVAL only publishes to 7 years, we extrapolate it using the 7 to 10 year margin from the RBA curve.</w:t>
      </w:r>
    </w:p>
    <w:p w:rsidR="00A933BB" w:rsidRDefault="00A933BB" w:rsidP="00A933BB">
      <w:r>
        <w:t xml:space="preserve">If we add a third curve, the choices of extrapolation become substantially more complex. For the Thomson Reuters curve we expect the protocol for extrapolation to be impactful as Thomson Reuters does not extrapolate beyond the longest term in its bond sample and the availability of its 10 year estimate may vary. </w:t>
      </w:r>
    </w:p>
    <w:p w:rsidR="00A933BB" w:rsidRDefault="00A933BB" w:rsidP="00A933BB">
      <w:r>
        <w:t xml:space="preserve">The choice of extrapolation methodologies potentially could differ depending on the number of curves available at 10 years. For example, if only </w:t>
      </w:r>
      <w:r w:rsidRPr="00B0655F">
        <w:t>BVAL or Thomson</w:t>
      </w:r>
      <w:r>
        <w:t xml:space="preserve"> Reuters did not publish to 10 years, there is the option to rely solely on the RBA margin, which is more consistently available (albeit extrapolated). In the same circumstance, there is the possibility to rely on an average of the missing margins from the two remaining curves. For example, if Thomson Reuters only publishes to 7 years, an average of the RBA and BVAL curves’ margins between 7 and 10 years could be used. </w:t>
      </w:r>
    </w:p>
    <w:p w:rsidR="00A933BB" w:rsidRDefault="00A933BB" w:rsidP="00A933BB">
      <w:r>
        <w:t>If both BVAL and Thomson Reuters did not publish to 10 years we have the option to extrapolate both using the margin on the RBA curve or, if (for example) Thomson Reuters published to 8 years and Bloomberg published to 7, we could use an average of the RBA and Thomson Reuters margin to extrapolate Bloomberg to 8 years, then RBA only beyond 8.</w:t>
      </w:r>
    </w:p>
    <w:p w:rsidR="00A933BB" w:rsidRDefault="00A933BB" w:rsidP="00A933BB">
      <w:r>
        <w:t xml:space="preserve">Overall, our view is that the inclusion of a new curve is a substantial change of approach. As the new curve has not been consulted on substantively with either consumers or the rest of the sector, we are not satisfied that this approach would contribute to achievement of the ARORO. In contrast, our current approach has been widely consulted on and tested by the Australian Competition Tribunal and other stakeholders. We remain satisfied that it will contribute to achievement of the ARORO. </w:t>
      </w:r>
    </w:p>
    <w:p w:rsidR="00A933BB" w:rsidRDefault="00A933BB" w:rsidP="00ED2889">
      <w:pPr>
        <w:pStyle w:val="HeadingBoldBlue"/>
      </w:pPr>
      <w:r>
        <w:t>Choice of Reuters curve</w:t>
      </w:r>
    </w:p>
    <w:p w:rsidR="00A933BB" w:rsidRDefault="00A933BB" w:rsidP="00A933BB">
      <w:r>
        <w:t>Thomson Reuters has two curves available for AUD broad-BBB rated bonds. These are the blended curve, which is a mixture of domestic firms and foreign firms issuing into the Australian market in AUD, and the domestic curve, which is limited to only domestic firms’ issuance. As the BEE is a</w:t>
      </w:r>
      <w:r w:rsidRPr="00696EC1">
        <w:t xml:space="preserve"> ‘pure play’, regulated energy network business operating within Australia</w:t>
      </w:r>
      <w:r>
        <w:t>, it is likely that the domestic curve is more appropriate</w:t>
      </w:r>
      <w:r w:rsidRPr="00696EC1">
        <w:t>.</w:t>
      </w:r>
      <w:r>
        <w:t xml:space="preserve"> However, of the two curves the domestic curve has both a smaller bond sample and is rarely published to 10 years (see figure below), thus requiring more frequent extrapolation. </w:t>
      </w:r>
    </w:p>
    <w:p w:rsidR="00A933BB" w:rsidRDefault="00A933BB" w:rsidP="00A933BB">
      <w:r>
        <w:t xml:space="preserve">In these </w:t>
      </w:r>
      <w:r w:rsidR="00DF0600">
        <w:t>circumstances</w:t>
      </w:r>
      <w:r>
        <w:t>, there appear to be advantages and disadvantages to relying on either curve, or some combination of the curves. Neither AusNet Services nor any other stakeholder has submitted detailed analysis on this issue.</w:t>
      </w:r>
    </w:p>
    <w:p w:rsidR="00A933BB" w:rsidRDefault="00A933BB" w:rsidP="00A933BB">
      <w:pPr>
        <w:pStyle w:val="Caption"/>
      </w:pPr>
      <w:r>
        <w:t xml:space="preserve">Figure </w:t>
      </w:r>
      <w:fldSimple w:instr=" STYLEREF 1 \s ">
        <w:r w:rsidR="00C6448C">
          <w:rPr>
            <w:noProof/>
          </w:rPr>
          <w:t>3</w:t>
        </w:r>
      </w:fldSimple>
      <w:r w:rsidR="00882F3D">
        <w:noBreakHyphen/>
      </w:r>
      <w:fldSimple w:instr=" SEQ Figure \* ARABIC \s 1 ">
        <w:r w:rsidR="00C6448C">
          <w:rPr>
            <w:noProof/>
          </w:rPr>
          <w:t>21</w:t>
        </w:r>
      </w:fldSimple>
      <w:r>
        <w:tab/>
        <w:t>TR BBB blended and domestic credit curves</w:t>
      </w:r>
    </w:p>
    <w:p w:rsidR="00DF4722" w:rsidRDefault="00DF4722" w:rsidP="006E5878">
      <w:r w:rsidRPr="00DF4722">
        <w:rPr>
          <w:noProof/>
          <w:lang w:eastAsia="en-AU"/>
        </w:rPr>
        <w:drawing>
          <wp:inline distT="0" distB="0" distL="0" distR="0" wp14:anchorId="15C1FCDB" wp14:editId="4E0E0F3C">
            <wp:extent cx="5382895" cy="3514725"/>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2895" cy="3514725"/>
                    </a:xfrm>
                    <a:prstGeom prst="rect">
                      <a:avLst/>
                    </a:prstGeom>
                    <a:noFill/>
                  </pic:spPr>
                </pic:pic>
              </a:graphicData>
            </a:graphic>
          </wp:inline>
        </w:drawing>
      </w:r>
    </w:p>
    <w:p w:rsidR="009B02F6" w:rsidRPr="006E5878" w:rsidRDefault="009B02F6" w:rsidP="006E5878">
      <w:r>
        <w:t>Source: Thomson Reuters</w:t>
      </w:r>
    </w:p>
    <w:p w:rsidR="00A933BB" w:rsidRPr="00A933BB" w:rsidRDefault="00A933BB" w:rsidP="008B41F6">
      <w:pPr>
        <w:pStyle w:val="Heading4"/>
        <w:numPr>
          <w:ilvl w:val="0"/>
          <w:numId w:val="0"/>
        </w:numPr>
      </w:pPr>
      <w:r>
        <w:t>Other implementation concerns</w:t>
      </w:r>
    </w:p>
    <w:p w:rsidR="00A933BB" w:rsidRDefault="00A933BB" w:rsidP="00A933BB">
      <w:r>
        <w:t>Currently the RBA and BVAL curves are weighted equally. The weighting is based on findings from Lally. In particular, Lally derived formulae to demonstrate that, subject to some assumptions, the mean squared error of the two variable estimator would be reduced with equal weighting.</w:t>
      </w:r>
      <w:r>
        <w:rPr>
          <w:rStyle w:val="FootnoteReference"/>
        </w:rPr>
        <w:footnoteReference w:id="1422"/>
      </w:r>
      <w:r>
        <w:t xml:space="preserve"> While we could make simplifying assumptions to include the new curve at equal weight, it is unclear if these would be reasonable without further analysis. As noted above, AusNet did not propose a weighting for us to assess.  </w:t>
      </w:r>
    </w:p>
    <w:p w:rsidR="00A933BB" w:rsidRDefault="00A933BB" w:rsidP="00A933BB">
      <w:r>
        <w:t xml:space="preserve">Further, as we have accepted AusNet Services’ proposal to update the return on debt annually, we are required to set out an approach that can be given effect by automatic application of a formula. For this reason, we would need also to alter the contingencies set out in our Final Decision to accommodate the Thomson Reuters curve. We note that the presence of a third curve would substantially increase the options and permutations to consider in determining the appropriate contingencies.  And, as changes in data availability are relatively common, these contingencies could plausibly be highly material over a five year regulatory period. Given stakeholders have not been given a reasonable opportunity to consult on these matters, we are not satisfied at this stage that adopting the Thomson Reuters curve would contribute to achievement of the ARORO. </w:t>
      </w:r>
    </w:p>
    <w:p w:rsidR="00A933BB" w:rsidRDefault="00A933BB" w:rsidP="00A933BB">
      <w:r>
        <w:t>These methodological design issues</w:t>
      </w:r>
      <w:r w:rsidRPr="009C3EB9">
        <w:t xml:space="preserve"> are not </w:t>
      </w:r>
      <w:r>
        <w:t>irresolvable</w:t>
      </w:r>
      <w:r w:rsidRPr="009C3EB9">
        <w:t xml:space="preserve">. However, </w:t>
      </w:r>
      <w:r>
        <w:t>they are complex and would ideally involve consultation with stakeholders</w:t>
      </w:r>
      <w:r w:rsidRPr="009C3EB9">
        <w:t>.</w:t>
      </w:r>
    </w:p>
    <w:p w:rsidR="00A933BB" w:rsidRDefault="00A933BB" w:rsidP="00ED2889">
      <w:pPr>
        <w:pStyle w:val="Heading9"/>
      </w:pPr>
      <w:r>
        <w:t>Immaterial in simplest case</w:t>
      </w:r>
    </w:p>
    <w:p w:rsidR="00A933BB" w:rsidRDefault="00A933BB" w:rsidP="00A933BB">
      <w:r>
        <w:t xml:space="preserve">Aside from the design issues above, we are not persuaded there is sufficient evidence to suggest that the inclusion of a Thomson Reuters curve would materially change revenue outcomes. To test whether the curve would make a substantial difference to the achievement of the ARORO we considered the magnitude of the change to the return on debt with its addition. To do so, we used the simplest case of a simple average (1/3 weighting to each curve) and a similar extrapolation method to that done for </w:t>
      </w:r>
      <w:r w:rsidRPr="00FB1D2C">
        <w:t>the RBA curve</w:t>
      </w:r>
      <w:r>
        <w:t xml:space="preserve">. </w:t>
      </w:r>
    </w:p>
    <w:p w:rsidR="00A933BB" w:rsidRDefault="00A933BB" w:rsidP="00A933BB">
      <w:r>
        <w:t>We found that from mid-2015 (when the Reuters curve became available for a period at 10 years in blended form),</w:t>
      </w:r>
      <w:r>
        <w:rPr>
          <w:rStyle w:val="FootnoteReference"/>
        </w:rPr>
        <w:footnoteReference w:id="1423"/>
      </w:r>
      <w:r>
        <w:t xml:space="preserve"> to the end of 2016 the differences between the two approaches were largely immaterial. On average the difference was 3 basis points. As this has been created without the optimal weightings and extrapolation methods considered, the actual implementation could be different. </w:t>
      </w:r>
    </w:p>
    <w:p w:rsidR="00A933BB" w:rsidRPr="009649CD" w:rsidRDefault="00A933BB" w:rsidP="00A933BB">
      <w:r w:rsidRPr="009649CD">
        <w:t xml:space="preserve">This does not imply these curves will continue to produce similar results. Further, we consider that analysis of the yield curve's underlying characteristics is the most informative means of evaluating the curves. To the extent that a comparison of outcomes is informative, we are not satisfied that there is sufficient evidence the addition of a third curve would, in expectation, have any more than incremental impact on the outcomes of our current approach. </w:t>
      </w:r>
    </w:p>
    <w:p w:rsidR="00A933BB" w:rsidRPr="00A933BB" w:rsidRDefault="00A933BB" w:rsidP="00A933BB">
      <w:pPr>
        <w:pStyle w:val="Caption"/>
      </w:pPr>
      <w:r>
        <w:t xml:space="preserve">Figure </w:t>
      </w:r>
      <w:fldSimple w:instr=" STYLEREF 1 \s ">
        <w:r w:rsidR="00C6448C">
          <w:rPr>
            <w:noProof/>
          </w:rPr>
          <w:t>3</w:t>
        </w:r>
      </w:fldSimple>
      <w:r w:rsidR="00882F3D">
        <w:noBreakHyphen/>
      </w:r>
      <w:fldSimple w:instr=" SEQ Figure \* ARABIC \s 1 ">
        <w:r w:rsidR="00C6448C">
          <w:rPr>
            <w:noProof/>
          </w:rPr>
          <w:t>22</w:t>
        </w:r>
      </w:fldSimple>
      <w:r>
        <w:tab/>
        <w:t>Simple averages of RBA, BVAL and Reuters curves</w:t>
      </w:r>
    </w:p>
    <w:p w:rsidR="00A933BB" w:rsidRDefault="00A933BB" w:rsidP="00A933BB">
      <w:r w:rsidRPr="00A933BB">
        <w:rPr>
          <w:noProof/>
          <w:lang w:eastAsia="en-AU"/>
        </w:rPr>
        <w:drawing>
          <wp:inline distT="0" distB="0" distL="0" distR="0" wp14:anchorId="0C6B5B0C" wp14:editId="0D90A491">
            <wp:extent cx="5090400" cy="3315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0400" cy="3315600"/>
                    </a:xfrm>
                    <a:prstGeom prst="rect">
                      <a:avLst/>
                    </a:prstGeom>
                    <a:noFill/>
                  </pic:spPr>
                </pic:pic>
              </a:graphicData>
            </a:graphic>
          </wp:inline>
        </w:drawing>
      </w:r>
    </w:p>
    <w:p w:rsidR="009B02F6" w:rsidRPr="00A933BB" w:rsidRDefault="009B02F6" w:rsidP="00A933BB">
      <w:r>
        <w:t>Sources: AER; Bloomberg; RBA; Thomson Reuters</w:t>
      </w:r>
    </w:p>
    <w:p w:rsidR="00A933BB" w:rsidRPr="00D729CA" w:rsidRDefault="00A933BB" w:rsidP="00ED2889">
      <w:pPr>
        <w:pStyle w:val="Heading8"/>
      </w:pPr>
      <w:bookmarkStart w:id="380" w:name="_Toc449624779"/>
      <w:bookmarkStart w:id="381" w:name="_Toc451947852"/>
      <w:bookmarkStart w:id="382" w:name="_Toc481057101"/>
      <w:r w:rsidRPr="00D729CA">
        <w:t>Other issues</w:t>
      </w:r>
      <w:bookmarkEnd w:id="380"/>
      <w:bookmarkEnd w:id="381"/>
      <w:bookmarkEnd w:id="382"/>
    </w:p>
    <w:p w:rsidR="00A933BB" w:rsidRPr="005027D1" w:rsidRDefault="00A933BB" w:rsidP="00A933BB">
      <w:pPr>
        <w:rPr>
          <w:rStyle w:val="AERbody"/>
        </w:rPr>
      </w:pPr>
      <w:r w:rsidRPr="005027D1">
        <w:rPr>
          <w:rStyle w:val="AERbody"/>
        </w:rPr>
        <w:t>This section sets out our analysis of other issues raised by CEG. Specifically, we address the extrapolation of the BVAL curve.</w:t>
      </w:r>
    </w:p>
    <w:p w:rsidR="00A933BB" w:rsidRDefault="00A933BB" w:rsidP="00ED2889">
      <w:pPr>
        <w:pStyle w:val="Heading9"/>
      </w:pPr>
      <w:r>
        <w:t>Extrapolation method</w:t>
      </w:r>
    </w:p>
    <w:p w:rsidR="00A933BB" w:rsidRPr="00A933BB" w:rsidRDefault="00A933BB" w:rsidP="00A933BB">
      <w:r>
        <w:t xml:space="preserve">We </w:t>
      </w:r>
      <w:r w:rsidRPr="00A933BB">
        <w:t>remain satisfied that our methodology for extrapolating the return on debt series will contribute to achievement of the ARORO. In contrast, CEG recommended in a recent submission that the SAPN method should be used instead</w:t>
      </w:r>
      <w:r w:rsidRPr="00A933BB">
        <w:rPr>
          <w:rStyle w:val="FootnoteReference"/>
        </w:rPr>
        <w:footnoteReference w:id="1424"/>
      </w:r>
      <w:r w:rsidRPr="00A933BB">
        <w:t xml:space="preserve">:  </w:t>
      </w:r>
    </w:p>
    <w:p w:rsidR="00A933BB" w:rsidRPr="00471E2B" w:rsidRDefault="00A933BB" w:rsidP="00A933BB">
      <w:pPr>
        <w:pStyle w:val="AERquote"/>
      </w:pPr>
      <w:r w:rsidRPr="009211FE">
        <w:t>To the extent that extrapolation of the BVAL curve is to be applied (to give an estimate of the cost of debt that is independent from those already available from RBA/Reuters) then the methodology should, in our opinion, be independent of the RBA/Reuters curves. The SAPN extrapolation method provides this independence</w:t>
      </w:r>
      <w:r w:rsidRPr="00471E2B">
        <w:t xml:space="preserve"> and the results of applying this methodology are set out in Table 3-2 above. </w:t>
      </w:r>
    </w:p>
    <w:p w:rsidR="00A933BB" w:rsidRDefault="00A933BB" w:rsidP="00A933BB">
      <w:r>
        <w:t>We have addressed the SAPN approach in previous decisions, and remain unpersuaded that there is a compelling conceptual or practical basis to assume that yield curves should conform to a straight line along their entire length.</w:t>
      </w:r>
      <w:r>
        <w:rPr>
          <w:rStyle w:val="FootnoteReference"/>
        </w:rPr>
        <w:footnoteReference w:id="1425"/>
      </w:r>
      <w:r>
        <w:t xml:space="preserve"> In contrast, our approach relies only on the shape of the yield curve from 7 to 10 years as published by the RBA. We are satisfied that this is likely to be more informative about the appropriate shape for the yield curve from 7 to 10 years compared to a presumption that the 7 to 10 year margin should reflect a line of best fit across the entire term range. Compared to the shape of either the RBA or Bloomberg curves over their published ranges, the SAPN curve appears counterintuitive.  </w:t>
      </w:r>
    </w:p>
    <w:p w:rsidR="00A933BB" w:rsidRDefault="00A933BB" w:rsidP="00A933BB">
      <w:r>
        <w:t xml:space="preserve">Further, as a result of its straight line assumption the SAPN extrapolation method also appears to have been consistently biased upwards over the past one and a half years (for which we have published BVAL 10 year data to compare the approach). This can be seen in the figure below. </w:t>
      </w:r>
    </w:p>
    <w:p w:rsidR="00A933BB" w:rsidRDefault="00A933BB" w:rsidP="00A933BB"/>
    <w:p w:rsidR="00A933BB" w:rsidRDefault="00A933BB" w:rsidP="00A933BB">
      <w:pPr>
        <w:pStyle w:val="Caption"/>
      </w:pPr>
      <w:r>
        <w:t xml:space="preserve">Figure </w:t>
      </w:r>
      <w:fldSimple w:instr=" STYLEREF 1 \s ">
        <w:r w:rsidR="00C6448C">
          <w:rPr>
            <w:noProof/>
          </w:rPr>
          <w:t>3</w:t>
        </w:r>
      </w:fldSimple>
      <w:r w:rsidR="00882F3D">
        <w:noBreakHyphen/>
      </w:r>
      <w:fldSimple w:instr=" SEQ Figure \* ARABIC \s 1 ">
        <w:r w:rsidR="00C6448C">
          <w:rPr>
            <w:noProof/>
          </w:rPr>
          <w:t>23</w:t>
        </w:r>
      </w:fldSimple>
      <w:r>
        <w:tab/>
        <w:t>BVAL 10 Year Yield with AER and SAPN Extrapolation Approaches</w:t>
      </w:r>
    </w:p>
    <w:p w:rsidR="00A933BB" w:rsidRDefault="000A2AE4" w:rsidP="00A933BB">
      <w:r>
        <w:rPr>
          <w:noProof/>
          <w:lang w:eastAsia="en-AU"/>
        </w:rPr>
        <w:drawing>
          <wp:inline distT="0" distB="0" distL="0" distR="0" wp14:anchorId="276FA1F9">
            <wp:extent cx="5517515" cy="3420110"/>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7515" cy="3420110"/>
                    </a:xfrm>
                    <a:prstGeom prst="rect">
                      <a:avLst/>
                    </a:prstGeom>
                    <a:noFill/>
                  </pic:spPr>
                </pic:pic>
              </a:graphicData>
            </a:graphic>
          </wp:inline>
        </w:drawing>
      </w:r>
    </w:p>
    <w:p w:rsidR="009B02F6" w:rsidRDefault="009B02F6" w:rsidP="00A933BB">
      <w:r>
        <w:t>Sources: AER; Bloomberg; RBA</w:t>
      </w:r>
    </w:p>
    <w:p w:rsidR="00AD2086" w:rsidRPr="00AD2086" w:rsidRDefault="00AD2086" w:rsidP="00AD2086">
      <w:pPr>
        <w:pStyle w:val="Heading8"/>
      </w:pPr>
      <w:bookmarkStart w:id="383" w:name="_Ref452629353"/>
      <w:bookmarkStart w:id="384" w:name="_Toc456686775"/>
      <w:bookmarkStart w:id="385" w:name="_Toc481057102"/>
      <w:r>
        <w:t>Credit rating</w:t>
      </w:r>
      <w:bookmarkEnd w:id="383"/>
      <w:bookmarkEnd w:id="384"/>
      <w:bookmarkEnd w:id="385"/>
    </w:p>
    <w:p w:rsidR="00AD2086" w:rsidRPr="00ED244D" w:rsidRDefault="00AD2086" w:rsidP="00AD2086">
      <w:r>
        <w:t>In section 3.4.2</w:t>
      </w:r>
      <w:r w:rsidRPr="00ED244D">
        <w:t xml:space="preserve">, we set out our position and key reasons on the benchmark credit rating. In this section, we set out further supporting details behind our calculation of the median credit rating of a sample of firms that are comparable to the benchmark efficient entity (the industry median). </w:t>
      </w:r>
      <w:r>
        <w:t>This entails</w:t>
      </w:r>
      <w:r w:rsidRPr="00ED244D">
        <w:t>:</w:t>
      </w:r>
    </w:p>
    <w:p w:rsidR="00AD2086" w:rsidRDefault="00AD2086" w:rsidP="00AD2086">
      <w:pPr>
        <w:pStyle w:val="AERbulletlistfirststyle"/>
      </w:pPr>
      <w:r>
        <w:t xml:space="preserve">Setting out </w:t>
      </w:r>
      <w:r w:rsidRPr="00ED244D">
        <w:t>the comparator set we use to estimate the industry median</w:t>
      </w:r>
      <w:r>
        <w:t xml:space="preserve"> and responding to AusNet Services’ proposal to exclude itself and </w:t>
      </w:r>
      <w:r w:rsidRPr="00032247">
        <w:t>SGSP Australia Assets Pty Ltd</w:t>
      </w:r>
      <w:r>
        <w:t xml:space="preserve"> (SGSP)</w:t>
      </w:r>
      <w:r w:rsidRPr="00032247">
        <w:t xml:space="preserve"> </w:t>
      </w:r>
      <w:r>
        <w:t>from the comparator set</w:t>
      </w:r>
    </w:p>
    <w:p w:rsidR="00AD2086" w:rsidRPr="00ED244D" w:rsidRDefault="00AD2086" w:rsidP="00AD2086">
      <w:pPr>
        <w:pStyle w:val="AERbulletlistfirststyle"/>
      </w:pPr>
      <w:r>
        <w:t>Explaining why we consider market data supports an</w:t>
      </w:r>
      <w:r w:rsidRPr="00ED244D">
        <w:t xml:space="preserve"> industry median </w:t>
      </w:r>
      <w:r>
        <w:t>credit rating of</w:t>
      </w:r>
      <w:r w:rsidRPr="00ED244D">
        <w:t xml:space="preserve"> BBB+</w:t>
      </w:r>
      <w:r>
        <w:t>, rather than</w:t>
      </w:r>
      <w:r w:rsidRPr="00ED244D">
        <w:t xml:space="preserve"> BBB</w:t>
      </w:r>
      <w:r>
        <w:t>.</w:t>
      </w:r>
    </w:p>
    <w:p w:rsidR="00AD2086" w:rsidRPr="00AD2086" w:rsidRDefault="00AD2086" w:rsidP="00AD2086">
      <w:pPr>
        <w:pStyle w:val="Heading9"/>
      </w:pPr>
      <w:bookmarkStart w:id="386" w:name="_Toc433367514"/>
      <w:bookmarkStart w:id="387" w:name="_Toc433446597"/>
      <w:bookmarkStart w:id="388" w:name="_Toc456686776"/>
      <w:r w:rsidRPr="00EC299C">
        <w:t>Comparator Set</w:t>
      </w:r>
      <w:bookmarkEnd w:id="386"/>
      <w:bookmarkEnd w:id="387"/>
      <w:bookmarkEnd w:id="388"/>
      <w:r w:rsidRPr="00EC299C">
        <w:t xml:space="preserve"> </w:t>
      </w:r>
    </w:p>
    <w:p w:rsidR="00AD2086" w:rsidRPr="00032247" w:rsidRDefault="00AD2086" w:rsidP="00AD2086">
      <w:r w:rsidRPr="00032247">
        <w:t>We draw our comparator set for estimating the benchmark credit rating from Standard and Poor's industry report cards, with the exclusion of a firm that is</w:t>
      </w:r>
      <w:r>
        <w:t xml:space="preserve"> owned by an Australian state government</w:t>
      </w:r>
      <w:r w:rsidRPr="00032247">
        <w:t>.</w:t>
      </w:r>
      <w:r>
        <w:rPr>
          <w:rStyle w:val="FootnoteReference"/>
        </w:rPr>
        <w:footnoteReference w:id="1426"/>
      </w:r>
      <w:r w:rsidRPr="00032247">
        <w:t xml:space="preserve"> This is made up of the following businesses:</w:t>
      </w:r>
    </w:p>
    <w:p w:rsidR="00AD2086" w:rsidRPr="00032247" w:rsidRDefault="00AD2086" w:rsidP="00AD2086">
      <w:pPr>
        <w:pStyle w:val="AERbulletlistfirststyle"/>
      </w:pPr>
      <w:r w:rsidRPr="00032247">
        <w:t>APT Pipelines Ltd</w:t>
      </w:r>
    </w:p>
    <w:p w:rsidR="00AD2086" w:rsidRPr="00032247" w:rsidRDefault="00AD2086" w:rsidP="00AD2086">
      <w:pPr>
        <w:pStyle w:val="AERbulletlistfirststyle"/>
      </w:pPr>
      <w:r w:rsidRPr="00032247">
        <w:t>ATCO Gas Australian LP</w:t>
      </w:r>
    </w:p>
    <w:p w:rsidR="00AD2086" w:rsidRPr="00032247" w:rsidRDefault="00AD2086" w:rsidP="00AD2086">
      <w:pPr>
        <w:pStyle w:val="AERbulletlistfirststyle"/>
      </w:pPr>
      <w:r w:rsidRPr="00032247">
        <w:t>DBNGP Trust</w:t>
      </w:r>
    </w:p>
    <w:p w:rsidR="00AD2086" w:rsidRPr="00032247" w:rsidRDefault="00AD2086" w:rsidP="00AD2086">
      <w:pPr>
        <w:pStyle w:val="AERbulletlistfirststyle"/>
      </w:pPr>
      <w:r w:rsidRPr="00032247">
        <w:t>DUET Group</w:t>
      </w:r>
    </w:p>
    <w:p w:rsidR="00AD2086" w:rsidRPr="00032247" w:rsidRDefault="00AD2086" w:rsidP="00AD2086">
      <w:pPr>
        <w:pStyle w:val="AERbulletlistfirststyle"/>
      </w:pPr>
      <w:r w:rsidRPr="00032247">
        <w:t>ElectraNet Pty Ltd</w:t>
      </w:r>
    </w:p>
    <w:p w:rsidR="00AD2086" w:rsidRPr="00032247" w:rsidRDefault="00AD2086" w:rsidP="00AD2086">
      <w:pPr>
        <w:pStyle w:val="AERbulletlistfirststyle"/>
      </w:pPr>
      <w:r w:rsidRPr="00032247">
        <w:t>Energy Partnership (Gas) Pty Ltd</w:t>
      </w:r>
    </w:p>
    <w:p w:rsidR="00AD2086" w:rsidRPr="00032247" w:rsidRDefault="00AD2086" w:rsidP="00AD2086">
      <w:pPr>
        <w:pStyle w:val="AERbulletlistfirststyle"/>
      </w:pPr>
      <w:r w:rsidRPr="00032247">
        <w:t xml:space="preserve">Australian Gas Networks Ltd— previously Envestra Ltd </w:t>
      </w:r>
    </w:p>
    <w:p w:rsidR="00AD2086" w:rsidRPr="00032247" w:rsidRDefault="00AD2086" w:rsidP="00AD2086">
      <w:pPr>
        <w:pStyle w:val="AERbulletlistfirststyle"/>
      </w:pPr>
      <w:r w:rsidRPr="00032247">
        <w:t>ETSA Utilities</w:t>
      </w:r>
    </w:p>
    <w:p w:rsidR="00AD2086" w:rsidRPr="00032247" w:rsidRDefault="00AD2086" w:rsidP="00AD2086">
      <w:pPr>
        <w:pStyle w:val="AERbulletlistfirststyle"/>
      </w:pPr>
      <w:r w:rsidRPr="00032247">
        <w:t>Powercor Australia LLC</w:t>
      </w:r>
      <w:r>
        <w:t xml:space="preserve"> </w:t>
      </w:r>
    </w:p>
    <w:p w:rsidR="00AD2086" w:rsidRPr="00032247" w:rsidRDefault="00AD2086" w:rsidP="00AD2086">
      <w:pPr>
        <w:pStyle w:val="AERbulletlistfirststyle"/>
      </w:pPr>
      <w:r w:rsidRPr="00032247">
        <w:t>AusNet Services — previously SP AusNet Group</w:t>
      </w:r>
    </w:p>
    <w:p w:rsidR="00AD2086" w:rsidRPr="00032247" w:rsidRDefault="00AD2086" w:rsidP="00AD2086">
      <w:pPr>
        <w:pStyle w:val="AERbulletlistfirststyle"/>
      </w:pPr>
      <w:r w:rsidRPr="00032247">
        <w:t>SGSP — previously SPI (Australia) Assets Pty Ltd</w:t>
      </w:r>
    </w:p>
    <w:p w:rsidR="00AD2086" w:rsidRPr="00032247" w:rsidRDefault="00AD2086" w:rsidP="00AD2086">
      <w:pPr>
        <w:pStyle w:val="AERbulletlistfirststyle"/>
      </w:pPr>
      <w:r w:rsidRPr="00032247">
        <w:t>The CitiPower Trust</w:t>
      </w:r>
      <w:r>
        <w:t xml:space="preserve"> </w:t>
      </w:r>
    </w:p>
    <w:p w:rsidR="00AD2086" w:rsidRDefault="00AD2086" w:rsidP="00AD2086">
      <w:pPr>
        <w:pStyle w:val="AERbulletlistfirststyle"/>
      </w:pPr>
      <w:r w:rsidRPr="00032247">
        <w:t>Uni</w:t>
      </w:r>
      <w:r>
        <w:t>ted Energy Distribution Pty Ltd</w:t>
      </w:r>
    </w:p>
    <w:p w:rsidR="00AD2086" w:rsidRDefault="00AD2086" w:rsidP="00AD2086">
      <w:pPr>
        <w:pStyle w:val="AERbulletlistfirststyle"/>
      </w:pPr>
      <w:r>
        <w:t>Victoria Power Networks Pty Ltd</w:t>
      </w:r>
      <w:bookmarkStart w:id="389" w:name="_Toc433367515"/>
      <w:bookmarkStart w:id="390" w:name="_Toc433446598"/>
      <w:r>
        <w:rPr>
          <w:rStyle w:val="FootnoteReference"/>
        </w:rPr>
        <w:footnoteReference w:id="1427"/>
      </w:r>
    </w:p>
    <w:p w:rsidR="00AD2086" w:rsidRDefault="00AD2086" w:rsidP="00AD2086">
      <w:r w:rsidRPr="002959D6">
        <w:t xml:space="preserve">In its initial regulatory proposal, AusNet Services submitted we should exclude it and SGSP from our comparator set. This was on the basis that the ownership by the </w:t>
      </w:r>
      <w:r w:rsidRPr="004057F3">
        <w:t xml:space="preserve">Singaporean Government and later by the Chinese Government in these businesses </w:t>
      </w:r>
      <w:r>
        <w:t>affects</w:t>
      </w:r>
      <w:r w:rsidRPr="004057F3">
        <w:t xml:space="preserve"> </w:t>
      </w:r>
      <w:r>
        <w:t xml:space="preserve">how </w:t>
      </w:r>
      <w:r w:rsidRPr="004057F3">
        <w:t xml:space="preserve">credit rating agencies </w:t>
      </w:r>
      <w:r>
        <w:t>consider their</w:t>
      </w:r>
      <w:r w:rsidRPr="004057F3">
        <w:t xml:space="preserve"> credit ratings</w:t>
      </w:r>
      <w:r>
        <w:t>.</w:t>
      </w:r>
      <w:r>
        <w:rPr>
          <w:rStyle w:val="FootnoteReference"/>
        </w:rPr>
        <w:footnoteReference w:id="1428"/>
      </w:r>
      <w:r w:rsidRPr="004057F3">
        <w:t xml:space="preserve"> </w:t>
      </w:r>
    </w:p>
    <w:p w:rsidR="00AD2086" w:rsidRPr="00160DAC" w:rsidRDefault="00AD2086" w:rsidP="00AD2086">
      <w:pPr>
        <w:rPr>
          <w:rStyle w:val="AERsuperscript"/>
        </w:rPr>
      </w:pPr>
      <w:r w:rsidRPr="008C258A">
        <w:t>W</w:t>
      </w:r>
      <w:r>
        <w:t>e have previously stated in our final decision for SA Power Networks that w</w:t>
      </w:r>
      <w:r w:rsidRPr="008C258A">
        <w:t>e do not consider partial government ownership is an important factor in the assigned rating by Standard and Poor’s.</w:t>
      </w:r>
      <w:r>
        <w:rPr>
          <w:rStyle w:val="FootnoteReference"/>
        </w:rPr>
        <w:footnoteReference w:id="1429"/>
      </w:r>
      <w:r w:rsidRPr="008C258A">
        <w:t xml:space="preserve"> </w:t>
      </w:r>
      <w:r>
        <w:t>We consider that Australian federal or state government owned service providers may have different incentives compared to foreign government owned and privately owned service providers. However, we have formed the view that foreign government owned firms, particularly those that hold minority investments, would be operated in a similar manner to privately owned firms with parent</w:t>
      </w:r>
      <w:r w:rsidRPr="00160DAC">
        <w:rPr>
          <w:rStyle w:val="AERbody"/>
        </w:rPr>
        <w:t xml:space="preserve"> support, with regards to the likelihood of timely and sufficient government </w:t>
      </w:r>
      <w:r>
        <w:rPr>
          <w:rStyle w:val="AERbody"/>
        </w:rPr>
        <w:t xml:space="preserve">or </w:t>
      </w:r>
      <w:r w:rsidRPr="00160DAC">
        <w:rPr>
          <w:rStyle w:val="AERbody"/>
        </w:rPr>
        <w:t>parent company support in extraordinary circumstances.</w:t>
      </w:r>
      <w:r w:rsidRPr="00160DAC">
        <w:rPr>
          <w:rStyle w:val="AERsuperscript"/>
        </w:rPr>
        <w:footnoteReference w:id="1430"/>
      </w:r>
    </w:p>
    <w:p w:rsidR="00AD2086" w:rsidRPr="002F0EF0" w:rsidRDefault="00AD2086" w:rsidP="00AD2086">
      <w:r w:rsidRPr="002F0EF0">
        <w:t xml:space="preserve">Overall, we note that there are a range of possible reasons for excluding firms from the comparator set that could be put forward. These potential reasons include excluding firms within the same corporate group, excluding firms with parent ownership, </w:t>
      </w:r>
      <w:r>
        <w:t xml:space="preserve">excluding firms with gearing levels that differ from our benchmark 60 per cent level, </w:t>
      </w:r>
      <w:r w:rsidRPr="002F0EF0">
        <w:t>and excluding firms with non-regulated activities.</w:t>
      </w:r>
      <w:r>
        <w:t xml:space="preserve"> For example, in its submission on our preliminary decision for SA Power Networks, ECCSA expressed concerns that Australian Gas Networks Ltd contributed to our benchmark given Australian Gas Networks Ltd.'s gearing has exceeded 80 per cent.</w:t>
      </w:r>
      <w:r>
        <w:rPr>
          <w:rStyle w:val="FootnoteReference"/>
        </w:rPr>
        <w:footnoteReference w:id="1431"/>
      </w:r>
      <w:r>
        <w:t xml:space="preserve"> </w:t>
      </w:r>
      <w:r w:rsidRPr="002F0EF0">
        <w:t xml:space="preserve">The merits of each of these can be debated, and we assess </w:t>
      </w:r>
      <w:r>
        <w:t>several of these reasons</w:t>
      </w:r>
      <w:r w:rsidRPr="002F0EF0">
        <w:t xml:space="preserve"> above. If each of these exclusion criteria were applied it would likely leave a sample that is too small to draw meaningful conclusions on. In such a case, we would like</w:t>
      </w:r>
      <w:r>
        <w:t>ly</w:t>
      </w:r>
      <w:r w:rsidRPr="002F0EF0">
        <w:t xml:space="preserve"> find there were insufficient reasons to depart from the previous benchmark, which is BBB+. </w:t>
      </w:r>
    </w:p>
    <w:p w:rsidR="00AD2086" w:rsidRDefault="00AD2086" w:rsidP="00AD2086">
      <w:r w:rsidRPr="002F0EF0">
        <w:t xml:space="preserve">Accordingly, our preferred approach is to include the full sample of privately owned </w:t>
      </w:r>
      <w:r>
        <w:t xml:space="preserve">(that is, non-Australian government owned) </w:t>
      </w:r>
      <w:r w:rsidRPr="002F0EF0">
        <w:t>energy network service providers, while recognising the strengths and limitations of this approach. However, whether applying all or none of the potential exclusion criteria, we would likely maintain a BBB+ benchmark credit rating</w:t>
      </w:r>
      <w:r>
        <w:t>.</w:t>
      </w:r>
    </w:p>
    <w:p w:rsidR="00AD2086" w:rsidRPr="00AD2086" w:rsidRDefault="00AD2086" w:rsidP="00AD2086">
      <w:pPr>
        <w:pStyle w:val="Heading9"/>
      </w:pPr>
      <w:bookmarkStart w:id="391" w:name="_Toc456686777"/>
      <w:r>
        <w:t>Current Industry Median</w:t>
      </w:r>
      <w:bookmarkEnd w:id="389"/>
      <w:bookmarkEnd w:id="390"/>
      <w:bookmarkEnd w:id="391"/>
    </w:p>
    <w:p w:rsidR="00AD2086" w:rsidRDefault="00AD2086" w:rsidP="00AD2086">
      <w:r>
        <w:t xml:space="preserve">Consistent with the </w:t>
      </w:r>
      <w:r w:rsidRPr="008E3CDC">
        <w:t>Guideline</w:t>
      </w:r>
      <w:r>
        <w:t xml:space="preserve"> explanatory statement, we have had regard to empirical evidence in applying a benchmark credit rating of BBB+</w:t>
      </w:r>
      <w:r w:rsidRPr="008E3CDC">
        <w:t>.</w:t>
      </w:r>
      <w:r w:rsidRPr="008E3CDC">
        <w:rPr>
          <w:rStyle w:val="FootnoteReference"/>
        </w:rPr>
        <w:footnoteReference w:id="1432"/>
      </w:r>
      <w:r w:rsidRPr="008E3CDC">
        <w:t xml:space="preserve"> </w:t>
      </w:r>
      <w:r w:rsidRPr="00411A04">
        <w:t xml:space="preserve">We </w:t>
      </w:r>
      <w:r>
        <w:t>also</w:t>
      </w:r>
      <w:r w:rsidRPr="00411A04">
        <w:t xml:space="preserve"> have regard to variability in the median credit rating throughout time</w:t>
      </w:r>
      <w:r w:rsidRPr="002959D6">
        <w:t>. This recognises that while shorter term data is more likely to reflect current expectations, longer term data may reduce the influence on the median from firm spe</w:t>
      </w:r>
      <w:r>
        <w:t>cific or idiosyncratic factors.</w:t>
      </w:r>
    </w:p>
    <w:p w:rsidR="00AD2086" w:rsidRDefault="00AD2086" w:rsidP="00AD2086">
      <w:r w:rsidRPr="002959D6">
        <w:t>It is worth noting that we consider AusNet Services mischaracterised our approach in its initial proposal as only taking an ‘on-the-day’ credit rating.</w:t>
      </w:r>
      <w:r w:rsidRPr="002959D6">
        <w:footnoteReference w:id="1433"/>
      </w:r>
      <w:r w:rsidRPr="002959D6">
        <w:t xml:space="preserve"> </w:t>
      </w:r>
      <w:r>
        <w:t xml:space="preserve"> The on-the-day approach estimates the allowed return on debt for a service provider at the prevailing cost of debt as close as possible to the start of the regulatory period.  The on-the-day approach produces an estimate of the cost of debt rather than a benchmark credit rating which applies to the benchmark efficient entity.</w:t>
      </w:r>
    </w:p>
    <w:p w:rsidR="00AD2086" w:rsidRPr="002959D6" w:rsidRDefault="00AD2086" w:rsidP="00AD2086">
      <w:r>
        <w:t>Further, in their</w:t>
      </w:r>
      <w:r w:rsidRPr="002959D6">
        <w:t xml:space="preserve"> revised proposal</w:t>
      </w:r>
      <w:r>
        <w:t>, AusNet Services has misinterpreted Table 3-39 in the AER Draft Decision</w:t>
      </w:r>
      <w:r>
        <w:rPr>
          <w:rStyle w:val="FootnoteReference"/>
        </w:rPr>
        <w:footnoteReference w:id="1434"/>
      </w:r>
      <w:r>
        <w:t xml:space="preserve"> suggesting that the mean credit rating over the past 10 years is BBB to BBB+</w:t>
      </w:r>
      <w:r>
        <w:rPr>
          <w:rStyle w:val="FootnoteReference"/>
        </w:rPr>
        <w:footnoteReference w:id="1435"/>
      </w:r>
      <w:r>
        <w:t>.  Certainly the range spans from BBB to BBB+ for the sample in Table 3-39, however the Table results support a BBB+ rating in recent years from 2013 onward.  We consider the recent median concentration at BBB+ to represent the applicable benchmark credit rating.</w:t>
      </w:r>
    </w:p>
    <w:p w:rsidR="00AD2086" w:rsidRDefault="00AD2086" w:rsidP="00AD2086">
      <w:r>
        <w:fldChar w:fldCharType="begin"/>
      </w:r>
      <w:r>
        <w:instrText xml:space="preserve"> REF _Ref452632133 \h </w:instrText>
      </w:r>
      <w:r>
        <w:fldChar w:fldCharType="separate"/>
      </w:r>
      <w:r w:rsidR="00C6448C">
        <w:t xml:space="preserve">Table </w:t>
      </w:r>
      <w:r w:rsidR="00C6448C">
        <w:rPr>
          <w:noProof/>
        </w:rPr>
        <w:t>3</w:t>
      </w:r>
      <w:r w:rsidR="00C6448C">
        <w:noBreakHyphen/>
      </w:r>
      <w:r w:rsidR="00C6448C">
        <w:rPr>
          <w:noProof/>
        </w:rPr>
        <w:t>39</w:t>
      </w:r>
      <w:r>
        <w:fldChar w:fldCharType="end"/>
      </w:r>
      <w:r>
        <w:t xml:space="preserve"> sets out the median credit rating over historical periods of progressively longer length. While </w:t>
      </w:r>
      <w:r w:rsidR="003857D1">
        <w:t>the table</w:t>
      </w:r>
      <w:r>
        <w:t xml:space="preserve"> shows some support for a credit rating of BBB to BBB+, we consider it shows stronger support for a credit rating of BBB+. </w:t>
      </w:r>
    </w:p>
    <w:p w:rsidR="00AD2086" w:rsidRDefault="00AD2086" w:rsidP="00AD2086">
      <w:r>
        <w:t>We also note that this estimate entails taking the median from the yearly medians. We could also take the median of all credit rating observations over these time periods. This gives BBB+ for the four most recent periods and</w:t>
      </w:r>
      <w:r w:rsidRPr="00057769">
        <w:t xml:space="preserve"> B</w:t>
      </w:r>
      <w:r>
        <w:t>BB/BBB+ for the remainder of the median credit rating periods.  The Tribunal observed that the more recent years firmly point towards a BBB+ credit rating for the benchmark efficient entity</w:t>
      </w:r>
      <w:r>
        <w:rPr>
          <w:rStyle w:val="FootnoteReference"/>
        </w:rPr>
        <w:footnoteReference w:id="1436"/>
      </w:r>
      <w:r>
        <w:t xml:space="preserve"> and our latest data supports this view.</w:t>
      </w:r>
    </w:p>
    <w:p w:rsidR="00AD2086" w:rsidRPr="00E41C8B" w:rsidRDefault="00AD2086" w:rsidP="00AD2086">
      <w:pPr>
        <w:pStyle w:val="Caption"/>
      </w:pPr>
      <w:bookmarkStart w:id="392" w:name="_Ref452632133"/>
      <w:bookmarkStart w:id="393" w:name="OLE_LINK2"/>
      <w:r>
        <w:t xml:space="preserve">Table </w:t>
      </w:r>
      <w:fldSimple w:instr=" STYLEREF 1 \s ">
        <w:r w:rsidR="00C6448C">
          <w:rPr>
            <w:noProof/>
          </w:rPr>
          <w:t>3</w:t>
        </w:r>
      </w:fldSimple>
      <w:r w:rsidR="00882F3D">
        <w:noBreakHyphen/>
      </w:r>
      <w:fldSimple w:instr=" SEQ Table \* ARABIC \s 1 ">
        <w:r w:rsidR="00C6448C">
          <w:rPr>
            <w:noProof/>
          </w:rPr>
          <w:t>39</w:t>
        </w:r>
      </w:fldSimple>
      <w:bookmarkEnd w:id="392"/>
      <w:r>
        <w:t xml:space="preserve"> </w:t>
      </w:r>
      <w:r w:rsidRPr="00E41C8B">
        <w:t>Median credit rating</w:t>
      </w:r>
      <w:r w:rsidRPr="00627B3D">
        <w:t>—</w:t>
      </w:r>
      <w:r w:rsidRPr="00E41C8B">
        <w:t xml:space="preserve">Comparator set of </w:t>
      </w:r>
      <w:r w:rsidRPr="002959D6">
        <w:t>firms</w:t>
      </w:r>
    </w:p>
    <w:tbl>
      <w:tblPr>
        <w:tblStyle w:val="AERtable-text0"/>
        <w:tblW w:w="0" w:type="auto"/>
        <w:tblLook w:val="04A0" w:firstRow="1" w:lastRow="0" w:firstColumn="1" w:lastColumn="0" w:noHBand="0" w:noVBand="1"/>
      </w:tblPr>
      <w:tblGrid>
        <w:gridCol w:w="2153"/>
        <w:gridCol w:w="2192"/>
        <w:gridCol w:w="2155"/>
        <w:gridCol w:w="2193"/>
      </w:tblGrid>
      <w:tr w:rsidR="00AD2086" w:rsidRPr="00073F41" w:rsidTr="00EC03D8">
        <w:trPr>
          <w:cnfStyle w:val="100000000000" w:firstRow="1" w:lastRow="0" w:firstColumn="0" w:lastColumn="0" w:oddVBand="0" w:evenVBand="0" w:oddHBand="0" w:evenHBand="0" w:firstRowFirstColumn="0" w:firstRowLastColumn="0" w:lastRowFirstColumn="0" w:lastRowLastColumn="0"/>
        </w:trPr>
        <w:tc>
          <w:tcPr>
            <w:tcW w:w="2153" w:type="dxa"/>
          </w:tcPr>
          <w:p w:rsidR="00AD2086" w:rsidRPr="00AD2086" w:rsidRDefault="00AD2086" w:rsidP="00AD2086">
            <w:bookmarkStart w:id="394" w:name="OLE_LINK1"/>
            <w:bookmarkStart w:id="395" w:name="OLE_LINK3"/>
            <w:r w:rsidRPr="00073F41">
              <w:t xml:space="preserve">Time </w:t>
            </w:r>
            <w:r w:rsidRPr="00AD2086">
              <w:t xml:space="preserve">period </w:t>
            </w:r>
          </w:p>
        </w:tc>
        <w:tc>
          <w:tcPr>
            <w:tcW w:w="2192" w:type="dxa"/>
          </w:tcPr>
          <w:p w:rsidR="00AD2086" w:rsidRPr="00AD2086" w:rsidRDefault="00AD2086" w:rsidP="00AD2086">
            <w:r w:rsidRPr="00073F41">
              <w:t>Median credit rating</w:t>
            </w:r>
          </w:p>
        </w:tc>
        <w:tc>
          <w:tcPr>
            <w:tcW w:w="2155" w:type="dxa"/>
          </w:tcPr>
          <w:p w:rsidR="00AD2086" w:rsidRPr="00AD2086" w:rsidRDefault="00AD2086" w:rsidP="00AD2086">
            <w:r w:rsidRPr="00073F41">
              <w:t>Time period</w:t>
            </w:r>
          </w:p>
        </w:tc>
        <w:tc>
          <w:tcPr>
            <w:tcW w:w="2193" w:type="dxa"/>
          </w:tcPr>
          <w:p w:rsidR="00AD2086" w:rsidRPr="00AD2086" w:rsidRDefault="00AD2086" w:rsidP="00AD2086">
            <w:r w:rsidRPr="00073F41">
              <w:t>Median credit rating</w:t>
            </w:r>
          </w:p>
        </w:tc>
      </w:tr>
      <w:tr w:rsidR="00AD2086" w:rsidRPr="00073F41" w:rsidTr="00EC03D8">
        <w:trPr>
          <w:trHeight w:val="622"/>
        </w:trPr>
        <w:tc>
          <w:tcPr>
            <w:tcW w:w="2153" w:type="dxa"/>
          </w:tcPr>
          <w:p w:rsidR="00AD2086" w:rsidRPr="00AD2086" w:rsidRDefault="00AD2086" w:rsidP="00AD2086">
            <w:r>
              <w:t>2016</w:t>
            </w:r>
            <w:r w:rsidRPr="00AD2086">
              <w:t xml:space="preserve"> (to date)</w:t>
            </w:r>
          </w:p>
        </w:tc>
        <w:tc>
          <w:tcPr>
            <w:tcW w:w="2192" w:type="dxa"/>
          </w:tcPr>
          <w:p w:rsidR="00AD2086" w:rsidRPr="00AD2086" w:rsidRDefault="00AD2086" w:rsidP="00AD2086">
            <w:r>
              <w:t>BBB+</w:t>
            </w:r>
          </w:p>
        </w:tc>
        <w:tc>
          <w:tcPr>
            <w:tcW w:w="2155" w:type="dxa"/>
          </w:tcPr>
          <w:p w:rsidR="00AD2086" w:rsidRPr="00AD2086" w:rsidRDefault="00AD2086" w:rsidP="00AD2086">
            <w:r>
              <w:t>2010</w:t>
            </w:r>
            <w:r w:rsidRPr="00AD2086">
              <w:t>–2016</w:t>
            </w:r>
          </w:p>
        </w:tc>
        <w:tc>
          <w:tcPr>
            <w:tcW w:w="2193" w:type="dxa"/>
          </w:tcPr>
          <w:p w:rsidR="00AD2086" w:rsidRPr="00AD2086" w:rsidRDefault="00AD2086" w:rsidP="00AD2086">
            <w:r w:rsidRPr="00073F41">
              <w:t>BBB</w:t>
            </w:r>
            <w:r w:rsidRPr="00AD2086">
              <w:t>/BBB+</w:t>
            </w:r>
          </w:p>
        </w:tc>
      </w:tr>
      <w:tr w:rsidR="00AD2086" w:rsidRPr="00073F41" w:rsidTr="00EC03D8">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AD2086" w:rsidRPr="00AD2086" w:rsidRDefault="00AD2086" w:rsidP="00AD2086">
            <w:r>
              <w:t xml:space="preserve">2015 </w:t>
            </w:r>
            <w:r w:rsidRPr="00AD2086">
              <w:t>-2016</w:t>
            </w:r>
          </w:p>
        </w:tc>
        <w:tc>
          <w:tcPr>
            <w:tcW w:w="2192" w:type="dxa"/>
          </w:tcPr>
          <w:p w:rsidR="00AD2086" w:rsidRPr="00AD2086" w:rsidRDefault="00AD2086" w:rsidP="00AD2086">
            <w:r w:rsidRPr="00073F41">
              <w:t>BBB+</w:t>
            </w:r>
          </w:p>
        </w:tc>
        <w:tc>
          <w:tcPr>
            <w:tcW w:w="2155" w:type="dxa"/>
          </w:tcPr>
          <w:p w:rsidR="00AD2086" w:rsidRPr="00AD2086" w:rsidRDefault="00AD2086" w:rsidP="00AD2086">
            <w:r>
              <w:t>2009–201</w:t>
            </w:r>
            <w:r w:rsidRPr="00AD2086">
              <w:t>6</w:t>
            </w:r>
          </w:p>
        </w:tc>
        <w:tc>
          <w:tcPr>
            <w:tcW w:w="2193" w:type="dxa"/>
          </w:tcPr>
          <w:p w:rsidR="00AD2086" w:rsidRPr="00AD2086" w:rsidRDefault="00AD2086" w:rsidP="00AD2086">
            <w:r>
              <w:t>BBB</w:t>
            </w:r>
          </w:p>
        </w:tc>
      </w:tr>
      <w:tr w:rsidR="00AD2086" w:rsidRPr="00073F41" w:rsidTr="00EC03D8">
        <w:tc>
          <w:tcPr>
            <w:tcW w:w="2153" w:type="dxa"/>
          </w:tcPr>
          <w:p w:rsidR="00AD2086" w:rsidRPr="00AD2086" w:rsidRDefault="00AD2086" w:rsidP="00AD2086">
            <w:r>
              <w:t>2014–201</w:t>
            </w:r>
            <w:r w:rsidRPr="00AD2086">
              <w:t>6</w:t>
            </w:r>
          </w:p>
        </w:tc>
        <w:tc>
          <w:tcPr>
            <w:tcW w:w="2192" w:type="dxa"/>
          </w:tcPr>
          <w:p w:rsidR="00AD2086" w:rsidRPr="00AD2086" w:rsidRDefault="00AD2086" w:rsidP="00AD2086">
            <w:r w:rsidRPr="00073F41">
              <w:t>BBB+</w:t>
            </w:r>
          </w:p>
        </w:tc>
        <w:tc>
          <w:tcPr>
            <w:tcW w:w="2155" w:type="dxa"/>
          </w:tcPr>
          <w:p w:rsidR="00AD2086" w:rsidRPr="00AD2086" w:rsidRDefault="00AD2086" w:rsidP="00AD2086">
            <w:r>
              <w:t>2008–201</w:t>
            </w:r>
            <w:r w:rsidRPr="00AD2086">
              <w:t>6</w:t>
            </w:r>
          </w:p>
        </w:tc>
        <w:tc>
          <w:tcPr>
            <w:tcW w:w="2193" w:type="dxa"/>
          </w:tcPr>
          <w:p w:rsidR="00AD2086" w:rsidRPr="00AD2086" w:rsidRDefault="00AD2086" w:rsidP="00AD2086">
            <w:r>
              <w:t>BBB</w:t>
            </w:r>
            <w:r w:rsidRPr="00AD2086">
              <w:t>/BBB+</w:t>
            </w:r>
          </w:p>
        </w:tc>
      </w:tr>
      <w:tr w:rsidR="00AD2086" w:rsidRPr="00073F41" w:rsidTr="00EC03D8">
        <w:trPr>
          <w:cnfStyle w:val="000000010000" w:firstRow="0" w:lastRow="0" w:firstColumn="0" w:lastColumn="0" w:oddVBand="0" w:evenVBand="0" w:oddHBand="0" w:evenHBand="1" w:firstRowFirstColumn="0" w:firstRowLastColumn="0" w:lastRowFirstColumn="0" w:lastRowLastColumn="0"/>
        </w:trPr>
        <w:tc>
          <w:tcPr>
            <w:tcW w:w="2153" w:type="dxa"/>
          </w:tcPr>
          <w:p w:rsidR="00AD2086" w:rsidRPr="00AD2086" w:rsidRDefault="00AD2086" w:rsidP="00AD2086">
            <w:r>
              <w:t>2013–201</w:t>
            </w:r>
            <w:r w:rsidRPr="00AD2086">
              <w:t>6</w:t>
            </w:r>
          </w:p>
        </w:tc>
        <w:tc>
          <w:tcPr>
            <w:tcW w:w="2192" w:type="dxa"/>
          </w:tcPr>
          <w:p w:rsidR="00AD2086" w:rsidRPr="00AD2086" w:rsidRDefault="00AD2086" w:rsidP="00AD2086">
            <w:r w:rsidRPr="00073F41">
              <w:t>BBB+</w:t>
            </w:r>
          </w:p>
        </w:tc>
        <w:tc>
          <w:tcPr>
            <w:tcW w:w="2155" w:type="dxa"/>
          </w:tcPr>
          <w:p w:rsidR="00AD2086" w:rsidRPr="00AD2086" w:rsidRDefault="00AD2086" w:rsidP="00AD2086">
            <w:r>
              <w:t>2007–201</w:t>
            </w:r>
            <w:r w:rsidRPr="00AD2086">
              <w:t>6</w:t>
            </w:r>
          </w:p>
        </w:tc>
        <w:tc>
          <w:tcPr>
            <w:tcW w:w="2193" w:type="dxa"/>
          </w:tcPr>
          <w:p w:rsidR="00AD2086" w:rsidRPr="00AD2086" w:rsidRDefault="00AD2086" w:rsidP="00AD2086">
            <w:r>
              <w:t>BBB/</w:t>
            </w:r>
            <w:r w:rsidRPr="00AD2086">
              <w:t>BBB+</w:t>
            </w:r>
          </w:p>
        </w:tc>
      </w:tr>
      <w:tr w:rsidR="00AD2086" w:rsidRPr="00073F41" w:rsidTr="00EC03D8">
        <w:tc>
          <w:tcPr>
            <w:tcW w:w="2153" w:type="dxa"/>
          </w:tcPr>
          <w:p w:rsidR="00AD2086" w:rsidRPr="00AD2086" w:rsidRDefault="00AD2086" w:rsidP="00AD2086">
            <w:r>
              <w:t>2012–201</w:t>
            </w:r>
            <w:r w:rsidRPr="00AD2086">
              <w:t>6</w:t>
            </w:r>
          </w:p>
        </w:tc>
        <w:tc>
          <w:tcPr>
            <w:tcW w:w="2192" w:type="dxa"/>
          </w:tcPr>
          <w:p w:rsidR="00AD2086" w:rsidRPr="00AD2086" w:rsidRDefault="00AD2086" w:rsidP="00AD2086">
            <w:r w:rsidRPr="00073F41">
              <w:t>BBB</w:t>
            </w:r>
            <w:r w:rsidRPr="00AD2086">
              <w:t>/BBB+</w:t>
            </w:r>
          </w:p>
        </w:tc>
        <w:tc>
          <w:tcPr>
            <w:tcW w:w="2155" w:type="dxa"/>
          </w:tcPr>
          <w:p w:rsidR="00AD2086" w:rsidRPr="00AD2086" w:rsidRDefault="00AD2086" w:rsidP="00AD2086">
            <w:r>
              <w:t>2006–201</w:t>
            </w:r>
            <w:r w:rsidRPr="00AD2086">
              <w:t>6</w:t>
            </w:r>
          </w:p>
        </w:tc>
        <w:tc>
          <w:tcPr>
            <w:tcW w:w="2193" w:type="dxa"/>
          </w:tcPr>
          <w:p w:rsidR="00AD2086" w:rsidRPr="00AD2086" w:rsidRDefault="00AD2086" w:rsidP="00AD2086">
            <w:r>
              <w:t>BBB/</w:t>
            </w:r>
            <w:r w:rsidRPr="00AD2086">
              <w:t>BBB+</w:t>
            </w:r>
          </w:p>
        </w:tc>
      </w:tr>
      <w:tr w:rsidR="00AD2086" w:rsidRPr="00073F41" w:rsidTr="00EC03D8">
        <w:trPr>
          <w:cnfStyle w:val="000000010000" w:firstRow="0" w:lastRow="0" w:firstColumn="0" w:lastColumn="0" w:oddVBand="0" w:evenVBand="0" w:oddHBand="0" w:evenHBand="1" w:firstRowFirstColumn="0" w:firstRowLastColumn="0" w:lastRowFirstColumn="0" w:lastRowLastColumn="0"/>
        </w:trPr>
        <w:tc>
          <w:tcPr>
            <w:tcW w:w="2153" w:type="dxa"/>
          </w:tcPr>
          <w:p w:rsidR="00AD2086" w:rsidRPr="00AD2086" w:rsidRDefault="00AD2086" w:rsidP="00AD2086">
            <w:r>
              <w:t>2011–201</w:t>
            </w:r>
            <w:r w:rsidRPr="00AD2086">
              <w:t>6</w:t>
            </w:r>
          </w:p>
        </w:tc>
        <w:tc>
          <w:tcPr>
            <w:tcW w:w="2192" w:type="dxa"/>
          </w:tcPr>
          <w:p w:rsidR="00AD2086" w:rsidRPr="00AD2086" w:rsidRDefault="00AD2086" w:rsidP="00AD2086">
            <w:r>
              <w:t>BBB</w:t>
            </w:r>
            <w:r w:rsidRPr="00AD2086">
              <w:t>/BBB+</w:t>
            </w:r>
          </w:p>
        </w:tc>
        <w:tc>
          <w:tcPr>
            <w:tcW w:w="2155" w:type="dxa"/>
          </w:tcPr>
          <w:p w:rsidR="00AD2086" w:rsidRPr="00E6234D" w:rsidRDefault="00AD2086" w:rsidP="00AD2086"/>
        </w:tc>
        <w:tc>
          <w:tcPr>
            <w:tcW w:w="2193" w:type="dxa"/>
          </w:tcPr>
          <w:p w:rsidR="00AD2086" w:rsidRPr="00E6234D" w:rsidRDefault="00AD2086" w:rsidP="00AD2086"/>
        </w:tc>
      </w:tr>
    </w:tbl>
    <w:bookmarkEnd w:id="394"/>
    <w:p w:rsidR="00AD2086" w:rsidRDefault="00AD2086" w:rsidP="00AD2086">
      <w:pPr>
        <w:pStyle w:val="AERtablesource"/>
      </w:pPr>
      <w:r w:rsidRPr="00E41C8B">
        <w:t xml:space="preserve">Source: </w:t>
      </w:r>
      <w:r w:rsidRPr="00E41C8B">
        <w:tab/>
        <w:t>Bloomberg (S&amp;P), AER analysis.</w:t>
      </w:r>
      <w:r>
        <w:t xml:space="preserve"> </w:t>
      </w:r>
    </w:p>
    <w:bookmarkEnd w:id="393"/>
    <w:bookmarkEnd w:id="395"/>
    <w:p w:rsidR="00AD2086" w:rsidRDefault="00AD2086" w:rsidP="00AD2086">
      <w:r>
        <w:t xml:space="preserve">For further detail, </w:t>
      </w:r>
      <w:r>
        <w:fldChar w:fldCharType="begin"/>
      </w:r>
      <w:r>
        <w:instrText xml:space="preserve"> REF  _Ref452631952 \* Lower \h </w:instrText>
      </w:r>
      <w:r>
        <w:fldChar w:fldCharType="separate"/>
      </w:r>
      <w:r w:rsidR="00C6448C">
        <w:t xml:space="preserve">table </w:t>
      </w:r>
      <w:r w:rsidR="00C6448C">
        <w:rPr>
          <w:noProof/>
        </w:rPr>
        <w:t>3</w:t>
      </w:r>
      <w:r w:rsidR="00C6448C">
        <w:noBreakHyphen/>
      </w:r>
      <w:r w:rsidR="00C6448C">
        <w:rPr>
          <w:noProof/>
        </w:rPr>
        <w:t>40</w:t>
      </w:r>
      <w:r>
        <w:fldChar w:fldCharType="end"/>
      </w:r>
      <w:r>
        <w:t xml:space="preserve"> s</w:t>
      </w:r>
      <w:r w:rsidRPr="00F11F88">
        <w:t xml:space="preserve">ets out the median credit ratings across our comparator set since the 2006 calendar year end. </w:t>
      </w:r>
      <w:bookmarkStart w:id="396" w:name="_Toc417049626"/>
      <w:bookmarkStart w:id="397" w:name="_Toc417991802"/>
      <w:bookmarkStart w:id="398" w:name="_Toc433367516"/>
      <w:bookmarkStart w:id="399" w:name="_Toc433446599"/>
    </w:p>
    <w:p w:rsidR="00AD2086" w:rsidRPr="00411A04" w:rsidRDefault="00AD2086" w:rsidP="00AD2086">
      <w:pPr>
        <w:pStyle w:val="Caption"/>
      </w:pPr>
      <w:bookmarkStart w:id="400" w:name="_Ref452631952"/>
      <w:bookmarkStart w:id="401" w:name="_Ref452638210"/>
      <w:r>
        <w:t xml:space="preserve">Table </w:t>
      </w:r>
      <w:fldSimple w:instr=" STYLEREF 1 \s ">
        <w:r w:rsidR="00C6448C">
          <w:rPr>
            <w:noProof/>
          </w:rPr>
          <w:t>3</w:t>
        </w:r>
      </w:fldSimple>
      <w:r w:rsidR="00882F3D">
        <w:noBreakHyphen/>
      </w:r>
      <w:fldSimple w:instr=" SEQ Table \* ARABIC \s 1 ">
        <w:r w:rsidR="00C6448C">
          <w:rPr>
            <w:noProof/>
          </w:rPr>
          <w:t>40</w:t>
        </w:r>
      </w:fldSimple>
      <w:bookmarkEnd w:id="400"/>
      <w:r>
        <w:t xml:space="preserve"> Credit ratings of network service providers over time</w:t>
      </w:r>
      <w:bookmarkEnd w:id="401"/>
    </w:p>
    <w:tbl>
      <w:tblPr>
        <w:tblStyle w:val="AERtable-text0"/>
        <w:tblW w:w="5000" w:type="pct"/>
        <w:tblLook w:val="04A0" w:firstRow="1" w:lastRow="0" w:firstColumn="1" w:lastColumn="0" w:noHBand="0" w:noVBand="1"/>
      </w:tblPr>
      <w:tblGrid>
        <w:gridCol w:w="1395"/>
        <w:gridCol w:w="681"/>
        <w:gridCol w:w="678"/>
        <w:gridCol w:w="678"/>
        <w:gridCol w:w="678"/>
        <w:gridCol w:w="629"/>
        <w:gridCol w:w="629"/>
        <w:gridCol w:w="629"/>
        <w:gridCol w:w="678"/>
        <w:gridCol w:w="678"/>
        <w:gridCol w:w="671"/>
        <w:gridCol w:w="669"/>
      </w:tblGrid>
      <w:tr w:rsidR="00AD2086" w:rsidRPr="007D3E67" w:rsidTr="00EC03D8">
        <w:trPr>
          <w:cnfStyle w:val="100000000000" w:firstRow="1" w:lastRow="0" w:firstColumn="0" w:lastColumn="0" w:oddVBand="0" w:evenVBand="0" w:oddHBand="0" w:evenHBand="0" w:firstRowFirstColumn="0" w:firstRowLastColumn="0" w:lastRowFirstColumn="0" w:lastRowLastColumn="0"/>
        </w:trPr>
        <w:tc>
          <w:tcPr>
            <w:tcW w:w="802" w:type="pct"/>
          </w:tcPr>
          <w:p w:rsidR="00AD2086" w:rsidRPr="00AD2086" w:rsidRDefault="00AD2086" w:rsidP="00AD2086">
            <w:r w:rsidRPr="007D3E67">
              <w:t>Issuer</w:t>
            </w:r>
          </w:p>
        </w:tc>
        <w:tc>
          <w:tcPr>
            <w:tcW w:w="391" w:type="pct"/>
          </w:tcPr>
          <w:p w:rsidR="00AD2086" w:rsidRPr="00AD2086" w:rsidRDefault="00AD2086" w:rsidP="00AD2086">
            <w:r w:rsidRPr="007D3E67">
              <w:t>2006</w:t>
            </w:r>
          </w:p>
        </w:tc>
        <w:tc>
          <w:tcPr>
            <w:tcW w:w="390" w:type="pct"/>
          </w:tcPr>
          <w:p w:rsidR="00AD2086" w:rsidRPr="00AD2086" w:rsidRDefault="00AD2086" w:rsidP="00AD2086">
            <w:r w:rsidRPr="007D3E67">
              <w:t>2007</w:t>
            </w:r>
          </w:p>
        </w:tc>
        <w:tc>
          <w:tcPr>
            <w:tcW w:w="390" w:type="pct"/>
          </w:tcPr>
          <w:p w:rsidR="00AD2086" w:rsidRPr="00AD2086" w:rsidRDefault="00AD2086" w:rsidP="00AD2086">
            <w:r w:rsidRPr="007D3E67">
              <w:t>2008</w:t>
            </w:r>
          </w:p>
        </w:tc>
        <w:tc>
          <w:tcPr>
            <w:tcW w:w="390" w:type="pct"/>
          </w:tcPr>
          <w:p w:rsidR="00AD2086" w:rsidRPr="00AD2086" w:rsidRDefault="00AD2086" w:rsidP="00AD2086">
            <w:r w:rsidRPr="007D3E67">
              <w:t>2009</w:t>
            </w:r>
          </w:p>
        </w:tc>
        <w:tc>
          <w:tcPr>
            <w:tcW w:w="362" w:type="pct"/>
          </w:tcPr>
          <w:p w:rsidR="00AD2086" w:rsidRPr="00AD2086" w:rsidRDefault="00AD2086" w:rsidP="00AD2086">
            <w:r w:rsidRPr="007D3E67">
              <w:t>2010</w:t>
            </w:r>
          </w:p>
        </w:tc>
        <w:tc>
          <w:tcPr>
            <w:tcW w:w="362" w:type="pct"/>
          </w:tcPr>
          <w:p w:rsidR="00AD2086" w:rsidRPr="00AD2086" w:rsidRDefault="00AD2086" w:rsidP="00AD2086">
            <w:r w:rsidRPr="007D3E67">
              <w:t>2011</w:t>
            </w:r>
          </w:p>
        </w:tc>
        <w:tc>
          <w:tcPr>
            <w:tcW w:w="362" w:type="pct"/>
          </w:tcPr>
          <w:p w:rsidR="00AD2086" w:rsidRPr="00AD2086" w:rsidRDefault="00AD2086" w:rsidP="00AD2086">
            <w:r w:rsidRPr="007D3E67">
              <w:t>2012</w:t>
            </w:r>
          </w:p>
        </w:tc>
        <w:tc>
          <w:tcPr>
            <w:tcW w:w="390" w:type="pct"/>
          </w:tcPr>
          <w:p w:rsidR="00AD2086" w:rsidRPr="00AD2086" w:rsidRDefault="00AD2086" w:rsidP="00AD2086">
            <w:r w:rsidRPr="007D3E67">
              <w:t>2013</w:t>
            </w:r>
          </w:p>
        </w:tc>
        <w:tc>
          <w:tcPr>
            <w:tcW w:w="390" w:type="pct"/>
          </w:tcPr>
          <w:p w:rsidR="00AD2086" w:rsidRPr="00AD2086" w:rsidRDefault="00AD2086" w:rsidP="00AD2086">
            <w:r w:rsidRPr="007D3E67">
              <w:t xml:space="preserve">2014 </w:t>
            </w:r>
          </w:p>
        </w:tc>
        <w:tc>
          <w:tcPr>
            <w:tcW w:w="386" w:type="pct"/>
          </w:tcPr>
          <w:p w:rsidR="00AD2086" w:rsidRPr="00AD2086" w:rsidRDefault="00AD2086" w:rsidP="00AD2086">
            <w:r>
              <w:t>2015</w:t>
            </w:r>
          </w:p>
        </w:tc>
        <w:tc>
          <w:tcPr>
            <w:tcW w:w="386" w:type="pct"/>
          </w:tcPr>
          <w:p w:rsidR="00AD2086" w:rsidRPr="00AD2086" w:rsidRDefault="00AD2086" w:rsidP="00AD2086">
            <w:r>
              <w:t>2016</w:t>
            </w:r>
          </w:p>
        </w:tc>
      </w:tr>
      <w:tr w:rsidR="00AD2086" w:rsidRPr="007D3E67" w:rsidTr="00EC03D8">
        <w:tc>
          <w:tcPr>
            <w:tcW w:w="802" w:type="pct"/>
          </w:tcPr>
          <w:p w:rsidR="00AD2086" w:rsidRPr="00AD2086" w:rsidRDefault="00AD2086" w:rsidP="00AD2086">
            <w:r w:rsidRPr="007D3E67">
              <w:t xml:space="preserve">APT Pipelines Ltd </w:t>
            </w:r>
          </w:p>
        </w:tc>
        <w:tc>
          <w:tcPr>
            <w:tcW w:w="391"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ATCO Gas Australian LP </w:t>
            </w:r>
          </w:p>
        </w:tc>
        <w:tc>
          <w:tcPr>
            <w:tcW w:w="391"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62" w:type="pct"/>
          </w:tcPr>
          <w:p w:rsidR="00AD2086" w:rsidRPr="00AD2086" w:rsidRDefault="00AD2086" w:rsidP="00AD2086">
            <w:r w:rsidRPr="007D3E67">
              <w:t>NR</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86" w:type="pct"/>
          </w:tcPr>
          <w:p w:rsidR="00AD2086" w:rsidRPr="00AD2086" w:rsidRDefault="00AD2086" w:rsidP="00AD2086">
            <w:r>
              <w:t>A-</w:t>
            </w:r>
          </w:p>
        </w:tc>
        <w:tc>
          <w:tcPr>
            <w:tcW w:w="386" w:type="pct"/>
          </w:tcPr>
          <w:p w:rsidR="00AD2086" w:rsidRPr="00AD2086" w:rsidRDefault="00AD2086" w:rsidP="00AD2086">
            <w:r>
              <w:t>A-</w:t>
            </w:r>
          </w:p>
        </w:tc>
      </w:tr>
      <w:tr w:rsidR="00AD2086" w:rsidRPr="007D3E67" w:rsidTr="00EC03D8">
        <w:tc>
          <w:tcPr>
            <w:tcW w:w="802" w:type="pct"/>
          </w:tcPr>
          <w:p w:rsidR="00AD2086" w:rsidRPr="00AD2086" w:rsidRDefault="00AD2086" w:rsidP="00AD2086">
            <w:r w:rsidRPr="007D3E67">
              <w:t>DBNGP Trust</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DUET Group </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86" w:type="pct"/>
          </w:tcPr>
          <w:p w:rsidR="00AD2086" w:rsidRPr="00AD2086" w:rsidRDefault="00AD2086" w:rsidP="00AD2086">
            <w:r>
              <w:t>NR</w:t>
            </w:r>
          </w:p>
        </w:tc>
        <w:tc>
          <w:tcPr>
            <w:tcW w:w="386" w:type="pct"/>
          </w:tcPr>
          <w:p w:rsidR="00AD2086" w:rsidRPr="00AD2086" w:rsidRDefault="00AD2086" w:rsidP="00AD2086">
            <w:r>
              <w:t>NR</w:t>
            </w:r>
          </w:p>
        </w:tc>
      </w:tr>
      <w:tr w:rsidR="00AD2086" w:rsidRPr="007D3E67" w:rsidTr="00EC03D8">
        <w:tc>
          <w:tcPr>
            <w:tcW w:w="802" w:type="pct"/>
          </w:tcPr>
          <w:p w:rsidR="00AD2086" w:rsidRPr="00AD2086" w:rsidRDefault="00AD2086" w:rsidP="00AD2086">
            <w:r w:rsidRPr="007D3E67">
              <w:t>ElectraNet</w:t>
            </w:r>
            <w:r w:rsidRPr="00AD2086">
              <w:t xml:space="preserve"> Pty Ltd </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r w:rsidRPr="00AD2086">
              <w:t>+</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Energy </w:t>
            </w:r>
            <w:r w:rsidRPr="00AD2086">
              <w:t>Partnership (Gas) Pty Ltd</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c>
          <w:tcPr>
            <w:tcW w:w="802" w:type="pct"/>
          </w:tcPr>
          <w:p w:rsidR="00AD2086" w:rsidRPr="00AD2086" w:rsidRDefault="00AD2086" w:rsidP="00AD2086">
            <w:r>
              <w:t xml:space="preserve">Australian Gas </w:t>
            </w:r>
            <w:r w:rsidRPr="00AD2086">
              <w:t xml:space="preserve">Networks Ltd </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ETSA Utilities</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86" w:type="pct"/>
          </w:tcPr>
          <w:p w:rsidR="00AD2086" w:rsidRPr="00AD2086" w:rsidRDefault="00AD2086" w:rsidP="00AD2086">
            <w:r>
              <w:t>A-</w:t>
            </w:r>
          </w:p>
        </w:tc>
        <w:tc>
          <w:tcPr>
            <w:tcW w:w="386" w:type="pct"/>
          </w:tcPr>
          <w:p w:rsidR="00AD2086" w:rsidRPr="00AD2086" w:rsidRDefault="00AD2086" w:rsidP="00AD2086">
            <w:r>
              <w:t>A-</w:t>
            </w:r>
          </w:p>
        </w:tc>
      </w:tr>
      <w:tr w:rsidR="00AD2086" w:rsidRPr="007D3E67" w:rsidTr="00EC03D8">
        <w:tc>
          <w:tcPr>
            <w:tcW w:w="802" w:type="pct"/>
          </w:tcPr>
          <w:p w:rsidR="00AD2086" w:rsidRPr="00AD2086" w:rsidRDefault="00AD2086" w:rsidP="00AD2086">
            <w:r w:rsidRPr="007D3E67">
              <w:t>Powercor</w:t>
            </w:r>
            <w:r w:rsidRPr="00AD2086">
              <w:t xml:space="preserve"> Australia LLC</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rsidRPr="00200BFA">
              <w:t>N</w:t>
            </w:r>
            <w:r w:rsidRPr="00AD2086">
              <w:t>R</w:t>
            </w:r>
          </w:p>
        </w:tc>
        <w:tc>
          <w:tcPr>
            <w:tcW w:w="386" w:type="pct"/>
          </w:tcPr>
          <w:p w:rsidR="00AD2086" w:rsidRPr="00AD2086" w:rsidRDefault="00AD2086" w:rsidP="00AD2086">
            <w:r>
              <w:t>NR</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t>AusNet Services</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86" w:type="pct"/>
          </w:tcPr>
          <w:p w:rsidR="00AD2086" w:rsidRPr="00AD2086" w:rsidRDefault="00AD2086" w:rsidP="00AD2086">
            <w:r>
              <w:t>A-</w:t>
            </w:r>
          </w:p>
        </w:tc>
        <w:tc>
          <w:tcPr>
            <w:tcW w:w="386" w:type="pct"/>
          </w:tcPr>
          <w:p w:rsidR="00AD2086" w:rsidRPr="00AD2086" w:rsidRDefault="00AD2086" w:rsidP="00AD2086">
            <w:r>
              <w:t>A-</w:t>
            </w:r>
          </w:p>
        </w:tc>
      </w:tr>
      <w:tr w:rsidR="00AD2086" w:rsidRPr="007D3E67" w:rsidTr="00EC03D8">
        <w:tc>
          <w:tcPr>
            <w:tcW w:w="802" w:type="pct"/>
          </w:tcPr>
          <w:p w:rsidR="00AD2086" w:rsidRPr="00AD2086" w:rsidRDefault="00AD2086" w:rsidP="00AD2086">
            <w:r>
              <w:t xml:space="preserve">SGSP </w:t>
            </w:r>
            <w:r w:rsidRPr="00AD2086">
              <w:t>Australia Assets Pty Ltd</w:t>
            </w:r>
          </w:p>
        </w:tc>
        <w:tc>
          <w:tcPr>
            <w:tcW w:w="391"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A-</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The CitiPower Trust </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t>BBB+</w:t>
            </w:r>
          </w:p>
        </w:tc>
        <w:tc>
          <w:tcPr>
            <w:tcW w:w="390" w:type="pct"/>
          </w:tcPr>
          <w:p w:rsidR="00AD2086" w:rsidRPr="00AD2086" w:rsidRDefault="00AD2086" w:rsidP="00AD2086">
            <w:r>
              <w:t>BBB+</w:t>
            </w:r>
          </w:p>
        </w:tc>
        <w:tc>
          <w:tcPr>
            <w:tcW w:w="386" w:type="pct"/>
          </w:tcPr>
          <w:p w:rsidR="00AD2086" w:rsidRPr="00AD2086" w:rsidRDefault="00AD2086" w:rsidP="00AD2086">
            <w:r>
              <w:t>NR</w:t>
            </w:r>
          </w:p>
        </w:tc>
        <w:tc>
          <w:tcPr>
            <w:tcW w:w="386" w:type="pct"/>
          </w:tcPr>
          <w:p w:rsidR="00AD2086" w:rsidRPr="00AD2086" w:rsidRDefault="00AD2086" w:rsidP="00AD2086">
            <w:r>
              <w:t>NR</w:t>
            </w:r>
          </w:p>
        </w:tc>
      </w:tr>
      <w:tr w:rsidR="00AD2086" w:rsidRPr="007D3E67" w:rsidTr="00EC03D8">
        <w:tc>
          <w:tcPr>
            <w:tcW w:w="802" w:type="pct"/>
          </w:tcPr>
          <w:p w:rsidR="00AD2086" w:rsidRPr="00AD2086" w:rsidRDefault="00AD2086" w:rsidP="00AD2086">
            <w:r w:rsidRPr="007D3E67">
              <w:t xml:space="preserve">United Energy Distribution </w:t>
            </w:r>
            <w:r w:rsidRPr="00AD2086">
              <w:t>Pty Ltd</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t>Victoria Power Networks Pty Ltd</w:t>
            </w:r>
          </w:p>
        </w:tc>
        <w:tc>
          <w:tcPr>
            <w:tcW w:w="391" w:type="pct"/>
          </w:tcPr>
          <w:p w:rsidR="00AD2086" w:rsidRPr="00AD2086" w:rsidRDefault="00AD2086" w:rsidP="00AD2086">
            <w:r>
              <w:t>NR</w:t>
            </w:r>
          </w:p>
        </w:tc>
        <w:tc>
          <w:tcPr>
            <w:tcW w:w="390" w:type="pct"/>
          </w:tcPr>
          <w:p w:rsidR="00AD2086" w:rsidRPr="00AD2086" w:rsidRDefault="00AD2086" w:rsidP="00AD2086">
            <w:r>
              <w:t>NR</w:t>
            </w:r>
          </w:p>
        </w:tc>
        <w:tc>
          <w:tcPr>
            <w:tcW w:w="390" w:type="pct"/>
          </w:tcPr>
          <w:p w:rsidR="00AD2086" w:rsidRPr="00AD2086" w:rsidRDefault="00AD2086" w:rsidP="00AD2086">
            <w:r>
              <w:t>NR</w:t>
            </w:r>
          </w:p>
        </w:tc>
        <w:tc>
          <w:tcPr>
            <w:tcW w:w="390" w:type="pct"/>
          </w:tcPr>
          <w:p w:rsidR="00AD2086" w:rsidRPr="00AD2086" w:rsidRDefault="00AD2086" w:rsidP="00AD2086">
            <w:r>
              <w:t>NR</w:t>
            </w:r>
          </w:p>
        </w:tc>
        <w:tc>
          <w:tcPr>
            <w:tcW w:w="362" w:type="pct"/>
          </w:tcPr>
          <w:p w:rsidR="00AD2086" w:rsidRPr="00AD2086" w:rsidRDefault="00AD2086" w:rsidP="00AD2086">
            <w:r>
              <w:t>NR</w:t>
            </w:r>
          </w:p>
        </w:tc>
        <w:tc>
          <w:tcPr>
            <w:tcW w:w="362" w:type="pct"/>
          </w:tcPr>
          <w:p w:rsidR="00AD2086" w:rsidRPr="00AD2086" w:rsidRDefault="00AD2086" w:rsidP="00AD2086">
            <w:r>
              <w:t>NR</w:t>
            </w:r>
          </w:p>
        </w:tc>
        <w:tc>
          <w:tcPr>
            <w:tcW w:w="362" w:type="pct"/>
          </w:tcPr>
          <w:p w:rsidR="00AD2086" w:rsidRPr="00AD2086" w:rsidRDefault="00AD2086" w:rsidP="00AD2086">
            <w:r>
              <w:t>NR</w:t>
            </w:r>
          </w:p>
        </w:tc>
        <w:tc>
          <w:tcPr>
            <w:tcW w:w="390" w:type="pct"/>
          </w:tcPr>
          <w:p w:rsidR="00AD2086" w:rsidRPr="00AD2086" w:rsidRDefault="00AD2086" w:rsidP="00AD2086">
            <w:r>
              <w:t>NR</w:t>
            </w:r>
          </w:p>
        </w:tc>
        <w:tc>
          <w:tcPr>
            <w:tcW w:w="390" w:type="pct"/>
          </w:tcPr>
          <w:p w:rsidR="00AD2086" w:rsidRPr="00AD2086" w:rsidRDefault="00AD2086" w:rsidP="00AD2086">
            <w:r>
              <w:t>NR</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c>
          <w:tcPr>
            <w:tcW w:w="802" w:type="pct"/>
          </w:tcPr>
          <w:p w:rsidR="00AD2086" w:rsidRPr="00AD2086" w:rsidRDefault="00AD2086" w:rsidP="00AD2086">
            <w:r w:rsidRPr="007D3E67">
              <w:t>Median (year)</w:t>
            </w:r>
          </w:p>
        </w:tc>
        <w:tc>
          <w:tcPr>
            <w:tcW w:w="391" w:type="pct"/>
          </w:tcPr>
          <w:p w:rsidR="00AD2086" w:rsidRPr="00AD2086" w:rsidRDefault="00AD2086" w:rsidP="00AD2086">
            <w:r>
              <w:t xml:space="preserve">BBB/ </w:t>
            </w:r>
            <w:r w:rsidRPr="00AD2086">
              <w:t>BBB+</w:t>
            </w:r>
          </w:p>
        </w:tc>
        <w:tc>
          <w:tcPr>
            <w:tcW w:w="390" w:type="pct"/>
          </w:tcPr>
          <w:p w:rsidR="00AD2086" w:rsidRPr="00AD2086" w:rsidRDefault="00AD2086" w:rsidP="00AD2086">
            <w:r>
              <w:t xml:space="preserve">BBB/ </w:t>
            </w:r>
            <w:r w:rsidRPr="00AD2086">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t>BBB/ 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bl>
    <w:p w:rsidR="00AD2086" w:rsidRDefault="00AD2086" w:rsidP="00AD2086">
      <w:pPr>
        <w:pStyle w:val="AERtablesource"/>
      </w:pPr>
      <w:r w:rsidRPr="00411A04">
        <w:t>Source:</w:t>
      </w:r>
      <w:r w:rsidRPr="00411A04">
        <w:tab/>
        <w:t>Bloomberg</w:t>
      </w:r>
      <w:r>
        <w:t xml:space="preserve">, </w:t>
      </w:r>
      <w:r w:rsidRPr="00411A04">
        <w:t>Sta</w:t>
      </w:r>
      <w:r>
        <w:t>ndard and Poor's, AER analysis.</w:t>
      </w:r>
    </w:p>
    <w:p w:rsidR="00AD2086" w:rsidRPr="00AD2086" w:rsidRDefault="00AD2086" w:rsidP="00AD2086">
      <w:pPr>
        <w:pStyle w:val="Heading9"/>
      </w:pPr>
      <w:bookmarkStart w:id="402" w:name="_Toc456686778"/>
      <w:r>
        <w:t>Equity buffer and historical credit ratings</w:t>
      </w:r>
      <w:bookmarkEnd w:id="402"/>
    </w:p>
    <w:p w:rsidR="00AD2086" w:rsidRPr="00A933BB" w:rsidRDefault="00AD2086" w:rsidP="00A933BB">
      <w:r>
        <w:t xml:space="preserve">In its initial proposal, AusNet Services submitted that ‘historical credit ratings do not reflect the extremely low equity buffer that would result if the AER's proposed approach to the cost of equity is adopted in current circumstances. .' </w:t>
      </w:r>
      <w:r>
        <w:rPr>
          <w:rStyle w:val="FootnoteReference"/>
        </w:rPr>
        <w:footnoteReference w:id="1437"/>
      </w:r>
      <w:r>
        <w:t xml:space="preserve"> We are not persuaded by this submission, and maintain our reasons as set out in our draft decision.</w:t>
      </w:r>
      <w:r>
        <w:rPr>
          <w:rStyle w:val="FootnoteReference"/>
        </w:rPr>
        <w:footnoteReference w:id="1438"/>
      </w:r>
      <w:r>
        <w:t xml:space="preserve"> </w:t>
      </w:r>
      <w:bookmarkEnd w:id="396"/>
      <w:bookmarkEnd w:id="397"/>
      <w:bookmarkEnd w:id="398"/>
      <w:bookmarkEnd w:id="399"/>
    </w:p>
    <w:p w:rsidR="00A933BB" w:rsidRDefault="00A933BB" w:rsidP="00A933BB">
      <w:pPr>
        <w:pStyle w:val="Heading7"/>
      </w:pPr>
      <w:bookmarkStart w:id="403" w:name="_Toc456686781"/>
      <w:bookmarkStart w:id="404" w:name="_Ref479168996"/>
      <w:bookmarkStart w:id="405" w:name="_Toc481057103"/>
      <w:r>
        <w:t>Annually updating the return on debt</w:t>
      </w:r>
      <w:bookmarkEnd w:id="403"/>
      <w:bookmarkEnd w:id="404"/>
      <w:bookmarkEnd w:id="405"/>
    </w:p>
    <w:p w:rsidR="00A933BB" w:rsidRPr="00FB18DC" w:rsidRDefault="00A933BB" w:rsidP="00CC7A1C">
      <w:pPr>
        <w:pStyle w:val="ListParagraph"/>
        <w:numPr>
          <w:ilvl w:val="0"/>
          <w:numId w:val="24"/>
        </w:numPr>
      </w:pPr>
      <w:r w:rsidRPr="00FB18DC">
        <w:t xml:space="preserve">Our </w:t>
      </w:r>
      <w:r w:rsidR="00A870A6">
        <w:t>final</w:t>
      </w:r>
      <w:r>
        <w:t xml:space="preserve"> </w:t>
      </w:r>
      <w:r w:rsidRPr="00FB18DC">
        <w:t>decision on the return on debt approach is to:</w:t>
      </w:r>
    </w:p>
    <w:p w:rsidR="00A933BB" w:rsidRPr="00FB18DC" w:rsidRDefault="00A933BB" w:rsidP="00A933BB">
      <w:pPr>
        <w:pStyle w:val="AERbulletlistfirststyle"/>
      </w:pPr>
      <w:r w:rsidRPr="00FB18DC">
        <w:t xml:space="preserve">estimate the return on debt using </w:t>
      </w:r>
      <w:r>
        <w:t>the</w:t>
      </w:r>
      <w:r w:rsidRPr="00FB18DC">
        <w:t xml:space="preserve"> on-the-day </w:t>
      </w:r>
      <w:r>
        <w:t>approach</w:t>
      </w:r>
      <w:r w:rsidRPr="00FB18DC">
        <w:t xml:space="preserve"> (that is, based on prevailing market conditions) in the first regulatory year (201</w:t>
      </w:r>
      <w:r>
        <w:t>7</w:t>
      </w:r>
      <w:r w:rsidRPr="00FB18DC">
        <w:t>) of the 201</w:t>
      </w:r>
      <w:r>
        <w:t>7</w:t>
      </w:r>
      <w:r w:rsidRPr="00FB18DC">
        <w:t>–2</w:t>
      </w:r>
      <w:r>
        <w:t>2 regulatory control</w:t>
      </w:r>
      <w:r w:rsidRPr="00FB18DC">
        <w:t xml:space="preserve"> period, and</w:t>
      </w:r>
    </w:p>
    <w:p w:rsidR="00A933BB" w:rsidRPr="00A42A22" w:rsidRDefault="00A933BB" w:rsidP="00A933BB">
      <w:pPr>
        <w:pStyle w:val="AERbulletlistfirststyle"/>
      </w:pPr>
      <w:r w:rsidRPr="00FB18DC">
        <w:t>gradually transition</w:t>
      </w:r>
      <w:r>
        <w:t>ing</w:t>
      </w:r>
      <w:r w:rsidRPr="00FB18DC">
        <w:t xml:space="preserve"> into a trailing average approach (that is, a moving historical average) over 10 years.</w:t>
      </w:r>
      <w:r w:rsidRPr="00A42A22">
        <w:rPr>
          <w:rStyle w:val="FootnoteReference"/>
        </w:rPr>
        <w:footnoteReference w:id="1439"/>
      </w:r>
    </w:p>
    <w:p w:rsidR="00A933BB" w:rsidRPr="00FB18DC" w:rsidRDefault="00A933BB" w:rsidP="00A933BB">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440"/>
      </w:r>
      <w:r w:rsidRPr="00FB18DC">
        <w:t xml:space="preserve"> The</w:t>
      </w:r>
      <w:r>
        <w:t xml:space="preserve"> NER</w:t>
      </w:r>
      <w:r w:rsidRPr="00FB18DC">
        <w:t xml:space="preserve"> require that the resulting change to </w:t>
      </w:r>
      <w:r>
        <w:t>AusNet Services'</w:t>
      </w:r>
      <w:r w:rsidRPr="00FB18DC">
        <w:t xml:space="preserve"> annual building block revenue requirement is to be effected through a formula specified in the </w:t>
      </w:r>
      <w:r>
        <w:t xml:space="preserve">revenue </w:t>
      </w:r>
      <w:r w:rsidRPr="00FB18DC">
        <w:t>determination.</w:t>
      </w:r>
      <w:r w:rsidRPr="00FB18DC">
        <w:rPr>
          <w:rStyle w:val="FootnoteReference"/>
        </w:rPr>
        <w:footnoteReference w:id="1441"/>
      </w:r>
      <w:r w:rsidRPr="00FB18DC">
        <w:t xml:space="preserve"> For the purposes of clause 6.5.2(L)</w:t>
      </w:r>
      <w:r>
        <w:t>,</w:t>
      </w:r>
      <w:r w:rsidRPr="00FB18DC">
        <w:t xml:space="preserve"> our</w:t>
      </w:r>
      <w:r w:rsidR="00A870A6">
        <w:t xml:space="preserve"> final</w:t>
      </w:r>
      <w:r w:rsidRPr="00FB18DC">
        <w:t xml:space="preserve"> decision is that the resulting change to </w:t>
      </w:r>
      <w:r>
        <w:t xml:space="preserve">AusNet Services' </w:t>
      </w:r>
      <w:r w:rsidRPr="00FB18DC">
        <w:t>annual building block revenue requirement is to be effected through:</w:t>
      </w:r>
    </w:p>
    <w:p w:rsidR="00A933BB" w:rsidRPr="00FB18DC" w:rsidRDefault="00A933BB" w:rsidP="00A933BB">
      <w:pPr>
        <w:pStyle w:val="AERbulletlistfirststyle"/>
      </w:pPr>
      <w:r w:rsidRPr="00FB18DC">
        <w:t>the automatic application of the return on debt methodo</w:t>
      </w:r>
      <w:r>
        <w:t>logy specified in this appendix</w:t>
      </w:r>
    </w:p>
    <w:p w:rsidR="00A933BB" w:rsidRPr="00FB18DC" w:rsidRDefault="00A933BB" w:rsidP="00A933BB">
      <w:pPr>
        <w:pStyle w:val="AERbulletlistfirststyle"/>
      </w:pPr>
      <w:r w:rsidRPr="00FB18DC">
        <w:t>using the return on debt averaging periods specified in confidential appendix</w:t>
      </w:r>
      <w:r>
        <w:t xml:space="preserve"> </w:t>
      </w:r>
      <w:r>
        <w:fldChar w:fldCharType="begin"/>
      </w:r>
      <w:r>
        <w:instrText xml:space="preserve"> REF _Ref456703498 \r \h </w:instrText>
      </w:r>
      <w:r>
        <w:fldChar w:fldCharType="separate"/>
      </w:r>
      <w:r w:rsidR="00C6448C">
        <w:t>M</w:t>
      </w:r>
      <w:r>
        <w:fldChar w:fldCharType="end"/>
      </w:r>
      <w:r w:rsidRPr="00FB18DC">
        <w:t>, and</w:t>
      </w:r>
    </w:p>
    <w:p w:rsidR="00A933BB" w:rsidRPr="00A42A22" w:rsidRDefault="00A933BB" w:rsidP="00A933BB">
      <w:pPr>
        <w:pStyle w:val="AERbulletlistfirststyle"/>
      </w:pPr>
      <w:r w:rsidRPr="00FB18DC">
        <w:t xml:space="preserve">implemented using </w:t>
      </w:r>
      <w:r>
        <w:t>AusNet Services'</w:t>
      </w:r>
      <w:r w:rsidRPr="00FB18DC">
        <w:t xml:space="preserve"> final determination post-tax revenue model (PTRM) in accordance with section 3 of the AER's PTRM handbook for </w:t>
      </w:r>
      <w:r>
        <w:t xml:space="preserve">transmission </w:t>
      </w:r>
      <w:r w:rsidRPr="00FB18DC">
        <w:t>network service providers.</w:t>
      </w:r>
      <w:r w:rsidRPr="00A42A22">
        <w:rPr>
          <w:rStyle w:val="FootnoteReference"/>
        </w:rPr>
        <w:footnoteReference w:id="1442"/>
      </w:r>
    </w:p>
    <w:p w:rsidR="00A933BB" w:rsidRPr="00FB18DC" w:rsidRDefault="00A933BB" w:rsidP="00A933BB">
      <w:r w:rsidRPr="00FB18DC">
        <w:t>The return on debt methodology in this appendix specifies our</w:t>
      </w:r>
      <w:r w:rsidR="00A870A6">
        <w:t xml:space="preserve"> final</w:t>
      </w:r>
      <w:r w:rsidRPr="00FB18DC">
        <w:t xml:space="preserve"> decision:</w:t>
      </w:r>
    </w:p>
    <w:p w:rsidR="00A933BB" w:rsidRPr="00FB18DC" w:rsidRDefault="00A933BB" w:rsidP="00A933BB">
      <w:pPr>
        <w:pStyle w:val="AERbulletlistfirststyle"/>
      </w:pPr>
      <w:r w:rsidRPr="00FB18DC">
        <w:t>methodology on the return on debt approach, and</w:t>
      </w:r>
    </w:p>
    <w:p w:rsidR="00A933BB" w:rsidRPr="00FB18DC" w:rsidRDefault="00A933BB" w:rsidP="00A933BB">
      <w:pPr>
        <w:pStyle w:val="AERbulletlistfirststyle"/>
      </w:pPr>
      <w:r w:rsidRPr="00FB18DC">
        <w:t>methodology to implement the return on debt approach</w:t>
      </w:r>
    </w:p>
    <w:p w:rsidR="00A933BB" w:rsidRPr="00A933BB" w:rsidRDefault="00A933BB" w:rsidP="00CC7A1C">
      <w:pPr>
        <w:pStyle w:val="Heading8"/>
        <w:numPr>
          <w:ilvl w:val="1"/>
          <w:numId w:val="35"/>
        </w:numPr>
      </w:pPr>
      <w:bookmarkStart w:id="406" w:name="_Toc433457165"/>
      <w:bookmarkStart w:id="407" w:name="_Toc450916269"/>
      <w:bookmarkStart w:id="408" w:name="_Toc452629165"/>
      <w:bookmarkStart w:id="409" w:name="_Toc456686782"/>
      <w:bookmarkStart w:id="410" w:name="_Toc481057104"/>
      <w:r w:rsidRPr="00FB18DC">
        <w:t>Approach to estimating the return on debt</w:t>
      </w:r>
      <w:bookmarkEnd w:id="406"/>
      <w:bookmarkEnd w:id="407"/>
      <w:bookmarkEnd w:id="408"/>
      <w:bookmarkEnd w:id="409"/>
      <w:bookmarkEnd w:id="410"/>
    </w:p>
    <w:p w:rsidR="00A933BB" w:rsidRPr="00FB18DC" w:rsidRDefault="00A933BB" w:rsidP="00CC7A1C">
      <w:pPr>
        <w:numPr>
          <w:ilvl w:val="0"/>
          <w:numId w:val="24"/>
        </w:numPr>
      </w:pPr>
      <w:r w:rsidRPr="00FB18DC">
        <w:t xml:space="preserve">This section sets out our </w:t>
      </w:r>
      <w:r w:rsidR="00A870A6">
        <w:t>final</w:t>
      </w:r>
      <w:r>
        <w:t xml:space="preserve"> </w:t>
      </w:r>
      <w:r w:rsidRPr="00FB18DC">
        <w:t>decision methodology on the return on debt approach. Below we specify the allowed return on debt formulae for each year of the 10 year transition path. In each formula:</w:t>
      </w:r>
    </w:p>
    <w:p w:rsidR="00A933BB" w:rsidRPr="00FB18DC" w:rsidRDefault="004A6459" w:rsidP="00A933BB">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A933BB" w:rsidRPr="00FB18DC">
        <w:t xml:space="preserve"> corresponds to the estimated return on debt that was entered into in year a and matures in year a+10–which is to be calculated using the return on debt implementation methodology in section </w:t>
      </w:r>
      <w:r w:rsidR="00A933BB">
        <w:fldChar w:fldCharType="begin"/>
      </w:r>
      <w:r w:rsidR="00A933BB">
        <w:instrText xml:space="preserve"> REF _Ref451900961 \r \h </w:instrText>
      </w:r>
      <w:r w:rsidR="00A933BB">
        <w:fldChar w:fldCharType="separate"/>
      </w:r>
      <w:r w:rsidR="00C6448C">
        <w:t>J.2</w:t>
      </w:r>
      <w:r w:rsidR="00A933BB">
        <w:fldChar w:fldCharType="end"/>
      </w:r>
      <w:r w:rsidR="00A933BB" w:rsidRPr="00FB18DC">
        <w:t xml:space="preserve"> and </w:t>
      </w:r>
      <w:r w:rsidR="00A933BB">
        <w:t>AusNet Services'</w:t>
      </w:r>
      <w:r w:rsidR="00A933BB" w:rsidRPr="00FB18DC">
        <w:t xml:space="preserve"> return on debt averaging periods specified in confidential appendix</w:t>
      </w:r>
      <w:r w:rsidR="00A933BB">
        <w:t xml:space="preserve"> </w:t>
      </w:r>
      <w:r w:rsidR="00A933BB">
        <w:fldChar w:fldCharType="begin"/>
      </w:r>
      <w:r w:rsidR="00A933BB">
        <w:instrText xml:space="preserve"> REF _Ref456703498 \r \h </w:instrText>
      </w:r>
      <w:r w:rsidR="00A933BB">
        <w:fldChar w:fldCharType="separate"/>
      </w:r>
      <w:r w:rsidR="00C6448C">
        <w:t>M</w:t>
      </w:r>
      <w:r w:rsidR="00A933BB">
        <w:fldChar w:fldCharType="end"/>
      </w:r>
      <w:r w:rsidR="00A933BB">
        <w:t>.</w:t>
      </w:r>
    </w:p>
    <w:p w:rsidR="00A933BB" w:rsidRPr="00FB18DC" w:rsidRDefault="004A6459" w:rsidP="00A933BB">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A933BB" w:rsidRPr="00FB18DC">
        <w:t xml:space="preserve"> refers to the allowed return on debt for regulatory year b+1.</w:t>
      </w:r>
    </w:p>
    <w:p w:rsidR="00A933BB" w:rsidRPr="00FB18DC" w:rsidRDefault="00A933BB" w:rsidP="00CC7A1C">
      <w:pPr>
        <w:numPr>
          <w:ilvl w:val="0"/>
          <w:numId w:val="24"/>
        </w:numPr>
      </w:pPr>
      <w:r w:rsidRPr="00FB18DC">
        <w:t xml:space="preserve">In the first regulatory year of </w:t>
      </w:r>
      <w:r>
        <w:t xml:space="preserve"> transitioning to the trailing average approach </w:t>
      </w:r>
      <w:r w:rsidRPr="00FB18DC">
        <w:t>(201</w:t>
      </w:r>
      <w:r>
        <w:t>7</w:t>
      </w:r>
      <w:r w:rsidRPr="00FB18DC">
        <w:t>), the allowed rate of return on debt will be based on the estimated prevailing rate of return on debt for that year (similar to the 'on the day' approach):</w:t>
      </w:r>
    </w:p>
    <w:p w:rsidR="00A933BB" w:rsidRPr="00FB18DC" w:rsidRDefault="004A6459" w:rsidP="00CC7A1C">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A933BB" w:rsidRPr="00FB18DC" w:rsidRDefault="00A933BB" w:rsidP="00CC7A1C">
      <w:pPr>
        <w:numPr>
          <w:ilvl w:val="0"/>
          <w:numId w:val="24"/>
        </w:numPr>
      </w:pPr>
      <w:r w:rsidRPr="00FB18DC">
        <w:t>In the second regulatory year, the allowed rate of return on debt will be the weighted average of the prevailing rates in the first and second regulatory years of the transitional period:</w:t>
      </w:r>
    </w:p>
    <w:p w:rsidR="00A933BB" w:rsidRPr="00FB18DC" w:rsidRDefault="004A6459" w:rsidP="00CC7A1C">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A933BB" w:rsidRPr="00FB18DC" w:rsidRDefault="00A933BB" w:rsidP="00CC7A1C">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A933BB" w:rsidRPr="00FB18DC" w:rsidRDefault="004A6459" w:rsidP="00CC7A1C">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A933BB" w:rsidRPr="00FB18DC" w:rsidRDefault="00A933BB" w:rsidP="00CC7A1C">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A933BB" w:rsidRPr="00FB18DC" w:rsidRDefault="004A6459" w:rsidP="00CC7A1C">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A933BB" w:rsidRPr="00FB18DC" w:rsidRDefault="00A933BB" w:rsidP="00CC7A1C">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A933BB" w:rsidRPr="00FB18DC" w:rsidRDefault="004A6459" w:rsidP="00CC7A1C">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m:t>
                </m:r>
                <m:r>
                  <w:rPr>
                    <w:rFonts w:ascii="Cambria Math" w:hAnsi="Cambria Math"/>
                  </w:rPr>
                  <m:t>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A933BB" w:rsidRPr="00FB18DC" w:rsidRDefault="00A933BB" w:rsidP="00CC7A1C">
      <w:pPr>
        <w:numPr>
          <w:ilvl w:val="0"/>
          <w:numId w:val="24"/>
        </w:numPr>
      </w:pPr>
      <w:r w:rsidRPr="00FB18DC">
        <w:t>The calculation for all subsequent regulatory years until the transitional period is completed is set out below:</w:t>
      </w:r>
    </w:p>
    <w:p w:rsidR="00A933BB" w:rsidRPr="00FB18DC" w:rsidRDefault="004A6459" w:rsidP="00CC7A1C">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A933BB" w:rsidRPr="00FB18DC" w:rsidRDefault="004A6459" w:rsidP="00CC7A1C">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A933BB" w:rsidRPr="00FB18DC" w:rsidRDefault="004A6459" w:rsidP="00CC7A1C">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A933BB" w:rsidRPr="00FB18DC" w:rsidRDefault="004A6459" w:rsidP="00CC7A1C">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A933BB" w:rsidRPr="00FB18DC" w:rsidRDefault="004A6459" w:rsidP="00CC7A1C">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A933BB" w:rsidRPr="00FB18DC" w:rsidRDefault="00A933BB" w:rsidP="00A933BB">
      <w:pPr>
        <w:pStyle w:val="Heading8"/>
      </w:pPr>
      <w:bookmarkStart w:id="411" w:name="_Toc433457166"/>
      <w:bookmarkStart w:id="412" w:name="_Toc450916270"/>
      <w:bookmarkStart w:id="413" w:name="_Ref451900961"/>
      <w:bookmarkStart w:id="414" w:name="_Toc452629166"/>
      <w:bookmarkStart w:id="415" w:name="_Toc456686783"/>
      <w:bookmarkStart w:id="416" w:name="_Toc481057105"/>
      <w:r w:rsidRPr="00FB18DC">
        <w:t>Implementing the return on debt approach</w:t>
      </w:r>
      <w:bookmarkEnd w:id="411"/>
      <w:bookmarkEnd w:id="412"/>
      <w:bookmarkEnd w:id="413"/>
      <w:bookmarkEnd w:id="414"/>
      <w:bookmarkEnd w:id="415"/>
      <w:bookmarkEnd w:id="416"/>
    </w:p>
    <w:p w:rsidR="00A933BB" w:rsidRPr="00FB18DC" w:rsidRDefault="00A870A6" w:rsidP="00CC7A1C">
      <w:pPr>
        <w:numPr>
          <w:ilvl w:val="0"/>
          <w:numId w:val="24"/>
        </w:numPr>
      </w:pPr>
      <w:r>
        <w:t>This section sets out our final</w:t>
      </w:r>
      <w:r w:rsidR="00A933BB" w:rsidRPr="00FB18DC">
        <w:t xml:space="preserve"> decision methodology to implement the return on debt approach. This section specifies:</w:t>
      </w:r>
    </w:p>
    <w:p w:rsidR="00A933BB" w:rsidRPr="00FB18DC" w:rsidRDefault="00A933BB" w:rsidP="00A933BB">
      <w:pPr>
        <w:pStyle w:val="AERbulletlistfirststyle"/>
      </w:pPr>
      <w:r w:rsidRPr="00FB18DC">
        <w:t>our choice of data series</w:t>
      </w:r>
    </w:p>
    <w:p w:rsidR="00A933BB" w:rsidRPr="00A42A22" w:rsidRDefault="00A933BB" w:rsidP="00A933BB">
      <w:pPr>
        <w:pStyle w:val="AERbulletlistfirststyle"/>
      </w:pPr>
      <w:r w:rsidRPr="00FB18DC">
        <w:t>extrapolation and interpo</w:t>
      </w:r>
      <w:r w:rsidRPr="00A42A22">
        <w:t>lation issues with adjusting our choice of data series</w:t>
      </w:r>
    </w:p>
    <w:p w:rsidR="00A933BB" w:rsidRPr="00FB18DC" w:rsidRDefault="00A933BB" w:rsidP="00A933BB">
      <w:pPr>
        <w:pStyle w:val="AERbulletlistfirststyle"/>
      </w:pPr>
      <w:r w:rsidRPr="00FB18DC">
        <w:t>step-by-step calculation to calculating the final RBA and BVAL estimate</w:t>
      </w:r>
    </w:p>
    <w:p w:rsidR="00A933BB" w:rsidRPr="00FB18DC" w:rsidRDefault="00A933BB" w:rsidP="00A933BB">
      <w:pPr>
        <w:pStyle w:val="AERbulletlistfirststyle"/>
      </w:pPr>
      <w:r w:rsidRPr="00FB18DC">
        <w:t>contingencies associated with implementing our choice of data series, if the data series we have chosen to estimate the return on debt are unavailable or change in future regulatory years</w:t>
      </w:r>
    </w:p>
    <w:p w:rsidR="00A933BB" w:rsidRPr="00FB18DC" w:rsidRDefault="00A933BB" w:rsidP="00A933BB">
      <w:pPr>
        <w:pStyle w:val="Heading9"/>
      </w:pPr>
      <w:bookmarkStart w:id="417" w:name="_Toc433457167"/>
      <w:bookmarkStart w:id="418" w:name="_Toc450916271"/>
      <w:bookmarkStart w:id="419" w:name="_Toc452629167"/>
      <w:bookmarkStart w:id="420" w:name="_Toc456686784"/>
      <w:r w:rsidRPr="00FB18DC">
        <w:t>Choice of data series</w:t>
      </w:r>
      <w:bookmarkEnd w:id="417"/>
      <w:bookmarkEnd w:id="418"/>
      <w:bookmarkEnd w:id="419"/>
      <w:bookmarkEnd w:id="420"/>
    </w:p>
    <w:p w:rsidR="00A933BB" w:rsidRPr="00FB18DC" w:rsidRDefault="00A933BB" w:rsidP="00A933BB">
      <w:r w:rsidRPr="00FB18DC">
        <w:t xml:space="preserve">Our </w:t>
      </w:r>
      <w:r w:rsidR="00A870A6">
        <w:t>final</w:t>
      </w:r>
      <w:r>
        <w:t xml:space="preserve"> </w:t>
      </w:r>
      <w:r w:rsidRPr="00FB18DC">
        <w:t xml:space="preserve">decision on the choice of data series is to adopt a simple average of the debt data series published by the </w:t>
      </w:r>
      <w:r>
        <w:t>RBA</w:t>
      </w:r>
      <w:r w:rsidRPr="00FB18DC">
        <w:t xml:space="preserve"> and Bloomberg that match, as close as available, our benchmarks of a BBB+ credit rating and a 10 year debt term. Specifically</w:t>
      </w:r>
      <w:r>
        <w:t>, we</w:t>
      </w:r>
      <w:r w:rsidRPr="00FB18DC">
        <w:t xml:space="preserve"> adopt a simple average of:</w:t>
      </w:r>
    </w:p>
    <w:p w:rsidR="00A933BB" w:rsidRPr="00FB18DC" w:rsidRDefault="00A933BB" w:rsidP="00A933BB">
      <w:pPr>
        <w:pStyle w:val="AERbulletlistfirststyle"/>
      </w:pPr>
      <w:r w:rsidRPr="00FB18DC">
        <w:t>The RBA broad-BBB rated 10 year curve, extrapolated to an effective term of 10 years (the RBA curve)</w:t>
      </w:r>
    </w:p>
    <w:p w:rsidR="00A933BB" w:rsidRPr="00FB18DC" w:rsidRDefault="00A933BB" w:rsidP="00A933BB">
      <w:pPr>
        <w:pStyle w:val="AERbulletlistfirststyle"/>
      </w:pPr>
      <w:r w:rsidRPr="00FB18DC">
        <w:t xml:space="preserve">The Bloomberg Valuation Service (BVAL) broad-BBB rated curve (the BVAL curve). Depending on the maximum term published at the time, this will be either the BVAL: </w:t>
      </w:r>
    </w:p>
    <w:p w:rsidR="00A933BB" w:rsidRPr="00FB18DC" w:rsidRDefault="00A933BB" w:rsidP="00A933BB">
      <w:pPr>
        <w:pStyle w:val="AERbulletlistsecondstyle"/>
      </w:pPr>
      <w:r w:rsidRPr="00FB18DC">
        <w:t>10 year estimate</w:t>
      </w:r>
      <w:r w:rsidRPr="00FB18DC">
        <w:rPr>
          <w:rStyle w:val="FootnoteReference"/>
        </w:rPr>
        <w:footnoteReference w:id="1443"/>
      </w:r>
      <w:r w:rsidRPr="00FB18DC">
        <w:t xml:space="preserve"> where it is available</w:t>
      </w:r>
    </w:p>
    <w:p w:rsidR="00A933BB" w:rsidRPr="00FB18DC" w:rsidRDefault="00A933BB" w:rsidP="00A933BB">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A933BB" w:rsidRDefault="00A933BB" w:rsidP="00A933BB">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A933BB" w:rsidRPr="00FB18DC" w:rsidRDefault="00A933BB" w:rsidP="00A933BB">
      <w:r w:rsidRPr="00D63D95">
        <w:t xml:space="preserve">We do not estimate the allowed return on debt in this </w:t>
      </w:r>
      <w:r w:rsidR="00A64A73">
        <w:t>final</w:t>
      </w:r>
      <w:r>
        <w:t xml:space="preserve"> </w:t>
      </w:r>
      <w:r w:rsidRPr="00D63D95">
        <w:t xml:space="preserve">decision by reference to the 10 year yield curve published by Thomson Reuters (the Reuters curve). Nonetheless, we do not rule out including the Reuters curve in future determinations following a proper period of consultation. See appendix </w:t>
      </w:r>
      <w:r w:rsidR="00EC7203">
        <w:t>I</w:t>
      </w:r>
      <w:r w:rsidRPr="00D63D95">
        <w:t xml:space="preserve"> for our reasoning and further details.</w:t>
      </w:r>
    </w:p>
    <w:p w:rsidR="00A933BB" w:rsidRPr="00FB18DC" w:rsidRDefault="00A933BB" w:rsidP="00A933BB">
      <w:pPr>
        <w:pStyle w:val="Heading9"/>
      </w:pPr>
      <w:bookmarkStart w:id="421" w:name="_Toc433457168"/>
      <w:bookmarkStart w:id="422" w:name="_Toc450916272"/>
      <w:bookmarkStart w:id="423" w:name="_Toc452629168"/>
      <w:bookmarkStart w:id="424" w:name="_Toc456686785"/>
      <w:r w:rsidRPr="00FB18DC">
        <w:t>Choice of data series—Extrapolation and interpolation issues</w:t>
      </w:r>
      <w:bookmarkEnd w:id="421"/>
      <w:bookmarkEnd w:id="422"/>
      <w:bookmarkEnd w:id="423"/>
      <w:bookmarkEnd w:id="424"/>
    </w:p>
    <w:p w:rsidR="00A933BB" w:rsidRPr="00FB18DC" w:rsidRDefault="00A933BB" w:rsidP="00A933BB">
      <w:r w:rsidRPr="00FB18DC">
        <w:t>Our</w:t>
      </w:r>
      <w:r w:rsidR="00A870A6">
        <w:t xml:space="preserve"> final</w:t>
      </w:r>
      <w:r w:rsidRPr="00FB18DC">
        <w:t xml:space="preserve"> decision on extrapolation and interpolation issues is:</w:t>
      </w:r>
    </w:p>
    <w:p w:rsidR="00A933BB" w:rsidRPr="00FB18DC" w:rsidRDefault="00A933BB" w:rsidP="00A933BB">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A933BB" w:rsidRPr="00FB18DC" w:rsidRDefault="00A933BB" w:rsidP="00A933BB">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A933BB" w:rsidRPr="00FB18DC" w:rsidRDefault="00A933BB" w:rsidP="00A933BB">
      <w:r w:rsidRPr="00FB18DC">
        <w:t>Specifically, we will make the following adjustments as set out in</w:t>
      </w:r>
      <w:r>
        <w:t xml:space="preserve"> </w:t>
      </w:r>
      <w:r>
        <w:fldChar w:fldCharType="begin"/>
      </w:r>
      <w:r>
        <w:instrText xml:space="preserve"> REF  _Ref450563956 \* Lower \h </w:instrText>
      </w:r>
      <w:r>
        <w:fldChar w:fldCharType="separate"/>
      </w:r>
      <w:r w:rsidR="00C6448C" w:rsidRPr="00FB18DC">
        <w:t xml:space="preserve">table </w:t>
      </w:r>
      <w:r w:rsidR="00C6448C">
        <w:rPr>
          <w:noProof/>
        </w:rPr>
        <w:t>3</w:t>
      </w:r>
      <w:r w:rsidR="00C6448C">
        <w:noBreakHyphen/>
      </w:r>
      <w:r w:rsidR="00C6448C">
        <w:rPr>
          <w:noProof/>
        </w:rPr>
        <w:t>41</w:t>
      </w:r>
      <w:r>
        <w:fldChar w:fldCharType="end"/>
      </w:r>
      <w:r>
        <w:t xml:space="preserve"> and </w:t>
      </w:r>
      <w:r>
        <w:fldChar w:fldCharType="begin"/>
      </w:r>
      <w:r>
        <w:instrText xml:space="preserve"> REF  _Ref450563958 \* Lower \h </w:instrText>
      </w:r>
      <w:r>
        <w:fldChar w:fldCharType="separate"/>
      </w:r>
      <w:r w:rsidR="00C6448C" w:rsidRPr="00FB18DC">
        <w:t xml:space="preserve">table </w:t>
      </w:r>
      <w:r w:rsidR="00C6448C">
        <w:rPr>
          <w:noProof/>
        </w:rPr>
        <w:t>3</w:t>
      </w:r>
      <w:r w:rsidR="00C6448C">
        <w:noBreakHyphen/>
      </w:r>
      <w:r w:rsidR="00C6448C">
        <w:rPr>
          <w:noProof/>
        </w:rPr>
        <w:t>42</w:t>
      </w:r>
      <w:r>
        <w:fldChar w:fldCharType="end"/>
      </w:r>
      <w:r w:rsidRPr="00FB18DC">
        <w:t>.</w:t>
      </w:r>
    </w:p>
    <w:p w:rsidR="00A933BB" w:rsidRPr="00FB18DC" w:rsidRDefault="00A933BB" w:rsidP="00A933BB">
      <w:pPr>
        <w:pStyle w:val="Caption"/>
      </w:pPr>
      <w:bookmarkStart w:id="425" w:name="_Ref450563956"/>
      <w:r w:rsidRPr="00FB18DC">
        <w:t xml:space="preserve">Table </w:t>
      </w:r>
      <w:fldSimple w:instr=" STYLEREF 1 \s ">
        <w:r w:rsidR="00C6448C">
          <w:rPr>
            <w:noProof/>
          </w:rPr>
          <w:t>3</w:t>
        </w:r>
      </w:fldSimple>
      <w:r w:rsidR="00882F3D">
        <w:noBreakHyphen/>
      </w:r>
      <w:fldSimple w:instr=" SEQ Table \* ARABIC \s 1 ">
        <w:r w:rsidR="00C6448C">
          <w:rPr>
            <w:noProof/>
          </w:rPr>
          <w:t>41</w:t>
        </w:r>
      </w:fldSimple>
      <w:bookmarkEnd w:id="425"/>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1763" w:type="dxa"/>
          </w:tcPr>
          <w:p w:rsidR="00A933BB" w:rsidRPr="00A933BB" w:rsidRDefault="00A933BB" w:rsidP="00A933BB">
            <w:r w:rsidRPr="00FB18DC">
              <w:t xml:space="preserve">Adjustment </w:t>
            </w:r>
            <w:r w:rsidRPr="00A933BB">
              <w:t>type</w:t>
            </w:r>
          </w:p>
        </w:tc>
        <w:tc>
          <w:tcPr>
            <w:tcW w:w="1262" w:type="dxa"/>
          </w:tcPr>
          <w:p w:rsidR="00A933BB" w:rsidRPr="00A933BB" w:rsidRDefault="00A933BB" w:rsidP="00A933BB">
            <w:r w:rsidRPr="00FB18DC">
              <w:t>Amendment made?</w:t>
            </w:r>
          </w:p>
        </w:tc>
        <w:tc>
          <w:tcPr>
            <w:tcW w:w="5668" w:type="dxa"/>
          </w:tcPr>
          <w:p w:rsidR="00A933BB" w:rsidRPr="00A933BB" w:rsidRDefault="00A933BB" w:rsidP="00A933BB">
            <w:r w:rsidRPr="00FB18DC">
              <w:t>Comments</w:t>
            </w:r>
          </w:p>
        </w:tc>
      </w:tr>
      <w:tr w:rsidR="00A933BB" w:rsidRPr="00BB7AB1" w:rsidTr="00EA632F">
        <w:tc>
          <w:tcPr>
            <w:tcW w:w="1763" w:type="dxa"/>
          </w:tcPr>
          <w:p w:rsidR="00A933BB" w:rsidRPr="00A933BB" w:rsidRDefault="00A933BB" w:rsidP="00A933BB">
            <w:r w:rsidRPr="00FB18DC">
              <w:t xml:space="preserve">Interpolation </w:t>
            </w:r>
            <w:r w:rsidRPr="00A933BB">
              <w:t>to construct daily estimates</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RBA curve only provides an estimate for one business day at the end of each month. In our experience, averaging periods commonly start and/or end on dates during the month.  </w:t>
            </w:r>
          </w:p>
          <w:p w:rsidR="00A933BB" w:rsidRPr="00A933BB" w:rsidRDefault="00A933BB" w:rsidP="00A933BB">
            <w:r w:rsidRPr="00FB18DC">
              <w:t>We will address this issue by linearly interpolating between month end values where possible. While we are satisfied that interpolation over business days is also reasonable, we will interpolate over all days because:</w:t>
            </w:r>
          </w:p>
          <w:p w:rsidR="00A933BB" w:rsidRPr="00A933BB" w:rsidRDefault="00A933BB" w:rsidP="00A933BB">
            <w:pPr>
              <w:pStyle w:val="AERbulletlistfirststyle"/>
            </w:pPr>
            <w:r w:rsidRPr="00FB18DC">
              <w:t>this is consistent with our widely accepted approach to interpolate estimates of the risk free rate using CGS</w:t>
            </w:r>
          </w:p>
          <w:p w:rsidR="00A933BB" w:rsidRPr="00A933BB" w:rsidRDefault="00A933BB" w:rsidP="00A933BB">
            <w:pPr>
              <w:pStyle w:val="AERbulletlistfirststyle"/>
            </w:pPr>
            <w:r w:rsidRPr="00FB18DC">
              <w:t>interpolating over all days is simpler to implement</w:t>
            </w:r>
          </w:p>
          <w:p w:rsidR="00A933BB" w:rsidRPr="00A933BB" w:rsidRDefault="00A933BB" w:rsidP="00A933BB">
            <w:pPr>
              <w:pStyle w:val="AERbulletlistfirststyle"/>
            </w:pPr>
            <w:r w:rsidRPr="00FB18DC">
              <w:t>it is impractical to interpolate over business days for estimating the risk free rate, as this would require calculations relative to specific trading days 10 years in advance</w:t>
            </w:r>
          </w:p>
          <w:p w:rsidR="00A933BB" w:rsidRPr="00A933BB" w:rsidRDefault="00A933BB" w:rsidP="00A933BB">
            <w:pPr>
              <w:pStyle w:val="AERbulletlistfirststyle"/>
            </w:pPr>
            <w:r w:rsidRPr="00FB18DC">
              <w:t>the difference to the estimates between interpolating over business days or interpolating over all days is immaterial.</w:t>
            </w:r>
            <w:r w:rsidRPr="00A933BB">
              <w:rPr>
                <w:rStyle w:val="AERsuperscript"/>
              </w:rPr>
              <w:footnoteReference w:id="1444"/>
            </w:r>
          </w:p>
          <w:p w:rsidR="00A933BB" w:rsidRPr="00A933BB" w:rsidRDefault="00A933BB" w:rsidP="00A933BB">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00A64A73">
              <w:t>final</w:t>
            </w:r>
            <w:r w:rsidRPr="00A933BB">
              <w:t xml:space="preserve"> decision on the annual debt update process is set out in this appendix. </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1763" w:type="dxa"/>
          </w:tcPr>
          <w:p w:rsidR="00A933BB" w:rsidRPr="00A933BB" w:rsidRDefault="00A933BB" w:rsidP="00A933BB">
            <w:r w:rsidRPr="00FB18DC">
              <w:t>Extrapolation to target term</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'effective term' of the RBA bond sample is commonly less than 10 years. For this reason, Lally </w:t>
            </w:r>
            <w:r w:rsidRPr="00A933BB">
              <w:t>recommended that the spread component of the yield should be extrapolated from its effective term at publication to the benchmark term (10 years).</w:t>
            </w:r>
            <w:r w:rsidRPr="00A933BB">
              <w:rPr>
                <w:rStyle w:val="AERsuperscript"/>
              </w:rPr>
              <w:footnoteReference w:id="1445"/>
            </w:r>
            <w:r w:rsidRPr="00A933BB">
              <w:rPr>
                <w:rStyle w:val="AERsuperscript"/>
              </w:rPr>
              <w:t xml:space="preserve"> </w:t>
            </w:r>
          </w:p>
          <w:p w:rsidR="00A933BB" w:rsidRPr="00A933BB" w:rsidRDefault="00A933BB" w:rsidP="00A933BB">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A933BB">
              <w:rPr>
                <w:rStyle w:val="AERsuperscript"/>
              </w:rPr>
              <w:footnoteReference w:id="1446"/>
            </w:r>
            <w:r w:rsidRPr="00A933BB">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A933BB" w:rsidRPr="00BB7AB1" w:rsidTr="00EA632F">
        <w:tc>
          <w:tcPr>
            <w:tcW w:w="1763" w:type="dxa"/>
          </w:tcPr>
          <w:p w:rsidR="00A933BB" w:rsidRPr="00A933BB" w:rsidRDefault="00A933BB" w:rsidP="00A933BB">
            <w:r w:rsidRPr="00FB18DC">
              <w:t>Conversion to effective annual rate</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A933BB">
              <w:rPr>
                <w:rStyle w:val="AERsuperscript"/>
              </w:rPr>
              <w:footnoteReference w:id="1447"/>
            </w:r>
            <w:r w:rsidRPr="00A933BB">
              <w:t xml:space="preserve"> Therefore, this would require conversion into an effective annual rate, using the same approach as is applied to the BVAL yield estimate. </w:t>
            </w:r>
          </w:p>
        </w:tc>
      </w:tr>
    </w:tbl>
    <w:p w:rsidR="00A933BB" w:rsidRPr="00FB18DC" w:rsidRDefault="00A933BB" w:rsidP="00A933BB">
      <w:pPr>
        <w:pStyle w:val="AERtablesource"/>
      </w:pPr>
      <w:r w:rsidRPr="00FB18DC">
        <w:t xml:space="preserve">Source: </w:t>
      </w:r>
      <w:r>
        <w:tab/>
      </w:r>
      <w:r w:rsidRPr="00FB18DC">
        <w:t>AER analysis</w:t>
      </w:r>
      <w:r>
        <w:t>.</w:t>
      </w:r>
    </w:p>
    <w:p w:rsidR="00A933BB" w:rsidRPr="00FB18DC" w:rsidRDefault="00A933BB" w:rsidP="00A933BB">
      <w:pPr>
        <w:pStyle w:val="Caption"/>
      </w:pPr>
      <w:bookmarkStart w:id="426" w:name="_Ref450563958"/>
      <w:r w:rsidRPr="00FB18DC">
        <w:t xml:space="preserve">Table </w:t>
      </w:r>
      <w:fldSimple w:instr=" STYLEREF 1 \s ">
        <w:r w:rsidR="00C6448C">
          <w:rPr>
            <w:noProof/>
          </w:rPr>
          <w:t>3</w:t>
        </w:r>
      </w:fldSimple>
      <w:r w:rsidR="00882F3D">
        <w:noBreakHyphen/>
      </w:r>
      <w:fldSimple w:instr=" SEQ Table \* ARABIC \s 1 ">
        <w:r w:rsidR="00C6448C">
          <w:rPr>
            <w:noProof/>
          </w:rPr>
          <w:t>42</w:t>
        </w:r>
      </w:fldSimple>
      <w:bookmarkEnd w:id="426"/>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3080" w:type="dxa"/>
          </w:tcPr>
          <w:p w:rsidR="00A933BB" w:rsidRPr="00A933BB" w:rsidRDefault="00A933BB" w:rsidP="00A933BB">
            <w:r w:rsidRPr="00FB18DC">
              <w:t xml:space="preserve">Adjustment </w:t>
            </w:r>
            <w:r w:rsidRPr="00A933BB">
              <w:t>type</w:t>
            </w:r>
          </w:p>
        </w:tc>
        <w:tc>
          <w:tcPr>
            <w:tcW w:w="1446" w:type="dxa"/>
          </w:tcPr>
          <w:p w:rsidR="00A933BB" w:rsidRPr="00A933BB" w:rsidRDefault="00A933BB" w:rsidP="00A933BB">
            <w:r w:rsidRPr="00FB18DC">
              <w:t>Amendment made?</w:t>
            </w:r>
          </w:p>
        </w:tc>
        <w:tc>
          <w:tcPr>
            <w:tcW w:w="4716" w:type="dxa"/>
          </w:tcPr>
          <w:p w:rsidR="00A933BB" w:rsidRPr="00FB18DC" w:rsidRDefault="00A933BB" w:rsidP="00CC7A1C">
            <w:pPr>
              <w:numPr>
                <w:ilvl w:val="0"/>
                <w:numId w:val="24"/>
              </w:numPr>
            </w:pPr>
            <w:r w:rsidRPr="00FB18DC">
              <w:t>Comments</w:t>
            </w:r>
          </w:p>
        </w:tc>
      </w:tr>
      <w:tr w:rsidR="00A933BB" w:rsidRPr="00BB7AB1" w:rsidTr="00EA632F">
        <w:tc>
          <w:tcPr>
            <w:tcW w:w="3080" w:type="dxa"/>
          </w:tcPr>
          <w:p w:rsidR="00A933BB" w:rsidRPr="00A933BB" w:rsidRDefault="00A933BB" w:rsidP="00A933BB">
            <w:r w:rsidRPr="00FB18DC">
              <w:t>Interpolation to construct daily estimates</w:t>
            </w:r>
          </w:p>
        </w:tc>
        <w:tc>
          <w:tcPr>
            <w:tcW w:w="1446" w:type="dxa"/>
          </w:tcPr>
          <w:p w:rsidR="00A933BB" w:rsidRPr="00A933BB" w:rsidRDefault="00A933BB" w:rsidP="00A933BB">
            <w:r w:rsidRPr="00FB18DC">
              <w:t>No</w:t>
            </w:r>
          </w:p>
        </w:tc>
        <w:tc>
          <w:tcPr>
            <w:tcW w:w="4716" w:type="dxa"/>
          </w:tcPr>
          <w:p w:rsidR="00A933BB" w:rsidRPr="00FB18DC" w:rsidRDefault="00A933BB" w:rsidP="00CC7A1C">
            <w:pPr>
              <w:numPr>
                <w:ilvl w:val="0"/>
                <w:numId w:val="24"/>
              </w:numPr>
            </w:pPr>
            <w:r w:rsidRPr="00FB18DC">
              <w:t>Bloomberg publishes daily estimates.</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3080" w:type="dxa"/>
          </w:tcPr>
          <w:p w:rsidR="00A933BB" w:rsidRPr="00A933BB" w:rsidRDefault="00A933BB" w:rsidP="00A933BB">
            <w:r w:rsidRPr="00FB18DC">
              <w:t>Extrapolation to target term</w:t>
            </w:r>
          </w:p>
        </w:tc>
        <w:tc>
          <w:tcPr>
            <w:tcW w:w="1446" w:type="dxa"/>
          </w:tcPr>
          <w:p w:rsidR="00A933BB" w:rsidRPr="00A933BB" w:rsidRDefault="00A933BB" w:rsidP="00A933BB">
            <w:r w:rsidRPr="00FB18DC">
              <w:t>Depends on maximum term published by Bloomberg</w:t>
            </w:r>
          </w:p>
        </w:tc>
        <w:tc>
          <w:tcPr>
            <w:tcW w:w="4716" w:type="dxa"/>
          </w:tcPr>
          <w:p w:rsidR="00A933BB" w:rsidRPr="00FB18DC" w:rsidRDefault="00A933BB"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448"/>
            </w:r>
            <w:r w:rsidRPr="00FB18DC">
              <w:t xml:space="preserve"> In April 2015, Bloomberg revised its methodology for the BVAL curve (BVCSAB10) and it now publishes a 10 year estimate.</w:t>
            </w:r>
            <w:r w:rsidRPr="00FB18DC">
              <w:rPr>
                <w:rStyle w:val="FootnoteReference"/>
              </w:rPr>
              <w:footnoteReference w:id="1449"/>
            </w:r>
            <w:r w:rsidRPr="00FB18DC">
              <w:t xml:space="preserve"> </w:t>
            </w:r>
          </w:p>
          <w:p w:rsidR="00A933BB" w:rsidRPr="00FB18DC" w:rsidRDefault="00A933BB"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A933BB" w:rsidRPr="00FB18DC" w:rsidRDefault="00A933BB" w:rsidP="00CC7A1C">
            <w:pPr>
              <w:numPr>
                <w:ilvl w:val="0"/>
                <w:numId w:val="24"/>
              </w:numPr>
            </w:pPr>
            <w:r w:rsidRPr="00FB18DC">
              <w:t>BVAL yield 10 years = BVAL yield 7 years + difference in CGS from 7 to 10 years + difference in RBA extrapolated spread to CGS from 7 to 10 years</w:t>
            </w:r>
          </w:p>
          <w:p w:rsidR="00A933BB" w:rsidRPr="00FB18DC" w:rsidRDefault="00A933BB" w:rsidP="00CC7A1C">
            <w:pPr>
              <w:numPr>
                <w:ilvl w:val="0"/>
                <w:numId w:val="24"/>
              </w:numPr>
            </w:pPr>
            <w:r w:rsidRPr="00FB18DC">
              <w:t>As recommended by Lally,</w:t>
            </w:r>
            <w:r w:rsidRPr="00FB18DC">
              <w:rPr>
                <w:rStyle w:val="AERsuperscript"/>
              </w:rPr>
              <w:footnoteReference w:id="1450"/>
            </w:r>
            <w:r w:rsidRPr="00FB18DC">
              <w:t xml:space="preserve"> we are satisfied this approach is comparably reliable to the more complex approaches submitted by other stakeholders,</w:t>
            </w:r>
            <w:r w:rsidRPr="00FB18DC">
              <w:rPr>
                <w:rStyle w:val="AERsuperscript"/>
              </w:rPr>
              <w:footnoteReference w:id="1451"/>
            </w:r>
            <w:r w:rsidRPr="00FB18DC">
              <w:rPr>
                <w:rStyle w:val="AERsuperscript"/>
              </w:rPr>
              <w:t xml:space="preserve"> </w:t>
            </w:r>
            <w:r w:rsidRPr="00FB18DC">
              <w:t>but is simpler to implement and based on publicly available data.</w:t>
            </w:r>
          </w:p>
          <w:p w:rsidR="00A933BB" w:rsidRPr="00FB18DC" w:rsidRDefault="00A933BB"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A933BB" w:rsidRPr="00FB18DC" w:rsidRDefault="00A933BB" w:rsidP="00CC7A1C">
            <w:pPr>
              <w:numPr>
                <w:ilvl w:val="0"/>
                <w:numId w:val="24"/>
              </w:numPr>
            </w:pPr>
            <w:r w:rsidRPr="00FB18DC">
              <w:t>For the period where 10 years is the maximum term, we do not extrapolate the estimate.</w:t>
            </w:r>
          </w:p>
        </w:tc>
      </w:tr>
      <w:tr w:rsidR="00A933BB" w:rsidRPr="00BB7AB1" w:rsidTr="00EA632F">
        <w:tc>
          <w:tcPr>
            <w:tcW w:w="3080" w:type="dxa"/>
          </w:tcPr>
          <w:p w:rsidR="00A933BB" w:rsidRPr="00A933BB" w:rsidRDefault="00A933BB" w:rsidP="00A933BB">
            <w:r w:rsidRPr="00FB18DC">
              <w:t>Conversion to effective annual rate</w:t>
            </w:r>
          </w:p>
        </w:tc>
        <w:tc>
          <w:tcPr>
            <w:tcW w:w="1446" w:type="dxa"/>
          </w:tcPr>
          <w:p w:rsidR="00A933BB" w:rsidRPr="00A933BB" w:rsidRDefault="00A933BB" w:rsidP="00A933BB">
            <w:r w:rsidRPr="00FB18DC">
              <w:t>Yes</w:t>
            </w:r>
          </w:p>
        </w:tc>
        <w:tc>
          <w:tcPr>
            <w:tcW w:w="4716" w:type="dxa"/>
          </w:tcPr>
          <w:p w:rsidR="00A933BB" w:rsidRPr="00FB18DC" w:rsidRDefault="00A933BB" w:rsidP="00CC7A1C">
            <w:pPr>
              <w:numPr>
                <w:ilvl w:val="0"/>
                <w:numId w:val="24"/>
              </w:numPr>
            </w:pPr>
            <w:r w:rsidRPr="00FB18DC">
              <w:t>Bloomberg publishes its yield as annual rates with semi-annual compounding. This needs to be converted into an effective annual rate.</w:t>
            </w:r>
          </w:p>
        </w:tc>
      </w:tr>
    </w:tbl>
    <w:p w:rsidR="00A933BB" w:rsidRPr="00FB18DC" w:rsidRDefault="00A933BB" w:rsidP="00A933BB">
      <w:pPr>
        <w:pStyle w:val="Heading9"/>
      </w:pPr>
      <w:bookmarkStart w:id="427" w:name="_Toc433457169"/>
      <w:bookmarkStart w:id="428" w:name="_Toc450916273"/>
      <w:bookmarkStart w:id="429" w:name="_Toc452629169"/>
      <w:bookmarkStart w:id="430" w:name="_Toc456686786"/>
      <w:r w:rsidRPr="00FB18DC">
        <w:t>Choice of data series—Step-by-step guide to calculations</w:t>
      </w:r>
      <w:bookmarkEnd w:id="427"/>
      <w:bookmarkEnd w:id="428"/>
      <w:bookmarkEnd w:id="429"/>
      <w:bookmarkEnd w:id="430"/>
    </w:p>
    <w:p w:rsidR="00A933BB" w:rsidRPr="00FB18DC" w:rsidRDefault="00A933BB" w:rsidP="00CC7A1C">
      <w:pPr>
        <w:numPr>
          <w:ilvl w:val="0"/>
          <w:numId w:val="24"/>
        </w:numPr>
      </w:pPr>
      <w:r w:rsidRPr="00FB18DC">
        <w:t>Below we describe the step-by-step processes of calculating:</w:t>
      </w:r>
    </w:p>
    <w:p w:rsidR="00A933BB" w:rsidRPr="00FB18DC" w:rsidRDefault="00A933BB" w:rsidP="00A933BB">
      <w:pPr>
        <w:pStyle w:val="AERbulletlistfirststyle"/>
      </w:pPr>
      <w:r w:rsidRPr="00FB18DC">
        <w:t xml:space="preserve">the adjusted RBA estimate </w:t>
      </w:r>
    </w:p>
    <w:p w:rsidR="00A933BB" w:rsidRPr="00FB18DC" w:rsidRDefault="00A933BB" w:rsidP="00A933BB">
      <w:pPr>
        <w:pStyle w:val="AERbulletlistfirststyle"/>
      </w:pPr>
      <w:r w:rsidRPr="00FB18DC">
        <w:t xml:space="preserve">the adjusted BVAL estimate </w:t>
      </w:r>
    </w:p>
    <w:p w:rsidR="00A933BB" w:rsidRPr="00FB18DC" w:rsidRDefault="00A933BB" w:rsidP="00A933BB">
      <w:pPr>
        <w:pStyle w:val="AERbulletlistfirststyle"/>
      </w:pPr>
      <w:r w:rsidRPr="00FB18DC">
        <w:t>the final estimate—where we combine our implementations of the RBA estimate and the BVAL estimate.</w:t>
      </w:r>
    </w:p>
    <w:p w:rsidR="00A933BB" w:rsidRDefault="00A933BB" w:rsidP="00CC7A1C">
      <w:pPr>
        <w:numPr>
          <w:ilvl w:val="0"/>
          <w:numId w:val="24"/>
        </w:numPr>
      </w:pPr>
      <w:r w:rsidRPr="00FB18DC">
        <w:t xml:space="preserve">These formula steps relate to the approach specified in this </w:t>
      </w:r>
      <w:r w:rsidR="00A64A73">
        <w:t>final</w:t>
      </w:r>
      <w:r w:rsidRPr="00FB18DC">
        <w:t xml:space="preserve"> decision. In the event that data availability changes during the regulatory control period, the formulas below will change to reflect the contingencies set out in section </w:t>
      </w:r>
      <w:r>
        <w:fldChar w:fldCharType="begin"/>
      </w:r>
      <w:r>
        <w:instrText xml:space="preserve"> REF _Ref451901059 \r \h </w:instrText>
      </w:r>
      <w:r>
        <w:fldChar w:fldCharType="separate"/>
      </w:r>
      <w:r w:rsidR="00C6448C">
        <w:t>J.2.4</w:t>
      </w:r>
      <w:r>
        <w:fldChar w:fldCharType="end"/>
      </w:r>
      <w:r w:rsidRPr="00FB18DC">
        <w:t>.</w:t>
      </w:r>
    </w:p>
    <w:p w:rsidR="00A933BB" w:rsidRPr="00FB18DC" w:rsidRDefault="00A933BB" w:rsidP="00CC7A1C">
      <w:pPr>
        <w:numPr>
          <w:ilvl w:val="0"/>
          <w:numId w:val="24"/>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A933BB" w:rsidRPr="00FB18DC" w:rsidRDefault="00A933BB" w:rsidP="00CC7A1C">
      <w:pPr>
        <w:numPr>
          <w:ilvl w:val="0"/>
          <w:numId w:val="24"/>
        </w:numPr>
        <w:rPr>
          <w:rStyle w:val="AERtextitalic"/>
        </w:rPr>
      </w:pPr>
      <w:r w:rsidRPr="00FB18DC">
        <w:rPr>
          <w:rStyle w:val="AERtextitalic"/>
        </w:rPr>
        <w:t>Calculation of the adjusted RBA estimate</w:t>
      </w:r>
    </w:p>
    <w:p w:rsidR="00A933BB" w:rsidRPr="00FB18DC" w:rsidRDefault="00A933BB" w:rsidP="00CC7A1C">
      <w:pPr>
        <w:numPr>
          <w:ilvl w:val="1"/>
          <w:numId w:val="24"/>
        </w:numPr>
      </w:pPr>
      <w:r w:rsidRPr="00FB18DC">
        <w:t>Download RBA table F3—'Aggregate measures of Australian corporate bond yields' from the RBA website.</w:t>
      </w:r>
    </w:p>
    <w:p w:rsidR="00A933BB" w:rsidRPr="00FB18DC" w:rsidRDefault="00A933BB" w:rsidP="00CC7A1C">
      <w:pPr>
        <w:numPr>
          <w:ilvl w:val="1"/>
          <w:numId w:val="24"/>
        </w:numPr>
      </w:pPr>
      <w:r w:rsidRPr="00FB18DC">
        <w:t>From this file, download the 7 and 10 year 'Non-financial corporate BBB-rated bonds—Yield' entries for dates:</w:t>
      </w:r>
    </w:p>
    <w:p w:rsidR="00A933BB" w:rsidRPr="00FB18DC" w:rsidRDefault="00A933BB" w:rsidP="00CC7A1C">
      <w:pPr>
        <w:numPr>
          <w:ilvl w:val="2"/>
          <w:numId w:val="24"/>
        </w:numPr>
      </w:pPr>
      <w:r w:rsidRPr="00FB18DC">
        <w:t>from the most recent published RBA date prior to the commencement of the nominated averaging period for debt</w:t>
      </w:r>
    </w:p>
    <w:p w:rsidR="00A933BB" w:rsidRPr="00FB18DC" w:rsidRDefault="00A933BB" w:rsidP="00CC7A1C">
      <w:pPr>
        <w:numPr>
          <w:ilvl w:val="2"/>
          <w:numId w:val="24"/>
        </w:numPr>
      </w:pPr>
      <w:r w:rsidRPr="00FB18DC">
        <w:t>to the first published RBA date following the conclusion of the nominated averaging period for debt</w:t>
      </w:r>
    </w:p>
    <w:p w:rsidR="00A933BB" w:rsidRPr="00FB18DC" w:rsidRDefault="00A933BB" w:rsidP="00CC7A1C">
      <w:pPr>
        <w:numPr>
          <w:ilvl w:val="2"/>
          <w:numId w:val="24"/>
        </w:numPr>
      </w:pPr>
      <w:r w:rsidRPr="00FB18DC">
        <w:t>all published dates between a. and b.</w:t>
      </w:r>
    </w:p>
    <w:p w:rsidR="00A933BB" w:rsidRPr="00FB18DC" w:rsidRDefault="00A933BB" w:rsidP="00CC7A1C">
      <w:pPr>
        <w:numPr>
          <w:ilvl w:val="1"/>
          <w:numId w:val="24"/>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A933BB" w:rsidRPr="00FB18DC" w:rsidRDefault="00A933BB" w:rsidP="00CC7A1C">
      <w:pPr>
        <w:numPr>
          <w:ilvl w:val="1"/>
          <w:numId w:val="24"/>
        </w:numPr>
      </w:pPr>
      <w:r w:rsidRPr="00FB18DC">
        <w:t>Linearly interpolate between the two nearest bonds straddling 7 years remaining term to maturity,</w:t>
      </w:r>
      <w:r w:rsidRPr="00FB18DC">
        <w:rPr>
          <w:rStyle w:val="AERsuperscript"/>
        </w:rPr>
        <w:footnoteReference w:id="1452"/>
      </w:r>
      <w:r w:rsidRPr="00FB18DC">
        <w:t xml:space="preserve"> and the two nearest CGS bonds straddling 10 years remaining term to maturity. This should be done using the following formula: </w:t>
      </w:r>
      <w:r w:rsidRPr="00FB18DC">
        <w:rPr>
          <w:rStyle w:val="AERsuperscript"/>
        </w:rPr>
        <w:footnoteReference w:id="1453"/>
      </w:r>
    </w:p>
    <w:p w:rsidR="00A933BB" w:rsidRPr="00FB18DC" w:rsidRDefault="00A933BB" w:rsidP="00A933BB">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A933BB" w:rsidRPr="00FB18DC" w:rsidRDefault="00A933BB" w:rsidP="00CC7A1C">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454"/>
      </w:r>
    </w:p>
    <w:p w:rsidR="00A933BB" w:rsidRPr="00FB18DC" w:rsidRDefault="00A933BB" w:rsidP="00A933BB">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A933BB" w:rsidRPr="00FB18DC" w:rsidRDefault="00A933BB" w:rsidP="00CC7A1C">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455"/>
      </w:r>
    </w:p>
    <w:p w:rsidR="00A933BB" w:rsidRPr="00FB18DC" w:rsidRDefault="00A933BB" w:rsidP="00A933BB">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A933BB" w:rsidRPr="00FB18DC" w:rsidRDefault="00A933BB" w:rsidP="00CC7A1C">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456"/>
      </w:r>
    </w:p>
    <w:p w:rsidR="00A933BB" w:rsidRPr="00FB18DC" w:rsidRDefault="00A933BB" w:rsidP="00CC7A1C">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A933BB" w:rsidRPr="00FB18DC" w:rsidRDefault="00A933BB" w:rsidP="00A933BB">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A933BB" w:rsidRPr="00FB18DC" w:rsidRDefault="00A933BB" w:rsidP="00A933BB">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A933BB" w:rsidRPr="00FB18DC" w:rsidRDefault="00A933BB" w:rsidP="00CC7A1C">
      <w:pPr>
        <w:numPr>
          <w:ilvl w:val="1"/>
          <w:numId w:val="24"/>
        </w:numPr>
      </w:pPr>
      <w:r w:rsidRPr="00FB18DC">
        <w:t>Add to these daily spreads (from step 8), daily interpolated estimates of the CGS (from step 4) for all business days in the service providers averaging period. Specifically:</w:t>
      </w:r>
    </w:p>
    <w:p w:rsidR="00A933BB" w:rsidRPr="00FB18DC" w:rsidRDefault="00A933BB" w:rsidP="00CC7A1C">
      <w:pPr>
        <w:numPr>
          <w:ilvl w:val="2"/>
          <w:numId w:val="24"/>
        </w:numPr>
      </w:pPr>
      <w:r w:rsidRPr="00FB18DC">
        <w:t xml:space="preserve"> add the 7 year interpolated CGS estimates to the 7 year interpolated RBA spreads. These are the interpolated RBA daily 7-year yield estimates.</w:t>
      </w:r>
    </w:p>
    <w:p w:rsidR="00A933BB" w:rsidRPr="00FB18DC" w:rsidRDefault="00A933BB" w:rsidP="00CC7A1C">
      <w:pPr>
        <w:numPr>
          <w:ilvl w:val="2"/>
          <w:numId w:val="24"/>
        </w:numPr>
      </w:pPr>
      <w:r w:rsidRPr="00FB18DC">
        <w:t xml:space="preserve"> add the 10 year interpolated CGS estimate to the 10 year interpolated RBA spread. These are the interpolated RBA daily 10-year yield estimates.</w:t>
      </w:r>
    </w:p>
    <w:p w:rsidR="00A933BB" w:rsidRPr="00FB18DC" w:rsidRDefault="00A933BB" w:rsidP="00CC7A1C">
      <w:pPr>
        <w:numPr>
          <w:ilvl w:val="1"/>
          <w:numId w:val="24"/>
        </w:numPr>
      </w:pPr>
      <w:r w:rsidRPr="00FB18DC">
        <w:t>Convert the interpolated daily yield estimates (from step 9) to effective annual rates, using the formula:</w:t>
      </w:r>
      <w:r w:rsidRPr="004842DA">
        <w:rPr>
          <w:rStyle w:val="AERsuperscript"/>
        </w:rPr>
        <w:footnoteReference w:id="1457"/>
      </w:r>
    </w:p>
    <w:p w:rsidR="00A933BB" w:rsidRPr="00FB18DC" w:rsidRDefault="00A933BB" w:rsidP="00A933BB">
      <w:pPr>
        <w:pStyle w:val="AERquote"/>
      </w:pPr>
      <w:r w:rsidRPr="00FB18DC">
        <w:t>effective annual rate = ((1 + yield / 200)</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yield estimate for the 10 year RBA yield estimate over all business days in </w:t>
      </w:r>
      <w:r>
        <w:t>AusNet Services'</w:t>
      </w:r>
      <w:r w:rsidRPr="00FB18DC">
        <w:t xml:space="preserve"> averaging period. This is our adjusted RBA estimate.</w:t>
      </w:r>
    </w:p>
    <w:p w:rsidR="00A933BB" w:rsidRPr="00FB18DC" w:rsidRDefault="00A933BB" w:rsidP="00CC7A1C">
      <w:pPr>
        <w:numPr>
          <w:ilvl w:val="0"/>
          <w:numId w:val="24"/>
        </w:numPr>
        <w:rPr>
          <w:rStyle w:val="AERtextitalic"/>
        </w:rPr>
      </w:pPr>
      <w:r w:rsidRPr="00FB18DC">
        <w:rPr>
          <w:rStyle w:val="AERtextitalic"/>
        </w:rPr>
        <w:t>Calculation of the adjusted BVAL estimate</w:t>
      </w:r>
    </w:p>
    <w:p w:rsidR="00A933BB" w:rsidRPr="00FB18DC" w:rsidRDefault="00A933BB" w:rsidP="00CC7A1C">
      <w:pPr>
        <w:numPr>
          <w:ilvl w:val="1"/>
          <w:numId w:val="24"/>
        </w:numPr>
      </w:pPr>
      <w:r w:rsidRPr="00FB18DC">
        <w:t>For dates after 14 April 2015, download the 10 year Corporate BBB rated Australian BVAL curve (BVC</w:t>
      </w:r>
      <w:r>
        <w:t>S</w:t>
      </w:r>
      <w:r w:rsidRPr="00FB18DC">
        <w:t>AB10).</w:t>
      </w:r>
      <w:r>
        <w:rPr>
          <w:rStyle w:val="FootnoteReference"/>
        </w:rPr>
        <w:footnoteReference w:id="1458"/>
      </w:r>
      <w:r w:rsidRPr="00FB18DC">
        <w:t xml:space="preserve"> </w:t>
      </w:r>
    </w:p>
    <w:p w:rsidR="00A933BB" w:rsidRPr="00FB18DC" w:rsidRDefault="00A933BB" w:rsidP="00CC7A1C">
      <w:pPr>
        <w:numPr>
          <w:ilvl w:val="1"/>
          <w:numId w:val="24"/>
        </w:numPr>
      </w:pPr>
      <w:r>
        <w:t>C</w:t>
      </w:r>
      <w:r w:rsidRPr="00FB18DC">
        <w:t xml:space="preserve">onvert the 10 year yields into effective annual rates, using the formula: </w:t>
      </w:r>
    </w:p>
    <w:p w:rsidR="00A933BB" w:rsidRPr="00FB18DC" w:rsidRDefault="00A933BB" w:rsidP="00A933BB">
      <w:pPr>
        <w:pStyle w:val="AERquote"/>
      </w:pPr>
      <w:r w:rsidRPr="00FB18DC">
        <w:t>effective annual rate = ((1 + yield / 200 )</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extrapolated daily estimates of the BVAL 10 year yield over all business days in the </w:t>
      </w:r>
      <w:r>
        <w:t>AusNet Services'</w:t>
      </w:r>
      <w:r w:rsidRPr="00FB18DC">
        <w:t xml:space="preserve"> averaging period. This is our adjusted BVAL estimate.</w:t>
      </w:r>
    </w:p>
    <w:p w:rsidR="00A933BB" w:rsidRPr="00FB18DC" w:rsidRDefault="00A933BB" w:rsidP="00CC7A1C">
      <w:pPr>
        <w:numPr>
          <w:ilvl w:val="0"/>
          <w:numId w:val="24"/>
        </w:numPr>
        <w:rPr>
          <w:rStyle w:val="AERtextitalic"/>
        </w:rPr>
      </w:pPr>
      <w:r w:rsidRPr="00FB18DC">
        <w:rPr>
          <w:rStyle w:val="AERtextitalic"/>
        </w:rPr>
        <w:t>Final estimate</w:t>
      </w:r>
    </w:p>
    <w:p w:rsidR="00A933BB" w:rsidRPr="00FB18DC" w:rsidRDefault="00A933BB" w:rsidP="00CC7A1C">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A933BB" w:rsidRPr="00FB18DC" w:rsidRDefault="00A933BB" w:rsidP="00A933BB">
      <w:pPr>
        <w:pStyle w:val="Heading9"/>
      </w:pPr>
      <w:bookmarkStart w:id="431" w:name="_Toc433457170"/>
      <w:bookmarkStart w:id="432" w:name="_Toc450916274"/>
      <w:bookmarkStart w:id="433" w:name="_Ref451901059"/>
      <w:bookmarkStart w:id="434" w:name="_Toc452629170"/>
      <w:bookmarkStart w:id="435" w:name="_Toc456686787"/>
      <w:r w:rsidRPr="00FB18DC">
        <w:t>Choice of data series—Contingencies</w:t>
      </w:r>
      <w:bookmarkEnd w:id="431"/>
      <w:bookmarkEnd w:id="432"/>
      <w:bookmarkEnd w:id="433"/>
      <w:bookmarkEnd w:id="434"/>
      <w:bookmarkEnd w:id="435"/>
    </w:p>
    <w:p w:rsidR="00A870A6" w:rsidRPr="00A870A6" w:rsidRDefault="00A870A6" w:rsidP="00A870A6">
      <w:r w:rsidRPr="00A870A6">
        <w:t>Our final decision is to largely maintain the set of contingencies as set out in our recent decisions.</w:t>
      </w:r>
      <w:r w:rsidRPr="00A870A6">
        <w:rPr>
          <w:rStyle w:val="FootnoteReference"/>
        </w:rPr>
        <w:footnoteReference w:id="1459"/>
      </w:r>
      <w:r w:rsidRPr="00A870A6">
        <w:t xml:space="preserve"> We have made our final decision based on the information and third party data that is currently available.</w:t>
      </w:r>
      <w:r w:rsidRPr="00A870A6">
        <w:rPr>
          <w:rStyle w:val="FootnoteReference"/>
        </w:rPr>
        <w:footnoteReference w:id="1460"/>
      </w:r>
      <w:r w:rsidRPr="00A870A6">
        <w:t xml:space="preserve"> Nonetheless, in our experience it is common that the availability of third party data changes. </w:t>
      </w:r>
    </w:p>
    <w:p w:rsidR="00A870A6" w:rsidRPr="00A870A6" w:rsidRDefault="00A870A6" w:rsidP="00A870A6">
      <w:r w:rsidRPr="00A870A6">
        <w:t>Our final decision is to annually update the trailing average portfolio return on debt. Under the NER, the change in revenue resulting from the annual update must occur by automatic application of a formula that is specified in the decision.</w:t>
      </w:r>
      <w:r w:rsidRPr="00A870A6">
        <w:rPr>
          <w:rStyle w:val="AERsuperscript"/>
        </w:rPr>
        <w:t xml:space="preserve"> </w:t>
      </w:r>
      <w:r w:rsidRPr="00A870A6">
        <w:rPr>
          <w:rStyle w:val="AERsuperscript"/>
        </w:rPr>
        <w:footnoteReference w:id="1461"/>
      </w:r>
      <w:r w:rsidRPr="00A870A6">
        <w:t xml:space="preserve"> This means our decision on how to apply these third party data sources must be fully specified upfront in the determination, and must be capable of application over the regulatory control period without the use of subsequent judgement or discretion. </w:t>
      </w:r>
    </w:p>
    <w:p w:rsidR="00A870A6" w:rsidRPr="00A870A6" w:rsidRDefault="00A870A6" w:rsidP="00A870A6">
      <w:r w:rsidRPr="00A870A6">
        <w:t xml:space="preserve">For this reason, we have set out a series of contingencies in </w:t>
      </w:r>
      <w:r w:rsidRPr="00A870A6">
        <w:fldChar w:fldCharType="begin"/>
      </w:r>
      <w:r w:rsidRPr="00A870A6">
        <w:instrText xml:space="preserve"> REF  _Ref415565798 \* Lower \h </w:instrText>
      </w:r>
      <w:r w:rsidRPr="00A870A6">
        <w:fldChar w:fldCharType="separate"/>
      </w:r>
      <w:r w:rsidR="00C6448C" w:rsidRPr="00A870A6">
        <w:t xml:space="preserve">table </w:t>
      </w:r>
      <w:r w:rsidR="00C6448C">
        <w:rPr>
          <w:noProof/>
        </w:rPr>
        <w:t>3</w:t>
      </w:r>
      <w:r w:rsidR="00C6448C">
        <w:noBreakHyphen/>
      </w:r>
      <w:r w:rsidR="00C6448C">
        <w:rPr>
          <w:noProof/>
        </w:rPr>
        <w:t>43</w:t>
      </w:r>
      <w:r w:rsidRPr="00A870A6">
        <w:fldChar w:fldCharType="end"/>
      </w:r>
      <w:r w:rsidRPr="00A870A6">
        <w:t>, below. These describe how we propose to estimate the annual return on debt in the event of revisions in the RBA's or Bloomberg's methodologies or other changes to data availability.</w:t>
      </w:r>
    </w:p>
    <w:p w:rsidR="00A870A6" w:rsidRPr="00A870A6" w:rsidRDefault="00A870A6" w:rsidP="00A870A6">
      <w:pPr>
        <w:pStyle w:val="Caption"/>
      </w:pPr>
      <w:bookmarkStart w:id="436" w:name="_Ref415565798"/>
      <w:r w:rsidRPr="00A870A6">
        <w:t xml:space="preserve">Table </w:t>
      </w:r>
      <w:fldSimple w:instr=" STYLEREF 1 \s ">
        <w:r w:rsidR="00C6448C">
          <w:rPr>
            <w:noProof/>
          </w:rPr>
          <w:t>3</w:t>
        </w:r>
      </w:fldSimple>
      <w:r w:rsidR="00882F3D">
        <w:noBreakHyphen/>
      </w:r>
      <w:fldSimple w:instr=" SEQ Table \* ARABIC \s 1 ">
        <w:r w:rsidR="00C6448C">
          <w:rPr>
            <w:noProof/>
          </w:rPr>
          <w:t>43</w:t>
        </w:r>
      </w:fldSimple>
      <w:bookmarkEnd w:id="436"/>
      <w:r w:rsidRPr="00A870A6">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A870A6" w:rsidRPr="00BB7AB1" w:rsidTr="0016738D">
        <w:trPr>
          <w:cnfStyle w:val="100000000000" w:firstRow="1" w:lastRow="0" w:firstColumn="0" w:lastColumn="0" w:oddVBand="0" w:evenVBand="0" w:oddHBand="0" w:evenHBand="0" w:firstRowFirstColumn="0" w:firstRowLastColumn="0" w:lastRowFirstColumn="0" w:lastRowLastColumn="0"/>
          <w:tblHeader/>
        </w:trPr>
        <w:tc>
          <w:tcPr>
            <w:tcW w:w="1461" w:type="pct"/>
          </w:tcPr>
          <w:p w:rsidR="00A870A6" w:rsidRPr="00A870A6" w:rsidRDefault="00A870A6" w:rsidP="00CC7A1C">
            <w:pPr>
              <w:numPr>
                <w:ilvl w:val="0"/>
                <w:numId w:val="24"/>
              </w:numPr>
            </w:pPr>
            <w:r w:rsidRPr="00A870A6">
              <w:t>Event</w:t>
            </w:r>
          </w:p>
        </w:tc>
        <w:tc>
          <w:tcPr>
            <w:tcW w:w="3539" w:type="pct"/>
          </w:tcPr>
          <w:p w:rsidR="00A870A6" w:rsidRPr="00A870A6" w:rsidRDefault="00A870A6" w:rsidP="00CC7A1C">
            <w:pPr>
              <w:numPr>
                <w:ilvl w:val="0"/>
                <w:numId w:val="24"/>
              </w:numPr>
            </w:pPr>
            <w:r w:rsidRPr="00A870A6">
              <w:t>Changes to approach</w:t>
            </w:r>
          </w:p>
        </w:tc>
      </w:tr>
      <w:tr w:rsidR="00A870A6" w:rsidRPr="00BB7AB1" w:rsidTr="0016738D">
        <w:tc>
          <w:tcPr>
            <w:tcW w:w="1461" w:type="pct"/>
          </w:tcPr>
          <w:p w:rsidR="00A870A6" w:rsidRPr="00A870A6" w:rsidRDefault="00A870A6" w:rsidP="00CC7A1C">
            <w:pPr>
              <w:numPr>
                <w:ilvl w:val="0"/>
                <w:numId w:val="24"/>
              </w:numPr>
            </w:pPr>
            <w:r w:rsidRPr="00A870A6">
              <w:t>Either the RBA or Bloomberg ceases publication, temporarily or permanently, of Australian yield curves that reflect a broad BBB rating.</w:t>
            </w:r>
          </w:p>
        </w:tc>
        <w:tc>
          <w:tcPr>
            <w:tcW w:w="3539" w:type="pct"/>
          </w:tcPr>
          <w:p w:rsidR="00A870A6" w:rsidRPr="00A870A6" w:rsidRDefault="00A870A6" w:rsidP="00CC7A1C">
            <w:pPr>
              <w:numPr>
                <w:ilvl w:val="0"/>
                <w:numId w:val="24"/>
              </w:numPr>
            </w:pPr>
            <w:r w:rsidRPr="00A870A6">
              <w:t>We will estimate the annual return on debt using the remaining curve.</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A different third party commences publication of a 10 year yield estimate (or we are made aware of a different third party publishing a 10 year yield estimate)</w:t>
            </w:r>
            <w:r w:rsidRPr="00A870A6">
              <w:rPr>
                <w:rStyle w:val="AERsuperscript"/>
              </w:rPr>
              <w:footnoteReference w:id="1462"/>
            </w:r>
            <w:r w:rsidRPr="00A870A6">
              <w:t>.</w:t>
            </w:r>
          </w:p>
        </w:tc>
        <w:tc>
          <w:tcPr>
            <w:tcW w:w="3539" w:type="pct"/>
          </w:tcPr>
          <w:p w:rsidR="00A870A6" w:rsidRPr="00A870A6" w:rsidRDefault="00A870A6" w:rsidP="00CC7A1C">
            <w:pPr>
              <w:numPr>
                <w:ilvl w:val="0"/>
                <w:numId w:val="24"/>
              </w:numPr>
            </w:pPr>
            <w:r w:rsidRPr="00A870A6">
              <w:t xml:space="preserve">We will not apply estimates from a third party data provider that we have not evaluated and included in our final decision approach. We will consider any new data sources in future determinations. </w:t>
            </w:r>
          </w:p>
        </w:tc>
      </w:tr>
      <w:tr w:rsidR="00A870A6" w:rsidRPr="00BB7AB1" w:rsidTr="0016738D">
        <w:tc>
          <w:tcPr>
            <w:tcW w:w="1461" w:type="pct"/>
          </w:tcPr>
          <w:p w:rsidR="00A870A6" w:rsidRPr="00A870A6" w:rsidRDefault="00A870A6" w:rsidP="00CC7A1C">
            <w:pPr>
              <w:numPr>
                <w:ilvl w:val="0"/>
                <w:numId w:val="24"/>
              </w:numPr>
            </w:pPr>
            <w:r w:rsidRPr="00A870A6">
              <w:t>Either Bloomberg or RBA substitutes its current methodology for a revised or updated methodology.</w:t>
            </w:r>
          </w:p>
        </w:tc>
        <w:tc>
          <w:tcPr>
            <w:tcW w:w="3539" w:type="pct"/>
          </w:tcPr>
          <w:p w:rsidR="00A870A6" w:rsidRPr="00A870A6" w:rsidRDefault="00A870A6" w:rsidP="00CC7A1C">
            <w:pPr>
              <w:numPr>
                <w:ilvl w:val="0"/>
                <w:numId w:val="24"/>
              </w:numPr>
            </w:pPr>
            <w:r w:rsidRPr="00A870A6">
              <w:t>We will adopt the revised or updated methodology. Then, at the next regulatory determination, we will review this updated methodology. As noted above, we would also review any new data sources.</w:t>
            </w:r>
          </w:p>
          <w:p w:rsidR="00A870A6" w:rsidRPr="00A870A6" w:rsidRDefault="00A870A6" w:rsidP="00CC7A1C">
            <w:pPr>
              <w:numPr>
                <w:ilvl w:val="0"/>
                <w:numId w:val="24"/>
              </w:numPr>
            </w:pPr>
            <w:r w:rsidRPr="00A870A6">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A870A6">
              <w:rPr>
                <w:rStyle w:val="FootnoteReference"/>
              </w:rPr>
              <w:footnoteReference w:id="1463"/>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Bloomberg reduces the maximum published BVAL term from 10 years</w:t>
            </w:r>
          </w:p>
        </w:tc>
        <w:tc>
          <w:tcPr>
            <w:tcW w:w="3539" w:type="pct"/>
          </w:tcPr>
          <w:p w:rsidR="00A870A6" w:rsidRPr="00A870A6" w:rsidRDefault="00A870A6" w:rsidP="00CC7A1C">
            <w:pPr>
              <w:numPr>
                <w:ilvl w:val="0"/>
                <w:numId w:val="24"/>
              </w:numPr>
            </w:pPr>
            <w:r w:rsidRPr="00A870A6">
              <w:t xml:space="preserve">If Bloomberg still publishes the BVAL curve to 5 or more years, we will extrapolate the BVAL curve from the longest published term to 10 years using the corresponding yield margin from the RBA curve. </w:t>
            </w:r>
            <w:r w:rsidRPr="00A870A6">
              <w:rPr>
                <w:rStyle w:val="FootnoteReference"/>
              </w:rPr>
              <w:footnoteReference w:id="1464"/>
            </w:r>
          </w:p>
          <w:p w:rsidR="00A870A6" w:rsidRPr="00A870A6" w:rsidRDefault="00A870A6" w:rsidP="00CC7A1C">
            <w:pPr>
              <w:numPr>
                <w:ilvl w:val="0"/>
                <w:numId w:val="24"/>
              </w:numPr>
            </w:pPr>
            <w:r w:rsidRPr="00A870A6">
              <w:t>If Bloomberg no longer publishes the BVAL curve to 5 years, we will rely entirely on the RBA curve.</w:t>
            </w:r>
          </w:p>
        </w:tc>
      </w:tr>
      <w:tr w:rsidR="00A870A6" w:rsidRPr="00BB7AB1" w:rsidTr="0016738D">
        <w:tc>
          <w:tcPr>
            <w:tcW w:w="1461" w:type="pct"/>
          </w:tcPr>
          <w:p w:rsidR="00A870A6" w:rsidRPr="00A870A6" w:rsidRDefault="00A870A6" w:rsidP="00CC7A1C">
            <w:pPr>
              <w:numPr>
                <w:ilvl w:val="0"/>
                <w:numId w:val="24"/>
              </w:numPr>
            </w:pPr>
            <w:r w:rsidRPr="00A870A6">
              <w:t>The RBA ceases publication of a 10 year yield estimate.</w:t>
            </w:r>
            <w:r w:rsidRPr="00A870A6">
              <w:tab/>
            </w:r>
          </w:p>
        </w:tc>
        <w:tc>
          <w:tcPr>
            <w:tcW w:w="3539" w:type="pct"/>
          </w:tcPr>
          <w:p w:rsidR="00A870A6" w:rsidRPr="00A870A6" w:rsidRDefault="00A870A6" w:rsidP="00CC7A1C">
            <w:pPr>
              <w:numPr>
                <w:ilvl w:val="0"/>
                <w:numId w:val="24"/>
              </w:numPr>
            </w:pPr>
            <w:r w:rsidRPr="00A870A6">
              <w:t>If the RBA ceases publication of a 10 year yield estimate, we will extrapolate the RBA estimate to 10 years using:</w:t>
            </w:r>
          </w:p>
          <w:p w:rsidR="00A870A6" w:rsidRPr="00A870A6" w:rsidRDefault="00A870A6" w:rsidP="00A870A6">
            <w:pPr>
              <w:pStyle w:val="AERbulletlistfirststyle"/>
            </w:pPr>
            <w:r w:rsidRPr="00A870A6">
              <w:t>if available, the margin between spreads in the Bloomberg curve,</w:t>
            </w:r>
            <w:r w:rsidRPr="00A870A6">
              <w:rPr>
                <w:rStyle w:val="FootnoteReference"/>
              </w:rPr>
              <w:footnoteReference w:id="1465"/>
            </w:r>
            <w:r w:rsidRPr="00A870A6">
              <w:t xml:space="preserve"> from the RBA's longest published target term to 10 years</w:t>
            </w:r>
          </w:p>
          <w:p w:rsidR="00A870A6" w:rsidRPr="00A870A6" w:rsidRDefault="00A870A6" w:rsidP="00A870A6">
            <w:pPr>
              <w:pStyle w:val="AERbulletlistfirststyle"/>
            </w:pPr>
            <w:r w:rsidRPr="00A870A6">
              <w:t>otherwise, the actual CGS margin from the RBA's longest published estimate to 10 years, plus the average DRP spread for the same term margin over the last month prior to the end of its publication.</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The RBA commences publication of daily estimates.</w:t>
            </w:r>
          </w:p>
        </w:tc>
        <w:tc>
          <w:tcPr>
            <w:tcW w:w="3539" w:type="pct"/>
          </w:tcPr>
          <w:p w:rsidR="00A870A6" w:rsidRPr="00A870A6" w:rsidRDefault="00A870A6" w:rsidP="00CC7A1C">
            <w:pPr>
              <w:numPr>
                <w:ilvl w:val="0"/>
                <w:numId w:val="24"/>
              </w:numPr>
            </w:pPr>
            <w:r w:rsidRPr="00A870A6">
              <w:t>We will cease interpolating the RBA monthly yields. Instead, we will estimate both the RBA yield and the RBA year extrapolation margin (used with the BVAL curve) using these daily estimates.</w:t>
            </w:r>
          </w:p>
        </w:tc>
      </w:tr>
      <w:tr w:rsidR="00A870A6" w:rsidRPr="00BB7AB1" w:rsidTr="0016738D">
        <w:tc>
          <w:tcPr>
            <w:tcW w:w="1461" w:type="pct"/>
          </w:tcPr>
          <w:p w:rsidR="00A870A6" w:rsidRPr="00A870A6" w:rsidRDefault="00A870A6" w:rsidP="00CC7A1C">
            <w:pPr>
              <w:numPr>
                <w:ilvl w:val="0"/>
                <w:numId w:val="24"/>
              </w:numPr>
            </w:pPr>
            <w:r w:rsidRPr="00A870A6">
              <w:t>Either Bloomberg or the RBA publishes a BBB+ or utilities specific yield curve.</w:t>
            </w:r>
          </w:p>
        </w:tc>
        <w:tc>
          <w:tcPr>
            <w:tcW w:w="3539" w:type="pct"/>
          </w:tcPr>
          <w:p w:rsidR="00A870A6" w:rsidRPr="00A870A6" w:rsidRDefault="00A870A6" w:rsidP="00CC7A1C">
            <w:pPr>
              <w:numPr>
                <w:ilvl w:val="0"/>
                <w:numId w:val="24"/>
              </w:numPr>
            </w:pPr>
            <w:r w:rsidRPr="00A870A6">
              <w:t>We will adopt the BBB+ or utilities curve in place of the provider's existing curve, on the basis that it is a closer fit to our benchmark efficient entity.</w:t>
            </w:r>
          </w:p>
        </w:tc>
      </w:tr>
    </w:tbl>
    <w:p w:rsidR="00A870A6" w:rsidRPr="00A870A6" w:rsidRDefault="00A870A6" w:rsidP="00A870A6">
      <w:pPr>
        <w:pStyle w:val="AERtablesource"/>
      </w:pPr>
      <w:r w:rsidRPr="00A870A6">
        <w:t>Source:</w:t>
      </w:r>
      <w:r w:rsidRPr="00A870A6">
        <w:tab/>
        <w:t>AER analysis.</w:t>
      </w:r>
    </w:p>
    <w:p w:rsidR="00A870A6" w:rsidRPr="00A870A6" w:rsidRDefault="00A870A6" w:rsidP="00A870A6">
      <w:r w:rsidRPr="00A870A6">
        <w:t>For this final decision, we have re-worded the contingency for the scenario where either the RBA or Bloomberg ceases publication of Australian yield curves that reflect a broad BBB rating. Specifically, we have clarified that this contingency will apply whether the cessation of publication is temporary (ie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A870A6" w:rsidRPr="00A870A6" w:rsidRDefault="00A870A6" w:rsidP="00A870A6">
      <w:r w:rsidRPr="00A870A6">
        <w:t>In general, we have decided on these contingencies based on a series of guiding principles. These are that the contingency must:</w:t>
      </w:r>
    </w:p>
    <w:p w:rsidR="00A870A6" w:rsidRPr="00A870A6" w:rsidRDefault="00A870A6" w:rsidP="00A870A6">
      <w:pPr>
        <w:pStyle w:val="AERbulletlistfirststyle"/>
      </w:pPr>
      <w:r w:rsidRPr="00A870A6">
        <w:t>Be practically implementable—the rules require the automatic application of a formula to update the trailing average portfolio return on debt. As a result, we will be unable to analyse changes to the approaches or new approaches during the regulatory control or access arrangement period. Therefore, it is important that any contingency be practical and easily implementable.</w:t>
      </w:r>
    </w:p>
    <w:p w:rsidR="00A870A6" w:rsidRPr="00A870A6" w:rsidRDefault="00A870A6" w:rsidP="00A870A6">
      <w:pPr>
        <w:pStyle w:val="AERbulletlistfirststyle"/>
      </w:pPr>
      <w:r w:rsidRPr="00A870A6">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A870A6" w:rsidRPr="00A870A6" w:rsidRDefault="00A870A6" w:rsidP="00A870A6">
      <w:pPr>
        <w:pStyle w:val="AERbulletlistfirststyle"/>
      </w:pPr>
      <w:r w:rsidRPr="00A870A6">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870A6">
        <w:rPr>
          <w:rStyle w:val="FootnoteReference"/>
        </w:rPr>
        <w:footnoteReference w:id="1466"/>
      </w:r>
      <w:r w:rsidRPr="00A870A6">
        <w:t xml:space="preserve"> However, this is not possible during the regulatory control or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A870A6" w:rsidRPr="00A870A6" w:rsidRDefault="00A870A6" w:rsidP="00A870A6">
      <w:pPr>
        <w:pStyle w:val="HeadingBoldItalic"/>
      </w:pPr>
      <w:r w:rsidRPr="00A870A6">
        <w:t>New issue premium</w:t>
      </w:r>
    </w:p>
    <w:p w:rsidR="00A870A6" w:rsidRPr="00A870A6" w:rsidRDefault="0039542D" w:rsidP="00A870A6">
      <w:r>
        <w:t>While we note TasNetworks did not propose a new issue premium,</w:t>
      </w:r>
      <w:r w:rsidR="00A870A6" w:rsidRPr="00A870A6">
        <w:t xml:space="preserve"> we </w:t>
      </w:r>
      <w:r>
        <w:t xml:space="preserve">note we </w:t>
      </w:r>
      <w:r w:rsidR="00A870A6" w:rsidRPr="00A870A6">
        <w:t xml:space="preserve">do not agree with </w:t>
      </w:r>
      <w:r>
        <w:t>AusNet Services'</w:t>
      </w:r>
      <w:r w:rsidR="00A870A6" w:rsidRPr="00A870A6">
        <w:t xml:space="preserve"> commentary </w:t>
      </w:r>
      <w:r>
        <w:t xml:space="preserve">in its </w:t>
      </w:r>
      <w:r w:rsidR="00DF0600">
        <w:t>transmission</w:t>
      </w:r>
      <w:r>
        <w:t xml:space="preserve"> proposal </w:t>
      </w:r>
      <w:r w:rsidR="00A870A6" w:rsidRPr="00A870A6">
        <w:t>that excluding a new issue premium makes its proposed return on debt 'conservative'.</w:t>
      </w:r>
      <w:r w:rsidR="00A870A6" w:rsidRPr="00A870A6">
        <w:rPr>
          <w:rStyle w:val="FootnoteReference"/>
        </w:rPr>
        <w:footnoteReference w:id="1467"/>
      </w:r>
      <w:r>
        <w:t xml:space="preserve"> </w:t>
      </w:r>
    </w:p>
    <w:p w:rsidR="00A870A6" w:rsidRPr="00A870A6" w:rsidRDefault="00A870A6" w:rsidP="00A870A6">
      <w:r w:rsidRPr="00A870A6">
        <w:t>We continue to be satisfied our current approach, without providing an uplift for a new issue premium,</w:t>
      </w:r>
      <w:r w:rsidRPr="00A870A6">
        <w:rPr>
          <w:rStyle w:val="FootnoteReference"/>
        </w:rPr>
        <w:footnoteReference w:id="1468"/>
      </w:r>
      <w:r w:rsidRPr="00A870A6">
        <w:t xml:space="preserve"> contributes to the achievement of the ARORO. In particular, we are satisfied it is commensurate with the efficient financing costs of a benchmark efficient entity.</w:t>
      </w:r>
      <w:r w:rsidRPr="00A870A6">
        <w:rPr>
          <w:rStyle w:val="FootnoteReference"/>
        </w:rPr>
        <w:footnoteReference w:id="1469"/>
      </w:r>
      <w:r w:rsidRPr="00A870A6">
        <w:t xml:space="preserve"> The main reasons for our position are:</w:t>
      </w:r>
    </w:p>
    <w:p w:rsidR="00A870A6" w:rsidRPr="00A870A6" w:rsidRDefault="00A870A6" w:rsidP="00A870A6">
      <w:pPr>
        <w:pStyle w:val="AERbulletlistfirststyle"/>
      </w:pPr>
      <w:r w:rsidRPr="00A870A6">
        <w:t>Conceptually, we consider that a benchmark efficient entity would not face a new issue premium as part of its efficient financing costs.</w:t>
      </w:r>
    </w:p>
    <w:p w:rsidR="00A870A6" w:rsidRPr="00A870A6" w:rsidRDefault="00A870A6" w:rsidP="00A870A6">
      <w:pPr>
        <w:pStyle w:val="AERbulletlistfirststyle"/>
      </w:pPr>
      <w:r w:rsidRPr="00A870A6">
        <w:t>The evidence before us indicates that our return on debt allowance already appropriately compensates a benchmark efficient entity overall for its efficient financing costs.</w:t>
      </w:r>
    </w:p>
    <w:p w:rsidR="00A870A6" w:rsidRPr="00A870A6" w:rsidRDefault="00A870A6" w:rsidP="00A870A6">
      <w:pPr>
        <w:pStyle w:val="AERbulletlistfirststyle"/>
      </w:pPr>
      <w:r w:rsidRPr="00A870A6">
        <w:t>We consider that the empirical evidence on the new issue premium is inconclusive in general and that there is little consensus among experts on how to measure potential new issue premium.</w:t>
      </w:r>
    </w:p>
    <w:p w:rsidR="00A870A6" w:rsidRPr="00A870A6" w:rsidRDefault="00A870A6" w:rsidP="00A870A6">
      <w:pPr>
        <w:pStyle w:val="AERbulletlistfirststyle"/>
      </w:pPr>
      <w:r w:rsidRPr="00A870A6">
        <w:t>We are unaware of any academic literature on the new issue premium in the Australian market. On behalf of several service providers, CEG conducted an empirical analysis on the Australian market.</w:t>
      </w:r>
      <w:r w:rsidRPr="00A870A6">
        <w:rPr>
          <w:rStyle w:val="FootnoteReference"/>
        </w:rPr>
        <w:footnoteReference w:id="1470"/>
      </w:r>
      <w:r w:rsidRPr="00A870A6">
        <w:t xml:space="preserve"> However, we have concerns with CEG's methodology, which we do not consider CEG has satisfactorily addressed.</w:t>
      </w:r>
      <w:r w:rsidRPr="00A870A6">
        <w:rPr>
          <w:rStyle w:val="FootnoteReference"/>
        </w:rPr>
        <w:footnoteReference w:id="1471"/>
      </w:r>
    </w:p>
    <w:p w:rsidR="00A870A6" w:rsidRPr="00A870A6" w:rsidRDefault="00A870A6" w:rsidP="00A870A6">
      <w:r w:rsidRPr="00A870A6">
        <w:t>For a more detailed explanation of our reasons, see Appendix I of our final decision for United Energy.</w:t>
      </w:r>
      <w:r w:rsidRPr="00A870A6">
        <w:rPr>
          <w:rStyle w:val="FootnoteReference"/>
        </w:rPr>
        <w:footnoteReference w:id="1472"/>
      </w:r>
    </w:p>
    <w:p w:rsidR="00A870A6" w:rsidRPr="00A870A6" w:rsidRDefault="00A870A6" w:rsidP="00A870A6">
      <w:pPr>
        <w:pStyle w:val="HeadingBoldItalic"/>
      </w:pPr>
      <w:r w:rsidRPr="00A870A6">
        <w:t xml:space="preserve">Averaging periods </w:t>
      </w:r>
    </w:p>
    <w:p w:rsidR="000E14D2" w:rsidRDefault="000E14D2" w:rsidP="000E14D2">
      <w:r>
        <w:t>O</w:t>
      </w:r>
      <w:r w:rsidRPr="00F62E1D">
        <w:t xml:space="preserve">ur </w:t>
      </w:r>
      <w:r>
        <w:t>final decision</w:t>
      </w:r>
      <w:r w:rsidRPr="00F62E1D">
        <w:t xml:space="preserve"> is to accept</w:t>
      </w:r>
      <w:r>
        <w:t xml:space="preserve"> TasNetworks' </w:t>
      </w:r>
      <w:r w:rsidRPr="00F62E1D">
        <w:t xml:space="preserve">proposed debt </w:t>
      </w:r>
      <w:r>
        <w:t>averaging periods for 2017 to 2019.</w:t>
      </w:r>
      <w:r>
        <w:rPr>
          <w:rStyle w:val="FootnoteReference"/>
        </w:rPr>
        <w:footnoteReference w:id="1473"/>
      </w:r>
      <w:r>
        <w:t xml:space="preserve"> </w:t>
      </w:r>
    </w:p>
    <w:p w:rsidR="000E14D2" w:rsidRPr="00E761F9" w:rsidRDefault="000E14D2" w:rsidP="000E14D2">
      <w:r w:rsidRPr="00E761F9">
        <w:t>We specify these averaging periods for the 2017 to 20</w:t>
      </w:r>
      <w:r>
        <w:t>19</w:t>
      </w:r>
      <w:r w:rsidRPr="00E761F9">
        <w:t xml:space="preserve"> regulatory years in c</w:t>
      </w:r>
      <w:r>
        <w:t xml:space="preserve">onfidential Appendix </w:t>
      </w:r>
      <w:r w:rsidR="00D365A6">
        <w:t>M</w:t>
      </w:r>
      <w:r w:rsidRPr="00E761F9">
        <w:t>. This is because our practice is to keep the dates of averaging periods confidential until they have expired.</w:t>
      </w:r>
    </w:p>
    <w:p w:rsidR="000E14D2" w:rsidRPr="00E761F9" w:rsidRDefault="000E14D2" w:rsidP="000E14D2">
      <w:r w:rsidRPr="00E761F9">
        <w:t>In the Guideline, we proposed that service providers could nominate averaging periods of 10 or more consecutive business days up to a maximum of 12 months.</w:t>
      </w:r>
      <w:r w:rsidRPr="00E761F9">
        <w:rPr>
          <w:rStyle w:val="FootnoteReference"/>
        </w:rPr>
        <w:footnoteReference w:id="1474"/>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1475"/>
      </w:r>
    </w:p>
    <w:p w:rsidR="000E14D2" w:rsidRPr="00E761F9" w:rsidRDefault="000E14D2" w:rsidP="000E14D2">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0E14D2" w:rsidRPr="00E761F9" w:rsidRDefault="002C0B62" w:rsidP="000E14D2">
      <w:pPr>
        <w:numPr>
          <w:ilvl w:val="0"/>
          <w:numId w:val="24"/>
        </w:numPr>
      </w:pPr>
      <w:r>
        <w:fldChar w:fldCharType="begin"/>
      </w:r>
      <w:r>
        <w:instrText xml:space="preserve"> REF _Ref481055424 \h </w:instrText>
      </w:r>
      <w:r>
        <w:fldChar w:fldCharType="separate"/>
      </w:r>
      <w:r w:rsidRPr="00E761F9">
        <w:t xml:space="preserve">Table </w:t>
      </w:r>
      <w:r>
        <w:rPr>
          <w:noProof/>
        </w:rPr>
        <w:t>3</w:t>
      </w:r>
      <w:r>
        <w:noBreakHyphen/>
      </w:r>
      <w:r>
        <w:rPr>
          <w:noProof/>
        </w:rPr>
        <w:t>44</w:t>
      </w:r>
      <w:r>
        <w:fldChar w:fldCharType="end"/>
      </w:r>
      <w:r>
        <w:t xml:space="preserve"> </w:t>
      </w:r>
      <w:r w:rsidR="000E14D2" w:rsidRPr="00E761F9">
        <w:t xml:space="preserve">sets out why we consider an averaging period that meets the remaining conditions in the Guideline contributes to the achievement of the </w:t>
      </w:r>
      <w:r w:rsidR="000E14D2">
        <w:t>ARORO</w:t>
      </w:r>
      <w:r w:rsidR="000E14D2" w:rsidRPr="00E761F9">
        <w:t xml:space="preserve">. It also summarises our assessment of </w:t>
      </w:r>
      <w:r w:rsidR="000E14D2">
        <w:t>TasNetworks’</w:t>
      </w:r>
      <w:r w:rsidR="000E14D2" w:rsidRPr="00E761F9">
        <w:t xml:space="preserve"> proposed debt averaging periods</w:t>
      </w:r>
      <w:r w:rsidR="000E14D2">
        <w:t xml:space="preserve"> against these conditions</w:t>
      </w:r>
      <w:r w:rsidR="000E14D2" w:rsidRPr="00E761F9">
        <w:t xml:space="preserve">. </w:t>
      </w:r>
    </w:p>
    <w:p w:rsidR="000E14D2" w:rsidRPr="00E761F9" w:rsidRDefault="000E14D2" w:rsidP="000E14D2">
      <w:pPr>
        <w:pStyle w:val="Caption"/>
      </w:pPr>
      <w:bookmarkStart w:id="437" w:name="_Ref481055424"/>
      <w:r w:rsidRPr="00E761F9">
        <w:t xml:space="preserve">Table </w:t>
      </w:r>
      <w:r w:rsidRPr="000E14D2">
        <w:fldChar w:fldCharType="begin"/>
      </w:r>
      <w:r>
        <w:instrText xml:space="preserve"> STYLEREF 1 \s </w:instrText>
      </w:r>
      <w:r w:rsidRPr="000E14D2">
        <w:fldChar w:fldCharType="separate"/>
      </w:r>
      <w:r w:rsidR="00C6448C">
        <w:rPr>
          <w:noProof/>
        </w:rPr>
        <w:t>3</w:t>
      </w:r>
      <w:r w:rsidRPr="000E14D2">
        <w:fldChar w:fldCharType="end"/>
      </w:r>
      <w:r>
        <w:noBreakHyphen/>
      </w:r>
      <w:r w:rsidRPr="000E14D2">
        <w:fldChar w:fldCharType="begin"/>
      </w:r>
      <w:r>
        <w:instrText xml:space="preserve"> SEQ Table \* ARABIC \s 1 </w:instrText>
      </w:r>
      <w:r w:rsidRPr="000E14D2">
        <w:fldChar w:fldCharType="separate"/>
      </w:r>
      <w:r w:rsidR="00C6448C">
        <w:rPr>
          <w:noProof/>
        </w:rPr>
        <w:t>44</w:t>
      </w:r>
      <w:r w:rsidRPr="000E14D2">
        <w:fldChar w:fldCharType="end"/>
      </w:r>
      <w:bookmarkEnd w:id="437"/>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0E14D2" w:rsidTr="00E3755A">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0E14D2" w:rsidRPr="000E14D2" w:rsidRDefault="000E14D2" w:rsidP="000E14D2">
            <w:r w:rsidRPr="00E761F9">
              <w:t>Condition</w:t>
            </w:r>
          </w:p>
        </w:tc>
        <w:tc>
          <w:tcPr>
            <w:tcW w:w="4647" w:type="dxa"/>
          </w:tcPr>
          <w:p w:rsidR="000E14D2" w:rsidRPr="000E14D2" w:rsidRDefault="000E14D2" w:rsidP="000E14D2">
            <w:r w:rsidRPr="00E761F9">
              <w:t>Reasons for condition</w:t>
            </w:r>
          </w:p>
        </w:tc>
        <w:tc>
          <w:tcPr>
            <w:tcW w:w="1425" w:type="dxa"/>
          </w:tcPr>
          <w:p w:rsidR="000E14D2" w:rsidRPr="000E14D2" w:rsidRDefault="000E14D2" w:rsidP="000E14D2">
            <w:r w:rsidRPr="00E761F9">
              <w:t>Condition met?</w:t>
            </w:r>
          </w:p>
        </w:tc>
      </w:tr>
      <w:tr w:rsidR="000E14D2" w:rsidTr="00E3755A">
        <w:trPr>
          <w:trHeight w:val="143"/>
        </w:trPr>
        <w:tc>
          <w:tcPr>
            <w:tcW w:w="2591" w:type="dxa"/>
          </w:tcPr>
          <w:p w:rsidR="000E14D2" w:rsidRPr="000E14D2" w:rsidRDefault="000E14D2" w:rsidP="000E14D2">
            <w:r w:rsidRPr="00E761F9">
              <w:t xml:space="preserve">Observed over a period of 10 or more consecutive business days up to a maximum of </w:t>
            </w:r>
            <w:r w:rsidRPr="000E14D2">
              <w:t>12 months</w:t>
            </w:r>
          </w:p>
        </w:tc>
        <w:tc>
          <w:tcPr>
            <w:tcW w:w="4647" w:type="dxa"/>
          </w:tcPr>
          <w:p w:rsidR="000E14D2" w:rsidRPr="000E14D2" w:rsidRDefault="000E14D2" w:rsidP="000E14D2">
            <w:r w:rsidRPr="00E761F9">
              <w:t>Averaging daily estimates</w:t>
            </w:r>
            <w:r w:rsidRPr="000E14D2">
              <w:t xml:space="preserve"> over a number of days smooths out short term volatility in the annually updated return on debt allowance.</w:t>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 xml:space="preserve">It </w:t>
            </w:r>
            <w:r w:rsidRPr="000E14D2">
              <w:t>should be specified prior to the commencement of the regulatory control period.</w:t>
            </w:r>
          </w:p>
        </w:tc>
        <w:tc>
          <w:tcPr>
            <w:tcW w:w="4647" w:type="dxa"/>
          </w:tcPr>
          <w:p w:rsidR="000E14D2" w:rsidRPr="000E14D2" w:rsidRDefault="000E14D2" w:rsidP="000E14D2">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At the time it is nominated, all dates in the averaging period must take place in the future.</w:t>
            </w:r>
          </w:p>
        </w:tc>
        <w:tc>
          <w:tcPr>
            <w:tcW w:w="4647" w:type="dxa"/>
          </w:tcPr>
          <w:p w:rsidR="000E14D2" w:rsidRPr="000E14D2" w:rsidRDefault="000E14D2" w:rsidP="000E14D2">
            <w:r w:rsidRPr="00E761F9">
              <w:t>If a regulated service provider can select an averaging period by looking at historical yields, it may introduce an upward bias.</w:t>
            </w:r>
            <w:r w:rsidRPr="000E14D2">
              <w:rPr>
                <w:rStyle w:val="FootnoteReference"/>
              </w:rPr>
              <w:footnoteReference w:id="1476"/>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An averaging period needs to be specified for each regulatory year within a regulatory control period.</w:t>
            </w:r>
          </w:p>
        </w:tc>
        <w:tc>
          <w:tcPr>
            <w:tcW w:w="4647" w:type="dxa"/>
          </w:tcPr>
          <w:p w:rsidR="000E14D2" w:rsidRPr="000E14D2" w:rsidRDefault="000E14D2" w:rsidP="000E14D2">
            <w:r w:rsidRPr="00E761F9">
              <w:t>This allows for the annual debt update. The annual debt update reduces the potential for a mismatch between the allowed and actual return on debt for the benchmark efficient entity.</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The proposed averaging periods for different regulatory years are not required to be identical but should not overlap.</w:t>
            </w:r>
          </w:p>
        </w:tc>
        <w:tc>
          <w:tcPr>
            <w:tcW w:w="4647" w:type="dxa"/>
          </w:tcPr>
          <w:p w:rsidR="000E14D2" w:rsidRPr="000E14D2" w:rsidRDefault="000E14D2" w:rsidP="000E14D2">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 xml:space="preserve">The nominal return on debt is to be updated annually using the </w:t>
            </w:r>
            <w:r w:rsidRPr="000E14D2">
              <w:t>agreed averaging period for the relevant regulatory year.</w:t>
            </w:r>
          </w:p>
        </w:tc>
        <w:tc>
          <w:tcPr>
            <w:tcW w:w="4647" w:type="dxa"/>
          </w:tcPr>
          <w:p w:rsidR="000E14D2" w:rsidRPr="000E14D2" w:rsidRDefault="000E14D2" w:rsidP="000E14D2">
            <w:r w:rsidRPr="00E761F9">
              <w:t>This prevents a service provider from introducing bias by only updating annually using the agreed averaging period when it is advantageous for it to do so.</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Each agreed averaging period is to be confidential.</w:t>
            </w:r>
          </w:p>
        </w:tc>
        <w:tc>
          <w:tcPr>
            <w:tcW w:w="4647" w:type="dxa"/>
          </w:tcPr>
          <w:p w:rsidR="000E14D2" w:rsidRPr="000E14D2" w:rsidRDefault="000E14D2" w:rsidP="000E14D2">
            <w:r w:rsidRPr="00E761F9">
              <w:t xml:space="preserve">This facilitates service providers organising their financing arrangements without market participants </w:t>
            </w:r>
            <w:r w:rsidRPr="000E14D2">
              <w:t>being aware of the averaging periods. Accordingly, in practice we keep averaging periods confidential until they expire.</w:t>
            </w:r>
          </w:p>
        </w:tc>
        <w:tc>
          <w:tcPr>
            <w:tcW w:w="1425" w:type="dxa"/>
          </w:tcPr>
          <w:p w:rsidR="000E14D2" w:rsidRPr="000E14D2" w:rsidRDefault="000E14D2" w:rsidP="000E14D2">
            <w:r w:rsidRPr="00E761F9">
              <w:t>Yes</w:t>
            </w:r>
          </w:p>
        </w:tc>
      </w:tr>
    </w:tbl>
    <w:p w:rsidR="000E14D2" w:rsidRPr="00E761F9" w:rsidRDefault="000E14D2" w:rsidP="000E14D2">
      <w:pPr>
        <w:pStyle w:val="AERtablesource"/>
      </w:pPr>
      <w:r w:rsidRPr="00E761F9">
        <w:t xml:space="preserve">Source: </w:t>
      </w:r>
      <w:r w:rsidRPr="00E761F9">
        <w:tab/>
        <w:t xml:space="preserve">AER, </w:t>
      </w:r>
      <w:r w:rsidRPr="00E761F9">
        <w:rPr>
          <w:rStyle w:val="AERtextitalic"/>
        </w:rPr>
        <w:t>Rate of return guideline</w:t>
      </w:r>
      <w:r w:rsidRPr="00E761F9">
        <w:t>, December 2013, pp. 21-22;.</w:t>
      </w:r>
    </w:p>
    <w:p w:rsidR="000E14D2" w:rsidRPr="00E761F9" w:rsidRDefault="000E14D2" w:rsidP="000E14D2">
      <w:r w:rsidRPr="00E761F9">
        <w:t xml:space="preserve">In assessing </w:t>
      </w:r>
      <w:r>
        <w:t>TasNetworks'</w:t>
      </w:r>
      <w:r w:rsidRPr="00E761F9">
        <w:t xml:space="preserve"> </w:t>
      </w:r>
      <w:r>
        <w:t xml:space="preserve">proposed </w:t>
      </w:r>
      <w:r w:rsidRPr="00E761F9">
        <w:t>debt averaging period</w:t>
      </w:r>
      <w:r>
        <w:t>s</w:t>
      </w:r>
      <w:r w:rsidRPr="00E761F9">
        <w:t xml:space="preserve">, we considered the timeframe within which each period should occur. In the Guideline, we proposed that service providers could nominate averaging periods of 10 or more consecutive business days up to a maximum of 12 months. </w:t>
      </w:r>
      <w:r>
        <w:t xml:space="preserve">However, </w:t>
      </w:r>
      <w:r w:rsidRPr="00AC6390">
        <w:t>the timing of the annual price/tariff variation process</w:t>
      </w:r>
      <w:r w:rsidRPr="004057C7">
        <w:t xml:space="preserve"> </w:t>
      </w:r>
      <w:r>
        <w:t>affects</w:t>
      </w:r>
      <w:r w:rsidRPr="004057C7">
        <w:t xml:space="preserve"> how late an averaging period can end and still be implemented in practice.</w:t>
      </w:r>
      <w:r>
        <w:t xml:space="preserve"> Accordingly, u</w:t>
      </w:r>
      <w:r w:rsidRPr="00BB4A87">
        <w:t xml:space="preserve">nder </w:t>
      </w:r>
      <w:r>
        <w:t xml:space="preserve">the </w:t>
      </w:r>
      <w:r w:rsidRPr="00E761F9">
        <w:t>'Annual debt update process' section</w:t>
      </w:r>
      <w:r w:rsidRPr="00BB4A87">
        <w:t xml:space="preserve">, we consider </w:t>
      </w:r>
      <w:r w:rsidRPr="00E761F9">
        <w:t xml:space="preserve">an averaging period for estimating </w:t>
      </w:r>
      <w:r>
        <w:t>TasNetworks' allowed</w:t>
      </w:r>
      <w:r w:rsidRPr="00E761F9">
        <w:t xml:space="preserve"> return on debt for regulatory year t should fall within the following timeframe:</w:t>
      </w:r>
    </w:p>
    <w:p w:rsidR="000E14D2" w:rsidRPr="00AC6390" w:rsidRDefault="000E14D2" w:rsidP="000E14D2">
      <w:pPr>
        <w:pStyle w:val="AERbulletlistfirststyle"/>
      </w:pPr>
      <w:r w:rsidRPr="00AC6390">
        <w:t>end no later than 25 business days before a service provider submits its annual pricing proposal or reference tariff variation proposal for year t to the AER</w:t>
      </w:r>
      <w:r w:rsidRPr="00AC6390">
        <w:footnoteReference w:id="1477"/>
      </w:r>
    </w:p>
    <w:p w:rsidR="000E14D2" w:rsidRPr="00AC6390" w:rsidRDefault="000E14D2" w:rsidP="000E14D2">
      <w:pPr>
        <w:pStyle w:val="AERbulletlistfirststyle"/>
      </w:pPr>
      <w:r w:rsidRPr="00AC6390">
        <w:t>commence no earlier than 12 months plus 25 business days before a service provider submits its annual pricing proposal or reference tariff variation proposal for year t to the AER.</w:t>
      </w:r>
    </w:p>
    <w:p w:rsidR="000E14D2" w:rsidRPr="00E761F9" w:rsidRDefault="000E14D2" w:rsidP="000E14D2">
      <w:r>
        <w:t xml:space="preserve">We consider TasNetworks' proposed averaging periods for 2017 to 2019 can be practically applied because they fall within this timeframe. </w:t>
      </w:r>
      <w:r w:rsidRPr="00E761F9">
        <w:t xml:space="preserve">We discuss this in </w:t>
      </w:r>
      <w:r>
        <w:t xml:space="preserve">more </w:t>
      </w:r>
      <w:r w:rsidRPr="00E761F9">
        <w:t>detail in the 'Annual debt update process' section.</w:t>
      </w:r>
    </w:p>
    <w:p w:rsidR="000E14D2" w:rsidRPr="00E761F9" w:rsidRDefault="000E14D2" w:rsidP="000E14D2">
      <w:pPr>
        <w:pStyle w:val="HeadingBoldItalic"/>
      </w:pPr>
      <w:r w:rsidRPr="00E761F9">
        <w:t xml:space="preserve">Annual debt update process </w:t>
      </w:r>
    </w:p>
    <w:p w:rsidR="000E14D2" w:rsidRDefault="000E14D2" w:rsidP="000E14D2">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TasNetworks is set out in </w:t>
      </w:r>
      <w:r>
        <w:fldChar w:fldCharType="begin"/>
      </w:r>
      <w:r>
        <w:instrText xml:space="preserve"> REF  _Ref480465550 \* Lower \h </w:instrText>
      </w:r>
      <w:r>
        <w:fldChar w:fldCharType="separate"/>
      </w:r>
      <w:r w:rsidR="00C6448C">
        <w:t xml:space="preserve">table </w:t>
      </w:r>
      <w:r w:rsidR="00C6448C">
        <w:rPr>
          <w:noProof/>
        </w:rPr>
        <w:t>3</w:t>
      </w:r>
      <w:r w:rsidR="00C6448C">
        <w:noBreakHyphen/>
      </w:r>
      <w:r w:rsidR="00C6448C">
        <w:rPr>
          <w:noProof/>
        </w:rPr>
        <w:t>45</w:t>
      </w:r>
      <w:r>
        <w:fldChar w:fldCharType="end"/>
      </w:r>
      <w:r>
        <w:t xml:space="preserve">. </w:t>
      </w:r>
    </w:p>
    <w:p w:rsidR="000E14D2" w:rsidRPr="004057C7" w:rsidRDefault="000E14D2" w:rsidP="000E14D2">
      <w:pPr>
        <w:pStyle w:val="Caption"/>
      </w:pPr>
      <w:bookmarkStart w:id="438" w:name="_Ref480465550"/>
      <w:r>
        <w:t xml:space="preserve">Table </w:t>
      </w:r>
      <w:r w:rsidRPr="000E14D2">
        <w:fldChar w:fldCharType="begin"/>
      </w:r>
      <w:r>
        <w:instrText xml:space="preserve"> STYLEREF 1 \s </w:instrText>
      </w:r>
      <w:r w:rsidRPr="000E14D2">
        <w:fldChar w:fldCharType="separate"/>
      </w:r>
      <w:r w:rsidR="00C6448C">
        <w:rPr>
          <w:noProof/>
        </w:rPr>
        <w:t>3</w:t>
      </w:r>
      <w:r w:rsidRPr="000E14D2">
        <w:fldChar w:fldCharType="end"/>
      </w:r>
      <w:r>
        <w:noBreakHyphen/>
      </w:r>
      <w:r w:rsidRPr="000E14D2">
        <w:fldChar w:fldCharType="begin"/>
      </w:r>
      <w:r>
        <w:instrText xml:space="preserve"> SEQ Table \* ARABIC \s 1 </w:instrText>
      </w:r>
      <w:r w:rsidRPr="000E14D2">
        <w:fldChar w:fldCharType="separate"/>
      </w:r>
      <w:r w:rsidR="00C6448C">
        <w:rPr>
          <w:noProof/>
        </w:rPr>
        <w:t>45</w:t>
      </w:r>
      <w:r w:rsidRPr="000E14D2">
        <w:fldChar w:fldCharType="end"/>
      </w:r>
      <w:bookmarkEnd w:id="438"/>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0E14D2" w:rsidRPr="00616FA2" w:rsidTr="00E3755A">
        <w:trPr>
          <w:cnfStyle w:val="100000000000" w:firstRow="1" w:lastRow="0" w:firstColumn="0" w:lastColumn="0" w:oddVBand="0" w:evenVBand="0" w:oddHBand="0" w:evenHBand="0" w:firstRowFirstColumn="0" w:firstRowLastColumn="0" w:lastRowFirstColumn="0" w:lastRowLastColumn="0"/>
        </w:trPr>
        <w:tc>
          <w:tcPr>
            <w:tcW w:w="374" w:type="pct"/>
          </w:tcPr>
          <w:p w:rsidR="000E14D2" w:rsidRPr="000E14D2" w:rsidRDefault="000E14D2" w:rsidP="000E14D2">
            <w:pPr>
              <w:pStyle w:val="AERtabletextleft"/>
            </w:pPr>
            <w:r w:rsidRPr="00616FA2">
              <w:t>Step</w:t>
            </w:r>
          </w:p>
        </w:tc>
        <w:tc>
          <w:tcPr>
            <w:tcW w:w="1233" w:type="pct"/>
          </w:tcPr>
          <w:p w:rsidR="000E14D2" w:rsidRPr="000E14D2" w:rsidRDefault="000E14D2" w:rsidP="000E14D2">
            <w:pPr>
              <w:pStyle w:val="AERtabletextleft"/>
            </w:pPr>
            <w:r w:rsidRPr="00616FA2">
              <w:t>Timing</w:t>
            </w:r>
          </w:p>
        </w:tc>
        <w:tc>
          <w:tcPr>
            <w:tcW w:w="1527" w:type="pct"/>
          </w:tcPr>
          <w:p w:rsidR="000E14D2" w:rsidRPr="000E14D2" w:rsidRDefault="000E14D2" w:rsidP="000E14D2">
            <w:pPr>
              <w:pStyle w:val="AERtabletextleft"/>
            </w:pPr>
            <w:r w:rsidRPr="00616FA2">
              <w:t>Description of step</w:t>
            </w:r>
          </w:p>
        </w:tc>
        <w:tc>
          <w:tcPr>
            <w:tcW w:w="1866" w:type="pct"/>
          </w:tcPr>
          <w:p w:rsidR="000E14D2" w:rsidRPr="000E14D2" w:rsidRDefault="000E14D2" w:rsidP="000E14D2">
            <w:pPr>
              <w:pStyle w:val="AERtabletextleft"/>
            </w:pPr>
            <w:r w:rsidRPr="00616FA2">
              <w:t>Reasons for timing</w:t>
            </w:r>
          </w:p>
        </w:tc>
      </w:tr>
      <w:tr w:rsidR="000E14D2" w:rsidRPr="00616FA2" w:rsidTr="00E3755A">
        <w:tc>
          <w:tcPr>
            <w:tcW w:w="374" w:type="pct"/>
          </w:tcPr>
          <w:p w:rsidR="000E14D2" w:rsidRPr="00AC6390" w:rsidRDefault="000E14D2" w:rsidP="000E14D2">
            <w:pPr>
              <w:pStyle w:val="AERtabletextleft"/>
            </w:pPr>
            <w:r w:rsidRPr="00AC6390">
              <w:t>1</w:t>
            </w:r>
          </w:p>
        </w:tc>
        <w:tc>
          <w:tcPr>
            <w:tcW w:w="1233" w:type="pct"/>
            <w:vAlign w:val="top"/>
          </w:tcPr>
          <w:p w:rsidR="000E14D2" w:rsidRPr="000E14D2" w:rsidRDefault="000E14D2" w:rsidP="000E14D2">
            <w:pPr>
              <w:pStyle w:val="AERtabletextleft"/>
            </w:pPr>
            <w:r w:rsidRPr="00AC6390">
              <w:t>25 business days before a distributor submits its pricing proposal to us.</w:t>
            </w:r>
          </w:p>
        </w:tc>
        <w:tc>
          <w:tcPr>
            <w:tcW w:w="1527" w:type="pct"/>
            <w:vAlign w:val="top"/>
          </w:tcPr>
          <w:p w:rsidR="000E14D2" w:rsidRPr="000E14D2" w:rsidRDefault="000E14D2" w:rsidP="000E14D2">
            <w:pPr>
              <w:pStyle w:val="AERtabletextleft"/>
            </w:pPr>
            <w:r w:rsidRPr="00AC6390">
              <w:t>Averaging period ends on or before this date.</w:t>
            </w:r>
          </w:p>
        </w:tc>
        <w:tc>
          <w:tcPr>
            <w:tcW w:w="1866" w:type="pct"/>
            <w:vAlign w:val="top"/>
          </w:tcPr>
          <w:p w:rsidR="000E14D2" w:rsidRPr="000E14D2" w:rsidRDefault="000E14D2" w:rsidP="000E14D2">
            <w:pPr>
              <w:pStyle w:val="AERtabletextleft"/>
            </w:pPr>
            <w:r w:rsidRPr="00AC6390">
              <w:t>We determine the maximum practical end date of the averaging period from the timing of steps 2 and 3.</w:t>
            </w:r>
          </w:p>
        </w:tc>
      </w:tr>
      <w:tr w:rsidR="000E14D2" w:rsidRPr="00616FA2" w:rsidTr="00E3755A">
        <w:trPr>
          <w:cnfStyle w:val="000000010000" w:firstRow="0" w:lastRow="0" w:firstColumn="0" w:lastColumn="0" w:oddVBand="0" w:evenVBand="0" w:oddHBand="0" w:evenHBand="1" w:firstRowFirstColumn="0" w:firstRowLastColumn="0" w:lastRowFirstColumn="0" w:lastRowLastColumn="0"/>
        </w:trPr>
        <w:tc>
          <w:tcPr>
            <w:tcW w:w="374" w:type="pct"/>
          </w:tcPr>
          <w:p w:rsidR="000E14D2" w:rsidRPr="00AC6390" w:rsidRDefault="000E14D2" w:rsidP="000E14D2">
            <w:pPr>
              <w:pStyle w:val="AERtabletextleft"/>
            </w:pPr>
            <w:r w:rsidRPr="00AC6390">
              <w:t>2</w:t>
            </w:r>
          </w:p>
        </w:tc>
        <w:tc>
          <w:tcPr>
            <w:tcW w:w="1233" w:type="pct"/>
            <w:vAlign w:val="top"/>
          </w:tcPr>
          <w:p w:rsidR="000E14D2" w:rsidRPr="000E14D2" w:rsidRDefault="000E14D2" w:rsidP="000E14D2">
            <w:pPr>
              <w:pStyle w:val="AERtabletextleft"/>
            </w:pPr>
            <w:r w:rsidRPr="00AC6390">
              <w:t>10 business days before a distributor submits its pricing proposal to us.</w:t>
            </w:r>
          </w:p>
        </w:tc>
        <w:tc>
          <w:tcPr>
            <w:tcW w:w="1527" w:type="pct"/>
            <w:vAlign w:val="top"/>
          </w:tcPr>
          <w:p w:rsidR="000E14D2" w:rsidRPr="000E14D2" w:rsidRDefault="000E14D2" w:rsidP="000E14D2">
            <w:pPr>
              <w:pStyle w:val="AERtabletextleft"/>
            </w:pPr>
            <w:r w:rsidRPr="00AC6390">
              <w:t>So the distributor can factor this into its annual pricing proposal, we inform it of updates on the return on debt, annual building block revenue requirement and X factor that incorporates the updated return on debt.</w:t>
            </w:r>
          </w:p>
        </w:tc>
        <w:tc>
          <w:tcPr>
            <w:tcW w:w="1866" w:type="pct"/>
            <w:vAlign w:val="top"/>
          </w:tcPr>
          <w:p w:rsidR="000E14D2" w:rsidRPr="000E14D2" w:rsidRDefault="000E14D2" w:rsidP="000E14D2">
            <w:pPr>
              <w:pStyle w:val="AERtabletextleft"/>
            </w:pPr>
            <w:r w:rsidRPr="00AC6390">
              <w:t>15 business days between steps 1 and 2 provides sufficient time for us to calculate (and provide quality assurance checks on the updated return on debt, revenue and X factor.</w:t>
            </w:r>
          </w:p>
        </w:tc>
      </w:tr>
      <w:tr w:rsidR="000E14D2" w:rsidRPr="00616FA2" w:rsidTr="00E3755A">
        <w:tc>
          <w:tcPr>
            <w:tcW w:w="374" w:type="pct"/>
          </w:tcPr>
          <w:p w:rsidR="000E14D2" w:rsidRPr="00AC6390" w:rsidRDefault="000E14D2" w:rsidP="000E14D2">
            <w:pPr>
              <w:pStyle w:val="AERtabletextleft"/>
            </w:pPr>
          </w:p>
        </w:tc>
        <w:tc>
          <w:tcPr>
            <w:tcW w:w="1233" w:type="pct"/>
            <w:vAlign w:val="top"/>
          </w:tcPr>
          <w:p w:rsidR="000E14D2" w:rsidRPr="00AC6390" w:rsidRDefault="000E14D2" w:rsidP="000E14D2">
            <w:pPr>
              <w:pStyle w:val="AERtabletextleft"/>
            </w:pPr>
            <w:r w:rsidRPr="00AC6390">
              <w:t>A distributor submits its pricing proposal to us on the date determined by the rules.</w:t>
            </w:r>
          </w:p>
        </w:tc>
        <w:tc>
          <w:tcPr>
            <w:tcW w:w="1527" w:type="pct"/>
            <w:vAlign w:val="top"/>
          </w:tcPr>
          <w:p w:rsidR="000E14D2" w:rsidRPr="00AC6390" w:rsidRDefault="000E14D2" w:rsidP="000E14D2">
            <w:pPr>
              <w:pStyle w:val="AERtabletextleft"/>
            </w:pPr>
            <w:r w:rsidRPr="00AC6390">
              <w:t>The distributor submits its pricing proposal to us for the relevant year.</w:t>
            </w:r>
          </w:p>
        </w:tc>
        <w:tc>
          <w:tcPr>
            <w:tcW w:w="1866" w:type="pct"/>
            <w:vAlign w:val="top"/>
          </w:tcPr>
          <w:p w:rsidR="000E14D2" w:rsidRPr="00AC6390" w:rsidRDefault="000E14D2" w:rsidP="000E14D2">
            <w:pPr>
              <w:pStyle w:val="AERtabletextleft"/>
            </w:pPr>
            <w:r w:rsidRPr="00AC6390">
              <w:t xml:space="preserve">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  </w:t>
            </w:r>
          </w:p>
        </w:tc>
      </w:tr>
    </w:tbl>
    <w:p w:rsidR="000E14D2" w:rsidRDefault="000E14D2" w:rsidP="000E14D2">
      <w:pPr>
        <w:pStyle w:val="AERtablesource"/>
      </w:pPr>
      <w:r>
        <w:t xml:space="preserve">Source: </w:t>
      </w:r>
      <w:r>
        <w:tab/>
        <w:t>AER analysis.</w:t>
      </w:r>
    </w:p>
    <w:p w:rsidR="000E14D2" w:rsidRPr="00E761F9" w:rsidRDefault="000E14D2" w:rsidP="000E14D2">
      <w:r w:rsidRPr="00E761F9">
        <w:t xml:space="preserve">On the basis of the process outlined in </w:t>
      </w:r>
      <w:r>
        <w:fldChar w:fldCharType="begin"/>
      </w:r>
      <w:r>
        <w:instrText xml:space="preserve"> REF  _Ref480465550 \* Lower \h </w:instrText>
      </w:r>
      <w:r>
        <w:fldChar w:fldCharType="separate"/>
      </w:r>
      <w:r w:rsidR="00C6448C">
        <w:t xml:space="preserve">table </w:t>
      </w:r>
      <w:r w:rsidR="00C6448C">
        <w:rPr>
          <w:noProof/>
        </w:rPr>
        <w:t>3</w:t>
      </w:r>
      <w:r w:rsidR="00C6448C">
        <w:noBreakHyphen/>
      </w:r>
      <w:r w:rsidR="00C6448C">
        <w:rPr>
          <w:noProof/>
        </w:rPr>
        <w:t>45</w:t>
      </w:r>
      <w:r>
        <w:fldChar w:fldCharType="end"/>
      </w:r>
      <w:r w:rsidRPr="00E761F9">
        <w:t>, we consider an averaging period for estimating the return on debt for regulatory year t should fall within the following timeframe:</w:t>
      </w:r>
    </w:p>
    <w:p w:rsidR="000E14D2" w:rsidRPr="00E761F9" w:rsidRDefault="000E14D2" w:rsidP="000E14D2">
      <w:pPr>
        <w:pStyle w:val="AERbulletlistfirststyle"/>
      </w:pPr>
      <w:r w:rsidRPr="00E761F9">
        <w:t>end no later than 25 business days before a distributor submits its annual pricing proposal for year t to the AER</w:t>
      </w:r>
    </w:p>
    <w:p w:rsidR="000E14D2" w:rsidRPr="00E761F9" w:rsidRDefault="000E14D2" w:rsidP="000E14D2">
      <w:pPr>
        <w:pStyle w:val="AERbulletlistfirststyle"/>
      </w:pPr>
      <w:r w:rsidRPr="00E761F9">
        <w:t>commence no earlier than 12 months plus 25 business days before a distributor submits its annual pricing proposal for year t to the AER.</w:t>
      </w:r>
      <w:r w:rsidRPr="00E761F9">
        <w:rPr>
          <w:rStyle w:val="FootnoteReference"/>
        </w:rPr>
        <w:footnoteReference w:id="1478"/>
      </w:r>
    </w:p>
    <w:p w:rsidR="000E14D2" w:rsidRPr="00E761F9" w:rsidRDefault="000E14D2" w:rsidP="000E14D2">
      <w:pPr>
        <w:numPr>
          <w:ilvl w:val="0"/>
          <w:numId w:val="24"/>
        </w:numPr>
      </w:pPr>
      <w:r w:rsidRPr="00E761F9">
        <w:t>However, as set out in</w:t>
      </w:r>
      <w:r>
        <w:t xml:space="preserve"> </w:t>
      </w:r>
      <w:r>
        <w:fldChar w:fldCharType="begin"/>
      </w:r>
      <w:r>
        <w:instrText xml:space="preserve"> REF  _Ref480465550 \* Lower \h </w:instrText>
      </w:r>
      <w:r>
        <w:fldChar w:fldCharType="separate"/>
      </w:r>
      <w:r w:rsidR="00C6448C">
        <w:t xml:space="preserve">table </w:t>
      </w:r>
      <w:r w:rsidR="00C6448C">
        <w:rPr>
          <w:noProof/>
        </w:rPr>
        <w:t>3</w:t>
      </w:r>
      <w:r w:rsidR="00C6448C">
        <w:noBreakHyphen/>
      </w:r>
      <w:r w:rsidR="00C6448C">
        <w:rPr>
          <w:noProof/>
        </w:rPr>
        <w:t>45</w:t>
      </w:r>
      <w:r>
        <w:fldChar w:fldCharType="end"/>
      </w:r>
      <w:r w:rsidRPr="00E761F9">
        <w:t>, we are open to individual distributors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distributor must submit its annual pricing proposal to us.</w:t>
      </w:r>
    </w:p>
    <w:p w:rsidR="000E14D2" w:rsidRPr="00E761F9" w:rsidRDefault="000E14D2" w:rsidP="000E14D2">
      <w:pPr>
        <w:numPr>
          <w:ilvl w:val="0"/>
          <w:numId w:val="24"/>
        </w:numPr>
      </w:pPr>
      <w:r w:rsidRPr="00E761F9">
        <w:t xml:space="preserve">The process outlined in </w:t>
      </w:r>
      <w:r>
        <w:fldChar w:fldCharType="begin"/>
      </w:r>
      <w:r>
        <w:instrText xml:space="preserve"> REF  _Ref479863638 \* Lower \h </w:instrText>
      </w:r>
      <w:r>
        <w:fldChar w:fldCharType="separate"/>
      </w:r>
      <w:r w:rsidR="00C6448C">
        <w:t xml:space="preserve">table </w:t>
      </w:r>
      <w:r w:rsidR="00C6448C">
        <w:rPr>
          <w:noProof/>
        </w:rPr>
        <w:t>3</w:t>
      </w:r>
      <w:r w:rsidR="00C6448C">
        <w:noBreakHyphen/>
      </w:r>
      <w:r w:rsidR="00C6448C">
        <w:rPr>
          <w:noProof/>
        </w:rPr>
        <w:t>19</w:t>
      </w:r>
      <w:r>
        <w:fldChar w:fldCharType="end"/>
      </w:r>
      <w:r w:rsidRPr="00E761F9">
        <w:t xml:space="preserve"> does not apply to the first regulatory year in the regulatory control period. This is because the distribution determination will include the X factor for the first year, which will already incorporate the first year return on debt. Therefore, this process will generally apply to the subsequent years of a regulatory control period.</w:t>
      </w:r>
    </w:p>
    <w:p w:rsidR="000E14D2" w:rsidRPr="00E761F9" w:rsidRDefault="000E14D2" w:rsidP="000E14D2">
      <w:pPr>
        <w:numPr>
          <w:ilvl w:val="0"/>
          <w:numId w:val="24"/>
        </w:numPr>
      </w:pPr>
      <w:r w:rsidRPr="00E761F9">
        <w:t xml:space="preserve">In </w:t>
      </w:r>
      <w:r>
        <w:fldChar w:fldCharType="begin"/>
      </w:r>
      <w:r>
        <w:instrText xml:space="preserve"> REF  _Ref480465550 \* Lower \h </w:instrText>
      </w:r>
      <w:r>
        <w:fldChar w:fldCharType="separate"/>
      </w:r>
      <w:r w:rsidR="00C6448C">
        <w:t xml:space="preserve">table </w:t>
      </w:r>
      <w:r w:rsidR="00C6448C">
        <w:rPr>
          <w:noProof/>
        </w:rPr>
        <w:t>3</w:t>
      </w:r>
      <w:r w:rsidR="00C6448C">
        <w:noBreakHyphen/>
      </w:r>
      <w:r w:rsidR="00C6448C">
        <w:rPr>
          <w:noProof/>
        </w:rPr>
        <w:t>45</w:t>
      </w:r>
      <w:r>
        <w:fldChar w:fldCharType="end"/>
      </w:r>
      <w:r w:rsidRPr="00E761F9">
        <w:t>, we propose calculating the return on debt, annual building block revenue requirement, and X factor in accordance with the formula in the distribution determination. And we propose informing the distributor of our calculations before it submits its annual pricing proposal. We consider this preferable to the alternative approach, where we would assess updates the distributor calculated itself and submitted with its annual pricing proposal. This alternative approach could significantly complicate the annual pricing approval process if we identify calculation errors and require the distributor to revise all its proposed prices. On the other hand, our approach focusses the annual pricing approval process on how the distributor has incorporated the revised X factor into its prices, rather than also assessing the revised X factor itself.</w:t>
      </w:r>
    </w:p>
    <w:p w:rsidR="000E14D2" w:rsidRPr="00E761F9" w:rsidRDefault="000E14D2" w:rsidP="000E14D2">
      <w:pPr>
        <w:numPr>
          <w:ilvl w:val="0"/>
          <w:numId w:val="24"/>
        </w:numPr>
      </w:pPr>
      <w:r w:rsidRPr="00E761F9">
        <w:t>The above process factors in the date that the rules require distributors to submit their annual pricing proposals to us.</w:t>
      </w:r>
      <w:r w:rsidRPr="00E761F9">
        <w:rPr>
          <w:rStyle w:val="FootnoteReference"/>
        </w:rPr>
        <w:footnoteReference w:id="1479"/>
      </w:r>
      <w:r w:rsidRPr="00E761F9">
        <w:t xml:space="preserve"> In November 2014, the AEMC made a rule determination that affected this date.</w:t>
      </w:r>
      <w:r w:rsidRPr="00E761F9">
        <w:rPr>
          <w:rStyle w:val="FootnoteReference"/>
        </w:rPr>
        <w:footnoteReference w:id="1480"/>
      </w:r>
      <w:r>
        <w:t xml:space="preserve"> The AEMC determined that f</w:t>
      </w:r>
      <w:r w:rsidRPr="00E761F9">
        <w:t>rom 2017—distributors will be required to submit their annual pricing proposal to us by:</w:t>
      </w:r>
      <w:r w:rsidRPr="00E761F9">
        <w:rPr>
          <w:rStyle w:val="FootnoteReference"/>
        </w:rPr>
        <w:footnoteReference w:id="1481"/>
      </w:r>
    </w:p>
    <w:p w:rsidR="000E14D2" w:rsidRPr="00E761F9" w:rsidRDefault="000E14D2" w:rsidP="000E14D2">
      <w:pPr>
        <w:pStyle w:val="AERbulletlistsecondstyle"/>
      </w:pPr>
      <w:r w:rsidRPr="00E761F9">
        <w:t>31 March each year (non-Victorian distributors)</w:t>
      </w:r>
    </w:p>
    <w:p w:rsidR="000E14D2" w:rsidRPr="00E761F9" w:rsidRDefault="000E14D2" w:rsidP="000E14D2">
      <w:pPr>
        <w:pStyle w:val="AERbulletlistsecondstyle"/>
      </w:pPr>
      <w:r w:rsidRPr="00E761F9">
        <w:t>30 September each year (Victorian distributors).</w:t>
      </w:r>
    </w:p>
    <w:p w:rsidR="00762CF4" w:rsidRPr="00762CF4" w:rsidRDefault="00762CF4" w:rsidP="00762CF4">
      <w:pPr>
        <w:pStyle w:val="Heading7"/>
      </w:pPr>
      <w:bookmarkStart w:id="439" w:name="_Toc481057106"/>
      <w:r>
        <w:t>Expected inflation</w:t>
      </w:r>
      <w:bookmarkEnd w:id="439"/>
    </w:p>
    <w:p w:rsidR="00762CF4" w:rsidRDefault="00762CF4" w:rsidP="00762CF4">
      <w:r>
        <w:t xml:space="preserve">We set out the reasons for our inflation decision in section </w:t>
      </w:r>
      <w:r>
        <w:fldChar w:fldCharType="begin"/>
      </w:r>
      <w:r>
        <w:instrText xml:space="preserve"> REF _Ref478996842 \r \h </w:instrText>
      </w:r>
      <w:r>
        <w:fldChar w:fldCharType="separate"/>
      </w:r>
      <w:r w:rsidR="00C6448C">
        <w:t>3.4.4</w:t>
      </w:r>
      <w:r>
        <w:fldChar w:fldCharType="end"/>
      </w:r>
      <w:r>
        <w:t>. This section details our response to issues raised in regulatory proposals and submissions in this and in concurrent regulatory processes.</w:t>
      </w:r>
    </w:p>
    <w:p w:rsidR="00205FDB" w:rsidRDefault="00205FDB" w:rsidP="00205FDB">
      <w:bookmarkStart w:id="440" w:name="_Ref477804755"/>
      <w:r>
        <w:t xml:space="preserve">It is important to note that we are currently conducting a broader review of the inflation method used in our post-tax revenue model. That review is yet to be finalised and so findings from the review cannot therefore be included in this final decision. </w:t>
      </w:r>
    </w:p>
    <w:p w:rsidR="00205FDB" w:rsidRDefault="00205FDB" w:rsidP="00205FDB">
      <w:r>
        <w:t>The discussion set out here is necessarily limited to the information available to us at the time of making this determination. It is also necessarily limited having regard to both the time available (within the determination making process), and the fact that there has not been industry wide consideration of the issue. Our conclusions set out here therefore do not indicate the result of the review we are currently undertaking.  In the context of that wider industry review, we expect we will have additional submissions and more complete analyses available to us.</w:t>
      </w:r>
    </w:p>
    <w:p w:rsidR="00205FDB" w:rsidRDefault="00205FDB" w:rsidP="00205FDB">
      <w:r>
        <w:t>That said, for the purposes of this determination, on the basis of the information currently available to us, we consider the method for estimating expected inflation in the current post-tax revenue model:</w:t>
      </w:r>
    </w:p>
    <w:p w:rsidR="00205FDB" w:rsidRDefault="00205FDB" w:rsidP="00205FDB">
      <w:pPr>
        <w:pStyle w:val="AERbulletlistfirststyle"/>
      </w:pPr>
      <w:r>
        <w:t xml:space="preserve">reflects our best estimate of expected inflation, </w:t>
      </w:r>
    </w:p>
    <w:p w:rsidR="00205FDB" w:rsidRDefault="00205FDB" w:rsidP="00205FDB">
      <w:pPr>
        <w:pStyle w:val="AERbulletlistfirststyle"/>
      </w:pPr>
      <w:r>
        <w:t>is commensurate with the efficient financing costs of a benchmark efficient service provider,</w:t>
      </w:r>
      <w:r>
        <w:rPr>
          <w:rStyle w:val="FootnoteReference"/>
        </w:rPr>
        <w:footnoteReference w:id="1482"/>
      </w:r>
    </w:p>
    <w:p w:rsidR="00205FDB" w:rsidRDefault="00205FDB" w:rsidP="00205FDB">
      <w:pPr>
        <w:pStyle w:val="AERbulletlistfirststyle"/>
      </w:pPr>
      <w:r>
        <w:t>contributes to the achievement of the National Electricity Objective and revenue and pricing principles.</w:t>
      </w:r>
    </w:p>
    <w:p w:rsidR="00762CF4" w:rsidRPr="00762CF4" w:rsidRDefault="00762CF4" w:rsidP="00882F3D">
      <w:pPr>
        <w:pStyle w:val="Heading8"/>
        <w:numPr>
          <w:ilvl w:val="1"/>
          <w:numId w:val="45"/>
        </w:numPr>
      </w:pPr>
      <w:bookmarkStart w:id="441" w:name="_Toc481057107"/>
      <w:r>
        <w:t>Issues with the RBA approach</w:t>
      </w:r>
      <w:bookmarkEnd w:id="440"/>
      <w:bookmarkEnd w:id="441"/>
    </w:p>
    <w:p w:rsidR="00762CF4" w:rsidRDefault="00762CF4" w:rsidP="00762CF4">
      <w:r>
        <w:t>Under the RBA forecasts and target band approach, 10 year inflation expectations are estimated as the geometric mean of 10 annual inflation rates, comprising:</w:t>
      </w:r>
    </w:p>
    <w:p w:rsidR="00762CF4" w:rsidRDefault="00762CF4" w:rsidP="00762CF4">
      <w:pPr>
        <w:pStyle w:val="AERbulletlistfirststyle"/>
      </w:pPr>
      <w:r>
        <w:t>The RBA's short term inflation forecasts for years 1 and 2.</w:t>
      </w:r>
    </w:p>
    <w:p w:rsidR="00762CF4" w:rsidRDefault="00762CF4" w:rsidP="00762CF4">
      <w:pPr>
        <w:pStyle w:val="AERbulletlistfirststyle"/>
      </w:pPr>
      <w:r>
        <w:t>The mid-point of the RBA's target band for each year from years 3 to 10.</w:t>
      </w:r>
    </w:p>
    <w:p w:rsidR="00762CF4" w:rsidRPr="00762CF4" w:rsidRDefault="00762CF4" w:rsidP="00762CF4">
      <w:pPr>
        <w:pStyle w:val="Heading9"/>
      </w:pPr>
      <w:r>
        <w:t>The</w:t>
      </w:r>
      <w:r w:rsidRPr="00762CF4">
        <w:t xml:space="preserve"> RBA's short-term forecasts used in years 1 and 2</w:t>
      </w:r>
    </w:p>
    <w:p w:rsidR="00762CF4" w:rsidRDefault="00762CF4" w:rsidP="00762CF4">
      <w:r>
        <w:t>In our draft decision on AusNet Services' 2017–22 electricity transmission determination we noted that</w:t>
      </w:r>
      <w:r w:rsidRPr="007E2BD9">
        <w:t xml:space="preserve"> Tulip and Wallace </w:t>
      </w:r>
      <w:r>
        <w:t>(2012)</w:t>
      </w:r>
      <w:r w:rsidRPr="007E2BD9">
        <w:t xml:space="preserve"> </w:t>
      </w:r>
      <w:r>
        <w:t xml:space="preserve">find that the RBA’s </w:t>
      </w:r>
      <w:r w:rsidRPr="007E2BD9">
        <w:t>1 year forecasts of inflation have substantial explanatory power and in the past RBA forecasts have been marginally more accurate than private sector forecasts.</w:t>
      </w:r>
      <w:r>
        <w:rPr>
          <w:rStyle w:val="FootnoteReference"/>
        </w:rPr>
        <w:footnoteReference w:id="1483"/>
      </w:r>
      <w:r>
        <w:t xml:space="preserve"> </w:t>
      </w:r>
    </w:p>
    <w:p w:rsidR="00762CF4" w:rsidRDefault="00762CF4" w:rsidP="00762CF4">
      <w:r>
        <w:t>CEG submitted that</w:t>
      </w:r>
      <w:r w:rsidRPr="008E5C2B">
        <w:t xml:space="preserve"> Tulip and Wallace (2012) report wide confidence intervals for the RBA</w:t>
      </w:r>
      <w:r>
        <w:t>'s short-term</w:t>
      </w:r>
      <w:r w:rsidRPr="008E5C2B">
        <w:t xml:space="preserve"> forecasts. </w:t>
      </w:r>
      <w:r>
        <w:t>CEG noted that for the</w:t>
      </w:r>
      <w:r w:rsidRPr="008E5C2B">
        <w:t xml:space="preserve"> underlying inflation</w:t>
      </w:r>
      <w:r>
        <w:t xml:space="preserve"> measure</w:t>
      </w:r>
      <w:r w:rsidRPr="008E5C2B">
        <w:t>, actual inflation lies outside a 100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 For </w:t>
      </w:r>
      <w:r>
        <w:t xml:space="preserve">the </w:t>
      </w:r>
      <w:r w:rsidRPr="008E5C2B">
        <w:t>CPI</w:t>
      </w:r>
      <w:r>
        <w:t xml:space="preserve"> inflation measure,</w:t>
      </w:r>
      <w:r w:rsidRPr="008E5C2B">
        <w:t xml:space="preserve"> the actual inflation will lie outside a 200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w:t>
      </w:r>
      <w:r>
        <w:t xml:space="preserve"> </w:t>
      </w:r>
    </w:p>
    <w:p w:rsidR="00762CF4" w:rsidRDefault="00762CF4" w:rsidP="00762CF4">
      <w:r>
        <w:t>However, CEG also noted that, on</w:t>
      </w:r>
      <w:r w:rsidRPr="008E5C2B">
        <w:t xml:space="preserve"> the </w:t>
      </w:r>
      <w:r>
        <w:t xml:space="preserve">relative </w:t>
      </w:r>
      <w:r w:rsidRPr="008E5C2B">
        <w:t xml:space="preserve">accuracy of RBA forecasts relative to forecasts by the private sector, Tulip and Wallace (2012) states “the differences are small and </w:t>
      </w:r>
      <w:r>
        <w:t>not statistically significant”.</w:t>
      </w:r>
      <w:r>
        <w:rPr>
          <w:rStyle w:val="FootnoteReference"/>
        </w:rPr>
        <w:footnoteReference w:id="1484"/>
      </w:r>
    </w:p>
    <w:p w:rsidR="00762CF4" w:rsidRDefault="00762CF4" w:rsidP="00762CF4">
      <w:r>
        <w:t xml:space="preserve">Tulip &amp; Wallace (2012) find that, regardless of the size of the confidence intervals, short term inflation forecasts by other entities do not materially outperform the RBA's forecasts. We note that in addition to Tulip and Wallace (2012), </w:t>
      </w:r>
      <w:r w:rsidRPr="00844BA4">
        <w:t xml:space="preserve">Tawadros </w:t>
      </w:r>
      <w:r>
        <w:t xml:space="preserve">(2013) </w:t>
      </w:r>
      <w:r w:rsidRPr="00844BA4">
        <w:t>found that the RBA forecasts produce much lower forecasting errors than the forecasts made by three other private sources</w:t>
      </w:r>
      <w:r>
        <w:t xml:space="preserve"> (</w:t>
      </w:r>
      <w:r w:rsidRPr="00844BA4">
        <w:t>non-academic market economists, those made by union officials and the forecasts made by consumers or business people</w:t>
      </w:r>
      <w:r>
        <w:t>). T</w:t>
      </w:r>
      <w:r w:rsidRPr="00844BA4">
        <w:t xml:space="preserve">he empirical results </w:t>
      </w:r>
      <w:r>
        <w:t xml:space="preserve">in Tawadros (2013) </w:t>
      </w:r>
      <w:r w:rsidRPr="00844BA4">
        <w:t>show</w:t>
      </w:r>
      <w:r>
        <w:t>ed</w:t>
      </w:r>
      <w:r w:rsidRPr="00844BA4">
        <w:t xml:space="preserve"> that the RBA had superior predictive information about inflation over the period of June 1993 to December 2010</w:t>
      </w:r>
      <w:r>
        <w:t>.</w:t>
      </w:r>
      <w:r>
        <w:rPr>
          <w:rStyle w:val="FootnoteReference"/>
        </w:rPr>
        <w:footnoteReference w:id="1485"/>
      </w:r>
    </w:p>
    <w:p w:rsidR="00762CF4" w:rsidRDefault="00762CF4" w:rsidP="00762CF4">
      <w:r>
        <w:t xml:space="preserve">CEG also submitted that </w:t>
      </w:r>
      <w:r w:rsidRPr="007E2BD9">
        <w:t xml:space="preserve">the relative accuracy of break-even inflation estimates versus </w:t>
      </w:r>
      <w:r>
        <w:t>the RBA's short-term forecasts</w:t>
      </w:r>
      <w:r w:rsidRPr="007E2BD9">
        <w:t xml:space="preserve"> </w:t>
      </w:r>
      <w:r>
        <w:t>is</w:t>
      </w:r>
      <w:r w:rsidRPr="007E2BD9">
        <w:t xml:space="preserve"> not addressed</w:t>
      </w:r>
      <w:r>
        <w:rPr>
          <w:rStyle w:val="FootnoteReference"/>
        </w:rPr>
        <w:footnoteReference w:id="1486"/>
      </w:r>
      <w:r w:rsidRPr="007E2BD9">
        <w:t xml:space="preserve"> by Tulip and Wallace </w:t>
      </w:r>
      <w:r>
        <w:t>(2012).</w:t>
      </w:r>
      <w:r w:rsidRPr="007E2BD9">
        <w:t xml:space="preserve"> </w:t>
      </w:r>
      <w:r>
        <w:t>CEG submits that</w:t>
      </w:r>
      <w:r w:rsidRPr="007E2BD9">
        <w:t xml:space="preserve"> </w:t>
      </w:r>
      <w:r>
        <w:t xml:space="preserve">short-term </w:t>
      </w:r>
      <w:r w:rsidRPr="007E2BD9">
        <w:t>inflation</w:t>
      </w:r>
      <w:r>
        <w:t xml:space="preserve"> estimates from the </w:t>
      </w:r>
      <w:r w:rsidRPr="007E2BD9">
        <w:t>break-even</w:t>
      </w:r>
      <w:r>
        <w:t xml:space="preserve"> approach are</w:t>
      </w:r>
      <w:r w:rsidRPr="007E2BD9">
        <w:t xml:space="preserve"> superior</w:t>
      </w:r>
      <w:r>
        <w:t xml:space="preserve"> to the RBA's short-term forecasts</w:t>
      </w:r>
      <w:r w:rsidRPr="007E2BD9">
        <w:t>.</w:t>
      </w:r>
      <w:r>
        <w:rPr>
          <w:rStyle w:val="FootnoteReference"/>
        </w:rPr>
        <w:footnoteReference w:id="1487"/>
      </w:r>
    </w:p>
    <w:p w:rsidR="00762CF4" w:rsidRDefault="00762CF4" w:rsidP="00762CF4">
      <w:r>
        <w:t xml:space="preserve">As stated in section </w:t>
      </w:r>
      <w:r>
        <w:fldChar w:fldCharType="begin"/>
      </w:r>
      <w:r>
        <w:instrText xml:space="preserve"> REF _Ref478569536 \r \h </w:instrText>
      </w:r>
      <w:r>
        <w:fldChar w:fldCharType="separate"/>
      </w:r>
      <w:r w:rsidR="00C6448C">
        <w:t>3.4.4</w:t>
      </w:r>
      <w:r>
        <w:fldChar w:fldCharType="end"/>
      </w:r>
      <w:r>
        <w:t>, we consider that bond break-even estimates are likely to be distorted by biases and risk premia such that they may not be sufficiently reliable.</w:t>
      </w:r>
    </w:p>
    <w:p w:rsidR="00762CF4" w:rsidRDefault="00762CF4" w:rsidP="00762CF4">
      <w:r>
        <w:t xml:space="preserve">In any case, we note that our objective is to estimate inflation expectations over a ten year term, rather than short term forecasts. The RBA's short-term forecasts are merely an input into an approach for estimating long-term expectations. The role of the short-term (1 to 2 year) forecasts in the RBA forecasts and target band approach is to allow for short-term inflation expectations to have some influence on the overall 10-year estimate being above or below the RBA's inflation target. We consider that the currently available evidence suggests that RBA forecasts </w:t>
      </w:r>
      <w:r w:rsidRPr="00C65194">
        <w:t xml:space="preserve">may be considered credible by the market such that short term inflation </w:t>
      </w:r>
      <w:r>
        <w:t xml:space="preserve">expectations </w:t>
      </w:r>
      <w:r w:rsidRPr="00C65194">
        <w:t>may be informed by and closely correspond to the RBA’s forecast</w:t>
      </w:r>
      <w:r>
        <w:t>. In this case, we consider that the RBA's short-term forecasts are the best forecasts to use in the RBA forecasts and target band approach.</w:t>
      </w:r>
    </w:p>
    <w:p w:rsidR="00762CF4" w:rsidRDefault="00762CF4" w:rsidP="00762CF4">
      <w:r>
        <w:t>AusNet Services submitted that</w:t>
      </w:r>
      <w:r w:rsidRPr="00AA656C">
        <w:t xml:space="preserve"> the </w:t>
      </w:r>
      <w:r>
        <w:t>RBA forecasts and target band</w:t>
      </w:r>
      <w:r w:rsidRPr="00AA656C">
        <w:t xml:space="preserve"> approach only uses </w:t>
      </w:r>
      <w:r>
        <w:t>RBA short-term forecasts</w:t>
      </w:r>
      <w:r w:rsidRPr="00AA656C">
        <w:t xml:space="preserve"> for the first two years of its 10 year term</w:t>
      </w:r>
      <w:r>
        <w:t>,</w:t>
      </w:r>
      <w:r w:rsidRPr="00AA656C">
        <w:t xml:space="preserve"> </w:t>
      </w:r>
      <w:r>
        <w:t>ensuring that these forecasts</w:t>
      </w:r>
      <w:r w:rsidRPr="00AA656C">
        <w:t xml:space="preserve"> do not have a significant influence</w:t>
      </w:r>
      <w:r>
        <w:t xml:space="preserve"> on the overall estimate</w:t>
      </w:r>
      <w:r w:rsidRPr="00AA656C">
        <w:t>.</w:t>
      </w:r>
      <w:r>
        <w:rPr>
          <w:rStyle w:val="FootnoteReference"/>
        </w:rPr>
        <w:footnoteReference w:id="1488"/>
      </w:r>
    </w:p>
    <w:p w:rsidR="00762CF4" w:rsidRDefault="00762CF4" w:rsidP="00762CF4">
      <w:r>
        <w:t xml:space="preserve">We reiterate that the available evidence supports the view that long-term inflation expectations are relatively stable over time and anchored to the RBA's target band. Further, if short term forecasts/expectations are volatile and </w:t>
      </w:r>
      <w:r w:rsidRPr="009E1E8A">
        <w:t>deviate</w:t>
      </w:r>
      <w:r>
        <w:t xml:space="preserve"> from long term inflation expectations – as found by Finlay and Wende (2011) for Australia</w:t>
      </w:r>
      <w:r>
        <w:rPr>
          <w:rStyle w:val="FootnoteReference"/>
        </w:rPr>
        <w:footnoteReference w:id="1489"/>
      </w:r>
      <w:r>
        <w:t xml:space="preserve"> – the weighting toward the midpoint of the target inflation band in the RBA forecasts and target band approach mitigates the distortionary effects of this volatility on long term estimates. </w:t>
      </w:r>
    </w:p>
    <w:p w:rsidR="00762CF4" w:rsidRDefault="00762CF4" w:rsidP="00762CF4">
      <w:r>
        <w:t xml:space="preserve">We consider that the influence of short-term forecasts on the overall 10-year inflation estimate from the RBA forecasts and target band approach appropriately reflects this evidence. </w:t>
      </w:r>
    </w:p>
    <w:p w:rsidR="00762CF4" w:rsidRPr="00762CF4" w:rsidRDefault="00762CF4" w:rsidP="00762CF4">
      <w:pPr>
        <w:pStyle w:val="Heading9"/>
      </w:pPr>
      <w:r>
        <w:t>Probability weighted forecasts</w:t>
      </w:r>
    </w:p>
    <w:p w:rsidR="00762CF4" w:rsidRDefault="00762CF4" w:rsidP="00762CF4">
      <w:r>
        <w:t xml:space="preserve">AusNet Services and CEG submitted that the </w:t>
      </w:r>
      <w:r w:rsidRPr="00ED7C40">
        <w:t>RBA</w:t>
      </w:r>
      <w:r>
        <w:t>'s</w:t>
      </w:r>
      <w:r w:rsidRPr="00ED7C40">
        <w:t xml:space="preserve"> short term forecasts are “central forecasts” and, therefore, likely to underestimate “expected inflation” where the downside risks exceed the upside risk</w:t>
      </w:r>
      <w:r>
        <w:t>.</w:t>
      </w:r>
      <w:r>
        <w:rPr>
          <w:rStyle w:val="FootnoteReference"/>
        </w:rPr>
        <w:footnoteReference w:id="1490"/>
      </w:r>
    </w:p>
    <w:p w:rsidR="00762CF4" w:rsidRDefault="00762CF4" w:rsidP="00762CF4">
      <w:r>
        <w:t xml:space="preserve">CEG submitted that bond </w:t>
      </w:r>
      <w:r w:rsidRPr="008E5C2B">
        <w:t xml:space="preserve">break-even inflation </w:t>
      </w:r>
      <w:r>
        <w:t xml:space="preserve">estimates </w:t>
      </w:r>
      <w:r w:rsidRPr="008E5C2B">
        <w:t>already reflect a probability</w:t>
      </w:r>
      <w:r>
        <w:t>-</w:t>
      </w:r>
      <w:r w:rsidRPr="008E5C2B">
        <w:t>weighted average of all possible inflation outcomes as perceived by bond investors.</w:t>
      </w:r>
      <w:r>
        <w:t xml:space="preserve"> CEG submitted that the bond b</w:t>
      </w:r>
      <w:r w:rsidRPr="00ED7C40">
        <w:t xml:space="preserve">reak-even </w:t>
      </w:r>
      <w:r>
        <w:t>approach</w:t>
      </w:r>
      <w:r w:rsidRPr="00ED7C40">
        <w:t xml:space="preserve"> </w:t>
      </w:r>
      <w:r>
        <w:t>is</w:t>
      </w:r>
      <w:r w:rsidRPr="00ED7C40">
        <w:t xml:space="preserve"> the only plausible way in which the uncertainty about the multiple different paths inflation could take can be weighted in a manner consistent with the probabilities that bond investors attach to these outcomes</w:t>
      </w:r>
      <w:r>
        <w:t xml:space="preserve">, and that such probability-weighting </w:t>
      </w:r>
      <w:r w:rsidRPr="00ED7C40">
        <w:t xml:space="preserve">is critical in the current </w:t>
      </w:r>
      <w:r>
        <w:t xml:space="preserve">low-inflation </w:t>
      </w:r>
      <w:r w:rsidRPr="00ED7C40">
        <w:t>environment</w:t>
      </w:r>
      <w:r>
        <w:t>.</w:t>
      </w:r>
      <w:r>
        <w:rPr>
          <w:rStyle w:val="FootnoteReference"/>
        </w:rPr>
        <w:footnoteReference w:id="1491"/>
      </w:r>
      <w:r>
        <w:t xml:space="preserve"> AusNet Services submitted that i</w:t>
      </w:r>
      <w:r w:rsidRPr="001E5086">
        <w:t xml:space="preserve">n the current monetary policy environment, where policy rates are close to the zero lower bound, the greatest risks to inflation are to the downside. </w:t>
      </w:r>
      <w:r>
        <w:t xml:space="preserve">AusNet Services noted that </w:t>
      </w:r>
      <w:r w:rsidRPr="001E5086">
        <w:t>Western developed countries currently have monetary policy settings with policy rates close to zero and are currently undershooting inflation targets</w:t>
      </w:r>
      <w:r>
        <w:t>.</w:t>
      </w:r>
      <w:r>
        <w:rPr>
          <w:rStyle w:val="FootnoteReference"/>
        </w:rPr>
        <w:footnoteReference w:id="1492"/>
      </w:r>
    </w:p>
    <w:p w:rsidR="00762CF4" w:rsidRDefault="00762CF4" w:rsidP="00762CF4">
      <w:r>
        <w:t xml:space="preserve">CEG also submitted that RBA's role in controlling inflation may affect the presentation of its forecasts and the </w:t>
      </w:r>
      <w:r w:rsidRPr="00A94528">
        <w:t>RBA forecasts are a</w:t>
      </w:r>
      <w:r>
        <w:t xml:space="preserve"> </w:t>
      </w:r>
      <w:r w:rsidRPr="00A94528">
        <w:t>policy tool for anchoring inflation expectations as well as an expression of the RBA’s</w:t>
      </w:r>
      <w:r>
        <w:t xml:space="preserve"> view. In this case, the RBA may choose to publish only central forecasts and not lower-bound forecasts to avoid these lower bounds resulting in lower market expectations.</w:t>
      </w:r>
      <w:r>
        <w:rPr>
          <w:rStyle w:val="FootnoteReference"/>
        </w:rPr>
        <w:footnoteReference w:id="1493"/>
      </w:r>
    </w:p>
    <w:p w:rsidR="00762CF4" w:rsidRPr="00DB16EC" w:rsidRDefault="00762CF4" w:rsidP="00762CF4">
      <w:r>
        <w:t>Short-term RBA forecasts are sourced from the RBA's quarterly statements on monetary policy. CEG assumes that the RBA's forecasts are central forecasts, but the RBA does not state whether these forecasts are central forecasts or probability-weighted forecasts.</w:t>
      </w:r>
      <w:r>
        <w:rPr>
          <w:rStyle w:val="FootnoteReference"/>
        </w:rPr>
        <w:footnoteReference w:id="1494"/>
      </w:r>
      <w:r>
        <w:t xml:space="preserve"> Further, CEG assumes an asymmetric distribution of market-anticipated inflation outcomes. We consider that this assumption is unsupported, noting that:</w:t>
      </w:r>
    </w:p>
    <w:p w:rsidR="00762CF4" w:rsidRPr="00DB16EC" w:rsidRDefault="00762CF4" w:rsidP="00762CF4">
      <w:pPr>
        <w:pStyle w:val="AERbulletlistfirststyle"/>
      </w:pPr>
      <w:r>
        <w:t>The distribution of market-anticipated inflation outcomes is unobservable;</w:t>
      </w:r>
    </w:p>
    <w:p w:rsidR="00762CF4" w:rsidRPr="00DB16EC" w:rsidRDefault="00762CF4" w:rsidP="00762CF4">
      <w:pPr>
        <w:pStyle w:val="AERbulletlistfirststyle"/>
      </w:pPr>
      <w:r>
        <w:t>The statements cited by CEG make no reference to the asymmetric distribution of anticipated-inflation outcomes for Australia;</w:t>
      </w:r>
      <w:r>
        <w:rPr>
          <w:rStyle w:val="FootnoteReference"/>
        </w:rPr>
        <w:footnoteReference w:id="1495"/>
      </w:r>
      <w:r>
        <w:t xml:space="preserve"> </w:t>
      </w:r>
    </w:p>
    <w:p w:rsidR="00762CF4" w:rsidRPr="00DB16EC" w:rsidRDefault="00762CF4" w:rsidP="00762CF4">
      <w:pPr>
        <w:pStyle w:val="AERbulletlistfirststyle"/>
      </w:pPr>
      <w:r>
        <w:t>CEG has not relied on any studies on the distribution of market-anticipated inflation outcomes for Australia or provided any proxy-based estimates for this distribution.</w:t>
      </w:r>
    </w:p>
    <w:p w:rsidR="00762CF4" w:rsidRDefault="00762CF4" w:rsidP="00762CF4">
      <w:r>
        <w:t>CEG notes that the distribution of bond investors' inflation expectations may differ from the distribution of expectations of other parties, such as the RBA and participants in the inflation swaps market.</w:t>
      </w:r>
      <w:r>
        <w:rPr>
          <w:rStyle w:val="FootnoteReference"/>
        </w:rPr>
        <w:footnoteReference w:id="1496"/>
      </w:r>
      <w:r>
        <w:t xml:space="preserve"> We note that </w:t>
      </w:r>
      <w:r w:rsidRPr="00DB16EC">
        <w:t xml:space="preserve">Fleckenstein et al (2014) </w:t>
      </w:r>
      <w:r>
        <w:t xml:space="preserve">has found that </w:t>
      </w:r>
      <w:r w:rsidRPr="00DB16EC">
        <w:t xml:space="preserve">traders profit from </w:t>
      </w:r>
      <w:r>
        <w:t>such situations where</w:t>
      </w:r>
      <w:r w:rsidRPr="00DB16EC">
        <w:t xml:space="preserve"> breakeven inflation differs from other market measures such as inflation swaps</w:t>
      </w:r>
      <w:r>
        <w:t>.</w:t>
      </w:r>
      <w:r>
        <w:rPr>
          <w:rStyle w:val="FootnoteReference"/>
        </w:rPr>
        <w:footnoteReference w:id="1497"/>
      </w:r>
      <w:r>
        <w:t xml:space="preserve"> Therefore, it may be unclear which distribution of inflation expectations (that from bond investors, swaps participants, the RBA, or others) better reflects that of the market-expected inflation rate.</w:t>
      </w:r>
    </w:p>
    <w:p w:rsidR="00762CF4" w:rsidRPr="00762CF4" w:rsidRDefault="00762CF4" w:rsidP="006E5878">
      <w:r>
        <w:t xml:space="preserve">As noted in section </w:t>
      </w:r>
      <w:r>
        <w:fldChar w:fldCharType="begin"/>
      </w:r>
      <w:r>
        <w:instrText xml:space="preserve"> REF _Ref477868094 \r \h </w:instrText>
      </w:r>
      <w:r>
        <w:fldChar w:fldCharType="separate"/>
      </w:r>
      <w:r w:rsidR="00C6448C">
        <w:t>K.1.4</w:t>
      </w:r>
      <w:r>
        <w:fldChar w:fldCharType="end"/>
      </w:r>
      <w:r>
        <w:t xml:space="preserve">, we consider that the RBA's monetary policy remains effective and is perceived as such by investors. </w:t>
      </w:r>
    </w:p>
    <w:p w:rsidR="00762CF4" w:rsidRPr="00762CF4" w:rsidRDefault="00762CF4" w:rsidP="00762CF4">
      <w:pPr>
        <w:pStyle w:val="Heading9"/>
      </w:pPr>
      <w:r>
        <w:t>The RBA's target band used in years 3 to 10</w:t>
      </w:r>
    </w:p>
    <w:p w:rsidR="00762CF4" w:rsidRDefault="00762CF4" w:rsidP="00762CF4">
      <w:r>
        <w:t>AusNet Services submitted that the RBA forecasts and target band approach includes an</w:t>
      </w:r>
      <w:r w:rsidRPr="001E5086">
        <w:t xml:space="preserve"> assumption that investors expect inflation to average 2.5</w:t>
      </w:r>
      <w:r>
        <w:t xml:space="preserve"> per cent</w:t>
      </w:r>
      <w:r w:rsidRPr="001E5086">
        <w:t xml:space="preserve"> beyond two years</w:t>
      </w:r>
      <w:r>
        <w:t>.</w:t>
      </w:r>
      <w:r>
        <w:rPr>
          <w:rStyle w:val="FootnoteReference"/>
        </w:rPr>
        <w:footnoteReference w:id="1498"/>
      </w:r>
      <w:r>
        <w:t xml:space="preserve"> CEG submitted that a</w:t>
      </w:r>
      <w:r w:rsidRPr="009A29D1">
        <w:t>n expectation that Australian inflation will jump to 2.5</w:t>
      </w:r>
      <w:r>
        <w:t xml:space="preserve"> per cent</w:t>
      </w:r>
      <w:r w:rsidRPr="009A29D1">
        <w:t xml:space="preserve"> at the end of the </w:t>
      </w:r>
      <w:r>
        <w:t>end of the second year (of the 10 year inflation forecast)</w:t>
      </w:r>
      <w:r w:rsidRPr="009A29D1">
        <w:t xml:space="preserve"> is inconsistent with the fact that Australian (and global) inflation rates have been persistently below target for many years, with instances of deflation in Australia (March quarter CPI), US, Japan, the UK and the Eurozone</w:t>
      </w:r>
      <w:r>
        <w:t>.</w:t>
      </w:r>
      <w:r>
        <w:rPr>
          <w:rStyle w:val="FootnoteReference"/>
        </w:rPr>
        <w:footnoteReference w:id="1499"/>
      </w:r>
      <w:r>
        <w:t xml:space="preserve"> </w:t>
      </w:r>
    </w:p>
    <w:p w:rsidR="00762CF4" w:rsidRDefault="00762CF4" w:rsidP="00762CF4">
      <w:r>
        <w:t>To clarify, while we estimate inflation expectations</w:t>
      </w:r>
      <w:r w:rsidRPr="00962531">
        <w:t xml:space="preserve"> </w:t>
      </w:r>
      <w:r>
        <w:t>over a 10-year term, we do not separately estimate or have to take a view on investors' inflation expectations for each year of the 10-year term. Neither do we need to have a view on the expected path of inflation over the 10-year term. Therefore, we do not assume that inflation expectations 'jump' to 2.5 per cent at the end of the second year. Annual inflation rates in the RBA forecasts and target band approach are merely inputs into deriving the best estimate of 10-year expected inflation.</w:t>
      </w:r>
    </w:p>
    <w:p w:rsidR="00762CF4" w:rsidRPr="00D91B80" w:rsidRDefault="00762CF4" w:rsidP="00762CF4">
      <w:r>
        <w:t>CEG submitted that inflation estimates from the RBA forecasts and target band approach beyond year 2 is impervious to market developments, while the corresponding break-even inflation rate has declined dramatically.</w:t>
      </w:r>
      <w:r>
        <w:rPr>
          <w:rStyle w:val="FootnoteReference"/>
        </w:rPr>
        <w:footnoteReference w:id="1500"/>
      </w:r>
    </w:p>
    <w:p w:rsidR="00762CF4" w:rsidRDefault="00762CF4" w:rsidP="00762CF4">
      <w:r>
        <w:t>As inputs into an overall 10-year estimate, we do not consider it relevant that individual annual inflation rates for years 8 through 10 do not vary with market developments. Rather, we consider it more relevant whether or not the overall 10-year estimate responds to market developments in a manner that is likely to reflect investors' inflation expectations. As stated above, the available evidence supports the view that long-term inflation expectations are relatively stable over time and anchored to the RBA's target band.</w:t>
      </w:r>
    </w:p>
    <w:p w:rsidR="00762CF4" w:rsidRPr="00762CF4" w:rsidRDefault="00762CF4" w:rsidP="00762CF4">
      <w:pPr>
        <w:pStyle w:val="Heading9"/>
      </w:pPr>
      <w:bookmarkStart w:id="442" w:name="_Ref477868094"/>
      <w:r>
        <w:t>Anchoring of investor expectations to the RBA target band</w:t>
      </w:r>
      <w:bookmarkEnd w:id="442"/>
    </w:p>
    <w:p w:rsidR="00762CF4" w:rsidRDefault="00762CF4" w:rsidP="00762CF4">
      <w:r>
        <w:t xml:space="preserve">In section </w:t>
      </w:r>
      <w:r>
        <w:fldChar w:fldCharType="begin"/>
      </w:r>
      <w:r>
        <w:instrText xml:space="preserve"> REF _Ref478569536 \r \h </w:instrText>
      </w:r>
      <w:r>
        <w:fldChar w:fldCharType="separate"/>
      </w:r>
      <w:r w:rsidR="00C6448C">
        <w:t>3.4.4</w:t>
      </w:r>
      <w:r>
        <w:fldChar w:fldCharType="end"/>
      </w:r>
      <w:r>
        <w:t>, we noted that we consider that long-term inflation expectations are relatively stable over time and anchored to the RBA's target band. However, inflation expectations may de-anchor from the RBA's target if the RBA is perceived to be ineffective at using monetary policy to control inflation.</w:t>
      </w:r>
    </w:p>
    <w:p w:rsidR="00762CF4" w:rsidRDefault="00762CF4" w:rsidP="00762CF4">
      <w:r>
        <w:t>CEG submitted that t</w:t>
      </w:r>
      <w:r w:rsidRPr="000438D3">
        <w:t xml:space="preserve">he potential for </w:t>
      </w:r>
      <w:r>
        <w:t xml:space="preserve">the RBA's </w:t>
      </w:r>
      <w:r w:rsidRPr="000438D3">
        <w:t xml:space="preserve">monetary policy to stimulate economic activity </w:t>
      </w:r>
      <w:r>
        <w:t xml:space="preserve">has </w:t>
      </w:r>
      <w:r w:rsidRPr="000438D3">
        <w:t>diminishe</w:t>
      </w:r>
      <w:r>
        <w:t>d</w:t>
      </w:r>
      <w:r w:rsidRPr="000438D3">
        <w:t xml:space="preserve"> as policy interest rates</w:t>
      </w:r>
      <w:r>
        <w:t xml:space="preserve"> have</w:t>
      </w:r>
      <w:r w:rsidRPr="000438D3">
        <w:t xml:space="preserve"> approach</w:t>
      </w:r>
      <w:r>
        <w:t>ed</w:t>
      </w:r>
      <w:r w:rsidRPr="000438D3">
        <w:t xml:space="preserve"> zero, thereby creating the pot</w:t>
      </w:r>
      <w:r>
        <w:t>ential for a low inflation trap: a situation in</w:t>
      </w:r>
      <w:r w:rsidRPr="000438D3">
        <w:t xml:space="preserve"> which monet</w:t>
      </w:r>
      <w:r>
        <w:t>ary policy may be ineffective</w:t>
      </w:r>
      <w:r w:rsidRPr="000438D3">
        <w:t>.</w:t>
      </w:r>
      <w:r>
        <w:rPr>
          <w:rStyle w:val="FootnoteReference"/>
        </w:rPr>
        <w:footnoteReference w:id="1501"/>
      </w:r>
      <w:r>
        <w:t xml:space="preserve"> </w:t>
      </w:r>
    </w:p>
    <w:p w:rsidR="00762CF4" w:rsidRDefault="00762CF4" w:rsidP="00762CF4">
      <w:r>
        <w:t>We acknowledge that the RBA's cash rate (policy rate) is currently at historically low levels.</w:t>
      </w:r>
      <w:r>
        <w:rPr>
          <w:rStyle w:val="FootnoteReference"/>
        </w:rPr>
        <w:footnoteReference w:id="1502"/>
      </w:r>
      <w:r>
        <w:t xml:space="preserve"> However, we do not agree that that the RBA's implementation of monetary policy is currently ineffective, or likely to be ineffective in the foreseeable future, as a result of the current level of the RBA's policy rate.</w:t>
      </w:r>
    </w:p>
    <w:p w:rsidR="00762CF4" w:rsidRPr="00EC128C" w:rsidRDefault="00762CF4" w:rsidP="00762CF4">
      <w:r w:rsidRPr="00EC128C">
        <w:t>Central banks have several options if policy rates approach zero. One such example is the ability to lower interest rates below zero, which is due to a non-zero cost of holding cash (costs of safes, insurance, etc). Interest rates below zero have been seen in several advanced economies such as the ECB, Bank of Japan and other small</w:t>
      </w:r>
      <w:r>
        <w:t>er</w:t>
      </w:r>
      <w:r w:rsidRPr="00EC128C">
        <w:t xml:space="preserve"> European authorities.</w:t>
      </w:r>
      <w:r>
        <w:rPr>
          <w:rStyle w:val="FootnoteReference"/>
        </w:rPr>
        <w:footnoteReference w:id="1503"/>
      </w:r>
      <w:r w:rsidRPr="00EC128C">
        <w:t xml:space="preserve"> Central banks also have the option to use ‘unconventional’ monetary policy, such as quantitative easing </w:t>
      </w:r>
      <w:r>
        <w:t xml:space="preserve">(bond buying) </w:t>
      </w:r>
      <w:r w:rsidRPr="00EC128C">
        <w:t>combined with macroprudential policy.</w:t>
      </w:r>
      <w:r>
        <w:rPr>
          <w:rStyle w:val="FootnoteReference"/>
        </w:rPr>
        <w:footnoteReference w:id="1504"/>
      </w:r>
      <w:r w:rsidRPr="00EC128C">
        <w:t xml:space="preserve"> </w:t>
      </w:r>
    </w:p>
    <w:p w:rsidR="00762CF4" w:rsidRPr="00EC128C" w:rsidRDefault="00762CF4" w:rsidP="00762CF4">
      <w:pPr>
        <w:rPr>
          <w:rStyle w:val="Hyperlink"/>
        </w:rPr>
      </w:pPr>
      <w:r>
        <w:t>Further, i</w:t>
      </w:r>
      <w:r w:rsidRPr="00EC128C">
        <w:t xml:space="preserve">f the public did not believe that the RBA had control of inflation due to </w:t>
      </w:r>
      <w:r>
        <w:t xml:space="preserve">the policy rate </w:t>
      </w:r>
      <w:r w:rsidRPr="00EC128C">
        <w:t xml:space="preserve">being close to </w:t>
      </w:r>
      <w:r>
        <w:t>zero</w:t>
      </w:r>
      <w:r w:rsidRPr="00EC128C">
        <w:t xml:space="preserve">, </w:t>
      </w:r>
      <w:r>
        <w:t xml:space="preserve">we would expect </w:t>
      </w:r>
      <w:r w:rsidRPr="00EC128C">
        <w:t xml:space="preserve">there would be evidence of an unanchoring of inflation expectations. There is no evidence of this in the survey measures </w:t>
      </w:r>
      <w:r>
        <w:t>(</w:t>
      </w:r>
      <w:r w:rsidRPr="00EC128C">
        <w:t>which are less likely to be affected by the bias exhibited in the breakeven approach</w:t>
      </w:r>
      <w:r>
        <w:t>)</w:t>
      </w:r>
      <w:r w:rsidRPr="00EC128C">
        <w:t xml:space="preserve">. Long-term inflation expectations </w:t>
      </w:r>
      <w:r>
        <w:t xml:space="preserve">from Consensus Economics' survey measures and from 5-year to 10-year inflation swaps </w:t>
      </w:r>
      <w:r w:rsidRPr="00EC128C">
        <w:t>appear consistent with the RBA's medium-term inflation target.</w:t>
      </w:r>
      <w:r w:rsidRPr="00EC128C">
        <w:rPr>
          <w:rStyle w:val="FootnoteReference"/>
        </w:rPr>
        <w:footnoteReference w:id="1505"/>
      </w:r>
    </w:p>
    <w:p w:rsidR="00762CF4" w:rsidRPr="00EC128C" w:rsidRDefault="00762CF4" w:rsidP="00762CF4">
      <w:r w:rsidRPr="00EC128C">
        <w:t xml:space="preserve">CEG, in its recent report, claimed that all western developed countries are currently undershooting inflation targets. </w:t>
      </w:r>
      <w:r>
        <w:t>We consider that this mischaracterises the nature of central bank inflation targeting</w:t>
      </w:r>
      <w:r w:rsidRPr="00EC128C">
        <w:t>. Australia’s inflation target is to</w:t>
      </w:r>
      <w:r>
        <w:t xml:space="preserve"> achieve an inflation rate of 2 to </w:t>
      </w:r>
      <w:r w:rsidRPr="00EC128C">
        <w:t>3 per cent, on average, over the</w:t>
      </w:r>
      <w:r>
        <w:t xml:space="preserve"> business</w:t>
      </w:r>
      <w:r w:rsidRPr="00EC128C">
        <w:t xml:space="preserve"> cycle. The inflation target is defined as a medium-term average rather than as a rate (or band of rates) that must be held at all times. For instance, since June 1993,</w:t>
      </w:r>
      <w:r>
        <w:rPr>
          <w:rStyle w:val="FootnoteReference"/>
        </w:rPr>
        <w:footnoteReference w:id="1506"/>
      </w:r>
      <w:r w:rsidRPr="00EC128C">
        <w:t xml:space="preserve"> CPI inflation has been below 2 per cent for 24 per cent of the time, and coincidentally above 3 per cent for 23 per cent of the time. On average though, inflation was around 2.5 per cent.</w:t>
      </w:r>
      <w:r w:rsidRPr="00EC128C">
        <w:rPr>
          <w:rStyle w:val="FootnoteReference"/>
        </w:rPr>
        <w:footnoteReference w:id="1507"/>
      </w:r>
      <w:r w:rsidRPr="00EC128C">
        <w:t xml:space="preserve"> With such a mandate it cannot be said that Australia is currently undershooting the target.</w:t>
      </w:r>
    </w:p>
    <w:p w:rsidR="00762CF4" w:rsidRDefault="00762CF4" w:rsidP="00762CF4">
      <w:r w:rsidRPr="00EC128C">
        <w:t>There are other western developed countries facing short term inflation above their targets. Norway is currently overshooting its target</w:t>
      </w:r>
      <w:r>
        <w:t>, achieving inflation of</w:t>
      </w:r>
      <w:r w:rsidRPr="00EC128C">
        <w:t xml:space="preserve"> 3.4 per cent, </w:t>
      </w:r>
      <w:r>
        <w:t>which is above its</w:t>
      </w:r>
      <w:r w:rsidRPr="00EC128C">
        <w:t xml:space="preserve"> target of 2.5 per cent.</w:t>
      </w:r>
      <w:r w:rsidRPr="00EC128C">
        <w:rPr>
          <w:rStyle w:val="FootnoteReference"/>
        </w:rPr>
        <w:footnoteReference w:id="1508"/>
      </w:r>
      <w:r>
        <w:t xml:space="preserve"> </w:t>
      </w:r>
      <w:r w:rsidRPr="00EC128C">
        <w:t>The US CPI result for December 2016 was 2.1 per cent year on year</w:t>
      </w:r>
      <w:r>
        <w:t>, which is</w:t>
      </w:r>
      <w:r w:rsidRPr="00EC128C">
        <w:t xml:space="preserve"> higher than the Federal Reserve’s target of 2 per cent.</w:t>
      </w:r>
      <w:r>
        <w:rPr>
          <w:rStyle w:val="FootnoteReference"/>
        </w:rPr>
        <w:footnoteReference w:id="1509"/>
      </w:r>
      <w:r>
        <w:t xml:space="preserve"> The UK CPI result for February 2017 was 2.3 per cent year on year, which is higher than the Bank of England's 2 per cent inflation target.</w:t>
      </w:r>
      <w:r>
        <w:rPr>
          <w:rStyle w:val="FootnoteReference"/>
        </w:rPr>
        <w:footnoteReference w:id="1510"/>
      </w:r>
      <w:r>
        <w:t xml:space="preserve"> Finally, we note that western developed countries in general, and Australia in particular, continue to implement inflation targeting and have not rolled-back inflation targeting regimes in the presence of a 'low-inflation trap'.</w:t>
      </w:r>
    </w:p>
    <w:p w:rsidR="00762CF4" w:rsidRPr="00762CF4" w:rsidRDefault="00762CF4" w:rsidP="00762CF4">
      <w:pPr>
        <w:pStyle w:val="Heading9"/>
      </w:pPr>
      <w:bookmarkStart w:id="443" w:name="_Ref478417819"/>
      <w:r>
        <w:t>Potential negative real risk free rate</w:t>
      </w:r>
      <w:bookmarkEnd w:id="443"/>
    </w:p>
    <w:p w:rsidR="00762CF4" w:rsidRPr="00A51CD5" w:rsidRDefault="00762CF4" w:rsidP="00762CF4">
      <w:r>
        <w:t>CEG and AusNet Services submitted that</w:t>
      </w:r>
      <w:r w:rsidRPr="00A51CD5">
        <w:t xml:space="preserve"> </w:t>
      </w:r>
      <w:r>
        <w:t>by applying</w:t>
      </w:r>
      <w:r w:rsidRPr="00A51CD5">
        <w:t xml:space="preserve"> the RBA forecasts and target band approach</w:t>
      </w:r>
      <w:r>
        <w:t xml:space="preserve"> to historical data, </w:t>
      </w:r>
      <w:r w:rsidRPr="00A51CD5">
        <w:t>inflation estimate</w:t>
      </w:r>
      <w:r w:rsidRPr="0003076B">
        <w:t xml:space="preserve">s </w:t>
      </w:r>
      <w:r>
        <w:t xml:space="preserve">have at various times in the past resulted in negative estimates of the real risk free rate. CEG and AusNet Services submitted that this result is </w:t>
      </w:r>
      <w:r w:rsidRPr="00A51CD5">
        <w:t>implausibl</w:t>
      </w:r>
      <w:r>
        <w:t>e, as</w:t>
      </w:r>
      <w:r w:rsidRPr="00A51CD5">
        <w:t xml:space="preserve"> </w:t>
      </w:r>
      <w:r>
        <w:t xml:space="preserve">it </w:t>
      </w:r>
      <w:r w:rsidRPr="00A51CD5">
        <w:t>suggest</w:t>
      </w:r>
      <w:r>
        <w:t>s</w:t>
      </w:r>
      <w:r w:rsidRPr="00A51CD5">
        <w:t xml:space="preserve"> </w:t>
      </w:r>
      <w:r w:rsidRPr="007D2E8E">
        <w:t>that investors expect a negative real return on nominal CGS at the same time that they can achieve a positive guaranteed real risk free return simply by buying inflation indexed CGS</w:t>
      </w:r>
      <w:r w:rsidRPr="00A51CD5">
        <w:t>.</w:t>
      </w:r>
      <w:r>
        <w:rPr>
          <w:rStyle w:val="FootnoteReference"/>
        </w:rPr>
        <w:footnoteReference w:id="1511"/>
      </w:r>
      <w:r>
        <w:t xml:space="preserve"> AusNet Services submitted that</w:t>
      </w:r>
      <w:r w:rsidRPr="004E26A9">
        <w:t xml:space="preserve"> investors can achieve positive real risk free returns through investing in index-linked </w:t>
      </w:r>
      <w:r>
        <w:t>CGS, and that th</w:t>
      </w:r>
      <w:r w:rsidRPr="004E26A9">
        <w:t>is test should be applied as a sense check as to whether regulatory decisions reflect market realities.</w:t>
      </w:r>
      <w:r>
        <w:rPr>
          <w:rStyle w:val="FootnoteReference"/>
        </w:rPr>
        <w:footnoteReference w:id="1512"/>
      </w:r>
    </w:p>
    <w:p w:rsidR="00762CF4" w:rsidRPr="00A51CD5" w:rsidRDefault="00762CF4" w:rsidP="00762CF4">
      <w:r>
        <w:t>C</w:t>
      </w:r>
      <w:r w:rsidRPr="00A51CD5">
        <w:t xml:space="preserve">EG submitted that </w:t>
      </w:r>
      <w:r>
        <w:t xml:space="preserve">a </w:t>
      </w:r>
      <w:r w:rsidRPr="00A51CD5">
        <w:t>negative</w:t>
      </w:r>
      <w:r>
        <w:t xml:space="preserve"> </w:t>
      </w:r>
      <w:r w:rsidRPr="00A51CD5">
        <w:t xml:space="preserve">estimated </w:t>
      </w:r>
      <w:r>
        <w:t>real risk free rate</w:t>
      </w:r>
      <w:r w:rsidRPr="00A51CD5">
        <w:t xml:space="preserve"> </w:t>
      </w:r>
      <w:r>
        <w:t>is an</w:t>
      </w:r>
      <w:r w:rsidRPr="00A51CD5">
        <w:t xml:space="preserve"> anomaly </w:t>
      </w:r>
      <w:r>
        <w:t xml:space="preserve">and </w:t>
      </w:r>
      <w:r w:rsidRPr="00A51CD5">
        <w:t>is a result of estimate</w:t>
      </w:r>
      <w:r>
        <w:t>s</w:t>
      </w:r>
      <w:r w:rsidRPr="00A51CD5">
        <w:t xml:space="preserve"> of expected inflation </w:t>
      </w:r>
      <w:r>
        <w:t>from the RBA forecasts and target band approach</w:t>
      </w:r>
      <w:r w:rsidRPr="00A51CD5">
        <w:t xml:space="preserve"> being inappropriate for the current economic environment rather than a true anomaly in investor required returns.</w:t>
      </w:r>
      <w:r>
        <w:rPr>
          <w:rStyle w:val="FootnoteReference"/>
        </w:rPr>
        <w:footnoteReference w:id="1513"/>
      </w:r>
      <w:r>
        <w:t xml:space="preserve"> CEG submitted that </w:t>
      </w:r>
      <w:r w:rsidRPr="00D7574F">
        <w:t xml:space="preserve">indexed CGS are a more direct proxy for the real risk free rate than </w:t>
      </w:r>
      <w:r>
        <w:t xml:space="preserve">a measure that is based on </w:t>
      </w:r>
      <w:r w:rsidRPr="00D7574F">
        <w:t xml:space="preserve">nominal CGS </w:t>
      </w:r>
      <w:r>
        <w:t>and</w:t>
      </w:r>
      <w:r w:rsidRPr="00D7574F">
        <w:t xml:space="preserve"> </w:t>
      </w:r>
      <w:r>
        <w:t xml:space="preserve">then adjusted for </w:t>
      </w:r>
      <w:r w:rsidRPr="00D7574F">
        <w:t>an estimate of expected inflation (even if that estimate of expected inflation is accurate)</w:t>
      </w:r>
      <w:r>
        <w:t>. CEG submitted that</w:t>
      </w:r>
      <w:r w:rsidRPr="00ED7C40">
        <w:t xml:space="preserve"> adopting the yield on indexed CGS as the real risk free rate will substantially improve the accuracy of the PTRM in setting real returns</w:t>
      </w:r>
      <w:r w:rsidRPr="00D7574F">
        <w:t>.</w:t>
      </w:r>
      <w:r>
        <w:rPr>
          <w:rStyle w:val="FootnoteReference"/>
        </w:rPr>
        <w:footnoteReference w:id="1514"/>
      </w:r>
    </w:p>
    <w:p w:rsidR="00762CF4" w:rsidRDefault="00762CF4" w:rsidP="00762CF4">
      <w:r>
        <w:t>We note that in both our draft and final decisions for AusNet Services' 2017–22 electricity transmission determination our implied real risk free rate has been a positive (not negative) value.</w:t>
      </w:r>
      <w:r>
        <w:rPr>
          <w:rStyle w:val="FootnoteReference"/>
        </w:rPr>
        <w:footnoteReference w:id="1515"/>
      </w:r>
      <w:r>
        <w:t xml:space="preserve"> We acknowledge that our estimate approach, if applied during different time periods, may imply a negative real risk free rate.</w:t>
      </w:r>
    </w:p>
    <w:p w:rsidR="00762CF4" w:rsidRDefault="00762CF4" w:rsidP="00762CF4">
      <w:r>
        <w:t xml:space="preserve">We do not consider it implausible or anomalous for yields on indexed CGS to fall below zero. As shown in </w:t>
      </w:r>
      <w:r>
        <w:fldChar w:fldCharType="begin"/>
      </w:r>
      <w:r>
        <w:instrText xml:space="preserve"> REF _Ref477353912 \h </w:instrText>
      </w:r>
      <w:r>
        <w:fldChar w:fldCharType="separate"/>
      </w:r>
      <w:r w:rsidR="00C6448C">
        <w:t xml:space="preserve">Figure </w:t>
      </w:r>
      <w:r w:rsidR="00C6448C">
        <w:rPr>
          <w:noProof/>
        </w:rPr>
        <w:t>3</w:t>
      </w:r>
      <w:r w:rsidR="00C6448C">
        <w:noBreakHyphen/>
      </w:r>
      <w:r w:rsidR="00C6448C">
        <w:rPr>
          <w:noProof/>
        </w:rPr>
        <w:t>24</w:t>
      </w:r>
      <w:r>
        <w:fldChar w:fldCharType="end"/>
      </w:r>
      <w:r>
        <w:t xml:space="preserve"> below, the yield to maturity on 10-year indexed CGS approached zero in mid-2012 and early 2015. Given the movement in observed yields on indexed CGS since 2010, we consider it plausible (though we have no views on likelihood) that yields could again approach or fall below zero.</w:t>
      </w:r>
    </w:p>
    <w:p w:rsidR="00762CF4" w:rsidRDefault="00762CF4" w:rsidP="00882F3D">
      <w:pPr>
        <w:pStyle w:val="Caption"/>
      </w:pPr>
      <w:bookmarkStart w:id="444" w:name="_Ref477353912"/>
      <w:r>
        <w:t xml:space="preserve">Figure </w:t>
      </w:r>
      <w:fldSimple w:instr=" STYLEREF 1 \s ">
        <w:r w:rsidR="00C6448C">
          <w:rPr>
            <w:noProof/>
          </w:rPr>
          <w:t>3</w:t>
        </w:r>
      </w:fldSimple>
      <w:r w:rsidR="00882F3D">
        <w:noBreakHyphen/>
      </w:r>
      <w:fldSimple w:instr=" SEQ Figure \* ARABIC \s 1 ">
        <w:r w:rsidR="00C6448C">
          <w:rPr>
            <w:noProof/>
          </w:rPr>
          <w:t>24</w:t>
        </w:r>
      </w:fldSimple>
      <w:bookmarkEnd w:id="444"/>
      <w:r>
        <w:t xml:space="preserve"> Yields on 10-year nominal and indexed CGS (AGS)</w:t>
      </w:r>
    </w:p>
    <w:p w:rsidR="00762CF4" w:rsidRDefault="00762CF4" w:rsidP="00762CF4">
      <w:r w:rsidRPr="00762CF4">
        <w:rPr>
          <w:noProof/>
          <w:lang w:eastAsia="en-AU"/>
        </w:rPr>
        <w:drawing>
          <wp:inline distT="0" distB="0" distL="0" distR="0" wp14:anchorId="086C1096" wp14:editId="34C509E2">
            <wp:extent cx="5382895" cy="3494947"/>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2895" cy="3494947"/>
                    </a:xfrm>
                    <a:prstGeom prst="rect">
                      <a:avLst/>
                    </a:prstGeom>
                    <a:noFill/>
                    <a:ln>
                      <a:noFill/>
                    </a:ln>
                  </pic:spPr>
                </pic:pic>
              </a:graphicData>
            </a:graphic>
          </wp:inline>
        </w:drawing>
      </w:r>
    </w:p>
    <w:p w:rsidR="00762CF4" w:rsidRDefault="00762CF4" w:rsidP="00762CF4">
      <w:pPr>
        <w:pStyle w:val="AERtablesource"/>
      </w:pPr>
      <w:r>
        <w:t>Source: AER analysis, RBA interest rate statistics F16 Indicative Mid-Rates of Australian Government Securities</w:t>
      </w:r>
    </w:p>
    <w:p w:rsidR="00762CF4" w:rsidRDefault="00762CF4" w:rsidP="00762CF4">
      <w:r>
        <w:t xml:space="preserve">We also consider it plausible for yields on indexed CGS to be positive while the real risk free rate is negative. As outlined in section </w:t>
      </w:r>
      <w:r>
        <w:fldChar w:fldCharType="begin"/>
      </w:r>
      <w:r>
        <w:instrText xml:space="preserve"> REF _Ref478559903 \r \h </w:instrText>
      </w:r>
      <w:r>
        <w:fldChar w:fldCharType="separate"/>
      </w:r>
      <w:r w:rsidR="00C6448C">
        <w:t>3.4.4.1</w:t>
      </w:r>
      <w:r>
        <w:fldChar w:fldCharType="end"/>
      </w:r>
      <w:r>
        <w:t>, there are a number of biases and risk premia that may affect yields on indexed CGS, specifically potential liquidity premia driven by the relative liquidity of nominal and indexed CGS. If investors in indexed CGS consider liquidity to be a significant risk, then yields on indexed CGS will be higher to compensate investors for this risk. In this case, the yields on indexed CGS do not represent a true real risk free rate, but the real risk free rate plus the liquidity premium. Academic researchers have found that liquidity premium on indexed CGS could range from -30 to 300 basis points.</w:t>
      </w:r>
      <w:r>
        <w:rPr>
          <w:rStyle w:val="FootnoteReference"/>
        </w:rPr>
        <w:footnoteReference w:id="1516"/>
      </w:r>
      <w:r>
        <w:t xml:space="preserve"> Currently, a liquidity premium of 64 basis points</w:t>
      </w:r>
      <w:r>
        <w:rPr>
          <w:rStyle w:val="FootnoteReference"/>
        </w:rPr>
        <w:footnoteReference w:id="1517"/>
      </w:r>
      <w:r>
        <w:t xml:space="preserve"> or higher would result in a negative risk-adjusted return on indexed CGS.</w:t>
      </w:r>
    </w:p>
    <w:p w:rsidR="00762CF4" w:rsidRDefault="00762CF4" w:rsidP="00762CF4">
      <w:r>
        <w:t>Further, we do not consider that negative interest rates are implausible in general. There may be a cost to storing and insuring cash reserves, such that investing in bonds and other assets can remain attractive even at negative interest rates.</w:t>
      </w:r>
      <w:r>
        <w:rPr>
          <w:rStyle w:val="FootnoteReference"/>
        </w:rPr>
        <w:footnoteReference w:id="1518"/>
      </w:r>
      <w:r>
        <w:t xml:space="preserve"> The CCP supported this view, stating:</w:t>
      </w:r>
      <w:r>
        <w:rPr>
          <w:rStyle w:val="FootnoteReference"/>
        </w:rPr>
        <w:footnoteReference w:id="1519"/>
      </w:r>
    </w:p>
    <w:p w:rsidR="00762CF4" w:rsidRDefault="00762CF4" w:rsidP="00762CF4">
      <w:pPr>
        <w:pStyle w:val="AERquoteindent1"/>
      </w:pPr>
      <w:r>
        <w:t>…very low rates are a fact, and negative rates are not outside the realms of possibility</w:t>
      </w:r>
    </w:p>
    <w:p w:rsidR="00762CF4" w:rsidRDefault="00762CF4" w:rsidP="00762CF4">
      <w:r>
        <w:t xml:space="preserve">In any case, our final decision implies a positive real risk free rate. In this light, the submissions from CEG and AusNet Services can be reduced to the contention that the RBA forecasts and target band method does not result in best estimates of expected inflation because it would result in an implied real risk free rate that is materially different from yields on indexed CGS (regardless of whether the risk free rate is negative or positive). This contention presumes that the yields on indexed CGS provide an accurate and unbiased estimate of the real risk free rate. We do not consider that this presumption is supported by the evidence currently available to us. Specifically, we consider that there are a number of biases and risk premia (see section </w:t>
      </w:r>
      <w:r>
        <w:fldChar w:fldCharType="begin"/>
      </w:r>
      <w:r>
        <w:instrText xml:space="preserve"> REF _Ref478559903 \r \h </w:instrText>
      </w:r>
      <w:r>
        <w:fldChar w:fldCharType="separate"/>
      </w:r>
      <w:r w:rsidR="00C6448C">
        <w:t>3.4.4.1</w:t>
      </w:r>
      <w:r>
        <w:fldChar w:fldCharType="end"/>
      </w:r>
      <w:r>
        <w:t>) likely to affect the yield on indexed CGS such that it does not equal the real risk free rate.</w:t>
      </w:r>
    </w:p>
    <w:p w:rsidR="00762CF4" w:rsidRDefault="00762CF4" w:rsidP="00762CF4">
      <w:r>
        <w:t xml:space="preserve">We also consider the evidence from the Australian market for zero-coupon inflation swaps. CEG and AusNet Services submitted that an investor could invest in indexed CGS and earn a real risk free return. However, to earn a real risk free return, an investor could alternatively invest in nominal CGS and enter into an inflation swap to hedge inflation risk on its investment in nominal CGS. </w:t>
      </w:r>
      <w:r>
        <w:fldChar w:fldCharType="begin"/>
      </w:r>
      <w:r>
        <w:instrText xml:space="preserve"> REF _Ref478318915 \h </w:instrText>
      </w:r>
      <w:r>
        <w:fldChar w:fldCharType="separate"/>
      </w:r>
      <w:r w:rsidR="00C6448C">
        <w:t xml:space="preserve">Figure </w:t>
      </w:r>
      <w:r w:rsidR="00C6448C">
        <w:rPr>
          <w:noProof/>
        </w:rPr>
        <w:t>3</w:t>
      </w:r>
      <w:r w:rsidR="00C6448C">
        <w:noBreakHyphen/>
      </w:r>
      <w:r w:rsidR="00C6448C">
        <w:rPr>
          <w:noProof/>
        </w:rPr>
        <w:t>25</w:t>
      </w:r>
      <w:r>
        <w:fldChar w:fldCharType="end"/>
      </w:r>
      <w:r>
        <w:t xml:space="preserve"> below outlines the structure of a zero-coupon inflation swap. In this case, the investor would be the fixed rate payer in the inflation swap agreement and would pay a fixed, market-determined rate to the counterparty in exchange for a floating rate payment (based on outturn CPI) from the counterparty. </w:t>
      </w:r>
    </w:p>
    <w:p w:rsidR="00762CF4" w:rsidRPr="00FF7954" w:rsidRDefault="00762CF4" w:rsidP="00762CF4">
      <w:pPr>
        <w:pStyle w:val="Caption"/>
      </w:pPr>
      <w:bookmarkStart w:id="445" w:name="_Ref478318915"/>
      <w:r>
        <w:t xml:space="preserve">Figure </w:t>
      </w:r>
      <w:fldSimple w:instr=" STYLEREF 1 \s ">
        <w:r w:rsidR="00C6448C">
          <w:rPr>
            <w:noProof/>
          </w:rPr>
          <w:t>3</w:t>
        </w:r>
      </w:fldSimple>
      <w:r w:rsidR="00882F3D">
        <w:noBreakHyphen/>
      </w:r>
      <w:fldSimple w:instr=" SEQ Figure \* ARABIC \s 1 ">
        <w:r w:rsidR="00C6448C">
          <w:rPr>
            <w:noProof/>
          </w:rPr>
          <w:t>25</w:t>
        </w:r>
      </w:fldSimple>
      <w:bookmarkEnd w:id="445"/>
      <w:r>
        <w:tab/>
        <w:t>Structure of a zero-coupon inflation swap</w:t>
      </w:r>
    </w:p>
    <w:p w:rsidR="00762CF4" w:rsidRPr="00FF7954" w:rsidRDefault="00762CF4" w:rsidP="00762CF4">
      <w:r w:rsidRPr="00FF7954">
        <w:tab/>
      </w:r>
      <w:r w:rsidRPr="00FF7954">
        <w:tab/>
      </w:r>
      <w:r w:rsidRPr="00FF7954">
        <w:tab/>
      </w:r>
      <w:r w:rsidRPr="00FF7954">
        <w:tab/>
      </w:r>
      <w:r w:rsidRPr="00FF7954">
        <w:tab/>
      </w:r>
      <w:r w:rsidRPr="00FF7954">
        <w:tab/>
      </w:r>
      <w:r w:rsidRPr="00FF7954">
        <w:tab/>
        <w:t>Notional value*((1 + fixed rate)tenor –1)</w:t>
      </w:r>
    </w:p>
    <w:p w:rsidR="00762CF4" w:rsidRPr="00FF7954" w:rsidRDefault="00762CF4" w:rsidP="00762CF4">
      <w:r w:rsidRPr="00762CF4">
        <w:rPr>
          <w:noProof/>
          <w:lang w:eastAsia="en-AU"/>
        </w:rPr>
        <mc:AlternateContent>
          <mc:Choice Requires="wps">
            <w:drawing>
              <wp:anchor distT="0" distB="0" distL="114300" distR="114300" simplePos="0" relativeHeight="251662336" behindDoc="0" locked="0" layoutInCell="1" allowOverlap="1" wp14:anchorId="0618F035" wp14:editId="05C3D136">
                <wp:simplePos x="0" y="0"/>
                <wp:positionH relativeFrom="column">
                  <wp:posOffset>4053840</wp:posOffset>
                </wp:positionH>
                <wp:positionV relativeFrom="paragraph">
                  <wp:posOffset>52705</wp:posOffset>
                </wp:positionV>
                <wp:extent cx="1181735" cy="580390"/>
                <wp:effectExtent l="0" t="0" r="18415" b="10160"/>
                <wp:wrapNone/>
                <wp:docPr id="104" name="Text Box 104"/>
                <wp:cNvGraphicFramePr/>
                <a:graphic xmlns:a="http://schemas.openxmlformats.org/drawingml/2006/main">
                  <a:graphicData uri="http://schemas.microsoft.com/office/word/2010/wordprocessingShape">
                    <wps:wsp>
                      <wps:cNvSpPr txBox="1"/>
                      <wps:spPr>
                        <a:xfrm>
                          <a:off x="0" y="0"/>
                          <a:ext cx="1181735" cy="580390"/>
                        </a:xfrm>
                        <a:prstGeom prst="rect">
                          <a:avLst/>
                        </a:prstGeom>
                        <a:solidFill>
                          <a:sysClr val="window" lastClr="FFFFFF"/>
                        </a:solidFill>
                        <a:ln w="6350">
                          <a:solidFill>
                            <a:prstClr val="black"/>
                          </a:solidFill>
                        </a:ln>
                        <a:effectLst/>
                      </wps:spPr>
                      <wps:txbx>
                        <w:txbxContent>
                          <w:p w:rsidR="00E636A0" w:rsidRDefault="00E636A0" w:rsidP="00762CF4">
                            <w:r>
                              <w:t>Counterparty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 o:spid="_x0000_s1039" type="#_x0000_t202" style="position:absolute;margin-left:319.2pt;margin-top:4.15pt;width:93.05pt;height:45.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" fillcolor="window" strokeweight=".5pt">
                <v:textbox>
                  <w:txbxContent>
                    <w:p w:rsidR="00E636A0" w:rsidRDefault="00E636A0" w:rsidP="00762CF4">
                      <w:r>
                        <w:t>Counterparty B</w:t>
                      </w:r>
                    </w:p>
                  </w:txbxContent>
                </v:textbox>
              </v:shape>
            </w:pict>
          </mc:Fallback>
        </mc:AlternateContent>
      </w:r>
      <w:r w:rsidRPr="00762CF4">
        <w:rPr>
          <w:noProof/>
          <w:lang w:eastAsia="en-AU"/>
        </w:rPr>
        <mc:AlternateContent>
          <mc:Choice Requires="wps">
            <w:drawing>
              <wp:anchor distT="0" distB="0" distL="114300" distR="114300" simplePos="0" relativeHeight="251664384" behindDoc="0" locked="0" layoutInCell="1" allowOverlap="1" wp14:anchorId="443DC1AF" wp14:editId="103C31D7">
                <wp:simplePos x="0" y="0"/>
                <wp:positionH relativeFrom="column">
                  <wp:posOffset>1134745</wp:posOffset>
                </wp:positionH>
                <wp:positionV relativeFrom="paragraph">
                  <wp:posOffset>130810</wp:posOffset>
                </wp:positionV>
                <wp:extent cx="2917190" cy="15240"/>
                <wp:effectExtent l="0" t="76200" r="16510" b="80010"/>
                <wp:wrapNone/>
                <wp:docPr id="103" name="Straight Arrow Connector 103"/>
                <wp:cNvGraphicFramePr/>
                <a:graphic xmlns:a="http://schemas.openxmlformats.org/drawingml/2006/main">
                  <a:graphicData uri="http://schemas.microsoft.com/office/word/2010/wordprocessingShape">
                    <wps:wsp>
                      <wps:cNvCnPr/>
                      <wps:spPr>
                        <a:xfrm flipV="1">
                          <a:off x="0" y="0"/>
                          <a:ext cx="291719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103" o:spid="_x0000_s1026" type="#_x0000_t32" style="position:absolute;margin-left:89.35pt;margin-top:10.3pt;width:229.7pt;height:1.2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" strokecolor="#37454f">
                <v:stroke endarrow="block"/>
              </v:shape>
            </w:pict>
          </mc:Fallback>
        </mc:AlternateContent>
      </w:r>
      <w:r w:rsidRPr="00762CF4">
        <w:rPr>
          <w:noProof/>
          <w:lang w:eastAsia="en-AU"/>
        </w:rPr>
        <mc:AlternateContent>
          <mc:Choice Requires="wps">
            <w:drawing>
              <wp:anchor distT="0" distB="0" distL="114300" distR="114300" simplePos="0" relativeHeight="251661312" behindDoc="0" locked="0" layoutInCell="1" allowOverlap="1" wp14:anchorId="7050C1B8" wp14:editId="6524AE05">
                <wp:simplePos x="0" y="0"/>
                <wp:positionH relativeFrom="column">
                  <wp:posOffset>-32385</wp:posOffset>
                </wp:positionH>
                <wp:positionV relativeFrom="paragraph">
                  <wp:posOffset>81280</wp:posOffset>
                </wp:positionV>
                <wp:extent cx="1166495" cy="580390"/>
                <wp:effectExtent l="0" t="0" r="14605" b="10160"/>
                <wp:wrapNone/>
                <wp:docPr id="105" name="Text Box 105"/>
                <wp:cNvGraphicFramePr/>
                <a:graphic xmlns:a="http://schemas.openxmlformats.org/drawingml/2006/main">
                  <a:graphicData uri="http://schemas.microsoft.com/office/word/2010/wordprocessingShape">
                    <wps:wsp>
                      <wps:cNvSpPr txBox="1"/>
                      <wps:spPr>
                        <a:xfrm>
                          <a:off x="0" y="0"/>
                          <a:ext cx="1166495" cy="580390"/>
                        </a:xfrm>
                        <a:prstGeom prst="rect">
                          <a:avLst/>
                        </a:prstGeom>
                        <a:solidFill>
                          <a:sysClr val="window" lastClr="FFFFFF"/>
                        </a:solidFill>
                        <a:ln w="6350">
                          <a:solidFill>
                            <a:prstClr val="black"/>
                          </a:solidFill>
                        </a:ln>
                        <a:effectLst/>
                      </wps:spPr>
                      <wps:txbx>
                        <w:txbxContent>
                          <w:p w:rsidR="00E636A0" w:rsidRDefault="00E636A0" w:rsidP="00762CF4">
                            <w:r>
                              <w:t>Counterparty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 o:spid="_x0000_s1040" type="#_x0000_t202" style="position:absolute;margin-left:-2.55pt;margin-top:6.4pt;width:91.85pt;height:4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" fillcolor="window" strokeweight=".5pt">
                <v:textbox>
                  <w:txbxContent>
                    <w:p w:rsidR="00E636A0" w:rsidRDefault="00E636A0" w:rsidP="00762CF4">
                      <w:r>
                        <w:t>Counterparty A</w:t>
                      </w:r>
                    </w:p>
                  </w:txbxContent>
                </v:textbox>
              </v:shape>
            </w:pict>
          </mc:Fallback>
        </mc:AlternateContent>
      </w:r>
    </w:p>
    <w:p w:rsidR="00762CF4" w:rsidRPr="00FE48A7" w:rsidRDefault="00762CF4" w:rsidP="00762CF4">
      <w:r w:rsidRPr="00762CF4">
        <w:rPr>
          <w:noProof/>
          <w:lang w:eastAsia="en-AU"/>
        </w:rPr>
        <mc:AlternateContent>
          <mc:Choice Requires="wps">
            <w:drawing>
              <wp:anchor distT="0" distB="0" distL="114300" distR="114300" simplePos="0" relativeHeight="251663360" behindDoc="0" locked="0" layoutInCell="1" allowOverlap="1" wp14:anchorId="4B34F186" wp14:editId="4922773F">
                <wp:simplePos x="0" y="0"/>
                <wp:positionH relativeFrom="column">
                  <wp:posOffset>1142365</wp:posOffset>
                </wp:positionH>
                <wp:positionV relativeFrom="paragraph">
                  <wp:posOffset>209550</wp:posOffset>
                </wp:positionV>
                <wp:extent cx="2912110" cy="15240"/>
                <wp:effectExtent l="38100" t="57150" r="0" b="99060"/>
                <wp:wrapNone/>
                <wp:docPr id="108" name="Straight Arrow Connector 108"/>
                <wp:cNvGraphicFramePr/>
                <a:graphic xmlns:a="http://schemas.openxmlformats.org/drawingml/2006/main">
                  <a:graphicData uri="http://schemas.microsoft.com/office/word/2010/wordprocessingShape">
                    <wps:wsp>
                      <wps:cNvCnPr/>
                      <wps:spPr>
                        <a:xfrm flipH="1">
                          <a:off x="0" y="0"/>
                          <a:ext cx="291211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108" o:spid="_x0000_s1026" type="#_x0000_t32" style="position:absolute;margin-left:89.95pt;margin-top:16.5pt;width:229.3pt;height:1.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" strokecolor="#37454f">
                <v:stroke endarrow="block"/>
              </v:shape>
            </w:pict>
          </mc:Fallback>
        </mc:AlternateContent>
      </w:r>
    </w:p>
    <w:p w:rsidR="00762CF4" w:rsidRPr="00FF7954" w:rsidRDefault="00762CF4" w:rsidP="00762CF4">
      <w:r>
        <w:tab/>
      </w:r>
      <w:r>
        <w:tab/>
      </w:r>
      <w:r>
        <w:tab/>
      </w:r>
      <w:r>
        <w:tab/>
      </w:r>
      <w:r>
        <w:tab/>
      </w:r>
      <w:r>
        <w:tab/>
      </w:r>
      <w:r>
        <w:tab/>
      </w:r>
      <w:r w:rsidRPr="00FF7954">
        <w:t>Notional value*(</w:t>
      </w:r>
      <m:oMath>
        <m:f>
          <m:fPr>
            <m:ctrlPr>
              <w:rPr>
                <w:rFonts w:ascii="Cambria Math" w:hAnsi="Cambria Math"/>
              </w:rPr>
            </m:ctrlPr>
          </m:fPr>
          <m:num>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t+tenor</m:t>
                </m:r>
              </m:sub>
            </m:sSub>
          </m:num>
          <m:den>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m:t>
                </m:r>
              </m:sub>
            </m:sSub>
          </m:den>
        </m:f>
        <m:r>
          <m:rPr>
            <m:sty m:val="bi"/>
          </m:rPr>
          <w:rPr>
            <w:rFonts w:ascii="Cambria Math" w:hAnsi="Cambria Math"/>
          </w:rPr>
          <m:t>-1</m:t>
        </m:r>
      </m:oMath>
      <w:r w:rsidRPr="00FF7954">
        <w:t>)</w:t>
      </w:r>
    </w:p>
    <w:p w:rsidR="00762CF4" w:rsidRPr="00FF7954" w:rsidRDefault="00762CF4" w:rsidP="00762CF4">
      <w:pPr>
        <w:pStyle w:val="AERtablesource"/>
      </w:pPr>
      <w:r w:rsidRPr="00FF7954">
        <w:t xml:space="preserve">Source: </w:t>
      </w:r>
      <w:r>
        <w:tab/>
      </w:r>
      <w:r w:rsidRPr="00FF7954">
        <w:t>Michael Oman, ‘Inflation swap structures: The benchmark – Zero coupon inflation swaps’, Inflation Derivatives: A Users Guide, Barclays Capital, January</w:t>
      </w:r>
      <w:r>
        <w:t xml:space="preserve"> 2005</w:t>
      </w:r>
      <w:r w:rsidRPr="00FF7954">
        <w:t xml:space="preserve">, p. 5. </w:t>
      </w:r>
    </w:p>
    <w:p w:rsidR="00762CF4" w:rsidRDefault="00762CF4" w:rsidP="00762CF4">
      <w:r>
        <w:t>The floating rate payments that the inflation-hedged nominal CGS investor receives from their inflation swap should equal the value of the nominal CGS yield that is eroded by inflation,</w:t>
      </w:r>
      <w:r>
        <w:rPr>
          <w:rStyle w:val="FootnoteReference"/>
        </w:rPr>
        <w:footnoteReference w:id="1520"/>
      </w:r>
      <w:r>
        <w:t xml:space="preserve"> preserving the nominal yield as the real return. The real return that the investor receives is then the yield on nominal CGS less the fixed swap rate, which is market-determined rate. Over AusNet Services' averaging period, the market-determined zero-coupon swap rate was 2.34 per cent.</w:t>
      </w:r>
      <w:r>
        <w:rPr>
          <w:rStyle w:val="FootnoteReference"/>
        </w:rPr>
        <w:footnoteReference w:id="1521"/>
      </w:r>
      <w:r>
        <w:t xml:space="preserve"> Combined with our nominal risk free rate</w:t>
      </w:r>
      <w:r w:rsidR="00727F48">
        <w:rPr>
          <w:rStyle w:val="FootnoteReference"/>
        </w:rPr>
        <w:footnoteReference w:id="1522"/>
      </w:r>
      <w:r>
        <w:t xml:space="preserve"> (estimated from yields on nominal CGS), this implies a real risk free rate of 0.18 per cent, 46 basis points less than the yield on indexed CGS.</w:t>
      </w:r>
    </w:p>
    <w:p w:rsidR="00762CF4" w:rsidRDefault="00762CF4" w:rsidP="00762CF4">
      <w:r>
        <w:t>Although investors cannot (directly) invest in RBA forecasts or the RBA target band, this fact alone does not invalidate our real risk free rate estimate. Investors can invest in indexed CGS or in inflation swaps. Both swap and bond rates are market-determined, however swap-implied real risk free rates can differ materially from yields on indexed CGS. The difference between these two real risk free rate estimates is likely to be the presence of biases and premia in either the swap rates, the indexed CGS yields,</w:t>
      </w:r>
      <w:r w:rsidRPr="00C3226B">
        <w:t xml:space="preserve"> </w:t>
      </w:r>
      <w:r>
        <w:t xml:space="preserve">or both. </w:t>
      </w:r>
    </w:p>
    <w:p w:rsidR="00762CF4" w:rsidRDefault="00762CF4" w:rsidP="00762CF4">
      <w:r>
        <w:t xml:space="preserve">We consider, based on the currently available evidence, that the swap rate is likely to be less influenced by biases and premia than the yields on indexed CGS. However, we also consider that the swap rate may be influenced by bias and premia, such that it too may not reflect the true real risk free rate. </w:t>
      </w:r>
    </w:p>
    <w:p w:rsidR="00762CF4" w:rsidRDefault="00762CF4" w:rsidP="00762CF4">
      <w:r>
        <w:t>Academic evidence that long term inflation expectations are relatively stable and anchored to the RBA target band, may suggest that the RBA forecasts and target band approach  provides the best estimates of expected inflation. We also consider that the yields on nominal CGS provide the best estimate of the nominal risk free rate. Therefore, we are satisfied that the best estimates of the nominal risk free rate and expected inflation will result in the best estimate of the real risk free rate.</w:t>
      </w:r>
    </w:p>
    <w:p w:rsidR="00762CF4" w:rsidRPr="00762CF4" w:rsidRDefault="00762CF4" w:rsidP="00762CF4">
      <w:pPr>
        <w:pStyle w:val="Heading9"/>
      </w:pPr>
      <w:r>
        <w:t>Calculating a nominal risk free rate from our inflation estimate and indexed CGS yields</w:t>
      </w:r>
    </w:p>
    <w:p w:rsidR="00762CF4" w:rsidRDefault="00762CF4" w:rsidP="00762CF4">
      <w:r>
        <w:t>AusNet Services proposed that, if the break-even approach is not adopted for estimating expected inflation, then we should change the way we estimate the nominal risk free rate. In this case AusNet Services proposes that the nominal risk free rate should be estimated by starting with the yield on indexed CGS as an estimate of the real risk free rate, and then transform this real rate into a nominal rate using the Fisher equation and our estimate of expected inflation.</w:t>
      </w:r>
      <w:r>
        <w:rPr>
          <w:rStyle w:val="FootnoteReference"/>
        </w:rPr>
        <w:footnoteReference w:id="1523"/>
      </w:r>
      <w:r>
        <w:t xml:space="preserve"> </w:t>
      </w:r>
    </w:p>
    <w:p w:rsidR="00762CF4" w:rsidRDefault="00762CF4" w:rsidP="00727F48">
      <w:r>
        <w:t xml:space="preserve">The National Electricity Rules require us to determine a nominal rate of return. Consequently, we estimate the nominal rate of return by reference to a nominal return on equity, nominal return on debt, and nominal risk free rate. </w:t>
      </w:r>
    </w:p>
    <w:p w:rsidR="00762CF4" w:rsidRDefault="00762CF4" w:rsidP="00762CF4">
      <w:r>
        <w:t xml:space="preserve">AusNet Services' proposal is premised on the yields on indexed CGS reflecting the real risk free rate. For the reasons set out in section </w:t>
      </w:r>
      <w:r>
        <w:fldChar w:fldCharType="begin"/>
      </w:r>
      <w:r>
        <w:instrText xml:space="preserve"> REF _Ref478417819 \r \h </w:instrText>
      </w:r>
      <w:r>
        <w:fldChar w:fldCharType="separate"/>
      </w:r>
      <w:r w:rsidR="00C6448C">
        <w:t>K.1.5</w:t>
      </w:r>
      <w:r>
        <w:fldChar w:fldCharType="end"/>
      </w:r>
      <w:r>
        <w:t>, we consider that the yield on indexed CGS is not the best estimate of the real risk free rate. For this reason, we consider that AusNet Services' alternative proposal for estimating the nominal risk free rate will not result in a reliable and unbiased estimate, and therefore would not contribute to the achievement of the allowed rate of return objective.</w:t>
      </w:r>
    </w:p>
    <w:p w:rsidR="00762CF4" w:rsidRPr="00762CF4" w:rsidRDefault="00762CF4" w:rsidP="00762CF4">
      <w:pPr>
        <w:pStyle w:val="Heading8"/>
      </w:pPr>
      <w:bookmarkStart w:id="446" w:name="_Ref478561466"/>
      <w:bookmarkStart w:id="447" w:name="_Toc481057108"/>
      <w:r>
        <w:t>Break-even estimates a</w:t>
      </w:r>
      <w:r w:rsidRPr="00762CF4">
        <w:t>s a direct market measure</w:t>
      </w:r>
      <w:bookmarkEnd w:id="446"/>
      <w:bookmarkEnd w:id="447"/>
    </w:p>
    <w:p w:rsidR="00762CF4" w:rsidRDefault="00762CF4" w:rsidP="00762CF4">
      <w:r>
        <w:t xml:space="preserve">CEG submitted that bond </w:t>
      </w:r>
      <w:r w:rsidRPr="00ED7C40">
        <w:t xml:space="preserve">break-even inflation </w:t>
      </w:r>
      <w:r>
        <w:t>estimates are</w:t>
      </w:r>
      <w:r w:rsidRPr="00ED7C40">
        <w:t xml:space="preserve"> a direct measure of inflation expectations in the same bond market that the AER uses to set the nominal rate of return on equity (i.e., the CGS market).</w:t>
      </w:r>
      <w:r>
        <w:t xml:space="preserve"> CEG also submitted that </w:t>
      </w:r>
      <w:r w:rsidRPr="00D7574F">
        <w:t xml:space="preserve">indexed CGS are a more direct proxy for the real risk free rate than </w:t>
      </w:r>
      <w:r>
        <w:t xml:space="preserve">a measure equal to </w:t>
      </w:r>
      <w:r w:rsidRPr="00D7574F">
        <w:t>nominal CGS less an estimate of expected inflation (even if that estimate of expected inflation is accurate).</w:t>
      </w:r>
      <w:r>
        <w:rPr>
          <w:rStyle w:val="FootnoteReference"/>
        </w:rPr>
        <w:footnoteReference w:id="1524"/>
      </w:r>
    </w:p>
    <w:p w:rsidR="00762CF4" w:rsidRPr="002270C0" w:rsidRDefault="00762CF4" w:rsidP="00762CF4">
      <w:r w:rsidRPr="002270C0">
        <w:t xml:space="preserve">CEG contends that breakeven inflation, as calculated by the difference between nominal and indexed CGS bond yields, is a direct measure of market inflation expectations. This contention would only hold true if the </w:t>
      </w:r>
      <w:r>
        <w:t>following assumptions were true</w:t>
      </w:r>
      <w:r w:rsidRPr="002270C0">
        <w:t>:</w:t>
      </w:r>
    </w:p>
    <w:p w:rsidR="00762CF4" w:rsidRPr="002270C0" w:rsidRDefault="00762CF4" w:rsidP="00762CF4">
      <w:pPr>
        <w:pStyle w:val="AERbulletlistfirststyle"/>
      </w:pPr>
      <w:r w:rsidRPr="002270C0">
        <w:t xml:space="preserve">breakeven inflation can be accurately </w:t>
      </w:r>
      <w:r>
        <w:t xml:space="preserve">and reliably </w:t>
      </w:r>
      <w:r w:rsidRPr="002270C0">
        <w:t>calculated from nominal and indexed CGS; and</w:t>
      </w:r>
    </w:p>
    <w:p w:rsidR="00762CF4" w:rsidRPr="002270C0" w:rsidRDefault="00762CF4" w:rsidP="00762CF4">
      <w:pPr>
        <w:pStyle w:val="AERbulletlistfirststyle"/>
      </w:pPr>
      <w:r w:rsidRPr="002270C0">
        <w:t>yields for nominal and indexed CGS were not influenced by premia or biases held by bond investors</w:t>
      </w:r>
      <w:r>
        <w:t xml:space="preserve"> (or </w:t>
      </w:r>
      <w:r w:rsidRPr="002270C0">
        <w:t>if the various premia and biases influencing bond investors could be identified and decomposed within bond yields</w:t>
      </w:r>
      <w:r>
        <w:t>)</w:t>
      </w:r>
      <w:r w:rsidRPr="002270C0">
        <w:t>.</w:t>
      </w:r>
    </w:p>
    <w:p w:rsidR="00762CF4" w:rsidRPr="002270C0" w:rsidRDefault="00762CF4" w:rsidP="00762CF4">
      <w:r>
        <w:t>In regards to</w:t>
      </w:r>
      <w:r w:rsidRPr="002270C0">
        <w:t xml:space="preserve"> the first assumption, a lack of outstanding tenors in indexed C</w:t>
      </w:r>
      <w:r>
        <w:t>GS relative to nominal CGS can lead</w:t>
      </w:r>
      <w:r w:rsidRPr="002270C0">
        <w:t xml:space="preserve"> to problems in matching the maturities of nominal and indexed CGS.</w:t>
      </w:r>
      <w:r w:rsidRPr="002270C0">
        <w:rPr>
          <w:rStyle w:val="FootnoteReference"/>
        </w:rPr>
        <w:footnoteReference w:id="1525"/>
      </w:r>
      <w:r w:rsidRPr="002270C0">
        <w:t xml:space="preserve"> The approximate matching of 10 year maturities of nominal and indexed CGS is necessary for the calculation of 10 year </w:t>
      </w:r>
      <w:r>
        <w:t>bond break-even estimates</w:t>
      </w:r>
      <w:r w:rsidRPr="002270C0">
        <w:t>. Thus, if there are too few tenors of indexed CGS, or the tenors of indexed and nominal CGS don’t match, the calculation of breakeven inflation may rely on estimates of yields to maturity rather than on observed yields to maturity.</w:t>
      </w:r>
      <w:r w:rsidRPr="002270C0">
        <w:rPr>
          <w:rStyle w:val="FootnoteReference"/>
        </w:rPr>
        <w:footnoteReference w:id="1526"/>
      </w:r>
      <w:r w:rsidRPr="002270C0">
        <w:t xml:space="preserve"> This leads to two implications:</w:t>
      </w:r>
    </w:p>
    <w:p w:rsidR="00762CF4" w:rsidRPr="002270C0" w:rsidRDefault="00762CF4" w:rsidP="00762CF4">
      <w:pPr>
        <w:pStyle w:val="AERbulletlistfirststyle"/>
      </w:pPr>
      <w:r w:rsidRPr="002270C0">
        <w:t xml:space="preserve">the </w:t>
      </w:r>
      <w:r>
        <w:t>break-even</w:t>
      </w:r>
      <w:r w:rsidRPr="002270C0">
        <w:t>-implied forward inflation rates are unlikely to correspond to market expectations of future short term inflation rates; and</w:t>
      </w:r>
    </w:p>
    <w:p w:rsidR="00762CF4" w:rsidRPr="002270C0" w:rsidRDefault="00762CF4" w:rsidP="00762CF4">
      <w:pPr>
        <w:pStyle w:val="AERbulletlistfirststyle"/>
      </w:pPr>
      <w:r w:rsidRPr="002270C0">
        <w:t xml:space="preserve">the </w:t>
      </w:r>
      <w:r>
        <w:t>break-even estimate</w:t>
      </w:r>
      <w:r w:rsidRPr="002270C0">
        <w:t xml:space="preserve"> is unlikely to reflect mark-to-market expectations of inflation over any yearly horizon up to 10 years ahead.</w:t>
      </w:r>
    </w:p>
    <w:p w:rsidR="00762CF4" w:rsidRPr="002270C0" w:rsidRDefault="00762CF4" w:rsidP="00762CF4">
      <w:r w:rsidRPr="002270C0">
        <w:t xml:space="preserve">Relying on interpolated yield curves may result in overly sensitive breakeven </w:t>
      </w:r>
      <w:r>
        <w:t>estimates</w:t>
      </w:r>
      <w:r w:rsidRPr="002270C0">
        <w:t xml:space="preserve">. Deacon and Derry (1994) and Deacon et al. (2004) argue that the choice of term structure model can have a significant effect on the resulting </w:t>
      </w:r>
      <w:r>
        <w:t>bond break-even</w:t>
      </w:r>
      <w:r w:rsidRPr="002270C0">
        <w:t>-implied inflation term structure. As a result break</w:t>
      </w:r>
      <w:r>
        <w:t>-</w:t>
      </w:r>
      <w:r w:rsidRPr="002270C0">
        <w:t>even inflation estimates may vary considerably depending on the yield curve models employed. In this respect, break</w:t>
      </w:r>
      <w:r>
        <w:t>-</w:t>
      </w:r>
      <w:r w:rsidRPr="002270C0">
        <w:t>even inflation may not produce robust estimates of expected inflation. Furthermore, this source of variability and lack of robustness of break</w:t>
      </w:r>
      <w:r>
        <w:t>-</w:t>
      </w:r>
      <w:r w:rsidRPr="002270C0">
        <w:t>even inflation estimates may occur because there is no consensus on which yield curve models are the most appropriate.</w:t>
      </w:r>
      <w:r w:rsidRPr="002270C0">
        <w:rPr>
          <w:rStyle w:val="FootnoteReference"/>
        </w:rPr>
        <w:footnoteReference w:id="1527"/>
      </w:r>
      <w:r>
        <w:t xml:space="preserve"> </w:t>
      </w:r>
      <w:r w:rsidRPr="002270C0">
        <w:t>Another issue stems from differences in the sizes of coupon payments across maturities, which may alter break</w:t>
      </w:r>
      <w:r>
        <w:t>-</w:t>
      </w:r>
      <w:r w:rsidRPr="002270C0">
        <w:t>even-implied forward inflation rates</w:t>
      </w:r>
      <w:r>
        <w:t xml:space="preserve"> (see </w:t>
      </w:r>
      <w:r>
        <w:fldChar w:fldCharType="begin"/>
      </w:r>
      <w:r>
        <w:instrText xml:space="preserve"> REF _Ref474182633 \h </w:instrText>
      </w:r>
      <w:r>
        <w:fldChar w:fldCharType="separate"/>
      </w:r>
      <w:r w:rsidR="00C6448C">
        <w:t xml:space="preserve">Table </w:t>
      </w:r>
      <w:r w:rsidR="00C6448C">
        <w:rPr>
          <w:noProof/>
        </w:rPr>
        <w:t>3</w:t>
      </w:r>
      <w:r w:rsidR="00C6448C">
        <w:noBreakHyphen/>
      </w:r>
      <w:r w:rsidR="00C6448C">
        <w:rPr>
          <w:noProof/>
        </w:rPr>
        <w:t>21</w:t>
      </w:r>
      <w:r>
        <w:fldChar w:fldCharType="end"/>
      </w:r>
      <w:r>
        <w:t>)</w:t>
      </w:r>
      <w:r w:rsidRPr="002270C0">
        <w:t>.</w:t>
      </w:r>
      <w:r w:rsidRPr="002270C0">
        <w:rPr>
          <w:rStyle w:val="FootnoteReference"/>
        </w:rPr>
        <w:footnoteReference w:id="1528"/>
      </w:r>
      <w:r w:rsidRPr="002270C0">
        <w:t xml:space="preserve"> These issues cast doubt on the accuracy of break</w:t>
      </w:r>
      <w:r>
        <w:t>-</w:t>
      </w:r>
      <w:r w:rsidRPr="002270C0">
        <w:t xml:space="preserve">even inflation estimates derived from indexed and nominal CGS yield curves. </w:t>
      </w:r>
    </w:p>
    <w:p w:rsidR="00762CF4" w:rsidRDefault="00762CF4" w:rsidP="00762CF4">
      <w:r>
        <w:t>On</w:t>
      </w:r>
      <w:r w:rsidRPr="002270C0">
        <w:t xml:space="preserve"> the </w:t>
      </w:r>
      <w:r>
        <w:t>second</w:t>
      </w:r>
      <w:r w:rsidRPr="002270C0">
        <w:t xml:space="preserve"> assumption mentioned above, a number of significant premia and biases are evident in </w:t>
      </w:r>
      <w:r>
        <w:t>break-even inflation estimates</w:t>
      </w:r>
      <w:r w:rsidRPr="002270C0">
        <w:t xml:space="preserve">, leading to </w:t>
      </w:r>
      <w:r>
        <w:t xml:space="preserve">these estimates </w:t>
      </w:r>
      <w:r w:rsidRPr="002270C0">
        <w:t>not reflecting market expectations of inflation.</w:t>
      </w:r>
      <w:r w:rsidRPr="002270C0">
        <w:rPr>
          <w:rStyle w:val="FootnoteReference"/>
        </w:rPr>
        <w:footnoteReference w:id="1529"/>
      </w:r>
      <w:r w:rsidRPr="002270C0">
        <w:t xml:space="preserve"> Liquidity premia, inflation risk premia, convexity bias, inflation indexation lag, sensitivity to short term inflation trends,</w:t>
      </w:r>
      <w:r>
        <w:t xml:space="preserve"> among others. A</w:t>
      </w:r>
      <w:r w:rsidRPr="002270C0">
        <w:t xml:space="preserve">ll </w:t>
      </w:r>
      <w:r>
        <w:t xml:space="preserve">these </w:t>
      </w:r>
      <w:r w:rsidRPr="002270C0">
        <w:t>act to influence break</w:t>
      </w:r>
      <w:r>
        <w:t>-</w:t>
      </w:r>
      <w:r w:rsidRPr="002270C0">
        <w:t>even inflation estimates such that they do not directly reflect market</w:t>
      </w:r>
      <w:r>
        <w:t>-expected</w:t>
      </w:r>
      <w:r w:rsidRPr="002270C0">
        <w:t xml:space="preserve"> inflation. </w:t>
      </w:r>
    </w:p>
    <w:p w:rsidR="00762CF4" w:rsidRPr="002270C0" w:rsidRDefault="00762CF4" w:rsidP="00762CF4">
      <w:r>
        <w:t>Further,</w:t>
      </w:r>
      <w:r w:rsidRPr="002270C0">
        <w:t xml:space="preserve"> there is a lack of studies decomposing Australian break</w:t>
      </w:r>
      <w:r>
        <w:t>-</w:t>
      </w:r>
      <w:r w:rsidRPr="002270C0">
        <w:t>even inflation estimates</w:t>
      </w:r>
      <w:r>
        <w:t xml:space="preserve"> to quantify biases and premia</w:t>
      </w:r>
      <w:r w:rsidRPr="002270C0">
        <w:t>.</w:t>
      </w:r>
      <w:r w:rsidRPr="002270C0">
        <w:rPr>
          <w:rStyle w:val="FootnoteReference"/>
        </w:rPr>
        <w:footnoteReference w:id="1530"/>
      </w:r>
      <w:r w:rsidRPr="002270C0">
        <w:t xml:space="preserve"> Moreover, the studies decomposing US and UK government bonds reveal varying levels of liquidity premia, suggesting that even if an attempt was made to decompose bond yields in Australia, estimates of inflation expectations may not be robust.</w:t>
      </w:r>
      <w:r w:rsidRPr="002270C0" w:rsidDel="00A73AD9">
        <w:rPr>
          <w:rStyle w:val="FootnoteReference"/>
        </w:rPr>
        <w:t xml:space="preserve"> </w:t>
      </w:r>
    </w:p>
    <w:p w:rsidR="00762CF4" w:rsidRDefault="00762CF4" w:rsidP="00762CF4">
      <w:r>
        <w:t xml:space="preserve">We consider that zero coupon inflation swaps may result in better estimates of expected inflation than the bond break-even approach, and note that inflation swaps are also (like bonds) market-traded instruments. We consider that inflation swaps may be subject to a number of biases and risk premia, however many of these are likely to be immaterial (see section </w:t>
      </w:r>
      <w:r>
        <w:fldChar w:fldCharType="begin"/>
      </w:r>
      <w:r>
        <w:instrText xml:space="preserve"> REF _Ref478559870 \r \h </w:instrText>
      </w:r>
      <w:r>
        <w:fldChar w:fldCharType="separate"/>
      </w:r>
      <w:r w:rsidR="00C6448C">
        <w:t>3.4.4.2</w:t>
      </w:r>
      <w:r>
        <w:fldChar w:fldCharType="end"/>
      </w:r>
      <w:r>
        <w:t>). In addition,</w:t>
      </w:r>
      <w:r w:rsidRPr="00C312C9">
        <w:t xml:space="preserve"> the published </w:t>
      </w:r>
      <w:r>
        <w:t xml:space="preserve">Australian </w:t>
      </w:r>
      <w:r w:rsidRPr="00C312C9">
        <w:t xml:space="preserve">zero coupon inflation swap rates are available for many more tenors than tenors for indexed CGS. </w:t>
      </w:r>
      <w:r>
        <w:t>On this basis, inflation swaps may provide a better decomposition of market-implied forward inflation rates than the breakeven method.</w:t>
      </w:r>
    </w:p>
    <w:p w:rsidR="00762CF4" w:rsidRPr="00762CF4" w:rsidRDefault="00762CF4" w:rsidP="00762CF4">
      <w:pPr>
        <w:pStyle w:val="Heading8"/>
      </w:pPr>
      <w:bookmarkStart w:id="448" w:name="_Ref478561468"/>
      <w:bookmarkStart w:id="449" w:name="_Toc481057109"/>
      <w:r>
        <w:t>Biases and premia in the break</w:t>
      </w:r>
      <w:r w:rsidRPr="00762CF4">
        <w:t>-even and swaps estimates</w:t>
      </w:r>
      <w:bookmarkEnd w:id="448"/>
      <w:bookmarkEnd w:id="449"/>
    </w:p>
    <w:p w:rsidR="00762CF4" w:rsidRPr="0062367B" w:rsidRDefault="00762CF4" w:rsidP="00762CF4">
      <w:r>
        <w:t xml:space="preserve">AusNet Services and </w:t>
      </w:r>
      <w:r w:rsidRPr="0062367B">
        <w:t>CEG</w:t>
      </w:r>
      <w:r>
        <w:t xml:space="preserve"> submitted that the</w:t>
      </w:r>
      <w:r w:rsidRPr="0062367B">
        <w:t xml:space="preserve"> overwhelming conclusion</w:t>
      </w:r>
      <w:r>
        <w:t xml:space="preserve"> of the academic literature is </w:t>
      </w:r>
      <w:r w:rsidRPr="0062367B">
        <w:t>that the potential sources of bias</w:t>
      </w:r>
      <w:r>
        <w:t xml:space="preserve"> in break-even inflation estimates</w:t>
      </w:r>
      <w:r w:rsidRPr="0062367B">
        <w:t xml:space="preserve"> are small and just as likely to result in an over-estimate of expected inflation as an under estimate.</w:t>
      </w:r>
      <w:r>
        <w:t xml:space="preserve"> AusNet Services and CEG submitted that o</w:t>
      </w:r>
      <w:r w:rsidRPr="0062367B">
        <w:t xml:space="preserve">nly the convexity and liquidity premium issues are </w:t>
      </w:r>
      <w:r>
        <w:t>likely</w:t>
      </w:r>
      <w:r w:rsidRPr="0062367B">
        <w:t xml:space="preserve"> to result in a potential downward bias of expected inflation forecasts and that if any bias exists, it is small and does not necessarily result in an under estimate of inflation.</w:t>
      </w:r>
      <w:r w:rsidRPr="00E76C80">
        <w:rPr>
          <w:rStyle w:val="FootnoteReference"/>
        </w:rPr>
        <w:footnoteReference w:id="1531"/>
      </w:r>
      <w:r w:rsidRPr="0062367B">
        <w:t xml:space="preserve"> </w:t>
      </w:r>
    </w:p>
    <w:p w:rsidR="00762CF4" w:rsidRDefault="00762CF4" w:rsidP="00762CF4">
      <w:r w:rsidRPr="00A440C0">
        <w:t>CEG submits</w:t>
      </w:r>
      <w:r>
        <w:rPr>
          <w:rStyle w:val="FootnoteReference"/>
        </w:rPr>
        <w:footnoteReference w:id="1532"/>
      </w:r>
      <w:r w:rsidRPr="00A440C0">
        <w:t xml:space="preserve"> that the results of D’Amico, Kim and Wei (2010),</w:t>
      </w:r>
      <w:r>
        <w:rPr>
          <w:rStyle w:val="FootnoteReference"/>
        </w:rPr>
        <w:footnoteReference w:id="1533"/>
      </w:r>
      <w:r w:rsidRPr="00A440C0">
        <w:t xml:space="preserve"> and Grishchenko and Huang (2012)</w:t>
      </w:r>
      <w:r w:rsidRPr="00A440C0">
        <w:rPr>
          <w:rStyle w:val="FootnoteReference"/>
        </w:rPr>
        <w:footnoteReference w:id="1534"/>
      </w:r>
      <w:r w:rsidRPr="00A440C0">
        <w:t xml:space="preserve"> indicate that the breakeven method actually overstates expected inflation. Ang, Bekaert and Wei (2008)</w:t>
      </w:r>
      <w:r w:rsidRPr="00A440C0">
        <w:rPr>
          <w:rStyle w:val="FootnoteReference"/>
        </w:rPr>
        <w:footnoteReference w:id="1535"/>
      </w:r>
      <w:r w:rsidRPr="00A440C0">
        <w:t xml:space="preserve"> are also ci</w:t>
      </w:r>
      <w:r>
        <w:t>ted to support this contention.</w:t>
      </w:r>
      <w:r w:rsidRPr="00857548">
        <w:rPr>
          <w:rStyle w:val="FootnoteReference"/>
        </w:rPr>
        <w:t xml:space="preserve"> </w:t>
      </w:r>
      <w:r>
        <w:rPr>
          <w:rStyle w:val="FootnoteReference"/>
        </w:rPr>
        <w:footnoteReference w:id="1536"/>
      </w:r>
    </w:p>
    <w:p w:rsidR="00762CF4" w:rsidRDefault="00762CF4" w:rsidP="00762CF4">
      <w:r>
        <w:t xml:space="preserve">On liquidity premium in break-even inflation estimates, CEG submitted that academic studies have estimated this premium to be around zero, around 1 basis point or less, 10 basis points or less, or less than zero. In support, CEG referred to studies by D’Amico, Kim and Wei (2010), </w:t>
      </w:r>
      <w:r w:rsidRPr="0006563F">
        <w:t>D’Amico, Kim and Wei (2016)</w:t>
      </w:r>
      <w:r>
        <w:t xml:space="preserve">, </w:t>
      </w:r>
      <w:r w:rsidRPr="00B648CC">
        <w:t>Grishchenko and Huang (2012)</w:t>
      </w:r>
      <w:r>
        <w:t xml:space="preserve">, </w:t>
      </w:r>
      <w:r w:rsidRPr="008D63D6">
        <w:t>Lehman Brothers (2006)</w:t>
      </w:r>
      <w:r>
        <w:t>,</w:t>
      </w:r>
      <w:r w:rsidRPr="008D63D6">
        <w:t xml:space="preserve"> Banco Central do Brasil (2014)</w:t>
      </w:r>
      <w:r>
        <w:t>.</w:t>
      </w:r>
      <w:r>
        <w:rPr>
          <w:rStyle w:val="FootnoteReference"/>
        </w:rPr>
        <w:footnoteReference w:id="1537"/>
      </w:r>
      <w:r>
        <w:t xml:space="preserve"> </w:t>
      </w:r>
    </w:p>
    <w:p w:rsidR="00762CF4" w:rsidRPr="0055723E" w:rsidRDefault="00762CF4" w:rsidP="00762CF4">
      <w:r>
        <w:t>However, c</w:t>
      </w:r>
      <w:r w:rsidRPr="0055723E">
        <w:t xml:space="preserve">aution is required in the drawing </w:t>
      </w:r>
      <w:r>
        <w:t xml:space="preserve">of </w:t>
      </w:r>
      <w:r w:rsidRPr="0055723E">
        <w:t xml:space="preserve">any inferences from any single study </w:t>
      </w:r>
      <w:r>
        <w:t>of</w:t>
      </w:r>
      <w:r w:rsidRPr="0055723E">
        <w:t xml:space="preserve"> Australian </w:t>
      </w:r>
      <w:r>
        <w:t>bond break-even inflation estimates</w:t>
      </w:r>
      <w:r w:rsidRPr="0055723E">
        <w:t xml:space="preserve">. </w:t>
      </w:r>
      <w:r>
        <w:t>To gain a better indication of the potential biases, premia and distortions, all bond break-even inflation rate studies should be considered. Most studies find significant biases</w:t>
      </w:r>
      <w:r w:rsidRPr="0055723E">
        <w:t xml:space="preserve"> in the </w:t>
      </w:r>
      <w:r>
        <w:t>break-even inflation estimates, many of which are time-</w:t>
      </w:r>
      <w:r w:rsidRPr="0055723E">
        <w:t xml:space="preserve">varying. </w:t>
      </w:r>
    </w:p>
    <w:p w:rsidR="00762CF4" w:rsidRDefault="00762CF4" w:rsidP="00762CF4">
      <w:r>
        <w:t>In addition, we consider that no single decomposition study cited may be considered as the most relevant or most appropriate because, as Zarazaga (2010) points out, our current understanding of bond prices is too limited to determine with any confidence the fraction attributed to bias and the fraction attributed to expected inflation.</w:t>
      </w:r>
      <w:r>
        <w:rPr>
          <w:rStyle w:val="FootnoteReference"/>
        </w:rPr>
        <w:footnoteReference w:id="1538"/>
      </w:r>
    </w:p>
    <w:p w:rsidR="00762CF4" w:rsidRPr="007C4FFA" w:rsidRDefault="00762CF4" w:rsidP="00762CF4">
      <w:r>
        <w:t xml:space="preserve">Further, CEG's submission on ‘net bias’, referring to multiple studies which find various biases in break-even inflation estimates, presumes that: </w:t>
      </w:r>
    </w:p>
    <w:p w:rsidR="00762CF4" w:rsidRPr="007C4FFA" w:rsidRDefault="00762CF4" w:rsidP="00762CF4">
      <w:pPr>
        <w:pStyle w:val="ListParagraph"/>
      </w:pPr>
      <w:r>
        <w:t xml:space="preserve">these biases are constant and can be simply ‘added’ and ‘subtracted’ to obtain a ‘net bias’; and </w:t>
      </w:r>
    </w:p>
    <w:p w:rsidR="00762CF4" w:rsidRPr="007C4FFA" w:rsidRDefault="00762CF4" w:rsidP="00762CF4">
      <w:pPr>
        <w:pStyle w:val="ListParagraph"/>
      </w:pPr>
      <w:r>
        <w:t xml:space="preserve">the ‘net bias’ is assumed to be the same 10 years ahead. </w:t>
      </w:r>
    </w:p>
    <w:p w:rsidR="00762CF4" w:rsidRDefault="00762CF4" w:rsidP="00762CF4">
      <w:r>
        <w:t xml:space="preserve">There is no </w:t>
      </w:r>
      <w:r w:rsidRPr="007C4FFA">
        <w:t>a</w:t>
      </w:r>
      <w:r>
        <w:t>-</w:t>
      </w:r>
      <w:r w:rsidRPr="007C4FFA">
        <w:t>prior</w:t>
      </w:r>
      <w:r>
        <w:t>i reason to consider that at any point in time the biases, distortions and premia in break-even inflation estimates would wholly or largely offset one another. ACCC Working Paper #11 finds that the biases and risk premia affecting bond break-even inflation estimates are likely to be time-varying,</w:t>
      </w:r>
      <w:r>
        <w:rPr>
          <w:rStyle w:val="FootnoteReference"/>
        </w:rPr>
        <w:footnoteReference w:id="1539"/>
      </w:r>
      <w:r>
        <w:t xml:space="preserve"> and estimates from academic research sensitive to the methodological choices and sample periods adopted.</w:t>
      </w:r>
      <w:r>
        <w:rPr>
          <w:rStyle w:val="FootnoteReference"/>
        </w:rPr>
        <w:footnoteReference w:id="1540"/>
      </w:r>
      <w:r>
        <w:t xml:space="preserve"> The results of different studies cannot be easily 'added' to one another.</w:t>
      </w:r>
    </w:p>
    <w:p w:rsidR="00762CF4" w:rsidRPr="008F304E" w:rsidRDefault="00762CF4" w:rsidP="00762CF4">
      <w:r>
        <w:t xml:space="preserve">Nonetheless, for completeness, we respond in section </w:t>
      </w:r>
      <w:r>
        <w:fldChar w:fldCharType="begin"/>
      </w:r>
      <w:r>
        <w:instrText xml:space="preserve"> REF _Ref478588829 \r \h </w:instrText>
      </w:r>
      <w:r>
        <w:fldChar w:fldCharType="separate"/>
      </w:r>
      <w:r w:rsidR="00C6448C">
        <w:t>K.3.1</w:t>
      </w:r>
      <w:r>
        <w:fldChar w:fldCharType="end"/>
      </w:r>
      <w:r>
        <w:t xml:space="preserve"> </w:t>
      </w:r>
      <w:r w:rsidRPr="008F304E">
        <w:t>below to submissions made</w:t>
      </w:r>
      <w:r>
        <w:t xml:space="preserve"> about specific studies.</w:t>
      </w:r>
    </w:p>
    <w:p w:rsidR="00762CF4" w:rsidRPr="00762CF4" w:rsidRDefault="00762CF4" w:rsidP="00762CF4">
      <w:pPr>
        <w:pStyle w:val="Heading9"/>
      </w:pPr>
      <w:bookmarkStart w:id="450" w:name="_Ref478588829"/>
      <w:r>
        <w:t>Liquidity premium</w:t>
      </w:r>
      <w:bookmarkEnd w:id="450"/>
    </w:p>
    <w:p w:rsidR="00762CF4" w:rsidRDefault="00762CF4" w:rsidP="00762CF4">
      <w:r>
        <w:t>AusNet Services and CEG submitted a number of arguments about the current liquidity of the CGS market, the materiality of liquidity measures, and the findings of individual studies of bond break-even estimates. Our consideration of these issues is in the subsections below.</w:t>
      </w:r>
    </w:p>
    <w:p w:rsidR="00762CF4" w:rsidRPr="00526D8C" w:rsidRDefault="00762CF4" w:rsidP="00762CF4">
      <w:pPr>
        <w:rPr>
          <w:rStyle w:val="Strong"/>
        </w:rPr>
      </w:pPr>
      <w:r w:rsidRPr="00526D8C">
        <w:rPr>
          <w:rStyle w:val="Strong"/>
        </w:rPr>
        <w:t>Changes to the liquidity of the nominal and indexed CGS markets</w:t>
      </w:r>
    </w:p>
    <w:p w:rsidR="00762CF4" w:rsidRDefault="00762CF4" w:rsidP="00762CF4">
      <w:r>
        <w:t xml:space="preserve">AusNet Services and CEG submitted that </w:t>
      </w:r>
      <w:r w:rsidRPr="000438D3">
        <w:t xml:space="preserve">the smaller size (short supply) of the indexed CGS market was previously attributed </w:t>
      </w:r>
      <w:r>
        <w:t xml:space="preserve">by us </w:t>
      </w:r>
      <w:r w:rsidRPr="000438D3">
        <w:t>as a reason for break-even inflation overstating expected in</w:t>
      </w:r>
      <w:r>
        <w:t>flation (not understating it). AusNet Services submitted that i</w:t>
      </w:r>
      <w:r w:rsidRPr="000438D3">
        <w:t>f these ‘distortions’ still exist then they imply that the actual expected inflation is even lower than the break-even rate</w:t>
      </w:r>
      <w:r>
        <w:t>.</w:t>
      </w:r>
      <w:r>
        <w:rPr>
          <w:rStyle w:val="FootnoteReference"/>
        </w:rPr>
        <w:footnoteReference w:id="1541"/>
      </w:r>
    </w:p>
    <w:p w:rsidR="00762CF4" w:rsidRDefault="00762CF4" w:rsidP="00762CF4">
      <w:r>
        <w:t>In contrast, the CCP submitted:</w:t>
      </w:r>
      <w:r>
        <w:rPr>
          <w:rStyle w:val="FootnoteReference"/>
        </w:rPr>
        <w:footnoteReference w:id="1542"/>
      </w:r>
    </w:p>
    <w:p w:rsidR="00762CF4" w:rsidRDefault="00762CF4" w:rsidP="00762CF4">
      <w:pPr>
        <w:pStyle w:val="AERquote"/>
      </w:pPr>
      <w:r>
        <w:t>…at this point we are not persuaded by the information provided in it [the September 2016 CEG report titled 'Best estimates of expected inflation'] that the market is now liquid…</w:t>
      </w:r>
    </w:p>
    <w:p w:rsidR="00762CF4" w:rsidRDefault="00762CF4" w:rsidP="00762CF4">
      <w:pPr>
        <w:pStyle w:val="AERquote"/>
      </w:pPr>
      <w:r>
        <w:t>Expert advice from those who administer the market and are most closely involved with it is the most useful input into whether it is a liquid and well-functioning market, so we suggest the AER should consult with the RBA and Australian Treasury, as it did in 2007</w:t>
      </w:r>
    </w:p>
    <w:p w:rsidR="00762CF4" w:rsidRDefault="00762CF4" w:rsidP="00762CF4">
      <w:r>
        <w:t xml:space="preserve">While </w:t>
      </w:r>
      <w:r w:rsidRPr="006E3A7B">
        <w:t xml:space="preserve">the distortions in the </w:t>
      </w:r>
      <w:r>
        <w:t>bond break-even inflation rate</w:t>
      </w:r>
      <w:r w:rsidRPr="006E3A7B">
        <w:t xml:space="preserve"> observed in 2007 may still exist, </w:t>
      </w:r>
      <w:r>
        <w:t>we consider that</w:t>
      </w:r>
      <w:r w:rsidRPr="006E3A7B">
        <w:t xml:space="preserve"> given the significant number of distortions, premia and biases </w:t>
      </w:r>
      <w:r>
        <w:t xml:space="preserve">potentially present in break-even estimates, </w:t>
      </w:r>
      <w:r w:rsidRPr="006E3A7B">
        <w:t>it would be:</w:t>
      </w:r>
    </w:p>
    <w:p w:rsidR="00762CF4" w:rsidRPr="006E3A7B" w:rsidRDefault="00762CF4" w:rsidP="00762CF4">
      <w:pPr>
        <w:pStyle w:val="AERbulletlistfirststyle"/>
      </w:pPr>
      <w:r>
        <w:t>d</w:t>
      </w:r>
      <w:r w:rsidRPr="006E3A7B">
        <w:t>ifficult to isolate these distortions, premia and biases and discuss these issues without consideration that at different times other biases, premia and distortions may dominate the distortions arising from the lack of supply;</w:t>
      </w:r>
    </w:p>
    <w:p w:rsidR="00762CF4" w:rsidRPr="006E3A7B" w:rsidRDefault="00762CF4" w:rsidP="00762CF4">
      <w:pPr>
        <w:pStyle w:val="AERbulletlistfirststyle"/>
      </w:pPr>
      <w:r>
        <w:t>impractical</w:t>
      </w:r>
      <w:r w:rsidRPr="006E3A7B">
        <w:t xml:space="preserve"> to hold all other biases, premia and distortions constant; and</w:t>
      </w:r>
    </w:p>
    <w:p w:rsidR="00762CF4" w:rsidRDefault="00762CF4" w:rsidP="00762CF4">
      <w:pPr>
        <w:pStyle w:val="AERbulletlistfirststyle"/>
      </w:pPr>
      <w:r w:rsidRPr="006E3A7B">
        <w:t xml:space="preserve">difficult to consider how supply and its related distortions will influence the quantum of the net effects of all these biases, premia and distortions since the estimation method, model and sample period all influence the size of the estimated distortions. </w:t>
      </w:r>
    </w:p>
    <w:p w:rsidR="00762CF4" w:rsidRPr="006E3A7B" w:rsidRDefault="00762CF4" w:rsidP="00762CF4">
      <w:r>
        <w:t>This difficulty in decomposing bond break-even estimates into various potential biases and risk premia reduces the transparency and replicability of the estimates and impinges the ability of stakeholders to contribute to the regulatory process. These factors affect the ability of the bond break-even approach to provide best estimates of expected inflation, regardless of whether a particular bias may be considered to result in an over-estimate or under-estimate at a particular point in time.</w:t>
      </w:r>
    </w:p>
    <w:p w:rsidR="00762CF4" w:rsidRPr="00762CF4" w:rsidRDefault="00762CF4" w:rsidP="00762CF4">
      <w:pPr>
        <w:pStyle w:val="HeadingOrange"/>
        <w:rPr>
          <w:rStyle w:val="Strong"/>
        </w:rPr>
      </w:pPr>
      <w:r w:rsidRPr="00762CF4">
        <w:rPr>
          <w:rStyle w:val="Strong"/>
        </w:rPr>
        <w:t>Estimates of liquidity premium may be distorted by an immature indexed bond market</w:t>
      </w:r>
    </w:p>
    <w:p w:rsidR="00762CF4" w:rsidRDefault="00762CF4" w:rsidP="00762CF4">
      <w:r>
        <w:t xml:space="preserve">AusNet Services and CEG submitted that </w:t>
      </w:r>
      <w:r w:rsidRPr="0062367B">
        <w:t>since 2012 there has been significant new issues of indexed bonds</w:t>
      </w:r>
      <w:r>
        <w:t>, and academic research prior to this time may not be reliable due to the US TIPS market being in its infancy.</w:t>
      </w:r>
      <w:r>
        <w:rPr>
          <w:rStyle w:val="FootnoteReference"/>
        </w:rPr>
        <w:footnoteReference w:id="1543"/>
      </w:r>
    </w:p>
    <w:p w:rsidR="00762CF4" w:rsidRDefault="00762CF4" w:rsidP="00762CF4">
      <w:r w:rsidRPr="00A876B0">
        <w:t xml:space="preserve">We </w:t>
      </w:r>
      <w:r>
        <w:t>acknowledge</w:t>
      </w:r>
      <w:r w:rsidRPr="00A876B0">
        <w:t xml:space="preserve"> that in an indexed bond market’s infancy the yields may not behave in the same manner as when the bond market is more mature. However, it is not the case that the liquidity risk premium and inflation risk premium only existed</w:t>
      </w:r>
      <w:r>
        <w:t xml:space="preserve"> in the bond market’s infancy. Academic r</w:t>
      </w:r>
      <w:r w:rsidRPr="00A876B0">
        <w:t xml:space="preserve">esearch </w:t>
      </w:r>
      <w:r>
        <w:t>has</w:t>
      </w:r>
      <w:r w:rsidRPr="00A876B0">
        <w:t xml:space="preserve"> been completed</w:t>
      </w:r>
      <w:r>
        <w:t xml:space="preserve"> using only mature market data.</w:t>
      </w:r>
      <w:r w:rsidRPr="00293DF6">
        <w:t xml:space="preserve"> </w:t>
      </w:r>
      <w:r>
        <w:t>ACCC Working Paper #11 notes that:</w:t>
      </w:r>
    </w:p>
    <w:p w:rsidR="00762CF4" w:rsidRDefault="00762CF4" w:rsidP="00762CF4">
      <w:pPr>
        <w:pStyle w:val="AERquote"/>
      </w:pPr>
      <w:r w:rsidRPr="00B22FAC">
        <w:t xml:space="preserve">With the exception of the late 1990s and early 2000s, the cited US BBIR </w:t>
      </w:r>
      <w:r>
        <w:t xml:space="preserve">[bond break-even inflation rate] </w:t>
      </w:r>
      <w:r w:rsidRPr="00B22FAC">
        <w:t>studies do not consider the supply of outstanding US TIPS to be a problem. In the cited studies of the UK indexed bond markets, issues relating to supply are not considered.</w:t>
      </w:r>
    </w:p>
    <w:p w:rsidR="00762CF4" w:rsidRDefault="00762CF4" w:rsidP="00762CF4">
      <w:r>
        <w:t>ACCC Working Paper #11</w:t>
      </w:r>
      <w:r>
        <w:rPr>
          <w:rStyle w:val="FootnoteReference"/>
        </w:rPr>
        <w:footnoteReference w:id="1544"/>
      </w:r>
      <w:r>
        <w:t>outlines a number of studies that find potential liquidity premia in indexed government bond markets that are unlikely to be distorted by being in their infancy.</w:t>
      </w:r>
    </w:p>
    <w:p w:rsidR="00762CF4" w:rsidRPr="00762CF4" w:rsidRDefault="00762CF4" w:rsidP="00762CF4">
      <w:pPr>
        <w:pStyle w:val="HeadingOrange"/>
        <w:rPr>
          <w:rStyle w:val="Strong"/>
        </w:rPr>
      </w:pPr>
      <w:r w:rsidRPr="00762CF4">
        <w:rPr>
          <w:rStyle w:val="Strong"/>
        </w:rPr>
        <w:t xml:space="preserve">Investors' value of additional liquidity falls to zero once they cannot move the market against themselves </w:t>
      </w:r>
    </w:p>
    <w:p w:rsidR="00762CF4" w:rsidRDefault="00762CF4" w:rsidP="00762CF4">
      <w:r>
        <w:t xml:space="preserve">CEG submitted that </w:t>
      </w:r>
      <w:r w:rsidRPr="0062367B">
        <w:t>investors</w:t>
      </w:r>
      <w:r>
        <w:t>'</w:t>
      </w:r>
      <w:r w:rsidRPr="0062367B">
        <w:t xml:space="preserve"> valuation of additional liquidity falls to zero as soon as they are confident that their own trading will not move the market against themselves</w:t>
      </w:r>
      <w:r>
        <w:t>. CEG submitted that the Australian nominal and indexed CGS markets are currently relatively large, such that there is no reason to believe that a material liquidity premium exists when moving from indexed to nominal CGS (under normal market circumstances).</w:t>
      </w:r>
      <w:r>
        <w:rPr>
          <w:rStyle w:val="FootnoteReference"/>
        </w:rPr>
        <w:footnoteReference w:id="1545"/>
      </w:r>
    </w:p>
    <w:p w:rsidR="00762CF4" w:rsidRDefault="00762CF4" w:rsidP="00762CF4">
      <w:r>
        <w:t>We consider that that the relative liquidity of the Australian nominal and indexed CGS markets, and the presence of a liquidity premium, is an empirical question. We note that the Australian government securities markets are typically less liquid than similar foreign markets (such as the US and UK), and that ACCC Working Paper #11's survey of the academic literature finds evidence of a potentially material and time-varying liquidity premium, including in the much more liquid US and UK markets.</w:t>
      </w:r>
      <w:r>
        <w:rPr>
          <w:rStyle w:val="FootnoteReference"/>
        </w:rPr>
        <w:footnoteReference w:id="1546"/>
      </w:r>
      <w:r>
        <w:t xml:space="preserve"> ACCC Working Paper #11 also finds it unlikely that relative liquidity in the Australian CGS market has improved since 2007-08, based on a consideration of relative turnover and bid-ask spreads as proxy measures of relative liquidity.</w:t>
      </w:r>
      <w:r>
        <w:rPr>
          <w:rStyle w:val="FootnoteReference"/>
        </w:rPr>
        <w:footnoteReference w:id="1547"/>
      </w:r>
    </w:p>
    <w:p w:rsidR="00762CF4" w:rsidRDefault="00762CF4" w:rsidP="00762CF4">
      <w:r>
        <w:t>Further, we note that a recent RBA's study of the Australian market finds that relative liquidity may be causing break-even inflation estimates to be increasingly downwardly biased.</w:t>
      </w:r>
    </w:p>
    <w:p w:rsidR="00762CF4" w:rsidRPr="00CF3376" w:rsidRDefault="00762CF4" w:rsidP="00762CF4">
      <w:pPr>
        <w:pStyle w:val="AERquote"/>
      </w:pPr>
      <w:r w:rsidRPr="00CF3376">
        <w:t xml:space="preserve">The financial markets that are used to calculate some measures of inflation expectations are not particularly liquid in Australia, and the financial measures also include an inflation risk premium; these issues can affect the interpretation of movements in the series. </w:t>
      </w:r>
    </w:p>
    <w:p w:rsidR="00762CF4" w:rsidRPr="00CF3376" w:rsidRDefault="00762CF4" w:rsidP="00762CF4">
      <w:pPr>
        <w:pStyle w:val="AERquote"/>
      </w:pPr>
      <w:r>
        <w:t>…</w:t>
      </w:r>
    </w:p>
    <w:p w:rsidR="00762CF4" w:rsidRPr="00CF3376" w:rsidRDefault="00762CF4" w:rsidP="00762CF4">
      <w:pPr>
        <w:pStyle w:val="AERquote"/>
      </w:pPr>
      <w:r w:rsidRPr="00CF3376">
        <w:t>The first is that, in Australia, markets for these instruments are not particularly active or liquid. For inflation-linked bonds, liquidity is low relative to nominal AGS and so investors who wish to hold highly liquid assets will have a preference for nominal AGS. As a result, investors may demand a higher yield on inflation-linked AGS, known as a ‘liquidity premium’, to compensate for the risk of market prices moving against the investor in a substantial way if they try to sell their position. This liquidity premium may downwardly bias the bond-based measure of inflation expectations.</w:t>
      </w:r>
    </w:p>
    <w:p w:rsidR="00762CF4" w:rsidRPr="00CF3376" w:rsidRDefault="00762CF4" w:rsidP="00762CF4">
      <w:pPr>
        <w:pStyle w:val="AERquote"/>
      </w:pPr>
      <w:r>
        <w:t>…</w:t>
      </w:r>
    </w:p>
    <w:p w:rsidR="00762CF4" w:rsidRPr="00CF3376" w:rsidRDefault="00762CF4" w:rsidP="00762CF4">
      <w:pPr>
        <w:pStyle w:val="AERquote"/>
      </w:pPr>
      <w:r w:rsidRPr="00CF3376">
        <w:t xml:space="preserve">Various metrics suggest that liquidity is substantially lower for inflation-linked AGS than for nominal AGS (Graph 6). It is for this reason that the yields on inflation-linked AGS are believed to embed a liquidity premium over nominal AGS. If the liquidity premium were constant over time, it would affect only the level of the estimated bond break-even inflation rate. However, there is a steadily increasing wedge between the 10-year inflation swaps rate and 10-year bond break-even rates since about 2011 (Graph 7). </w:t>
      </w:r>
    </w:p>
    <w:p w:rsidR="00762CF4" w:rsidRPr="00CF3376" w:rsidRDefault="00762CF4" w:rsidP="00762CF4">
      <w:pPr>
        <w:pStyle w:val="AERquote"/>
      </w:pPr>
      <w:r w:rsidRPr="00CF3376">
        <w:t>Graph 6</w:t>
      </w:r>
    </w:p>
    <w:p w:rsidR="00762CF4" w:rsidRPr="00CF3376" w:rsidRDefault="00762CF4" w:rsidP="00762CF4">
      <w:pPr>
        <w:pStyle w:val="AERquote"/>
      </w:pPr>
      <w:r w:rsidRPr="00762CF4">
        <w:rPr>
          <w:noProof/>
          <w:lang w:eastAsia="en-AU"/>
        </w:rPr>
        <w:drawing>
          <wp:inline distT="0" distB="0" distL="0" distR="0" wp14:anchorId="4A45965C" wp14:editId="6AA62588">
            <wp:extent cx="2001600" cy="1764000"/>
            <wp:effectExtent l="0" t="0" r="0" b="8255"/>
            <wp:docPr id="27" name="Picture 27" descr="Graph 6 Australian Government Secu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6 Australian Government Securiti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1600" cy="1764000"/>
                    </a:xfrm>
                    <a:prstGeom prst="rect">
                      <a:avLst/>
                    </a:prstGeom>
                    <a:noFill/>
                    <a:ln>
                      <a:noFill/>
                    </a:ln>
                  </pic:spPr>
                </pic:pic>
              </a:graphicData>
            </a:graphic>
          </wp:inline>
        </w:drawing>
      </w:r>
    </w:p>
    <w:p w:rsidR="00762CF4" w:rsidRPr="00CF3376" w:rsidRDefault="00762CF4" w:rsidP="00762CF4">
      <w:pPr>
        <w:pStyle w:val="AERquote"/>
      </w:pPr>
      <w:r w:rsidRPr="00CF3376">
        <w:t>Graph 7</w:t>
      </w:r>
    </w:p>
    <w:p w:rsidR="00762CF4" w:rsidRPr="00CF3376" w:rsidRDefault="00762CF4" w:rsidP="00762CF4">
      <w:pPr>
        <w:pStyle w:val="AERquote"/>
      </w:pPr>
      <w:r w:rsidRPr="00762CF4">
        <w:rPr>
          <w:noProof/>
          <w:lang w:eastAsia="en-AU"/>
        </w:rPr>
        <w:drawing>
          <wp:inline distT="0" distB="0" distL="0" distR="0" wp14:anchorId="02FAB1A5" wp14:editId="667DB53F">
            <wp:extent cx="2001600" cy="1677600"/>
            <wp:effectExtent l="0" t="0" r="0" b="0"/>
            <wp:docPr id="28" name="Picture 28" descr="Graph 7 Ten-year Break-even Infl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7 Ten-year Break-even Inflation Rat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1600" cy="1677600"/>
                    </a:xfrm>
                    <a:prstGeom prst="rect">
                      <a:avLst/>
                    </a:prstGeom>
                    <a:noFill/>
                    <a:ln>
                      <a:noFill/>
                    </a:ln>
                  </pic:spPr>
                </pic:pic>
              </a:graphicData>
            </a:graphic>
          </wp:inline>
        </w:drawing>
      </w:r>
    </w:p>
    <w:p w:rsidR="00762CF4" w:rsidRPr="00CF3376" w:rsidRDefault="00762CF4" w:rsidP="00762CF4">
      <w:pPr>
        <w:pStyle w:val="AERquote"/>
      </w:pPr>
      <w:r w:rsidRPr="00CF3376">
        <w:t xml:space="preserve">The widening in the spread between the two rates might be the result of changes to either market. One possibility is that the liquidity premium in inflation-linked AGS has risen, exacerbating the downward bias in the bond-based measure of inflation expectations. This would be consistent with the widespread view that liquidity in global bond markets has declined noticeably since 2008 (e.g. Levine 2015; Debelle 2015; CGFS 2016). In Australia, the decline in fixed income market liquidity has been less pronounced than globally; nonetheless, there is some evidence that bond markets are less liquid than in the past, but that an increase in interest rate derivatives market liquidity has more than offset this (Cheshire 2016). This change reflects, at least in part, a correction in the pricing of liquidity, which had been ‘underpriced in the years prior to the global financial crisis’ (Debelle 2016). These developments may have raised the liquidity premium inherent in inflation-indexed AGS by more than in nominal AGS because of the lower initial liquidity in inflation-linked AGS. If this is the case, the bond-based measure of inflation expectations may have become more downwardly biased than in the past. </w:t>
      </w:r>
    </w:p>
    <w:p w:rsidR="00762CF4" w:rsidRDefault="00762CF4" w:rsidP="00762CF4">
      <w:r w:rsidRPr="00CF3376">
        <w:t xml:space="preserve">As mentioned in the excerpt above, the liquidity of indexed CGS is unlikely to be equivalent to nominal CGS. This implies that the liquidity premium for </w:t>
      </w:r>
      <w:r>
        <w:t>indexed</w:t>
      </w:r>
      <w:r w:rsidRPr="00CF3376">
        <w:t xml:space="preserve"> CGS is not zero and is not insignificant.</w:t>
      </w:r>
    </w:p>
    <w:p w:rsidR="00762CF4" w:rsidRPr="00757EBE" w:rsidRDefault="00762CF4" w:rsidP="00762CF4">
      <w:pPr>
        <w:pStyle w:val="HeadingOrange"/>
      </w:pPr>
      <w:r w:rsidRPr="00757EBE">
        <w:t>Consideration of individual studies into bond break-even inflation</w:t>
      </w:r>
    </w:p>
    <w:p w:rsidR="00762CF4" w:rsidRPr="00762CF4" w:rsidRDefault="00762CF4" w:rsidP="00762CF4">
      <w:pPr>
        <w:pStyle w:val="HeadingItalic"/>
        <w:rPr>
          <w:rStyle w:val="Strong"/>
        </w:rPr>
      </w:pPr>
      <w:r w:rsidRPr="00762CF4">
        <w:rPr>
          <w:rStyle w:val="Strong"/>
        </w:rPr>
        <w:t>Ang, Bekaert, and Wei (2016)</w:t>
      </w:r>
    </w:p>
    <w:p w:rsidR="00762CF4" w:rsidRPr="00A440C0" w:rsidRDefault="00762CF4" w:rsidP="00762CF4">
      <w:r w:rsidRPr="00A440C0">
        <w:t xml:space="preserve">CEG references </w:t>
      </w:r>
      <w:r>
        <w:t xml:space="preserve">the finding in </w:t>
      </w:r>
      <w:r w:rsidRPr="00A440C0">
        <w:t>Ang, Bekaert and Wei (2008)</w:t>
      </w:r>
      <w:r>
        <w:t xml:space="preserve"> of</w:t>
      </w:r>
      <w:r w:rsidRPr="00A440C0">
        <w:t xml:space="preserve"> a relatively large average inflation risk premium in the US market (approximately 114 basis points over the full sample, and 50 basis points since the 1980s) and suggests that it is unlikely that any other biases would offset such an inflation risk premium.</w:t>
      </w:r>
      <w:r>
        <w:rPr>
          <w:rStyle w:val="FootnoteReference"/>
        </w:rPr>
        <w:footnoteReference w:id="1548"/>
      </w:r>
      <w:r w:rsidRPr="00A440C0">
        <w:t xml:space="preserve"> </w:t>
      </w:r>
      <w:r>
        <w:t>ACCC Working P</w:t>
      </w:r>
      <w:r w:rsidRPr="00A440C0">
        <w:t>aper</w:t>
      </w:r>
      <w:r>
        <w:t xml:space="preserve"> #11</w:t>
      </w:r>
      <w:r w:rsidRPr="00A440C0">
        <w:rPr>
          <w:rStyle w:val="FootnoteReference"/>
        </w:rPr>
        <w:footnoteReference w:id="1549"/>
      </w:r>
      <w:r w:rsidRPr="00A440C0">
        <w:t xml:space="preserve"> raises the following issue with the paper’s methodology, which brings into question </w:t>
      </w:r>
      <w:r>
        <w:t>the</w:t>
      </w:r>
      <w:r w:rsidRPr="00A440C0">
        <w:t xml:space="preserve"> conclusions CEG has drawn from</w:t>
      </w:r>
      <w:r>
        <w:t xml:space="preserve"> its results:</w:t>
      </w:r>
      <w:r>
        <w:rPr>
          <w:rStyle w:val="FootnoteReference"/>
        </w:rPr>
        <w:footnoteReference w:id="1550"/>
      </w:r>
      <w:r w:rsidRPr="00A440C0">
        <w:rPr>
          <w:rStyle w:val="FootnoteReference"/>
        </w:rPr>
        <w:t xml:space="preserve"> </w:t>
      </w:r>
    </w:p>
    <w:p w:rsidR="00762CF4" w:rsidRPr="00A440C0" w:rsidRDefault="00762CF4" w:rsidP="00762CF4">
      <w:pPr>
        <w:pStyle w:val="AERquote"/>
      </w:pPr>
      <w:r w:rsidRPr="00762CF4">
        <w:rPr>
          <w:rFonts w:eastAsiaTheme="minorEastAsia"/>
        </w:rPr>
        <w:t>However, Ang et al.’s decomposition estimates are not estimates based on the observations of the yields of nominal and indexed bonds. Ang et al. do not observe real rates from TIPS for most of their sample (from the 2nd quarter 1952 to the 4th quarter 2004) since these securities were not introduced until 1997. Real rates and inflation risk premia are estimated by using a no-arbitrage term structure model of nominal yields that relied on historical data of short and long term nominal yields and inflation.</w:t>
      </w:r>
    </w:p>
    <w:p w:rsidR="00762CF4" w:rsidRPr="00762CF4" w:rsidRDefault="00762CF4" w:rsidP="00762CF4">
      <w:pPr>
        <w:pStyle w:val="HeadingItalic"/>
        <w:rPr>
          <w:rStyle w:val="Strong"/>
        </w:rPr>
      </w:pPr>
      <w:r w:rsidRPr="00762CF4">
        <w:rPr>
          <w:rStyle w:val="Strong"/>
        </w:rPr>
        <w:t>Coroneo (2016)</w:t>
      </w:r>
    </w:p>
    <w:p w:rsidR="00762CF4" w:rsidRDefault="00762CF4" w:rsidP="00762CF4">
      <w:r w:rsidRPr="00A54AED">
        <w:t>The findings of Coroneo (2016)</w:t>
      </w:r>
      <w:r w:rsidRPr="00A54AED">
        <w:rPr>
          <w:rStyle w:val="FootnoteReference"/>
        </w:rPr>
        <w:footnoteReference w:id="1551"/>
      </w:r>
      <w:r w:rsidRPr="00A54AED">
        <w:t xml:space="preserve"> are </w:t>
      </w:r>
      <w:r>
        <w:t>submitted</w:t>
      </w:r>
      <w:r w:rsidRPr="00A54AED">
        <w:t xml:space="preserve"> by CEG as evidence of a liquidity factor that</w:t>
      </w:r>
      <w:r>
        <w:t>:</w:t>
      </w:r>
      <w:r w:rsidRPr="00A54AED">
        <w:rPr>
          <w:rStyle w:val="FootnoteReference"/>
        </w:rPr>
        <w:footnoteReference w:id="1552"/>
      </w:r>
    </w:p>
    <w:p w:rsidR="00762CF4" w:rsidRDefault="00762CF4" w:rsidP="00762CF4">
      <w:pPr>
        <w:pStyle w:val="AERquote"/>
      </w:pPr>
      <w:r>
        <w:t>…</w:t>
      </w:r>
      <w:r w:rsidRPr="00A54AED">
        <w:t>hovers around zero since 2005 (other than the period duri</w:t>
      </w:r>
      <w:r>
        <w:t>ng the global financial crisis)</w:t>
      </w:r>
    </w:p>
    <w:p w:rsidR="00762CF4" w:rsidRPr="00A54AED" w:rsidRDefault="00762CF4" w:rsidP="00762CF4">
      <w:r w:rsidRPr="00A54AED">
        <w:t>However the TIPS liquidity factor constructed by this pape</w:t>
      </w:r>
      <w:r>
        <w:t xml:space="preserve">r is found to explain up to 23 per cent </w:t>
      </w:r>
      <w:r w:rsidRPr="00A54AED">
        <w:t>of the variance of TIPS yields</w:t>
      </w:r>
      <w:r w:rsidRPr="00A54AED">
        <w:rPr>
          <w:rStyle w:val="FootnoteReference"/>
        </w:rPr>
        <w:footnoteReference w:id="1553"/>
      </w:r>
      <w:r w:rsidRPr="00A54AED">
        <w:t xml:space="preserve">, and as </w:t>
      </w:r>
      <w:r>
        <w:t>Coroneo (2016)</w:t>
      </w:r>
      <w:r w:rsidRPr="00A54AED">
        <w:t xml:space="preserve"> states</w:t>
      </w:r>
      <w:r>
        <w:t>:</w:t>
      </w:r>
      <w:r w:rsidRPr="00A54AED">
        <w:rPr>
          <w:rStyle w:val="FootnoteReference"/>
        </w:rPr>
        <w:footnoteReference w:id="1554"/>
      </w:r>
    </w:p>
    <w:p w:rsidR="00762CF4" w:rsidRPr="00A54AED" w:rsidRDefault="00762CF4" w:rsidP="00762CF4">
      <w:pPr>
        <w:pStyle w:val="AERquote"/>
      </w:pPr>
      <w:r w:rsidRPr="00A54AED">
        <w:t>Our estimation results confirm that the liquidity premium is an important component of TIPS yields</w:t>
      </w:r>
      <w:r>
        <w:t>.</w:t>
      </w:r>
    </w:p>
    <w:p w:rsidR="00762CF4" w:rsidRPr="00762CF4" w:rsidRDefault="00762CF4" w:rsidP="00762CF4">
      <w:pPr>
        <w:pStyle w:val="HeadingItalic"/>
        <w:rPr>
          <w:rStyle w:val="Strong"/>
        </w:rPr>
      </w:pPr>
      <w:r w:rsidRPr="00762CF4">
        <w:rPr>
          <w:rStyle w:val="Strong"/>
        </w:rPr>
        <w:t>D'Amico, Kim, and Wei (2010) and D'Amico, Kim, and Wei (2016)</w:t>
      </w:r>
    </w:p>
    <w:p w:rsidR="00762CF4" w:rsidRPr="00A440C0" w:rsidRDefault="00762CF4" w:rsidP="00762CF4">
      <w:r w:rsidRPr="00A440C0">
        <w:t>CEG submits</w:t>
      </w:r>
      <w:r>
        <w:rPr>
          <w:rStyle w:val="FootnoteReference"/>
        </w:rPr>
        <w:footnoteReference w:id="1555"/>
      </w:r>
      <w:r w:rsidRPr="00A440C0">
        <w:t xml:space="preserve"> that the results of D’Amico, Kim and Wei (2010)</w:t>
      </w:r>
      <w:r>
        <w:rPr>
          <w:rStyle w:val="FootnoteReference"/>
        </w:rPr>
        <w:footnoteReference w:id="1556"/>
      </w:r>
      <w:r w:rsidRPr="00A440C0">
        <w:t xml:space="preserve"> and </w:t>
      </w:r>
      <w:r>
        <w:t>D'Amico, Kim, and Wei (2016)</w:t>
      </w:r>
      <w:r w:rsidRPr="006246DC">
        <w:rPr>
          <w:rStyle w:val="FootnoteReference"/>
        </w:rPr>
        <w:t xml:space="preserve"> </w:t>
      </w:r>
      <w:r w:rsidRPr="00A440C0">
        <w:rPr>
          <w:rStyle w:val="FootnoteReference"/>
        </w:rPr>
        <w:footnoteReference w:id="1557"/>
      </w:r>
      <w:r w:rsidRPr="00A440C0">
        <w:t xml:space="preserve"> indicate that the breakeven method actually overstates expected inflation.</w:t>
      </w:r>
    </w:p>
    <w:p w:rsidR="00762CF4" w:rsidRPr="00A440C0" w:rsidRDefault="00762CF4" w:rsidP="00762CF4">
      <w:r>
        <w:t xml:space="preserve">However, </w:t>
      </w:r>
      <w:r w:rsidRPr="00A440C0">
        <w:t>D’</w:t>
      </w:r>
      <w:r>
        <w:t>Amico, Kim, and Wei (2016), which updates</w:t>
      </w:r>
      <w:r w:rsidRPr="00A440C0">
        <w:t xml:space="preserve"> </w:t>
      </w:r>
      <w:r>
        <w:t xml:space="preserve">D'Amico, Kim and Wei (2010), </w:t>
      </w:r>
      <w:r w:rsidRPr="00A440C0">
        <w:t>states the following in regard to the breakeven method of estimating expected inflation</w:t>
      </w:r>
      <w:r>
        <w:t>:</w:t>
      </w:r>
      <w:r w:rsidRPr="00A440C0">
        <w:rPr>
          <w:rStyle w:val="FootnoteReference"/>
        </w:rPr>
        <w:footnoteReference w:id="1558"/>
      </w:r>
      <w:r w:rsidRPr="00A440C0">
        <w:t xml:space="preserve"> </w:t>
      </w:r>
    </w:p>
    <w:p w:rsidR="00762CF4" w:rsidRPr="00A440C0" w:rsidRDefault="00762CF4" w:rsidP="00762CF4">
      <w:pPr>
        <w:pStyle w:val="AERquote"/>
      </w:pPr>
      <w:r w:rsidRPr="00A440C0">
        <w:t>Treating the TIPS BEI [breakeven inflation] as a clean proxy for inflation expectation can be especially problematic, since a combination of economically significant TIPS liquidity premiums and inflation risk premiums could potentially drive a notable wedge between the TIPS BEI a</w:t>
      </w:r>
      <w:r>
        <w:t>nd true inflation expectations.</w:t>
      </w:r>
    </w:p>
    <w:p w:rsidR="00762CF4" w:rsidRPr="00A440C0" w:rsidRDefault="00762CF4" w:rsidP="00762CF4">
      <w:r>
        <w:fldChar w:fldCharType="begin"/>
      </w:r>
      <w:r>
        <w:instrText xml:space="preserve"> REF _Ref478569659 \h </w:instrText>
      </w:r>
      <w:r>
        <w:fldChar w:fldCharType="separate"/>
      </w:r>
      <w:r w:rsidR="00C6448C">
        <w:t xml:space="preserve">Figure </w:t>
      </w:r>
      <w:r w:rsidR="00C6448C">
        <w:rPr>
          <w:noProof/>
        </w:rPr>
        <w:t>3</w:t>
      </w:r>
      <w:r w:rsidR="00C6448C">
        <w:noBreakHyphen/>
      </w:r>
      <w:r w:rsidR="00C6448C">
        <w:rPr>
          <w:noProof/>
        </w:rPr>
        <w:t>26</w:t>
      </w:r>
      <w:r>
        <w:fldChar w:fldCharType="end"/>
      </w:r>
      <w:r>
        <w:t xml:space="preserve"> </w:t>
      </w:r>
      <w:r w:rsidRPr="00A440C0">
        <w:t>below, which is sourced from D’</w:t>
      </w:r>
      <w:r>
        <w:t xml:space="preserve">Amico, Kim, and Wei (2016) </w:t>
      </w:r>
      <w:r w:rsidRPr="00A440C0">
        <w:t xml:space="preserve">and referred to by CEG, shows large differences between </w:t>
      </w:r>
      <w:r>
        <w:t>break-even inflation estimates</w:t>
      </w:r>
      <w:r w:rsidRPr="00F6001D">
        <w:t xml:space="preserve"> </w:t>
      </w:r>
      <w:r w:rsidRPr="00A440C0">
        <w:t xml:space="preserve">and the </w:t>
      </w:r>
      <w:r>
        <w:t xml:space="preserve">estimated true </w:t>
      </w:r>
      <w:r w:rsidRPr="00A440C0">
        <w:t xml:space="preserve">expected inflation rate </w:t>
      </w:r>
      <w:r>
        <w:t xml:space="preserve">estimated by </w:t>
      </w:r>
      <w:r w:rsidRPr="00A440C0">
        <w:t>D’</w:t>
      </w:r>
      <w:r>
        <w:t>Amico, Kim, and Wei (2016).</w:t>
      </w:r>
      <w:r>
        <w:rPr>
          <w:rStyle w:val="FootnoteReference"/>
        </w:rPr>
        <w:footnoteReference w:id="1559"/>
      </w:r>
      <w:r>
        <w:t xml:space="preserve"> </w:t>
      </w:r>
      <w:r w:rsidRPr="00A440C0">
        <w:t xml:space="preserve"> </w:t>
      </w:r>
      <w:r>
        <w:t xml:space="preserve">This result holds </w:t>
      </w:r>
      <w:r w:rsidRPr="00A440C0">
        <w:t xml:space="preserve">even with the exclusion of the period during the global financial crisis. Most recently, the difference is around </w:t>
      </w:r>
      <w:r>
        <w:t>75 basis points</w:t>
      </w:r>
      <w:r w:rsidRPr="00A440C0">
        <w:t xml:space="preserve">. Notably the expected inflation </w:t>
      </w:r>
      <w:r>
        <w:t xml:space="preserve">estimate </w:t>
      </w:r>
      <w:r w:rsidRPr="00A440C0">
        <w:t xml:space="preserve">is much more stable than the breakeven method would imply. </w:t>
      </w:r>
      <w:r>
        <w:t>ACCC Working P</w:t>
      </w:r>
      <w:r w:rsidRPr="00A440C0">
        <w:t>aper</w:t>
      </w:r>
      <w:r>
        <w:t xml:space="preserve"> #11 </w:t>
      </w:r>
      <w:r w:rsidRPr="00A440C0">
        <w:t xml:space="preserve">highlights the stability of the </w:t>
      </w:r>
      <w:r>
        <w:t xml:space="preserve">RBA forecasts and target band approach and cites </w:t>
      </w:r>
      <w:r w:rsidRPr="00A440C0">
        <w:t>further literature which finds that inflation expectations are relatively stable</w:t>
      </w:r>
      <w:r>
        <w:t>.</w:t>
      </w:r>
      <w:r w:rsidRPr="00A440C0">
        <w:rPr>
          <w:rStyle w:val="FootnoteReference"/>
        </w:rPr>
        <w:footnoteReference w:id="1560"/>
      </w:r>
      <w:r w:rsidRPr="00A440C0">
        <w:t xml:space="preserve"> </w:t>
      </w:r>
      <w:r>
        <w:t>The finding in D’Amico, Kim and Wei (2016)</w:t>
      </w:r>
      <w:r w:rsidRPr="00A440C0">
        <w:t xml:space="preserve"> of a negative liquidity risk premium in recent times highlights the potentially unstable nature of the biases associated with the breakeven method</w:t>
      </w:r>
      <w:r>
        <w:t xml:space="preserve"> in contrast to the findings of ACCC Working Paper #11 that inflation expectations are relatively stable</w:t>
      </w:r>
      <w:r w:rsidRPr="00A440C0">
        <w:t>.</w:t>
      </w:r>
    </w:p>
    <w:p w:rsidR="00762CF4" w:rsidRDefault="00762CF4" w:rsidP="00762CF4">
      <w:pPr>
        <w:pStyle w:val="Caption"/>
      </w:pPr>
      <w:bookmarkStart w:id="451" w:name="_Ref478569659"/>
      <w:r>
        <w:t xml:space="preserve">Figure </w:t>
      </w:r>
      <w:fldSimple w:instr=" STYLEREF 1 \s ">
        <w:r w:rsidR="00C6448C">
          <w:rPr>
            <w:noProof/>
          </w:rPr>
          <w:t>3</w:t>
        </w:r>
      </w:fldSimple>
      <w:r w:rsidR="00882F3D">
        <w:noBreakHyphen/>
      </w:r>
      <w:fldSimple w:instr=" SEQ Figure \* ARABIC \s 1 ">
        <w:r w:rsidR="00C6448C">
          <w:rPr>
            <w:noProof/>
          </w:rPr>
          <w:t>26</w:t>
        </w:r>
      </w:fldSimple>
      <w:bookmarkEnd w:id="451"/>
      <w:r>
        <w:tab/>
        <w:t>Inflation estimates from D'Amico, Kim, and Wei (2016)</w:t>
      </w:r>
    </w:p>
    <w:p w:rsidR="00762CF4" w:rsidRDefault="00762CF4" w:rsidP="00762CF4">
      <w:r w:rsidRPr="00762CF4">
        <w:rPr>
          <w:noProof/>
          <w:lang w:eastAsia="en-AU"/>
        </w:rPr>
        <w:drawing>
          <wp:inline distT="0" distB="0" distL="0" distR="0" wp14:anchorId="7F9F1577" wp14:editId="15077670">
            <wp:extent cx="5382895" cy="2067041"/>
            <wp:effectExtent l="0" t="0" r="825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82895" cy="2067041"/>
                    </a:xfrm>
                    <a:prstGeom prst="rect">
                      <a:avLst/>
                    </a:prstGeom>
                  </pic:spPr>
                </pic:pic>
              </a:graphicData>
            </a:graphic>
          </wp:inline>
        </w:drawing>
      </w:r>
    </w:p>
    <w:p w:rsidR="00762CF4" w:rsidRDefault="00762CF4" w:rsidP="00762CF4">
      <w:pPr>
        <w:pStyle w:val="AERtablesource"/>
      </w:pPr>
      <w:r>
        <w:t>Notes:</w:t>
      </w:r>
      <w:r>
        <w:tab/>
        <w:t xml:space="preserve">BEI refers to break-even inflation estimates. "inf exp" refers to inflation </w:t>
      </w:r>
    </w:p>
    <w:p w:rsidR="00762CF4" w:rsidRDefault="00762CF4" w:rsidP="00762CF4">
      <w:pPr>
        <w:pStyle w:val="AERtablesource"/>
      </w:pPr>
      <w:r>
        <w:t>Source:</w:t>
      </w:r>
      <w:r>
        <w:tab/>
      </w:r>
      <w:r w:rsidRPr="006A4EB6">
        <w:t>Stefania D’Amico, Don Kim and Min Wei (2016), ‘Tips from TIPS: The informational content of Treasury Inflation-Protected Security prices’, Finance and Economics Discussion Series, Divisions of Research and Statistics and Monetary Affairs, Federal Reserve Board, 2014-24</w:t>
      </w:r>
      <w:r>
        <w:t>, p. 69.</w:t>
      </w:r>
    </w:p>
    <w:p w:rsidR="00762CF4" w:rsidRPr="00762CF4" w:rsidRDefault="00762CF4" w:rsidP="00762CF4">
      <w:pPr>
        <w:pStyle w:val="HeadingItalic"/>
        <w:rPr>
          <w:rStyle w:val="Strong"/>
        </w:rPr>
      </w:pPr>
      <w:r w:rsidRPr="00762CF4">
        <w:rPr>
          <w:rStyle w:val="Strong"/>
        </w:rPr>
        <w:t>Grishchenko and Huang (2012)</w:t>
      </w:r>
    </w:p>
    <w:p w:rsidR="00762CF4" w:rsidRPr="00A440C0" w:rsidRDefault="00762CF4" w:rsidP="00762CF4">
      <w:r w:rsidRPr="00A440C0">
        <w:t>Grishchenko and Huang (2012) adjust their estimated inflation risk premium for the effects of illiquidity on TIPS</w:t>
      </w:r>
      <w:r>
        <w:t xml:space="preserve"> (US indexed government bonds)</w:t>
      </w:r>
      <w:r w:rsidRPr="00A440C0">
        <w:t>. CEG states that as a result, the inflation risk premium calculated can be considered as the ‘net bias’, and then uses the figure as the amount by which breakeven inflation overestimates expected inflation.</w:t>
      </w:r>
      <w:r w:rsidRPr="00A440C0">
        <w:rPr>
          <w:rStyle w:val="FootnoteReference"/>
        </w:rPr>
        <w:footnoteReference w:id="1561"/>
      </w:r>
      <w:r w:rsidRPr="00A440C0">
        <w:t xml:space="preserve"> However the liquidity adjustment ensures that the inflation risk premium is not distorted by liquidity issues. The figures given are the authors’ estimate of the inflation risk premium, not a ‘net bias’. The purpose of the liquidity adjustment is to isolate the inflation risk premium, in contrast to stating the net effect of inflation risk and liquidity.</w:t>
      </w:r>
    </w:p>
    <w:p w:rsidR="00762CF4" w:rsidRPr="00762CF4" w:rsidRDefault="00762CF4" w:rsidP="00762CF4">
      <w:pPr>
        <w:pStyle w:val="HeadingItalic"/>
        <w:rPr>
          <w:rStyle w:val="Strong"/>
        </w:rPr>
      </w:pPr>
      <w:r w:rsidRPr="00762CF4">
        <w:rPr>
          <w:rStyle w:val="Strong"/>
        </w:rPr>
        <w:t>Pflueger &amp; Viceira (2015)</w:t>
      </w:r>
    </w:p>
    <w:p w:rsidR="00762CF4" w:rsidRDefault="00762CF4" w:rsidP="00762CF4">
      <w:r w:rsidRPr="001A388C">
        <w:t>Pflueger and Viceira (2015), present a liquidity premium f</w:t>
      </w:r>
      <w:r>
        <w:t xml:space="preserve">or the US TIPS and UK index-linked gilts (US and UK equivalents to the Australian indexed CGS). CEG submits that while Pflueger and Viceira (2015) find a sizeable liquidity premium in the US, </w:t>
      </w:r>
      <w:r w:rsidRPr="001A388C">
        <w:t>the liquidity premium is smaller in the UK</w:t>
      </w:r>
      <w:r>
        <w:t>. However</w:t>
      </w:r>
      <w:r w:rsidRPr="001A388C">
        <w:t>, it is likely that the Australian market exhibits more similarity to properties of the US market than UK market. The proportional value represented by indexed bonds in the Australian CGS market is around 7 per cent as at 3rd of February 2017, for the UK the equivalent is 25 per cent and for the US it is 6 per cent.</w:t>
      </w:r>
      <w:r w:rsidRPr="001A388C">
        <w:rPr>
          <w:rStyle w:val="FootnoteReference"/>
        </w:rPr>
        <w:footnoteReference w:id="1562"/>
      </w:r>
      <w:r w:rsidRPr="001A388C">
        <w:t xml:space="preserve"> This suggests that Australia is more likely to have liquidity premiums in line with the US than the UK.</w:t>
      </w:r>
    </w:p>
    <w:p w:rsidR="00762CF4" w:rsidRPr="001A388C" w:rsidRDefault="00762CF4" w:rsidP="00762CF4">
      <w:r w:rsidRPr="00686541">
        <w:t>Pflueger and Viceira (2015) regresses breakeven inflation on variables that may indicate liquidity issues and published expected inflation. The component of the regression with variables related to liquidity issues is considered as the liquidity premium.</w:t>
      </w:r>
      <w:r>
        <w:t xml:space="preserve"> On this regression, </w:t>
      </w:r>
      <w:r w:rsidRPr="001A388C">
        <w:t>CEG state</w:t>
      </w:r>
      <w:r>
        <w:t>s</w:t>
      </w:r>
      <w:r w:rsidRPr="001A388C">
        <w:t xml:space="preserve"> that:</w:t>
      </w:r>
      <w:r>
        <w:rPr>
          <w:rStyle w:val="FootnoteReference"/>
        </w:rPr>
        <w:footnoteReference w:id="1563"/>
      </w:r>
    </w:p>
    <w:p w:rsidR="00762CF4" w:rsidRPr="001A388C" w:rsidRDefault="00762CF4" w:rsidP="00762CF4">
      <w:pPr>
        <w:pStyle w:val="AERquote"/>
      </w:pPr>
      <w:r w:rsidRPr="001A388C">
        <w:t>Since the coefficients on the variables related to liquidity do not change over time, the model utilised by Pflueger and Viceira (2015) assumes a constant relationship between liquidity premium and the explanatory variables. If these variables do not explain all the movements of liquidity premium across time, the liquidity premium will be over-estimated for some time periods and under-estimated for other time periods. This is because the coefficient is trying to capture the average relationship between the liquidity premium and the explanatory variables. Since Pflueger and Viceira’s (2015) sample includes the periods when TIPS are first introduced and the global financial crisis, which exhibits high liquidity premium, the estimation will overestimate the relationship between the liquidity premium and the explanatory variables in other periods.</w:t>
      </w:r>
    </w:p>
    <w:p w:rsidR="00762CF4" w:rsidRPr="001A388C" w:rsidRDefault="00762CF4" w:rsidP="00762CF4">
      <w:r>
        <w:t>CEG's submission - that a constant relationship between liquidity premium and variables related to liquidity</w:t>
      </w:r>
      <w:r w:rsidRPr="001A388C">
        <w:t xml:space="preserve"> leads to </w:t>
      </w:r>
      <w:r>
        <w:t xml:space="preserve">overestimation - </w:t>
      </w:r>
      <w:r w:rsidRPr="001A388C">
        <w:t xml:space="preserve">does not necessarily hold. </w:t>
      </w:r>
      <w:r>
        <w:t>Some movements in liquidity premium may not be explained by movements in variables related to liquidity premium. There is no reason to believe that these unexplained movements in liquidity premium were</w:t>
      </w:r>
      <w:r w:rsidRPr="001A388C">
        <w:t xml:space="preserve"> </w:t>
      </w:r>
      <w:r>
        <w:t>significantly and reliably</w:t>
      </w:r>
      <w:r w:rsidRPr="001A388C">
        <w:t xml:space="preserve"> in one direction</w:t>
      </w:r>
      <w:r>
        <w:t xml:space="preserve"> or another </w:t>
      </w:r>
      <w:r w:rsidRPr="001A388C">
        <w:t>during</w:t>
      </w:r>
      <w:r>
        <w:t xml:space="preserve"> either</w:t>
      </w:r>
      <w:r w:rsidRPr="001A388C">
        <w:t xml:space="preserve"> the immature stage in the TIPS market or the GFC. Variables</w:t>
      </w:r>
      <w:r>
        <w:t xml:space="preserve"> related to liquidity</w:t>
      </w:r>
      <w:r w:rsidRPr="001A388C">
        <w:t>, such as turnover</w:t>
      </w:r>
      <w:r>
        <w:t>,</w:t>
      </w:r>
      <w:r w:rsidRPr="001A388C">
        <w:t xml:space="preserve"> </w:t>
      </w:r>
      <w:r>
        <w:t>may</w:t>
      </w:r>
      <w:r w:rsidRPr="001A388C">
        <w:t xml:space="preserve"> have varied considerably in the immature stage, the GFC</w:t>
      </w:r>
      <w:r>
        <w:t>,</w:t>
      </w:r>
      <w:r w:rsidRPr="001A388C">
        <w:t xml:space="preserve"> and between.</w:t>
      </w:r>
    </w:p>
    <w:p w:rsidR="00762CF4" w:rsidRPr="00757EBE" w:rsidRDefault="00762CF4" w:rsidP="00762CF4">
      <w:r>
        <w:t>CEG submits that</w:t>
      </w:r>
      <w:r w:rsidRPr="00757EBE">
        <w:t xml:space="preserve"> Pflueger and Viceira (2015) do not test the stability of the estimated coefficient or allow for the removal of the impact of the global financial crisis and introductory period of TIPS. Pflueger and Viceira (2015) do run a separate regression for the period prior to the global financial crisis and finds that the estimated coefficient for two of the liquidity indicators is no longer statistically significant, which may indicate instability in the coefficient.</w:t>
      </w:r>
      <w:r>
        <w:t xml:space="preserve"> Conversely, we note that there is considerable uncertainty about the extent to which biases and risk premia present in bond break-even rates are time-varying.</w:t>
      </w:r>
      <w:r>
        <w:rPr>
          <w:rStyle w:val="FootnoteReference"/>
        </w:rPr>
        <w:footnoteReference w:id="1564"/>
      </w:r>
      <w:r>
        <w:t xml:space="preserve"> </w:t>
      </w:r>
    </w:p>
    <w:p w:rsidR="00762CF4" w:rsidRPr="00762CF4" w:rsidRDefault="00762CF4" w:rsidP="00762CF4">
      <w:pPr>
        <w:pStyle w:val="Heading9"/>
      </w:pPr>
      <w:r>
        <w:t>Convexity bias</w:t>
      </w:r>
    </w:p>
    <w:p w:rsidR="00762CF4" w:rsidRDefault="00762CF4" w:rsidP="00762CF4">
      <w:r>
        <w:t>CEG and AusNet Services submitted that we did not, in our draft determination, attempt to estimate the impact of convexity bias.</w:t>
      </w:r>
      <w:r>
        <w:rPr>
          <w:rStyle w:val="FootnoteReference"/>
        </w:rPr>
        <w:footnoteReference w:id="1565"/>
      </w:r>
      <w:r>
        <w:t xml:space="preserve"> CEG submitted that the available academic evidence and its own simulation modelling suggest that potential convexity bias in bond break-even inflation estimates is trivial in magnitude.</w:t>
      </w:r>
      <w:r w:rsidRPr="00593F25">
        <w:rPr>
          <w:rStyle w:val="FootnoteReference"/>
        </w:rPr>
        <w:footnoteReference w:id="1566"/>
      </w:r>
      <w:r>
        <w:t xml:space="preserve"> CEG submitted that:</w:t>
      </w:r>
    </w:p>
    <w:p w:rsidR="00762CF4" w:rsidRDefault="00762CF4" w:rsidP="00762CF4">
      <w:pPr>
        <w:pStyle w:val="AERbulletlistfirststyle"/>
      </w:pPr>
      <w:r>
        <w:t>Ang, Bekaert and Wei (2008) find that the convexity bias amounts to less than one basis point.</w:t>
      </w:r>
      <w:r w:rsidRPr="00DF4E0F">
        <w:rPr>
          <w:rStyle w:val="FootnoteReference"/>
        </w:rPr>
        <w:footnoteReference w:id="1567"/>
      </w:r>
      <w:r>
        <w:t xml:space="preserve"> </w:t>
      </w:r>
    </w:p>
    <w:p w:rsidR="00762CF4" w:rsidRDefault="00762CF4" w:rsidP="00762CF4">
      <w:pPr>
        <w:pStyle w:val="AERbulletlistfirststyle"/>
      </w:pPr>
      <w:r>
        <w:t>Lehman Brothers (2006) find convexity bias to be 4 basis points.</w:t>
      </w:r>
      <w:r w:rsidRPr="00DF4E0F">
        <w:rPr>
          <w:rStyle w:val="FootnoteReference"/>
        </w:rPr>
        <w:footnoteReference w:id="1568"/>
      </w:r>
    </w:p>
    <w:p w:rsidR="00762CF4" w:rsidRDefault="00762CF4" w:rsidP="00762CF4">
      <w:pPr>
        <w:pStyle w:val="AERbulletlistfirststyle"/>
      </w:pPr>
      <w:r>
        <w:t>Banco Central do Brasil (2014) finds convexity bias to be close to 1 basis point.</w:t>
      </w:r>
      <w:r w:rsidRPr="00DF4E0F">
        <w:rPr>
          <w:rStyle w:val="FootnoteReference"/>
        </w:rPr>
        <w:footnoteReference w:id="1569"/>
      </w:r>
    </w:p>
    <w:p w:rsidR="00762CF4" w:rsidRDefault="00762CF4" w:rsidP="00762CF4">
      <w:r>
        <w:t xml:space="preserve">CEG did not cite </w:t>
      </w:r>
      <w:r w:rsidRPr="004C7089">
        <w:t>Apedjinou et al. (2006)</w:t>
      </w:r>
      <w:r>
        <w:t>, which</w:t>
      </w:r>
      <w:r w:rsidRPr="004C7089">
        <w:t xml:space="preserve"> estimated the convexity effect for nominal </w:t>
      </w:r>
      <w:r>
        <w:t xml:space="preserve">and indexed US federal government securities. Apedjinou et al (2006) finds </w:t>
      </w:r>
      <w:r w:rsidRPr="004C7089">
        <w:t>a convexity bias of approximately 31 basis points in the 1 year forward inflation rate 10 ye</w:t>
      </w:r>
      <w:r>
        <w:t xml:space="preserve">ars forward and a convexity bias of approximately </w:t>
      </w:r>
      <w:r w:rsidRPr="007072D2">
        <w:t>15 basis points in the 5 year implied forward inflation rate, 5 years forward</w:t>
      </w:r>
      <w:r w:rsidRPr="004C7089">
        <w:t>.</w:t>
      </w:r>
      <w:r>
        <w:rPr>
          <w:rStyle w:val="FootnoteReference"/>
        </w:rPr>
        <w:footnoteReference w:id="1570"/>
      </w:r>
    </w:p>
    <w:p w:rsidR="00762CF4" w:rsidRDefault="00762CF4" w:rsidP="00762CF4">
      <w:r w:rsidRPr="004C7089">
        <w:t>The estimated convexity bias differs considerably across the studies that separately estimate this bias.</w:t>
      </w:r>
      <w:r>
        <w:t xml:space="preserve"> </w:t>
      </w:r>
      <w:r w:rsidRPr="004C7089">
        <w:t>Since the estimated size of the convexity effect is dependent on forward rate/yield volatilities</w:t>
      </w:r>
      <w:r>
        <w:t>,</w:t>
      </w:r>
      <w:r>
        <w:rPr>
          <w:rStyle w:val="FootnoteReference"/>
        </w:rPr>
        <w:footnoteReference w:id="1571"/>
      </w:r>
      <w:r w:rsidRPr="004C7089">
        <w:t xml:space="preserve"> convexity bias </w:t>
      </w:r>
      <w:r>
        <w:t>will</w:t>
      </w:r>
      <w:r w:rsidRPr="004C7089">
        <w:t xml:space="preserve"> likely differ depending on which volatilit</w:t>
      </w:r>
      <w:r>
        <w:t>y measure is used (</w:t>
      </w:r>
      <w:r w:rsidRPr="004C7089">
        <w:t>historical volatilities or forwar</w:t>
      </w:r>
      <w:r>
        <w:t xml:space="preserve">d-looking implied volatilities), </w:t>
      </w:r>
      <w:r w:rsidRPr="004C7089">
        <w:t>the sample period chosen</w:t>
      </w:r>
      <w:r>
        <w:t>, or</w:t>
      </w:r>
      <w:r w:rsidRPr="007072D2">
        <w:t xml:space="preserve"> the modelling approach adopted.</w:t>
      </w:r>
      <w:r>
        <w:t xml:space="preserve"> ACCC Working Paper #11 finds that s</w:t>
      </w:r>
      <w:r w:rsidRPr="00B22FAC">
        <w:t>tudies that isolate the effects of convexity bias are complex, which may explain why few studies are undertaken to estimate this bias.</w:t>
      </w:r>
      <w:r>
        <w:rPr>
          <w:rStyle w:val="FootnoteReference"/>
        </w:rPr>
        <w:footnoteReference w:id="1572"/>
      </w:r>
    </w:p>
    <w:p w:rsidR="00762CF4" w:rsidRDefault="00762CF4" w:rsidP="00762CF4">
      <w:r>
        <w:t>We consider that the effect of convexity bias on Australian bond-breakeven inflation estimates is unclear. We consider there is potential for estimates of the convexity bias to vary considerably depending on methodological choices, and consider that this creates material risk of bias and regulatory gaming in the estimation of convexity bias and the bond break-even inflation rate.</w:t>
      </w:r>
    </w:p>
    <w:p w:rsidR="00762CF4" w:rsidRPr="00762CF4" w:rsidRDefault="00762CF4" w:rsidP="00762CF4">
      <w:pPr>
        <w:pStyle w:val="Heading9"/>
      </w:pPr>
      <w:r>
        <w:t>B</w:t>
      </w:r>
      <w:r w:rsidRPr="00762CF4">
        <w:t>iases and premia in inflation swap rates</w:t>
      </w:r>
    </w:p>
    <w:p w:rsidR="00762CF4" w:rsidRDefault="00762CF4" w:rsidP="00762CF4">
      <w:r>
        <w:t xml:space="preserve">AusNet Services and CEG submitted that inflation swap-implied inflation estimates will tend to be biased upwards </w:t>
      </w:r>
      <w:r w:rsidRPr="00DE1578">
        <w:t xml:space="preserve">to account for risk premiums and </w:t>
      </w:r>
      <w:r>
        <w:t xml:space="preserve">the </w:t>
      </w:r>
      <w:r w:rsidRPr="00DE1578">
        <w:t xml:space="preserve">capital costs </w:t>
      </w:r>
      <w:r>
        <w:t>of</w:t>
      </w:r>
      <w:r w:rsidRPr="00DE1578">
        <w:t xml:space="preserve"> </w:t>
      </w:r>
      <w:r>
        <w:t>providers of</w:t>
      </w:r>
      <w:r w:rsidRPr="00DE1578">
        <w:t xml:space="preserve"> these products.</w:t>
      </w:r>
      <w:r>
        <w:rPr>
          <w:rStyle w:val="FootnoteReference"/>
        </w:rPr>
        <w:footnoteReference w:id="1573"/>
      </w:r>
      <w:r w:rsidRPr="00DE1578">
        <w:t xml:space="preserve"> </w:t>
      </w:r>
      <w:r>
        <w:t>CEG refers to a study by Campbell, Shiller, and Viceira (2009) to support its submission.</w:t>
      </w:r>
    </w:p>
    <w:p w:rsidR="00762CF4" w:rsidRDefault="00762CF4" w:rsidP="00762CF4">
      <w:r>
        <w:t xml:space="preserve">While Campbell, Shiller, and Viceira (2009) do not </w:t>
      </w:r>
      <w:r w:rsidRPr="00E46428">
        <w:t xml:space="preserve">claim </w:t>
      </w:r>
      <w:r w:rsidRPr="00557E2E">
        <w:t>that the biases</w:t>
      </w:r>
      <w:r w:rsidRPr="00E46428">
        <w:t xml:space="preserve"> </w:t>
      </w:r>
      <w:r>
        <w:t>in inflation swaps are significant,</w:t>
      </w:r>
      <w:r>
        <w:rPr>
          <w:rStyle w:val="FootnoteReference"/>
        </w:rPr>
        <w:footnoteReference w:id="1574"/>
      </w:r>
      <w:r>
        <w:t xml:space="preserve"> we note:</w:t>
      </w:r>
    </w:p>
    <w:p w:rsidR="00762CF4" w:rsidRDefault="00762CF4" w:rsidP="00762CF4">
      <w:pPr>
        <w:pStyle w:val="AERbulletlistfirststyle"/>
      </w:pPr>
      <w:r>
        <w:t>Campbell, Shiller, and Viceira (2009) do not attempt to estimate the size of potential biases in inflation swaps</w:t>
      </w:r>
    </w:p>
    <w:p w:rsidR="00762CF4" w:rsidRDefault="00762CF4" w:rsidP="00762CF4">
      <w:pPr>
        <w:pStyle w:val="AERbulletlistfirststyle"/>
      </w:pPr>
      <w:r>
        <w:t>Finlay and Olivan (2012),</w:t>
      </w:r>
      <w:r>
        <w:rPr>
          <w:rStyle w:val="FootnoteReference"/>
        </w:rPr>
        <w:footnoteReference w:id="1575"/>
      </w:r>
      <w:r>
        <w:t xml:space="preserve"> RBA (2015),</w:t>
      </w:r>
      <w:r>
        <w:rPr>
          <w:rStyle w:val="FootnoteReference"/>
        </w:rPr>
        <w:footnoteReference w:id="1576"/>
      </w:r>
      <w:r>
        <w:t xml:space="preserve"> Fleckenstein et al. (2014),</w:t>
      </w:r>
      <w:r>
        <w:rPr>
          <w:rStyle w:val="FootnoteReference"/>
        </w:rPr>
        <w:footnoteReference w:id="1577"/>
      </w:r>
      <w:r>
        <w:t xml:space="preserve"> Haubrich et al (2012),</w:t>
      </w:r>
      <w:r>
        <w:rPr>
          <w:rStyle w:val="FootnoteReference"/>
        </w:rPr>
        <w:footnoteReference w:id="1578"/>
      </w:r>
      <w:r>
        <w:t xml:space="preserve"> Pflueger and Viceira (2015),</w:t>
      </w:r>
      <w:r>
        <w:rPr>
          <w:rStyle w:val="FootnoteReference"/>
        </w:rPr>
        <w:footnoteReference w:id="1579"/>
      </w:r>
      <w:r>
        <w:t xml:space="preserve"> Liu et al. (2015),</w:t>
      </w:r>
      <w:r>
        <w:rPr>
          <w:rStyle w:val="FootnoteReference"/>
        </w:rPr>
        <w:footnoteReference w:id="1580"/>
      </w:r>
      <w:r>
        <w:t xml:space="preserve"> and Christensen and Gillan (2012)</w:t>
      </w:r>
      <w:r>
        <w:rPr>
          <w:rStyle w:val="FootnoteReference"/>
        </w:rPr>
        <w:footnoteReference w:id="1581"/>
      </w:r>
      <w:r>
        <w:t xml:space="preserve"> all support the view that inflation swaps are likely to provide more reliable estimates of inflation expectations than bond break-even estimates.</w:t>
      </w:r>
    </w:p>
    <w:p w:rsidR="00762CF4" w:rsidRPr="00762CF4" w:rsidRDefault="00762CF4" w:rsidP="00762CF4">
      <w:pPr>
        <w:pStyle w:val="Heading8"/>
      </w:pPr>
      <w:bookmarkStart w:id="452" w:name="_Ref478561470"/>
      <w:bookmarkStart w:id="453" w:name="_Toc481057110"/>
      <w:r>
        <w:t>Effect of inflation outcomes on inflation expectations</w:t>
      </w:r>
      <w:bookmarkEnd w:id="452"/>
      <w:bookmarkEnd w:id="453"/>
    </w:p>
    <w:p w:rsidR="00762CF4" w:rsidRDefault="00762CF4" w:rsidP="00762CF4">
      <w:r>
        <w:t>AusNet Services and CEG submitted that recent inflation outcomes support the use of the bond break-even approach, stating that:</w:t>
      </w:r>
    </w:p>
    <w:p w:rsidR="00762CF4" w:rsidRPr="003E4A8E" w:rsidRDefault="00762CF4" w:rsidP="00762CF4">
      <w:pPr>
        <w:pStyle w:val="AERbulletlistfirststyle"/>
      </w:pPr>
      <w:r w:rsidRPr="00ED7C40">
        <w:t>B</w:t>
      </w:r>
      <w:r>
        <w:t>ond b</w:t>
      </w:r>
      <w:r w:rsidRPr="00ED7C40">
        <w:t>reak-even inflation estimates have responded materially to the sustained low inflation outcomes over the last three year</w:t>
      </w:r>
      <w:r>
        <w:t>s</w:t>
      </w:r>
      <w:r w:rsidRPr="00ED7C40">
        <w:t>, unlike estimates</w:t>
      </w:r>
      <w:r>
        <w:t xml:space="preserve"> from the RBA forecasts and target band approach</w:t>
      </w:r>
      <w:r w:rsidRPr="00ED7C40">
        <w:t>.</w:t>
      </w:r>
      <w:r>
        <w:t xml:space="preserve"> CEG appears to suggest that recent low inflation outcomes inform long-term inflation expectations.</w:t>
      </w:r>
      <w:r w:rsidRPr="002338CF">
        <w:rPr>
          <w:rStyle w:val="FootnoteReference"/>
        </w:rPr>
        <w:footnoteReference w:id="1582"/>
      </w:r>
    </w:p>
    <w:p w:rsidR="00762CF4" w:rsidRDefault="00762CF4" w:rsidP="00762CF4">
      <w:pPr>
        <w:pStyle w:val="AERbulletlistfirststyle"/>
      </w:pPr>
      <w:r w:rsidRPr="00ED7C40">
        <w:t>Break-even inflation accurately predicted the recent fall in inflation below the bottom of the RBA’s target range – more</w:t>
      </w:r>
      <w:r>
        <w:t xml:space="preserve"> accurately than RBA forecasts. CEG appears to suggest that inflation expectations are informed by bond-breakeven estimates, due to the model's greater predictive power.</w:t>
      </w:r>
      <w:r>
        <w:rPr>
          <w:rStyle w:val="FootnoteReference"/>
        </w:rPr>
        <w:footnoteReference w:id="1583"/>
      </w:r>
    </w:p>
    <w:p w:rsidR="00762CF4" w:rsidRPr="000F2E28" w:rsidRDefault="00762CF4" w:rsidP="00762CF4">
      <w:r>
        <w:t xml:space="preserve">In support of this submission </w:t>
      </w:r>
      <w:r w:rsidRPr="000F2E28">
        <w:t>CEG presented a number of charts</w:t>
      </w:r>
      <w:r w:rsidRPr="000F2E28">
        <w:rPr>
          <w:rStyle w:val="FootnoteReference"/>
        </w:rPr>
        <w:footnoteReference w:id="1584"/>
      </w:r>
      <w:r w:rsidRPr="000F2E28">
        <w:t xml:space="preserve"> that compared inflation outcomes against inflation estimates from the bond break-even approach and the RBA forecasts and target band approach. </w:t>
      </w:r>
      <w:r>
        <w:t xml:space="preserve">We note that the charts </w:t>
      </w:r>
      <w:r w:rsidRPr="000F2E28">
        <w:t>submitted by CEG examine only recent data and short-term inflation outcomes.</w:t>
      </w:r>
      <w:r w:rsidRPr="000E6A0B">
        <w:t xml:space="preserve"> </w:t>
      </w:r>
      <w:r>
        <w:t xml:space="preserve">However, our task is to estimate 10-year expected inflation (see section </w:t>
      </w:r>
      <w:r>
        <w:fldChar w:fldCharType="begin"/>
      </w:r>
      <w:r>
        <w:instrText xml:space="preserve"> REF _Ref478569536 \r \h </w:instrText>
      </w:r>
      <w:r>
        <w:fldChar w:fldCharType="separate"/>
      </w:r>
      <w:r w:rsidR="00C6448C">
        <w:t>3.4.4</w:t>
      </w:r>
      <w:r>
        <w:fldChar w:fldCharType="end"/>
      </w:r>
      <w:r>
        <w:t>).</w:t>
      </w:r>
    </w:p>
    <w:p w:rsidR="00762CF4" w:rsidRDefault="00762CF4" w:rsidP="00762CF4">
      <w:r>
        <w:t xml:space="preserve">We consider it plausible that inflation expectations may be informed by the inflation estimates of an estimation approach that has historically been an accurate predictor of inflation outcomes. However, we consider that there is likely to be a material difference in short-term and long-term expectations of inflation. </w:t>
      </w:r>
    </w:p>
    <w:p w:rsidR="00762CF4" w:rsidRDefault="00762CF4" w:rsidP="00762CF4">
      <w:r>
        <w:t>Similarly, we consider it plausible that forward-looking expectations may be informed by recent outcomes</w:t>
      </w:r>
      <w:r w:rsidRPr="007B7961">
        <w:t xml:space="preserve">. </w:t>
      </w:r>
      <w:r>
        <w:t>However, th</w:t>
      </w:r>
      <w:r w:rsidRPr="00CB6ED6">
        <w:t>e impact of this effect is likely overstated by CEG</w:t>
      </w:r>
      <w:r>
        <w:t xml:space="preserve"> – the effect is tempered by the potential for transient inflation shocks. Shocks may cause outcomes to vary from expectations, and we would not expect all shocks to be </w:t>
      </w:r>
      <w:r w:rsidRPr="0009728C">
        <w:t>routinely</w:t>
      </w:r>
      <w:r>
        <w:t xml:space="preserve"> and completely</w:t>
      </w:r>
      <w:r w:rsidRPr="0009728C">
        <w:t xml:space="preserve"> reflected in the formation of subsequent expectations</w:t>
      </w:r>
      <w:r>
        <w:t>, particularly when there is a greater distance between the recent outcomes and the term of the forward expectation. For example, the most recent quarterly inflation outcome would likely have a greater effect on 1-year forward expectations than 10-year forward expectations.</w:t>
      </w:r>
    </w:p>
    <w:p w:rsidR="00762CF4" w:rsidRDefault="00762CF4" w:rsidP="00762CF4">
      <w:r>
        <w:t xml:space="preserve">There </w:t>
      </w:r>
      <w:r w:rsidRPr="007B7961">
        <w:t xml:space="preserve">is considerable evidence </w:t>
      </w:r>
      <w:r>
        <w:t>in the academic literature finding</w:t>
      </w:r>
      <w:r w:rsidRPr="007B7961">
        <w:t xml:space="preserve"> that long term inflation expectations are relatively stable over time</w:t>
      </w:r>
      <w:r>
        <w:t>,</w:t>
      </w:r>
      <w:r w:rsidRPr="007B7961">
        <w:t xml:space="preserve"> informed by and anchored within the RBA’s target band</w:t>
      </w:r>
      <w:r>
        <w:t xml:space="preserve">, and </w:t>
      </w:r>
      <w:r w:rsidRPr="007B7961">
        <w:t>do not respond significantly to inflation surprises.</w:t>
      </w:r>
      <w:r w:rsidRPr="007B7961">
        <w:rPr>
          <w:rStyle w:val="FootnoteReference"/>
        </w:rPr>
        <w:footnoteReference w:id="1585"/>
      </w:r>
      <w:r w:rsidRPr="007B7961">
        <w:t xml:space="preserve"> </w:t>
      </w:r>
      <w:r>
        <w:t xml:space="preserve">While </w:t>
      </w:r>
      <w:r w:rsidRPr="00A74A6A">
        <w:t>Finlay and Wende (2011) find that the contemporaneous rate of inflation has a strong influence on short term inflation expectations</w:t>
      </w:r>
      <w:r>
        <w:t xml:space="preserve">, </w:t>
      </w:r>
      <w:r w:rsidRPr="00A74A6A">
        <w:t xml:space="preserve">Gillitzer and Simon (2015); Finlay and Wende (2011); Leu and Sheen (2006); and </w:t>
      </w:r>
      <w:r w:rsidRPr="00FE48A7">
        <w:t>Jaaskela and McKibbin (2010)</w:t>
      </w:r>
      <w:r>
        <w:t xml:space="preserve"> find that long-term expectations are relatively stable.</w:t>
      </w:r>
      <w:r>
        <w:rPr>
          <w:rStyle w:val="FootnoteReference"/>
        </w:rPr>
        <w:footnoteReference w:id="1586"/>
      </w:r>
    </w:p>
    <w:p w:rsidR="00762CF4" w:rsidRPr="006149CD" w:rsidRDefault="00762CF4" w:rsidP="00762CF4">
      <w:pPr>
        <w:rPr>
          <w:rStyle w:val="AERbody"/>
        </w:rPr>
      </w:pPr>
      <w:r w:rsidRPr="00ED32CB">
        <w:t xml:space="preserve">Sack (2000) and Christensen et al (2004) </w:t>
      </w:r>
      <w:r>
        <w:t xml:space="preserve">suggest </w:t>
      </w:r>
      <w:r w:rsidRPr="00ED32CB">
        <w:t xml:space="preserve">that the </w:t>
      </w:r>
      <w:r>
        <w:t>bond break-even estimates</w:t>
      </w:r>
      <w:r w:rsidRPr="00ED32CB">
        <w:t xml:space="preserve"> may be more volatile than long term inflation expectations because the 10 year </w:t>
      </w:r>
      <w:r>
        <w:t>bond break-even</w:t>
      </w:r>
      <w:r w:rsidRPr="00ED32CB">
        <w:t xml:space="preserve"> may be sensitive to relatively volatile short term inflation expectations</w:t>
      </w:r>
      <w:r>
        <w:t>.</w:t>
      </w:r>
      <w:r>
        <w:rPr>
          <w:rStyle w:val="FootnoteReference"/>
        </w:rPr>
        <w:footnoteReference w:id="1587"/>
      </w:r>
      <w:r>
        <w:t xml:space="preserve"> </w:t>
      </w:r>
      <w:r w:rsidRPr="006149CD">
        <w:rPr>
          <w:rStyle w:val="AERbody"/>
        </w:rPr>
        <w:t>Chris</w:t>
      </w:r>
      <w:r>
        <w:rPr>
          <w:rStyle w:val="AERbody"/>
        </w:rPr>
        <w:t>tensen et al. (2004) warns that, w</w:t>
      </w:r>
      <w:r w:rsidRPr="006149CD">
        <w:rPr>
          <w:rStyle w:val="AERbody"/>
        </w:rPr>
        <w:t>hen inflation expectations are term varying, the</w:t>
      </w:r>
      <w:r>
        <w:rPr>
          <w:rStyle w:val="AERbody"/>
        </w:rPr>
        <w:t>re can be</w:t>
      </w:r>
      <w:r w:rsidRPr="006149CD">
        <w:rPr>
          <w:rStyle w:val="AERbody"/>
        </w:rPr>
        <w:t xml:space="preserve"> problem</w:t>
      </w:r>
      <w:r>
        <w:rPr>
          <w:rStyle w:val="AERbody"/>
        </w:rPr>
        <w:t>s with estimating bond break-even inflation estimates from coupon paying bonds</w:t>
      </w:r>
      <w:r w:rsidRPr="006149CD">
        <w:rPr>
          <w:rStyle w:val="AERbody"/>
        </w:rPr>
        <w:t>, rather than zero coupon bonds</w:t>
      </w:r>
      <w:r>
        <w:rPr>
          <w:rStyle w:val="AERbody"/>
        </w:rPr>
        <w:t>. The problem</w:t>
      </w:r>
      <w:r w:rsidRPr="006149CD">
        <w:rPr>
          <w:rStyle w:val="AERbody"/>
        </w:rPr>
        <w:t xml:space="preserve"> is that </w:t>
      </w:r>
      <w:r>
        <w:rPr>
          <w:rStyle w:val="AERbody"/>
        </w:rPr>
        <w:t>bond break-even estimates are</w:t>
      </w:r>
      <w:r w:rsidRPr="006149CD">
        <w:rPr>
          <w:rStyle w:val="AERbody"/>
        </w:rPr>
        <w:t xml:space="preserve"> more sensitive to changes in sho</w:t>
      </w:r>
      <w:r>
        <w:rPr>
          <w:rStyle w:val="AERbody"/>
        </w:rPr>
        <w:t>rt term inflation expectations than changes to long-term expectations</w:t>
      </w:r>
      <w:r w:rsidRPr="006149CD">
        <w:rPr>
          <w:rStyle w:val="AERbody"/>
        </w:rPr>
        <w:t>.</w:t>
      </w:r>
      <w:r>
        <w:rPr>
          <w:rStyle w:val="FootnoteReference"/>
        </w:rPr>
        <w:footnoteReference w:id="1588"/>
      </w:r>
      <w:r w:rsidRPr="006149CD">
        <w:rPr>
          <w:rStyle w:val="AERbody"/>
        </w:rPr>
        <w:t xml:space="preserve"> The result is that short term inflation expectations can easily depart from relatively stable lon</w:t>
      </w:r>
      <w:r>
        <w:rPr>
          <w:rStyle w:val="AERbody"/>
        </w:rPr>
        <w:t>g term inflation expectations, a</w:t>
      </w:r>
      <w:r w:rsidRPr="006149CD">
        <w:rPr>
          <w:rStyle w:val="AERbody"/>
        </w:rPr>
        <w:t xml:space="preserve">nd shocks to inflation expectations of the shortest term will have a larger effect on the </w:t>
      </w:r>
      <w:r>
        <w:rPr>
          <w:rStyle w:val="AERbody"/>
        </w:rPr>
        <w:t>break-even estimates</w:t>
      </w:r>
      <w:r w:rsidRPr="006149CD">
        <w:rPr>
          <w:rStyle w:val="AERbody"/>
        </w:rPr>
        <w:t xml:space="preserve"> because it will positively influence all subsequent cou</w:t>
      </w:r>
      <w:r>
        <w:rPr>
          <w:rStyle w:val="AERbody"/>
        </w:rPr>
        <w:t>pon payments. Therefore, 10-</w:t>
      </w:r>
      <w:r w:rsidRPr="006149CD">
        <w:rPr>
          <w:rStyle w:val="AERbody"/>
        </w:rPr>
        <w:t xml:space="preserve">year </w:t>
      </w:r>
      <w:r>
        <w:rPr>
          <w:rStyle w:val="AERbody"/>
        </w:rPr>
        <w:t>break-even inflation estimates</w:t>
      </w:r>
      <w:r w:rsidRPr="006149CD">
        <w:rPr>
          <w:rStyle w:val="AERbody"/>
        </w:rPr>
        <w:t xml:space="preserve"> may </w:t>
      </w:r>
      <w:r>
        <w:rPr>
          <w:rStyle w:val="AERbody"/>
        </w:rPr>
        <w:t>appear to move in line with short-term inflation outcomes</w:t>
      </w:r>
      <w:r w:rsidRPr="006149CD">
        <w:rPr>
          <w:rStyle w:val="AERbody"/>
        </w:rPr>
        <w:t xml:space="preserve"> simply because of the</w:t>
      </w:r>
      <w:r>
        <w:rPr>
          <w:rStyle w:val="AERbody"/>
        </w:rPr>
        <w:t xml:space="preserve"> structuring of bond cash flows</w:t>
      </w:r>
      <w:r w:rsidRPr="006149CD">
        <w:rPr>
          <w:rStyle w:val="AERbody"/>
        </w:rPr>
        <w:t xml:space="preserve"> and not because long term inflation expectations have changed. </w:t>
      </w:r>
    </w:p>
    <w:p w:rsidR="00762CF4" w:rsidRDefault="00762CF4" w:rsidP="00762CF4">
      <w:r>
        <w:t>Therefore to produce the best estimate of expected inflation, we should place limited weight on short term inflation outcomes. As stated in</w:t>
      </w:r>
      <w:r w:rsidR="002C0B62">
        <w:t xml:space="preserve"> K.1</w:t>
      </w:r>
      <w:r>
        <w:t>, there is a role for short-term forecasts (in contrast to short-term outcomes) to inform our 10-year inflation estimate. We consider that the RBA's short-term forecasts appropriately incorporate information from recent inflation outcomes, and that the RBA forecasts and target band approach provides an appropriate balance between short-term forecasts and the anchoring of long-term expectations to the RBA's target band.</w:t>
      </w:r>
    </w:p>
    <w:p w:rsidR="00762CF4" w:rsidRDefault="00762CF4" w:rsidP="00762CF4">
      <w:r>
        <w:t xml:space="preserve">Similarly, for estimating 10-year inflation, there is limited benefit in examining the relative accuracy of different estimation approaches for predicting short-term inflation outcomes. For the bond break-even approach in particular, we find that inflation estimates from this approach may be distorted by a number of potentially time-varying biases and risk premia (see section </w:t>
      </w:r>
      <w:r>
        <w:fldChar w:fldCharType="begin"/>
      </w:r>
      <w:r>
        <w:instrText xml:space="preserve"> REF _Ref478559903 \r \h </w:instrText>
      </w:r>
      <w:r>
        <w:fldChar w:fldCharType="separate"/>
      </w:r>
      <w:r w:rsidR="00C6448C">
        <w:t>3.4.4.1</w:t>
      </w:r>
      <w:r>
        <w:fldChar w:fldCharType="end"/>
      </w:r>
      <w:r>
        <w:t xml:space="preserve">). To this extent, it is unlikely that investor expectations would be informed by the short-term predictive power of the break-even approach – </w:t>
      </w:r>
      <w:r w:rsidRPr="00ED32CB">
        <w:t>if biases are time-varying, the size of such biases may change in response to prevailing conditions in the financial market.</w:t>
      </w:r>
      <w:r w:rsidRPr="00264EDE">
        <w:rPr>
          <w:rStyle w:val="FootnoteReference"/>
        </w:rPr>
        <w:footnoteReference w:id="1589"/>
      </w:r>
      <w:r>
        <w:t xml:space="preserve"> </w:t>
      </w:r>
    </w:p>
    <w:p w:rsidR="00762CF4" w:rsidRDefault="00762CF4" w:rsidP="00762CF4">
      <w:r>
        <w:t xml:space="preserve">10-year inflation expectations may be informed to some extent by the accuracy of an estimation approach at predicting 10 year inflation outcomes. </w:t>
      </w:r>
      <w:r>
        <w:fldChar w:fldCharType="begin"/>
      </w:r>
      <w:r>
        <w:instrText xml:space="preserve"> REF _Ref477792559 \h </w:instrText>
      </w:r>
      <w:r>
        <w:fldChar w:fldCharType="separate"/>
      </w:r>
      <w:r w:rsidR="00C6448C">
        <w:t xml:space="preserve">Figure </w:t>
      </w:r>
      <w:r w:rsidR="00C6448C">
        <w:rPr>
          <w:noProof/>
        </w:rPr>
        <w:t>3</w:t>
      </w:r>
      <w:r w:rsidR="00C6448C">
        <w:noBreakHyphen/>
      </w:r>
      <w:r w:rsidR="00C6448C">
        <w:rPr>
          <w:noProof/>
        </w:rPr>
        <w:t>27</w:t>
      </w:r>
      <w:r>
        <w:fldChar w:fldCharType="end"/>
      </w:r>
      <w:r>
        <w:t xml:space="preserve"> shows 10-year inflation outcomes since the start of inflation targeting, 10-year estimates from the break-even approach, and 10-year estimates from the RBA forecasts and target band approach.</w:t>
      </w:r>
    </w:p>
    <w:p w:rsidR="00762CF4" w:rsidRPr="00ED32CB" w:rsidRDefault="00762CF4" w:rsidP="00762CF4">
      <w:pPr>
        <w:pStyle w:val="Caption"/>
      </w:pPr>
      <w:bookmarkStart w:id="454" w:name="_Ref477792559"/>
      <w:r>
        <w:t xml:space="preserve">Figure </w:t>
      </w:r>
      <w:fldSimple w:instr=" STYLEREF 1 \s ">
        <w:r w:rsidR="00C6448C">
          <w:rPr>
            <w:noProof/>
          </w:rPr>
          <w:t>3</w:t>
        </w:r>
      </w:fldSimple>
      <w:r w:rsidR="00882F3D">
        <w:noBreakHyphen/>
      </w:r>
      <w:fldSimple w:instr=" SEQ Figure \* ARABIC \s 1 ">
        <w:r w:rsidR="00C6448C">
          <w:rPr>
            <w:noProof/>
          </w:rPr>
          <w:t>27</w:t>
        </w:r>
      </w:fldSimple>
      <w:bookmarkEnd w:id="454"/>
      <w:r>
        <w:tab/>
        <w:t>Comparison of inflation outcomes against break-even and RBA forecasts</w:t>
      </w:r>
    </w:p>
    <w:p w:rsidR="00762CF4" w:rsidRPr="00ED32CB" w:rsidRDefault="00762CF4" w:rsidP="00762CF4">
      <w:r w:rsidRPr="00762CF4">
        <w:rPr>
          <w:noProof/>
          <w:lang w:eastAsia="en-AU"/>
        </w:rPr>
        <w:drawing>
          <wp:inline distT="0" distB="0" distL="0" distR="0" wp14:anchorId="5A575212" wp14:editId="62F45CE5">
            <wp:extent cx="5382895" cy="3518114"/>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2895" cy="3518114"/>
                    </a:xfrm>
                    <a:prstGeom prst="rect">
                      <a:avLst/>
                    </a:prstGeom>
                    <a:noFill/>
                    <a:ln>
                      <a:noFill/>
                    </a:ln>
                  </pic:spPr>
                </pic:pic>
              </a:graphicData>
            </a:graphic>
          </wp:inline>
        </w:drawing>
      </w:r>
    </w:p>
    <w:p w:rsidR="00762CF4" w:rsidRDefault="00762CF4" w:rsidP="00762CF4">
      <w:pPr>
        <w:pStyle w:val="AERtablesource"/>
      </w:pPr>
      <w:r>
        <w:t>Source:</w:t>
      </w:r>
      <w:r>
        <w:tab/>
        <w:t>AER analysis; ABS CPI (6401.0): weighted average of eight capital cities: all groups; RBA interest rate statistics (F16): indicative mid-rates of Australian government securities; RBA Statements on Monetary Policy from February 2007 to February 2017; 'Forecast date by event date' data file from Tulip &amp; Wallace (2012).</w:t>
      </w:r>
    </w:p>
    <w:p w:rsidR="00762CF4" w:rsidRDefault="00762CF4" w:rsidP="00762CF4">
      <w:r>
        <w:t>We note that the introduction of the Goods and Services Tax (GST) in 2000 is likely to have affected a one-off change in the CPI. This specific one-off change is unlikely to have affected subsequent long-term inflation expectations. However, the change to CPI may persist in 10-year measures of CPI outcomes. Restricting measures of 10-year CPI outcomes to those that exclude the transient effect of the introduction of the GST limits the amount of data available.</w:t>
      </w:r>
      <w:r>
        <w:rPr>
          <w:rStyle w:val="FootnoteReference"/>
        </w:rPr>
        <w:footnoteReference w:id="1590"/>
      </w:r>
      <w:r>
        <w:t xml:space="preserve"> Consequently, direct comparisons of estimates from the RBA forecasts and target band approach or the bond break-even approach to inflation outcomes may be limited. </w:t>
      </w:r>
    </w:p>
    <w:p w:rsidR="00762CF4" w:rsidRDefault="00762CF4" w:rsidP="00762CF4">
      <w:r>
        <w:fldChar w:fldCharType="begin"/>
      </w:r>
      <w:r>
        <w:instrText xml:space="preserve"> REF _Ref477792559 \h </w:instrText>
      </w:r>
      <w:r>
        <w:fldChar w:fldCharType="separate"/>
      </w:r>
      <w:r w:rsidR="00C6448C">
        <w:t xml:space="preserve">Figure </w:t>
      </w:r>
      <w:r w:rsidR="00C6448C">
        <w:rPr>
          <w:noProof/>
        </w:rPr>
        <w:t>3</w:t>
      </w:r>
      <w:r w:rsidR="00C6448C">
        <w:noBreakHyphen/>
      </w:r>
      <w:r w:rsidR="00C6448C">
        <w:rPr>
          <w:noProof/>
        </w:rPr>
        <w:t>27</w:t>
      </w:r>
      <w:r>
        <w:fldChar w:fldCharType="end"/>
      </w:r>
      <w:r>
        <w:t xml:space="preserve"> shows that 10-year inflation outcomes appear relative stable, consistent with the findings of </w:t>
      </w:r>
      <w:r w:rsidRPr="00A74A6A">
        <w:t xml:space="preserve">Gillitzer and Simon (2015); Finlay and Wende (2011); Leu and Sheen (2006); </w:t>
      </w:r>
      <w:r w:rsidRPr="00FE48A7">
        <w:t>Jaaskela and McKibbin (2010)</w:t>
      </w:r>
      <w:r>
        <w:t>; Kuttner and Robinson (2010); Paradiso and Rao (2012); and Mallick (2015).</w:t>
      </w:r>
      <w:r>
        <w:rPr>
          <w:rStyle w:val="FootnoteReference"/>
        </w:rPr>
        <w:footnoteReference w:id="1591"/>
      </w:r>
      <w:r w:rsidRPr="00657A72">
        <w:t xml:space="preserve"> </w:t>
      </w:r>
      <w:r>
        <w:t>The estimates from the RBA forecasts and target band approach also appear relatively stable, in contrast to the bond break-even estimates which appear more volatile.</w:t>
      </w:r>
      <w:r>
        <w:rPr>
          <w:rStyle w:val="FootnoteReference"/>
        </w:rPr>
        <w:footnoteReference w:id="1592"/>
      </w:r>
      <w:r w:rsidRPr="00657A72">
        <w:t xml:space="preserve"> </w:t>
      </w:r>
      <w:r>
        <w:t>During the GFC bond break-even estimates we</w:t>
      </w:r>
      <w:r w:rsidRPr="00ED32CB">
        <w:t xml:space="preserve">re particularly volatile, perhaps reflecting the </w:t>
      </w:r>
      <w:r>
        <w:t>approach's</w:t>
      </w:r>
      <w:r w:rsidRPr="00ED32CB">
        <w:t xml:space="preserve"> sensitivity to short term inflation shocks</w:t>
      </w:r>
      <w:r>
        <w:t xml:space="preserve"> that may not manifest in long term inflation expectations</w:t>
      </w:r>
      <w:r w:rsidRPr="00ED32CB">
        <w:t xml:space="preserve">. </w:t>
      </w:r>
    </w:p>
    <w:p w:rsidR="00762CF4" w:rsidRPr="00762CF4" w:rsidRDefault="00762CF4" w:rsidP="00762CF4">
      <w:pPr>
        <w:pStyle w:val="Heading8"/>
      </w:pPr>
      <w:bookmarkStart w:id="455" w:name="_Ref478561472"/>
      <w:bookmarkStart w:id="456" w:name="_Toc481057111"/>
      <w:r>
        <w:t>Break-even estimates are a statistically significant predictor of nominal CGS yields</w:t>
      </w:r>
      <w:bookmarkEnd w:id="455"/>
      <w:bookmarkEnd w:id="456"/>
    </w:p>
    <w:p w:rsidR="00762CF4" w:rsidRDefault="00762CF4" w:rsidP="00762CF4">
      <w:r>
        <w:t>AusNet Services and CEG submitted that f</w:t>
      </w:r>
      <w:r w:rsidRPr="009A29D1">
        <w:t>alling 10 year break-even inflation is a statistically significant explanatory variable when regress</w:t>
      </w:r>
      <w:r>
        <w:t xml:space="preserve">ed against nominal CGS yields. CEG submitted that if </w:t>
      </w:r>
      <w:r w:rsidRPr="000438D3">
        <w:t>break-even inflation estimates are an accurate measure of expected inflation</w:t>
      </w:r>
      <w:r>
        <w:t xml:space="preserve">, then </w:t>
      </w:r>
      <w:r w:rsidRPr="009A29D1">
        <w:t xml:space="preserve">most of the recent fall in nominal CGS yields is due to falling inflation </w:t>
      </w:r>
      <w:r w:rsidRPr="0031263A">
        <w:t xml:space="preserve">expectations </w:t>
      </w:r>
      <w:r>
        <w:t>rather than falling required real returns.</w:t>
      </w:r>
      <w:r>
        <w:rPr>
          <w:rStyle w:val="FootnoteReference"/>
        </w:rPr>
        <w:footnoteReference w:id="1593"/>
      </w:r>
    </w:p>
    <w:p w:rsidR="00762CF4" w:rsidRPr="00F415C8" w:rsidRDefault="00762CF4" w:rsidP="00762CF4">
      <w:r w:rsidRPr="00F415C8">
        <w:t>CEG regress</w:t>
      </w:r>
      <w:r>
        <w:t>ed</w:t>
      </w:r>
      <w:r w:rsidRPr="00F415C8">
        <w:t xml:space="preserve"> daily changes in nominal CGS yields on daily changes in breakeven inflation and find that breakeven inflation estimates largely explain changes in nominal CGS yields. CEG repeats their analysis with quarterly data instead of daily over a longer timeframe from December 2005 to June 2016. There are a number of problems evident from the analysis. First, it does not appear that CEG included any other explanatory variables in its regression analysis.</w:t>
      </w:r>
      <w:r w:rsidRPr="00F415C8">
        <w:rPr>
          <w:rStyle w:val="FootnoteReference"/>
        </w:rPr>
        <w:footnoteReference w:id="1594"/>
      </w:r>
      <w:r>
        <w:t xml:space="preserve"> T</w:t>
      </w:r>
      <w:r w:rsidRPr="00F415C8">
        <w:t>here may be a number of other factors that affect nominal CGS yields</w:t>
      </w:r>
      <w:r>
        <w:t xml:space="preserve"> and breakeven inflation rates, including </w:t>
      </w:r>
      <w:r w:rsidRPr="00F415C8">
        <w:t>the various biases and premia</w:t>
      </w:r>
      <w:r>
        <w:t xml:space="preserve"> outlined above</w:t>
      </w:r>
      <w:r w:rsidRPr="00F415C8">
        <w:t>, short term inflation expectations and the effect the coupon payments.</w:t>
      </w:r>
      <w:r w:rsidRPr="00F415C8">
        <w:rPr>
          <w:rStyle w:val="FootnoteReference"/>
        </w:rPr>
        <w:footnoteReference w:id="1595"/>
      </w:r>
      <w:r w:rsidRPr="00F415C8">
        <w:t xml:space="preserve"> If the regression model does not account for these factors it will suffer from omitted variable bias and its explanatory power will be severely diminished.</w:t>
      </w:r>
    </w:p>
    <w:p w:rsidR="00762CF4" w:rsidRPr="00F415C8" w:rsidRDefault="00762CF4" w:rsidP="00762CF4">
      <w:r w:rsidRPr="00F415C8">
        <w:t>For example, reference has been made previously to the effect of coupon payments on the estimate of breakeven inflation. Deacon and Derry (1994) note that:</w:t>
      </w:r>
    </w:p>
    <w:p w:rsidR="00762CF4" w:rsidRPr="00F415C8" w:rsidRDefault="00762CF4" w:rsidP="00762CF4">
      <w:pPr>
        <w:pStyle w:val="AERquote"/>
      </w:pPr>
      <w:r w:rsidRPr="00F415C8">
        <w:t>the fact that a break-even inflation rate is derived from only two gilt prices—one index-linked and one conventional—means that it is particularly vulnerable to distortions produced by the specific pair of stocks selected.</w:t>
      </w:r>
      <w:r w:rsidRPr="00F415C8">
        <w:br/>
        <w:t>For instance, when matching stocks by maturity there may be two conventionals of roughly equal maturity but widely-differing coupons. The difference in the break-even rates derived using the different stocks can be significant…</w:t>
      </w:r>
      <w:r w:rsidRPr="00F415C8">
        <w:rPr>
          <w:rStyle w:val="FootnoteReference"/>
        </w:rPr>
        <w:footnoteReference w:id="1596"/>
      </w:r>
    </w:p>
    <w:p w:rsidR="00762CF4" w:rsidRPr="00F415C8" w:rsidRDefault="00762CF4" w:rsidP="00762CF4">
      <w:r w:rsidRPr="00F415C8">
        <w:t xml:space="preserve">CEG’s regression analysis does not </w:t>
      </w:r>
      <w:r>
        <w:t xml:space="preserve">appear to </w:t>
      </w:r>
      <w:r w:rsidRPr="00F415C8">
        <w:t xml:space="preserve">take into account the effect of coupon payments which in turn may undermine the explanatory power of the model.  </w:t>
      </w:r>
    </w:p>
    <w:p w:rsidR="00762CF4" w:rsidRPr="00F415C8" w:rsidRDefault="00762CF4" w:rsidP="00762CF4">
      <w:r w:rsidRPr="00F415C8">
        <w:t>Second, the regression analysis itself appears to suffer from a specification issue. By regressing breakeven inflation on nominal CGS yields, CEG is attempting a regression of the form:</w:t>
      </w:r>
    </w:p>
    <w:p w:rsidR="00762CF4" w:rsidRPr="00F415C8" w:rsidRDefault="00762CF4" w:rsidP="00762CF4">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*Breakeven inflation+ε</m:t>
          </m:r>
        </m:oMath>
      </m:oMathPara>
    </w:p>
    <w:p w:rsidR="00762CF4" w:rsidRPr="00F415C8" w:rsidRDefault="00762CF4" w:rsidP="00762CF4">
      <w:r w:rsidRPr="00F415C8">
        <w:t>Now, the Fisher equation provides a relationship between an expected rate of inflation, nominal interest rates and real interest rates:</w:t>
      </w:r>
    </w:p>
    <w:p w:rsidR="00762CF4" w:rsidRPr="00F415C8" w:rsidRDefault="00762CF4" w:rsidP="00762CF4">
      <m:oMathPara>
        <m:oMath>
          <m:r>
            <w:rPr>
              <w:rFonts w:ascii="Cambria Math" w:hAnsi="Cambria Math"/>
            </w:rPr>
            <m:t>1+i=(1+r)(1+π)</m:t>
          </m:r>
        </m:oMath>
      </m:oMathPara>
    </w:p>
    <w:p w:rsidR="00762CF4" w:rsidRPr="00F415C8" w:rsidRDefault="00762CF4" w:rsidP="00762CF4">
      <w:r w:rsidRPr="00F415C8">
        <w:t xml:space="preserve">Where </w:t>
      </w:r>
      <m:oMath>
        <m:r>
          <w:rPr>
            <w:rFonts w:ascii="Cambria Math" w:hAnsi="Cambria Math"/>
          </w:rPr>
          <m:t>i</m:t>
        </m:r>
      </m:oMath>
      <w:r w:rsidRPr="00F415C8">
        <w:t xml:space="preserve"> is nominal yields, </w:t>
      </w:r>
      <m:oMath>
        <m:r>
          <w:rPr>
            <w:rFonts w:ascii="Cambria Math" w:hAnsi="Cambria Math"/>
          </w:rPr>
          <m:t>r</m:t>
        </m:r>
      </m:oMath>
      <w:r w:rsidRPr="00F415C8">
        <w:t xml:space="preserve"> is the real return and </w:t>
      </w:r>
      <m:oMath>
        <m:r>
          <w:rPr>
            <w:rFonts w:ascii="Cambria Math" w:hAnsi="Cambria Math"/>
          </w:rPr>
          <m:t>π</m:t>
        </m:r>
      </m:oMath>
      <w:r w:rsidRPr="00F415C8">
        <w:t xml:space="preserve"> is breakeven inflation. This equation can then be substituted into the original linear regression equation to obtain:</w:t>
      </w:r>
    </w:p>
    <w:p w:rsidR="00762CF4" w:rsidRPr="00F415C8" w:rsidRDefault="00762CF4" w:rsidP="00762CF4">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d>
            <m:dPr>
              <m:ctrlPr>
                <w:rPr>
                  <w:rFonts w:ascii="Cambria Math" w:hAnsi="Cambria Math"/>
                </w:rPr>
              </m:ctrlPr>
            </m:dPr>
            <m:e>
              <m:f>
                <m:fPr>
                  <m:ctrlPr>
                    <w:rPr>
                      <w:rFonts w:ascii="Cambria Math" w:hAnsi="Cambria Math"/>
                    </w:rPr>
                  </m:ctrlPr>
                </m:fPr>
                <m:num>
                  <m:r>
                    <w:rPr>
                      <w:rFonts w:ascii="Cambria Math" w:hAnsi="Cambria Math"/>
                    </w:rPr>
                    <m:t>1+i</m:t>
                  </m:r>
                </m:num>
                <m:den>
                  <m:r>
                    <w:rPr>
                      <w:rFonts w:ascii="Cambria Math" w:hAnsi="Cambria Math"/>
                    </w:rPr>
                    <m:t>1+r</m:t>
                  </m:r>
                </m:den>
              </m:f>
              <m:r>
                <w:rPr>
                  <w:rFonts w:ascii="Cambria Math" w:hAnsi="Cambria Math"/>
                </w:rPr>
                <m:t>-1</m:t>
              </m:r>
            </m:e>
          </m:d>
          <m:r>
            <w:rPr>
              <w:rFonts w:ascii="Cambria Math" w:hAnsi="Cambria Math"/>
            </w:rPr>
            <m:t>+ ε</m:t>
          </m:r>
        </m:oMath>
      </m:oMathPara>
    </w:p>
    <w:p w:rsidR="00762CF4" w:rsidRPr="00F415C8" w:rsidRDefault="00762CF4" w:rsidP="00762CF4">
      <w:r w:rsidRPr="00F415C8">
        <w:t xml:space="preserve">It is immediately clear that the variable representing nominal interest rates appears on both sides of the equation, which when run, would result in a specification error in the regression. A regression that is incorrectly specified will likely produce results that are biased. </w:t>
      </w:r>
    </w:p>
    <w:p w:rsidR="00762CF4" w:rsidRPr="00F415C8" w:rsidRDefault="00762CF4" w:rsidP="00762CF4">
      <w:r w:rsidRPr="00F415C8">
        <w:t>Alternatively, the previous equation can be rewritten as:</w:t>
      </w:r>
    </w:p>
    <w:p w:rsidR="00762CF4" w:rsidRPr="00F415C8" w:rsidRDefault="00762CF4" w:rsidP="00762CF4">
      <m:oMathPara>
        <m:oMath>
          <m:r>
            <w:rPr>
              <w:rFonts w:ascii="Cambria Math" w:hAnsi="Cambria Math"/>
            </w:rPr>
            <m:t>Real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-1</m:t>
              </m:r>
            </m:e>
          </m:d>
          <m:r>
            <w:rPr>
              <w:rFonts w:ascii="Cambria Math" w:hAnsi="Cambria Math"/>
            </w:rPr>
            <m:t>π+ ε</m:t>
          </m:r>
        </m:oMath>
      </m:oMathPara>
    </w:p>
    <w:p w:rsidR="00762CF4" w:rsidRPr="00F415C8" w:rsidRDefault="00762CF4" w:rsidP="00762CF4">
      <w:r w:rsidRPr="00F415C8">
        <w:t xml:space="preserve">This regression equation postulates a relationship between the indexed yield and the breakeven rate. It is likely that these two variables are unrelated, and, as a result, the estimated coefficient of the breakeven rate, in this regression equation, would be close to zero. This implies an estimate for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F415C8">
        <w:t xml:space="preserve"> of approximately one, similar to the original estimated regression.</w:t>
      </w:r>
    </w:p>
    <w:p w:rsidR="00762CF4" w:rsidRPr="00F415C8" w:rsidRDefault="00762CF4" w:rsidP="00762CF4">
      <w:r w:rsidRPr="00F415C8">
        <w:t>In fact, the reason why CEG arrive at an estimate slightly different from one for the slope coefficient in their two regressions (Figures 11 and 12) is due to a slight correlation between the indexed yields and the breakeven rate</w:t>
      </w:r>
      <w:r>
        <w:t>.</w:t>
      </w:r>
      <w:r w:rsidRPr="00F415C8">
        <w:rPr>
          <w:rStyle w:val="FootnoteReference"/>
        </w:rPr>
        <w:footnoteReference w:id="1597"/>
      </w:r>
      <w:r w:rsidRPr="00F415C8">
        <w:t xml:space="preserve"> This is likely due to random chance </w:t>
      </w:r>
      <w:r>
        <w:t xml:space="preserve">rather </w:t>
      </w:r>
      <w:r w:rsidRPr="00F415C8">
        <w:t>than any long-run relationship. The fac</w:t>
      </w:r>
      <w:r>
        <w:t>t that CEG’s estimates for an 8-</w:t>
      </w:r>
      <w:r w:rsidRPr="00F415C8">
        <w:t>month horizon shows negative correlation,</w:t>
      </w:r>
      <w:r>
        <w:t xml:space="preserve"> whilst</w:t>
      </w:r>
      <w:r w:rsidRPr="00F415C8">
        <w:t xml:space="preserve"> CEG’s estimate for a </w:t>
      </w:r>
      <w:r>
        <w:t>ten</w:t>
      </w:r>
      <w:r w:rsidRPr="00F415C8">
        <w:t xml:space="preserve"> and a half year horizon shows positive correlation </w:t>
      </w:r>
      <w:r>
        <w:t>may be</w:t>
      </w:r>
      <w:r w:rsidRPr="00F415C8">
        <w:t xml:space="preserve"> evidence of this.</w:t>
      </w:r>
    </w:p>
    <w:p w:rsidR="00762CF4" w:rsidRPr="00F415C8" w:rsidRDefault="00762CF4" w:rsidP="00762CF4">
      <w:r w:rsidRPr="00F415C8">
        <w:t>What this regression</w:t>
      </w:r>
      <w:r>
        <w:t xml:space="preserve"> </w:t>
      </w:r>
      <w:r w:rsidRPr="00F415C8">
        <w:t>shows, is not that there is a relationship between the breakeven rate and nominal yields, but rather, that there is no relationship between indexed yields and the breakeven rate.</w:t>
      </w:r>
    </w:p>
    <w:p w:rsidR="00762CF4" w:rsidRPr="00F415C8" w:rsidRDefault="00762CF4" w:rsidP="00762CF4">
      <w:r>
        <w:t>Further</w:t>
      </w:r>
      <w:r w:rsidRPr="00F415C8">
        <w:t xml:space="preserve">, CEG’s daily analysis only extends to the period spanning December 2015 – August 2016. Even if breakeven inflation is a statistically significant explanatory variable for falling nominal CGS yields over this time, it may not necessarily be so over a longer time period. As discussed, both the </w:t>
      </w:r>
      <w:r>
        <w:t>break-even inflation estimates</w:t>
      </w:r>
      <w:r w:rsidRPr="00F415C8">
        <w:t xml:space="preserve"> and nominal CGS yields are susceptible to short term inflation expectations due to differences in the size and timing of coupon payments across maturities.</w:t>
      </w:r>
      <w:r w:rsidRPr="00F415C8">
        <w:rPr>
          <w:rStyle w:val="FootnoteReference"/>
        </w:rPr>
        <w:footnoteReference w:id="1598"/>
      </w:r>
      <w:r w:rsidRPr="00F415C8">
        <w:t xml:space="preserve"> CEG’s quarterly analysis undertaken from December 2005 to June 2016 is also problematic due to its limited sample size (approximately 40 observations). </w:t>
      </w:r>
    </w:p>
    <w:p w:rsidR="00762CF4" w:rsidRDefault="00762CF4" w:rsidP="00762CF4">
      <w:r w:rsidRPr="00F415C8">
        <w:t xml:space="preserve">Notwithstanding the previous discussion, even if falling breakeven inflation is a statistically significant explanatory variable for falling nominal CGS yields, it may still not be suitable as an estimator for market expectations of inflation. There are likely other variables that affect breakeven inflation estimates, such as biases and premia which would result in divergent outcomes for breakeven inflation and market expectations of inflation. </w:t>
      </w:r>
    </w:p>
    <w:p w:rsidR="00762CF4" w:rsidRPr="00762CF4" w:rsidRDefault="00762CF4" w:rsidP="00762CF4">
      <w:pPr>
        <w:pStyle w:val="Heading8"/>
      </w:pPr>
      <w:bookmarkStart w:id="457" w:name="_Toc481057112"/>
      <w:r>
        <w:t>Reviewing the</w:t>
      </w:r>
      <w:r w:rsidRPr="00762CF4">
        <w:t xml:space="preserve"> Post-Tax Revenue Model</w:t>
      </w:r>
      <w:bookmarkEnd w:id="457"/>
    </w:p>
    <w:p w:rsidR="00762CF4" w:rsidRDefault="00762CF4" w:rsidP="00762CF4">
      <w:r>
        <w:t>AusNet Services submitted</w:t>
      </w:r>
      <w:r w:rsidRPr="004E26A9">
        <w:t xml:space="preserve"> that in making </w:t>
      </w:r>
      <w:r>
        <w:t>a</w:t>
      </w:r>
      <w:r w:rsidRPr="004E26A9">
        <w:t xml:space="preserve"> transmission determination, it is open to </w:t>
      </w:r>
      <w:r>
        <w:t>us</w:t>
      </w:r>
      <w:r w:rsidRPr="004E26A9">
        <w:t xml:space="preserve"> to ap</w:t>
      </w:r>
      <w:r>
        <w:t>ply an alternative method to that set out in our post-tax revenue model</w:t>
      </w:r>
      <w:r w:rsidRPr="004E26A9">
        <w:t xml:space="preserve">. </w:t>
      </w:r>
      <w:r>
        <w:t>AusNet Services submitted that</w:t>
      </w:r>
      <w:r w:rsidRPr="004E26A9">
        <w:t xml:space="preserve"> proposal</w:t>
      </w:r>
      <w:r>
        <w:t>s</w:t>
      </w:r>
      <w:r w:rsidRPr="004E26A9">
        <w:t xml:space="preserve"> to change the method for estimating expected inflation has now been the subject of a number of service providers’ proposals (including Victorian electricity distribution networks and SA Power Networks), resulting in the issue being the subject of extensive consultation with stake</w:t>
      </w:r>
      <w:r>
        <w:t>holders.</w:t>
      </w:r>
      <w:r>
        <w:rPr>
          <w:rStyle w:val="FootnoteReference"/>
        </w:rPr>
        <w:footnoteReference w:id="1599"/>
      </w:r>
      <w:r>
        <w:t xml:space="preserve"> </w:t>
      </w:r>
    </w:p>
    <w:p w:rsidR="00762CF4" w:rsidRDefault="00762CF4" w:rsidP="00762CF4">
      <w:r>
        <w:t>We consider that our electricity transmission and distribution determinations must be made in accordance with our published post-tax revenue model. The National Electricity Rules provide that:</w:t>
      </w:r>
    </w:p>
    <w:p w:rsidR="00762CF4" w:rsidRDefault="00762CF4" w:rsidP="00762CF4">
      <w:pPr>
        <w:pStyle w:val="AERbulletlistfirststyle"/>
      </w:pPr>
      <w:r>
        <w:t>we must prepare and publish a post-tax revenue model;</w:t>
      </w:r>
      <w:r>
        <w:rPr>
          <w:rStyle w:val="FootnoteReference"/>
        </w:rPr>
        <w:footnoteReference w:id="1600"/>
      </w:r>
    </w:p>
    <w:p w:rsidR="00762CF4" w:rsidRDefault="00762CF4" w:rsidP="00762CF4">
      <w:pPr>
        <w:pStyle w:val="AERbulletlistfirststyle"/>
      </w:pPr>
      <w:r>
        <w:t xml:space="preserve">the post-tax revenue model must </w:t>
      </w:r>
      <w:r w:rsidRPr="00D72CB5">
        <w:t xml:space="preserve">establish a </w:t>
      </w:r>
      <w:r>
        <w:t>method</w:t>
      </w:r>
      <w:r w:rsidRPr="00D72CB5">
        <w:t xml:space="preserve"> that we determine is likely to result in the best estimates of expected inflation</w:t>
      </w:r>
      <w:r>
        <w:t>;</w:t>
      </w:r>
      <w:r>
        <w:rPr>
          <w:rStyle w:val="FootnoteReference"/>
        </w:rPr>
        <w:footnoteReference w:id="1601"/>
      </w:r>
    </w:p>
    <w:p w:rsidR="00762CF4" w:rsidRDefault="00762CF4" w:rsidP="00762CF4">
      <w:pPr>
        <w:pStyle w:val="AERbulletlistfirststyle"/>
      </w:pPr>
      <w:r>
        <w:t xml:space="preserve">a services provider's regulatory proposal must be </w:t>
      </w:r>
      <w:r w:rsidRPr="00D72CB5">
        <w:t>prepared in accordance with the post-tax revenue model</w:t>
      </w:r>
      <w:r>
        <w:t>;</w:t>
      </w:r>
      <w:r>
        <w:rPr>
          <w:rStyle w:val="FootnoteReference"/>
        </w:rPr>
        <w:footnoteReference w:id="1602"/>
      </w:r>
    </w:p>
    <w:p w:rsidR="00762CF4" w:rsidRDefault="00762CF4" w:rsidP="00762CF4">
      <w:pPr>
        <w:pStyle w:val="AERbulletlistfirststyle"/>
      </w:pPr>
      <w:r>
        <w:t>the post-tax revenue model is required to be "in force" at all times;</w:t>
      </w:r>
      <w:r>
        <w:rPr>
          <w:rStyle w:val="FootnoteReference"/>
        </w:rPr>
        <w:footnoteReference w:id="1603"/>
      </w:r>
      <w:r>
        <w:t xml:space="preserve"> and</w:t>
      </w:r>
    </w:p>
    <w:p w:rsidR="00762CF4" w:rsidRDefault="00762CF4" w:rsidP="00762CF4">
      <w:pPr>
        <w:pStyle w:val="AERbulletlistfirststyle"/>
      </w:pPr>
      <w:r>
        <w:t>we must approve a service providers' revenue requirement, as set out in the service providers' regulatory proposal, if we are satisfied that those amounts have been properly calculated using the post-tax revenue model.</w:t>
      </w:r>
      <w:r>
        <w:rPr>
          <w:rStyle w:val="FootnoteReference"/>
        </w:rPr>
        <w:footnoteReference w:id="1604"/>
      </w:r>
    </w:p>
    <w:p w:rsidR="00762CF4" w:rsidRDefault="00762CF4" w:rsidP="00762CF4">
      <w:r>
        <w:t>Recently the Australian Competition Tribunal considered whether or not we can make an electricity transmission or distribution determination that is not in accordance with our published post-tax revenue model. In its October 2016 decision, the Tribunal affirmed our view that we cannot depart from the published post-tax revenue model in our regulatory determinations, stating:</w:t>
      </w:r>
      <w:r>
        <w:rPr>
          <w:rStyle w:val="FootnoteReference"/>
        </w:rPr>
        <w:footnoteReference w:id="1605"/>
      </w:r>
    </w:p>
    <w:p w:rsidR="00762CF4" w:rsidRDefault="00762CF4" w:rsidP="00762CF4">
      <w:pPr>
        <w:pStyle w:val="AERquote"/>
      </w:pPr>
      <w:r>
        <w:t xml:space="preserve">The effect of cl 6.12.3(d) is that the AER has no discretion but to approve the total revenue requirements for a DNSP if it is satisfied that it has been calculated using the PTRM.  It is significant that the clause requires the amounts to have been “calculated” using the PTRM.  That expression ascribes to the PTRM a status more than merely a device or tool in which a proposal should be submitted.  Ultimately it plays a material part in the determination of the total revenue requirement.  </w:t>
      </w:r>
    </w:p>
    <w:p w:rsidR="00762CF4" w:rsidRDefault="00762CF4" w:rsidP="00762CF4">
      <w:r>
        <w:t>The Tribunal stated that the post-tax revenue model being "in force" at all times means:</w:t>
      </w:r>
      <w:r>
        <w:rPr>
          <w:rStyle w:val="FootnoteReference"/>
        </w:rPr>
        <w:footnoteReference w:id="1606"/>
      </w:r>
    </w:p>
    <w:p w:rsidR="00762CF4" w:rsidRPr="00F4557F" w:rsidRDefault="00762CF4" w:rsidP="00762CF4">
      <w:pPr>
        <w:pStyle w:val="AERquote"/>
      </w:pPr>
      <w:r w:rsidRPr="00F4557F">
        <w:t>not merely that the PTRM be available for use. Secondly, the PTRM cannot be amended at a whim. It can only be amended under the distribution consultation procedures. There would be little point in the rule makers establishing such a significant “gatekeeping” requirement if the PTRM were little more than a tool in which to submit a proposal.</w:t>
      </w:r>
    </w:p>
    <w:p w:rsidR="00762CF4" w:rsidRDefault="00762CF4" w:rsidP="00762CF4">
      <w:r>
        <w:t>While our electricity determinations must be in accordance with out published post-tax revenue model, we may review and amend the model from time to time. Any process to review or amend the model must be undertaken in accordance with the consultation procedures set out in the National Electricity Rules. These procedures require that we consult with stakeholders, set out matters that we must have regard to, set out minimum consultation periods, and set out maximum time limits for any review.</w:t>
      </w:r>
      <w:r>
        <w:rPr>
          <w:rStyle w:val="FootnoteReference"/>
        </w:rPr>
        <w:footnoteReference w:id="1607"/>
      </w:r>
    </w:p>
    <w:p w:rsidR="00762CF4" w:rsidRDefault="00762CF4" w:rsidP="00762CF4">
      <w:r>
        <w:t>We consider that it is timely to undertake a review of expected inflation given the extensive submissions that we have received on the topic and the importance of the post-tax revenue model to our treatment of inflation. On 15 December 2016 we indicated our intention to review our treatment of inflation, including if necessary the contents and operation of our post-tax revenue model. On 1</w:t>
      </w:r>
      <w:r w:rsidR="002624A3">
        <w:t>8</w:t>
      </w:r>
      <w:r>
        <w:t xml:space="preserve"> April 2017 we released a discussion paper on the estimation of expected inflation and the treatment of inflation in our revenue models.</w:t>
      </w:r>
    </w:p>
    <w:p w:rsidR="00762CF4" w:rsidRDefault="00762CF4" w:rsidP="00762CF4">
      <w:r w:rsidRPr="005166BE">
        <w:t xml:space="preserve">The CCP </w:t>
      </w:r>
      <w:r>
        <w:t>supported initiating a review on estimating inflation, stating:</w:t>
      </w:r>
      <w:r>
        <w:rPr>
          <w:rStyle w:val="FootnoteReference"/>
        </w:rPr>
        <w:footnoteReference w:id="1608"/>
      </w:r>
    </w:p>
    <w:p w:rsidR="00762CF4" w:rsidRDefault="00762CF4" w:rsidP="00762CF4">
      <w:pPr>
        <w:pStyle w:val="AERquote"/>
      </w:pPr>
      <w:r>
        <w:t>There has been little stakeholder consultation about changing from a methodology that has been in place for eight years, and changing methodologies at the request of a network when it is so significantly advantaged by the change that it looks like cherry-picking. In the interests of good administrative practice, our view is that more stakeholder consultation and a far wider analysis by the AER is required before any change in methodology.</w:t>
      </w:r>
    </w:p>
    <w:p w:rsidR="00762CF4" w:rsidRPr="00762CF4" w:rsidRDefault="00762CF4" w:rsidP="006E5878">
      <w:r>
        <w:t xml:space="preserve">The review is likely to take many months to conclude and well after the date of this final decision, given the complex issues recently submitted by stakeholders. Findings from the review cannot therefore be included in this final decision on TasNetworks' 2017-19 distribution determination. </w:t>
      </w:r>
    </w:p>
    <w:p w:rsidR="00762CF4" w:rsidRDefault="00762CF4" w:rsidP="005A6140"/>
    <w:p w:rsidR="005A6140" w:rsidRDefault="005A6140" w:rsidP="005A6140">
      <w:r>
        <w:t xml:space="preserve"> </w:t>
      </w:r>
    </w:p>
    <w:p w:rsidR="005A6140" w:rsidRDefault="005A6140" w:rsidP="005A6140"/>
    <w:p w:rsidR="005A6140" w:rsidRDefault="005A6140" w:rsidP="005A6140"/>
    <w:p w:rsidR="005A6140" w:rsidRPr="00AA2065" w:rsidRDefault="005A6140" w:rsidP="005A6140"/>
    <w:p w:rsidR="00392FFF" w:rsidRDefault="00392FFF" w:rsidP="00392FFF">
      <w:pPr>
        <w:pStyle w:val="Heading7"/>
      </w:pPr>
      <w:bookmarkStart w:id="459" w:name="_Toc481057113"/>
      <w:r>
        <w:t>Equity and debt raising costs</w:t>
      </w:r>
      <w:bookmarkEnd w:id="330"/>
      <w:bookmarkEnd w:id="459"/>
    </w:p>
    <w:p w:rsidR="00392FFF" w:rsidRPr="00AA2065" w:rsidRDefault="00392FFF" w:rsidP="00392FFF">
      <w:r>
        <w:t>I</w:t>
      </w:r>
      <w:r w:rsidRPr="00AA2065">
        <w:t>n addition to compensating for the required rate of return on debt and equity</w:t>
      </w:r>
      <w:r>
        <w:t xml:space="preserve">, we provide an allowance for the transaction costs associated </w:t>
      </w:r>
      <w:r w:rsidRPr="00AA2065">
        <w:t>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392FFF" w:rsidRPr="001A2C20" w:rsidRDefault="00392FFF" w:rsidP="00392FFF">
      <w:r w:rsidRPr="00AA2065">
        <w:t xml:space="preserve">Our </w:t>
      </w:r>
      <w:r>
        <w:t xml:space="preserve">final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 xml:space="preserve">In this appendix, we set out our assessment approach and the reasons for </w:t>
      </w:r>
      <w:r>
        <w:t>those forecasts</w:t>
      </w:r>
      <w:r w:rsidRPr="00AA2065">
        <w:t>.</w:t>
      </w:r>
    </w:p>
    <w:p w:rsidR="00392FFF" w:rsidRPr="00392FFF" w:rsidRDefault="00392FFF" w:rsidP="006E5878">
      <w:pPr>
        <w:pStyle w:val="Heading8"/>
        <w:numPr>
          <w:ilvl w:val="1"/>
          <w:numId w:val="46"/>
        </w:numPr>
      </w:pPr>
      <w:bookmarkStart w:id="460" w:name="_Toc451939040"/>
      <w:bookmarkStart w:id="461" w:name="_Toc456686790"/>
      <w:bookmarkStart w:id="462" w:name="_Toc481057114"/>
      <w:r>
        <w:t>Equity raising costs</w:t>
      </w:r>
      <w:bookmarkEnd w:id="460"/>
      <w:bookmarkEnd w:id="461"/>
      <w:bookmarkEnd w:id="462"/>
      <w:r>
        <w:t xml:space="preserve"> </w:t>
      </w:r>
    </w:p>
    <w:p w:rsidR="00392FFF" w:rsidRDefault="00392FFF" w:rsidP="00392FFF">
      <w:r>
        <w:t>We determine equity raising costs</w:t>
      </w:r>
      <w:r w:rsidR="007611E3">
        <w:t xml:space="preserve"> of $0.20 million</w:t>
      </w:r>
      <w:r>
        <w:t xml:space="preserve"> for the 2017–</w:t>
      </w:r>
      <w:r w:rsidR="007611E3">
        <w:t>19</w:t>
      </w:r>
      <w:r>
        <w:t xml:space="preserve"> period in this final decision. </w:t>
      </w:r>
      <w:r w:rsidR="007611E3">
        <w:t>We have determined this amount by applying the method we have established in recent determinations and proposed by TasNetworks.</w:t>
      </w:r>
      <w:r w:rsidR="007611E3">
        <w:rPr>
          <w:rStyle w:val="FootnoteReference"/>
        </w:rPr>
        <w:footnoteReference w:id="1609"/>
      </w:r>
      <w:r w:rsidR="007611E3">
        <w:t xml:space="preserve"> </w:t>
      </w:r>
    </w:p>
    <w:p w:rsidR="00392FFF" w:rsidRPr="00C024A8" w:rsidRDefault="00392FFF" w:rsidP="00392FFF">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 an allowance to recover</w:t>
      </w:r>
      <w:r w:rsidRPr="00C024A8">
        <w:t xml:space="preserve"> an efficient amount of </w:t>
      </w:r>
      <w:r>
        <w:t>equity raising</w:t>
      </w:r>
      <w:r w:rsidRPr="00C024A8">
        <w:t xml:space="preserve"> costs. This is where a service provider's capex forecast is large enough to require an external equity injection to maintain the benchmark gearing of 60 per cent.</w:t>
      </w:r>
    </w:p>
    <w:p w:rsidR="00392FFF" w:rsidRDefault="00392FFF" w:rsidP="00392FFF">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 We initially based our method for determining benchmark equity raising costs on </w:t>
      </w:r>
      <w:r>
        <w:t>the</w:t>
      </w:r>
      <w:r w:rsidRPr="00C024A8">
        <w:t xml:space="preserve"> 2007 advice from Allen Consulting Group (ACG).</w:t>
      </w:r>
      <w:r w:rsidRPr="00C024A8">
        <w:rPr>
          <w:rStyle w:val="FootnoteReference"/>
        </w:rPr>
        <w:footnoteReference w:id="1610"/>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611"/>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612"/>
      </w:r>
    </w:p>
    <w:p w:rsidR="00392FFF" w:rsidRDefault="00392FFF" w:rsidP="00392FFF">
      <w:pPr>
        <w:pStyle w:val="Heading8"/>
      </w:pPr>
      <w:bookmarkStart w:id="463" w:name="_Toc456686791"/>
      <w:bookmarkStart w:id="464" w:name="_Toc481057115"/>
      <w:r>
        <w:t>Debt raising costs</w:t>
      </w:r>
      <w:bookmarkEnd w:id="463"/>
      <w:bookmarkEnd w:id="464"/>
      <w:r>
        <w:t xml:space="preserve"> </w:t>
      </w:r>
    </w:p>
    <w:p w:rsidR="00392FFF" w:rsidRPr="00F83415" w:rsidRDefault="00392FFF" w:rsidP="00CC7A1C">
      <w:pPr>
        <w:numPr>
          <w:ilvl w:val="0"/>
          <w:numId w:val="24"/>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w:t>
      </w:r>
      <w:r>
        <w:t>cost</w:t>
      </w:r>
      <w:r w:rsidRPr="00C43648">
        <w:t xml:space="preserve"> of raising debt that would be incurred by a prudent service provider, and data exists such that we can estimate the</w:t>
      </w:r>
      <w:r>
        <w:t>m</w:t>
      </w:r>
      <w:r w:rsidRPr="00C43648">
        <w:t xml:space="preserve">. Accordingly, we provide an allowance to recover an efficient amount of </w:t>
      </w:r>
      <w:r>
        <w:t>debt raising</w:t>
      </w:r>
      <w:r w:rsidRPr="00C43648">
        <w:t xml:space="preserve"> costs.</w:t>
      </w:r>
    </w:p>
    <w:p w:rsidR="00392FFF" w:rsidRDefault="00392FFF" w:rsidP="00392FFF">
      <w:pPr>
        <w:pStyle w:val="Heading9"/>
      </w:pPr>
      <w:bookmarkStart w:id="465" w:name="_Toc456686792"/>
      <w:r>
        <w:t>Final decision</w:t>
      </w:r>
      <w:bookmarkEnd w:id="465"/>
      <w:r>
        <w:t xml:space="preserve"> </w:t>
      </w:r>
    </w:p>
    <w:p w:rsidR="00392FFF" w:rsidRDefault="00392FFF" w:rsidP="00392FFF">
      <w:r>
        <w:t xml:space="preserve">We accept </w:t>
      </w:r>
      <w:r w:rsidR="00DF0600">
        <w:t>TasNetworks</w:t>
      </w:r>
      <w:r w:rsidR="00F3255E">
        <w:t>' revised</w:t>
      </w:r>
      <w:r>
        <w:t xml:space="preserve"> proposal and determine</w:t>
      </w:r>
      <w:r w:rsidRPr="00C43648">
        <w:t xml:space="preserve"> debt raising costs of $</w:t>
      </w:r>
      <w:r w:rsidR="00EA155B">
        <w:t>2.</w:t>
      </w:r>
      <w:r w:rsidR="00673193">
        <w:t>21</w:t>
      </w:r>
      <w:r>
        <w:t xml:space="preserve"> million ($ 2016–17)</w:t>
      </w:r>
      <w:r w:rsidR="00F3255E">
        <w:rPr>
          <w:rStyle w:val="FootnoteReference"/>
        </w:rPr>
        <w:footnoteReference w:id="1613"/>
      </w:r>
      <w:r>
        <w:t xml:space="preserve"> over the 2017</w:t>
      </w:r>
      <w:r w:rsidRPr="00413171">
        <w:t>–</w:t>
      </w:r>
      <w:r>
        <w:t>22</w:t>
      </w:r>
      <w:r w:rsidRPr="00C43648">
        <w:t xml:space="preserve"> period</w:t>
      </w:r>
      <w:r w:rsidR="00E02715">
        <w:t xml:space="preserve"> for this final decision</w:t>
      </w:r>
      <w:r w:rsidRPr="00C43648">
        <w:t>, as set out in</w:t>
      </w:r>
      <w:r>
        <w:t xml:space="preserve"> </w:t>
      </w:r>
      <w:r>
        <w:fldChar w:fldCharType="begin"/>
      </w:r>
      <w:r>
        <w:instrText xml:space="preserve"> REF _Ref449602003 \h </w:instrText>
      </w:r>
      <w:r>
        <w:fldChar w:fldCharType="separate"/>
      </w:r>
      <w:r w:rsidR="00C6448C">
        <w:t xml:space="preserve">Table </w:t>
      </w:r>
      <w:r w:rsidR="00C6448C">
        <w:rPr>
          <w:noProof/>
        </w:rPr>
        <w:t>3</w:t>
      </w:r>
      <w:r w:rsidR="00C6448C">
        <w:noBreakHyphen/>
      </w:r>
      <w:r w:rsidR="00C6448C">
        <w:rPr>
          <w:noProof/>
        </w:rPr>
        <w:t>46</w:t>
      </w:r>
      <w:r>
        <w:fldChar w:fldCharType="end"/>
      </w:r>
      <w:r>
        <w:t xml:space="preserve">.  </w:t>
      </w:r>
    </w:p>
    <w:p w:rsidR="00392FFF" w:rsidRDefault="00392FFF" w:rsidP="00392FFF">
      <w:r>
        <w:t>We are satisfied that the debt raising costs estimate of $</w:t>
      </w:r>
      <w:r w:rsidR="00EA155B">
        <w:t>2.</w:t>
      </w:r>
      <w:r w:rsidR="00673193">
        <w:t>21</w:t>
      </w:r>
      <w:r>
        <w:t xml:space="preserve"> million</w:t>
      </w:r>
      <w:r w:rsidRPr="00C43648">
        <w:t xml:space="preserve"> contributes towards a total opex forecast that reasonably reflects efficient, prudent and realistic costs.</w:t>
      </w:r>
      <w:r>
        <w:t xml:space="preserve"> Consistent with the approach applied to recent decisions (including AusNet Services distribution), we consider that it is important to forecast debt raising costs based on a benchmark approach rather than a service provider's actual costs.</w:t>
      </w:r>
      <w:r>
        <w:rPr>
          <w:rStyle w:val="FootnoteReference"/>
        </w:rPr>
        <w:footnoteReference w:id="1614"/>
      </w:r>
      <w:r>
        <w:t xml:space="preserve"> This is to be consistent with the benchmark based forecast of the cost of debt used in the rate of return building block. This should give </w:t>
      </w:r>
      <w:r w:rsidR="005C0D5D">
        <w:t xml:space="preserve">TasNetworks </w:t>
      </w:r>
      <w:r>
        <w:t xml:space="preserve">a reasonable opportunity to recover its efficient costs.  </w:t>
      </w:r>
    </w:p>
    <w:p w:rsidR="00392FFF" w:rsidRPr="00413171" w:rsidRDefault="00392FFF" w:rsidP="00392FFF">
      <w:pPr>
        <w:pStyle w:val="Caption"/>
      </w:pPr>
      <w:bookmarkStart w:id="466" w:name="_Ref449602003"/>
      <w:r>
        <w:t xml:space="preserve">Table </w:t>
      </w:r>
      <w:fldSimple w:instr=" STYLEREF 1 \s ">
        <w:r w:rsidR="00C6448C">
          <w:rPr>
            <w:noProof/>
          </w:rPr>
          <w:t>3</w:t>
        </w:r>
      </w:fldSimple>
      <w:r w:rsidR="00882F3D">
        <w:noBreakHyphen/>
      </w:r>
      <w:fldSimple w:instr=" SEQ Table \* ARABIC \s 1 ">
        <w:r w:rsidR="00C6448C">
          <w:rPr>
            <w:noProof/>
          </w:rPr>
          <w:t>46</w:t>
        </w:r>
      </w:fldSimple>
      <w:bookmarkEnd w:id="466"/>
      <w:r>
        <w:tab/>
      </w:r>
      <w:r w:rsidRPr="00413171">
        <w:t xml:space="preserve">AER's </w:t>
      </w:r>
      <w:r w:rsidR="00A64A73">
        <w:t>final</w:t>
      </w:r>
      <w:r w:rsidRPr="00413171">
        <w:t xml:space="preserve"> decision on debt raising costs (million, $ </w:t>
      </w:r>
      <w:r>
        <w:t>2016–17</w:t>
      </w:r>
      <w:r w:rsidRPr="00413171">
        <w:t>)</w:t>
      </w:r>
    </w:p>
    <w:tbl>
      <w:tblPr>
        <w:tblStyle w:val="AERtable-text0"/>
        <w:tblW w:w="2857" w:type="pct"/>
        <w:tblLook w:val="04A0" w:firstRow="1" w:lastRow="0" w:firstColumn="1" w:lastColumn="0" w:noHBand="0" w:noVBand="1"/>
      </w:tblPr>
      <w:tblGrid>
        <w:gridCol w:w="1241"/>
        <w:gridCol w:w="1242"/>
        <w:gridCol w:w="1241"/>
        <w:gridCol w:w="1243"/>
      </w:tblGrid>
      <w:tr w:rsidR="0053167B" w:rsidRPr="00C43648" w:rsidTr="006E5878">
        <w:trPr>
          <w:cnfStyle w:val="100000000000" w:firstRow="1" w:lastRow="0" w:firstColumn="0" w:lastColumn="0" w:oddVBand="0" w:evenVBand="0" w:oddHBand="0" w:evenHBand="0" w:firstRowFirstColumn="0" w:firstRowLastColumn="0" w:lastRowFirstColumn="0" w:lastRowLastColumn="0"/>
        </w:trPr>
        <w:tc>
          <w:tcPr>
            <w:tcW w:w="1250" w:type="pct"/>
          </w:tcPr>
          <w:p w:rsidR="0053167B" w:rsidRDefault="0053167B" w:rsidP="00392FFF"/>
        </w:tc>
        <w:tc>
          <w:tcPr>
            <w:tcW w:w="1250" w:type="pct"/>
          </w:tcPr>
          <w:p w:rsidR="0053167B" w:rsidRPr="00392FFF" w:rsidRDefault="0053167B" w:rsidP="00392FFF">
            <w:r>
              <w:t>2017</w:t>
            </w:r>
            <w:r w:rsidRPr="00392FFF">
              <w:t>-18</w:t>
            </w:r>
          </w:p>
        </w:tc>
        <w:tc>
          <w:tcPr>
            <w:tcW w:w="1249" w:type="pct"/>
          </w:tcPr>
          <w:p w:rsidR="0053167B" w:rsidRPr="00392FFF" w:rsidRDefault="0053167B" w:rsidP="00392FFF">
            <w:r>
              <w:t>2018</w:t>
            </w:r>
            <w:r w:rsidRPr="00392FFF">
              <w:t>-19</w:t>
            </w:r>
          </w:p>
        </w:tc>
        <w:tc>
          <w:tcPr>
            <w:tcW w:w="1251" w:type="pct"/>
          </w:tcPr>
          <w:p w:rsidR="0053167B" w:rsidRPr="00392FFF" w:rsidRDefault="0053167B" w:rsidP="00392FFF">
            <w:r w:rsidRPr="00C43648">
              <w:t>Total</w:t>
            </w:r>
          </w:p>
        </w:tc>
      </w:tr>
      <w:tr w:rsidR="0053167B" w:rsidRPr="00C43648" w:rsidTr="006E5878">
        <w:tc>
          <w:tcPr>
            <w:tcW w:w="1250" w:type="pct"/>
          </w:tcPr>
          <w:p w:rsidR="0053167B" w:rsidRPr="00254561" w:rsidRDefault="0053167B" w:rsidP="00392FFF">
            <w:r>
              <w:t>Distribution</w:t>
            </w:r>
          </w:p>
        </w:tc>
        <w:tc>
          <w:tcPr>
            <w:tcW w:w="1250" w:type="pct"/>
            <w:vAlign w:val="top"/>
          </w:tcPr>
          <w:p w:rsidR="0053167B" w:rsidRPr="00392FFF" w:rsidRDefault="0053167B" w:rsidP="0053167B">
            <w:r>
              <w:t>1.08</w:t>
            </w:r>
          </w:p>
        </w:tc>
        <w:tc>
          <w:tcPr>
            <w:tcW w:w="1249" w:type="pct"/>
            <w:vAlign w:val="top"/>
          </w:tcPr>
          <w:p w:rsidR="0053167B" w:rsidRPr="00392FFF" w:rsidRDefault="0053167B" w:rsidP="0053167B">
            <w:r>
              <w:t>1.09</w:t>
            </w:r>
            <w:r w:rsidRPr="00392FFF">
              <w:t xml:space="preserve"> </w:t>
            </w:r>
          </w:p>
        </w:tc>
        <w:tc>
          <w:tcPr>
            <w:tcW w:w="1251" w:type="pct"/>
          </w:tcPr>
          <w:p w:rsidR="0053167B" w:rsidRPr="00392FFF" w:rsidRDefault="0053167B" w:rsidP="00392FFF">
            <w:r>
              <w:t>2.17</w:t>
            </w:r>
          </w:p>
        </w:tc>
      </w:tr>
      <w:tr w:rsidR="00673193" w:rsidRPr="00C43648" w:rsidTr="006E5878">
        <w:trPr>
          <w:cnfStyle w:val="000000010000" w:firstRow="0" w:lastRow="0" w:firstColumn="0" w:lastColumn="0" w:oddVBand="0" w:evenVBand="0" w:oddHBand="0" w:evenHBand="1" w:firstRowFirstColumn="0" w:firstRowLastColumn="0" w:lastRowFirstColumn="0" w:lastRowLastColumn="0"/>
        </w:trPr>
        <w:tc>
          <w:tcPr>
            <w:tcW w:w="1250" w:type="pct"/>
          </w:tcPr>
          <w:p w:rsidR="00673193" w:rsidRDefault="00673193" w:rsidP="00392FFF">
            <w:r>
              <w:t>Metering</w:t>
            </w:r>
          </w:p>
        </w:tc>
        <w:tc>
          <w:tcPr>
            <w:tcW w:w="1250" w:type="pct"/>
            <w:vAlign w:val="top"/>
          </w:tcPr>
          <w:p w:rsidR="00673193" w:rsidRDefault="00673193" w:rsidP="0053167B">
            <w:r>
              <w:t>0.02</w:t>
            </w:r>
          </w:p>
        </w:tc>
        <w:tc>
          <w:tcPr>
            <w:tcW w:w="1249" w:type="pct"/>
            <w:vAlign w:val="top"/>
          </w:tcPr>
          <w:p w:rsidR="00673193" w:rsidRPr="004045B4" w:rsidRDefault="00673193" w:rsidP="0053167B">
            <w:r>
              <w:t>0.02</w:t>
            </w:r>
          </w:p>
        </w:tc>
        <w:tc>
          <w:tcPr>
            <w:tcW w:w="1251" w:type="pct"/>
          </w:tcPr>
          <w:p w:rsidR="00673193" w:rsidRDefault="00673193" w:rsidP="00392FFF">
            <w:r>
              <w:t>0.04</w:t>
            </w:r>
          </w:p>
        </w:tc>
      </w:tr>
      <w:tr w:rsidR="00673193" w:rsidRPr="00C43648" w:rsidTr="006E5878">
        <w:tc>
          <w:tcPr>
            <w:tcW w:w="1250" w:type="pct"/>
          </w:tcPr>
          <w:p w:rsidR="00673193" w:rsidRDefault="00673193" w:rsidP="00392FFF">
            <w:r>
              <w:t>Total</w:t>
            </w:r>
          </w:p>
        </w:tc>
        <w:tc>
          <w:tcPr>
            <w:tcW w:w="1250" w:type="pct"/>
            <w:vAlign w:val="top"/>
          </w:tcPr>
          <w:p w:rsidR="00673193" w:rsidRDefault="00DA5359" w:rsidP="0053167B">
            <w:r>
              <w:t>1.1</w:t>
            </w:r>
          </w:p>
        </w:tc>
        <w:tc>
          <w:tcPr>
            <w:tcW w:w="1249" w:type="pct"/>
            <w:vAlign w:val="top"/>
          </w:tcPr>
          <w:p w:rsidR="00673193" w:rsidRDefault="00DA5359" w:rsidP="0053167B">
            <w:r>
              <w:t>1.11</w:t>
            </w:r>
          </w:p>
        </w:tc>
        <w:tc>
          <w:tcPr>
            <w:tcW w:w="1251" w:type="pct"/>
          </w:tcPr>
          <w:p w:rsidR="00673193" w:rsidRDefault="00673193" w:rsidP="00392FFF">
            <w:r>
              <w:t>2.21</w:t>
            </w:r>
          </w:p>
        </w:tc>
      </w:tr>
    </w:tbl>
    <w:p w:rsidR="00392FFF" w:rsidRDefault="00392FFF" w:rsidP="00392FFF">
      <w:pPr>
        <w:pStyle w:val="AERtablesource"/>
      </w:pPr>
      <w:r w:rsidRPr="00C43648">
        <w:t xml:space="preserve">Source: </w:t>
      </w:r>
      <w:r>
        <w:tab/>
      </w:r>
      <w:r w:rsidRPr="00C43648">
        <w:t>AER analysis.</w:t>
      </w:r>
    </w:p>
    <w:p w:rsidR="00392FFF" w:rsidRDefault="00392FFF" w:rsidP="00392FFF">
      <w:pPr>
        <w:pStyle w:val="AERtablesource"/>
      </w:pPr>
      <w:r>
        <w:t xml:space="preserve">Note: </w:t>
      </w:r>
      <w:r>
        <w:tab/>
        <w:t>Columns may not add to total due to rounding for presentation in table.</w:t>
      </w:r>
    </w:p>
    <w:p w:rsidR="00392FFF" w:rsidRPr="00E64828" w:rsidRDefault="00392FFF" w:rsidP="00392FFF">
      <w:pPr>
        <w:pStyle w:val="Heading9"/>
      </w:pPr>
      <w:bookmarkStart w:id="467" w:name="_Toc456686793"/>
      <w:r w:rsidRPr="00E64828">
        <w:t>AER's assessment approach</w:t>
      </w:r>
      <w:bookmarkEnd w:id="467"/>
      <w:r>
        <w:t xml:space="preserve"> </w:t>
      </w:r>
    </w:p>
    <w:p w:rsidR="00392FFF" w:rsidRPr="00E64828" w:rsidRDefault="00392FFF" w:rsidP="00392FFF">
      <w:r w:rsidRPr="00E64828">
        <w:t>Our standard approach to forecasting debt raising costs is based on the approach in a report from the Allen Consulting Group (ACG), commissioned by the ACCC in 2004.</w:t>
      </w:r>
      <w:r>
        <w:rPr>
          <w:rStyle w:val="FootnoteReference"/>
        </w:rPr>
        <w:footnoteReference w:id="1615"/>
      </w:r>
      <w:r w:rsidRPr="00E64828">
        <w:t xml:space="preserve"> However, we relied on updated market data from 2008–13, as submitted in a recent report by PricewaterhouseCoopers (PwC) during the rate of return guideline process.</w:t>
      </w:r>
      <w:r>
        <w:rPr>
          <w:rStyle w:val="FootnoteReference"/>
        </w:rPr>
        <w:footnoteReference w:id="1616"/>
      </w:r>
      <w:r w:rsidRPr="00E64828">
        <w:t xml:space="preserve"> The approach uses a five year window of up to date bond data to reflect current market conditions. Where PwC has updated the data or the method, we have compared it against our standard approach and we are broadly satisfied it is reasonable.</w:t>
      </w:r>
    </w:p>
    <w:p w:rsidR="00392FFF" w:rsidRDefault="00392FFF" w:rsidP="00392FFF">
      <w:r w:rsidRPr="00E64828">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w:t>
      </w:r>
    </w:p>
    <w:p w:rsidR="00907E8E" w:rsidRDefault="00907E8E" w:rsidP="00EC7203">
      <w:pPr>
        <w:rPr>
          <w:rStyle w:val="AERbody"/>
        </w:rPr>
      </w:pPr>
    </w:p>
    <w:p w:rsidR="00F7725E" w:rsidRPr="006A0187" w:rsidRDefault="00F7725E" w:rsidP="00F7725E">
      <w:pPr>
        <w:pStyle w:val="Heading7"/>
      </w:pPr>
      <w:bookmarkStart w:id="468" w:name="_Ref456703498"/>
      <w:bookmarkStart w:id="469" w:name="_Toc481057116"/>
      <w:r>
        <w:t>Averaging periods - confidential appendix</w:t>
      </w:r>
      <w:bookmarkEnd w:id="468"/>
      <w:bookmarkEnd w:id="469"/>
    </w:p>
    <w:p w:rsidR="00F7725E" w:rsidRDefault="00F7725E" w:rsidP="00EC7203">
      <w:pPr>
        <w:rPr>
          <w:rStyle w:val="AERbody"/>
        </w:rPr>
      </w:pPr>
    </w:p>
    <w:sectPr w:rsidR="00F7725E" w:rsidSect="00EE50D1">
      <w:footerReference w:type="even" r:id="rId47"/>
      <w:footerReference w:type="default" r:id="rId48"/>
      <w:footerReference w:type="first" r:id="rId49"/>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6A0" w:rsidRPr="00290C63" w:rsidRDefault="00E636A0" w:rsidP="00290C63">
      <w:r>
        <w:separator/>
      </w:r>
    </w:p>
    <w:p w:rsidR="00E636A0" w:rsidRDefault="00E636A0"/>
  </w:endnote>
  <w:endnote w:type="continuationSeparator" w:id="0">
    <w:p w:rsidR="00E636A0" w:rsidRPr="00290C63" w:rsidRDefault="00E636A0" w:rsidP="00290C63">
      <w:r>
        <w:continuationSeparator/>
      </w:r>
    </w:p>
    <w:p w:rsidR="00E636A0" w:rsidRDefault="00E63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6A0" w:rsidRPr="00290C63" w:rsidRDefault="00E636A0"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E636A0" w:rsidRDefault="00E636A0"/>
  <w:p w:rsidR="00E636A0" w:rsidRDefault="00E636A0"/>
  <w:p w:rsidR="00E636A0" w:rsidRDefault="00E636A0"/>
  <w:p w:rsidR="00E636A0" w:rsidRDefault="00E636A0"/>
  <w:p w:rsidR="00E636A0" w:rsidRDefault="00E636A0"/>
  <w:p w:rsidR="00E636A0" w:rsidRDefault="00E636A0"/>
  <w:p w:rsidR="00E636A0" w:rsidRDefault="00E63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56972"/>
      <w:docPartObj>
        <w:docPartGallery w:val="Page Numbers (Bottom of Page)"/>
        <w:docPartUnique/>
      </w:docPartObj>
    </w:sdtPr>
    <w:sdtEndPr>
      <w:rPr>
        <w:noProof/>
        <w:szCs w:val="16"/>
      </w:rPr>
    </w:sdtEndPr>
    <w:sdtContent>
      <w:p w:rsidR="00E636A0" w:rsidRPr="009B6F84" w:rsidRDefault="00E636A0">
        <w:pPr>
          <w:pStyle w:val="Footer"/>
          <w:rPr>
            <w:sz w:val="20"/>
          </w:rPr>
        </w:pPr>
        <w:r>
          <w:fldChar w:fldCharType="begin"/>
        </w:r>
        <w:r>
          <w:instrText xml:space="preserve"> PAGE   \* MERGEFORMAT </w:instrText>
        </w:r>
        <w:r>
          <w:fldChar w:fldCharType="separate"/>
        </w:r>
        <w:r w:rsidR="004A6459">
          <w:rPr>
            <w:noProof/>
          </w:rPr>
          <w:t>3-0</w:t>
        </w:r>
        <w:r>
          <w:rPr>
            <w:noProof/>
          </w:rPr>
          <w:fldChar w:fldCharType="end"/>
        </w:r>
        <w:r>
          <w:rPr>
            <w:noProof/>
          </w:rPr>
          <w:t xml:space="preserve">  </w:t>
        </w:r>
        <w:r>
          <w:t>Attachment 9 – EBSS</w:t>
        </w:r>
        <w:r w:rsidRPr="004523B2">
          <w:t xml:space="preserve"> | </w:t>
        </w:r>
        <w:r>
          <w:t>TasNetworks distribution final determination</w:t>
        </w:r>
        <w:r w:rsidRPr="004523B2">
          <w:t xml:space="preserve"> 201</w:t>
        </w:r>
        <w:r>
          <w:t>7</w:t>
        </w:r>
        <w:r w:rsidRPr="004523B2">
          <w:t>–</w:t>
        </w:r>
        <w:r>
          <w:t>19</w:t>
        </w:r>
      </w:p>
    </w:sdtContent>
  </w:sdt>
  <w:p w:rsidR="00E636A0" w:rsidRDefault="00E636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6A0" w:rsidRPr="00290C63" w:rsidRDefault="00E636A0"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E636A0" w:rsidRDefault="00E636A0">
    <w:pPr>
      <w:pStyle w:val="Footer"/>
    </w:pPr>
  </w:p>
  <w:p w:rsidR="00E636A0" w:rsidRDefault="00E636A0"/>
  <w:p w:rsidR="00E636A0" w:rsidRDefault="00E636A0"/>
  <w:p w:rsidR="00E636A0" w:rsidRDefault="00E636A0"/>
  <w:p w:rsidR="00E636A0" w:rsidRDefault="00E636A0"/>
  <w:p w:rsidR="00E636A0" w:rsidRDefault="00E636A0"/>
  <w:p w:rsidR="00E636A0" w:rsidRDefault="00E636A0"/>
  <w:p w:rsidR="00E636A0" w:rsidRDefault="00E636A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6A0" w:rsidRPr="00290C63" w:rsidRDefault="00E636A0"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Pr>
        <w:rStyle w:val="PageNumber"/>
        <w:noProof/>
      </w:rPr>
      <w:t>3-415</w:t>
    </w:r>
    <w:r w:rsidRPr="00290C63">
      <w:rPr>
        <w:rStyle w:val="PageNumber"/>
      </w:rPr>
      <w:fldChar w:fldCharType="end"/>
    </w:r>
    <w:r w:rsidRPr="00290C63">
      <w:rPr>
        <w:rStyle w:val="PageNumber"/>
      </w:rPr>
      <w:tab/>
      <w:t>Xxx report—month/year</w:t>
    </w:r>
  </w:p>
  <w:p w:rsidR="00E636A0" w:rsidRDefault="00E636A0"/>
  <w:p w:rsidR="00E636A0" w:rsidRDefault="00E636A0"/>
  <w:p w:rsidR="00E636A0" w:rsidRDefault="00E636A0"/>
  <w:p w:rsidR="00E636A0" w:rsidRDefault="00E636A0"/>
  <w:p w:rsidR="00E636A0" w:rsidRDefault="00E636A0"/>
  <w:p w:rsidR="00E636A0" w:rsidRDefault="00E636A0"/>
  <w:p w:rsidR="00E636A0" w:rsidRDefault="00E636A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896070"/>
      <w:docPartObj>
        <w:docPartGallery w:val="Page Numbers (Bottom of Page)"/>
        <w:docPartUnique/>
      </w:docPartObj>
    </w:sdtPr>
    <w:sdtEndPr>
      <w:rPr>
        <w:noProof/>
      </w:rPr>
    </w:sdtEndPr>
    <w:sdtContent>
      <w:p w:rsidR="00E636A0" w:rsidRDefault="00E636A0" w:rsidP="00122F86">
        <w:pPr>
          <w:pStyle w:val="Footer"/>
        </w:pPr>
        <w:r>
          <w:fldChar w:fldCharType="begin"/>
        </w:r>
        <w:r>
          <w:instrText xml:space="preserve"> PAGE   \* MERGEFORMAT </w:instrText>
        </w:r>
        <w:r>
          <w:fldChar w:fldCharType="separate"/>
        </w:r>
        <w:r w:rsidR="004A6459">
          <w:rPr>
            <w:noProof/>
          </w:rPr>
          <w:t>3-402</w:t>
        </w:r>
        <w:r>
          <w:rPr>
            <w:noProof/>
          </w:rPr>
          <w:fldChar w:fldCharType="end"/>
        </w:r>
        <w:r>
          <w:rPr>
            <w:noProof/>
          </w:rPr>
          <w:t xml:space="preserve">          </w:t>
        </w:r>
        <w:r w:rsidRPr="00FD5E78">
          <w:rPr>
            <w:noProof/>
          </w:rPr>
          <w:t xml:space="preserve">Attachment </w:t>
        </w:r>
        <w:r>
          <w:rPr>
            <w:noProof/>
          </w:rPr>
          <w:t>3</w:t>
        </w:r>
        <w:r w:rsidRPr="00FD5E78">
          <w:rPr>
            <w:noProof/>
          </w:rPr>
          <w:t xml:space="preserve"> </w:t>
        </w:r>
        <w:r w:rsidRPr="00FD5E78">
          <w:rPr>
            <w:rFonts w:cs="Gautami"/>
            <w:noProof/>
          </w:rPr>
          <w:t xml:space="preserve">– </w:t>
        </w:r>
        <w:r>
          <w:t>Rate of return</w:t>
        </w:r>
        <w:r w:rsidRPr="00631982">
          <w:t xml:space="preserve"> </w:t>
        </w:r>
        <w:r w:rsidRPr="00FD5E78">
          <w:rPr>
            <w:rFonts w:cs="Gautami"/>
            <w:noProof/>
          </w:rPr>
          <w:t xml:space="preserve">| </w:t>
        </w:r>
        <w:r>
          <w:t>Final</w:t>
        </w:r>
        <w:r w:rsidRPr="00FD5E78">
          <w:rPr>
            <w:rFonts w:cs="Gautami"/>
            <w:noProof/>
          </w:rPr>
          <w:t xml:space="preserve"> decision</w:t>
        </w:r>
        <w:r>
          <w:rPr>
            <w:rFonts w:cs="Gautami"/>
            <w:noProof/>
          </w:rPr>
          <w:t>:</w:t>
        </w:r>
        <w:r w:rsidRPr="00FD5E78">
          <w:rPr>
            <w:rFonts w:cs="Gautami"/>
            <w:noProof/>
          </w:rPr>
          <w:t xml:space="preserve"> </w:t>
        </w:r>
        <w:r>
          <w:t>TasNetworks distribution</w:t>
        </w:r>
        <w:r w:rsidRPr="00FD5E78">
          <w:rPr>
            <w:rFonts w:cs="Gautami"/>
            <w:noProof/>
          </w:rPr>
          <w:t xml:space="preserve"> determination 201</w:t>
        </w:r>
        <w:r>
          <w:rPr>
            <w:rFonts w:cs="Gautami"/>
            <w:noProof/>
          </w:rPr>
          <w:t>7</w:t>
        </w:r>
        <w:r w:rsidRPr="00FD5E78">
          <w:rPr>
            <w:rFonts w:cs="Gautami"/>
            <w:noProof/>
          </w:rPr>
          <w:t>–</w:t>
        </w:r>
        <w:r>
          <w:t>19</w:t>
        </w:r>
      </w:p>
    </w:sdtContent>
  </w:sdt>
  <w:p w:rsidR="00E636A0" w:rsidRDefault="00E636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6A0" w:rsidRPr="00290C63" w:rsidRDefault="00E636A0"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Pr>
        <w:noProof/>
      </w:rPr>
      <w:t>3-415</w:t>
    </w:r>
    <w:r w:rsidRPr="00290C63">
      <w:fldChar w:fldCharType="end"/>
    </w:r>
  </w:p>
  <w:p w:rsidR="00E636A0" w:rsidRDefault="00E636A0">
    <w:pPr>
      <w:pStyle w:val="Footer"/>
    </w:pPr>
  </w:p>
  <w:p w:rsidR="00E636A0" w:rsidRDefault="00E636A0"/>
  <w:p w:rsidR="00E636A0" w:rsidRDefault="00E636A0"/>
  <w:p w:rsidR="00E636A0" w:rsidRDefault="00E636A0"/>
  <w:p w:rsidR="00E636A0" w:rsidRDefault="00E636A0"/>
  <w:p w:rsidR="00E636A0" w:rsidRDefault="00E636A0"/>
  <w:p w:rsidR="00E636A0" w:rsidRDefault="00E636A0"/>
  <w:p w:rsidR="00E636A0" w:rsidRDefault="00E636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6A0" w:rsidRPr="00290C63" w:rsidRDefault="00E636A0" w:rsidP="00290C63">
      <w:r>
        <w:separator/>
      </w:r>
    </w:p>
    <w:p w:rsidR="00E636A0" w:rsidRDefault="00E636A0"/>
  </w:footnote>
  <w:footnote w:type="continuationSeparator" w:id="0">
    <w:p w:rsidR="00E636A0" w:rsidRPr="00290C63" w:rsidRDefault="00E636A0" w:rsidP="00290C63">
      <w:r>
        <w:continuationSeparator/>
      </w:r>
    </w:p>
    <w:p w:rsidR="00E636A0" w:rsidRDefault="00E636A0"/>
  </w:footnote>
  <w:footnote w:id="1">
    <w:p w:rsidR="00E636A0" w:rsidRDefault="00E636A0" w:rsidP="00351675">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E636A0" w:rsidRDefault="00E636A0" w:rsidP="00A4740A">
      <w:pPr>
        <w:pStyle w:val="FootnoteText"/>
      </w:pPr>
      <w:r>
        <w:rPr>
          <w:rStyle w:val="FootnoteReference"/>
        </w:rPr>
        <w:footnoteRef/>
      </w:r>
      <w:r>
        <w:t xml:space="preserve"> </w:t>
      </w:r>
      <w:r>
        <w:tab/>
        <w:t xml:space="preserve">TasNetworks proposed to adopt the Guideline foundation model approach in its revenue proposal which we accepted in our draft decision. TasNetworks maintained its proposal in its revised revenue proposal. See TasNetworks, </w:t>
      </w:r>
      <w:r>
        <w:rPr>
          <w:rStyle w:val="AERtextitalic"/>
        </w:rPr>
        <w:t>Tasmanian Distribution Regulatory Proposal Regulatory Control Period 1 July 2017 to 30 June 2019</w:t>
      </w:r>
      <w:r>
        <w:t>, January 2016, p. 116–118; TasNetworks</w:t>
      </w:r>
      <w:r w:rsidRPr="00E91B81">
        <w:rPr>
          <w:rStyle w:val="AERtextitalic"/>
        </w:rPr>
        <w:t xml:space="preserve">, </w:t>
      </w:r>
      <w:r>
        <w:rPr>
          <w:rStyle w:val="AERtextitalic"/>
        </w:rPr>
        <w:t>Tasmanian Distribution Revised Regulatory Proposal Regulatory Control Period 1 July 2017 to 30 June 2019</w:t>
      </w:r>
      <w:r>
        <w:t xml:space="preserve">, December 2016, p. 7.  </w:t>
      </w:r>
    </w:p>
  </w:footnote>
  <w:footnote w:id="3">
    <w:p w:rsidR="00E636A0" w:rsidRDefault="00E636A0" w:rsidP="00351675">
      <w:pPr>
        <w:pStyle w:val="FootnoteText"/>
      </w:pPr>
      <w:r>
        <w:rPr>
          <w:rStyle w:val="FootnoteReference"/>
        </w:rPr>
        <w:footnoteRef/>
      </w:r>
      <w:r>
        <w:t xml:space="preserve"> </w:t>
      </w:r>
      <w:r>
        <w:tab/>
        <w:t>NER, cl. 6.5.2(b); cl. 6A.6.2(b); NGR, cl. 87(2).</w:t>
      </w:r>
    </w:p>
  </w:footnote>
  <w:footnote w:id="4">
    <w:p w:rsidR="00E636A0" w:rsidRDefault="00E636A0" w:rsidP="00351675">
      <w:pPr>
        <w:pStyle w:val="FootnoteText"/>
      </w:pPr>
      <w:r>
        <w:rPr>
          <w:rStyle w:val="FootnoteReference"/>
        </w:rPr>
        <w:footnoteRef/>
      </w:r>
      <w:r>
        <w:t xml:space="preserve"> </w:t>
      </w:r>
      <w:r>
        <w:tab/>
        <w:t>NER, cl. 6.5.2(c); cl. 6A.6.2(c); NGR, cl. 87(3).</w:t>
      </w:r>
    </w:p>
  </w:footnote>
  <w:footnote w:id="5">
    <w:p w:rsidR="00E636A0" w:rsidRDefault="00E636A0" w:rsidP="00351675">
      <w:pPr>
        <w:pStyle w:val="FootnoteText"/>
      </w:pPr>
      <w:r>
        <w:rPr>
          <w:rStyle w:val="FootnoteReference"/>
        </w:rPr>
        <w:footnoteRef/>
      </w:r>
      <w:r>
        <w:t xml:space="preserve"> </w:t>
      </w:r>
      <w:r>
        <w:tab/>
        <w:t>NER, cl. 6.5.2(d)(1) and (2); cl. 6A.6.2(d)(1) and (2); NGR, cl. 87(4).</w:t>
      </w:r>
    </w:p>
  </w:footnote>
  <w:footnote w:id="6">
    <w:p w:rsidR="00E636A0" w:rsidRDefault="00E636A0" w:rsidP="00351675">
      <w:pPr>
        <w:pStyle w:val="FootnoteText"/>
      </w:pPr>
      <w:r>
        <w:rPr>
          <w:rStyle w:val="FootnoteReference"/>
        </w:rPr>
        <w:footnoteRef/>
      </w:r>
      <w:r>
        <w:t xml:space="preserve"> </w:t>
      </w:r>
      <w:r>
        <w:tab/>
        <w:t>NER, cl. 6.5.2(b); NER, cl. 6A.6.2(b); NGR, r. 87(2).</w:t>
      </w:r>
    </w:p>
  </w:footnote>
  <w:footnote w:id="7">
    <w:p w:rsidR="00E636A0" w:rsidRDefault="00E636A0" w:rsidP="00351675">
      <w:pPr>
        <w:pStyle w:val="FootnoteText"/>
      </w:pPr>
      <w:r>
        <w:rPr>
          <w:rStyle w:val="FootnoteReference"/>
        </w:rPr>
        <w:footnoteRef/>
      </w:r>
      <w:r>
        <w:t xml:space="preserve"> </w:t>
      </w:r>
      <w:r>
        <w:tab/>
        <w:t>NEL, s.16; NGL, s. 28.</w:t>
      </w:r>
    </w:p>
  </w:footnote>
  <w:footnote w:id="8">
    <w:p w:rsidR="00E636A0" w:rsidRDefault="00E636A0" w:rsidP="00351675">
      <w:pPr>
        <w:pStyle w:val="FootnoteText"/>
      </w:pPr>
      <w:r>
        <w:rPr>
          <w:rStyle w:val="FootnoteReference"/>
        </w:rPr>
        <w:footnoteRef/>
      </w:r>
      <w:r>
        <w:t xml:space="preserve"> </w:t>
      </w:r>
      <w:r>
        <w:tab/>
      </w:r>
      <w:r w:rsidRPr="009F0978">
        <w:t xml:space="preserve">TasNetworks, </w:t>
      </w:r>
      <w:r w:rsidRPr="00E91B81">
        <w:rPr>
          <w:rStyle w:val="AERtextitalic"/>
        </w:rPr>
        <w:t>Tasmanian Distribution Regulatory Proposal Regulatory Control Period 1 July 2017 to 30 June 2019</w:t>
      </w:r>
      <w:r w:rsidRPr="009F0978">
        <w:t>, 29 January 2016, p. 117</w:t>
      </w:r>
      <w:r>
        <w:t>; TasNetworks</w:t>
      </w:r>
      <w:r w:rsidRPr="00E91B81">
        <w:rPr>
          <w:rStyle w:val="AERtextitalic"/>
        </w:rPr>
        <w:t xml:space="preserve">, </w:t>
      </w:r>
      <w:r>
        <w:rPr>
          <w:rStyle w:val="AERtextitalic"/>
        </w:rPr>
        <w:t>Tasmanian Distribution Revised Regulatory Proposal Regulatory Control Period 1 July 2017 to 30 June 2019</w:t>
      </w:r>
      <w:r>
        <w:t xml:space="preserve">, December 2016, p. 7. </w:t>
      </w:r>
    </w:p>
  </w:footnote>
  <w:footnote w:id="9">
    <w:p w:rsidR="00E636A0" w:rsidRDefault="00E636A0" w:rsidP="00351675">
      <w:pPr>
        <w:pStyle w:val="FootnoteText"/>
      </w:pPr>
      <w:r>
        <w:rPr>
          <w:rStyle w:val="FootnoteReference"/>
        </w:rPr>
        <w:footnoteRef/>
      </w:r>
      <w:r>
        <w:t xml:space="preserve"> </w:t>
      </w:r>
      <w:r>
        <w:tab/>
        <w:t xml:space="preserve">AER, </w:t>
      </w:r>
      <w:r>
        <w:rPr>
          <w:rStyle w:val="AERtextitalic"/>
        </w:rPr>
        <w:t>Final decision: United Energy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AusNet Services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Powercor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May 2016. Also see our most recent decisions on SA Power Networks, Ergon Energy and Energex.</w:t>
      </w:r>
    </w:p>
  </w:footnote>
  <w:footnote w:id="10">
    <w:p w:rsidR="00E636A0" w:rsidRDefault="00E636A0" w:rsidP="00351675">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1">
    <w:p w:rsidR="00E636A0" w:rsidRDefault="00E636A0" w:rsidP="00351675">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E636A0" w:rsidRDefault="00E636A0" w:rsidP="00351675">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w:t>
      </w:r>
    </w:p>
  </w:footnote>
  <w:footnote w:id="13">
    <w:p w:rsidR="00E636A0" w:rsidRDefault="00E636A0" w:rsidP="00351675">
      <w:pPr>
        <w:pStyle w:val="FootnoteText"/>
      </w:pPr>
      <w:r>
        <w:rPr>
          <w:rStyle w:val="FootnoteReference"/>
        </w:rPr>
        <w:footnoteRef/>
      </w:r>
      <w:r>
        <w:t xml:space="preserve">     This final decision determines the return on debt methodology for the 2017–22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14">
    <w:p w:rsidR="00E636A0" w:rsidRDefault="00E636A0" w:rsidP="00351675">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5">
    <w:p w:rsidR="00E636A0" w:rsidRDefault="00E636A0" w:rsidP="00351675">
      <w:pPr>
        <w:pStyle w:val="FootnoteText"/>
      </w:pPr>
      <w:r>
        <w:rPr>
          <w:rStyle w:val="FootnoteReference"/>
        </w:rPr>
        <w:footnoteRef/>
      </w:r>
      <w:r>
        <w:t xml:space="preserve"> </w:t>
      </w:r>
      <w:r>
        <w:tab/>
        <w:t xml:space="preserve">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 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6">
    <w:p w:rsidR="00E636A0" w:rsidRDefault="00E636A0" w:rsidP="00351675">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7">
    <w:p w:rsidR="00E636A0" w:rsidRDefault="00E636A0">
      <w:pPr>
        <w:pStyle w:val="FootnoteText"/>
      </w:pPr>
      <w:r>
        <w:rPr>
          <w:rStyle w:val="FootnoteReference"/>
        </w:rPr>
        <w:footnoteRef/>
      </w:r>
      <w:r>
        <w:t xml:space="preserve"> </w:t>
      </w:r>
      <w:r>
        <w:tab/>
        <w:t>Ausgrid, Endeavour Energy and Essential Energy</w:t>
      </w:r>
    </w:p>
  </w:footnote>
  <w:footnote w:id="18">
    <w:p w:rsidR="00E636A0" w:rsidRDefault="00E636A0">
      <w:pPr>
        <w:pStyle w:val="FootnoteText"/>
      </w:pPr>
      <w:r>
        <w:rPr>
          <w:rStyle w:val="FootnoteReference"/>
        </w:rPr>
        <w:footnoteRef/>
      </w:r>
      <w:r>
        <w:t xml:space="preserve"> </w:t>
      </w:r>
      <w:r>
        <w:tab/>
        <w:t xml:space="preserve">Australian Competition Tribunal, </w:t>
      </w:r>
      <w:r w:rsidRPr="005772E3">
        <w:rPr>
          <w:rStyle w:val="AERtextitalic"/>
        </w:rPr>
        <w:t>Applications by Public Interest Advocacy Centre Ltd and Ausgrid [2016] ACompT 1</w:t>
      </w:r>
      <w:r>
        <w:t>, 26 February 2016</w:t>
      </w:r>
    </w:p>
  </w:footnote>
  <w:footnote w:id="19">
    <w:p w:rsidR="00E636A0" w:rsidRDefault="00E636A0" w:rsidP="00351675">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20">
    <w:p w:rsidR="00E636A0" w:rsidRDefault="00E636A0" w:rsidP="00351675">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21">
    <w:p w:rsidR="00E636A0" w:rsidRDefault="00E636A0" w:rsidP="00351675">
      <w:pPr>
        <w:pStyle w:val="FootnoteText"/>
      </w:pPr>
      <w:r>
        <w:rPr>
          <w:rStyle w:val="FootnoteReference"/>
        </w:rPr>
        <w:footnoteRef/>
      </w:r>
      <w:r>
        <w:t xml:space="preserve"> </w:t>
      </w:r>
      <w:r>
        <w:tab/>
        <w:t>For clarity, that is 100% of the base rate and DRP components of the allowed return on debt.</w:t>
      </w:r>
    </w:p>
  </w:footnote>
  <w:footnote w:id="22">
    <w:p w:rsidR="00E636A0" w:rsidRDefault="00E636A0" w:rsidP="00351675">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3">
    <w:p w:rsidR="00E636A0" w:rsidRDefault="00E636A0">
      <w:pPr>
        <w:pStyle w:val="FootnoteText"/>
      </w:pPr>
      <w:r>
        <w:rPr>
          <w:rStyle w:val="FootnoteReference"/>
        </w:rPr>
        <w:footnoteRef/>
      </w:r>
      <w:r>
        <w:t xml:space="preserve"> </w:t>
      </w:r>
      <w:r>
        <w:tab/>
        <w:t xml:space="preserve">Australian Competition Tribunal, </w:t>
      </w:r>
      <w:r w:rsidRPr="006E5878">
        <w:rPr>
          <w:rStyle w:val="AERtextitalic"/>
        </w:rPr>
        <w:t>Application by SA Power Networks [2016] ACompT 11</w:t>
      </w:r>
      <w:r>
        <w:t>, 26 October 2016</w:t>
      </w:r>
    </w:p>
  </w:footnote>
  <w:footnote w:id="24">
    <w:p w:rsidR="00E636A0" w:rsidRDefault="00E636A0">
      <w:pPr>
        <w:pStyle w:val="FootnoteText"/>
      </w:pPr>
      <w:r>
        <w:rPr>
          <w:rStyle w:val="FootnoteReference"/>
        </w:rPr>
        <w:footnoteRef/>
      </w:r>
      <w:r>
        <w:t xml:space="preserve"> </w:t>
      </w:r>
      <w:r>
        <w:tab/>
      </w:r>
      <w:r w:rsidRPr="007938E5">
        <w:t>SA Power Networks ABN 13 332 330 749 v Australian Competition Tribunal &amp; Anor, Federal Court File Number NSD3032/2016.</w:t>
      </w:r>
    </w:p>
  </w:footnote>
  <w:footnote w:id="25">
    <w:p w:rsidR="00E636A0" w:rsidRDefault="00E636A0">
      <w:pPr>
        <w:pStyle w:val="FootnoteText"/>
      </w:pPr>
      <w:r>
        <w:rPr>
          <w:rStyle w:val="FootnoteReference"/>
        </w:rPr>
        <w:footnoteRef/>
      </w:r>
      <w:r>
        <w:t xml:space="preserve"> </w:t>
      </w:r>
      <w:r>
        <w:tab/>
      </w:r>
      <w:hyperlink r:id="rId1" w:history="1">
        <w:r w:rsidRPr="00841DC7">
          <w:rPr>
            <w:rStyle w:val="Hyperlink"/>
            <w:sz w:val="16"/>
          </w:rPr>
          <w:t>http://www.competitiontribunal.gov.au/current-matters/tribunal-documents/act-8-2016</w:t>
        </w:r>
      </w:hyperlink>
      <w:r>
        <w:t xml:space="preserve">; </w:t>
      </w:r>
      <w:hyperlink r:id="rId2" w:history="1">
        <w:r w:rsidRPr="00841DC7">
          <w:rPr>
            <w:rStyle w:val="Hyperlink"/>
            <w:sz w:val="16"/>
          </w:rPr>
          <w:t>http://www.competitiontribunal.gov.au/current-matters/tribunal-documents/act-6-2016</w:t>
        </w:r>
      </w:hyperlink>
      <w:r>
        <w:t xml:space="preserve">;  </w:t>
      </w:r>
    </w:p>
  </w:footnote>
  <w:footnote w:id="26">
    <w:p w:rsidR="00E636A0" w:rsidRDefault="00E636A0" w:rsidP="00351675">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23–24</w:t>
      </w:r>
      <w:r w:rsidRPr="002F39F8">
        <w:t>.</w:t>
      </w:r>
    </w:p>
  </w:footnote>
  <w:footnote w:id="27">
    <w:p w:rsidR="00E636A0" w:rsidRDefault="00E636A0" w:rsidP="00351675">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28">
    <w:p w:rsidR="00E636A0" w:rsidRDefault="00E636A0" w:rsidP="006E5878">
      <w:pPr>
        <w:pStyle w:val="FootnoteText"/>
      </w:pPr>
      <w:r>
        <w:rPr>
          <w:rStyle w:val="FootnoteReference"/>
        </w:rPr>
        <w:footnoteRef/>
      </w:r>
      <w:r>
        <w:t xml:space="preserve"> </w:t>
      </w:r>
      <w:r>
        <w:tab/>
      </w:r>
      <w:r w:rsidRPr="005379ED">
        <w:t xml:space="preserve">AusNet Services, </w:t>
      </w:r>
      <w:r w:rsidRPr="005379ED">
        <w:rPr>
          <w:rStyle w:val="AERtextitalic"/>
        </w:rPr>
        <w:t>Revised regulatory proposal</w:t>
      </w:r>
      <w:r w:rsidRPr="005379ED">
        <w:t>, January 2016, pp. 7-34–7-35</w:t>
      </w:r>
      <w:r w:rsidRPr="00C57C95">
        <w:t xml:space="preserve">; </w:t>
      </w:r>
      <w:r w:rsidRPr="005379ED">
        <w:t xml:space="preserve">CitiPower, </w:t>
      </w:r>
      <w:r w:rsidRPr="005379ED">
        <w:rPr>
          <w:rStyle w:val="AERtextitalic"/>
        </w:rPr>
        <w:t>Revised regulatory proposal</w:t>
      </w:r>
      <w:r w:rsidRPr="005379ED">
        <w:t>, January 2016, pp. 346–347</w:t>
      </w:r>
      <w:r w:rsidRPr="00C57C95">
        <w:t>;</w:t>
      </w:r>
      <w:r>
        <w:t xml:space="preserve"> and, </w:t>
      </w:r>
      <w:r w:rsidRPr="005379ED">
        <w:t xml:space="preserve">Powercor, </w:t>
      </w:r>
      <w:r w:rsidRPr="005379ED">
        <w:rPr>
          <w:rStyle w:val="AERtextitalic"/>
        </w:rPr>
        <w:t>Revised regulatory proposal</w:t>
      </w:r>
      <w:r w:rsidRPr="005379ED">
        <w:t>, January 2016, pp. 340–341</w:t>
      </w:r>
    </w:p>
    <w:p w:rsidR="00E636A0" w:rsidRDefault="00E636A0">
      <w:pPr>
        <w:pStyle w:val="FootnoteText"/>
      </w:pPr>
    </w:p>
  </w:footnote>
  <w:footnote w:id="29">
    <w:p w:rsidR="00E636A0" w:rsidRDefault="00E636A0" w:rsidP="00232F6B">
      <w:pPr>
        <w:pStyle w:val="FootnoteText"/>
      </w:pPr>
      <w:r>
        <w:rPr>
          <w:rStyle w:val="FootnoteReference"/>
        </w:rPr>
        <w:footnoteRef/>
      </w:r>
      <w:r>
        <w:t xml:space="preserve"> </w:t>
      </w:r>
      <w:r>
        <w:tab/>
      </w:r>
      <w:r w:rsidRPr="009F0978">
        <w:t xml:space="preserve">TasNetworks, </w:t>
      </w:r>
      <w:r w:rsidRPr="00E91B81">
        <w:rPr>
          <w:rStyle w:val="AERtextitalic"/>
        </w:rPr>
        <w:t>Tasmanian Distribution Regulatory Proposal Regulatory Control Period 1 July 2017 to 30 June 2019</w:t>
      </w:r>
      <w:r w:rsidRPr="009F0978">
        <w:t>, 29 January 2016, p. 117</w:t>
      </w:r>
      <w:r>
        <w:t>; TasNetworks</w:t>
      </w:r>
      <w:r w:rsidRPr="00E91B81">
        <w:rPr>
          <w:rStyle w:val="AERtextitalic"/>
        </w:rPr>
        <w:t xml:space="preserve">, </w:t>
      </w:r>
      <w:r>
        <w:rPr>
          <w:rStyle w:val="AERtextitalic"/>
        </w:rPr>
        <w:t>Tasmanian Distribution Revised Regulatory Proposal Regulatory Control Period 1 July 2017 to 30 June 2019</w:t>
      </w:r>
      <w:r>
        <w:t>, December 2016, p. 7.</w:t>
      </w:r>
    </w:p>
  </w:footnote>
  <w:footnote w:id="30">
    <w:p w:rsidR="00E636A0" w:rsidRDefault="00E636A0" w:rsidP="00232F6B">
      <w:pPr>
        <w:pStyle w:val="FootnoteText"/>
      </w:pPr>
      <w:r>
        <w:rPr>
          <w:rStyle w:val="FootnoteReference"/>
        </w:rPr>
        <w:footnoteRef/>
      </w:r>
      <w:r>
        <w:t xml:space="preserve"> </w:t>
      </w:r>
      <w:r>
        <w:tab/>
        <w:t>TasNetworks</w:t>
      </w:r>
      <w:r w:rsidRPr="00E91B81">
        <w:rPr>
          <w:rStyle w:val="AERtextitalic"/>
        </w:rPr>
        <w:t xml:space="preserve">, </w:t>
      </w:r>
      <w:r>
        <w:rPr>
          <w:rStyle w:val="AERtextitalic"/>
        </w:rPr>
        <w:t>Tasmanian Distribution Revised Regulatory Proposal Regulatory Control Period 1 July 2017 to 30 June 2019</w:t>
      </w:r>
      <w:r>
        <w:t>, December 2016, p. 7.</w:t>
      </w:r>
    </w:p>
  </w:footnote>
  <w:footnote w:id="31">
    <w:p w:rsidR="00E636A0" w:rsidRDefault="00E636A0" w:rsidP="004926A0">
      <w:pPr>
        <w:pStyle w:val="FootnoteText"/>
      </w:pPr>
      <w:r>
        <w:rPr>
          <w:rStyle w:val="FootnoteReference"/>
        </w:rPr>
        <w:footnoteRef/>
      </w:r>
      <w:r>
        <w:t xml:space="preserve"> </w:t>
      </w:r>
      <w:r>
        <w:tab/>
        <w:t xml:space="preserve"> </w:t>
      </w:r>
      <w:r w:rsidRPr="009F0978">
        <w:t xml:space="preserve">TasNetworks, </w:t>
      </w:r>
      <w:r w:rsidRPr="00E91B81">
        <w:rPr>
          <w:rStyle w:val="AERtextitalic"/>
        </w:rPr>
        <w:t>Tasmanian Distribution Regulatory Proposal Regulatory Control Period 1 July 2017 to 30 June 2019</w:t>
      </w:r>
      <w:r w:rsidRPr="009F0978">
        <w:t>, 29 January 2016, p. 117</w:t>
      </w:r>
      <w:r>
        <w:t>; TasNetworks</w:t>
      </w:r>
      <w:r w:rsidRPr="00E91B81">
        <w:rPr>
          <w:rStyle w:val="AERtextitalic"/>
        </w:rPr>
        <w:t xml:space="preserve">, </w:t>
      </w:r>
      <w:r>
        <w:rPr>
          <w:rStyle w:val="AERtextitalic"/>
        </w:rPr>
        <w:t>Tasmanian Distribution Revised Regulatory Proposal Regulatory Control Period 1 July 2017 to 30 June 2019</w:t>
      </w:r>
      <w:r>
        <w:t>, December 2016, p. 7.</w:t>
      </w:r>
    </w:p>
    <w:p w:rsidR="00E636A0" w:rsidRDefault="00E636A0" w:rsidP="006E5878">
      <w:pPr>
        <w:pStyle w:val="FootnoteText"/>
        <w:ind w:left="0" w:firstLine="0"/>
      </w:pPr>
    </w:p>
    <w:p w:rsidR="00E636A0" w:rsidRDefault="00E636A0" w:rsidP="004926A0">
      <w:pPr>
        <w:pStyle w:val="FootnoteText"/>
      </w:pPr>
    </w:p>
  </w:footnote>
  <w:footnote w:id="32">
    <w:p w:rsidR="00E636A0" w:rsidRDefault="00E636A0" w:rsidP="004926A0">
      <w:pPr>
        <w:pStyle w:val="FootnoteText"/>
      </w:pPr>
      <w:r>
        <w:rPr>
          <w:rStyle w:val="FootnoteReference"/>
        </w:rPr>
        <w:footnoteRef/>
      </w:r>
      <w:r>
        <w:t xml:space="preserve"> </w:t>
      </w:r>
      <w:r>
        <w:tab/>
      </w:r>
      <w:r w:rsidRPr="00E91B81">
        <w:rPr>
          <w:rStyle w:val="AERtextitalic"/>
        </w:rPr>
        <w:t xml:space="preserve"> </w:t>
      </w:r>
      <w:r w:rsidRPr="009F0978">
        <w:t xml:space="preserve">TasNetworks, </w:t>
      </w:r>
      <w:r w:rsidRPr="00E91B81">
        <w:rPr>
          <w:rStyle w:val="AERtextitalic"/>
        </w:rPr>
        <w:t>Tasmanian Distribution Regulatory Proposal Regulatory Control Period 1 July 2017 to 30 June 2019</w:t>
      </w:r>
      <w:r w:rsidRPr="009F0978">
        <w:t>, 29 January 2016, p. 117</w:t>
      </w:r>
      <w:r>
        <w:t>; TasNetworks</w:t>
      </w:r>
      <w:r w:rsidRPr="00E91B81">
        <w:rPr>
          <w:rStyle w:val="AERtextitalic"/>
        </w:rPr>
        <w:t xml:space="preserve">, </w:t>
      </w:r>
      <w:r>
        <w:rPr>
          <w:rStyle w:val="AERtextitalic"/>
        </w:rPr>
        <w:t>Tasmanian Distribution Revised Regulatory Proposal Regulatory Control Period 1 July 2017 to 30 June 2019</w:t>
      </w:r>
      <w:r>
        <w:t>, December 2016, p. 7.</w:t>
      </w:r>
    </w:p>
    <w:p w:rsidR="00E636A0" w:rsidRDefault="00E636A0" w:rsidP="004926A0">
      <w:pPr>
        <w:pStyle w:val="FootnoteText"/>
      </w:pPr>
    </w:p>
    <w:p w:rsidR="00E636A0" w:rsidRDefault="00E636A0" w:rsidP="004926A0">
      <w:pPr>
        <w:pStyle w:val="FootnoteText"/>
      </w:pPr>
    </w:p>
  </w:footnote>
  <w:footnote w:id="33">
    <w:p w:rsidR="00E636A0" w:rsidRDefault="00E636A0" w:rsidP="00F90257">
      <w:pPr>
        <w:pStyle w:val="FootnoteText"/>
      </w:pPr>
      <w:r>
        <w:rPr>
          <w:rStyle w:val="FootnoteReference"/>
        </w:rPr>
        <w:footnoteRef/>
      </w:r>
      <w:r>
        <w:t xml:space="preserve"> </w:t>
      </w:r>
      <w:r>
        <w:tab/>
        <w:t>NEL, s. 16(1)(a), NGL, s. 23.</w:t>
      </w:r>
    </w:p>
  </w:footnote>
  <w:footnote w:id="34">
    <w:p w:rsidR="00E636A0" w:rsidRDefault="00E636A0" w:rsidP="00F90257">
      <w:pPr>
        <w:pStyle w:val="FootnoteText"/>
      </w:pPr>
      <w:r>
        <w:rPr>
          <w:rStyle w:val="FootnoteReference"/>
        </w:rPr>
        <w:footnoteRef/>
      </w:r>
      <w:r>
        <w:t xml:space="preserve"> </w:t>
      </w:r>
      <w:r>
        <w:tab/>
        <w:t>NEL, s. 16(2); NGL, s. 28(2)(a)(i).</w:t>
      </w:r>
    </w:p>
  </w:footnote>
  <w:footnote w:id="35">
    <w:p w:rsidR="00E636A0" w:rsidRDefault="00E636A0" w:rsidP="00F90257">
      <w:pPr>
        <w:pStyle w:val="FootnoteText"/>
      </w:pPr>
      <w:r>
        <w:rPr>
          <w:rStyle w:val="FootnoteReference"/>
        </w:rPr>
        <w:footnoteRef/>
      </w:r>
      <w:r>
        <w:t xml:space="preserve"> </w:t>
      </w:r>
      <w:r>
        <w:tab/>
        <w:t>NEL, s. 7A(2); NGL, s. 24(2)(a).</w:t>
      </w:r>
    </w:p>
  </w:footnote>
  <w:footnote w:id="36">
    <w:p w:rsidR="00E636A0" w:rsidRDefault="00E636A0" w:rsidP="00F90257">
      <w:pPr>
        <w:pStyle w:val="FootnoteText"/>
      </w:pPr>
      <w:r>
        <w:rPr>
          <w:rStyle w:val="FootnoteReference"/>
        </w:rPr>
        <w:footnoteRef/>
      </w:r>
      <w:r>
        <w:t xml:space="preserve"> </w:t>
      </w:r>
      <w:r>
        <w:tab/>
        <w:t>NEL, s. 7A(3);</w:t>
      </w:r>
      <w:r w:rsidRPr="0016130C">
        <w:t xml:space="preserve"> </w:t>
      </w:r>
      <w:r>
        <w:t>NGL, s. 24(3).</w:t>
      </w:r>
    </w:p>
  </w:footnote>
  <w:footnote w:id="37">
    <w:p w:rsidR="00E636A0" w:rsidRDefault="00E636A0" w:rsidP="00F90257">
      <w:pPr>
        <w:pStyle w:val="FootnoteText"/>
      </w:pPr>
      <w:r>
        <w:rPr>
          <w:rStyle w:val="FootnoteReference"/>
        </w:rPr>
        <w:footnoteRef/>
      </w:r>
      <w:r>
        <w:t xml:space="preserve"> </w:t>
      </w:r>
      <w:r>
        <w:tab/>
        <w:t>NEL, s. 7A(5); NGL, s. 24(5).</w:t>
      </w:r>
    </w:p>
  </w:footnote>
  <w:footnote w:id="38">
    <w:p w:rsidR="00E636A0" w:rsidRDefault="00E636A0" w:rsidP="00F90257">
      <w:pPr>
        <w:pStyle w:val="FootnoteText"/>
      </w:pPr>
      <w:r>
        <w:rPr>
          <w:rStyle w:val="FootnoteReference"/>
        </w:rPr>
        <w:footnoteRef/>
      </w:r>
      <w:r>
        <w:t xml:space="preserve"> </w:t>
      </w:r>
      <w:r>
        <w:tab/>
        <w:t>NEL, s. 7A(6); NGL, s. 24(6).</w:t>
      </w:r>
    </w:p>
  </w:footnote>
  <w:footnote w:id="39">
    <w:p w:rsidR="00E636A0" w:rsidRDefault="00E636A0" w:rsidP="00F90257">
      <w:pPr>
        <w:pStyle w:val="FootnoteText"/>
      </w:pPr>
      <w:r>
        <w:rPr>
          <w:rStyle w:val="FootnoteReference"/>
        </w:rPr>
        <w:footnoteRef/>
      </w:r>
      <w:r>
        <w:t xml:space="preserve"> </w:t>
      </w:r>
      <w:r>
        <w:tab/>
        <w:t>NEL, s. 7A(7); NGL, s. 24(7).</w:t>
      </w:r>
    </w:p>
  </w:footnote>
  <w:footnote w:id="40">
    <w:p w:rsidR="00E636A0" w:rsidRPr="00D5405B" w:rsidRDefault="00E636A0" w:rsidP="00F90257">
      <w:pPr>
        <w:pStyle w:val="FootnoteText"/>
        <w:rPr>
          <w:rStyle w:val="AERtexthighlight"/>
        </w:rPr>
      </w:pPr>
      <w:r>
        <w:rPr>
          <w:rStyle w:val="FootnoteReference"/>
        </w:rPr>
        <w:footnoteRef/>
      </w:r>
      <w:r>
        <w:t xml:space="preserve"> </w:t>
      </w:r>
      <w:r>
        <w:tab/>
        <w:t>NER, cl. 6.5.2(d); NER, cl. 6A.6.2(d); NGR, r, 87(4).</w:t>
      </w:r>
    </w:p>
  </w:footnote>
  <w:footnote w:id="41">
    <w:p w:rsidR="00E636A0" w:rsidRDefault="00E636A0" w:rsidP="00F90257">
      <w:pPr>
        <w:pStyle w:val="FootnoteText"/>
      </w:pPr>
      <w:r>
        <w:rPr>
          <w:rStyle w:val="FootnoteReference"/>
        </w:rPr>
        <w:footnoteRef/>
      </w:r>
      <w:r>
        <w:t xml:space="preserve"> </w:t>
      </w:r>
      <w:r>
        <w:tab/>
        <w:t>NER, cl. 6.5.2(e), NER cl, 6A.6.2(e); NGR, r. 87(5).</w:t>
      </w:r>
    </w:p>
  </w:footnote>
  <w:footnote w:id="42">
    <w:p w:rsidR="00E636A0" w:rsidRDefault="00E636A0" w:rsidP="00F90257">
      <w:pPr>
        <w:pStyle w:val="FootnoteText"/>
      </w:pPr>
      <w:r>
        <w:rPr>
          <w:rStyle w:val="FootnoteReference"/>
        </w:rPr>
        <w:footnoteRef/>
      </w:r>
      <w:r>
        <w:t xml:space="preserve"> </w:t>
      </w:r>
      <w:r>
        <w:tab/>
        <w:t>NER, cl  6.5.2</w:t>
      </w:r>
      <w:r w:rsidRPr="00A7067C">
        <w:t>(g)</w:t>
      </w:r>
      <w:r>
        <w:t xml:space="preserve">; NER, cl 6A.6.2(g); NGR, r. 87 (7). </w:t>
      </w:r>
    </w:p>
  </w:footnote>
  <w:footnote w:id="43">
    <w:p w:rsidR="00E636A0" w:rsidRDefault="00E636A0" w:rsidP="00F90257">
      <w:pPr>
        <w:pStyle w:val="FootnoteText"/>
      </w:pPr>
      <w:r>
        <w:rPr>
          <w:rStyle w:val="FootnoteReference"/>
        </w:rPr>
        <w:footnoteRef/>
      </w:r>
      <w:r>
        <w:t xml:space="preserve"> </w:t>
      </w:r>
      <w:r>
        <w:tab/>
        <w:t xml:space="preserve">NER, cl. 6.5.2 (h); NER, cl. 6A.6.2(h); NGR, cl. 87(8). </w:t>
      </w:r>
    </w:p>
  </w:footnote>
  <w:footnote w:id="44">
    <w:p w:rsidR="00E636A0" w:rsidRDefault="00E636A0" w:rsidP="00F90257">
      <w:pPr>
        <w:pStyle w:val="FootnoteText"/>
      </w:pPr>
      <w:r>
        <w:rPr>
          <w:rStyle w:val="FootnoteReference"/>
        </w:rPr>
        <w:footnoteRef/>
      </w:r>
      <w:r>
        <w:t xml:space="preserve"> </w:t>
      </w:r>
      <w:r>
        <w:tab/>
        <w:t>NER, cl. 6.5.2 (i); NER, cl. 6A.6.2(i)(2); NGR, cl. 87(9)(b).</w:t>
      </w:r>
    </w:p>
  </w:footnote>
  <w:footnote w:id="45">
    <w:p w:rsidR="00E636A0" w:rsidRDefault="00E636A0" w:rsidP="00F90257">
      <w:pPr>
        <w:pStyle w:val="FootnoteText"/>
      </w:pPr>
      <w:r>
        <w:rPr>
          <w:rStyle w:val="FootnoteReference"/>
        </w:rPr>
        <w:footnoteRef/>
      </w:r>
      <w:r>
        <w:t xml:space="preserve"> </w:t>
      </w:r>
      <w:r>
        <w:tab/>
        <w:t>NER, cl. 6.5.2 (k)(4); NER, cl. 6A.6.2(k)(4); NGR, cl. 87(11)(d).</w:t>
      </w:r>
    </w:p>
  </w:footnote>
  <w:footnote w:id="46">
    <w:p w:rsidR="00E636A0" w:rsidRDefault="00E636A0" w:rsidP="00F90257">
      <w:pPr>
        <w:pStyle w:val="FootnoteText"/>
      </w:pPr>
      <w:r>
        <w:rPr>
          <w:rStyle w:val="FootnoteReference"/>
        </w:rPr>
        <w:footnoteRef/>
      </w:r>
      <w:r>
        <w:t xml:space="preserve"> </w:t>
      </w:r>
      <w:r>
        <w:tab/>
        <w:t xml:space="preserve">NER, cl. 6.5.2(c); NER, cl. 6A.6.2(c); NGR r. 87(3). </w:t>
      </w:r>
    </w:p>
  </w:footnote>
  <w:footnote w:id="47">
    <w:p w:rsidR="00E636A0" w:rsidRDefault="00E636A0" w:rsidP="00F90257">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48">
    <w:p w:rsidR="00E636A0" w:rsidRDefault="00E636A0" w:rsidP="00F90257">
      <w:pPr>
        <w:pStyle w:val="FootnoteText"/>
      </w:pPr>
      <w:r>
        <w:rPr>
          <w:rStyle w:val="FootnoteReference"/>
        </w:rPr>
        <w:footnoteRef/>
      </w:r>
      <w:r>
        <w:t xml:space="preserve"> </w:t>
      </w:r>
      <w:r>
        <w:tab/>
        <w:t>See section H.2.1 of appendix H.</w:t>
      </w:r>
    </w:p>
  </w:footnote>
  <w:footnote w:id="49">
    <w:p w:rsidR="00E636A0" w:rsidRDefault="00E636A0" w:rsidP="00F90257">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0">
    <w:p w:rsidR="00E636A0" w:rsidRDefault="00E636A0" w:rsidP="00F90257">
      <w:pPr>
        <w:pStyle w:val="FootnoteText"/>
      </w:pPr>
      <w:r>
        <w:rPr>
          <w:rStyle w:val="FootnoteReference"/>
        </w:rPr>
        <w:footnoteRef/>
      </w:r>
      <w:r>
        <w:t xml:space="preserve"> </w:t>
      </w:r>
      <w:r>
        <w:tab/>
        <w:t xml:space="preserve">This includes both new and existing investment. </w:t>
      </w:r>
    </w:p>
  </w:footnote>
  <w:footnote w:id="51">
    <w:p w:rsidR="00E636A0" w:rsidRDefault="00E636A0" w:rsidP="00F90257">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52">
    <w:p w:rsidR="00E636A0" w:rsidRDefault="00E636A0" w:rsidP="00E20018">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53">
    <w:p w:rsidR="00E636A0" w:rsidRDefault="00E636A0"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4">
    <w:p w:rsidR="00E636A0" w:rsidRDefault="00E636A0" w:rsidP="00E20018">
      <w:pPr>
        <w:pStyle w:val="FootnoteText"/>
      </w:pPr>
      <w:r>
        <w:rPr>
          <w:rStyle w:val="FootnoteReference"/>
        </w:rPr>
        <w:footnoteRef/>
      </w:r>
      <w:r>
        <w:t xml:space="preserve"> </w:t>
      </w:r>
      <w:r>
        <w:tab/>
        <w:t xml:space="preserve">See sections 1.1 and 2.1 of appendix </w:t>
      </w:r>
      <w:r>
        <w:fldChar w:fldCharType="begin"/>
      </w:r>
      <w:r>
        <w:instrText xml:space="preserve"> REF _Ref479170782 \r \h </w:instrText>
      </w:r>
      <w:r>
        <w:fldChar w:fldCharType="separate"/>
      </w:r>
      <w:r>
        <w:t>H</w:t>
      </w:r>
      <w:r>
        <w:fldChar w:fldCharType="end"/>
      </w:r>
      <w:r>
        <w:t>.</w:t>
      </w:r>
    </w:p>
  </w:footnote>
  <w:footnote w:id="55">
    <w:p w:rsidR="00E636A0" w:rsidRDefault="00E636A0" w:rsidP="00E2001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6">
    <w:p w:rsidR="00E636A0" w:rsidRDefault="00E636A0" w:rsidP="00E20018">
      <w:pPr>
        <w:pStyle w:val="FootnoteText"/>
      </w:pPr>
      <w:r>
        <w:rPr>
          <w:rStyle w:val="FootnoteReference"/>
        </w:rPr>
        <w:footnoteRef/>
      </w:r>
      <w:r>
        <w:t xml:space="preserve"> </w:t>
      </w:r>
      <w:r>
        <w:tab/>
        <w:t>Bishop, S., Faff, R., Oliver, B., Twite, G., 'Corporate Finance', Ed. 5 Pearson Prentice Hall, 2004, p. 577.</w:t>
      </w:r>
    </w:p>
  </w:footnote>
  <w:footnote w:id="57">
    <w:p w:rsidR="00E636A0" w:rsidRDefault="00E636A0"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58">
    <w:p w:rsidR="00E636A0" w:rsidRDefault="00E636A0" w:rsidP="00E20018">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59">
    <w:p w:rsidR="00E636A0" w:rsidRDefault="00E636A0" w:rsidP="00E20018">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60">
    <w:p w:rsidR="00E636A0" w:rsidRDefault="00E636A0"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1">
    <w:p w:rsidR="00E636A0" w:rsidRDefault="00E636A0" w:rsidP="00E20018">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62">
    <w:p w:rsidR="00E636A0" w:rsidRDefault="00E636A0" w:rsidP="00E20018">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63">
    <w:p w:rsidR="00E636A0" w:rsidRDefault="00E636A0" w:rsidP="00E20018">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64">
    <w:p w:rsidR="00E636A0" w:rsidRDefault="00E636A0" w:rsidP="00E20018">
      <w:pPr>
        <w:pStyle w:val="FootnoteText"/>
      </w:pPr>
      <w:r>
        <w:rPr>
          <w:rStyle w:val="FootnoteReference"/>
        </w:rPr>
        <w:footnoteRef/>
      </w:r>
      <w:r>
        <w:t xml:space="preserve"> </w:t>
      </w:r>
      <w:r>
        <w:tab/>
      </w:r>
      <w:r w:rsidRPr="007D32F9">
        <w:t>NER, cl</w:t>
      </w:r>
      <w:r>
        <w:t>l</w:t>
      </w:r>
      <w:r w:rsidRPr="007D32F9">
        <w:t>. 6.5.2(c), 6A.6.2(c); NGR, r. 87(2)(3).</w:t>
      </w:r>
    </w:p>
  </w:footnote>
  <w:footnote w:id="65">
    <w:p w:rsidR="00E636A0" w:rsidRPr="00151C8A" w:rsidRDefault="00E636A0" w:rsidP="00E20018">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6">
    <w:p w:rsidR="00E636A0" w:rsidRDefault="00E636A0" w:rsidP="00E20018">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67">
    <w:p w:rsidR="00E636A0" w:rsidRDefault="00E636A0" w:rsidP="00E20018">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68">
    <w:p w:rsidR="00E636A0" w:rsidRDefault="00E636A0" w:rsidP="00E20018">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69">
    <w:p w:rsidR="00E636A0" w:rsidRDefault="00E636A0" w:rsidP="00836286">
      <w:pPr>
        <w:pStyle w:val="FootnoteText"/>
      </w:pPr>
      <w:r>
        <w:rPr>
          <w:rStyle w:val="FootnoteReference"/>
        </w:rPr>
        <w:footnoteRef/>
      </w:r>
      <w:r>
        <w:t xml:space="preserve"> </w:t>
      </w:r>
      <w:r>
        <w:tab/>
        <w:t xml:space="preserve">See NER cl. 6A.6.2(c). Instead of 'prescribed transmission services', the distribution rules refer to 'standard control services' and the NGR refers to 'reference services'. See NER, cl. 6.5.2(c), NGR r. 87(3). </w:t>
      </w:r>
    </w:p>
  </w:footnote>
  <w:footnote w:id="70">
    <w:p w:rsidR="00E636A0" w:rsidRDefault="00E636A0" w:rsidP="00836286">
      <w:pPr>
        <w:pStyle w:val="FootnoteText"/>
      </w:pPr>
      <w:r>
        <w:rPr>
          <w:rStyle w:val="FootnoteReference"/>
        </w:rPr>
        <w:footnoteRef/>
      </w:r>
      <w:r>
        <w:t xml:space="preserve"> </w:t>
      </w:r>
      <w:r>
        <w:tab/>
        <w:t>See NER v. 79, Chapter 10: 'Glossary', p. 1224. The NER describes 'prescribed transmission services under NER v. 79, Chapter 10: 'Glossary', p. 1201.</w:t>
      </w:r>
    </w:p>
  </w:footnote>
  <w:footnote w:id="71">
    <w:p w:rsidR="00E636A0" w:rsidRDefault="00E636A0" w:rsidP="00836286">
      <w:pPr>
        <w:pStyle w:val="FootnoteText"/>
      </w:pPr>
      <w:r>
        <w:rPr>
          <w:rStyle w:val="FootnoteReference"/>
        </w:rPr>
        <w:footnoteRef/>
      </w:r>
      <w:r>
        <w:t xml:space="preserve"> </w:t>
      </w:r>
      <w:r>
        <w:tab/>
        <w:t>NER v. 79, Chapter 10: 'Glossary', p. 1151.</w:t>
      </w:r>
    </w:p>
  </w:footnote>
  <w:footnote w:id="72">
    <w:p w:rsidR="00E636A0" w:rsidRDefault="00E636A0" w:rsidP="00836286">
      <w:pPr>
        <w:pStyle w:val="FootnoteText"/>
      </w:pPr>
      <w:r>
        <w:rPr>
          <w:rStyle w:val="FootnoteReference"/>
        </w:rPr>
        <w:footnoteRef/>
      </w:r>
      <w:r>
        <w:t xml:space="preserve"> </w:t>
      </w:r>
      <w:r>
        <w:tab/>
        <w:t>NEL, s. 2B.</w:t>
      </w:r>
    </w:p>
  </w:footnote>
  <w:footnote w:id="73">
    <w:p w:rsidR="00E636A0" w:rsidRDefault="00E636A0" w:rsidP="00E20018">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74">
    <w:p w:rsidR="00E636A0" w:rsidRDefault="00E636A0" w:rsidP="00E20018">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75">
    <w:p w:rsidR="00E636A0" w:rsidRDefault="00E636A0" w:rsidP="00E20018">
      <w:pPr>
        <w:pStyle w:val="FootnoteText"/>
      </w:pPr>
      <w:r>
        <w:rPr>
          <w:rStyle w:val="FootnoteReference"/>
        </w:rPr>
        <w:footnoteRef/>
      </w:r>
      <w:r>
        <w:t xml:space="preserve"> </w:t>
      </w:r>
      <w:r>
        <w:tab/>
        <w:t>Bishop, S., Faff, R., Oliver, B., Twite, G., 'Corporate Finance', Ed. 5 Pearson Prentice Hall, 2004, p. 577.</w:t>
      </w:r>
    </w:p>
  </w:footnote>
  <w:footnote w:id="76">
    <w:p w:rsidR="00E636A0" w:rsidRDefault="00E636A0"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77">
    <w:p w:rsidR="00E636A0" w:rsidRDefault="00E636A0"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78">
    <w:p w:rsidR="00E636A0" w:rsidRDefault="00E636A0" w:rsidP="00E20018">
      <w:pPr>
        <w:pStyle w:val="FootnoteText"/>
      </w:pPr>
      <w:r>
        <w:rPr>
          <w:rStyle w:val="FootnoteReference"/>
        </w:rPr>
        <w:footnoteRef/>
      </w:r>
      <w:r>
        <w:t xml:space="preserve"> </w:t>
      </w:r>
      <w:r>
        <w:tab/>
        <w:t>Brealey, R., Myers, S., Allen, F., 'Principles of corporate finance', 2011, Ed. 10, McGraw-Hill Irwin, Figure 8.2, p. 187.</w:t>
      </w:r>
    </w:p>
  </w:footnote>
  <w:footnote w:id="79">
    <w:p w:rsidR="00E636A0" w:rsidRDefault="00E636A0"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80">
    <w:p w:rsidR="00E636A0" w:rsidRDefault="00E636A0" w:rsidP="00E20018">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81">
    <w:p w:rsidR="00E636A0" w:rsidRDefault="00E636A0" w:rsidP="00E20018">
      <w:pPr>
        <w:pStyle w:val="FootnoteText"/>
      </w:pPr>
      <w:r>
        <w:rPr>
          <w:rStyle w:val="FootnoteReference"/>
        </w:rPr>
        <w:footnoteRef/>
      </w:r>
      <w:r>
        <w:t xml:space="preserve"> </w:t>
      </w:r>
      <w:r>
        <w:tab/>
        <w:t xml:space="preserve">Frontier Economics, </w:t>
      </w:r>
      <w:r w:rsidRPr="00151C8A">
        <w:rPr>
          <w:rStyle w:val="AERtextitalic"/>
        </w:rPr>
        <w:t>Assessing risk when determining the appropriate rate of return for regulated energy networks in Australia</w:t>
      </w:r>
      <w:r>
        <w:t xml:space="preserve">, July 2013, p. 4. </w:t>
      </w:r>
    </w:p>
  </w:footnote>
  <w:footnote w:id="82">
    <w:p w:rsidR="00E636A0" w:rsidRDefault="00E636A0" w:rsidP="00E20018">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83">
    <w:p w:rsidR="00E636A0" w:rsidRDefault="00E636A0" w:rsidP="00E20018">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84">
    <w:p w:rsidR="00E636A0" w:rsidRDefault="00E636A0" w:rsidP="00E20018">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5">
    <w:p w:rsidR="00E636A0" w:rsidRDefault="00E636A0" w:rsidP="00E20018">
      <w:pPr>
        <w:pStyle w:val="FootnoteText"/>
      </w:pPr>
      <w:r>
        <w:rPr>
          <w:rStyle w:val="FootnoteReference"/>
        </w:rPr>
        <w:footnoteRef/>
      </w:r>
      <w:r>
        <w:t xml:space="preserve"> </w:t>
      </w:r>
      <w:r>
        <w:tab/>
        <w:t xml:space="preserve">That is, standard control services as referred to in NER, cl. 6.5.2(c), prescribed transmission services as referred to in NER, cl. 6A.6.2(c), or 'reference services' as referred to in NGR, r. 87(3). </w:t>
      </w:r>
    </w:p>
  </w:footnote>
  <w:footnote w:id="86">
    <w:p w:rsidR="00E636A0" w:rsidRDefault="00E636A0"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87">
    <w:p w:rsidR="00E636A0" w:rsidRDefault="00E636A0" w:rsidP="00E20018">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88">
    <w:p w:rsidR="00E636A0" w:rsidRDefault="00E636A0" w:rsidP="00DB15A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89">
    <w:p w:rsidR="00E636A0" w:rsidRDefault="00E636A0" w:rsidP="00E20018">
      <w:pPr>
        <w:pStyle w:val="FootnoteText"/>
      </w:pPr>
      <w:r>
        <w:rPr>
          <w:rStyle w:val="FootnoteReference"/>
        </w:rPr>
        <w:footnoteRef/>
      </w:r>
      <w:r>
        <w:t xml:space="preserve"> </w:t>
      </w:r>
      <w:r>
        <w:tab/>
        <w:t>NER, cl. 6.5.2(k) and cl. 6A.6.2(k); NGR, r.87(11).</w:t>
      </w:r>
    </w:p>
  </w:footnote>
  <w:footnote w:id="90">
    <w:p w:rsidR="00E636A0" w:rsidRDefault="00E636A0"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91">
    <w:p w:rsidR="00E636A0" w:rsidRDefault="00E636A0"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92">
    <w:p w:rsidR="00E636A0" w:rsidRDefault="00E636A0"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93">
    <w:p w:rsidR="00E636A0" w:rsidRDefault="00E636A0"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94">
    <w:p w:rsidR="00E636A0" w:rsidRDefault="00E636A0" w:rsidP="00E20018">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xml:space="preserve">, May 2010, pp. 252–253;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xml:space="preserve">, March 2010, pp. 40, 57; AER, </w:t>
      </w:r>
      <w:r w:rsidRPr="00151C8A">
        <w:rPr>
          <w:rStyle w:val="AERtextitalic"/>
        </w:rPr>
        <w:t>Final decision—NT Gas: Access arrangement proposal for the Amadeus Gas Pipeline August 2011 to June 2016</w:t>
      </w:r>
      <w:r>
        <w:t>, July 2011, p. 78.</w:t>
      </w:r>
    </w:p>
  </w:footnote>
  <w:footnote w:id="95">
    <w:p w:rsidR="00E636A0" w:rsidRDefault="00E636A0" w:rsidP="00E20018">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96">
    <w:p w:rsidR="00E636A0" w:rsidRDefault="00E636A0" w:rsidP="00E20018">
      <w:pPr>
        <w:pStyle w:val="FootnoteText"/>
      </w:pPr>
      <w:r>
        <w:rPr>
          <w:rStyle w:val="FootnoteReference"/>
        </w:rPr>
        <w:footnoteRef/>
      </w:r>
      <w:r>
        <w:t xml:space="preserve"> </w:t>
      </w:r>
      <w:r>
        <w:tab/>
        <w:t>NER cl. 6.5.2(l) and cl. 6A.6.2(l), NGR, r. 87(12).</w:t>
      </w:r>
    </w:p>
  </w:footnote>
  <w:footnote w:id="97">
    <w:p w:rsidR="00E636A0" w:rsidRDefault="00E636A0"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9E0A46">
          <w:rPr>
            <w:rStyle w:val="Hyperlink"/>
            <w:color w:val="auto"/>
            <w:sz w:val="16"/>
            <w:u w:val="none"/>
          </w:rPr>
          <w:t>http://www.aer.gov.au/node/18859</w:t>
        </w:r>
      </w:hyperlink>
      <w:r>
        <w:t>.</w:t>
      </w:r>
    </w:p>
  </w:footnote>
  <w:footnote w:id="98">
    <w:p w:rsidR="00E636A0" w:rsidRDefault="00E636A0" w:rsidP="00E20018">
      <w:pPr>
        <w:pStyle w:val="FootnoteText"/>
      </w:pPr>
      <w:r>
        <w:rPr>
          <w:rStyle w:val="FootnoteReference"/>
        </w:rPr>
        <w:footnoteRef/>
      </w:r>
      <w:r>
        <w:t xml:space="preserve"> </w:t>
      </w:r>
      <w:r>
        <w:tab/>
        <w:t>NGR, cl. 87(18); NER, cl. 6.2.8(c); NER, cl.6A.2.3(c).</w:t>
      </w:r>
    </w:p>
  </w:footnote>
  <w:footnote w:id="99">
    <w:p w:rsidR="00E636A0" w:rsidRDefault="00E636A0" w:rsidP="00E20018">
      <w:pPr>
        <w:pStyle w:val="FootnoteText"/>
      </w:pPr>
      <w:r>
        <w:rPr>
          <w:rStyle w:val="FootnoteReference"/>
        </w:rPr>
        <w:footnoteRef/>
      </w:r>
      <w:r>
        <w:t xml:space="preserve"> </w:t>
      </w:r>
      <w:r>
        <w:tab/>
        <w:t>NER, cll. S6.1.3(9),(9A),(9B); NER, cll.S6A.1.3.(4A), (4b), (4c); NGR r.72(1)(g)</w:t>
      </w:r>
    </w:p>
  </w:footnote>
  <w:footnote w:id="100">
    <w:p w:rsidR="00E636A0" w:rsidRDefault="00E636A0" w:rsidP="00E20018">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101">
    <w:p w:rsidR="00E636A0" w:rsidRDefault="00E636A0" w:rsidP="00E20018">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 15 November 2012, p. 28.</w:t>
      </w:r>
    </w:p>
  </w:footnote>
  <w:footnote w:id="102">
    <w:p w:rsidR="00E636A0" w:rsidRDefault="00E636A0" w:rsidP="00E20018">
      <w:pPr>
        <w:pStyle w:val="FootnoteText"/>
      </w:pPr>
      <w:r>
        <w:rPr>
          <w:rStyle w:val="FootnoteReference"/>
        </w:rPr>
        <w:footnoteRef/>
      </w:r>
      <w:r>
        <w:t xml:space="preserve"> </w:t>
      </w:r>
      <w:r>
        <w:tab/>
        <w:t>NER, cl. 6..5.2 (n)(2); NER, cl. 6A.6.2(n)(2); NGR, cl. 87(14)(b).</w:t>
      </w:r>
      <w:r w:rsidRPr="00C368FC">
        <w:t xml:space="preserve"> </w:t>
      </w:r>
      <w:r>
        <w:t xml:space="preserve">See </w:t>
      </w:r>
      <w:hyperlink r:id="rId4" w:history="1">
        <w:r w:rsidRPr="00C368FC">
          <w:rPr>
            <w:rStyle w:val="Hyperlink"/>
            <w:color w:val="auto"/>
            <w:sz w:val="16"/>
            <w:u w:val="none"/>
          </w:rPr>
          <w:t>http://www.aer.gov.au/node/18859</w:t>
        </w:r>
      </w:hyperlink>
      <w:r>
        <w:t>.</w:t>
      </w:r>
    </w:p>
  </w:footnote>
  <w:footnote w:id="103">
    <w:p w:rsidR="00E636A0" w:rsidRDefault="00E636A0" w:rsidP="00E20018">
      <w:pPr>
        <w:pStyle w:val="FootnoteText"/>
      </w:pPr>
      <w:r>
        <w:rPr>
          <w:rStyle w:val="FootnoteReference"/>
        </w:rPr>
        <w:footnoteRef/>
      </w:r>
      <w:r>
        <w:t xml:space="preserve"> </w:t>
      </w:r>
      <w:r>
        <w:tab/>
        <w:t>NER, cl. 6.5.2 (n), NER, cl. 6A.6.2(n);</w:t>
      </w:r>
      <w:r w:rsidRPr="009416A4">
        <w:t xml:space="preserve"> </w:t>
      </w:r>
      <w:r>
        <w:t>NGR, cl. 87(14).</w:t>
      </w:r>
    </w:p>
  </w:footnote>
  <w:footnote w:id="104">
    <w:p w:rsidR="00E636A0" w:rsidRDefault="00E636A0" w:rsidP="00E20018">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5">
    <w:p w:rsidR="00E636A0" w:rsidRDefault="00E636A0"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5" w:history="1">
        <w:r w:rsidRPr="00C368FC">
          <w:rPr>
            <w:rStyle w:val="Hyperlink"/>
            <w:color w:val="auto"/>
            <w:sz w:val="16"/>
            <w:u w:val="none"/>
          </w:rPr>
          <w:t>http://www.aer.gov.au/node/18859</w:t>
        </w:r>
      </w:hyperlink>
      <w:r w:rsidRPr="00C368FC">
        <w:t>.</w:t>
      </w:r>
    </w:p>
  </w:footnote>
  <w:footnote w:id="106">
    <w:p w:rsidR="00E636A0" w:rsidRDefault="00E636A0"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07">
    <w:p w:rsidR="00E636A0" w:rsidRDefault="00E636A0" w:rsidP="00DF65C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 ch.3; </w:t>
      </w:r>
      <w:r w:rsidRPr="000C1311">
        <w:t xml:space="preserve">AER, </w:t>
      </w:r>
      <w:r w:rsidRPr="000C1311">
        <w:rPr>
          <w:i/>
        </w:rPr>
        <w:t xml:space="preserve">Better regulation: Rate of Return Guideline, </w:t>
      </w:r>
      <w:r>
        <w:t>December 2013, section 3.</w:t>
      </w:r>
    </w:p>
  </w:footnote>
  <w:footnote w:id="108">
    <w:p w:rsidR="00E636A0" w:rsidRDefault="00E636A0"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09">
    <w:p w:rsidR="00E636A0" w:rsidRDefault="00E636A0" w:rsidP="00E20018">
      <w:pPr>
        <w:pStyle w:val="FootnoteText"/>
      </w:pPr>
      <w:r>
        <w:rPr>
          <w:rStyle w:val="FootnoteReference"/>
        </w:rPr>
        <w:footnoteRef/>
      </w:r>
      <w:r>
        <w:t xml:space="preserve"> </w:t>
      </w:r>
      <w:r>
        <w:tab/>
        <w:t xml:space="preserve">Available at, </w:t>
      </w:r>
      <w:hyperlink r:id="rId6" w:history="1">
        <w:r w:rsidRPr="009E0A46">
          <w:rPr>
            <w:rStyle w:val="Hyperlink"/>
            <w:color w:val="auto"/>
            <w:sz w:val="16"/>
            <w:u w:val="none"/>
          </w:rPr>
          <w:t>http://www.aer.gov.au/node/18859</w:t>
        </w:r>
      </w:hyperlink>
      <w:r>
        <w:t>.</w:t>
      </w:r>
    </w:p>
    <w:p w:rsidR="00E636A0" w:rsidRDefault="00E636A0" w:rsidP="00E20018">
      <w:pPr>
        <w:pStyle w:val="FootnoteText"/>
      </w:pPr>
    </w:p>
  </w:footnote>
  <w:footnote w:id="110">
    <w:p w:rsidR="00E636A0" w:rsidRDefault="00E636A0" w:rsidP="00E20018">
      <w:pPr>
        <w:pStyle w:val="FootnoteText"/>
      </w:pPr>
      <w:r>
        <w:rPr>
          <w:rStyle w:val="FootnoteReference"/>
        </w:rPr>
        <w:footnoteRef/>
      </w:r>
      <w:r>
        <w:t xml:space="preserve"> </w:t>
      </w:r>
      <w:r>
        <w:tab/>
        <w:t>This final decision determines the return on debt methodology for the 2017–22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11">
    <w:p w:rsidR="00E636A0" w:rsidRDefault="00E636A0" w:rsidP="00E20018">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12">
    <w:p w:rsidR="00E636A0" w:rsidRDefault="00E636A0" w:rsidP="00E20018">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113">
    <w:p w:rsidR="00E636A0" w:rsidRDefault="00E636A0" w:rsidP="00E20018">
      <w:pPr>
        <w:pStyle w:val="FootnoteText"/>
      </w:pPr>
      <w:r>
        <w:rPr>
          <w:rStyle w:val="FootnoteReference"/>
        </w:rPr>
        <w:footnoteRef/>
      </w:r>
      <w:r>
        <w:t xml:space="preserve"> </w:t>
      </w:r>
      <w:r>
        <w:tab/>
        <w:t>NER, cl. 6.5.2(i); NER, cl. 6A.6.2(i); NGR r. 87(9).</w:t>
      </w:r>
    </w:p>
  </w:footnote>
  <w:footnote w:id="114">
    <w:p w:rsidR="00E636A0" w:rsidRDefault="00E636A0" w:rsidP="00E20018">
      <w:pPr>
        <w:pStyle w:val="FootnoteText"/>
      </w:pPr>
      <w:r>
        <w:rPr>
          <w:rStyle w:val="FootnoteReference"/>
        </w:rPr>
        <w:footnoteRef/>
      </w:r>
      <w:r>
        <w:t xml:space="preserve"> </w:t>
      </w:r>
      <w:r>
        <w:tab/>
        <w:t xml:space="preserve">Available at </w:t>
      </w:r>
      <w:hyperlink r:id="rId7" w:history="1">
        <w:r w:rsidRPr="009E0A46">
          <w:rPr>
            <w:rStyle w:val="Hyperlink"/>
            <w:color w:val="auto"/>
            <w:sz w:val="16"/>
            <w:u w:val="none"/>
          </w:rPr>
          <w:t>http://www.aer.gov.au/node/27616</w:t>
        </w:r>
      </w:hyperlink>
      <w:r>
        <w:t>.</w:t>
      </w:r>
    </w:p>
  </w:footnote>
  <w:footnote w:id="115">
    <w:p w:rsidR="00E636A0" w:rsidRDefault="00E636A0" w:rsidP="00E20018">
      <w:pPr>
        <w:pStyle w:val="FootnoteText"/>
      </w:pPr>
      <w:r>
        <w:rPr>
          <w:rStyle w:val="FootnoteReference"/>
        </w:rPr>
        <w:footnoteRef/>
      </w:r>
      <w:r>
        <w:t xml:space="preserve"> </w:t>
      </w:r>
      <w:r>
        <w:tab/>
        <w:t>NER, cl. 6.5.2(e); NER, cl. 6A.6.2(e); NGR r. 87(9).</w:t>
      </w:r>
    </w:p>
  </w:footnote>
  <w:footnote w:id="116">
    <w:p w:rsidR="00E636A0" w:rsidRDefault="00E636A0"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3.</w:t>
      </w:r>
    </w:p>
  </w:footnote>
  <w:footnote w:id="117">
    <w:p w:rsidR="00E636A0" w:rsidRDefault="00E636A0" w:rsidP="00E20018">
      <w:pPr>
        <w:pStyle w:val="FootnoteText"/>
      </w:pPr>
      <w:r>
        <w:rPr>
          <w:rStyle w:val="FootnoteReference"/>
        </w:rPr>
        <w:footnoteRef/>
      </w:r>
      <w:r>
        <w:t xml:space="preserve"> </w:t>
      </w:r>
      <w:r>
        <w:tab/>
        <w:t>NEL, s. 7A(2); NGL s. 24(2)(a).</w:t>
      </w:r>
    </w:p>
  </w:footnote>
  <w:footnote w:id="118">
    <w:p w:rsidR="00E636A0" w:rsidRDefault="00E636A0" w:rsidP="00E20018">
      <w:pPr>
        <w:pStyle w:val="FootnoteText"/>
      </w:pPr>
      <w:r>
        <w:rPr>
          <w:rStyle w:val="FootnoteReference"/>
        </w:rPr>
        <w:footnoteRef/>
      </w:r>
      <w:r>
        <w:t xml:space="preserve"> </w:t>
      </w:r>
      <w:r>
        <w:tab/>
        <w:t>NEL, s. 7A(3);</w:t>
      </w:r>
      <w:r w:rsidRPr="00002EB2">
        <w:t xml:space="preserve"> </w:t>
      </w:r>
      <w:r>
        <w:t>NGL s. 24(2)(b).</w:t>
      </w:r>
    </w:p>
  </w:footnote>
  <w:footnote w:id="119">
    <w:p w:rsidR="00E636A0" w:rsidRDefault="00E636A0"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20">
    <w:p w:rsidR="00E636A0" w:rsidRDefault="00E636A0" w:rsidP="00E20018">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21">
    <w:p w:rsidR="00E636A0" w:rsidRDefault="00E636A0" w:rsidP="00E20018">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22">
    <w:p w:rsidR="00E636A0" w:rsidRDefault="00E636A0"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23">
    <w:p w:rsidR="00E636A0" w:rsidRDefault="00E636A0" w:rsidP="00E20018">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24">
    <w:p w:rsidR="00E636A0" w:rsidRDefault="00E636A0" w:rsidP="00E20018">
      <w:pPr>
        <w:pStyle w:val="FootnoteText"/>
      </w:pPr>
      <w:r>
        <w:rPr>
          <w:rStyle w:val="FootnoteReference"/>
        </w:rPr>
        <w:footnoteRef/>
      </w:r>
      <w:r>
        <w:t xml:space="preserve"> </w:t>
      </w:r>
      <w:r>
        <w:tab/>
        <w:t xml:space="preserve">NGR, r. 87(5)(a) and NER clause 6.5.2(e).  </w:t>
      </w:r>
    </w:p>
  </w:footnote>
  <w:footnote w:id="125">
    <w:p w:rsidR="00E636A0" w:rsidRDefault="00E636A0" w:rsidP="00E20018">
      <w:pPr>
        <w:pStyle w:val="FootnoteText"/>
      </w:pPr>
      <w:r>
        <w:rPr>
          <w:rStyle w:val="FootnoteReference"/>
        </w:rPr>
        <w:footnoteRef/>
      </w:r>
      <w:r>
        <w:t xml:space="preserve"> </w:t>
      </w:r>
      <w:r>
        <w:tab/>
      </w:r>
      <w:r w:rsidRPr="00BB36FA">
        <w:t xml:space="preserve">AEMC, </w:t>
      </w:r>
      <w:r w:rsidRPr="00151C8A">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6">
    <w:p w:rsidR="00E636A0" w:rsidRDefault="00E636A0">
      <w:pPr>
        <w:pStyle w:val="FootnoteText"/>
      </w:pPr>
      <w:r>
        <w:rPr>
          <w:rStyle w:val="FootnoteReference"/>
        </w:rPr>
        <w:footnoteRef/>
      </w:r>
      <w:r>
        <w:t xml:space="preserve"> </w:t>
      </w:r>
      <w:r>
        <w:tab/>
        <w:t xml:space="preserve">TasNetworks, </w:t>
      </w:r>
      <w:r w:rsidRPr="00A164C0">
        <w:rPr>
          <w:rStyle w:val="Emphasis"/>
        </w:rPr>
        <w:t>Revised Regulatory Proposal 2017-2019</w:t>
      </w:r>
      <w:r>
        <w:t xml:space="preserve">, December 2016; Powerlink, </w:t>
      </w:r>
      <w:r w:rsidRPr="00A164C0">
        <w:rPr>
          <w:rStyle w:val="Emphasis"/>
        </w:rPr>
        <w:t>Revised Revenue Proposal 2018-22</w:t>
      </w:r>
      <w:r>
        <w:t xml:space="preserve">, December 2016.  </w:t>
      </w:r>
    </w:p>
  </w:footnote>
  <w:footnote w:id="127">
    <w:p w:rsidR="00E636A0" w:rsidRDefault="00E636A0" w:rsidP="0031162C">
      <w:pPr>
        <w:pStyle w:val="FootnoteText"/>
      </w:pPr>
      <w:r>
        <w:rPr>
          <w:rStyle w:val="FootnoteReference"/>
        </w:rPr>
        <w:footnoteRef/>
      </w:r>
      <w:r>
        <w:t xml:space="preserve"> </w:t>
      </w:r>
      <w:r>
        <w:tab/>
        <w:t>AusNet Services</w:t>
      </w:r>
      <w:r w:rsidRPr="005C6992">
        <w:rPr>
          <w:rStyle w:val="AERtextitalic"/>
        </w:rPr>
        <w:t>, AusNet Transmission Group Pty Ltd transmission revenue review 2017–2022</w:t>
      </w:r>
      <w:r>
        <w:rPr>
          <w:rStyle w:val="AERtextitalic"/>
        </w:rPr>
        <w:t>–revised revenue proposal</w:t>
      </w:r>
      <w:r>
        <w:t>, 21 September 2016,.</w:t>
      </w:r>
    </w:p>
  </w:footnote>
  <w:footnote w:id="128">
    <w:p w:rsidR="00E636A0" w:rsidRDefault="00E636A0" w:rsidP="00E20018">
      <w:pPr>
        <w:pStyle w:val="FootnoteText"/>
      </w:pPr>
      <w:r>
        <w:rPr>
          <w:rStyle w:val="FootnoteReference"/>
        </w:rPr>
        <w:footnoteRef/>
      </w:r>
      <w:r>
        <w:t xml:space="preserve"> </w:t>
      </w:r>
      <w:r>
        <w:tab/>
      </w:r>
      <w:r w:rsidRPr="00D40AFA">
        <w:t>AusNet Services</w:t>
      </w:r>
      <w:r w:rsidRPr="00D40AFA">
        <w:rPr>
          <w:rStyle w:val="AERtextitalic"/>
        </w:rPr>
        <w:t>, AusNet Transmission Group Pty Ltd transmission revenue review 2017–2022–revised revenue proposal</w:t>
      </w:r>
      <w:r w:rsidRPr="00D40AFA">
        <w:t>, 21 September 2016</w:t>
      </w:r>
      <w:r>
        <w:t>, pp. 146–154.</w:t>
      </w:r>
    </w:p>
  </w:footnote>
  <w:footnote w:id="129">
    <w:p w:rsidR="00E636A0" w:rsidRDefault="00E636A0" w:rsidP="00E20018">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xml:space="preserve">. For similar material, see our decisions in 2015 on ActewAGL distribution, Ausgrid, Directlink, Endeavour Energy, Ergon Energy, Essential Energy, JGN, SAPN and TasNetworks. For 2016, see our decisions on AusNet Services (SP AusNet) distribution, Powercor, Jemena, CitiPower, and United Energy. </w:t>
      </w:r>
    </w:p>
  </w:footnote>
  <w:footnote w:id="130">
    <w:p w:rsidR="00E636A0" w:rsidRDefault="00E636A0" w:rsidP="002A118C">
      <w:pPr>
        <w:pStyle w:val="FootnoteText"/>
      </w:pPr>
      <w:r>
        <w:rPr>
          <w:rStyle w:val="FootnoteReference"/>
        </w:rPr>
        <w:footnoteRef/>
      </w:r>
      <w:r>
        <w:t xml:space="preserve"> </w:t>
      </w:r>
      <w:r>
        <w:tab/>
        <w:t xml:space="preserve">AER, </w:t>
      </w:r>
      <w:r>
        <w:rPr>
          <w:rStyle w:val="AERtextitalic"/>
        </w:rPr>
        <w:t>Final decision: United Energy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AusNet Services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Powercor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May 2016. Also see our most recent decisions on SA Power Networks, Ergon Energy and Energex.</w:t>
      </w:r>
    </w:p>
  </w:footnote>
  <w:footnote w:id="131">
    <w:p w:rsidR="00E636A0" w:rsidRDefault="00E636A0" w:rsidP="00E20018">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32">
    <w:p w:rsidR="00E636A0" w:rsidRDefault="00E636A0" w:rsidP="00E20018">
      <w:pPr>
        <w:pStyle w:val="FootnoteText"/>
      </w:pPr>
      <w:r>
        <w:rPr>
          <w:rStyle w:val="FootnoteReference"/>
        </w:rPr>
        <w:footnoteRef/>
      </w:r>
      <w:r>
        <w:t xml:space="preserve"> </w:t>
      </w:r>
      <w:r>
        <w:tab/>
      </w:r>
      <w:r w:rsidRPr="00735D0E">
        <w:t xml:space="preserve">Partington, G., Satchell, S., </w:t>
      </w:r>
      <w:r w:rsidRPr="00D24089">
        <w:rPr>
          <w:rStyle w:val="AERtextitalic"/>
        </w:rPr>
        <w:t>Report to the AER: Issues in relation to the cost of debt</w:t>
      </w:r>
      <w:r>
        <w:t xml:space="preserve">, 9 April 2017; Partington, G., Satchell, S., </w:t>
      </w:r>
      <w:r w:rsidRPr="00D24089">
        <w:rPr>
          <w:rStyle w:val="AERtextitalic"/>
        </w:rPr>
        <w:t>Report to the AER: Discussion of estimates of the return on equity</w:t>
      </w:r>
      <w:r>
        <w:t xml:space="preserve">, 12 April 2017; 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33">
    <w:p w:rsidR="00E636A0" w:rsidRDefault="00E636A0" w:rsidP="00E20018">
      <w:pPr>
        <w:pStyle w:val="FootnoteText"/>
      </w:pPr>
      <w:r>
        <w:rPr>
          <w:rStyle w:val="FootnoteReference"/>
        </w:rPr>
        <w:footnoteRef/>
      </w:r>
      <w:r>
        <w:t xml:space="preserve"> </w:t>
      </w:r>
      <w:r>
        <w:tab/>
      </w:r>
      <w:r w:rsidRPr="00735D0E">
        <w:t xml:space="preserve">Partington, G., Satchell, S., </w:t>
      </w:r>
      <w:r w:rsidRPr="00D24089">
        <w:rPr>
          <w:rStyle w:val="AERtextitalic"/>
        </w:rPr>
        <w:t>Report to the AER: Issues in relation to the cost of debt</w:t>
      </w:r>
      <w:r w:rsidRPr="00735D0E">
        <w:t xml:space="preserve">, </w:t>
      </w:r>
      <w:r>
        <w:t>9 April</w:t>
      </w:r>
      <w:r w:rsidRPr="00735D0E">
        <w:t xml:space="preserve"> 2017</w:t>
      </w:r>
      <w:r>
        <w:t xml:space="preserve">; Partington, G., Satchell, S., </w:t>
      </w:r>
      <w:r w:rsidRPr="00D24089">
        <w:rPr>
          <w:rStyle w:val="AERtextitalic"/>
        </w:rPr>
        <w:t>Report to the AER: Discussion of estimates of the return on equity</w:t>
      </w:r>
      <w:r>
        <w:t xml:space="preserve">, 12 April 2017;Partington,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151C8A">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34">
    <w:p w:rsidR="00E636A0" w:rsidRDefault="00E636A0" w:rsidP="00E20018">
      <w:pPr>
        <w:pStyle w:val="FootnoteText"/>
      </w:pPr>
      <w:r>
        <w:rPr>
          <w:rStyle w:val="FootnoteReference"/>
        </w:rPr>
        <w:footnoteRef/>
      </w:r>
      <w:r>
        <w:t xml:space="preserve"> </w:t>
      </w:r>
      <w:r>
        <w:tab/>
        <w:t>Handley, J.</w:t>
      </w:r>
      <w:r w:rsidRPr="002F6091">
        <w:t xml:space="preserve">, </w:t>
      </w:r>
      <w:r w:rsidRPr="00D24089">
        <w:rPr>
          <w:rStyle w:val="AERtextitalic"/>
        </w:rPr>
        <w:t>Furthe</w:t>
      </w:r>
      <w:r>
        <w:t>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5">
    <w:p w:rsidR="00E636A0" w:rsidRDefault="00E636A0" w:rsidP="00E20018">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36">
    <w:p w:rsidR="00E636A0" w:rsidRDefault="00E636A0" w:rsidP="00E20018">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37">
    <w:p w:rsidR="00E636A0" w:rsidRDefault="00E636A0" w:rsidP="00E20018">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38">
    <w:p w:rsidR="00E636A0" w:rsidRDefault="00E636A0" w:rsidP="00E20018">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39">
    <w:p w:rsidR="00E636A0" w:rsidRDefault="00E636A0" w:rsidP="00E20018">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TransGrid, Citipower, Powercor, United Energy, AusNet Services (distribution), ActewAGL, AGN &amp; APTNT.</w:t>
      </w:r>
    </w:p>
    <w:p w:rsidR="00E636A0" w:rsidRDefault="00E636A0" w:rsidP="00E20018">
      <w:pPr>
        <w:pStyle w:val="FootnoteText"/>
      </w:pPr>
      <w:r>
        <w:tab/>
      </w:r>
      <w:r w:rsidRPr="00E06308">
        <w:t xml:space="preserve">Appendix F of our October and November 2015 decisions list submissions relating to AusNet Services' regulatory proposal and our recent decisions. We have also received and considered a number of new submissions since the October and November 2015 decisions. For example, CCP ( panel 8), </w:t>
      </w:r>
      <w:r w:rsidRPr="00E06308">
        <w:rPr>
          <w:rStyle w:val="AERtextitalic"/>
        </w:rPr>
        <w:t>Advice to AER from Consumer Challenge Panel sub-panel 8 regarding the AER Daft Decision and Australian Gas Networks' (SA) revised access arrangement 2016–2021 proposal</w:t>
      </w:r>
      <w:r w:rsidRPr="00E06308">
        <w:t>, 32 March 2016, p. 2.</w:t>
      </w:r>
    </w:p>
  </w:footnote>
  <w:footnote w:id="140">
    <w:p w:rsidR="00E636A0" w:rsidRDefault="00E636A0" w:rsidP="00836286">
      <w:pPr>
        <w:pStyle w:val="FootnoteText"/>
      </w:pPr>
      <w:r>
        <w:rPr>
          <w:rStyle w:val="FootnoteReference"/>
        </w:rPr>
        <w:footnoteRef/>
      </w:r>
      <w:r>
        <w:t xml:space="preserve"> </w:t>
      </w:r>
      <w:r>
        <w:tab/>
        <w:t xml:space="preserve">For example, </w:t>
      </w:r>
      <w:r w:rsidRPr="00836286">
        <w:t>CCP4 (David Headberry), Re</w:t>
      </w:r>
      <w:r w:rsidRPr="006E5878">
        <w:rPr>
          <w:rStyle w:val="AERtextitalic"/>
        </w:rPr>
        <w:t>sponse to the AER Draft Decision and Revised Proposal to Tasmania's electricity distribution network service provider (TasNetworks - TND) for a revenue reset for the 2017-2019 regulatory period</w:t>
      </w:r>
      <w:r w:rsidRPr="004E503B">
        <w:t>, 25 November 2016,</w:t>
      </w:r>
      <w:r>
        <w:t xml:space="preserve"> p. 28; </w:t>
      </w:r>
      <w:r w:rsidRPr="00836286">
        <w:t xml:space="preserve">CCP4 (David Headberry), </w:t>
      </w:r>
      <w:r w:rsidRPr="006E5878">
        <w:rPr>
          <w:rStyle w:val="AERtextitalic"/>
        </w:rPr>
        <w:t>Response to the AER Draft Decision and Revised Proposal to</w:t>
      </w:r>
      <w:r>
        <w:rPr>
          <w:rStyle w:val="AERtextitalic"/>
        </w:rPr>
        <w:t xml:space="preserve"> </w:t>
      </w:r>
      <w:r w:rsidRPr="006E5878">
        <w:rPr>
          <w:rStyle w:val="AERtextitalic"/>
        </w:rPr>
        <w:t>Tasmania's electricity distribution network service provider (TasNetworks - TND) for a revenue reset for the 2017-2019 regulatory period</w:t>
      </w:r>
      <w:r w:rsidRPr="004E503B">
        <w:t xml:space="preserve">, </w:t>
      </w:r>
      <w:r>
        <w:t>12 December</w:t>
      </w:r>
      <w:r w:rsidRPr="004E503B">
        <w:t xml:space="preserve"> 2016,</w:t>
      </w:r>
      <w:r>
        <w:t xml:space="preserve"> p. 31; </w:t>
      </w:r>
      <w:r w:rsidRPr="00FF1D40">
        <w:t xml:space="preserve">CCP4 (David Headberry), </w:t>
      </w:r>
      <w:r w:rsidRPr="00E91B81">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E91B81">
        <w:rPr>
          <w:rStyle w:val="AERtextitalic"/>
        </w:rPr>
        <w:t>Submission to the AER: AER draft 2018–22 revenue decision Powerlink revised 208–22 revenue proposal</w:t>
      </w:r>
      <w:r>
        <w:t xml:space="preserve">, 23 December 2016; Cotton Australia, </w:t>
      </w:r>
      <w:r w:rsidRPr="00E91B81">
        <w:rPr>
          <w:rStyle w:val="AERtextitalic"/>
        </w:rPr>
        <w:t>Re: AER Draft Decision–Powerlink Electricity transmission revised revenue proposal 2017–2022</w:t>
      </w:r>
      <w:r>
        <w:t>, 22 December 2016; Queensland farmers’ federation</w:t>
      </w:r>
      <w:r w:rsidRPr="00E91B81">
        <w:rPr>
          <w:rStyle w:val="AERtextitalic"/>
        </w:rPr>
        <w:t>, Re: Response on Australian Energy Regulator (AER) Draft Decision on Powerlink ‘s revenue proposal for the 2017/18 –2021/22 regulatory period</w:t>
      </w:r>
      <w:r>
        <w:t>, 30 November 2016.</w:t>
      </w:r>
    </w:p>
  </w:footnote>
  <w:footnote w:id="141">
    <w:p w:rsidR="00E636A0" w:rsidRDefault="00E636A0" w:rsidP="00E20018">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2">
    <w:p w:rsidR="00E636A0" w:rsidRDefault="00E636A0">
      <w:pPr>
        <w:pStyle w:val="FootnoteText"/>
      </w:pPr>
      <w:r>
        <w:rPr>
          <w:rStyle w:val="FootnoteReference"/>
        </w:rPr>
        <w:footnoteRef/>
      </w:r>
      <w:r>
        <w:t xml:space="preserve"> </w:t>
      </w:r>
      <w:r>
        <w:tab/>
        <w:t xml:space="preserve">See </w:t>
      </w:r>
      <w:r w:rsidRPr="00901E2A">
        <w:t>Australian Competition Tribunal,</w:t>
      </w:r>
      <w:r>
        <w:t xml:space="preserve"> Notice to extend time for ACT 7 of 2016 - Jemena Electricity Networks (Vic) Ltd, 24 February 2017. Available at: </w:t>
      </w:r>
      <w:hyperlink r:id="rId10" w:history="1">
        <w:r w:rsidRPr="00841DC7">
          <w:rPr>
            <w:rStyle w:val="Hyperlink"/>
            <w:sz w:val="16"/>
          </w:rPr>
          <w:t>http://www.competitiontribunal.gov.au/current-matters/tribunal-documents/act-7-2016</w:t>
        </w:r>
      </w:hyperlink>
      <w:r>
        <w:t xml:space="preserve"> </w:t>
      </w:r>
    </w:p>
  </w:footnote>
  <w:footnote w:id="143">
    <w:p w:rsidR="00E636A0" w:rsidRDefault="00E636A0" w:rsidP="00E20018">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4">
    <w:p w:rsidR="00E636A0" w:rsidRDefault="00E636A0" w:rsidP="00E20018">
      <w:pPr>
        <w:pStyle w:val="FootnoteText"/>
      </w:pPr>
      <w:r>
        <w:rPr>
          <w:rStyle w:val="FootnoteReference"/>
        </w:rPr>
        <w:footnoteRef/>
      </w:r>
      <w:r>
        <w:t xml:space="preserve"> </w:t>
      </w:r>
      <w:r>
        <w:tab/>
        <w:t>NGR, cl. 87(3); NER, cl. 6A.6.2(c) include similar provisions.</w:t>
      </w:r>
    </w:p>
  </w:footnote>
  <w:footnote w:id="145">
    <w:p w:rsidR="00E636A0" w:rsidRDefault="00E636A0" w:rsidP="00867D79">
      <w:pPr>
        <w:pStyle w:val="FootnoteText"/>
      </w:pPr>
      <w:r>
        <w:rPr>
          <w:rStyle w:val="FootnoteReference"/>
        </w:rPr>
        <w:footnoteRef/>
      </w:r>
      <w:r>
        <w:t xml:space="preserve"> </w:t>
      </w:r>
      <w:r>
        <w:tab/>
        <w:t>The transmission and gas rules mirror this provision in NER, cl. 6A.6.2(k)(4); NGR, cl. 87(11)(d).</w:t>
      </w:r>
    </w:p>
  </w:footnote>
  <w:footnote w:id="146">
    <w:p w:rsidR="00E636A0" w:rsidRPr="00D5405B" w:rsidRDefault="00E636A0" w:rsidP="00345EDF">
      <w:pPr>
        <w:pStyle w:val="FootnoteText"/>
        <w:rPr>
          <w:rStyle w:val="AERtexthighlight"/>
        </w:rPr>
      </w:pPr>
      <w:r>
        <w:rPr>
          <w:rStyle w:val="FootnoteReference"/>
        </w:rPr>
        <w:footnoteRef/>
      </w:r>
      <w:r>
        <w:t xml:space="preserve"> </w:t>
      </w:r>
      <w:r>
        <w:tab/>
        <w:t>NER, cl. 6.</w:t>
      </w:r>
      <w:r w:rsidRPr="00DD0982">
        <w:t>5.2(d)</w:t>
      </w:r>
      <w:r>
        <w:t xml:space="preserve">; NER, cl. 6A.6.2(d); NGR, r. 87(4). </w:t>
      </w:r>
    </w:p>
  </w:footnote>
  <w:footnote w:id="147">
    <w:p w:rsidR="00E636A0" w:rsidRDefault="00E636A0" w:rsidP="00345EDF">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48">
    <w:p w:rsidR="00E636A0" w:rsidRDefault="00E636A0" w:rsidP="00BA4C69">
      <w:pPr>
        <w:pStyle w:val="FootnoteText"/>
      </w:pPr>
      <w:r>
        <w:rPr>
          <w:rStyle w:val="FootnoteReference"/>
        </w:rPr>
        <w:footnoteRef/>
      </w:r>
      <w:r>
        <w:t xml:space="preserve"> </w:t>
      </w:r>
      <w:r>
        <w:tab/>
        <w:t xml:space="preserve">In this decision, we have not considered issues and submissions in relation to APTPPL's proposal for the Roma to Brisbane Pipeline which is also currently open. We have deferred the APTPPL draft decision to further consider its tariff structure and other issues.  </w:t>
      </w:r>
    </w:p>
  </w:footnote>
  <w:footnote w:id="149">
    <w:p w:rsidR="00E636A0" w:rsidRDefault="00E636A0" w:rsidP="00836286">
      <w:pPr>
        <w:pStyle w:val="FootnoteText"/>
      </w:pPr>
      <w:r>
        <w:rPr>
          <w:rStyle w:val="FootnoteReference"/>
        </w:rPr>
        <w:footnoteRef/>
      </w:r>
      <w:r>
        <w:t xml:space="preserve"> </w:t>
      </w:r>
      <w:r>
        <w:tab/>
        <w:t xml:space="preserve">In this decision, we have not considered issues and submissions in relation to APTPPL's proposal for the Roma to Brisbane Pipeline. This is because we have deferred the APTPPL draft decision to further consider its tariff structure and other issues.  </w:t>
      </w:r>
    </w:p>
  </w:footnote>
  <w:footnote w:id="150">
    <w:p w:rsidR="00E636A0" w:rsidRDefault="00E636A0" w:rsidP="00345EDF">
      <w:pPr>
        <w:pStyle w:val="FootnoteText"/>
      </w:pPr>
      <w:r>
        <w:rPr>
          <w:rStyle w:val="FootnoteReference"/>
        </w:rPr>
        <w:footnoteRef/>
      </w:r>
      <w:r>
        <w:t xml:space="preserve"> </w:t>
      </w:r>
      <w:r>
        <w:tab/>
        <w:t>NER, cl. 6.5.2(c); NER, cl. 6A.6.2(c); NGR, r. 87(3).</w:t>
      </w:r>
    </w:p>
  </w:footnote>
  <w:footnote w:id="151">
    <w:p w:rsidR="00E636A0" w:rsidRDefault="00E636A0" w:rsidP="0013097A">
      <w:pPr>
        <w:pStyle w:val="FootnoteText"/>
      </w:pPr>
      <w:r>
        <w:rPr>
          <w:rStyle w:val="FootnoteReference"/>
        </w:rPr>
        <w:footnoteRef/>
      </w:r>
      <w:r>
        <w:t xml:space="preserve"> </w:t>
      </w:r>
      <w:r>
        <w:tab/>
      </w:r>
      <w:r w:rsidRPr="009F0978">
        <w:t xml:space="preserve">TasNetworks, </w:t>
      </w:r>
      <w:r w:rsidRPr="00E91B81">
        <w:rPr>
          <w:rStyle w:val="AERtextitalic"/>
        </w:rPr>
        <w:t>Tasmanian Distribution Regulatory Proposal Regulatory Control Period 1 July 2017 to 30 June 2019</w:t>
      </w:r>
      <w:r w:rsidRPr="009F0978">
        <w:t>, 29 January 2016, p. 117</w:t>
      </w:r>
      <w:r>
        <w:t>; TasNetworks</w:t>
      </w:r>
      <w:r w:rsidRPr="00E91B81">
        <w:rPr>
          <w:rStyle w:val="AERtextitalic"/>
        </w:rPr>
        <w:t xml:space="preserve">, </w:t>
      </w:r>
      <w:r>
        <w:rPr>
          <w:rStyle w:val="AERtextitalic"/>
        </w:rPr>
        <w:t>Tasmanian Distribution Revised Regulatory Proposal Regulatory Control Period 1 July 2017 to 30 June 2019</w:t>
      </w:r>
      <w:r>
        <w:t>, December 2016, p. 7.</w:t>
      </w:r>
    </w:p>
  </w:footnote>
  <w:footnote w:id="152">
    <w:p w:rsidR="00E636A0" w:rsidRDefault="00E636A0" w:rsidP="00345EDF">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3">
    <w:p w:rsidR="00E636A0" w:rsidRDefault="00E636A0" w:rsidP="00345EDF">
      <w:pPr>
        <w:pStyle w:val="FootnoteText"/>
      </w:pPr>
      <w:r>
        <w:rPr>
          <w:rStyle w:val="FootnoteReference"/>
        </w:rPr>
        <w:footnoteRef/>
      </w:r>
      <w:r>
        <w:t xml:space="preserve"> </w:t>
      </w:r>
      <w:r>
        <w:tab/>
        <w:t>As set out in NER cl.6; NER cl. 6A; NGR.</w:t>
      </w:r>
    </w:p>
  </w:footnote>
  <w:footnote w:id="154">
    <w:p w:rsidR="00E636A0" w:rsidRDefault="00E636A0" w:rsidP="00345EDF">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5">
    <w:p w:rsidR="00E636A0" w:rsidRDefault="00E636A0" w:rsidP="00345EDF">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6">
    <w:p w:rsidR="00E636A0" w:rsidRDefault="00E636A0" w:rsidP="00345EDF">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7">
    <w:p w:rsidR="00E636A0" w:rsidRDefault="00E636A0" w:rsidP="00345EDF">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AusNet Services' 2016-20 distribution determination.</w:t>
      </w:r>
    </w:p>
  </w:footnote>
  <w:footnote w:id="158">
    <w:p w:rsidR="00E636A0" w:rsidRDefault="00E636A0" w:rsidP="00D94CDE">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59">
    <w:p w:rsidR="00E636A0" w:rsidRDefault="00E636A0" w:rsidP="00345EDF">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60">
    <w:p w:rsidR="00E636A0" w:rsidRDefault="00E636A0" w:rsidP="00CC7A1C">
      <w:pPr>
        <w:pStyle w:val="FootnoteText"/>
        <w:numPr>
          <w:ilvl w:val="0"/>
          <w:numId w:val="24"/>
        </w:numPr>
      </w:pPr>
      <w:r>
        <w:rPr>
          <w:rStyle w:val="FootnoteReference"/>
        </w:rPr>
        <w:footnoteRef/>
      </w:r>
      <w:r>
        <w:t xml:space="preserve"> </w:t>
      </w:r>
      <w:r>
        <w:tab/>
        <w:t>Calculated as: 7.4% = 2.85% + 0.7 * 6.</w:t>
      </w:r>
      <w:r w:rsidRPr="000A1A8C">
        <w:t>5%</w:t>
      </w:r>
      <w:r>
        <w:t xml:space="preserve">. 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61">
    <w:p w:rsidR="00E636A0" w:rsidRDefault="00E636A0">
      <w:pPr>
        <w:pStyle w:val="FootnoteText"/>
      </w:pPr>
      <w:r>
        <w:rPr>
          <w:rStyle w:val="FootnoteReference"/>
        </w:rPr>
        <w:footnoteRef/>
      </w:r>
      <w:r>
        <w:t xml:space="preserve"> </w:t>
      </w:r>
      <w:r>
        <w:tab/>
        <w:t xml:space="preserve">Service providers have consistently proposed the use of the Sharpe-Linter CAPM (either by itself or in combination with other equity models) for estimate the return on equity. For example, see </w:t>
      </w:r>
      <w:r w:rsidRPr="00D5642A">
        <w:t xml:space="preserve">CitiPower, </w:t>
      </w:r>
      <w:r w:rsidRPr="00D5642A">
        <w:rPr>
          <w:rStyle w:val="AERtextitalic"/>
        </w:rPr>
        <w:t>Revised Regulatory Proposal 2016</w:t>
      </w:r>
      <w:r w:rsidRPr="00D5642A">
        <w:rPr>
          <w:rStyle w:val="AERtextitalic"/>
        </w:rPr>
        <w:softHyphen/>
        <w:t>–2020</w:t>
      </w:r>
      <w:r w:rsidRPr="00D5642A">
        <w:t>, January 2016, p. 284</w:t>
      </w:r>
      <w:r>
        <w:t xml:space="preserve">; </w:t>
      </w:r>
      <w:r w:rsidRPr="00D5642A">
        <w:t xml:space="preserve">AusNet Services, </w:t>
      </w:r>
      <w:r w:rsidRPr="00D5642A">
        <w:rPr>
          <w:rStyle w:val="Emphasis"/>
        </w:rPr>
        <w:t>AusNet Transmission Group Pty Ltd Transmission revised revenue review 2017–22</w:t>
      </w:r>
      <w:r>
        <w:t>, 21 September 2016</w:t>
      </w:r>
      <w:r w:rsidRPr="00D5642A">
        <w:t>.</w:t>
      </w:r>
    </w:p>
    <w:p w:rsidR="00E636A0" w:rsidRDefault="00E636A0">
      <w:pPr>
        <w:pStyle w:val="FootnoteText"/>
      </w:pPr>
      <w:r>
        <w:tab/>
        <w:t xml:space="preserve">Consumer groups have either supported the use of the Sharpe-Lintner CAPM (through support for the Guideline foundation model approach) or have not opposed the use of the model. For example see: </w:t>
      </w:r>
      <w:r w:rsidRPr="004972C2">
        <w:t xml:space="preserve">Origin Energy, </w:t>
      </w:r>
      <w:r w:rsidRPr="004972C2">
        <w:rPr>
          <w:rStyle w:val="Emphasis"/>
        </w:rPr>
        <w:t>Submission on ActewAGL’s revised access arrangement for 2016–21</w:t>
      </w:r>
      <w:r w:rsidRPr="004972C2">
        <w:t xml:space="preserve">, 4 February 2016, p. 2; Origin Energy, </w:t>
      </w:r>
      <w:r w:rsidRPr="004972C2">
        <w:rPr>
          <w:rStyle w:val="Emphasis"/>
        </w:rPr>
        <w:t>Submission on AGN’s revised access arrangement for 2016–21</w:t>
      </w:r>
      <w:r w:rsidRPr="004972C2">
        <w:t xml:space="preserve">, February 2016; Victorian Government, </w:t>
      </w:r>
      <w:r w:rsidRPr="004972C2">
        <w:rPr>
          <w:rStyle w:val="Emphasis"/>
        </w:rPr>
        <w:t>Submission on the Victorian electricity distribution network service providers’ revised regulatory proposals for 2016–20</w:t>
      </w:r>
      <w:r w:rsidRPr="004972C2">
        <w:t xml:space="preserve">, 12 February 2016, p. 1–2; EUCV, </w:t>
      </w:r>
      <w:r w:rsidRPr="004972C2">
        <w:rPr>
          <w:rStyle w:val="Emphasis"/>
        </w:rPr>
        <w:t>A response to AusNet revenue reset proposal for the 2017–2022 period</w:t>
      </w:r>
      <w:r w:rsidRPr="004972C2">
        <w:t xml:space="preserve">, 9 February 2016; AGL, </w:t>
      </w:r>
      <w:r w:rsidRPr="004972C2">
        <w:rPr>
          <w:rStyle w:val="Emphasis"/>
        </w:rPr>
        <w:t>Submission on the AER’s draft decision on AGN’s 2016–21 access arrangement</w:t>
      </w:r>
      <w:r w:rsidRPr="004972C2">
        <w:t>, 4 February 2016, p. 2.</w:t>
      </w:r>
    </w:p>
  </w:footnote>
  <w:footnote w:id="162">
    <w:p w:rsidR="00E636A0" w:rsidRDefault="00E636A0" w:rsidP="00345EDF">
      <w:pPr>
        <w:pStyle w:val="FootnoteText"/>
      </w:pPr>
      <w:r>
        <w:rPr>
          <w:rStyle w:val="FootnoteReference"/>
        </w:rPr>
        <w:footnoteRef/>
      </w:r>
      <w:r>
        <w:t xml:space="preserve"> </w:t>
      </w:r>
      <w:r>
        <w:tab/>
        <w:t>Appendix M sets out the averaging period used in this decision.</w:t>
      </w:r>
    </w:p>
  </w:footnote>
  <w:footnote w:id="163">
    <w:p w:rsidR="00E636A0" w:rsidRDefault="00E636A0">
      <w:pPr>
        <w:pStyle w:val="FootnoteText"/>
      </w:pPr>
      <w:r>
        <w:rPr>
          <w:rStyle w:val="FootnoteReference"/>
        </w:rPr>
        <w:footnoteRef/>
      </w:r>
      <w:r>
        <w:t xml:space="preserve"> </w:t>
      </w:r>
      <w:r>
        <w:tab/>
        <w:t>User submissions sometimes do not specifically mention the use of the dividend growth model. However, they generally propose a market risk premiums of 6.5 per cent or less which would be based on the use of historical returns (at least) and, to a lesser extent, the dividend growth model.</w:t>
      </w:r>
    </w:p>
  </w:footnote>
  <w:footnote w:id="164">
    <w:p w:rsidR="00E636A0" w:rsidRDefault="00E636A0">
      <w:pPr>
        <w:pStyle w:val="FootnoteText"/>
      </w:pPr>
      <w:r>
        <w:rPr>
          <w:rStyle w:val="FootnoteReference"/>
        </w:rPr>
        <w:footnoteRef/>
      </w:r>
      <w:r>
        <w:t xml:space="preserve"> </w:t>
      </w:r>
      <w:r>
        <w:tab/>
        <w:t>Where consumers groups have submitted specifically on how the beta should be estimated, they have generally proposed that the equity beta should be set with reference to empirical estimates from Olan Henry's 2014 study for the AER.</w:t>
      </w:r>
    </w:p>
  </w:footnote>
  <w:footnote w:id="165">
    <w:p w:rsidR="00E636A0" w:rsidRDefault="00E636A0">
      <w:pPr>
        <w:pStyle w:val="FootnoteText"/>
      </w:pPr>
      <w:r>
        <w:rPr>
          <w:rStyle w:val="FootnoteReference"/>
        </w:rPr>
        <w:footnoteRef/>
      </w:r>
      <w:r>
        <w:t xml:space="preserve"> </w:t>
      </w:r>
      <w:r>
        <w:tab/>
      </w:r>
      <w:r w:rsidRPr="004972C2">
        <w:t xml:space="preserve">For example, see CitiPower, </w:t>
      </w:r>
      <w:r w:rsidRPr="004972C2">
        <w:rPr>
          <w:rStyle w:val="AERtextitalic"/>
        </w:rPr>
        <w:t>Revised Regulatory Proposal 2016</w:t>
      </w:r>
      <w:r w:rsidRPr="004972C2">
        <w:rPr>
          <w:rStyle w:val="AERtextitalic"/>
        </w:rPr>
        <w:softHyphen/>
        <w:t>–2020</w:t>
      </w:r>
      <w:r w:rsidRPr="004972C2">
        <w:t xml:space="preserve">, January 2016, p. 284; AusNet Services, </w:t>
      </w:r>
      <w:r w:rsidRPr="004972C2">
        <w:rPr>
          <w:rStyle w:val="Emphasis"/>
        </w:rPr>
        <w:t>AusNet Transmission Group Pty Ltd Transmission revised revenue review 2017–22</w:t>
      </w:r>
      <w:r w:rsidRPr="004972C2">
        <w:t>, 21 September 2016.</w:t>
      </w:r>
    </w:p>
  </w:footnote>
  <w:footnote w:id="166">
    <w:p w:rsidR="00E636A0" w:rsidRDefault="00E636A0" w:rsidP="00352220">
      <w:pPr>
        <w:pStyle w:val="FootnoteText"/>
      </w:pPr>
      <w:r>
        <w:rPr>
          <w:rStyle w:val="FootnoteReference"/>
        </w:rPr>
        <w:footnoteRef/>
      </w:r>
      <w:r>
        <w:t xml:space="preserve"> </w:t>
      </w:r>
      <w:r>
        <w:tab/>
        <w:t xml:space="preserve">; </w:t>
      </w:r>
      <w:r w:rsidRPr="00F17EB3">
        <w:t xml:space="preserve">CCP (subpanel 5), </w:t>
      </w:r>
      <w:r w:rsidRPr="00D24089">
        <w:rPr>
          <w:rStyle w:val="AERtextitalic"/>
        </w:rPr>
        <w:t>Response to AER draft decision on AusNet Services transmission revenue review</w:t>
      </w:r>
      <w:r w:rsidRPr="00F17EB3">
        <w:t xml:space="preserve">, September 2016, p. 20 </w:t>
      </w:r>
      <w:r>
        <w:t xml:space="preserve">; CCP (subpanel 5), </w:t>
      </w:r>
      <w:r w:rsidRPr="00D24089">
        <w:rPr>
          <w:rStyle w:val="AERtextitalic"/>
        </w:rPr>
        <w:t>Submission on AusNet transmission revised proposal</w:t>
      </w:r>
      <w:r w:rsidRPr="00F17EB3">
        <w:t xml:space="preserve">, </w:t>
      </w:r>
      <w:r>
        <w:t xml:space="preserve">October 2016, p. 8-9;; </w:t>
      </w:r>
      <w:r w:rsidRPr="00352220">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 Cotton Australia, </w:t>
      </w:r>
      <w:r w:rsidRPr="005E5104">
        <w:rPr>
          <w:rStyle w:val="AERtextitalic"/>
        </w:rPr>
        <w:t>Re: AER Draft Decision–Powerlink Electricity transmission revised revenue proposal 2017–2022</w:t>
      </w:r>
      <w:r>
        <w:t xml:space="preserve">, 22 December 2016; Queensland farmers’ federation, </w:t>
      </w:r>
      <w:r w:rsidRPr="005E5104">
        <w:rPr>
          <w:rStyle w:val="AERtextitalic"/>
        </w:rPr>
        <w:t>Re: Response on Australian Energy Regulator (AER) Draft Decision on Powerlink ‘s revenue proposal for the 2017/18 –2021/22 regulatory period</w:t>
      </w:r>
      <w:r>
        <w:t xml:space="preserve">, 30 November 2016;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25 November 2016,</w:t>
      </w:r>
      <w:r>
        <w:t xml:space="preserve"> p. 28;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12 December 2016, p. 31.</w:t>
      </w:r>
      <w:r>
        <w:t xml:space="preserve"> </w:t>
      </w:r>
    </w:p>
  </w:footnote>
  <w:footnote w:id="167">
    <w:p w:rsidR="00E636A0" w:rsidRDefault="00E636A0" w:rsidP="00180347">
      <w:pPr>
        <w:pStyle w:val="FootnoteText"/>
      </w:pPr>
      <w:r>
        <w:rPr>
          <w:rStyle w:val="FootnoteReference"/>
        </w:rPr>
        <w:footnoteRef/>
      </w:r>
      <w:r>
        <w:t xml:space="preserve"> </w:t>
      </w:r>
      <w:r>
        <w:tab/>
        <w:t>CCP (subpanel 5</w:t>
      </w:r>
      <w:r w:rsidRPr="005E5104">
        <w:rPr>
          <w:rStyle w:val="AERtextitalic"/>
        </w:rPr>
        <w:t>), Transmission for the Generations III–Response to: Revised revenue proposal by AusNet Services for Transmission Revenue Review 2017–22</w:t>
      </w:r>
      <w:r>
        <w:t xml:space="preserve">, October 2016, pp. 9–11; CCP (subpanel 5), </w:t>
      </w:r>
      <w:r w:rsidRPr="005E5104">
        <w:rPr>
          <w:rStyle w:val="AERtextitalic"/>
        </w:rPr>
        <w:t>Transmission for the Generations III–Response to: AER draft decision for AusNet Services’ Transmission Revenue Review 2017–22</w:t>
      </w:r>
      <w:r>
        <w:t xml:space="preserve">, October 2016, pp. 20–21; CCP4 (Hugh Grant), </w:t>
      </w:r>
      <w:r w:rsidRPr="0063500D">
        <w:rPr>
          <w:rStyle w:val="Emphasis"/>
        </w:rPr>
        <w:t>Submission on Powerlink draft decision and revised proposal</w:t>
      </w:r>
      <w:r>
        <w:t xml:space="preserve">, 23 December 2016, pp. 5 &amp; 39-42; CCP4 (David Headberry), </w:t>
      </w:r>
      <w:r w:rsidRPr="0063500D">
        <w:rPr>
          <w:rStyle w:val="Emphasis"/>
        </w:rPr>
        <w:t>Submission on Powerlink draft decision and revised proposal</w:t>
      </w:r>
      <w:r>
        <w:t xml:space="preserve">, 23 December 2016, P21; CCP4 (Hugh Grant and David Headberry),  </w:t>
      </w:r>
      <w:r w:rsidRPr="005E5104">
        <w:rPr>
          <w:rStyle w:val="AERtextitalic"/>
        </w:rPr>
        <w:t>Submission to the AER, Powerlink Queensland 2018-22 revenue proposal</w:t>
      </w:r>
      <w:r>
        <w:t xml:space="preserve">, June 2016, pp. 45-6; </w:t>
      </w:r>
      <w:r w:rsidRPr="00180347">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5E5104">
        <w:rPr>
          <w:rStyle w:val="AERtextitalic"/>
        </w:rPr>
        <w:t>Submission to the AER: AER draft 2018–22 revenue decision Powerlink revised 208–22 revenue proposal</w:t>
      </w:r>
      <w:r>
        <w:t>, 23 December 2016, pp. 44–47.</w:t>
      </w:r>
    </w:p>
  </w:footnote>
  <w:footnote w:id="168">
    <w:p w:rsidR="00E636A0" w:rsidRDefault="00E636A0" w:rsidP="0087773E">
      <w:pPr>
        <w:pStyle w:val="FootnoteText"/>
      </w:pPr>
      <w:r>
        <w:rPr>
          <w:rStyle w:val="FootnoteReference"/>
        </w:rPr>
        <w:footnoteRef/>
      </w:r>
      <w:r>
        <w:t xml:space="preserve"> </w:t>
      </w:r>
      <w:r>
        <w:tab/>
        <w:t>The multi-model approach estimates a return on equity by combining estimates from four equity models: Sharpe–Lintner, Black, Fama–French and Wright.</w:t>
      </w:r>
    </w:p>
  </w:footnote>
  <w:footnote w:id="169">
    <w:p w:rsidR="00E636A0" w:rsidRDefault="00E636A0" w:rsidP="0087773E">
      <w:pPr>
        <w:pStyle w:val="FootnoteText"/>
      </w:pPr>
      <w:r>
        <w:rPr>
          <w:rStyle w:val="FootnoteReference"/>
        </w:rPr>
        <w:footnoteRef/>
      </w:r>
      <w:r>
        <w:t xml:space="preserve"> </w:t>
      </w:r>
      <w:r>
        <w:tab/>
        <w:t>For example, AusGrid proposed a multi-model approach for estimating the return on equity in its distribution revenue proposal for the 2014–2019 regulatory period.</w:t>
      </w:r>
    </w:p>
  </w:footnote>
  <w:footnote w:id="170">
    <w:p w:rsidR="00E636A0" w:rsidRDefault="00E636A0" w:rsidP="0087773E">
      <w:pPr>
        <w:pStyle w:val="FootnoteText"/>
      </w:pPr>
      <w:r>
        <w:rPr>
          <w:rStyle w:val="FootnoteReference"/>
        </w:rPr>
        <w:footnoteRef/>
      </w:r>
      <w:r>
        <w:t xml:space="preserve"> </w:t>
      </w:r>
      <w:r>
        <w:tab/>
        <w:t>Australian Competition Tribunal, A</w:t>
      </w:r>
      <w:r w:rsidRPr="005E5104">
        <w:rPr>
          <w:rStyle w:val="AERtextitalic"/>
        </w:rPr>
        <w:t>pplications by Public Interest Advocacy Centre Ltd and Ausgrid [2016] ACompT 1</w:t>
      </w:r>
      <w:r>
        <w:t>, 26 February 2016.</w:t>
      </w:r>
    </w:p>
  </w:footnote>
  <w:footnote w:id="171">
    <w:p w:rsidR="00E636A0" w:rsidRDefault="00E636A0" w:rsidP="0087773E">
      <w:pPr>
        <w:pStyle w:val="FootnoteText"/>
      </w:pPr>
      <w:r>
        <w:rPr>
          <w:rStyle w:val="FootnoteReference"/>
        </w:rPr>
        <w:footnoteRef/>
      </w:r>
      <w:r>
        <w:t xml:space="preserve"> </w:t>
      </w:r>
      <w:r>
        <w:tab/>
      </w:r>
      <w:r w:rsidRPr="00680BC2">
        <w:t xml:space="preserve">AusNet Services, </w:t>
      </w:r>
      <w:r w:rsidRPr="00680BC2">
        <w:rPr>
          <w:rStyle w:val="Emphasis"/>
        </w:rPr>
        <w:t>AusNet Transmission Group Pty Ltd Transmission revised revenue review 2017–22</w:t>
      </w:r>
      <w:r w:rsidRPr="00680BC2">
        <w:t>, 21 September 2016, p</w:t>
      </w:r>
      <w:r>
        <w:t>. 138; TasNetworks, T</w:t>
      </w:r>
      <w:r w:rsidRPr="005E5104">
        <w:rPr>
          <w:rStyle w:val="AERtextitalic"/>
        </w:rPr>
        <w:t>asmanian Distribution Revised Regulatory Proposal Regulatory Control Period 1 July 2017 to 30 June 2019</w:t>
      </w:r>
      <w:r>
        <w:t>, December 2016, p. 7; Powerlink</w:t>
      </w:r>
      <w:r w:rsidRPr="005E5104">
        <w:rPr>
          <w:rStyle w:val="AERtextitalic"/>
        </w:rPr>
        <w:t>, 2018–22 Powerlink Queensland revised revenue proposa</w:t>
      </w:r>
      <w:r>
        <w:t>l, December 2016, p. 11.</w:t>
      </w:r>
    </w:p>
  </w:footnote>
  <w:footnote w:id="172">
    <w:p w:rsidR="00E636A0" w:rsidRDefault="00E636A0" w:rsidP="00CF13CB">
      <w:pPr>
        <w:pStyle w:val="FootnoteText"/>
      </w:pPr>
      <w:r>
        <w:rPr>
          <w:rStyle w:val="FootnoteReference"/>
        </w:rPr>
        <w:footnoteRef/>
      </w:r>
      <w:r>
        <w:t xml:space="preserve"> </w:t>
      </w:r>
      <w:r>
        <w:tab/>
      </w:r>
      <w:r w:rsidRPr="008A0A6F">
        <w:t xml:space="preserve">AusNet Services, </w:t>
      </w:r>
      <w:r w:rsidRPr="008A0A6F">
        <w:rPr>
          <w:rStyle w:val="Emphasis"/>
        </w:rPr>
        <w:t>AusNet Transmission Group Pty Ltd Transmission revised revenue review 2017–22</w:t>
      </w:r>
      <w:r w:rsidRPr="008A0A6F">
        <w:t>, 21 September 2016, p</w:t>
      </w:r>
      <w:r>
        <w:t>. 143.</w:t>
      </w:r>
    </w:p>
  </w:footnote>
  <w:footnote w:id="173">
    <w:p w:rsidR="00E636A0" w:rsidRDefault="00E636A0">
      <w:pPr>
        <w:pStyle w:val="FootnoteText"/>
      </w:pPr>
      <w:r>
        <w:rPr>
          <w:rStyle w:val="FootnoteReference"/>
        </w:rPr>
        <w:footnoteRef/>
      </w:r>
      <w:r>
        <w:t xml:space="preserve"> </w:t>
      </w:r>
      <w:r>
        <w:tab/>
      </w:r>
      <w:r w:rsidRPr="008A0A6F">
        <w:t xml:space="preserve">AusNet Services, </w:t>
      </w:r>
      <w:r w:rsidRPr="008A0A6F">
        <w:rPr>
          <w:rStyle w:val="Emphasis"/>
        </w:rPr>
        <w:t>AusNet Transmission Group Pty Ltd Transmission revised revenue review 2017–22</w:t>
      </w:r>
      <w:r w:rsidRPr="008A0A6F">
        <w:t>, 21 September 2016, p</w:t>
      </w:r>
      <w:r>
        <w:t>p. 143–146.</w:t>
      </w:r>
    </w:p>
  </w:footnote>
  <w:footnote w:id="174">
    <w:p w:rsidR="00E636A0" w:rsidRDefault="00E636A0" w:rsidP="00CF13CB">
      <w:pPr>
        <w:pStyle w:val="FootnoteText"/>
      </w:pPr>
      <w:r>
        <w:rPr>
          <w:rStyle w:val="FootnoteReference"/>
        </w:rPr>
        <w:footnoteRef/>
      </w:r>
      <w:r>
        <w:t xml:space="preserve"> </w:t>
      </w:r>
      <w:r>
        <w:tab/>
        <w:t>We received many stakeholder submissions supporting our guideline approach including:</w:t>
      </w:r>
      <w:r w:rsidRPr="00D40AFA">
        <w:t xml:space="preserve">; CCP4 (David Headberry), </w:t>
      </w:r>
      <w:r w:rsidRPr="005E5104">
        <w:rPr>
          <w:rStyle w:val="AERtextitalic"/>
        </w:rPr>
        <w:t>Response to the AER Draft Decision and Revised Proposal to Powerlink's electricity transmission network for a revenue reset for the 2017-2019 regulatory period</w:t>
      </w:r>
      <w:r w:rsidRPr="00D40AFA">
        <w:t xml:space="preserve">, 19 December 2016, p. 2; Cotton Australia, </w:t>
      </w:r>
      <w:r w:rsidRPr="005E5104">
        <w:rPr>
          <w:rStyle w:val="AERtextitalic"/>
        </w:rPr>
        <w:t>Re: AER Draft Decision–Powerlink Electricity transmission revised revenue proposal 2017–2022</w:t>
      </w:r>
      <w:r w:rsidRPr="00D40AFA">
        <w:t xml:space="preserve">, 22 December 2016; Queensland farmers’ federation, </w:t>
      </w:r>
      <w:r w:rsidRPr="005E5104">
        <w:rPr>
          <w:rStyle w:val="AERtextitalic"/>
        </w:rPr>
        <w:t>Re: Response on Australian Energy Regulator (AER) Draft Decision on Powerlink ‘s revenue proposal for the 2017/18 –2021/22 regulatory period</w:t>
      </w:r>
      <w:r w:rsidRPr="00D40AFA">
        <w:t xml:space="preserve">, 30 November 2016;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xml:space="preserve">, 25 November 2016, p. 28;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12 December 2016, p. 31.</w:t>
      </w:r>
    </w:p>
  </w:footnote>
  <w:footnote w:id="175">
    <w:p w:rsidR="00E636A0" w:rsidRDefault="00E636A0">
      <w:pPr>
        <w:pStyle w:val="FootnoteText"/>
      </w:pPr>
      <w:r>
        <w:rPr>
          <w:rStyle w:val="FootnoteReference"/>
        </w:rPr>
        <w:footnoteRef/>
      </w:r>
      <w:r>
        <w:t xml:space="preserve"> </w:t>
      </w:r>
      <w:r>
        <w:tab/>
        <w:t xml:space="preserve">AER, </w:t>
      </w:r>
      <w:r w:rsidRPr="005E5104">
        <w:rPr>
          <w:rStyle w:val="AERtextitalic"/>
        </w:rPr>
        <w:t>Final decision SA Power Networks determination 2015–16 to 2019–20: Attachment 3–Rate of return</w:t>
      </w:r>
      <w:r>
        <w:t>, October 2015, pp. 43–106.</w:t>
      </w:r>
    </w:p>
  </w:footnote>
  <w:footnote w:id="176">
    <w:p w:rsidR="00E636A0" w:rsidRDefault="00E636A0">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77">
    <w:p w:rsidR="00E636A0" w:rsidRDefault="00E636A0">
      <w:pPr>
        <w:pStyle w:val="FootnoteText"/>
      </w:pPr>
      <w:r>
        <w:rPr>
          <w:rStyle w:val="FootnoteReference"/>
        </w:rPr>
        <w:footnoteRef/>
      </w:r>
      <w:r>
        <w:t xml:space="preserve"> </w:t>
      </w:r>
      <w:r>
        <w:tab/>
        <w:t>As set out in NER cl.6; NER cl. 6A; NGR</w:t>
      </w:r>
    </w:p>
  </w:footnote>
  <w:footnote w:id="178">
    <w:p w:rsidR="00E636A0" w:rsidRDefault="00E636A0">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sidRPr="00D60AEA">
        <w:t>–</w:t>
      </w:r>
      <w:r>
        <w:t>13.</w:t>
      </w:r>
    </w:p>
  </w:footnote>
  <w:footnote w:id="179">
    <w:p w:rsidR="00E636A0" w:rsidRDefault="00E636A0">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80">
    <w:p w:rsidR="00E636A0" w:rsidRDefault="00E636A0" w:rsidP="00D60AEA">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81">
    <w:p w:rsidR="00E636A0" w:rsidRDefault="00E636A0" w:rsidP="00C77169">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82">
    <w:p w:rsidR="00E636A0" w:rsidRDefault="00E636A0">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83">
    <w:p w:rsidR="00E636A0" w:rsidRDefault="00E636A0">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4">
    <w:p w:rsidR="00E636A0" w:rsidRDefault="00E636A0">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April 2015, p. 54].</w:t>
      </w:r>
    </w:p>
  </w:footnote>
  <w:footnote w:id="185">
    <w:p w:rsidR="00E636A0" w:rsidRDefault="00E636A0">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86">
    <w:p w:rsidR="00E636A0" w:rsidRDefault="00E636A0">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Queensland farmers’ federation, </w:t>
      </w:r>
      <w:r w:rsidRPr="00635D29">
        <w:rPr>
          <w:rStyle w:val="AERtextitalic"/>
        </w:rPr>
        <w:t>Re: Response on Australian Energy Regulator (AER) Draft Decision on Powerlink ‘s revenue proposal for the 2017/18 –2021/22 regulatory period</w:t>
      </w:r>
      <w:r>
        <w:t xml:space="preserve">, 30 November 2016; </w:t>
      </w:r>
    </w:p>
  </w:footnote>
  <w:footnote w:id="187">
    <w:p w:rsidR="00E636A0" w:rsidRDefault="00E636A0">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88">
    <w:p w:rsidR="00E636A0" w:rsidRDefault="00E636A0">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89">
    <w:p w:rsidR="00E636A0" w:rsidRDefault="00E636A0" w:rsidP="00E31230">
      <w:pPr>
        <w:pStyle w:val="FootnoteText"/>
      </w:pPr>
      <w:r>
        <w:rPr>
          <w:rStyle w:val="FootnoteReference"/>
        </w:rPr>
        <w:footnoteRef/>
      </w:r>
      <w:r>
        <w:tab/>
        <w:t xml:space="preserve">For example, see: </w:t>
      </w:r>
      <w:r w:rsidRPr="00853443">
        <w:t xml:space="preserve">AER, Final decision SA Power Networks determination 2015–16 to 2019–20: Attachment 3–Rate of return, October 2015, pp. </w:t>
      </w:r>
      <w:r>
        <w:t xml:space="preserve">257–323; AER, </w:t>
      </w:r>
      <w:r w:rsidRPr="00853443">
        <w:t xml:space="preserve">Final decision </w:t>
      </w:r>
      <w:r>
        <w:t>AusNet Services distribution</w:t>
      </w:r>
      <w:r w:rsidRPr="00853443">
        <w:t xml:space="preserve"> determination </w:t>
      </w:r>
      <w:r>
        <w:t>2016 to 2020</w:t>
      </w:r>
      <w:r w:rsidRPr="00853443">
        <w:t xml:space="preserve">: Attachment 3–Rate of return, </w:t>
      </w:r>
      <w:r>
        <w:t>May 2016</w:t>
      </w:r>
      <w:r w:rsidRPr="00853443">
        <w:t xml:space="preserve">, pp. </w:t>
      </w:r>
      <w:r>
        <w:t>165–212.</w:t>
      </w:r>
    </w:p>
  </w:footnote>
  <w:footnote w:id="190">
    <w:p w:rsidR="00E636A0" w:rsidRDefault="00E636A0">
      <w:pPr>
        <w:pStyle w:val="FootnoteText"/>
      </w:pPr>
      <w:r>
        <w:rPr>
          <w:rStyle w:val="FootnoteReference"/>
        </w:rPr>
        <w:footnoteRef/>
      </w:r>
      <w:r>
        <w:t xml:space="preserve"> </w:t>
      </w:r>
      <w:r>
        <w:tab/>
      </w:r>
      <w:r w:rsidRPr="002B3EFB">
        <w:t xml:space="preserve">McKenzie, Partington, </w:t>
      </w:r>
      <w:r w:rsidRPr="007B70AB">
        <w:rPr>
          <w:rStyle w:val="AERtextitalic"/>
        </w:rPr>
        <w:t>Report to the AER: Supplementary report on the equity market risk premium</w:t>
      </w:r>
      <w:r w:rsidRPr="002B3EFB">
        <w:t>, 22 February 2012, pp. 11–12.</w:t>
      </w:r>
    </w:p>
  </w:footnote>
  <w:footnote w:id="191">
    <w:p w:rsidR="00E636A0" w:rsidRDefault="00E636A0">
      <w:pPr>
        <w:pStyle w:val="FootnoteText"/>
      </w:pPr>
      <w:r>
        <w:rPr>
          <w:rStyle w:val="FootnoteReference"/>
        </w:rPr>
        <w:footnoteRef/>
      </w:r>
      <w:r>
        <w:t xml:space="preserve"> </w:t>
      </w:r>
      <w:r>
        <w:tab/>
        <w:t xml:space="preserve">AER, </w:t>
      </w:r>
      <w:r w:rsidRPr="00664F75">
        <w:rPr>
          <w:rStyle w:val="AERtextitalic"/>
        </w:rPr>
        <w:t>Final decision SA Power Networks determination 2015–16 to 2019–20: Attachment 3–Rate of return</w:t>
      </w:r>
      <w:r>
        <w:t xml:space="preserve">, October 2015, pp. 257–323; AER, </w:t>
      </w:r>
      <w:r w:rsidRPr="00664F75">
        <w:rPr>
          <w:rStyle w:val="AERtextitalic"/>
        </w:rPr>
        <w:t>Final decision AusNet Services distribution determination 2016 to 2020: Attachment 3–Rate of return</w:t>
      </w:r>
      <w:r w:rsidRPr="00853443">
        <w:t>, May 2016</w:t>
      </w:r>
      <w:r>
        <w:t xml:space="preserve">, pp. 139–190  </w:t>
      </w:r>
    </w:p>
  </w:footnote>
  <w:footnote w:id="192">
    <w:p w:rsidR="00E636A0" w:rsidRDefault="00E636A0" w:rsidP="008B2351">
      <w:pPr>
        <w:pStyle w:val="FootnoteText"/>
      </w:pPr>
      <w:r>
        <w:rPr>
          <w:rStyle w:val="FootnoteReference"/>
        </w:rPr>
        <w:footnoteRef/>
      </w:r>
      <w:r>
        <w:t xml:space="preserve">  </w:t>
      </w:r>
      <w:r>
        <w:tab/>
        <w:t xml:space="preserve">AER, </w:t>
      </w:r>
      <w:r w:rsidRPr="007B70AB">
        <w:rPr>
          <w:rStyle w:val="AERtextitalic"/>
        </w:rPr>
        <w:t>Explanatory statement to the rate of return guideline</w:t>
      </w:r>
      <w:r>
        <w:t>, December 2013, pp. 48</w:t>
      </w:r>
      <w:r>
        <w:rPr>
          <w:rFonts w:cs="Arial"/>
        </w:rPr>
        <w:t>–</w:t>
      </w:r>
      <w:r>
        <w:t>49.</w:t>
      </w:r>
    </w:p>
  </w:footnote>
  <w:footnote w:id="193">
    <w:p w:rsidR="00E636A0" w:rsidRDefault="00E636A0" w:rsidP="00385F4D">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7B70AB">
        <w:rPr>
          <w:rStyle w:val="AERtextitalic"/>
        </w:rPr>
        <w:t>The risk free rate and the present value principle</w:t>
      </w:r>
      <w:r w:rsidRPr="002B3EFB">
        <w:t>, November 2012, p.</w:t>
      </w:r>
      <w:r>
        <w:t xml:space="preserve"> </w:t>
      </w:r>
      <w:r w:rsidRPr="002B3EFB">
        <w:t>5. Lally discusses these risks in his report. Lally,</w:t>
      </w:r>
      <w:r>
        <w:t xml:space="preserve"> </w:t>
      </w:r>
      <w:r w:rsidRPr="007B70AB">
        <w:rPr>
          <w:rStyle w:val="AERtextitalic"/>
        </w:rPr>
        <w:t>The present value principle</w:t>
      </w:r>
      <w:r w:rsidRPr="002B3EFB">
        <w:t>, March 2013, p</w:t>
      </w:r>
      <w:r>
        <w:t>p</w:t>
      </w:r>
      <w:r w:rsidRPr="002B3EFB">
        <w:t>. 10</w:t>
      </w:r>
      <w:r>
        <w:rPr>
          <w:rFonts w:cs="Arial"/>
        </w:rPr>
        <w:t>–</w:t>
      </w:r>
      <w:r w:rsidRPr="002B3EFB">
        <w:t>12.</w:t>
      </w:r>
    </w:p>
  </w:footnote>
  <w:footnote w:id="194">
    <w:p w:rsidR="00E636A0" w:rsidRDefault="00E636A0" w:rsidP="00385F4D">
      <w:pPr>
        <w:pStyle w:val="FootnoteText"/>
      </w:pPr>
      <w:r>
        <w:rPr>
          <w:rStyle w:val="FootnoteReference"/>
        </w:rPr>
        <w:footnoteRef/>
      </w:r>
      <w:r>
        <w:t xml:space="preserve"> </w:t>
      </w:r>
      <w:r>
        <w:tab/>
      </w:r>
      <w:r w:rsidRPr="002B3EFB">
        <w:t xml:space="preserve">Standard and Poor's, viewed 5 March 2013, </w:t>
      </w:r>
      <w:hyperlink r:id="rId11" w:history="1">
        <w:r w:rsidRPr="008A31AD">
          <w:rPr>
            <w:rStyle w:val="Hyperlink"/>
            <w:color w:val="auto"/>
            <w:sz w:val="16"/>
            <w:u w:val="none"/>
          </w:rPr>
          <w:t>http://www.standardandpoors.com/prot/ratings/entityratings/</w:t>
        </w:r>
      </w:hyperlink>
      <w:r w:rsidRPr="008A31AD">
        <w:t>en/us</w:t>
      </w:r>
      <w:r w:rsidRPr="002B3EFB">
        <w:t>/</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hyperlink r:id="rId12" w:history="1">
        <w:r w:rsidRPr="000C679D">
          <w:rPr>
            <w:rStyle w:val="Hyperlink"/>
            <w:sz w:val="16"/>
          </w:rPr>
          <w:t>http://www.fitchratings.com/gws/en/esp/issr/80442187</w:t>
        </w:r>
      </w:hyperlink>
      <w:r>
        <w:t xml:space="preserve">. Also see AOFM, </w:t>
      </w:r>
      <w:r w:rsidRPr="00496DF0">
        <w:rPr>
          <w:rStyle w:val="AERtextitalic"/>
        </w:rPr>
        <w:t>Australian government securities: Major features of the AGS market</w:t>
      </w:r>
      <w:r>
        <w:t xml:space="preserve">, last updated 12 February 2015, viewed on 15 October 2015, link </w:t>
      </w:r>
      <w:hyperlink r:id="rId13" w:history="1">
        <w:r w:rsidRPr="000C679D">
          <w:rPr>
            <w:rStyle w:val="Hyperlink"/>
            <w:sz w:val="16"/>
          </w:rPr>
          <w:t>http://aofm.gov.au/ags/</w:t>
        </w:r>
      </w:hyperlink>
      <w:r>
        <w:t>.</w:t>
      </w:r>
    </w:p>
  </w:footnote>
  <w:footnote w:id="195">
    <w:p w:rsidR="00E636A0" w:rsidRDefault="00E636A0" w:rsidP="00385F4D">
      <w:pPr>
        <w:pStyle w:val="FootnoteText"/>
      </w:pPr>
      <w:r>
        <w:rPr>
          <w:rStyle w:val="FootnoteReference"/>
        </w:rPr>
        <w:footnoteRef/>
      </w:r>
      <w:r>
        <w:t xml:space="preserve"> </w:t>
      </w:r>
      <w:r>
        <w:tab/>
      </w:r>
      <w:r w:rsidRPr="002B3EFB">
        <w:t xml:space="preserve">See, for example, Lally, </w:t>
      </w:r>
      <w:r w:rsidRPr="007B70AB">
        <w:rPr>
          <w:rStyle w:val="AERtextitalic"/>
        </w:rPr>
        <w:t>The present value principle</w:t>
      </w:r>
      <w:r w:rsidRPr="002B3EFB">
        <w:t xml:space="preserve">, March 2013, p. 13, and Wright, </w:t>
      </w:r>
      <w:r w:rsidRPr="007B70AB">
        <w:rPr>
          <w:rStyle w:val="AERtextitalic"/>
        </w:rPr>
        <w:t>Review of risk free rate and Cost of equity estimates: A comparison of UK approaches with the AER</w:t>
      </w:r>
      <w:r>
        <w:t xml:space="preserve">, October 2012, p. 3; </w:t>
      </w:r>
      <w:r w:rsidRPr="002B3EFB">
        <w:t xml:space="preserve">RBA, </w:t>
      </w:r>
      <w:r w:rsidRPr="007B70AB">
        <w:rPr>
          <w:rStyle w:val="AERtextitalic"/>
        </w:rPr>
        <w:t>Letter regarding the CGS market</w:t>
      </w:r>
      <w:r w:rsidRPr="002B3EFB">
        <w:t xml:space="preserve">, July 2012; Treasury and AOFM, </w:t>
      </w:r>
      <w:r w:rsidRPr="007B70AB">
        <w:rPr>
          <w:rStyle w:val="AERtextitalic"/>
        </w:rPr>
        <w:t>Letter regarding the CGS Market</w:t>
      </w:r>
      <w:r w:rsidRPr="002B3EFB">
        <w:t>, July 2012.</w:t>
      </w:r>
    </w:p>
  </w:footnote>
  <w:footnote w:id="196">
    <w:p w:rsidR="00E636A0" w:rsidRDefault="00E636A0" w:rsidP="00385F4D">
      <w:pPr>
        <w:pStyle w:val="FootnoteText"/>
      </w:pPr>
      <w:r>
        <w:rPr>
          <w:rStyle w:val="FootnoteReference"/>
        </w:rPr>
        <w:footnoteRef/>
      </w:r>
      <w:r>
        <w:t xml:space="preserve"> </w:t>
      </w:r>
      <w:r>
        <w:tab/>
        <w:t xml:space="preserve">For example, see </w:t>
      </w:r>
      <w:r w:rsidRPr="00902D5F">
        <w:t xml:space="preserve">ENA, </w:t>
      </w:r>
      <w:r w:rsidRPr="007B70AB">
        <w:rPr>
          <w:rStyle w:val="AERtextitalic"/>
        </w:rPr>
        <w:t>Response to the draft guideline</w:t>
      </w:r>
      <w:r w:rsidRPr="00902D5F">
        <w:t xml:space="preserve">, October 2013, p. 30; </w:t>
      </w:r>
      <w:r>
        <w:t>APA Group</w:t>
      </w:r>
      <w:r w:rsidRPr="00902D5F">
        <w:t xml:space="preserve">, </w:t>
      </w:r>
      <w:r w:rsidRPr="007B70AB">
        <w:rPr>
          <w:rStyle w:val="AERtextitalic"/>
        </w:rPr>
        <w:t>Submission on the draft guideline</w:t>
      </w:r>
      <w:r w:rsidRPr="00902D5F">
        <w:t xml:space="preserve">, October 2013, p. 23-24; NSW DNSPs, </w:t>
      </w:r>
      <w:r w:rsidRPr="007B70AB">
        <w:rPr>
          <w:rStyle w:val="AERtextitalic"/>
        </w:rPr>
        <w:t>Submission on the draft guideline</w:t>
      </w:r>
      <w:r w:rsidRPr="00902D5F">
        <w:t xml:space="preserve">, October 2013, p. 18. Spark Infrastructure, </w:t>
      </w:r>
      <w:r w:rsidRPr="007B70AB">
        <w:rPr>
          <w:rStyle w:val="AERtextitalic"/>
        </w:rPr>
        <w:t>Response to the draft guideline</w:t>
      </w:r>
      <w:r w:rsidRPr="00902D5F">
        <w:t>, October 2013, p. 4.</w:t>
      </w:r>
    </w:p>
  </w:footnote>
  <w:footnote w:id="197">
    <w:p w:rsidR="00E636A0" w:rsidRDefault="00E636A0" w:rsidP="00385F4D">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198">
    <w:p w:rsidR="00E636A0" w:rsidRDefault="00E636A0" w:rsidP="00D40AFA">
      <w:pPr>
        <w:pStyle w:val="FootnoteText"/>
      </w:pPr>
      <w:r>
        <w:rPr>
          <w:rStyle w:val="FootnoteReference"/>
        </w:rPr>
        <w:footnoteRef/>
      </w:r>
      <w:r>
        <w:t xml:space="preserve"> </w:t>
      </w:r>
      <w:r>
        <w:tab/>
      </w:r>
      <w:r w:rsidRPr="00F16C7A">
        <w:t xml:space="preserve"> </w:t>
      </w:r>
      <w:r>
        <w:t>TasNetworks</w:t>
      </w:r>
      <w:r w:rsidRPr="00E91B81">
        <w:rPr>
          <w:rStyle w:val="AERtextitalic"/>
        </w:rPr>
        <w:t xml:space="preserve">, </w:t>
      </w:r>
      <w:r>
        <w:rPr>
          <w:rStyle w:val="AERtextitalic"/>
        </w:rPr>
        <w:t>Tasmanian Distribution Revised Regulatory Proposal Regulatory Control Period 1 July 2017 to 30 June 2019</w:t>
      </w:r>
      <w:r>
        <w:t xml:space="preserve">, December 2016, p. 7; AER, </w:t>
      </w:r>
      <w:r w:rsidRPr="00E91B81">
        <w:rPr>
          <w:rStyle w:val="AERtextitalic"/>
        </w:rPr>
        <w:t>Draft decision TasNetworks distribution determination 2017–18 to 2018–19 (confidential) Attachment 3: Rate of return Appendix D: Rate of return – equity and debt averaging periods</w:t>
      </w:r>
      <w:r>
        <w:t>, September 2016.</w:t>
      </w:r>
    </w:p>
  </w:footnote>
  <w:footnote w:id="199">
    <w:p w:rsidR="00E636A0" w:rsidRDefault="00E636A0" w:rsidP="008B2351">
      <w:pPr>
        <w:pStyle w:val="FootnoteText"/>
      </w:pPr>
      <w:r>
        <w:rPr>
          <w:rStyle w:val="FootnoteReference"/>
        </w:rPr>
        <w:footnoteRef/>
      </w:r>
      <w:r>
        <w:t xml:space="preserve"> </w:t>
      </w:r>
      <w:r>
        <w:tab/>
        <w:t>NER, cll. 6.5</w:t>
      </w:r>
      <w:r w:rsidRPr="009477CD">
        <w:t>.2(</w:t>
      </w:r>
      <w:r>
        <w:t>f</w:t>
      </w:r>
      <w:r w:rsidRPr="009477CD">
        <w:t>)</w:t>
      </w:r>
      <w:r>
        <w:t>; NER, cll. 6A.6.2(f); NGR, rr. 87(6).</w:t>
      </w:r>
    </w:p>
  </w:footnote>
  <w:footnote w:id="200">
    <w:p w:rsidR="00E636A0" w:rsidRDefault="00E636A0" w:rsidP="008B2351">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201">
    <w:p w:rsidR="00E636A0" w:rsidRDefault="00E636A0" w:rsidP="008B2351">
      <w:pPr>
        <w:pStyle w:val="FootnoteText"/>
      </w:pPr>
      <w:r>
        <w:rPr>
          <w:rStyle w:val="FootnoteReference"/>
        </w:rPr>
        <w:footnoteRef/>
      </w:r>
      <w:r>
        <w:t xml:space="preserve"> </w:t>
      </w:r>
      <w:r>
        <w:tab/>
        <w:t>NER, cll. 6.5.2(g); NER, cll. 6A.6.2(g); NGR, rr. 87(7).</w:t>
      </w:r>
    </w:p>
  </w:footnote>
  <w:footnote w:id="202">
    <w:p w:rsidR="00E636A0" w:rsidRDefault="00E636A0" w:rsidP="008B2351">
      <w:pPr>
        <w:pStyle w:val="FootnoteText"/>
      </w:pPr>
      <w:r>
        <w:rPr>
          <w:rStyle w:val="FootnoteReference"/>
        </w:rPr>
        <w:footnoteRef/>
      </w:r>
      <w:r>
        <w:t xml:space="preserve"> </w:t>
      </w:r>
      <w:r>
        <w:tab/>
        <w:t xml:space="preserve">NER, cl. 6.5.2(f); NER, cl. 6A.6.2(f); </w:t>
      </w:r>
      <w:r w:rsidRPr="00565069">
        <w:t>NGR, r. 87(6).</w:t>
      </w:r>
    </w:p>
  </w:footnote>
  <w:footnote w:id="203">
    <w:p w:rsidR="00E636A0" w:rsidRDefault="00E636A0" w:rsidP="008B2351">
      <w:pPr>
        <w:pStyle w:val="FootnoteText"/>
      </w:pPr>
      <w:r>
        <w:rPr>
          <w:rStyle w:val="FootnoteReference"/>
        </w:rPr>
        <w:footnoteRef/>
      </w:r>
      <w:r>
        <w:t xml:space="preserve"> </w:t>
      </w:r>
      <w:r>
        <w:tab/>
      </w:r>
      <w:r w:rsidRPr="00565069">
        <w:t xml:space="preserve">AER, </w:t>
      </w:r>
      <w:r>
        <w:rPr>
          <w:rStyle w:val="AERtextitalic"/>
        </w:rPr>
        <w:t>R</w:t>
      </w:r>
      <w:r w:rsidRPr="00AB221C">
        <w:rPr>
          <w:rStyle w:val="AERtextitalic"/>
        </w:rPr>
        <w:t>ate of return guideline</w:t>
      </w:r>
      <w:r>
        <w:t>, 17 December 2013, p. 15, 74–82.</w:t>
      </w:r>
    </w:p>
  </w:footnote>
  <w:footnote w:id="204">
    <w:p w:rsidR="00E636A0" w:rsidRDefault="00E636A0" w:rsidP="008B2351">
      <w:pPr>
        <w:pStyle w:val="FootnoteText"/>
      </w:pPr>
      <w:r>
        <w:rPr>
          <w:rStyle w:val="FootnoteReference"/>
        </w:rPr>
        <w:footnoteRef/>
      </w:r>
      <w:r>
        <w:t xml:space="preserve"> </w:t>
      </w:r>
      <w:r>
        <w:tab/>
        <w:t xml:space="preserve">This was recognised in Australian Competition Tribunal, </w:t>
      </w:r>
      <w:r w:rsidRPr="0086086E">
        <w:rPr>
          <w:rStyle w:val="AERtextitalic"/>
        </w:rPr>
        <w:t>Application by APA GasNet Australia (Operations) Pty Limited (No 2) [2013],  ACompT 8</w:t>
      </w:r>
      <w:r>
        <w:t>, 18 September 2013, paras 279, 302</w:t>
      </w:r>
      <w:r>
        <w:rPr>
          <w:rFonts w:cs="Arial"/>
        </w:rPr>
        <w:t>–</w:t>
      </w:r>
      <w:r>
        <w:t>308.</w:t>
      </w:r>
    </w:p>
  </w:footnote>
  <w:footnote w:id="205">
    <w:p w:rsidR="00E636A0" w:rsidRDefault="00E636A0" w:rsidP="008B2351">
      <w:pPr>
        <w:pStyle w:val="FootnoteText"/>
      </w:pPr>
      <w:r>
        <w:rPr>
          <w:rStyle w:val="FootnoteReference"/>
        </w:rPr>
        <w:footnoteRef/>
      </w:r>
      <w:r>
        <w:t xml:space="preserve"> </w:t>
      </w:r>
      <w:r>
        <w:tab/>
        <w:t xml:space="preserve">NER, cl. 6.5.2(f–g); NER, cl. 6A.6.2(f–g); </w:t>
      </w:r>
      <w:r w:rsidRPr="00565069">
        <w:t>NGR, r. 87(6</w:t>
      </w:r>
      <w:r>
        <w:t>–7</w:t>
      </w:r>
      <w:r w:rsidRPr="00565069">
        <w:t>).</w:t>
      </w:r>
    </w:p>
  </w:footnote>
  <w:footnote w:id="206">
    <w:p w:rsidR="00E636A0" w:rsidRDefault="00E636A0" w:rsidP="008B2351">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207">
    <w:p w:rsidR="00E636A0" w:rsidRDefault="00E636A0" w:rsidP="008B2351">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8 June 2011, para 145.</w:t>
      </w:r>
    </w:p>
  </w:footnote>
  <w:footnote w:id="208">
    <w:p w:rsidR="00E636A0" w:rsidRDefault="00E636A0" w:rsidP="008B2351">
      <w:pPr>
        <w:pStyle w:val="FootnoteText"/>
      </w:pPr>
      <w:r>
        <w:rPr>
          <w:rStyle w:val="FootnoteReference"/>
        </w:rPr>
        <w:footnoteRef/>
      </w:r>
      <w:r>
        <w:t xml:space="preserve"> </w:t>
      </w:r>
      <w:r>
        <w:tab/>
        <w:t>See sections 7 and 7A of the NEL for the NEO and RPP respectively. The NEO states: 'The</w:t>
      </w:r>
      <w:r w:rsidRPr="00E95B24">
        <w:t xml:space="preserve"> objective of this Law </w:t>
      </w:r>
      <w:r w:rsidRPr="00A40EA2">
        <w:t xml:space="preserve">is to promote efficient investment in, and efficient operation and use of, </w:t>
      </w:r>
      <w:r>
        <w:t>electricity</w:t>
      </w:r>
      <w:r w:rsidRPr="00A40EA2">
        <w:t xml:space="preserve"> services for the long term interests of consumers of </w:t>
      </w:r>
      <w:r>
        <w:t>electricity</w:t>
      </w:r>
      <w:r w:rsidRPr="00A40EA2">
        <w:t xml:space="preserve"> with respect to price, quality, safety, reliability and security of supply of </w:t>
      </w:r>
      <w:r>
        <w:t>electricity; and the reliability, safety and security of the national electricity system'.</w:t>
      </w:r>
    </w:p>
  </w:footnote>
  <w:footnote w:id="209">
    <w:p w:rsidR="00E636A0" w:rsidRDefault="00E636A0" w:rsidP="008B2351">
      <w:pPr>
        <w:pStyle w:val="FootnoteText"/>
      </w:pPr>
      <w:r>
        <w:rPr>
          <w:rStyle w:val="FootnoteReference"/>
        </w:rPr>
        <w:footnoteRef/>
      </w:r>
      <w:r>
        <w:t xml:space="preserve"> </w:t>
      </w:r>
      <w:r>
        <w:tab/>
        <w:t xml:space="preserve">See Mr Gregory Houston and Dr Martin Lally, </w:t>
      </w:r>
      <w:r w:rsidRPr="007B70AB">
        <w:rPr>
          <w:rStyle w:val="AERtextitalic"/>
        </w:rPr>
        <w:t>Joint report: Prepared in the context of proceedings between ActewAGL and the AER</w:t>
      </w:r>
      <w:r>
        <w:t>, 16 March 2011, p. 1. These experts agreed that, 'e</w:t>
      </w:r>
      <w:r w:rsidRPr="00F61A0C">
        <w:t xml:space="preserve">conomic theory says that the required rate of return to be used in </w:t>
      </w:r>
      <w:r>
        <w:t>e</w:t>
      </w:r>
      <w:r w:rsidRPr="00F61A0C">
        <w:t xml:space="preserve">valuating an investment decision is the forward looking rate estimated </w:t>
      </w:r>
      <w:r>
        <w:t>as at the date of that decision'.</w:t>
      </w:r>
    </w:p>
  </w:footnote>
  <w:footnote w:id="210">
    <w:p w:rsidR="00E636A0" w:rsidRDefault="00E636A0" w:rsidP="008B2351">
      <w:pPr>
        <w:pStyle w:val="FootnoteText"/>
      </w:pPr>
      <w:r>
        <w:rPr>
          <w:rStyle w:val="FootnoteReference"/>
        </w:rPr>
        <w:footnoteRef/>
      </w:r>
      <w:r>
        <w:t xml:space="preserve"> </w:t>
      </w:r>
      <w:r>
        <w:tab/>
        <w:t>NER, cl. 6.5.2(g); NER, cl. 6A.6.2(g); NGR, r. 87(7</w:t>
      </w:r>
      <w:r w:rsidRPr="00565069">
        <w:t>).</w:t>
      </w:r>
    </w:p>
  </w:footnote>
  <w:footnote w:id="211">
    <w:p w:rsidR="00E636A0" w:rsidRDefault="00E636A0" w:rsidP="008B2351">
      <w:pPr>
        <w:pStyle w:val="FootnoteText"/>
      </w:pPr>
      <w:r>
        <w:rPr>
          <w:rStyle w:val="FootnoteReference"/>
        </w:rPr>
        <w:footnoteRef/>
      </w:r>
      <w:r>
        <w:t xml:space="preserve"> </w:t>
      </w:r>
      <w:r>
        <w:tab/>
        <w:t>For clarity, service providers can select longer averaging periods for estimating the return on debt.</w:t>
      </w:r>
    </w:p>
  </w:footnote>
  <w:footnote w:id="212">
    <w:p w:rsidR="00E636A0" w:rsidRDefault="00E636A0" w:rsidP="008B2351">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 xml:space="preserve">; </w:t>
      </w:r>
      <w:r w:rsidRPr="00074552">
        <w:t xml:space="preserve">Lally, </w:t>
      </w:r>
      <w:r w:rsidRPr="002B43F5">
        <w:rPr>
          <w:rStyle w:val="AERtextitalic"/>
        </w:rPr>
        <w:t>Risk free rate and present value</w:t>
      </w:r>
      <w:r w:rsidRPr="00074552">
        <w:t>, August 2012, p. 7</w:t>
      </w:r>
      <w:r>
        <w:t>.</w:t>
      </w:r>
    </w:p>
  </w:footnote>
  <w:footnote w:id="213">
    <w:p w:rsidR="00E636A0" w:rsidRDefault="00E636A0" w:rsidP="008B2351">
      <w:pPr>
        <w:pStyle w:val="FootnoteText"/>
      </w:pPr>
      <w:r>
        <w:rPr>
          <w:rStyle w:val="FootnoteReference"/>
        </w:rPr>
        <w:footnoteRef/>
      </w:r>
      <w:r>
        <w:t xml:space="preserve"> </w:t>
      </w:r>
      <w:r>
        <w:tab/>
        <w:t xml:space="preserve">We discuss this in previous decisions. See for example, AER, </w:t>
      </w:r>
      <w:r w:rsidRPr="00921A66">
        <w:rPr>
          <w:rStyle w:val="AERtextitalic"/>
        </w:rPr>
        <w:t>Access arrangement final decision: SPI Networks (Gas) Pty Ltd 2013–17, Part 2: Attachments</w:t>
      </w:r>
      <w:r>
        <w:t>, March 2013, pp. 88</w:t>
      </w:r>
      <w:r>
        <w:rPr>
          <w:rFonts w:cs="Arial"/>
        </w:rPr>
        <w:t>–</w:t>
      </w:r>
      <w:r>
        <w:t>95.</w:t>
      </w:r>
    </w:p>
  </w:footnote>
  <w:footnote w:id="214">
    <w:p w:rsidR="00E636A0" w:rsidRDefault="00E636A0" w:rsidP="008B2351">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15">
    <w:p w:rsidR="00E636A0" w:rsidRDefault="00E636A0" w:rsidP="008B2351">
      <w:pPr>
        <w:pStyle w:val="FootnoteText"/>
      </w:pPr>
      <w:r>
        <w:rPr>
          <w:rStyle w:val="FootnoteReference"/>
        </w:rPr>
        <w:footnoteRef/>
      </w:r>
      <w:r>
        <w:t xml:space="preserve"> </w:t>
      </w:r>
      <w:r>
        <w:tab/>
        <w:t xml:space="preserve">McKenzie and Partington, </w:t>
      </w:r>
      <w:r w:rsidRPr="007B70AB">
        <w:rPr>
          <w:rStyle w:val="AERtextitalic"/>
        </w:rPr>
        <w:t>Risk, asset pricing models and WACC</w:t>
      </w:r>
      <w:r>
        <w:t>, June 2013, p. 23.</w:t>
      </w:r>
    </w:p>
  </w:footnote>
  <w:footnote w:id="216">
    <w:p w:rsidR="00E636A0" w:rsidRDefault="00E636A0" w:rsidP="001D4715">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17">
    <w:p w:rsidR="00E636A0" w:rsidRDefault="00E636A0" w:rsidP="001D4715">
      <w:pPr>
        <w:pStyle w:val="FootnoteText"/>
      </w:pPr>
      <w:r>
        <w:rPr>
          <w:rStyle w:val="FootnoteReference"/>
        </w:rPr>
        <w:footnoteRef/>
      </w:r>
      <w:r>
        <w:t xml:space="preserve"> </w:t>
      </w:r>
      <w:r>
        <w:tab/>
        <w:t>More precisely, standard control network services, see: NER, cl. 6.5.2(c). For transmission network service providers the rules refer to prescribed transmission services, see NER, cl. 6A.6.2(c). For gas network service providers the rules refer to reference services, see NGR, r. 87(3).</w:t>
      </w:r>
    </w:p>
  </w:footnote>
  <w:footnote w:id="218">
    <w:p w:rsidR="00E636A0" w:rsidRDefault="00E636A0" w:rsidP="001D4715">
      <w:pPr>
        <w:pStyle w:val="FootnoteText"/>
      </w:pPr>
      <w:r>
        <w:rPr>
          <w:rStyle w:val="FootnoteReference"/>
        </w:rPr>
        <w:footnoteRef/>
      </w:r>
      <w:r>
        <w:t xml:space="preserve"> </w:t>
      </w:r>
      <w:r>
        <w:tab/>
        <w:t>More precisely, an efficient business (or benchmark efficient entity) with a similar degree of risk as that which applies to TasNetworks in the provision of standard control services.</w:t>
      </w:r>
    </w:p>
  </w:footnote>
  <w:footnote w:id="219">
    <w:p w:rsidR="00E636A0" w:rsidRDefault="00E636A0" w:rsidP="001D4715">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20">
    <w:p w:rsidR="00E636A0" w:rsidRDefault="00E636A0" w:rsidP="001D4715">
      <w:pPr>
        <w:pStyle w:val="FootnoteText"/>
      </w:pPr>
      <w:r>
        <w:rPr>
          <w:rStyle w:val="FootnoteReference"/>
        </w:rPr>
        <w:footnoteRef/>
      </w:r>
      <w:r>
        <w:t xml:space="preserve"> </w:t>
      </w:r>
      <w:r>
        <w:tab/>
        <w:t>However, the Black CAPM replaces this with an assumption of unlimited ability to short sell stocks.</w:t>
      </w:r>
    </w:p>
  </w:footnote>
  <w:footnote w:id="221">
    <w:p w:rsidR="00E636A0" w:rsidRDefault="00E636A0" w:rsidP="001D4715">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22">
    <w:p w:rsidR="00E636A0" w:rsidRDefault="00E636A0" w:rsidP="001D4715">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23">
    <w:p w:rsidR="00E636A0" w:rsidRDefault="00E636A0" w:rsidP="001D4715">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24">
    <w:p w:rsidR="00E636A0" w:rsidRDefault="00E636A0" w:rsidP="001D4715">
      <w:pPr>
        <w:pStyle w:val="FootnoteText"/>
      </w:pPr>
      <w:r>
        <w:rPr>
          <w:rStyle w:val="FootnoteReference"/>
        </w:rPr>
        <w:footnoteRef/>
      </w:r>
      <w:r>
        <w:t xml:space="preserve"> </w:t>
      </w:r>
      <w:r>
        <w:tab/>
        <w:t xml:space="preserve">As discussed in detail in section </w:t>
      </w:r>
      <w:r>
        <w:fldChar w:fldCharType="begin"/>
      </w:r>
      <w:r>
        <w:instrText xml:space="preserve"> REF _Ref478460051 \r \h </w:instrText>
      </w:r>
      <w:r>
        <w:fldChar w:fldCharType="separate"/>
      </w:r>
      <w:r>
        <w:t>G</w:t>
      </w:r>
      <w:r>
        <w:fldChar w:fldCharType="end"/>
      </w:r>
      <w:r>
        <w:t xml:space="preserve">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25">
    <w:p w:rsidR="00E636A0" w:rsidRDefault="00E636A0" w:rsidP="001D4715">
      <w:pPr>
        <w:pStyle w:val="FootnoteText"/>
      </w:pPr>
      <w:r>
        <w:rPr>
          <w:rStyle w:val="FootnoteReference"/>
        </w:rPr>
        <w:footnoteRef/>
      </w:r>
      <w:r>
        <w:t xml:space="preserve"> </w:t>
      </w:r>
      <w:r>
        <w:tab/>
        <w:t>But does not support an estimate beyond our range. We hold this view based on:</w:t>
      </w:r>
    </w:p>
    <w:p w:rsidR="00E636A0" w:rsidRDefault="00E636A0" w:rsidP="001D4715">
      <w:pPr>
        <w:pStyle w:val="FootnoteText"/>
      </w:pPr>
      <w:r>
        <w:tab/>
        <w:t>(1) the outcome of our conceptual analysis that a business with a similar degree of risk as AusNet Services (in providing regulated services) is likely to have an equity beta less than one;</w:t>
      </w:r>
    </w:p>
    <w:p w:rsidR="00E636A0" w:rsidRDefault="00E636A0" w:rsidP="001D4715">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26">
    <w:p w:rsidR="00E636A0" w:rsidRDefault="00E636A0" w:rsidP="001D4715">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 xml:space="preserve">; CEG, </w:t>
      </w:r>
      <w:r w:rsidRPr="000C309D">
        <w:rPr>
          <w:i/>
        </w:rPr>
        <w:t>Replication and extension of Henry’s beta analysis</w:t>
      </w:r>
      <w:r>
        <w:t xml:space="preserve">, 21 September 2016, pp. 2-3,14. CCP5, </w:t>
      </w:r>
      <w:r w:rsidRPr="00CB683F">
        <w:rPr>
          <w:rStyle w:val="AERtextitalic"/>
        </w:rPr>
        <w:t>Transmission for the Generations III–Response to: Revised revenue proposal by AusNet Services for Transmission Revenue Review 2017–22,</w:t>
      </w:r>
      <w:r>
        <w:t xml:space="preserve"> October 2016, pp. 10–11; CCP4 (Hugh Grant), </w:t>
      </w:r>
      <w:r w:rsidRPr="00CB683F">
        <w:rPr>
          <w:rStyle w:val="AERtextitalic"/>
        </w:rPr>
        <w:t>Submission to the AER: AER draft 2018–22 revenue decision Powerlink revised 208–22 revenue proposal</w:t>
      </w:r>
      <w:r>
        <w:t xml:space="preserve">, 23 December 2016, p. 45; </w:t>
      </w:r>
      <w:r w:rsidRPr="00744B73">
        <w:t xml:space="preserve">CCP4 (David Headberry), </w:t>
      </w:r>
      <w:r w:rsidRPr="006E5878">
        <w:rPr>
          <w:rStyle w:val="AERtextitalic"/>
        </w:rPr>
        <w:t>Response to the AER Draft Decision and Revised Proposal to Powerlink's electricity transmission network for a revenue reset for the 2017-2019 regulatory period</w:t>
      </w:r>
      <w:r w:rsidRPr="004E503B">
        <w:t xml:space="preserve">, </w:t>
      </w:r>
      <w:r>
        <w:t xml:space="preserve">19 December 2016, p. 21; Cotton Australia, </w:t>
      </w:r>
      <w:r w:rsidRPr="006E5878">
        <w:rPr>
          <w:rStyle w:val="AERtextitalic"/>
        </w:rPr>
        <w:t>Re: AER Draft Decision–Powerlink Electricity transmission revised revenue proposal 2017–2022,</w:t>
      </w:r>
      <w:r>
        <w:t xml:space="preserve"> 22 December 2016; Queensland farmers’ federation, </w:t>
      </w:r>
      <w:r w:rsidRPr="006E5878">
        <w:rPr>
          <w:rStyle w:val="AERtextitalic"/>
        </w:rPr>
        <w:t>Re: Response on Australian Energy Regulator (AER) Draft Decision on Powerlink ‘s revenue proposal for the 2017/18 –2021/22 regulatory period</w:t>
      </w:r>
      <w:r>
        <w:t xml:space="preserve">, 30 November 2016; </w:t>
      </w:r>
      <w:r w:rsidRPr="00744B73">
        <w:t xml:space="preserve">CCP4 (David Headberry), </w:t>
      </w:r>
      <w:r w:rsidRPr="006E5878">
        <w:rPr>
          <w:rStyle w:val="AERtextitalic"/>
        </w:rPr>
        <w:t>Response to the AER Draft Decision and Revised Proposal to Tasmania's electricity distribution network service provider (TasNetworks - TND) for a revenue reset for the 2017-2019 regulatory period</w:t>
      </w:r>
      <w:r w:rsidRPr="004E503B">
        <w:t>, 25 November 2016</w:t>
      </w:r>
      <w:r>
        <w:t xml:space="preserve">, p. 28; </w:t>
      </w:r>
      <w:r w:rsidRPr="00744B73">
        <w:t xml:space="preserve">CCP4 (David Headberry), </w:t>
      </w:r>
      <w:r w:rsidRPr="006E5878">
        <w:rPr>
          <w:rStyle w:val="AERtextitalic"/>
        </w:rPr>
        <w:t xml:space="preserve">Response to the AER Draft Decision and Revised Proposal to Tasmania's electricity distribution network service provider (TasNetworks - TND) for a revenue reset for the 2017-2019 regulatory </w:t>
      </w:r>
      <w:r w:rsidRPr="004E503B">
        <w:t xml:space="preserve">period, </w:t>
      </w:r>
      <w:r>
        <w:t>12 December</w:t>
      </w:r>
      <w:r w:rsidRPr="004E503B">
        <w:t xml:space="preserve"> 2016,</w:t>
      </w:r>
      <w:r>
        <w:t xml:space="preserve"> p. 31</w:t>
      </w:r>
    </w:p>
  </w:footnote>
  <w:footnote w:id="227">
    <w:p w:rsidR="00E636A0" w:rsidRDefault="00E636A0" w:rsidP="001D4715">
      <w:pPr>
        <w:pStyle w:val="FootnoteText"/>
      </w:pPr>
      <w:r>
        <w:rPr>
          <w:rStyle w:val="FootnoteReference"/>
        </w:rPr>
        <w:footnoteRef/>
      </w:r>
      <w:r>
        <w:t xml:space="preserve"> </w:t>
      </w:r>
      <w:r>
        <w:tab/>
        <w:t xml:space="preserve">CEG, </w:t>
      </w:r>
      <w:r w:rsidRPr="000C309D">
        <w:rPr>
          <w:i/>
        </w:rPr>
        <w:t>Replication and extension of Henry’s beta analysis</w:t>
      </w:r>
      <w:r>
        <w:t xml:space="preserve">, 21 September 2016, pp. 2-3,14. </w:t>
      </w:r>
    </w:p>
  </w:footnote>
  <w:footnote w:id="228">
    <w:p w:rsidR="00E636A0" w:rsidRDefault="00E636A0" w:rsidP="001D4715">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21 September 2016, pp. 2-3,14</w:t>
      </w:r>
    </w:p>
  </w:footnote>
  <w:footnote w:id="229">
    <w:p w:rsidR="00E636A0" w:rsidRDefault="00E636A0" w:rsidP="001D4715">
      <w:pPr>
        <w:pStyle w:val="FootnoteText"/>
      </w:pPr>
      <w:r>
        <w:rPr>
          <w:rStyle w:val="FootnoteReference"/>
        </w:rPr>
        <w:footnoteRef/>
      </w:r>
      <w:r>
        <w:t xml:space="preserve"> </w:t>
      </w:r>
      <w:r>
        <w:tab/>
        <w:t xml:space="preserve">Partington and Satchell, </w:t>
      </w:r>
      <w:r w:rsidRPr="00D24089">
        <w:rPr>
          <w:rStyle w:val="AERtextitalic"/>
        </w:rPr>
        <w:t>Report to the AER: Discussion of estimates of the return on equity</w:t>
      </w:r>
      <w:r>
        <w:t>, 12 April 2017. p. 8, 14.</w:t>
      </w:r>
    </w:p>
  </w:footnote>
  <w:footnote w:id="230">
    <w:p w:rsidR="00E636A0" w:rsidRDefault="00E636A0" w:rsidP="001D4715">
      <w:pPr>
        <w:pStyle w:val="FootnoteText"/>
      </w:pPr>
      <w:r>
        <w:rPr>
          <w:rStyle w:val="FootnoteReference"/>
        </w:rPr>
        <w:footnoteRef/>
      </w:r>
      <w:r>
        <w:t xml:space="preserve"> </w:t>
      </w:r>
      <w:r>
        <w:tab/>
        <w:t>NER, cl. 6.5.2(f); NER, cl. 6A.6.2(f); NGR, r. 87(6). NEL, s.16; NGL, s. 23.</w:t>
      </w:r>
    </w:p>
  </w:footnote>
  <w:footnote w:id="231">
    <w:p w:rsidR="00E636A0" w:rsidRDefault="00E636A0"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xml:space="preserve">, January 2016, pp. 87–88; AER Final decision, </w:t>
      </w:r>
      <w:r w:rsidRPr="006E5878">
        <w:rPr>
          <w:rStyle w:val="AERtextitalic"/>
        </w:rPr>
        <w:t>SA Power Networks determination 2015 -16 to 2019 - 20, Attachment 3 - Rate of return</w:t>
      </w:r>
      <w:r>
        <w:t>, October 2015, pp. 451-62, 473-79, 496; AER Final decision</w:t>
      </w:r>
      <w:r w:rsidRPr="006E5878">
        <w:rPr>
          <w:rStyle w:val="AERtextitalic"/>
        </w:rPr>
        <w:t>, Australian Gas Networks access arrangement 2016 to 2021, Attachment 3 - Rate of return</w:t>
      </w:r>
      <w:r>
        <w:t xml:space="preserve">, May 2016, pp. 41-87; AER Final decision, </w:t>
      </w:r>
      <w:r w:rsidRPr="006E5878">
        <w:rPr>
          <w:rStyle w:val="AERtextitalic"/>
        </w:rPr>
        <w:t>AusNet Services distribution determination 2016 to 2020, Attachment 3 - Rate of return</w:t>
      </w:r>
      <w:r>
        <w:t>, May 2016, pp. 264-75.</w:t>
      </w:r>
    </w:p>
  </w:footnote>
  <w:footnote w:id="232">
    <w:p w:rsidR="00E636A0" w:rsidRDefault="00E636A0"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41–42, 64–65; AER Final decision, </w:t>
      </w:r>
      <w:r w:rsidRPr="00EF131F">
        <w:rPr>
          <w:rStyle w:val="AERtextitalic"/>
        </w:rPr>
        <w:t>SA Power Networks determination 2015 -16 to 2019 - 20, Attachment 3 - Rate of return</w:t>
      </w:r>
      <w:r>
        <w:t xml:space="preserve">, October 2015, pp. 351-8, 501-5;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May 2016, pp. 44-90.</w:t>
      </w:r>
    </w:p>
  </w:footnote>
  <w:footnote w:id="233">
    <w:p w:rsidR="00E636A0" w:rsidRDefault="00E636A0"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AER </w:t>
      </w:r>
      <w:r w:rsidRPr="00EF131F">
        <w:rPr>
          <w:rStyle w:val="AERtextitalic"/>
        </w:rPr>
        <w:t>Final decision, SA Power Networks determination 2015 -16 to 2019 - 20, Attachment 3 - Rate of return</w:t>
      </w:r>
      <w:r>
        <w:t xml:space="preserve">, October 2015, pp. 497-500;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xml:space="preserve"> May 2016, pp. 44-90.</w:t>
      </w:r>
    </w:p>
  </w:footnote>
  <w:footnote w:id="234">
    <w:p w:rsidR="00E636A0" w:rsidRDefault="00E636A0" w:rsidP="001D4715">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35">
    <w:p w:rsidR="00E636A0" w:rsidRDefault="00E636A0" w:rsidP="001D4715">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w:t>
      </w:r>
    </w:p>
    <w:p w:rsidR="00E636A0" w:rsidRDefault="00E636A0" w:rsidP="001D4715">
      <w:pPr>
        <w:pStyle w:val="FootnoteText"/>
      </w:pPr>
      <w:r>
        <w:tab/>
      </w:r>
      <w:r w:rsidRPr="00745914">
        <w:t xml:space="preserve">CitiPower, </w:t>
      </w:r>
      <w:r w:rsidRPr="00745914">
        <w:rPr>
          <w:rStyle w:val="AERtextitalic"/>
        </w:rPr>
        <w:t>Revised proposal</w:t>
      </w:r>
      <w:r w:rsidRPr="00745914">
        <w:t xml:space="preserve">, January 2016, pp. 311–313; Powercor, </w:t>
      </w:r>
      <w:r w:rsidRPr="00745914">
        <w:rPr>
          <w:rStyle w:val="Emphasis"/>
        </w:rPr>
        <w:t>Revised regulatory proposal 2016–2020,</w:t>
      </w:r>
      <w:r w:rsidRPr="00745914">
        <w:t xml:space="preserve"> January 2016, pp. 305–307;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87–91; United Energy, </w:t>
      </w:r>
      <w:r w:rsidRPr="00745914">
        <w:rPr>
          <w:rStyle w:val="Emphasis"/>
        </w:rPr>
        <w:t>Response to AER preliminary determination–Re: rate of return and gamma</w:t>
      </w:r>
      <w:r w:rsidRPr="00745914">
        <w:t xml:space="preserve">, 6 January 2016, pp. 65–67; AGN, </w:t>
      </w:r>
      <w:r w:rsidRPr="00745914">
        <w:rPr>
          <w:rStyle w:val="Emphasis"/>
        </w:rPr>
        <w:t>2016–17 to 2020/21 Access Arrangement information response to draft decision: Attachment 10.26 Response to draft decision: rate of return</w:t>
      </w:r>
      <w:r w:rsidRPr="00745914">
        <w:t xml:space="preserve">, January 2016, pp. 69–71;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70–72; AusNet Services, </w:t>
      </w:r>
      <w:r w:rsidRPr="00745914">
        <w:rPr>
          <w:rStyle w:val="Emphasis"/>
        </w:rPr>
        <w:t>Electricity distribution price review 2016–20 Revised regulatory proposal: Chapter 7 Rate of return &amp; gamma</w:t>
      </w:r>
      <w:r w:rsidRPr="00745914">
        <w:t>, 6 January 2016, pp. 64–66.</w:t>
      </w:r>
    </w:p>
    <w:p w:rsidR="00E636A0" w:rsidRDefault="00E636A0" w:rsidP="001D4715">
      <w:pPr>
        <w:pStyle w:val="FootnoteText"/>
      </w:pPr>
      <w:r>
        <w:tab/>
        <w:t xml:space="preserve">Also see Frontier Economics, </w:t>
      </w:r>
      <w:r>
        <w:rPr>
          <w:rStyle w:val="AERtextitalic"/>
        </w:rPr>
        <w:t>The required return on equity under a foundation model approach</w:t>
      </w:r>
      <w:r>
        <w:t xml:space="preserve">, January 2016, p. 39; ; AER, </w:t>
      </w:r>
      <w:r w:rsidRPr="00EF131F">
        <w:rPr>
          <w:rStyle w:val="AERtextitalic"/>
        </w:rPr>
        <w:t>Final decision, SA Power Networks determination 2015 -16 to 2019 - 20, Attachment 3 - Rate of return</w:t>
      </w:r>
      <w:r>
        <w:t>, October 2015, pp. 501-5</w:t>
      </w:r>
      <w:r w:rsidRPr="00EC4749">
        <w:t>; AER</w:t>
      </w:r>
      <w:r>
        <w:t>,</w:t>
      </w:r>
      <w:r w:rsidRPr="00EC4749">
        <w:t xml:space="preserve"> </w:t>
      </w:r>
      <w:r w:rsidRPr="00EF131F">
        <w:rPr>
          <w:rStyle w:val="AERtextitalic"/>
        </w:rPr>
        <w:t>Final decision, Australian Gas Networks access arrangement 2016 to 2021, Attachment 3 - Rate of return</w:t>
      </w:r>
      <w:r w:rsidRPr="00EC4749">
        <w:t>, May 2016, pp. 41-87; AER</w:t>
      </w:r>
      <w:r>
        <w:t>,</w:t>
      </w:r>
      <w:r w:rsidRPr="00EC4749">
        <w:t xml:space="preserve"> </w:t>
      </w:r>
      <w:r w:rsidRPr="00EF131F">
        <w:rPr>
          <w:rStyle w:val="AERtextitalic"/>
        </w:rPr>
        <w:t>Final decision, AusNet Services distribution determination 2016 to 2020, Attachment 3 - Rate of return</w:t>
      </w:r>
      <w:r w:rsidRPr="00EC4749">
        <w:t>, May 2016, pp. 44-90</w:t>
      </w:r>
      <w:r>
        <w:t>.</w:t>
      </w:r>
    </w:p>
  </w:footnote>
  <w:footnote w:id="236">
    <w:p w:rsidR="00E636A0" w:rsidRDefault="00E636A0" w:rsidP="001D4715">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CitiPower, </w:t>
      </w:r>
      <w:r w:rsidRPr="00525CDC">
        <w:rPr>
          <w:rStyle w:val="AERtextitalic"/>
        </w:rPr>
        <w:t>Revised proposal</w:t>
      </w:r>
      <w:r>
        <w:t>, January 2016, p. 312–314.</w:t>
      </w:r>
      <w:r w:rsidRPr="004855F0">
        <w:t xml:space="preserve"> </w:t>
      </w:r>
      <w:r>
        <w:t>Powercor, United Energy, JEN, AusNet, AGN and ActewAGL's revised proposals contain similar reasoning.</w:t>
      </w:r>
    </w:p>
    <w:p w:rsidR="00E636A0" w:rsidRDefault="00E636A0" w:rsidP="001D4715">
      <w:pPr>
        <w:pStyle w:val="FootnoteText"/>
      </w:pPr>
      <w:r>
        <w:tab/>
      </w:r>
      <w:r w:rsidRPr="00745914">
        <w:t xml:space="preserve">Powercor, </w:t>
      </w:r>
      <w:r w:rsidRPr="00745914">
        <w:rPr>
          <w:rStyle w:val="Emphasis"/>
        </w:rPr>
        <w:t>Revised regulatory proposal 2016–2020,</w:t>
      </w:r>
      <w:r w:rsidRPr="00745914">
        <w:t xml:space="preserve"> January 2016, pp. 306–308; ActewAGL, </w:t>
      </w:r>
      <w:r w:rsidRPr="00745914">
        <w:rPr>
          <w:rStyle w:val="Emphasis"/>
        </w:rPr>
        <w:t>Revised 2016–21 access arrangement proposal Response to the AER's draft decision, Appendix 5.01 Detailed response to rate of return, gamma and inflation</w:t>
      </w:r>
      <w:r w:rsidRPr="00745914">
        <w:t xml:space="preserve">, January 2016, pp. 88–91; United Energy, </w:t>
      </w:r>
      <w:r w:rsidRPr="00745914">
        <w:rPr>
          <w:rStyle w:val="Emphasis"/>
        </w:rPr>
        <w:t>Response to AER preliminary determination–Re: rate of return and gamma</w:t>
      </w:r>
      <w:r w:rsidRPr="00745914">
        <w:t xml:space="preserve">, 6 January 2016, pp. 66–68; AGN, </w:t>
      </w:r>
      <w:r w:rsidRPr="00745914">
        <w:rPr>
          <w:rStyle w:val="Emphasis"/>
        </w:rPr>
        <w:t>2016–17 to 2020/21 Access Arrangement information response to draft decision: Attachment 10.26 Response to draft decision: rate of return</w:t>
      </w:r>
      <w:r w:rsidRPr="00745914">
        <w:t xml:space="preserve">, January 2016, pp. 70–72;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71–73; AusNet Services, </w:t>
      </w:r>
      <w:r w:rsidRPr="00745914">
        <w:rPr>
          <w:rStyle w:val="Emphasis"/>
        </w:rPr>
        <w:t>Electricity distribution price review 2016–20 Revised regulatory proposal: Chapter 7 Rate of return &amp; gamma</w:t>
      </w:r>
      <w:r w:rsidRPr="00745914">
        <w:t>, 6 January 2016, pp. 65–67</w:t>
      </w:r>
      <w:r>
        <w:t xml:space="preserve">; AER, </w:t>
      </w:r>
      <w:r w:rsidRPr="008C4977">
        <w:rPr>
          <w:rStyle w:val="AERtextitalic"/>
        </w:rPr>
        <w:t>Final decision, SA Power Networks determination 2015 -16 to 2019 - 20, Attachment 3 - Rate of return</w:t>
      </w:r>
      <w:r>
        <w:t>, October 2015, pp. 451-62</w:t>
      </w:r>
      <w:r w:rsidRPr="005E5E32">
        <w:t>; AER</w:t>
      </w:r>
      <w:r>
        <w:t>,</w:t>
      </w:r>
      <w:r w:rsidRPr="005E5E32">
        <w:t xml:space="preserve"> </w:t>
      </w:r>
      <w:r w:rsidRPr="008C4977">
        <w:rPr>
          <w:rStyle w:val="AERtextitalic"/>
        </w:rPr>
        <w:t>Final decision, Australian Gas Networks access arrangement 2016 to 2021, Attachment 3 - Rate of return</w:t>
      </w:r>
      <w:r w:rsidRPr="005E5E32">
        <w:t>, May 2016, pp. 41-87; AER</w:t>
      </w:r>
      <w:r w:rsidRPr="008C4977">
        <w:rPr>
          <w:rStyle w:val="AERtextitalic"/>
        </w:rPr>
        <w:t>, Final decision, AusNet Services distribution determination 2016 to 2020, Attachment 3 - Rate of return</w:t>
      </w:r>
      <w:r w:rsidRPr="005E5E32">
        <w:t>, May 2016, pp. 44-90.</w:t>
      </w:r>
    </w:p>
  </w:footnote>
  <w:footnote w:id="237">
    <w:p w:rsidR="00E636A0" w:rsidRDefault="00E636A0"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81–82; and ActewAGL, </w:t>
      </w:r>
      <w:r w:rsidRPr="00CD12C8">
        <w:rPr>
          <w:rStyle w:val="AERtextitalic"/>
        </w:rPr>
        <w:t>Revised 2016-21 access arrangement proposal appendix 5.01</w:t>
      </w:r>
      <w:r>
        <w:t xml:space="preserve">, January 2016, pp. 104-105; AER, </w:t>
      </w:r>
      <w:r w:rsidRPr="008C4977">
        <w:rPr>
          <w:rStyle w:val="AERtextitalic"/>
        </w:rPr>
        <w:t>Final decision, SA Power Networks determination 2015 -16 to 2019 - 20, Attachment 3 - Rate of return</w:t>
      </w:r>
      <w:r>
        <w:t xml:space="preserve">, October 2015, pp. 451-62, 473-79, 496;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May 2016, pp. 264-75.</w:t>
      </w:r>
    </w:p>
  </w:footnote>
  <w:footnote w:id="238">
    <w:p w:rsidR="00E636A0" w:rsidRDefault="00E636A0" w:rsidP="001D4715">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 </w:t>
      </w:r>
    </w:p>
  </w:footnote>
  <w:footnote w:id="239">
    <w:p w:rsidR="00E636A0" w:rsidRDefault="00E636A0" w:rsidP="001D4715">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xml:space="preserve">, pp. 92–93; ; AER, </w:t>
      </w:r>
      <w:r w:rsidRPr="008C4977">
        <w:rPr>
          <w:rStyle w:val="AERtextitalic"/>
        </w:rPr>
        <w:t>Final decision, SA Power Networks determination 2015 -16 to 2019 - 20, Attachment 3 - Rate of return</w:t>
      </w:r>
      <w:r>
        <w:t xml:space="preserve">, October 2015, pp. 451-62, 473-79, 496;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xml:space="preserve"> May 2016, pp. 264-75.</w:t>
      </w:r>
    </w:p>
  </w:footnote>
  <w:footnote w:id="240">
    <w:p w:rsidR="00E636A0" w:rsidRDefault="00E636A0" w:rsidP="001D4715">
      <w:pPr>
        <w:pStyle w:val="FootnoteText"/>
      </w:pPr>
      <w:r>
        <w:rPr>
          <w:rStyle w:val="FootnoteReference"/>
        </w:rPr>
        <w:footnoteRef/>
      </w:r>
      <w:r>
        <w:t xml:space="preserve"> </w:t>
      </w:r>
      <w:r>
        <w:tab/>
        <w:t xml:space="preserve">CitiPower, </w:t>
      </w:r>
      <w:r w:rsidRPr="00525CDC">
        <w:rPr>
          <w:rStyle w:val="AERtextitalic"/>
        </w:rPr>
        <w:t>Revised proposal</w:t>
      </w:r>
      <w:r>
        <w:t>, January 2016, pp. 310–311. Powercor, United Energy, JEN, AusNet, AGN and ActewAGL's revised proposals contain similar reasoning.</w:t>
      </w:r>
    </w:p>
    <w:p w:rsidR="00E636A0" w:rsidRDefault="00E636A0" w:rsidP="001D4715">
      <w:pPr>
        <w:pStyle w:val="FootnoteText"/>
      </w:pPr>
      <w:r>
        <w:tab/>
      </w:r>
      <w:r w:rsidRPr="00745914">
        <w:t xml:space="preserve">Powercor, </w:t>
      </w:r>
      <w:r w:rsidRPr="00745914">
        <w:rPr>
          <w:rStyle w:val="Emphasis"/>
        </w:rPr>
        <w:t>Revised regulatory proposal 2016–2020,</w:t>
      </w:r>
      <w:r w:rsidRPr="00745914">
        <w:t xml:space="preserve"> January 2016, pp. 304–305;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87–88; United Energy, </w:t>
      </w:r>
      <w:r w:rsidRPr="00745914">
        <w:rPr>
          <w:rStyle w:val="Emphasis"/>
        </w:rPr>
        <w:t>Response to AER preliminary determination–Re: rate of return and gamma</w:t>
      </w:r>
      <w:r w:rsidRPr="00745914">
        <w:t xml:space="preserve">, 6 January 2016, pp. 64–65; AGN, </w:t>
      </w:r>
      <w:r w:rsidRPr="00745914">
        <w:rPr>
          <w:rStyle w:val="Emphasis"/>
        </w:rPr>
        <w:t>2016–17 to 2020/21 Access Arrangement information response to draft decision: Attachment 10.26 Response to draft decision: rate of return</w:t>
      </w:r>
      <w:r w:rsidRPr="00745914">
        <w:t xml:space="preserve">, January 2016, pp. 69–70;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69–70; AusNet Services, </w:t>
      </w:r>
      <w:r w:rsidRPr="00745914">
        <w:rPr>
          <w:rStyle w:val="Emphasis"/>
        </w:rPr>
        <w:t>Electricity distribution price review 2016–20 Revised regulatory proposal: Chapter 7 Rate of return &amp; gamma</w:t>
      </w:r>
      <w:r w:rsidRPr="00745914">
        <w:t>, 6 January 2016, pp. 63–64.</w:t>
      </w:r>
    </w:p>
  </w:footnote>
  <w:footnote w:id="241">
    <w:p w:rsidR="00E636A0" w:rsidRDefault="00E636A0" w:rsidP="001D4715">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AER, </w:t>
      </w:r>
      <w:r w:rsidRPr="008C4977">
        <w:rPr>
          <w:rStyle w:val="AERtextitalic"/>
        </w:rPr>
        <w:t>Final decision, SA Power Networks determination 2015 -16 to 2019 - 20, Attachment 3 - Rate of return</w:t>
      </w:r>
      <w:r>
        <w:t xml:space="preserve">, October 2015, pp. 463-72;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xml:space="preserve">, May 2016, pp. 44-90, 256-9. </w:t>
      </w:r>
    </w:p>
  </w:footnote>
  <w:footnote w:id="242">
    <w:p w:rsidR="00E636A0" w:rsidRDefault="00E636A0" w:rsidP="001D4715">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46–58; AER, </w:t>
      </w:r>
      <w:r w:rsidRPr="00FE6698">
        <w:rPr>
          <w:rStyle w:val="AERtextitalic"/>
        </w:rPr>
        <w:t>Final decision, SA Power Networks determination 2015 -16 to 2019 - 20, Attachment 3 - Rate of return</w:t>
      </w:r>
      <w:r>
        <w:t xml:space="preserve">, October 2015, pp. 463-72;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w:t>
      </w:r>
      <w:r>
        <w:t xml:space="preserve">, Attachment 3 - Rate of return, May 2016, pp. 44-90. </w:t>
      </w:r>
    </w:p>
  </w:footnote>
  <w:footnote w:id="243">
    <w:p w:rsidR="00E636A0" w:rsidRDefault="00E636A0"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AER, </w:t>
      </w:r>
      <w:r w:rsidRPr="00FE6698">
        <w:rPr>
          <w:rStyle w:val="AERtextitalic"/>
        </w:rPr>
        <w:t>Final decision, SA Power Networks determination 2015 -16 to 2019 - 20, Attachment 3 - Rate of return, October 2015,</w:t>
      </w:r>
      <w:r>
        <w:t xml:space="preserve"> pp. 463-72; AER, Final decision, </w:t>
      </w:r>
      <w:r w:rsidRPr="00FE6698">
        <w:rPr>
          <w:rStyle w:val="AERtextitalic"/>
        </w:rPr>
        <w:t>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 </w:t>
      </w:r>
    </w:p>
  </w:footnote>
  <w:footnote w:id="244">
    <w:p w:rsidR="00E636A0" w:rsidRDefault="00E636A0"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Also see Frontier Economics, </w:t>
      </w:r>
      <w:r w:rsidRPr="00331E87">
        <w:rPr>
          <w:rStyle w:val="AERtextitalic"/>
        </w:rPr>
        <w:t>Estimating the equity beta for the benchmark efficient entity</w:t>
      </w:r>
      <w:r>
        <w:t xml:space="preserve">, January 2016, pp. 5–6; AER, </w:t>
      </w:r>
      <w:r w:rsidRPr="00FE6698">
        <w:rPr>
          <w:rStyle w:val="AERtextitalic"/>
        </w:rPr>
        <w:t>Final decision, SA Power Networks determination 2015 -16 to 2019 - 20, Attachment 3 - Rate of return</w:t>
      </w:r>
      <w:r>
        <w:t xml:space="preserve">, October 2015, pp. 463-72, 483-90;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w:t>
      </w:r>
    </w:p>
  </w:footnote>
  <w:footnote w:id="245">
    <w:p w:rsidR="00E636A0" w:rsidRDefault="00E636A0" w:rsidP="001D4715">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46">
    <w:p w:rsidR="00E636A0" w:rsidRDefault="00E636A0" w:rsidP="001D4715">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47">
    <w:p w:rsidR="00E636A0" w:rsidRDefault="00E636A0" w:rsidP="001D4715">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xml:space="preserve">, May 2014, pp. 79–81; AER, </w:t>
      </w:r>
      <w:r w:rsidRPr="00F34E7E">
        <w:rPr>
          <w:rStyle w:val="AERtextitalic"/>
        </w:rPr>
        <w:t>Final decision, SA Power Networks determination 2015 -16 to 2019 - 20, Attachment 3 - Rate of return</w:t>
      </w:r>
      <w:r>
        <w:t xml:space="preserve">, October 2015, pp. 463-72;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248">
    <w:p w:rsidR="00E636A0" w:rsidRDefault="00E636A0" w:rsidP="001D4715">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91–92.</w:t>
      </w:r>
    </w:p>
  </w:footnote>
  <w:footnote w:id="249">
    <w:p w:rsidR="00E636A0" w:rsidRDefault="00E636A0" w:rsidP="001D4715">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xml:space="preserve">, April 2014, p. 35; AER, </w:t>
      </w:r>
      <w:r w:rsidRPr="00F34E7E">
        <w:rPr>
          <w:rStyle w:val="AERtextitalic"/>
        </w:rPr>
        <w:t>Final decision, SA Power Networks determination 2015 -16 to 2019 - 20, Attachment 3 - Rate of return,</w:t>
      </w:r>
      <w:r>
        <w:t xml:space="preserve"> October 2015, pp. 33-143;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250">
    <w:p w:rsidR="00E636A0" w:rsidRDefault="00E636A0"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January 2016, pp. 4–5; AER</w:t>
      </w:r>
      <w:r w:rsidRPr="006E5878">
        <w:rPr>
          <w:rStyle w:val="AERtextitalic"/>
        </w:rPr>
        <w:t>, Final decision, SA Power Networks determination 2015 -16 to 2019 - 20, Attachment 3 - Rate of return</w:t>
      </w:r>
      <w:r>
        <w:t xml:space="preserve">, October 2015, pp. 463-72;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44-90. </w:t>
      </w:r>
    </w:p>
  </w:footnote>
  <w:footnote w:id="251">
    <w:p w:rsidR="00E636A0" w:rsidRDefault="00E636A0" w:rsidP="001D4715">
      <w:pPr>
        <w:pStyle w:val="FootnoteText"/>
      </w:pPr>
      <w:r>
        <w:rPr>
          <w:rStyle w:val="FootnoteReference"/>
        </w:rPr>
        <w:footnoteRef/>
      </w:r>
      <w:r>
        <w:t xml:space="preserve"> </w:t>
      </w:r>
      <w:r>
        <w:tab/>
      </w:r>
      <w:r w:rsidRPr="003C4210">
        <w:t xml:space="preserve">Henry, </w:t>
      </w:r>
      <w:r w:rsidRPr="00A164C0">
        <w:rPr>
          <w:i/>
        </w:rPr>
        <w:t>Estimating β: An update</w:t>
      </w:r>
      <w:r w:rsidRPr="003C4210">
        <w:t>, April 2014, p. 35</w:t>
      </w:r>
      <w:r>
        <w:t xml:space="preserve">; CEG, </w:t>
      </w:r>
      <w:r w:rsidRPr="000C309D">
        <w:rPr>
          <w:i/>
        </w:rPr>
        <w:t>Replication and extension of Henry’s beta analysis</w:t>
      </w:r>
      <w:r>
        <w:t>, 21 September 2016, pp.  6, 9–12, 17.</w:t>
      </w:r>
    </w:p>
  </w:footnote>
  <w:footnote w:id="252">
    <w:p w:rsidR="00E636A0" w:rsidRDefault="00E636A0" w:rsidP="001D4715">
      <w:pPr>
        <w:pStyle w:val="FootnoteText"/>
      </w:pPr>
      <w:r>
        <w:rPr>
          <w:rStyle w:val="FootnoteReference"/>
        </w:rPr>
        <w:footnoteRef/>
      </w:r>
      <w:r>
        <w:t xml:space="preserve"> </w:t>
      </w:r>
      <w:r>
        <w:tab/>
        <w:t xml:space="preserve">CEG, </w:t>
      </w:r>
      <w:r w:rsidRPr="000C309D">
        <w:rPr>
          <w:i/>
        </w:rPr>
        <w:t>Replication and extension of Henry’s beta analysis</w:t>
      </w:r>
      <w:r>
        <w:t>, 21 September 2016, p.  6.</w:t>
      </w:r>
    </w:p>
  </w:footnote>
  <w:footnote w:id="253">
    <w:p w:rsidR="00E636A0" w:rsidRDefault="00E636A0"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E636A0" w:rsidRDefault="00E636A0" w:rsidP="001D4715">
      <w:pPr>
        <w:pStyle w:val="FootnoteText"/>
      </w:pPr>
      <w:r>
        <w:tab/>
      </w:r>
      <w:r w:rsidRPr="00745914">
        <w:t xml:space="preserve">Powercor, </w:t>
      </w:r>
      <w:r w:rsidRPr="00745914">
        <w:rPr>
          <w:rStyle w:val="Emphasis"/>
        </w:rPr>
        <w:t>Revised regulatory proposal 2016–2020,</w:t>
      </w:r>
      <w:r w:rsidRPr="00745914">
        <w:t xml:space="preserve"> January 2016, pp. 308–309; ActewAGL, </w:t>
      </w:r>
      <w:r w:rsidRPr="00745914">
        <w:rPr>
          <w:rStyle w:val="Emphasis"/>
        </w:rPr>
        <w:t>Revised 2016–21 access arrangement proposal Response to the AER's draft decision, Appendix 5.01 Detailed response to rate of return, gamma and inflation</w:t>
      </w:r>
      <w:r w:rsidRPr="00745914">
        <w:t xml:space="preserve">, January 2016, pp. 91–92; United Energy, </w:t>
      </w:r>
      <w:r w:rsidRPr="00745914">
        <w:rPr>
          <w:rStyle w:val="Emphasis"/>
        </w:rPr>
        <w:t>Response to AER preliminary determination–Re: rate of return and gamma</w:t>
      </w:r>
      <w:r w:rsidRPr="00745914">
        <w:t xml:space="preserve">, 6 January 2016, p. 68; AGN, </w:t>
      </w:r>
      <w:r w:rsidRPr="00745914">
        <w:rPr>
          <w:rStyle w:val="Emphasis"/>
        </w:rPr>
        <w:t>2016–17 to 2020/21 Access Arrangement information response to draft decision: Attachment 10.26 Response to draft decision: rate of return</w:t>
      </w:r>
      <w:r w:rsidRPr="00745914">
        <w:t xml:space="preserve">, January 2016, pp. 72–73;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73–74; AusNet Services, </w:t>
      </w:r>
      <w:r w:rsidRPr="00745914">
        <w:rPr>
          <w:rStyle w:val="Emphasis"/>
        </w:rPr>
        <w:t>Electricity distribution price review 2016–20 Revised regulatory proposal: Chapter 7 Rate of return &amp; gamma</w:t>
      </w:r>
      <w:r w:rsidRPr="00745914">
        <w:t>, 6 January 2016, p. 67</w:t>
      </w:r>
      <w:r>
        <w:t xml:space="preserve">; AER, </w:t>
      </w:r>
      <w:r w:rsidRPr="006E5878">
        <w:rPr>
          <w:rStyle w:val="AERtextitalic"/>
        </w:rPr>
        <w:t>Final decision, SA Power Networks determination 2015 -16 to 2019 - 20, Attachment 3 - Rate of return</w:t>
      </w:r>
      <w:r>
        <w:t xml:space="preserve">, October 2015, pp. 496;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May 2016, pp. 256-75.</w:t>
      </w:r>
    </w:p>
  </w:footnote>
  <w:footnote w:id="254">
    <w:p w:rsidR="00E636A0" w:rsidRDefault="00E636A0"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Also see CitiPower, </w:t>
      </w:r>
      <w:r w:rsidRPr="00525CDC">
        <w:rPr>
          <w:rStyle w:val="AERtextitalic"/>
        </w:rPr>
        <w:t>Revised proposal</w:t>
      </w:r>
      <w:r>
        <w:t>, January 2016, p. 311–312.</w:t>
      </w:r>
      <w:r w:rsidRPr="004855F0">
        <w:t xml:space="preserve"> </w:t>
      </w:r>
      <w:r>
        <w:t>Powercor, United Energy, JEN, AusNet, AGN and ActewAGL's revised proposals contain similar reasoning.</w:t>
      </w:r>
    </w:p>
    <w:p w:rsidR="00E636A0" w:rsidRDefault="00E636A0" w:rsidP="001D4715">
      <w:pPr>
        <w:pStyle w:val="FootnoteText"/>
      </w:pPr>
      <w:r>
        <w:tab/>
      </w:r>
      <w:r w:rsidRPr="00745914">
        <w:t xml:space="preserve">Powercor, </w:t>
      </w:r>
      <w:r w:rsidRPr="00745914">
        <w:rPr>
          <w:rStyle w:val="Emphasis"/>
        </w:rPr>
        <w:t>Revised regulatory proposal 2016–2020,</w:t>
      </w:r>
      <w:r w:rsidRPr="00745914">
        <w:t xml:space="preserve"> January 2016, pp. 305–308;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87–89; United Energy, </w:t>
      </w:r>
      <w:r w:rsidRPr="00745914">
        <w:rPr>
          <w:rStyle w:val="Emphasis"/>
        </w:rPr>
        <w:t>Response to AER preliminary determination–Re: rate of return and gamma</w:t>
      </w:r>
      <w:r w:rsidRPr="00745914">
        <w:t xml:space="preserve">, 6 January 2016, pp. 65–66; AGN, </w:t>
      </w:r>
      <w:r w:rsidRPr="00745914">
        <w:rPr>
          <w:rStyle w:val="Emphasis"/>
        </w:rPr>
        <w:t>2016–17 to 2020/21 Access Arrangement information response to draft decision: Attachment 10.26 Response to draft decision: rate of return</w:t>
      </w:r>
      <w:r w:rsidRPr="00745914">
        <w:t xml:space="preserve">, January 2016, pp. 69–71;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70–72; AusNet Services, </w:t>
      </w:r>
      <w:r w:rsidRPr="00745914">
        <w:rPr>
          <w:rStyle w:val="Emphasis"/>
        </w:rPr>
        <w:t>Electricity distribution price review 2016–20 Revised regulatory proposal: Chapter 7 Rate of return &amp; gamma</w:t>
      </w:r>
      <w:r w:rsidRPr="00745914">
        <w:t>, 6 January 2016, pp. 64–65.</w:t>
      </w:r>
    </w:p>
  </w:footnote>
  <w:footnote w:id="255">
    <w:p w:rsidR="00E636A0" w:rsidRDefault="00E636A0" w:rsidP="001D4715">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xml:space="preserve">, pp. 17–18; ; AER, </w:t>
      </w:r>
      <w:r w:rsidRPr="006E5878">
        <w:rPr>
          <w:rStyle w:val="AERtextitalic"/>
        </w:rPr>
        <w:t>Final decision, SA Power Networks determination 2015 -16 to 2019 - 20, Attachment 3 - Rate of return</w:t>
      </w:r>
      <w:r>
        <w:t xml:space="preserve">, October 2015, pp. 473-9;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265-6, 267-8</w:t>
      </w:r>
    </w:p>
  </w:footnote>
  <w:footnote w:id="256">
    <w:p w:rsidR="00E636A0" w:rsidRDefault="00E636A0" w:rsidP="001D4715">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57">
    <w:p w:rsidR="00E636A0" w:rsidRDefault="00E636A0" w:rsidP="001D4715">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AER, </w:t>
      </w:r>
      <w:r w:rsidRPr="006E5878">
        <w:rPr>
          <w:rStyle w:val="AERtextitalic"/>
        </w:rPr>
        <w:t>Final decision, SA Power Networks determination 2015 -16 to 2019 - 20, Attachment 3 - Rate of return</w:t>
      </w:r>
      <w:r>
        <w:t xml:space="preserve">, October 2015, pp. 495-505;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256-9.    </w:t>
      </w:r>
    </w:p>
  </w:footnote>
  <w:footnote w:id="258">
    <w:p w:rsidR="00E636A0" w:rsidRDefault="00E636A0" w:rsidP="001D4715">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 ; AER</w:t>
      </w:r>
      <w:r w:rsidRPr="006E5878">
        <w:rPr>
          <w:rStyle w:val="AERtextitalic"/>
        </w:rPr>
        <w:t>, Final decision, SA Power Networks determination 2015 -16 to 2019 - 20, Attachment 3 - Rate of return</w:t>
      </w:r>
      <w:r>
        <w:t xml:space="preserve">, October 2015, pp. 480-2;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260-1.</w:t>
      </w:r>
    </w:p>
  </w:footnote>
  <w:footnote w:id="259">
    <w:p w:rsidR="00E636A0" w:rsidRDefault="00E636A0" w:rsidP="001D4715">
      <w:pPr>
        <w:pStyle w:val="FootnoteText"/>
      </w:pPr>
      <w:r>
        <w:rPr>
          <w:rStyle w:val="FootnoteReference"/>
        </w:rPr>
        <w:footnoteRef/>
      </w:r>
      <w:r>
        <w:t xml:space="preserve"> </w:t>
      </w:r>
      <w:r>
        <w:tab/>
        <w:t xml:space="preserve">CCP5, </w:t>
      </w:r>
      <w:r w:rsidRPr="00AE3365">
        <w:rPr>
          <w:i/>
        </w:rPr>
        <w:t>Transmission for the Generations III–Response to: AER draft decision for AusNet Services’ Transmission Revenue Review 2017–22</w:t>
      </w:r>
      <w:r>
        <w:t>, October 2016, pp. 20–21.</w:t>
      </w:r>
    </w:p>
  </w:footnote>
  <w:footnote w:id="260">
    <w:p w:rsidR="00E636A0" w:rsidRDefault="00E636A0" w:rsidP="001D4715">
      <w:pPr>
        <w:pStyle w:val="FootnoteText"/>
      </w:pPr>
      <w:r>
        <w:rPr>
          <w:rStyle w:val="FootnoteReference"/>
        </w:rPr>
        <w:footnoteRef/>
      </w:r>
      <w:r>
        <w:t xml:space="preserve"> </w:t>
      </w:r>
      <w:r>
        <w:tab/>
        <w:t>AER</w:t>
      </w:r>
      <w:r w:rsidRPr="006E5878">
        <w:rPr>
          <w:rStyle w:val="AERtextitalic"/>
        </w:rPr>
        <w:t>, Better Regulation Explanatory Statement: Rate of return Guideline</w:t>
      </w:r>
      <w:r>
        <w:t xml:space="preserve">, December 2013, pp. 85–88.  </w:t>
      </w:r>
    </w:p>
  </w:footnote>
  <w:footnote w:id="261">
    <w:p w:rsidR="00E636A0" w:rsidRDefault="00E636A0" w:rsidP="001D4715">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262">
    <w:p w:rsidR="00E636A0" w:rsidRDefault="00E636A0" w:rsidP="001D4715">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w:t>
      </w:r>
    </w:p>
  </w:footnote>
  <w:footnote w:id="263">
    <w:p w:rsidR="00E636A0" w:rsidRDefault="00E636A0" w:rsidP="001D4715">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21 September 2016, pp. 1, 6, 9, 13.</w:t>
      </w:r>
    </w:p>
  </w:footnote>
  <w:footnote w:id="264">
    <w:p w:rsidR="00E636A0" w:rsidRDefault="00E636A0">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 6, 9, 13;</w:t>
      </w:r>
      <w:r w:rsidRPr="007929CD">
        <w:t xml:space="preserve"> </w:t>
      </w:r>
    </w:p>
  </w:footnote>
  <w:footnote w:id="265">
    <w:p w:rsidR="00E636A0" w:rsidRDefault="00E636A0">
      <w:pPr>
        <w:pStyle w:val="FootnoteText"/>
      </w:pPr>
      <w:r>
        <w:rPr>
          <w:rStyle w:val="FootnoteReference"/>
        </w:rPr>
        <w:footnoteRef/>
      </w:r>
      <w:r>
        <w:t xml:space="preserve"> </w:t>
      </w:r>
      <w:r>
        <w:tab/>
        <w:t xml:space="preserve">Partington and Satchell, </w:t>
      </w:r>
      <w:r w:rsidRPr="00E91B81">
        <w:rPr>
          <w:rStyle w:val="AERtextitalic"/>
        </w:rPr>
        <w:t>Report to the AER: Discussion of estimates of the return on equity</w:t>
      </w:r>
      <w:r>
        <w:t>, 12 April 2017, pp. 12–13.</w:t>
      </w:r>
    </w:p>
  </w:footnote>
  <w:footnote w:id="266">
    <w:p w:rsidR="00E636A0" w:rsidRDefault="00E636A0">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13, 22.</w:t>
      </w:r>
    </w:p>
  </w:footnote>
  <w:footnote w:id="267">
    <w:p w:rsidR="00E636A0" w:rsidRDefault="00E636A0" w:rsidP="001D4715">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15–16.</w:t>
      </w:r>
    </w:p>
  </w:footnote>
  <w:footnote w:id="268">
    <w:p w:rsidR="00E636A0" w:rsidRDefault="00E636A0" w:rsidP="001D4715">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xml:space="preserve">, 21 September 2016, p. 1; </w:t>
      </w:r>
      <w:r w:rsidRPr="00B044FB">
        <w:t xml:space="preserve"> </w:t>
      </w:r>
      <w:r>
        <w:t xml:space="preserve">Partington and Satchell, </w:t>
      </w:r>
      <w:r w:rsidRPr="00AE3365">
        <w:rPr>
          <w:i/>
        </w:rPr>
        <w:t>Report to the AER: Discussion of the Estimates of the Return to Equity</w:t>
      </w:r>
      <w:r>
        <w:t>, 12 April 2017, pp. 11-13.</w:t>
      </w:r>
    </w:p>
  </w:footnote>
  <w:footnote w:id="269">
    <w:p w:rsidR="00E636A0" w:rsidRDefault="00E636A0" w:rsidP="0060124E">
      <w:pPr>
        <w:pStyle w:val="FootnoteText"/>
      </w:pPr>
      <w:r>
        <w:rPr>
          <w:rStyle w:val="FootnoteReference"/>
        </w:rPr>
        <w:footnoteRef/>
      </w:r>
      <w:r>
        <w:t xml:space="preserve"> </w:t>
      </w:r>
      <w:r>
        <w:tab/>
      </w:r>
      <w:hyperlink r:id="rId14" w:history="1">
        <w:r w:rsidRPr="00914418">
          <w:rPr>
            <w:rStyle w:val="Hyperlink"/>
            <w:sz w:val="16"/>
          </w:rPr>
          <w:t>https://www.apa.com.au/about-apa/our-history/</w:t>
        </w:r>
      </w:hyperlink>
      <w:r>
        <w:rPr>
          <w:rStyle w:val="Hyperlink"/>
          <w:sz w:val="16"/>
        </w:rPr>
        <w:t xml:space="preserve">; </w:t>
      </w:r>
      <w:hyperlink r:id="rId15" w:history="1">
        <w:r w:rsidRPr="00AD2B44">
          <w:rPr>
            <w:rStyle w:val="Hyperlink"/>
            <w:sz w:val="16"/>
          </w:rPr>
          <w:t>http://www.duet.net.au/getattachment/ASX-releases/2015/DUET-Completes-Acquisition-of-Energy-Developments/DUET-Completes-Acquistion-of-Energy-Developments-L/DUET-Completes-Acquistion-of-Energy-Developments-Limited.pdf.aspx</w:t>
        </w:r>
      </w:hyperlink>
      <w:r>
        <w:rPr>
          <w:rStyle w:val="Hyperlink"/>
        </w:rPr>
        <w:t xml:space="preserve"> </w:t>
      </w:r>
    </w:p>
  </w:footnote>
  <w:footnote w:id="270">
    <w:p w:rsidR="00E636A0" w:rsidRDefault="00E636A0" w:rsidP="0060124E">
      <w:pPr>
        <w:pStyle w:val="FootnoteText"/>
      </w:pPr>
      <w:r>
        <w:rPr>
          <w:rStyle w:val="FootnoteReference"/>
        </w:rPr>
        <w:footnoteRef/>
      </w:r>
      <w:r>
        <w:t xml:space="preserve"> </w:t>
      </w:r>
      <w:r>
        <w:tab/>
        <w:t xml:space="preserve">Partington and Satchell, </w:t>
      </w:r>
      <w:r w:rsidRPr="00F35251">
        <w:t>Report to the AER: Discussion of the Estimates of the Return to Equity</w:t>
      </w:r>
      <w:r>
        <w:t>, 12 April 2017, p. 14.</w:t>
      </w:r>
    </w:p>
  </w:footnote>
  <w:footnote w:id="271">
    <w:p w:rsidR="00E636A0" w:rsidRDefault="00E636A0" w:rsidP="001D4715">
      <w:pPr>
        <w:pStyle w:val="FootnoteText"/>
      </w:pPr>
      <w:r>
        <w:rPr>
          <w:rStyle w:val="FootnoteReference"/>
        </w:rPr>
        <w:footnoteRef/>
      </w:r>
      <w:r>
        <w:t xml:space="preserve"> </w:t>
      </w:r>
      <w:r>
        <w:tab/>
        <w:t xml:space="preserve">CCP5, </w:t>
      </w:r>
      <w:r w:rsidRPr="00AE3365">
        <w:rPr>
          <w:i/>
        </w:rPr>
        <w:t>Transmission for the Generations III–Response to: Revised revenue proposal by AusNet Services for Transmission Revenue Review 2017–22</w:t>
      </w:r>
      <w:r>
        <w:t>, October 2016, pp. 10–11.</w:t>
      </w:r>
    </w:p>
    <w:p w:rsidR="00E636A0" w:rsidRDefault="00E636A0" w:rsidP="00A164C0">
      <w:pPr>
        <w:pStyle w:val="FootnoteText"/>
        <w:ind w:left="0" w:firstLine="0"/>
      </w:pPr>
    </w:p>
  </w:footnote>
  <w:footnote w:id="272">
    <w:p w:rsidR="00E636A0" w:rsidRDefault="00E636A0" w:rsidP="001D4715">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xml:space="preserve">, June 2016, pp.45-6; CCP4(Hugh Grant),  </w:t>
      </w:r>
      <w:r w:rsidRPr="006E5878">
        <w:rPr>
          <w:rStyle w:val="AERtextitalic"/>
        </w:rPr>
        <w:t>Submission to the AER: AER draft 2018–22 revenue decision Powerlink Queensland revised 2018-22 revenue proposal</w:t>
      </w:r>
      <w:r>
        <w:t>, December 2016, pp.45-6</w:t>
      </w:r>
    </w:p>
  </w:footnote>
  <w:footnote w:id="273">
    <w:p w:rsidR="00E636A0" w:rsidRDefault="00E636A0" w:rsidP="001D4715">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xml:space="preserve">, December 2013, pp. 85–88.  </w:t>
      </w:r>
    </w:p>
  </w:footnote>
  <w:footnote w:id="274">
    <w:p w:rsidR="00E636A0" w:rsidRDefault="00E636A0" w:rsidP="001D4715">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275">
    <w:p w:rsidR="00E636A0" w:rsidRDefault="00E636A0"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 AER, </w:t>
      </w:r>
      <w:r w:rsidRPr="006E5878">
        <w:rPr>
          <w:rStyle w:val="AERtextitalic"/>
        </w:rPr>
        <w:t>Final decision, SA Power Networks determination 2015 -16 to 2019 - 20, Attachment 3 - Rate of return</w:t>
      </w:r>
      <w:r>
        <w:t xml:space="preserve">, October 2015, pp. 483-90;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xml:space="preserve">, May 2016, pp. 260-1, 267-8. </w:t>
      </w:r>
    </w:p>
  </w:footnote>
  <w:footnote w:id="276">
    <w:p w:rsidR="00E636A0" w:rsidRDefault="00E636A0"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AER, </w:t>
      </w:r>
      <w:r w:rsidRPr="006E5878">
        <w:rPr>
          <w:rStyle w:val="AERtextitalic"/>
        </w:rPr>
        <w:t>Final decision, SA Power Networks determination 2015 -16 to 2019 - 20, Attachment 3 - Rate of return</w:t>
      </w:r>
      <w:r>
        <w:t xml:space="preserve">, October 2015, pp. 483-90;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262-3. </w:t>
      </w:r>
    </w:p>
  </w:footnote>
  <w:footnote w:id="277">
    <w:p w:rsidR="00E636A0" w:rsidRDefault="00E636A0"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73–74;</w:t>
      </w:r>
      <w:r w:rsidRPr="009C72A1">
        <w:t xml:space="preserve"> </w:t>
      </w:r>
      <w:r>
        <w:t xml:space="preserve">ActewAGL, </w:t>
      </w:r>
      <w:r w:rsidRPr="00CD12C8">
        <w:rPr>
          <w:rStyle w:val="AERtextitalic"/>
        </w:rPr>
        <w:t>Revised 2016-21 access arrangement proposal appendix 5.01</w:t>
      </w:r>
      <w:r>
        <w:t xml:space="preserve">, January 2016, pp. 92–94; AER, </w:t>
      </w:r>
      <w:r w:rsidRPr="006E5878">
        <w:rPr>
          <w:rStyle w:val="AERtextitalic"/>
        </w:rPr>
        <w:t>Final decision, SA Power Networks determination 2015 -16 to 2019 - 20, Attachment 3 - Rate of return</w:t>
      </w:r>
      <w:r>
        <w:t xml:space="preserve">, October 2015, pp. 263-70, 491-4, 501-5; AER, </w:t>
      </w:r>
      <w:r w:rsidRPr="006E5878">
        <w:rPr>
          <w:rStyle w:val="AERtextitalic"/>
        </w:rPr>
        <w:t>Final decision, Australian Gas Networks access</w:t>
      </w:r>
      <w:r>
        <w:t xml:space="preserve"> </w:t>
      </w:r>
      <w:r w:rsidRPr="006E5878">
        <w:rPr>
          <w:rStyle w:val="AERtextitalic"/>
        </w:rPr>
        <w:t>arrangement 2016 to 2021, Attachment 3 - Rate of return</w:t>
      </w:r>
      <w:r>
        <w:t>, May 2016, pp. 41-87; AER</w:t>
      </w:r>
      <w:r w:rsidRPr="006E5878">
        <w:rPr>
          <w:rStyle w:val="AERtextitalic"/>
        </w:rPr>
        <w:t>, Final decision, AusNet Services distribution determination 2016 to 2020, Attachment 3 - Rate of return</w:t>
      </w:r>
      <w:r>
        <w:t>, May 2016, pp. 179-92.</w:t>
      </w:r>
    </w:p>
  </w:footnote>
  <w:footnote w:id="278">
    <w:p w:rsidR="00E636A0" w:rsidRDefault="00E636A0"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January 2016, pp. 315–316. Powercor, United Energy, JEN, AusNet, AGN and ActewAGL's revised proposals contain similar reasoning.</w:t>
      </w:r>
    </w:p>
    <w:p w:rsidR="00E636A0" w:rsidRDefault="00E636A0" w:rsidP="001D4715">
      <w:pPr>
        <w:pStyle w:val="FootnoteText"/>
      </w:pPr>
      <w:r>
        <w:tab/>
      </w:r>
      <w:r w:rsidRPr="00745914">
        <w:t xml:space="preserve">Powercor, </w:t>
      </w:r>
      <w:r w:rsidRPr="00745914">
        <w:rPr>
          <w:rStyle w:val="Emphasis"/>
        </w:rPr>
        <w:t>Revised regulatory proposal 2016–2020,</w:t>
      </w:r>
      <w:r w:rsidRPr="00745914">
        <w:t xml:space="preserve"> January 2016, pp. 309–310; ActewAGL, </w:t>
      </w:r>
      <w:r w:rsidRPr="00745914">
        <w:rPr>
          <w:rStyle w:val="Emphasis"/>
        </w:rPr>
        <w:t>Revised 2016–21 access arrangement proposal Response to the AER's draft decision, Appendix 5.01 Detailed response to rate of return, gamma and inflation</w:t>
      </w:r>
      <w:r w:rsidRPr="00745914">
        <w:t xml:space="preserve">, January 2016, pp. 93–94; United Energy, </w:t>
      </w:r>
      <w:r w:rsidRPr="00745914">
        <w:rPr>
          <w:rStyle w:val="Emphasis"/>
        </w:rPr>
        <w:t>Response to AER preliminary determination–Re: rate of return and gamma</w:t>
      </w:r>
      <w:r w:rsidRPr="00745914">
        <w:t xml:space="preserve">, 6 January 2016, pp. 69–70; AGN, </w:t>
      </w:r>
      <w:r w:rsidRPr="00745914">
        <w:rPr>
          <w:rStyle w:val="Emphasis"/>
        </w:rPr>
        <w:t>2016–17 to 2020/21 Access Arrangement information response to draft decision: Attachment 10.26 Response to draft decision: rate of return</w:t>
      </w:r>
      <w:r w:rsidRPr="00745914">
        <w:t xml:space="preserve">, January 2016, pp. 73–74;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74–75; AusNet Services, </w:t>
      </w:r>
      <w:r w:rsidRPr="00745914">
        <w:rPr>
          <w:rStyle w:val="Emphasis"/>
        </w:rPr>
        <w:t>Electricity distribution price review 2016–20 Revised regulatory proposal: Chapter 7 Rate of return &amp; gamma</w:t>
      </w:r>
      <w:r w:rsidRPr="00745914">
        <w:t>, 6 January 2016, pp. 68–69.</w:t>
      </w:r>
    </w:p>
  </w:footnote>
  <w:footnote w:id="279">
    <w:p w:rsidR="00E636A0" w:rsidRDefault="00E636A0" w:rsidP="001D4715">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xml:space="preserve">, January 2016, pp. 52–57); AER, </w:t>
      </w:r>
      <w:r w:rsidRPr="006E5878">
        <w:rPr>
          <w:rStyle w:val="AERtextitalic"/>
        </w:rPr>
        <w:t>Final decision, SA Power Networks determination 2015 -16 to 2019 - 20, Attachment 3 - Rate of return</w:t>
      </w:r>
      <w:r>
        <w:t xml:space="preserve">, October 2015, pp. 33-143;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May 2016, pp. 44-90.</w:t>
      </w:r>
    </w:p>
  </w:footnote>
  <w:footnote w:id="280">
    <w:p w:rsidR="00E636A0" w:rsidRDefault="00E636A0" w:rsidP="001D4715">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AER, </w:t>
      </w:r>
      <w:r w:rsidRPr="006E5878">
        <w:rPr>
          <w:rStyle w:val="AERtextitalic"/>
        </w:rPr>
        <w:t>Final decision, SA Power Networks determination 2015 -16 to 2019 - 20, Attachment 3 - Rate of return</w:t>
      </w:r>
      <w:r>
        <w:t>, October 2015, pp. 491-4; AER</w:t>
      </w:r>
      <w:r w:rsidRPr="006E5878">
        <w:rPr>
          <w:rStyle w:val="AERtextitalic"/>
        </w:rPr>
        <w:t>, 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256-9. </w:t>
      </w:r>
    </w:p>
  </w:footnote>
  <w:footnote w:id="281">
    <w:p w:rsidR="00E636A0" w:rsidRDefault="00E636A0" w:rsidP="001D4715">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282">
    <w:p w:rsidR="00E636A0" w:rsidRDefault="00E636A0" w:rsidP="001D4715">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283">
    <w:p w:rsidR="00E636A0" w:rsidRDefault="00E636A0" w:rsidP="001D4715">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CCP4 (Hugh Grant and David Headberry),  </w:t>
      </w:r>
      <w:r w:rsidRPr="004910A0">
        <w:rPr>
          <w:i/>
        </w:rPr>
        <w:t>Submission to the AER, Powerlink Queensland 2018-22 revenue proposal</w:t>
      </w:r>
      <w:r>
        <w:t>, June 2016, pp.45-6.</w:t>
      </w:r>
    </w:p>
  </w:footnote>
  <w:footnote w:id="284">
    <w:p w:rsidR="00E636A0" w:rsidRDefault="00E636A0" w:rsidP="001D4715">
      <w:pPr>
        <w:pStyle w:val="FootnoteText"/>
      </w:pPr>
      <w:r>
        <w:rPr>
          <w:rStyle w:val="FootnoteReference"/>
        </w:rPr>
        <w:footnoteRef/>
      </w:r>
      <w:r>
        <w:t xml:space="preserve"> </w:t>
      </w:r>
      <w:r>
        <w:tab/>
        <w:t xml:space="preserve">CCP4 (Hugh Grant and David Headberry),  </w:t>
      </w:r>
      <w:r w:rsidRPr="004910A0">
        <w:rPr>
          <w:i/>
        </w:rPr>
        <w:t>Submission to the AER, Powerlink Queensland 2018-22 revenue proposal</w:t>
      </w:r>
      <w:r>
        <w:t>, June 2016, pp.45-6.</w:t>
      </w:r>
    </w:p>
  </w:footnote>
  <w:footnote w:id="285">
    <w:p w:rsidR="00E636A0" w:rsidRDefault="00E636A0" w:rsidP="001D4715">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286">
    <w:p w:rsidR="00E636A0" w:rsidRDefault="00E636A0"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CitiPower, Powercor, United Energy, JEN, AGN and ActewAGL submitted this report during the decision process. AER, </w:t>
      </w:r>
      <w:r w:rsidRPr="006E5878">
        <w:rPr>
          <w:rStyle w:val="AERtextitalic"/>
        </w:rPr>
        <w:t>Final decision, SA Power Networks determination 2015 -16 to 2019 - 20, Attachment 3 - Rate of return</w:t>
      </w:r>
      <w:r>
        <w:t xml:space="preserve">, October 2015, pp. 434-49;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44-90.</w:t>
      </w:r>
    </w:p>
  </w:footnote>
  <w:footnote w:id="287">
    <w:p w:rsidR="00E636A0" w:rsidRDefault="00E636A0"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AER, </w:t>
      </w:r>
      <w:r w:rsidRPr="006E5878">
        <w:rPr>
          <w:rStyle w:val="AERtextitalic"/>
        </w:rPr>
        <w:t>Final decision, SA Power Networks determination 2015 -16 to 2019 - 20, Attachment 3 - Rate of return</w:t>
      </w:r>
      <w:r>
        <w:t xml:space="preserve">, October 2015, pp. 436-7, 438-46;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260-1, 262-3.</w:t>
      </w:r>
    </w:p>
  </w:footnote>
  <w:footnote w:id="288">
    <w:p w:rsidR="00E636A0" w:rsidRDefault="00E636A0"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6–7; AER, </w:t>
      </w:r>
      <w:r w:rsidRPr="006E5878">
        <w:rPr>
          <w:rStyle w:val="AERtextitalic"/>
        </w:rPr>
        <w:t>Final decision, SA Power Networks determination 2015 -16 to 2019 - 20, Attachment 3 - Rate of return</w:t>
      </w:r>
      <w:r>
        <w:t xml:space="preserve">, October 2015, pp. 438-46;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May 2016, pp. 44-90.</w:t>
      </w:r>
    </w:p>
  </w:footnote>
  <w:footnote w:id="289">
    <w:p w:rsidR="00E636A0" w:rsidRDefault="00E636A0"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20–26;</w:t>
      </w:r>
      <w:r w:rsidRPr="00462CE9">
        <w:t xml:space="preserve"> </w:t>
      </w:r>
      <w:r>
        <w:t xml:space="preserve">AER, </w:t>
      </w:r>
      <w:r w:rsidRPr="006E5878">
        <w:rPr>
          <w:rStyle w:val="AERtextitalic"/>
        </w:rPr>
        <w:t>Final decision, SA Power Networks determination 2015 -16 to 2019 - 20, Attachment 3 - Rate of return</w:t>
      </w:r>
      <w:r>
        <w:t xml:space="preserve">, October 2015, pp. 447-9;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44-90. </w:t>
      </w:r>
    </w:p>
  </w:footnote>
  <w:footnote w:id="290">
    <w:p w:rsidR="00E636A0" w:rsidRDefault="00E636A0" w:rsidP="001D4715">
      <w:pPr>
        <w:pStyle w:val="FootnoteText"/>
      </w:pPr>
      <w:r>
        <w:rPr>
          <w:rStyle w:val="FootnoteReference"/>
        </w:rPr>
        <w:footnoteRef/>
      </w:r>
      <w:r>
        <w:t xml:space="preserve"> </w:t>
      </w:r>
      <w:r>
        <w:tab/>
        <w:t>CCP4(DH</w:t>
      </w:r>
      <w:r w:rsidRPr="004910A0">
        <w:rPr>
          <w:i/>
        </w:rPr>
        <w:t>), Submission to the AER, Response to the proposal from Tasmania’s electricity distribution network service provider (Tas</w:t>
      </w:r>
      <w:r>
        <w:rPr>
          <w:i/>
        </w:rPr>
        <w:t>N</w:t>
      </w:r>
      <w:r w:rsidRPr="004910A0">
        <w:rPr>
          <w:i/>
        </w:rPr>
        <w:t>etworks – TND) for a revenue reset for the 2017-19 regulatory period</w:t>
      </w:r>
      <w:r>
        <w:t>, 4 May 2016, p. 47.</w:t>
      </w:r>
    </w:p>
  </w:footnote>
  <w:footnote w:id="291">
    <w:p w:rsidR="00E636A0" w:rsidRDefault="00E636A0" w:rsidP="001D4715">
      <w:pPr>
        <w:pStyle w:val="FootnoteText"/>
      </w:pPr>
      <w:r>
        <w:rPr>
          <w:rStyle w:val="FootnoteReference"/>
        </w:rPr>
        <w:footnoteRef/>
      </w:r>
      <w:r>
        <w:t xml:space="preserve"> </w:t>
      </w:r>
      <w:r>
        <w:tab/>
        <w:t>AER</w:t>
      </w:r>
      <w:r w:rsidRPr="006E5878">
        <w:rPr>
          <w:rStyle w:val="AERtextitalic"/>
        </w:rPr>
        <w:t>, Draft decision, AusNet Services transmission determination 2017-18 to 2021-22, Attachment 3 - Rate of return</w:t>
      </w:r>
      <w:r>
        <w:t>, July 2016, p. 24</w:t>
      </w:r>
    </w:p>
  </w:footnote>
  <w:footnote w:id="292">
    <w:p w:rsidR="00E636A0" w:rsidRDefault="00E636A0" w:rsidP="001D4715">
      <w:pPr>
        <w:pStyle w:val="FootnoteText"/>
      </w:pPr>
      <w:r>
        <w:rPr>
          <w:rStyle w:val="FootnoteReference"/>
        </w:rPr>
        <w:footnoteRef/>
      </w:r>
      <w:r>
        <w:t xml:space="preserve"> </w:t>
      </w:r>
      <w:r>
        <w:tab/>
        <w:t xml:space="preserve">Tasmanian Small Business Council, </w:t>
      </w:r>
      <w:r w:rsidRPr="00F44614">
        <w:rPr>
          <w:i/>
        </w:rPr>
        <w:t>Submission to the AER, TasNetworks’ electricity distribution regulatory proposal 1 July 2017 to 30 June 2019 and tariff structure proposal</w:t>
      </w:r>
      <w:r>
        <w:t>, May 2016, p.8; CCP4(DH</w:t>
      </w:r>
      <w:r w:rsidRPr="00F44614">
        <w:rPr>
          <w:i/>
        </w:rPr>
        <w:t>), Submission to the AER, Response to the proposal from Tasmania’s electricity distribution network service provider</w:t>
      </w:r>
      <w:r w:rsidRPr="0083127E">
        <w:rPr>
          <w:i/>
        </w:rPr>
        <w:t xml:space="preserve"> (Tas</w:t>
      </w:r>
      <w:r>
        <w:rPr>
          <w:i/>
        </w:rPr>
        <w:t>N</w:t>
      </w:r>
      <w:r w:rsidRPr="00F44614">
        <w:rPr>
          <w:i/>
        </w:rPr>
        <w:t>etworks – TND) for a revenue reset for the 2017-19 regulatory period</w:t>
      </w:r>
      <w:r>
        <w:t xml:space="preserve">, 4 May 2016, pp. 5, 44; Tasmanian Small Business Council, </w:t>
      </w:r>
      <w:r w:rsidRPr="004910A0">
        <w:rPr>
          <w:i/>
        </w:rPr>
        <w:t>Submission to the AER, TasNetworks’ electricity distribution regulatory proposal 1 July 2017 to 30 June 2019 and tariff structure proposal</w:t>
      </w:r>
      <w:r>
        <w:t xml:space="preserve">, May 2016, p.36; CCP4(DH), </w:t>
      </w:r>
      <w:r w:rsidRPr="00F44614">
        <w:rPr>
          <w:i/>
        </w:rPr>
        <w:t>Submission to the AER, Response to the AER draft decision and revised proposal to Powerlink’s electricity transmission</w:t>
      </w:r>
      <w:r>
        <w:t xml:space="preserve">, 19 December 2016, p. 21.  </w:t>
      </w:r>
    </w:p>
  </w:footnote>
  <w:footnote w:id="293">
    <w:p w:rsidR="00E636A0" w:rsidRDefault="00E636A0" w:rsidP="001D4715">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xml:space="preserve">, December 2013, pp. 85–88.  </w:t>
      </w:r>
    </w:p>
  </w:footnote>
  <w:footnote w:id="294">
    <w:p w:rsidR="00E636A0" w:rsidRDefault="00E636A0" w:rsidP="001D4715">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295">
    <w:p w:rsidR="00E636A0" w:rsidRDefault="00E636A0" w:rsidP="001D4715">
      <w:pPr>
        <w:pStyle w:val="FootnoteText"/>
      </w:pPr>
      <w:r>
        <w:rPr>
          <w:rStyle w:val="FootnoteReference"/>
        </w:rPr>
        <w:footnoteRef/>
      </w:r>
      <w:r>
        <w:t xml:space="preserve"> </w:t>
      </w:r>
      <w:r>
        <w:tab/>
        <w:t>Australian Competition Tribunal.</w:t>
      </w:r>
    </w:p>
  </w:footnote>
  <w:footnote w:id="296">
    <w:p w:rsidR="00E636A0" w:rsidRDefault="00E636A0" w:rsidP="001D4715">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June 2016, p.47.</w:t>
      </w:r>
    </w:p>
  </w:footnote>
  <w:footnote w:id="297">
    <w:p w:rsidR="00E636A0" w:rsidRDefault="00E636A0" w:rsidP="001D4715">
      <w:pPr>
        <w:pStyle w:val="FootnoteText"/>
      </w:pPr>
      <w:r>
        <w:rPr>
          <w:rStyle w:val="FootnoteReference"/>
        </w:rPr>
        <w:footnoteRef/>
      </w:r>
      <w:r>
        <w:t xml:space="preserve"> </w:t>
      </w:r>
      <w:r>
        <w:tab/>
        <w:t xml:space="preserve">CCP4(Hugh Grant and David Headberry),  </w:t>
      </w:r>
      <w:r w:rsidRPr="00F44614">
        <w:rPr>
          <w:i/>
        </w:rPr>
        <w:t>Submission to the AER, Powerlink Queensland 2018-22 revenue proposal</w:t>
      </w:r>
      <w:r>
        <w:t>, June 2016, p.3.</w:t>
      </w:r>
    </w:p>
  </w:footnote>
  <w:footnote w:id="298">
    <w:p w:rsidR="00E636A0" w:rsidRDefault="00E636A0" w:rsidP="00772B77">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202, 221–222.</w:t>
      </w:r>
    </w:p>
  </w:footnote>
  <w:footnote w:id="299">
    <w:p w:rsidR="00E636A0" w:rsidRDefault="00E636A0" w:rsidP="00772B77">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221–222.</w:t>
      </w:r>
    </w:p>
  </w:footnote>
  <w:footnote w:id="300">
    <w:p w:rsidR="00E636A0" w:rsidRDefault="00E636A0" w:rsidP="00EC3862">
      <w:pPr>
        <w:pStyle w:val="FootnoteText"/>
      </w:pPr>
      <w:r>
        <w:rPr>
          <w:rStyle w:val="FootnoteReference"/>
        </w:rPr>
        <w:footnoteRef/>
      </w:r>
      <w:r>
        <w:t xml:space="preserve"> </w:t>
      </w:r>
      <w:r>
        <w:tab/>
      </w:r>
      <w:r w:rsidRPr="009F0978">
        <w:t xml:space="preserve">TasNetworks, </w:t>
      </w:r>
      <w:r w:rsidRPr="00E91B81">
        <w:rPr>
          <w:rStyle w:val="AERtextitalic"/>
        </w:rPr>
        <w:t>Tasmanian Distribution Regulatory Proposal Regulatory Control Period 1 July 2017 to 30 June 2019</w:t>
      </w:r>
      <w:r w:rsidRPr="009F0978">
        <w:t>, 29 January 2016, p. 117</w:t>
      </w:r>
      <w:r>
        <w:t>; TasNetworks</w:t>
      </w:r>
      <w:r w:rsidRPr="00E91B81">
        <w:rPr>
          <w:rStyle w:val="AERtextitalic"/>
        </w:rPr>
        <w:t xml:space="preserve">, </w:t>
      </w:r>
      <w:r>
        <w:rPr>
          <w:rStyle w:val="AERtextitalic"/>
        </w:rPr>
        <w:t>Tasmanian Distribution Revised Regulatory Proposal Regulatory Control Period 1 July 2017 to 30 June 2019</w:t>
      </w:r>
      <w:r>
        <w:t>, December 2016, p. 7.</w:t>
      </w:r>
    </w:p>
  </w:footnote>
  <w:footnote w:id="301">
    <w:p w:rsidR="00E636A0" w:rsidRDefault="00E636A0" w:rsidP="006E5878">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148-149; Frontier Economics, </w:t>
      </w:r>
      <w:r w:rsidRPr="006E5878">
        <w:rPr>
          <w:rStyle w:val="AERtextitalic"/>
        </w:rPr>
        <w:t>The market risk premium</w:t>
      </w:r>
      <w:r>
        <w:t>, September 2016, p. 71–73, 75–76;</w:t>
      </w:r>
    </w:p>
    <w:p w:rsidR="00E636A0" w:rsidRDefault="00E636A0" w:rsidP="006E5878">
      <w:pPr>
        <w:pStyle w:val="FootnoteText"/>
      </w:pPr>
      <w:r>
        <w:tab/>
        <w:t xml:space="preserve">SAPN proposal, </w:t>
      </w:r>
      <w:r w:rsidRPr="006E5878">
        <w:rPr>
          <w:rStyle w:val="AERtextitalic"/>
        </w:rPr>
        <w:t>Revised regulatory proposal 2015–20</w:t>
      </w:r>
      <w:r>
        <w:t xml:space="preserve">, 3 July 2015, p. 331; United Energy, </w:t>
      </w:r>
      <w:r w:rsidRPr="006E5878">
        <w:rPr>
          <w:rStyle w:val="AERtextitalic"/>
        </w:rPr>
        <w:t>2016 to 2020 Revised regulatory proposal</w:t>
      </w:r>
      <w:r>
        <w:t xml:space="preserve">, 6 January 2016, p.77. </w:t>
      </w:r>
    </w:p>
  </w:footnote>
  <w:footnote w:id="302">
    <w:p w:rsidR="00E636A0" w:rsidRDefault="00E636A0" w:rsidP="00772B77">
      <w:pPr>
        <w:pStyle w:val="FootnoteText"/>
      </w:pPr>
      <w:r>
        <w:rPr>
          <w:rStyle w:val="FootnoteReference"/>
        </w:rPr>
        <w:footnoteRef/>
      </w:r>
      <w:r>
        <w:t xml:space="preserve"> </w:t>
      </w:r>
      <w:r>
        <w:tab/>
        <w:t>See 'other information and evaluation of information' subsection of section 3.4.2 and Appendix E</w:t>
      </w:r>
    </w:p>
  </w:footnote>
  <w:footnote w:id="303">
    <w:p w:rsidR="00E636A0" w:rsidRDefault="00E636A0" w:rsidP="00772B77">
      <w:pPr>
        <w:pStyle w:val="FootnoteText"/>
      </w:pPr>
      <w:r>
        <w:rPr>
          <w:rStyle w:val="FootnoteReference"/>
        </w:rPr>
        <w:footnoteRef/>
      </w:r>
      <w:r>
        <w:t xml:space="preserve"> </w:t>
      </w:r>
      <w:r>
        <w:tab/>
        <w:t>IPART</w:t>
      </w:r>
      <w:r w:rsidRPr="00BA392B">
        <w:rPr>
          <w:rStyle w:val="Emphasis"/>
        </w:rPr>
        <w:t>, Maximum fees and charges for cruise ships in Sydney Harbour Final decision</w:t>
      </w:r>
      <w:r w:rsidRPr="001B3748">
        <w:t>, 25 November 2016</w:t>
      </w:r>
      <w:r>
        <w:t xml:space="preserve">; </w:t>
      </w:r>
      <w:r w:rsidRPr="001B3748">
        <w:t>ESCOSA</w:t>
      </w:r>
      <w:r w:rsidRPr="00BA392B">
        <w:rPr>
          <w:rStyle w:val="Emphasis"/>
        </w:rPr>
        <w:t>, SA Water Regulatory Determination 2016 Final Decision</w:t>
      </w:r>
      <w:r w:rsidRPr="001B3748">
        <w:t>, June 2016</w:t>
      </w:r>
      <w:r>
        <w:t xml:space="preserve">; </w:t>
      </w:r>
      <w:r w:rsidRPr="001B3748">
        <w:t xml:space="preserve">ESCV, </w:t>
      </w:r>
      <w:r w:rsidRPr="00BA392B">
        <w:rPr>
          <w:rStyle w:val="Emphasis"/>
        </w:rPr>
        <w:t>Goulbourn-Murray Water Price Review 2016</w:t>
      </w:r>
      <w:r w:rsidRPr="001B3748">
        <w:t>, 16 June 2016</w:t>
      </w:r>
    </w:p>
  </w:footnote>
  <w:footnote w:id="304">
    <w:p w:rsidR="00E636A0" w:rsidRDefault="00E636A0" w:rsidP="00C22C38">
      <w:pPr>
        <w:pStyle w:val="FootnoteText"/>
      </w:pPr>
      <w:r>
        <w:rPr>
          <w:rStyle w:val="FootnoteReference"/>
        </w:rPr>
        <w:footnoteRef/>
      </w:r>
      <w:r>
        <w:t xml:space="preserve"> </w:t>
      </w:r>
      <w:r>
        <w:tab/>
      </w:r>
      <w:r w:rsidRPr="0056513F">
        <w:t xml:space="preserve"> </w:t>
      </w:r>
      <w:r>
        <w:t xml:space="preserve">CCP5, </w:t>
      </w:r>
      <w:r w:rsidRPr="00BA392B">
        <w:rPr>
          <w:rStyle w:val="Emphasis"/>
        </w:rPr>
        <w:t>response to AER draft decision on AusNet services transmission review</w:t>
      </w:r>
      <w:r>
        <w:t xml:space="preserve">, September 2016; CCP5, </w:t>
      </w:r>
      <w:r w:rsidRPr="006E5878">
        <w:rPr>
          <w:rStyle w:val="AERtextitalic"/>
        </w:rPr>
        <w:t>Transmission for the Generations III–Response to: Revised revenue proposal by AusNet Services for Transmission Revenue Review 2017–22</w:t>
      </w:r>
      <w:r>
        <w:t xml:space="preserve">, October 2016, pp. 9–10; CCP4 (Hugh Grant), </w:t>
      </w:r>
      <w:r w:rsidRPr="006E5878">
        <w:rPr>
          <w:rStyle w:val="AERtextitalic"/>
        </w:rPr>
        <w:t>Submission to the AER: AER draft 2018–22 revenue decision Powerlink revised 208–22 revenue proposal</w:t>
      </w:r>
      <w:r>
        <w:t xml:space="preserve">, 23 December 2016, p. 44; </w:t>
      </w:r>
      <w:r w:rsidRPr="007004E9">
        <w:t xml:space="preserve">CCP4 (David Headberry), </w:t>
      </w:r>
      <w:r w:rsidRPr="006E5878">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Queensland farmers’ federation, </w:t>
      </w:r>
      <w:r w:rsidRPr="006E5878">
        <w:rPr>
          <w:rStyle w:val="AERtextitalic"/>
        </w:rPr>
        <w:t>Re: Response on Australian Energy Regulator (AER) Draft Decision on Powerlink ‘s revenue proposal for the 2017/18 –2021/22 regulatory period</w:t>
      </w:r>
      <w:r>
        <w:t>, 30 November 2016..</w:t>
      </w:r>
    </w:p>
  </w:footnote>
  <w:footnote w:id="305">
    <w:p w:rsidR="00E636A0" w:rsidRDefault="00E636A0" w:rsidP="00772B77">
      <w:pPr>
        <w:pStyle w:val="FootnoteText"/>
      </w:pPr>
      <w:r>
        <w:rPr>
          <w:rStyle w:val="FootnoteReference"/>
        </w:rPr>
        <w:footnoteRef/>
      </w:r>
      <w:r>
        <w:t xml:space="preserve"> </w:t>
      </w:r>
      <w:r>
        <w:tab/>
        <w:t xml:space="preserve">AusNet Services, </w:t>
      </w:r>
      <w:r w:rsidRPr="00BA392B">
        <w:rPr>
          <w:rStyle w:val="Emphasis"/>
        </w:rPr>
        <w:t>AusNet Transmission 2017-22 Revised Revenue Proposal</w:t>
      </w:r>
      <w:r>
        <w:t xml:space="preserve">, 21 September 2016; TasNetworks, </w:t>
      </w:r>
      <w:r w:rsidRPr="00BA392B">
        <w:rPr>
          <w:rStyle w:val="Emphasis"/>
        </w:rPr>
        <w:t>TasNetworks Distribution Revised Regulatory Proposal 2017-19</w:t>
      </w:r>
      <w:r>
        <w:t xml:space="preserve">, December 2016; Powerlink, </w:t>
      </w:r>
      <w:r w:rsidRPr="00BA392B">
        <w:rPr>
          <w:rStyle w:val="Emphasis"/>
        </w:rPr>
        <w:t>Powerlink 2018-2022 Revised Revenue Proposal</w:t>
      </w:r>
      <w:r>
        <w:t>, December 2016</w:t>
      </w:r>
    </w:p>
  </w:footnote>
  <w:footnote w:id="306">
    <w:p w:rsidR="00E636A0" w:rsidRDefault="00E636A0" w:rsidP="00772B77">
      <w:pPr>
        <w:pStyle w:val="FootnoteText"/>
      </w:pPr>
      <w:r>
        <w:rPr>
          <w:rStyle w:val="FootnoteReference"/>
        </w:rPr>
        <w:footnoteRef/>
      </w:r>
      <w:r>
        <w:t xml:space="preserve"> </w:t>
      </w:r>
      <w:r>
        <w:tab/>
        <w:t xml:space="preserve">AER, </w:t>
      </w:r>
      <w:r>
        <w:rPr>
          <w:rStyle w:val="Emphasis"/>
        </w:rPr>
        <w:t xml:space="preserve"> Explanatory statement, Rate of Return Guideline</w:t>
      </w:r>
      <w:r>
        <w:t>, December 2013, pp. 14;</w:t>
      </w:r>
    </w:p>
  </w:footnote>
  <w:footnote w:id="307">
    <w:p w:rsidR="00E636A0" w:rsidRDefault="00E636A0" w:rsidP="00772B77">
      <w:pPr>
        <w:pStyle w:val="FootnoteText"/>
      </w:pPr>
      <w:r>
        <w:rPr>
          <w:rStyle w:val="FootnoteReference"/>
        </w:rPr>
        <w:footnoteRef/>
      </w:r>
      <w:r>
        <w:t xml:space="preserve"> </w:t>
      </w:r>
      <w:r>
        <w:tab/>
      </w:r>
      <w:r>
        <w:rPr>
          <w:szCs w:val="16"/>
        </w:rPr>
        <w:t xml:space="preserve">CCP (subpanel 5), </w:t>
      </w:r>
      <w:r>
        <w:rPr>
          <w:i/>
          <w:iCs/>
          <w:szCs w:val="16"/>
        </w:rPr>
        <w:t>Response to AER draft decision on AusNet Services transmission revenue review</w:t>
      </w:r>
      <w:r>
        <w:rPr>
          <w:szCs w:val="16"/>
        </w:rPr>
        <w:t xml:space="preserve">, September 2016, p. 20 </w:t>
      </w:r>
      <w:r>
        <w:t xml:space="preserve"> </w:t>
      </w:r>
    </w:p>
  </w:footnote>
  <w:footnote w:id="308">
    <w:p w:rsidR="00E636A0" w:rsidRDefault="00E636A0" w:rsidP="00772B77">
      <w:pPr>
        <w:pStyle w:val="FootnoteText"/>
      </w:pPr>
      <w:r>
        <w:rPr>
          <w:rStyle w:val="FootnoteReference"/>
        </w:rPr>
        <w:footnoteRef/>
      </w:r>
      <w:r>
        <w:t xml:space="preserve"> </w:t>
      </w:r>
      <w:r>
        <w:tab/>
        <w:t xml:space="preserve">CCP (subpanel 5, </w:t>
      </w:r>
      <w:r>
        <w:rPr>
          <w:i/>
        </w:rPr>
        <w:t xml:space="preserve">Submission on AusNet transmission revised proposal, </w:t>
      </w:r>
      <w:r>
        <w:t xml:space="preserve">October 2016 P8-9. </w:t>
      </w:r>
    </w:p>
  </w:footnote>
  <w:footnote w:id="309">
    <w:p w:rsidR="00E636A0" w:rsidRDefault="00E636A0" w:rsidP="00772B77">
      <w:pPr>
        <w:pStyle w:val="FootnoteText"/>
      </w:pPr>
      <w:r>
        <w:rPr>
          <w:rStyle w:val="FootnoteReference"/>
        </w:rPr>
        <w:footnoteRef/>
      </w:r>
      <w:r>
        <w:t xml:space="preserve"> </w:t>
      </w:r>
      <w:r>
        <w:tab/>
        <w:t xml:space="preserve">CCP4 (David Headberry), </w:t>
      </w:r>
      <w:r w:rsidRPr="00BA392B">
        <w:rPr>
          <w:rStyle w:val="Emphasis"/>
        </w:rPr>
        <w:t>Submission on Powerlink draft decision and revised proposal</w:t>
      </w:r>
      <w:r>
        <w:t>, 23 December 2016, P21</w:t>
      </w:r>
    </w:p>
  </w:footnote>
  <w:footnote w:id="310">
    <w:p w:rsidR="00E636A0" w:rsidRDefault="00E636A0" w:rsidP="00772B77">
      <w:pPr>
        <w:pStyle w:val="FootnoteText"/>
      </w:pPr>
      <w:r>
        <w:rPr>
          <w:rStyle w:val="FootnoteReference"/>
        </w:rPr>
        <w:footnoteRef/>
      </w:r>
      <w:r>
        <w:t xml:space="preserve"> </w:t>
      </w:r>
      <w:r>
        <w:tab/>
        <w:t xml:space="preserve">CCP4 (Hugh Grant), </w:t>
      </w:r>
      <w:r w:rsidRPr="00BA392B">
        <w:rPr>
          <w:rStyle w:val="Emphasis"/>
        </w:rPr>
        <w:t>Submission on Powerlink draft decision and revised proposal</w:t>
      </w:r>
      <w:r>
        <w:t>, 23 December 2016, P5 &amp; P39-42</w:t>
      </w:r>
    </w:p>
  </w:footnote>
  <w:footnote w:id="311">
    <w:p w:rsidR="00E636A0" w:rsidRDefault="00E636A0">
      <w:pPr>
        <w:pStyle w:val="FootnoteText"/>
      </w:pPr>
      <w:r>
        <w:rPr>
          <w:rStyle w:val="FootnoteReference"/>
        </w:rPr>
        <w:footnoteRef/>
      </w:r>
      <w:r>
        <w:t xml:space="preserve"> </w:t>
      </w:r>
      <w:r>
        <w:tab/>
        <w:t xml:space="preserve">Cotton Australia, </w:t>
      </w:r>
      <w:r w:rsidRPr="00BA392B">
        <w:rPr>
          <w:rStyle w:val="Emphasis"/>
        </w:rPr>
        <w:t>Submission on Powerlink revised proposal</w:t>
      </w:r>
      <w:r>
        <w:t>, 22 December 2016, p2</w:t>
      </w:r>
    </w:p>
  </w:footnote>
  <w:footnote w:id="312">
    <w:p w:rsidR="00E636A0" w:rsidRDefault="00E636A0">
      <w:pPr>
        <w:pStyle w:val="FootnoteText"/>
      </w:pPr>
      <w:r>
        <w:rPr>
          <w:rStyle w:val="FootnoteReference"/>
        </w:rPr>
        <w:footnoteRef/>
      </w:r>
      <w:r>
        <w:t xml:space="preserve"> </w:t>
      </w:r>
      <w:r>
        <w:tab/>
        <w:t xml:space="preserve">John Herbst, </w:t>
      </w:r>
      <w:r w:rsidRPr="00A164C0">
        <w:rPr>
          <w:rStyle w:val="Emphasis"/>
        </w:rPr>
        <w:t>Submission on TasNetworks tariff structure statement</w:t>
      </w:r>
      <w:r>
        <w:t>, December 2016, p1-3</w:t>
      </w:r>
    </w:p>
  </w:footnote>
  <w:footnote w:id="313">
    <w:p w:rsidR="00E636A0" w:rsidRDefault="00E636A0" w:rsidP="00772B77">
      <w:pPr>
        <w:pStyle w:val="FootnoteText"/>
      </w:pPr>
      <w:r>
        <w:rPr>
          <w:rStyle w:val="FootnoteReference"/>
        </w:rPr>
        <w:footnoteRef/>
      </w:r>
      <w:r>
        <w:t xml:space="preserve"> </w:t>
      </w:r>
      <w:r>
        <w:tab/>
        <w:t xml:space="preserve">Frontier considers that we set a market risk premium of 6.5 per cent in the December 2013 Guideline by estimating the mid-point of historical excess returns and dividend growth model estimates. See Frontier Economics, </w:t>
      </w:r>
      <w:r w:rsidRPr="00A164C0">
        <w:rPr>
          <w:rStyle w:val="Emphasis"/>
        </w:rPr>
        <w:t>The Market Risk Premium</w:t>
      </w:r>
      <w:r>
        <w:t>, September 2016p. 25.</w:t>
      </w:r>
    </w:p>
  </w:footnote>
  <w:footnote w:id="314">
    <w:p w:rsidR="00E636A0" w:rsidRDefault="00E636A0" w:rsidP="004A411C">
      <w:pPr>
        <w:pStyle w:val="FootnoteText"/>
      </w:pPr>
      <w:r>
        <w:rPr>
          <w:rStyle w:val="FootnoteReference"/>
        </w:rPr>
        <w:footnoteRef/>
      </w:r>
      <w:r>
        <w:t xml:space="preserve"> </w:t>
      </w:r>
      <w:r>
        <w:tab/>
        <w:t xml:space="preserve">See: AER, </w:t>
      </w:r>
      <w:r w:rsidRPr="00F13A0F">
        <w:rPr>
          <w:rStyle w:val="Emphasis"/>
        </w:rPr>
        <w:t>Final decision SA Power Networks determination 2015-16 to 2019-20: Attachment 3–Rate of return</w:t>
      </w:r>
      <w:r>
        <w:t>, October 2015, pp. 33–144.</w:t>
      </w:r>
    </w:p>
  </w:footnote>
  <w:footnote w:id="315">
    <w:p w:rsidR="00E636A0" w:rsidRDefault="00E636A0" w:rsidP="004A411C">
      <w:pPr>
        <w:pStyle w:val="FootnoteText"/>
      </w:pPr>
      <w:r>
        <w:rPr>
          <w:rStyle w:val="FootnoteReference"/>
        </w:rPr>
        <w:footnoteRef/>
      </w:r>
      <w:r>
        <w:t xml:space="preserve"> </w:t>
      </w:r>
      <w:r>
        <w:tab/>
        <w:t xml:space="preserve">See for example: AER, </w:t>
      </w:r>
      <w:r w:rsidRPr="00F13A0F">
        <w:rPr>
          <w:rStyle w:val="Emphasis"/>
        </w:rPr>
        <w:t>Final decision SA Power Networks determination 2015-16 to 2019-20: Attachment 3–Rate of return</w:t>
      </w:r>
      <w:r>
        <w:t>, October 2015, pp. 43–106.</w:t>
      </w:r>
    </w:p>
  </w:footnote>
  <w:footnote w:id="316">
    <w:p w:rsidR="00E636A0" w:rsidRDefault="00E636A0" w:rsidP="00772B77">
      <w:pPr>
        <w:pStyle w:val="FootnoteText"/>
      </w:pPr>
      <w:r>
        <w:rPr>
          <w:rStyle w:val="FootnoteReference"/>
        </w:rPr>
        <w:footnoteRef/>
      </w:r>
      <w:r>
        <w:t xml:space="preserve"> </w:t>
      </w:r>
      <w:r>
        <w:tab/>
        <w:t xml:space="preserve">See for example: AER, </w:t>
      </w:r>
      <w:r w:rsidRPr="00BA392B">
        <w:rPr>
          <w:rStyle w:val="Emphasis"/>
        </w:rPr>
        <w:t>Final decision SA Power Networks determination 2015-16 to 2019-20: Attachment 3–Rate of return</w:t>
      </w:r>
      <w:r>
        <w:t>, October 2015, pp. 43–106.</w:t>
      </w:r>
    </w:p>
  </w:footnote>
  <w:footnote w:id="317">
    <w:p w:rsidR="00E636A0" w:rsidRDefault="00E636A0" w:rsidP="00772B77">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w:t>
      </w:r>
      <w:r w:rsidRPr="00176A4B">
        <w:t xml:space="preserve">Partington &amp; Satchell, </w:t>
      </w:r>
      <w:r>
        <w:rPr>
          <w:rStyle w:val="AERtextitalic"/>
        </w:rPr>
        <w:t xml:space="preserve">Report to the AER: Analysis of </w:t>
      </w:r>
      <w:r w:rsidRPr="00176A4B">
        <w:rPr>
          <w:rStyle w:val="AERtextitalic"/>
        </w:rPr>
        <w:t>criticism of 2015 determinations</w:t>
      </w:r>
      <w:r w:rsidRPr="00176A4B">
        <w:t>, October 2015</w:t>
      </w:r>
      <w:r>
        <w:t>, pp. 43–44.</w:t>
      </w:r>
    </w:p>
  </w:footnote>
  <w:footnote w:id="318">
    <w:p w:rsidR="00E636A0" w:rsidRDefault="00E636A0" w:rsidP="00F3278A">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148-149; Frontier Economics, The market risk premium, September 2016, p. 71–73, 75–76; SAPN, </w:t>
      </w:r>
      <w:r w:rsidRPr="00A164C0">
        <w:rPr>
          <w:rStyle w:val="Emphasis"/>
        </w:rPr>
        <w:t>2015-20 Revised Regulatory Proposal</w:t>
      </w:r>
      <w:r>
        <w:t xml:space="preserve">, July 2015, P349-355; Ausgrid, </w:t>
      </w:r>
      <w:r w:rsidRPr="00A164C0">
        <w:rPr>
          <w:rStyle w:val="Emphasis"/>
        </w:rPr>
        <w:t>Ausgrid Revised Regulatory Proposal (amended)</w:t>
      </w:r>
      <w:r>
        <w:t>, February 2015, P6; Ausnet Services</w:t>
      </w:r>
      <w:r w:rsidRPr="00A164C0">
        <w:rPr>
          <w:rStyle w:val="Emphasis"/>
        </w:rPr>
        <w:t>, Revenue Proposal - Revised - PUBLIC</w:t>
      </w:r>
      <w:r>
        <w:t>, 18 November 15, P234-235</w:t>
      </w:r>
    </w:p>
    <w:p w:rsidR="00E636A0" w:rsidRDefault="00E636A0" w:rsidP="00310F69">
      <w:pPr>
        <w:pStyle w:val="FootnoteText"/>
      </w:pPr>
      <w:r>
        <w:tab/>
      </w:r>
    </w:p>
  </w:footnote>
  <w:footnote w:id="319">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24.</w:t>
      </w:r>
    </w:p>
  </w:footnote>
  <w:footnote w:id="320">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27.</w:t>
      </w:r>
    </w:p>
  </w:footnote>
  <w:footnote w:id="321">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pp.28-31</w:t>
      </w:r>
    </w:p>
  </w:footnote>
  <w:footnote w:id="322">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p.24</w:t>
      </w:r>
    </w:p>
  </w:footnote>
  <w:footnote w:id="323">
    <w:p w:rsidR="00E636A0" w:rsidRDefault="00E636A0" w:rsidP="00772B77">
      <w:pPr>
        <w:pStyle w:val="FootnoteText"/>
      </w:pPr>
      <w:r>
        <w:rPr>
          <w:rStyle w:val="FootnoteReference"/>
        </w:rPr>
        <w:footnoteRef/>
      </w:r>
      <w:r>
        <w:t xml:space="preserve"> </w:t>
      </w:r>
      <w:r>
        <w:tab/>
        <w:t>For the return on equity: the Sharpe Lintner CAPM, Black CAPM, Fama-French model and the dividend growth model. For the market risk premium: historical excess returns, Wright approach, dividend growth model and independent expert valuation reports.</w:t>
      </w:r>
    </w:p>
  </w:footnote>
  <w:footnote w:id="324">
    <w:p w:rsidR="00E636A0" w:rsidRDefault="00E636A0" w:rsidP="00327929">
      <w:pPr>
        <w:pStyle w:val="FootnoteText"/>
      </w:pPr>
      <w:r>
        <w:rPr>
          <w:rStyle w:val="FootnoteReference"/>
        </w:rPr>
        <w:footnoteRef/>
      </w:r>
      <w:r>
        <w:t xml:space="preserve"> </w:t>
      </w:r>
      <w:r>
        <w:tab/>
        <w:t xml:space="preserve">SAPN, </w:t>
      </w:r>
      <w:r w:rsidRPr="00A74F31">
        <w:rPr>
          <w:rStyle w:val="Emphasis"/>
        </w:rPr>
        <w:t>Regulatory Proposal 2015-20</w:t>
      </w:r>
      <w:r>
        <w:t xml:space="preserve">, pp.318-319; AGN, </w:t>
      </w:r>
      <w:r w:rsidRPr="00A74F31">
        <w:rPr>
          <w:rStyle w:val="Emphasis"/>
        </w:rPr>
        <w:t>Revised SA Access Arrangement Information January 2016</w:t>
      </w:r>
      <w:r>
        <w:t>, pp.88-89; Frontier Economics, The Required Return on Equity Under a Foundation Model Approach, January 2016, pp.7-10,22</w:t>
      </w:r>
    </w:p>
  </w:footnote>
  <w:footnote w:id="325">
    <w:p w:rsidR="00E636A0" w:rsidRDefault="00E636A0" w:rsidP="004F088A">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 24–25.</w:t>
      </w:r>
    </w:p>
  </w:footnote>
  <w:footnote w:id="326">
    <w:p w:rsidR="00E636A0" w:rsidRDefault="00E636A0" w:rsidP="004F088A">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327">
    <w:p w:rsidR="00E636A0" w:rsidRDefault="00E636A0" w:rsidP="004F088A">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328">
    <w:p w:rsidR="00E636A0" w:rsidRDefault="00E636A0" w:rsidP="00772B77">
      <w:pPr>
        <w:pStyle w:val="FootnoteText"/>
      </w:pPr>
      <w:r>
        <w:rPr>
          <w:rStyle w:val="FootnoteReference"/>
        </w:rPr>
        <w:footnoteRef/>
      </w:r>
      <w:r>
        <w:t xml:space="preserve"> </w:t>
      </w:r>
      <w:r>
        <w:tab/>
        <w:t>Frontier assumed a theta of 0.35, the NERA adjustment and excluded averaging periods that start in 1980 (that is it excluded the 1980–2015 and the 1988–2015 averaging periods).</w:t>
      </w:r>
    </w:p>
  </w:footnote>
  <w:footnote w:id="329">
    <w:p w:rsidR="00E636A0" w:rsidRDefault="00E636A0" w:rsidP="00772B77">
      <w:pPr>
        <w:pStyle w:val="FootnoteText"/>
      </w:pPr>
      <w:r>
        <w:rPr>
          <w:rStyle w:val="FootnoteReference"/>
        </w:rPr>
        <w:footnoteRef/>
      </w:r>
      <w:r>
        <w:t xml:space="preserve"> </w:t>
      </w:r>
      <w:r>
        <w:tab/>
        <w:t xml:space="preserve">AER, Better regulation Explanatory statement rate of return guideline appendices, December 2013, p. 27; </w:t>
      </w:r>
    </w:p>
  </w:footnote>
  <w:footnote w:id="330">
    <w:p w:rsidR="00E636A0" w:rsidRDefault="00E636A0">
      <w:pPr>
        <w:pStyle w:val="FootnoteText"/>
      </w:pPr>
      <w:r>
        <w:rPr>
          <w:rStyle w:val="FootnoteReference"/>
        </w:rPr>
        <w:footnoteRef/>
      </w:r>
      <w:r>
        <w:t xml:space="preserve"> </w:t>
      </w:r>
      <w:r>
        <w:tab/>
        <w:t xml:space="preserve">Frontier Economics, </w:t>
      </w:r>
      <w:r w:rsidRPr="00A74F31">
        <w:rPr>
          <w:rStyle w:val="Emphasis"/>
        </w:rPr>
        <w:t>The Market Risk Premium</w:t>
      </w:r>
      <w:r>
        <w:t xml:space="preserve">, September 2016, pp. 35–37; Frontier Economics, </w:t>
      </w:r>
      <w:r w:rsidRPr="00A74F31">
        <w:rPr>
          <w:rStyle w:val="Emphasis"/>
        </w:rPr>
        <w:t>The Required Return On Equity Under A Foundation Model Approach</w:t>
      </w:r>
      <w:r>
        <w:t>, January 2016, pp. 32–34.</w:t>
      </w:r>
    </w:p>
  </w:footnote>
  <w:footnote w:id="331">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p.15</w:t>
      </w:r>
    </w:p>
  </w:footnote>
  <w:footnote w:id="332">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20</w:t>
      </w:r>
    </w:p>
  </w:footnote>
  <w:footnote w:id="333">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 20-23</w:t>
      </w:r>
    </w:p>
  </w:footnote>
  <w:footnote w:id="334">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21</w:t>
      </w:r>
    </w:p>
  </w:footnote>
  <w:footnote w:id="335">
    <w:p w:rsidR="00E636A0" w:rsidRDefault="00E636A0">
      <w:pPr>
        <w:pStyle w:val="FootnoteText"/>
      </w:pPr>
      <w:r>
        <w:rPr>
          <w:rStyle w:val="FootnoteReference"/>
        </w:rPr>
        <w:footnoteRef/>
      </w:r>
      <w:r>
        <w:t xml:space="preserve"> </w:t>
      </w:r>
      <w:r>
        <w:tab/>
        <w:t xml:space="preserve">AER, </w:t>
      </w:r>
      <w:r w:rsidRPr="00A164C0">
        <w:rPr>
          <w:rStyle w:val="Emphasis"/>
        </w:rPr>
        <w:t>Final Decision SA Power Networks distribution determination - attachment 3 - rate of return,</w:t>
      </w:r>
      <w:r>
        <w:t xml:space="preserve"> October 2015; AER, </w:t>
      </w:r>
      <w:r w:rsidRPr="00A164C0">
        <w:rPr>
          <w:rStyle w:val="Emphasis"/>
        </w:rPr>
        <w:t>Final Decision AusNet distribution determination - Attachment 3 - rate of return</w:t>
      </w:r>
      <w:r>
        <w:t>, May 2016.</w:t>
      </w:r>
    </w:p>
  </w:footnote>
  <w:footnote w:id="336">
    <w:p w:rsidR="00E636A0" w:rsidRDefault="00E636A0" w:rsidP="00310F6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147–149;</w:t>
      </w:r>
      <w:r w:rsidRPr="00285FDF">
        <w:t xml:space="preserve"> </w:t>
      </w:r>
      <w:r>
        <w:t xml:space="preserve">SAPN, </w:t>
      </w:r>
      <w:r w:rsidRPr="00B907B8">
        <w:rPr>
          <w:rStyle w:val="Emphasis"/>
        </w:rPr>
        <w:t>2015-20 Revised Regulatory Proposal</w:t>
      </w:r>
      <w:r>
        <w:t xml:space="preserve">, July 2015, pp.349-355; Ausgrid, </w:t>
      </w:r>
      <w:r w:rsidRPr="00B907B8">
        <w:rPr>
          <w:rStyle w:val="Emphasis"/>
        </w:rPr>
        <w:t>Ausgrid Revised Regulatory Proposal (amended)</w:t>
      </w:r>
      <w:r>
        <w:t>, February 2015, p.6; Ausnet Services</w:t>
      </w:r>
      <w:r w:rsidRPr="00B907B8">
        <w:rPr>
          <w:rStyle w:val="Emphasis"/>
        </w:rPr>
        <w:t>, Revenue Proposal - Revised - PUBLIC</w:t>
      </w:r>
      <w:r>
        <w:t>, 18 November 15, p.234-235</w:t>
      </w:r>
    </w:p>
  </w:footnote>
  <w:footnote w:id="337">
    <w:p w:rsidR="00E636A0" w:rsidRDefault="00E636A0" w:rsidP="00C33F1F">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338">
    <w:p w:rsidR="00E636A0" w:rsidRDefault="00E636A0" w:rsidP="00772B77">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147-153; Ausnet Services</w:t>
      </w:r>
      <w:r w:rsidRPr="00B907B8">
        <w:rPr>
          <w:rStyle w:val="Emphasis"/>
        </w:rPr>
        <w:t>, Revenue Proposal - Revised - PUBLIC</w:t>
      </w:r>
      <w:r>
        <w:t>, 18 November 15, p.250;</w:t>
      </w:r>
      <w:r w:rsidRPr="00285FDF">
        <w:t xml:space="preserve"> </w:t>
      </w:r>
      <w:r>
        <w:t xml:space="preserve">SAPN, </w:t>
      </w:r>
      <w:r w:rsidRPr="00B907B8">
        <w:rPr>
          <w:rStyle w:val="Emphasis"/>
        </w:rPr>
        <w:t>2015-20 Revised Regulatory Proposal</w:t>
      </w:r>
      <w:r>
        <w:t xml:space="preserve">, July 2015, p.337 </w:t>
      </w:r>
    </w:p>
  </w:footnote>
  <w:footnote w:id="339">
    <w:p w:rsidR="00E636A0" w:rsidRDefault="00E636A0">
      <w:pPr>
        <w:pStyle w:val="FootnoteText"/>
      </w:pPr>
      <w:r>
        <w:rPr>
          <w:rStyle w:val="FootnoteReference"/>
        </w:rPr>
        <w:footnoteRef/>
      </w:r>
      <w:r>
        <w:t xml:space="preserve"> </w:t>
      </w:r>
      <w:r>
        <w:tab/>
      </w:r>
      <w:r w:rsidRPr="00826060">
        <w:t>AER</w:t>
      </w:r>
      <w:r w:rsidRPr="00A164C0">
        <w:rPr>
          <w:rStyle w:val="Emphasis"/>
        </w:rPr>
        <w:t>, Final Decision SA Power Networks distribution determination - attachment 3 - rate of return</w:t>
      </w:r>
      <w:r>
        <w:t>, October 2015, p.322-323</w:t>
      </w:r>
    </w:p>
  </w:footnote>
  <w:footnote w:id="340">
    <w:p w:rsidR="00E636A0" w:rsidRDefault="00E636A0" w:rsidP="00772B77">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341">
    <w:p w:rsidR="00E636A0" w:rsidRDefault="00E636A0" w:rsidP="00772B77">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263; Frontier Economics</w:t>
      </w:r>
      <w:r w:rsidRPr="00F85FCC">
        <w:t xml:space="preserve">, </w:t>
      </w:r>
      <w:r>
        <w:rPr>
          <w:rStyle w:val="AERtextitalic"/>
        </w:rPr>
        <w:t>The Market Risk Premium</w:t>
      </w:r>
      <w:r>
        <w:t>, September</w:t>
      </w:r>
      <w:r w:rsidRPr="00F85FCC">
        <w:t xml:space="preserve"> 201</w:t>
      </w:r>
      <w:r>
        <w:t xml:space="preserve">6, pp. 35-38; ; Ausgrid, </w:t>
      </w:r>
      <w:r w:rsidRPr="00B907B8">
        <w:rPr>
          <w:rStyle w:val="Emphasis"/>
        </w:rPr>
        <w:t>Ausgrid Revised Regulatory Proposal (amended)</w:t>
      </w:r>
      <w:r>
        <w:t xml:space="preserve">, February 2015, P197; SAPN, </w:t>
      </w:r>
      <w:r w:rsidRPr="00B907B8">
        <w:rPr>
          <w:rStyle w:val="Emphasis"/>
        </w:rPr>
        <w:t>2015-20 Revised Regulatory Proposal</w:t>
      </w:r>
      <w:r>
        <w:t>, July 2015, P337</w:t>
      </w:r>
    </w:p>
  </w:footnote>
  <w:footnote w:id="342">
    <w:p w:rsidR="00E636A0" w:rsidRDefault="00E636A0">
      <w:pPr>
        <w:pStyle w:val="FootnoteText"/>
      </w:pPr>
      <w:r>
        <w:rPr>
          <w:rStyle w:val="FootnoteReference"/>
        </w:rPr>
        <w:footnoteRef/>
      </w:r>
      <w:r>
        <w:t xml:space="preserve"> </w:t>
      </w:r>
      <w:r>
        <w:tab/>
        <w:t xml:space="preserve">AER, </w:t>
      </w:r>
      <w:r w:rsidRPr="00A164C0">
        <w:rPr>
          <w:rStyle w:val="Emphasis"/>
        </w:rPr>
        <w:t>Final decision on SA Power Networks distribution determination - attachment 3 - Rate of Return</w:t>
      </w:r>
      <w:r>
        <w:t>, October 2015, P402-403</w:t>
      </w:r>
    </w:p>
  </w:footnote>
  <w:footnote w:id="343">
    <w:p w:rsidR="00E636A0" w:rsidRDefault="00E636A0" w:rsidP="00772B77">
      <w:pPr>
        <w:pStyle w:val="FootnoteText"/>
      </w:pPr>
      <w:r>
        <w:rPr>
          <w:rStyle w:val="FootnoteReference"/>
        </w:rPr>
        <w:footnoteRef/>
      </w:r>
      <w:r>
        <w:t xml:space="preserve"> </w:t>
      </w:r>
      <w:r>
        <w:tab/>
        <w:t>Partington and Satchell,</w:t>
      </w:r>
      <w:r w:rsidRPr="00452704">
        <w:t xml:space="preserve"> </w:t>
      </w:r>
      <w:r w:rsidRPr="00A164C0">
        <w:rPr>
          <w:rStyle w:val="Emphasis"/>
        </w:rPr>
        <w:t xml:space="preserve">Report to the AER: Discussion of estimates of the return on equity, </w:t>
      </w:r>
      <w:r>
        <w:t>12 April 2017, p. 28.</w:t>
      </w:r>
    </w:p>
  </w:footnote>
  <w:footnote w:id="344">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 AusNet Services, AusNet transmission revised revenue proposal, 21 September 2016, p.152.</w:t>
      </w:r>
    </w:p>
  </w:footnote>
  <w:footnote w:id="345">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w:t>
      </w:r>
    </w:p>
  </w:footnote>
  <w:footnote w:id="346">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p.16</w:t>
      </w:r>
    </w:p>
  </w:footnote>
  <w:footnote w:id="347">
    <w:p w:rsidR="00E636A0" w:rsidRDefault="00E636A0">
      <w:pPr>
        <w:pStyle w:val="FootnoteText"/>
      </w:pPr>
      <w:r>
        <w:rPr>
          <w:rStyle w:val="FootnoteReference"/>
        </w:rPr>
        <w:footnoteRef/>
      </w:r>
      <w:r>
        <w:t xml:space="preserve"> </w:t>
      </w:r>
      <w:r>
        <w:tab/>
      </w:r>
      <w:r w:rsidRPr="00226E14">
        <w:t xml:space="preserve">AER, </w:t>
      </w:r>
      <w:r w:rsidRPr="00A164C0">
        <w:rPr>
          <w:rStyle w:val="Emphasis"/>
        </w:rPr>
        <w:t>Final decision on SA Power Networks distribution determination - attachment 3 - Rate of Return</w:t>
      </w:r>
      <w:r w:rsidRPr="00226E14">
        <w:t>, October 2015, P402-403</w:t>
      </w:r>
      <w:r>
        <w:t xml:space="preserve">; </w:t>
      </w:r>
      <w:r w:rsidRPr="00226E14">
        <w:t xml:space="preserve">AER, </w:t>
      </w:r>
      <w:r w:rsidRPr="00A164C0">
        <w:rPr>
          <w:rStyle w:val="Emphasis"/>
        </w:rPr>
        <w:t>Final Decision AusNet distribution determination - Attachment 3 - rate of return</w:t>
      </w:r>
      <w:r w:rsidRPr="00226E14">
        <w:t>, May 2016</w:t>
      </w:r>
      <w:r>
        <w:t>, P 90-91</w:t>
      </w:r>
    </w:p>
  </w:footnote>
  <w:footnote w:id="348">
    <w:p w:rsidR="00E636A0" w:rsidRDefault="00E636A0" w:rsidP="00772B77">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235; Frontier Economics</w:t>
      </w:r>
      <w:r w:rsidRPr="00F85FCC">
        <w:t xml:space="preserve">, </w:t>
      </w:r>
      <w:r>
        <w:rPr>
          <w:rStyle w:val="AERtextitalic"/>
        </w:rPr>
        <w:t>The Market Risk Premium</w:t>
      </w:r>
      <w:r>
        <w:t>, September</w:t>
      </w:r>
      <w:r w:rsidRPr="00F85FCC">
        <w:t xml:space="preserve"> 201</w:t>
      </w:r>
      <w:r>
        <w:t>6, pp. 34-36;; Ausnet Services</w:t>
      </w:r>
      <w:r w:rsidRPr="00B907B8">
        <w:rPr>
          <w:rStyle w:val="Emphasis"/>
        </w:rPr>
        <w:t>, Revenue Proposal - Revised - PUBLIC</w:t>
      </w:r>
      <w:r>
        <w:t>, 18 November 15, P250</w:t>
      </w:r>
    </w:p>
  </w:footnote>
  <w:footnote w:id="349">
    <w:p w:rsidR="00E636A0" w:rsidRDefault="00E636A0" w:rsidP="0015508E">
      <w:pPr>
        <w:pStyle w:val="FootnoteText"/>
      </w:pPr>
      <w:r>
        <w:rPr>
          <w:rStyle w:val="FootnoteReference"/>
        </w:rPr>
        <w:footnoteRef/>
      </w:r>
      <w:r>
        <w:t xml:space="preserve"> </w:t>
      </w:r>
      <w:r>
        <w:tab/>
      </w:r>
      <w:r w:rsidRPr="00226E14">
        <w:t>AER</w:t>
      </w:r>
      <w:r w:rsidRPr="00A164C0">
        <w:rPr>
          <w:rStyle w:val="Emphasis"/>
        </w:rPr>
        <w:t>, Final Decision AusNet distribution determination - Attachment 3 - rate of return</w:t>
      </w:r>
      <w:r w:rsidRPr="00226E14">
        <w:t xml:space="preserve">, May 2016, </w:t>
      </w:r>
      <w:r>
        <w:t>p.</w:t>
      </w:r>
      <w:r w:rsidRPr="00226E14">
        <w:t xml:space="preserve"> </w:t>
      </w:r>
      <w:r>
        <w:t>61;</w:t>
      </w:r>
      <w:r w:rsidRPr="00226E14">
        <w:t xml:space="preserve"> AER, </w:t>
      </w:r>
      <w:r w:rsidRPr="00A164C0">
        <w:rPr>
          <w:rStyle w:val="Emphasis"/>
        </w:rPr>
        <w:t>Final decision on CitiPower distribution determination - attachment 3 - Rate of Return</w:t>
      </w:r>
      <w:r>
        <w:t>, May 2016</w:t>
      </w:r>
      <w:r w:rsidRPr="00226E14">
        <w:t>,</w:t>
      </w:r>
      <w:r>
        <w:t xml:space="preserve"> p.60</w:t>
      </w:r>
    </w:p>
  </w:footnote>
  <w:footnote w:id="350">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34-36</w:t>
      </w:r>
    </w:p>
  </w:footnote>
  <w:footnote w:id="351">
    <w:p w:rsidR="00E636A0" w:rsidRDefault="00E636A0" w:rsidP="00772B77">
      <w:pPr>
        <w:pStyle w:val="FootnoteText"/>
      </w:pPr>
      <w:r>
        <w:rPr>
          <w:rStyle w:val="FootnoteReference"/>
        </w:rPr>
        <w:footnoteRef/>
      </w:r>
      <w:r>
        <w:t xml:space="preserve"> </w:t>
      </w:r>
      <w:r>
        <w:tab/>
        <w:t xml:space="preserve">QCA, </w:t>
      </w:r>
      <w:r w:rsidRPr="00405AF1">
        <w:rPr>
          <w:rStyle w:val="Emphasis"/>
        </w:rPr>
        <w:t>Draft decision: Aurizon Network 2014 Draft Access Undertaking - Maximum Allowable Revenue</w:t>
      </w:r>
      <w:r>
        <w:t>, September 2014, p. 232</w:t>
      </w:r>
    </w:p>
  </w:footnote>
  <w:footnote w:id="352">
    <w:p w:rsidR="00E636A0" w:rsidRDefault="00E636A0" w:rsidP="00772B77">
      <w:pPr>
        <w:pStyle w:val="FootnoteText"/>
      </w:pPr>
      <w:r>
        <w:rPr>
          <w:rStyle w:val="FootnoteReference"/>
        </w:rPr>
        <w:footnoteRef/>
      </w:r>
      <w:r>
        <w:t xml:space="preserve"> </w:t>
      </w:r>
      <w:r>
        <w:tab/>
        <w:t xml:space="preserve">QCA, </w:t>
      </w:r>
      <w:r w:rsidRPr="00405AF1">
        <w:rPr>
          <w:rStyle w:val="Emphasis"/>
        </w:rPr>
        <w:t>Draft decision: Aurizon Network 2014 Draft Access Undertaking - Maximum Allowable Revenue</w:t>
      </w:r>
      <w:r>
        <w:t>, September 2014, p. 232</w:t>
      </w:r>
    </w:p>
  </w:footnote>
  <w:footnote w:id="353">
    <w:p w:rsidR="00E636A0" w:rsidRDefault="00E636A0" w:rsidP="00772B77">
      <w:pPr>
        <w:pStyle w:val="FootnoteText"/>
      </w:pPr>
      <w:r>
        <w:rPr>
          <w:rStyle w:val="FootnoteReference"/>
        </w:rPr>
        <w:footnoteRef/>
      </w:r>
      <w:r>
        <w:t xml:space="preserve"> </w:t>
      </w:r>
      <w:r>
        <w:tab/>
        <w:t xml:space="preserve">Frontier Economics, </w:t>
      </w:r>
      <w:r w:rsidRPr="00405AF1">
        <w:rPr>
          <w:rStyle w:val="Emphasis"/>
        </w:rPr>
        <w:t>The relationship between government bond yields and the market risk premium</w:t>
      </w:r>
      <w:r>
        <w:t>, January 2016, p. 39; Frontier Economics</w:t>
      </w:r>
      <w:r w:rsidRPr="00F85FCC">
        <w:t xml:space="preserve">, </w:t>
      </w:r>
      <w:r>
        <w:rPr>
          <w:rStyle w:val="AERtextitalic"/>
        </w:rPr>
        <w:t>The Market Risk Premium</w:t>
      </w:r>
      <w:r>
        <w:t>, September</w:t>
      </w:r>
      <w:r w:rsidRPr="00F85FCC">
        <w:t xml:space="preserve"> 201</w:t>
      </w:r>
      <w:r>
        <w:t>6, pp. 61–62.</w:t>
      </w:r>
    </w:p>
  </w:footnote>
  <w:footnote w:id="354">
    <w:p w:rsidR="00E636A0" w:rsidRDefault="00E636A0">
      <w:pPr>
        <w:pStyle w:val="FootnoteText"/>
      </w:pPr>
      <w:r>
        <w:rPr>
          <w:rStyle w:val="FootnoteReference"/>
        </w:rPr>
        <w:footnoteRef/>
      </w:r>
      <w:r>
        <w:t xml:space="preserve"> </w:t>
      </w:r>
      <w:r>
        <w:tab/>
      </w:r>
      <w:r w:rsidRPr="00AC26B1">
        <w:t xml:space="preserve">AER, </w:t>
      </w:r>
      <w:r w:rsidRPr="00A164C0">
        <w:rPr>
          <w:rStyle w:val="Emphasis"/>
        </w:rPr>
        <w:t>Final Decision AusNet distribution determination - Attachment 3 - rate of return</w:t>
      </w:r>
      <w:r w:rsidRPr="00AC26B1">
        <w:t>, May 2016, P 61</w:t>
      </w:r>
      <w:r>
        <w:t xml:space="preserve">; AER, </w:t>
      </w:r>
      <w:r w:rsidRPr="00A164C0">
        <w:rPr>
          <w:rStyle w:val="Emphasis"/>
        </w:rPr>
        <w:t>Final Decision SA Power Networks distribution determination - attachment 3 - rate of return</w:t>
      </w:r>
      <w:r>
        <w:t>, October 2015, P360-361</w:t>
      </w:r>
    </w:p>
  </w:footnote>
  <w:footnote w:id="355">
    <w:p w:rsidR="00E636A0" w:rsidRDefault="00E636A0" w:rsidP="00772B77">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356">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62-63; Ausgrid, </w:t>
      </w:r>
      <w:r w:rsidRPr="00B907B8">
        <w:rPr>
          <w:rStyle w:val="Emphasis"/>
        </w:rPr>
        <w:t>Ausgrid Revised Regulatory Proposal (amended)</w:t>
      </w:r>
      <w:r>
        <w:t>, February 2015, P6</w:t>
      </w:r>
    </w:p>
  </w:footnote>
  <w:footnote w:id="357">
    <w:p w:rsidR="00E636A0" w:rsidRDefault="00E636A0" w:rsidP="00C33F1F">
      <w:pPr>
        <w:pStyle w:val="FootnoteText"/>
        <w:tabs>
          <w:tab w:val="clear" w:pos="340"/>
          <w:tab w:val="left" w:pos="142"/>
        </w:tabs>
        <w:ind w:left="142" w:hanging="142"/>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r>
        <w:t xml:space="preserve">; </w:t>
      </w:r>
      <w:r w:rsidRPr="00F56847">
        <w:t>AER</w:t>
      </w:r>
      <w:r w:rsidRPr="00A164C0">
        <w:rPr>
          <w:rStyle w:val="Emphasis"/>
        </w:rPr>
        <w:t>, Final Decision AusNet distribution determination - Attachment 3 - rate of return</w:t>
      </w:r>
      <w:r w:rsidRPr="00F56847">
        <w:t>, May 2016, P 6</w:t>
      </w:r>
      <w:r>
        <w:t>2</w:t>
      </w:r>
    </w:p>
  </w:footnote>
  <w:footnote w:id="358">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359">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62-63; </w:t>
      </w:r>
      <w:r w:rsidRPr="00F56847">
        <w:t xml:space="preserve">AER, </w:t>
      </w:r>
      <w:r w:rsidRPr="00A164C0">
        <w:rPr>
          <w:rStyle w:val="Emphasis"/>
        </w:rPr>
        <w:t>Final Decision AusNet distribution determination - Attachment 3 - rate of return</w:t>
      </w:r>
      <w:r w:rsidRPr="00F56847">
        <w:t>, May 2016, P 62</w:t>
      </w:r>
    </w:p>
  </w:footnote>
  <w:footnote w:id="360">
    <w:p w:rsidR="00E636A0" w:rsidRDefault="00E636A0" w:rsidP="00772B77">
      <w:pPr>
        <w:pStyle w:val="FootnoteText"/>
      </w:pPr>
      <w:r>
        <w:rPr>
          <w:rStyle w:val="FootnoteReference"/>
        </w:rPr>
        <w:footnoteRef/>
      </w:r>
      <w:r>
        <w:t xml:space="preserve"> </w:t>
      </w:r>
      <w:r>
        <w:tab/>
        <w:t>Partington and Satchell,</w:t>
      </w:r>
      <w:r w:rsidRPr="00F56847">
        <w:t xml:space="preserve"> </w:t>
      </w:r>
      <w:r w:rsidRPr="00A164C0">
        <w:rPr>
          <w:rStyle w:val="Emphasis"/>
        </w:rPr>
        <w:t xml:space="preserve">Report to the AER: Discussion of estimates of the return on equity, </w:t>
      </w:r>
      <w:r>
        <w:t>12 April 2017,p.32</w:t>
      </w:r>
    </w:p>
  </w:footnote>
  <w:footnote w:id="361">
    <w:p w:rsidR="00E636A0" w:rsidRDefault="00E636A0" w:rsidP="00772B77">
      <w:pPr>
        <w:pStyle w:val="FootnoteText"/>
        <w:tabs>
          <w:tab w:val="clear" w:pos="340"/>
          <w:tab w:val="left" w:pos="284"/>
        </w:tabs>
        <w:ind w:left="142" w:hanging="142"/>
      </w:pPr>
      <w:r>
        <w:rPr>
          <w:rStyle w:val="FootnoteReference"/>
        </w:rPr>
        <w:footnoteRef/>
      </w:r>
      <w:r>
        <w:t xml:space="preserve"> </w:t>
      </w:r>
      <w:r>
        <w:tab/>
        <w:t xml:space="preserve"> 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362">
    <w:p w:rsidR="00E636A0" w:rsidRDefault="00E636A0" w:rsidP="00772B77">
      <w:pPr>
        <w:pStyle w:val="FootnoteText"/>
        <w:tabs>
          <w:tab w:val="clear" w:pos="340"/>
          <w:tab w:val="left" w:pos="142"/>
        </w:tabs>
        <w:ind w:left="142" w:hanging="142"/>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pp. 232–234;</w:t>
      </w:r>
      <w:r w:rsidRPr="00733A68">
        <w:t xml:space="preserve"> Ausnet Services</w:t>
      </w:r>
      <w:r w:rsidRPr="00733A68">
        <w:rPr>
          <w:rStyle w:val="Emphasis"/>
        </w:rPr>
        <w:t>, Revenue Proposal - Revised - PUBLIC</w:t>
      </w:r>
      <w:r w:rsidRPr="00733A68">
        <w:t xml:space="preserve">, 18 November 15, </w:t>
      </w:r>
      <w:r>
        <w:t>p.</w:t>
      </w:r>
      <w:r w:rsidRPr="00733A68">
        <w:t>2</w:t>
      </w:r>
      <w:r>
        <w:t>33</w:t>
      </w:r>
    </w:p>
  </w:footnote>
  <w:footnote w:id="363">
    <w:p w:rsidR="00E636A0" w:rsidRDefault="00E636A0">
      <w:pPr>
        <w:pStyle w:val="FootnoteText"/>
      </w:pPr>
      <w:r>
        <w:rPr>
          <w:rStyle w:val="FootnoteReference"/>
        </w:rPr>
        <w:footnoteRef/>
      </w:r>
      <w:r>
        <w:t xml:space="preserve"> </w:t>
      </w:r>
      <w:r>
        <w:tab/>
      </w:r>
      <w:r w:rsidRPr="00F56847">
        <w:t xml:space="preserve">AER, </w:t>
      </w:r>
      <w:r w:rsidRPr="00A164C0">
        <w:rPr>
          <w:rStyle w:val="Emphasis"/>
        </w:rPr>
        <w:t>Final Decision AusNet distribution determination - Attachment 3 - rate of return</w:t>
      </w:r>
      <w:r w:rsidRPr="00F56847">
        <w:t xml:space="preserve">, May 2016, </w:t>
      </w:r>
      <w:r>
        <w:t>p.</w:t>
      </w:r>
      <w:r w:rsidRPr="00F56847">
        <w:t xml:space="preserve"> 62</w:t>
      </w:r>
      <w:r>
        <w:t xml:space="preserve">; AER, </w:t>
      </w:r>
      <w:r w:rsidRPr="00A164C0">
        <w:rPr>
          <w:rStyle w:val="Emphasis"/>
        </w:rPr>
        <w:t>Final decision SA Power Networks distribution determination - attachment 3 - Rate of return</w:t>
      </w:r>
      <w:r>
        <w:t>, October 2015, pp.380-382</w:t>
      </w:r>
    </w:p>
  </w:footnote>
  <w:footnote w:id="364">
    <w:p w:rsidR="00E636A0" w:rsidRDefault="00E636A0" w:rsidP="00772B77">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147; SAPN, </w:t>
      </w:r>
      <w:r w:rsidRPr="00A164C0">
        <w:rPr>
          <w:rStyle w:val="Emphasis"/>
        </w:rPr>
        <w:t>SA Power Networks - 2015-20 Revised Regulatory Proposal</w:t>
      </w:r>
      <w:r>
        <w:t>, July 2015, p.341</w:t>
      </w:r>
    </w:p>
  </w:footnote>
  <w:footnote w:id="365">
    <w:p w:rsidR="00E636A0" w:rsidRDefault="00E636A0">
      <w:pPr>
        <w:pStyle w:val="FootnoteText"/>
      </w:pPr>
      <w:r>
        <w:rPr>
          <w:rStyle w:val="FootnoteReference"/>
        </w:rPr>
        <w:footnoteRef/>
      </w:r>
      <w:r>
        <w:t xml:space="preserve"> </w:t>
      </w:r>
      <w:r>
        <w:tab/>
      </w:r>
      <w:r w:rsidRPr="00F56847">
        <w:t xml:space="preserve">AER, </w:t>
      </w:r>
      <w:r w:rsidRPr="00F56847">
        <w:rPr>
          <w:rStyle w:val="Emphasis"/>
        </w:rPr>
        <w:t>Final Decision AusNet distribution determination - Attachment 3 - rate of return</w:t>
      </w:r>
      <w:r w:rsidRPr="00F56847">
        <w:t>, May 2016, P 62</w:t>
      </w:r>
      <w:r>
        <w:t>;</w:t>
      </w:r>
      <w:r w:rsidRPr="00F56847">
        <w:t xml:space="preserve"> AER, </w:t>
      </w:r>
      <w:r w:rsidRPr="00F56847">
        <w:rPr>
          <w:rStyle w:val="Emphasis"/>
        </w:rPr>
        <w:t xml:space="preserve">Final Decision </w:t>
      </w:r>
      <w:r>
        <w:rPr>
          <w:rStyle w:val="Emphasis"/>
        </w:rPr>
        <w:t>CitiPower</w:t>
      </w:r>
      <w:r w:rsidRPr="00F56847">
        <w:rPr>
          <w:rStyle w:val="Emphasis"/>
        </w:rPr>
        <w:t xml:space="preserve"> distribution determination - Attachment 3 - rate of return</w:t>
      </w:r>
      <w:r w:rsidRPr="00F56847">
        <w:t>, May 2016, P</w:t>
      </w:r>
      <w:r>
        <w:t>.</w:t>
      </w:r>
      <w:r w:rsidRPr="00F56847">
        <w:t>62</w:t>
      </w:r>
      <w:r>
        <w:t xml:space="preserve">; </w:t>
      </w:r>
      <w:r w:rsidRPr="00F56847">
        <w:t xml:space="preserve">AER, </w:t>
      </w:r>
      <w:r w:rsidRPr="00F56847">
        <w:rPr>
          <w:rStyle w:val="Emphasis"/>
        </w:rPr>
        <w:t xml:space="preserve">Final Decision </w:t>
      </w:r>
      <w:r>
        <w:rPr>
          <w:rStyle w:val="Emphasis"/>
        </w:rPr>
        <w:t xml:space="preserve">SA </w:t>
      </w:r>
      <w:r w:rsidRPr="00F56847">
        <w:rPr>
          <w:rStyle w:val="Emphasis"/>
        </w:rPr>
        <w:t xml:space="preserve">Power </w:t>
      </w:r>
      <w:r>
        <w:rPr>
          <w:rStyle w:val="Emphasis"/>
        </w:rPr>
        <w:t xml:space="preserve">Networks </w:t>
      </w:r>
      <w:r w:rsidRPr="00F56847">
        <w:rPr>
          <w:rStyle w:val="Emphasis"/>
        </w:rPr>
        <w:t>distribution determination - Attachment 3 - rate of return</w:t>
      </w:r>
      <w:r>
        <w:t>, October 2015</w:t>
      </w:r>
      <w:r w:rsidRPr="00F56847">
        <w:t xml:space="preserve">, </w:t>
      </w:r>
      <w:r>
        <w:t>p.370-375</w:t>
      </w:r>
      <w:r w:rsidRPr="00F56847">
        <w:t>;</w:t>
      </w:r>
    </w:p>
  </w:footnote>
  <w:footnote w:id="366">
    <w:p w:rsidR="00E636A0" w:rsidRDefault="00E636A0" w:rsidP="00772B77">
      <w:pPr>
        <w:pStyle w:val="FootnoteText"/>
        <w:tabs>
          <w:tab w:val="clear" w:pos="340"/>
          <w:tab w:val="left" w:pos="142"/>
        </w:tabs>
        <w:ind w:left="142" w:hanging="142"/>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367">
    <w:p w:rsidR="00E636A0" w:rsidRDefault="00E636A0"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368">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74–75.</w:t>
      </w:r>
    </w:p>
  </w:footnote>
  <w:footnote w:id="369">
    <w:p w:rsidR="00E636A0" w:rsidRDefault="00E636A0" w:rsidP="00772B77">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r>
        <w:t>;</w:t>
      </w:r>
      <w:r w:rsidRPr="008170C4">
        <w:t xml:space="preserve"> AER, </w:t>
      </w:r>
      <w:r w:rsidRPr="008170C4">
        <w:rPr>
          <w:rStyle w:val="Emphasis"/>
        </w:rPr>
        <w:t>Final Decision AusNet distribution determination - Attachment 3 - rate of return</w:t>
      </w:r>
      <w:r w:rsidRPr="008170C4">
        <w:t>, May 2016, P 62</w:t>
      </w:r>
    </w:p>
  </w:footnote>
  <w:footnote w:id="370">
    <w:p w:rsidR="00E636A0" w:rsidRDefault="00E636A0" w:rsidP="00996F81">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151; Frontier Economics</w:t>
      </w:r>
      <w:r w:rsidRPr="00F85FCC">
        <w:t xml:space="preserve">, </w:t>
      </w:r>
      <w:r>
        <w:rPr>
          <w:rStyle w:val="AERtextitalic"/>
        </w:rPr>
        <w:t>The Market Risk Premium</w:t>
      </w:r>
      <w:r>
        <w:t>, September</w:t>
      </w:r>
      <w:r w:rsidRPr="00F85FCC">
        <w:t xml:space="preserve"> 201</w:t>
      </w:r>
      <w:r>
        <w:t>6</w:t>
      </w:r>
      <w:r w:rsidRPr="00F85FCC">
        <w:t xml:space="preserve">, pp. </w:t>
      </w:r>
      <w:r>
        <w:t>32-34,51-54;</w:t>
      </w:r>
      <w:r w:rsidRPr="00996F81">
        <w:t xml:space="preserve"> </w:t>
      </w:r>
      <w:r>
        <w:t xml:space="preserve">SAPN, </w:t>
      </w:r>
      <w:r w:rsidRPr="00B907B8">
        <w:rPr>
          <w:rStyle w:val="Emphasis"/>
        </w:rPr>
        <w:t>2015-20 Revised Regulatory Proposal</w:t>
      </w:r>
      <w:r>
        <w:t xml:space="preserve">, July 2015, P338  </w:t>
      </w:r>
    </w:p>
  </w:footnote>
  <w:footnote w:id="371">
    <w:p w:rsidR="00E636A0" w:rsidRDefault="00E636A0">
      <w:pPr>
        <w:pStyle w:val="FootnoteText"/>
      </w:pPr>
      <w:r>
        <w:rPr>
          <w:rStyle w:val="FootnoteReference"/>
        </w:rPr>
        <w:footnoteRef/>
      </w:r>
      <w:r>
        <w:t xml:space="preserve"> </w:t>
      </w:r>
      <w:r>
        <w:tab/>
        <w:t xml:space="preserve">ERA, </w:t>
      </w:r>
      <w:r w:rsidRPr="00B951BB">
        <w:rPr>
          <w:rStyle w:val="Emphasis"/>
        </w:rPr>
        <w:t>Final Decision on Proposed Revisions to the Access Arrangement for the Goldfields Gas Pipeline</w:t>
      </w:r>
      <w:r w:rsidRPr="00B951BB">
        <w:t>, June 2016</w:t>
      </w:r>
      <w:r>
        <w:t>, p. 240.</w:t>
      </w:r>
    </w:p>
  </w:footnote>
  <w:footnote w:id="372">
    <w:p w:rsidR="00E636A0" w:rsidRDefault="00E636A0" w:rsidP="00772B77">
      <w:pPr>
        <w:pStyle w:val="FootnoteText"/>
      </w:pPr>
      <w:r>
        <w:rPr>
          <w:rStyle w:val="FootnoteReference"/>
        </w:rPr>
        <w:footnoteRef/>
      </w:r>
      <w:r>
        <w:t xml:space="preserve"> </w:t>
      </w:r>
      <w:r>
        <w:tab/>
        <w:t>AER</w:t>
      </w:r>
      <w:r w:rsidRPr="008170C4">
        <w:t xml:space="preserve">, </w:t>
      </w:r>
      <w:r w:rsidRPr="008170C4">
        <w:rPr>
          <w:rStyle w:val="Emphasis"/>
        </w:rPr>
        <w:t>Final Decision SA Power Networks distribution determination - Attachment 3 - rate of return</w:t>
      </w:r>
      <w:r w:rsidRPr="008170C4">
        <w:t>, October 2015</w:t>
      </w:r>
      <w:r>
        <w:t>, pp. 487-489</w:t>
      </w:r>
    </w:p>
  </w:footnote>
  <w:footnote w:id="373">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pp. </w:t>
      </w:r>
      <w:r>
        <w:t xml:space="preserve">33.  </w:t>
      </w:r>
    </w:p>
  </w:footnote>
  <w:footnote w:id="374">
    <w:p w:rsidR="00E636A0" w:rsidRDefault="00E636A0" w:rsidP="005E3878">
      <w:pPr>
        <w:pStyle w:val="FootnoteText"/>
      </w:pPr>
      <w:r>
        <w:rPr>
          <w:rStyle w:val="FootnoteReference"/>
        </w:rPr>
        <w:footnoteRef/>
      </w:r>
      <w:r>
        <w:t xml:space="preserve"> </w:t>
      </w:r>
      <w:r>
        <w:tab/>
        <w:t xml:space="preserve">AER, </w:t>
      </w:r>
      <w:r w:rsidRPr="005D653A">
        <w:rPr>
          <w:rStyle w:val="Emphasis"/>
        </w:rPr>
        <w:t>Final Decision SA Power Networks distribution determination - Attachment 3 - rate of return</w:t>
      </w:r>
      <w:r w:rsidRPr="005D653A">
        <w:t>, October 2015</w:t>
      </w:r>
      <w:r>
        <w:t xml:space="preserve">, pp 48-51; Partington and Satchell, </w:t>
      </w:r>
      <w:r w:rsidRPr="00A164C0">
        <w:rPr>
          <w:rStyle w:val="Emphasis"/>
        </w:rPr>
        <w:t xml:space="preserve">Report to the AER: Discussion of estimates of the return on equity, </w:t>
      </w:r>
      <w:r>
        <w:t>12 April 2017, p.28</w:t>
      </w:r>
    </w:p>
  </w:footnote>
  <w:footnote w:id="375">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p.28</w:t>
      </w:r>
    </w:p>
  </w:footnote>
  <w:footnote w:id="376">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10, 22–25, 55; SAPN, </w:t>
      </w:r>
      <w:r w:rsidRPr="00B907B8">
        <w:rPr>
          <w:rStyle w:val="Emphasis"/>
        </w:rPr>
        <w:t>2015-20 Revised Regulatory Proposal</w:t>
      </w:r>
      <w:r>
        <w:t>, July 2015, P337</w:t>
      </w:r>
    </w:p>
  </w:footnote>
  <w:footnote w:id="377">
    <w:p w:rsidR="00E636A0" w:rsidRDefault="00E636A0"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2017,p. 33</w:t>
      </w:r>
    </w:p>
  </w:footnote>
  <w:footnote w:id="378">
    <w:p w:rsidR="00E636A0" w:rsidRDefault="00E636A0" w:rsidP="00772B77">
      <w:pPr>
        <w:pStyle w:val="FootnoteText"/>
      </w:pPr>
      <w:r>
        <w:rPr>
          <w:rStyle w:val="FootnoteReference"/>
        </w:rPr>
        <w:footnoteRef/>
      </w:r>
      <w:r>
        <w:t xml:space="preserve"> </w:t>
      </w:r>
      <w:r>
        <w:tab/>
        <w:t xml:space="preserve">AER, </w:t>
      </w:r>
      <w:r w:rsidRPr="005E3878">
        <w:rPr>
          <w:rStyle w:val="Emphasis"/>
        </w:rPr>
        <w:t>Final Decision SA Power Networks distribution determination - Attachment 3 - rate of return</w:t>
      </w:r>
      <w:r w:rsidRPr="005E3878">
        <w:t>, October 2015</w:t>
      </w:r>
      <w:r w:rsidRPr="007A1D94">
        <w:t>, p. 119</w:t>
      </w:r>
    </w:p>
  </w:footnote>
  <w:footnote w:id="379">
    <w:p w:rsidR="00E636A0" w:rsidRDefault="00E636A0" w:rsidP="00772B77">
      <w:pPr>
        <w:pStyle w:val="FootnoteText"/>
      </w:pPr>
      <w:r>
        <w:rPr>
          <w:rStyle w:val="FootnoteReference"/>
        </w:rPr>
        <w:footnoteRef/>
      </w:r>
      <w:r>
        <w:t xml:space="preserve"> </w:t>
      </w:r>
      <w:r>
        <w:tab/>
        <w:t xml:space="preserve">AER, </w:t>
      </w:r>
      <w:r w:rsidRPr="00C84B38">
        <w:rPr>
          <w:rStyle w:val="Emphasis"/>
        </w:rPr>
        <w:t>Explanatory Statement: Rate of Return Guideline</w:t>
      </w:r>
      <w:r>
        <w:rPr>
          <w:rStyle w:val="Emphasis"/>
        </w:rPr>
        <w:t xml:space="preserve"> - appendices</w:t>
      </w:r>
      <w:r w:rsidRPr="008E4F6D">
        <w:t>, December 2013</w:t>
      </w:r>
      <w:r>
        <w:t xml:space="preserve">, p. 7-24;AER, </w:t>
      </w:r>
      <w:r w:rsidRPr="005E3878">
        <w:rPr>
          <w:rStyle w:val="Emphasis"/>
        </w:rPr>
        <w:t>Final Decision SA Power Networks distribution determination - Attachment 3 - rate of return</w:t>
      </w:r>
      <w:r w:rsidRPr="005E3878">
        <w:t>, October 2015</w:t>
      </w:r>
      <w:r>
        <w:t>, p. 322-323</w:t>
      </w:r>
    </w:p>
  </w:footnote>
  <w:footnote w:id="380">
    <w:p w:rsidR="00E636A0" w:rsidRDefault="00E636A0" w:rsidP="00772B77">
      <w:pPr>
        <w:pStyle w:val="FootnoteText"/>
      </w:pPr>
      <w:r>
        <w:rPr>
          <w:rStyle w:val="FootnoteReference"/>
        </w:rPr>
        <w:footnoteRef/>
      </w:r>
      <w:r>
        <w:t xml:space="preserve"> </w:t>
      </w:r>
      <w:r>
        <w:tab/>
        <w:t>;</w:t>
      </w:r>
      <w:r w:rsidRPr="00C855A2">
        <w:t xml:space="preserve"> </w:t>
      </w:r>
      <w:r>
        <w:t xml:space="preserve">AusNet Services, </w:t>
      </w:r>
      <w:r>
        <w:rPr>
          <w:rStyle w:val="Emphasis"/>
        </w:rPr>
        <w:t>AusNet Transmission Group Pty Ltd Transmission revised revenue review</w:t>
      </w:r>
      <w:r w:rsidRPr="00D325AA">
        <w:rPr>
          <w:rStyle w:val="Emphasis"/>
        </w:rPr>
        <w:t xml:space="preserve"> 2017–22</w:t>
      </w:r>
      <w:r>
        <w:t>, 21 September 2016, p. 152; Frontier Economics</w:t>
      </w:r>
      <w:r w:rsidRPr="00F85FCC">
        <w:t xml:space="preserve">, </w:t>
      </w:r>
      <w:r>
        <w:rPr>
          <w:rStyle w:val="AERtextitalic"/>
        </w:rPr>
        <w:t>The Market Risk Premium</w:t>
      </w:r>
      <w:r>
        <w:t>, September</w:t>
      </w:r>
      <w:r w:rsidRPr="00F85FCC">
        <w:t xml:space="preserve"> 201</w:t>
      </w:r>
      <w:r>
        <w:t>6</w:t>
      </w:r>
      <w:r w:rsidRPr="00F85FCC">
        <w:t xml:space="preserve">, p. </w:t>
      </w:r>
      <w:r>
        <w:t>21–24; Ausgrid</w:t>
      </w:r>
      <w:r w:rsidRPr="00A164C0">
        <w:rPr>
          <w:rStyle w:val="Emphasis"/>
        </w:rPr>
        <w:t>, Revised Regulatory Proposal (amended)</w:t>
      </w:r>
      <w:r>
        <w:t xml:space="preserve">, February 2015, P190-191 </w:t>
      </w:r>
    </w:p>
  </w:footnote>
  <w:footnote w:id="381">
    <w:p w:rsidR="00E636A0" w:rsidRDefault="00E636A0" w:rsidP="00772B77">
      <w:pPr>
        <w:pStyle w:val="FootnoteText"/>
      </w:pPr>
      <w:r>
        <w:rPr>
          <w:rStyle w:val="FootnoteReference"/>
        </w:rPr>
        <w:footnoteRef/>
      </w:r>
      <w:r>
        <w:t xml:space="preserve"> </w:t>
      </w:r>
      <w:r>
        <w:tab/>
      </w:r>
      <w:r w:rsidRPr="008E4F6D">
        <w:t xml:space="preserve">Australian Energy Regulator, </w:t>
      </w:r>
      <w:r w:rsidRPr="00A164C0">
        <w:rPr>
          <w:rStyle w:val="Emphasis"/>
        </w:rPr>
        <w:t>Explanatory Statement: Rate of Return Guideline</w:t>
      </w:r>
      <w:r w:rsidRPr="008E4F6D">
        <w:t>, December 2013, page 91.</w:t>
      </w:r>
      <w:r>
        <w:t xml:space="preserve">  </w:t>
      </w:r>
    </w:p>
  </w:footnote>
  <w:footnote w:id="382">
    <w:p w:rsidR="00E636A0" w:rsidRDefault="00E636A0" w:rsidP="00772B77">
      <w:pPr>
        <w:pStyle w:val="FootnoteText"/>
      </w:pPr>
      <w:r>
        <w:rPr>
          <w:rStyle w:val="FootnoteReference"/>
        </w:rPr>
        <w:footnoteRef/>
      </w:r>
      <w:r>
        <w:t xml:space="preserve"> </w:t>
      </w:r>
      <w:r>
        <w:tab/>
        <w:t xml:space="preserve">Partington and Satchell, </w:t>
      </w:r>
      <w:r w:rsidRPr="001A1C41">
        <w:rPr>
          <w:rStyle w:val="Emphasis"/>
        </w:rPr>
        <w:t>Report to the AER: Cost of equity issues–Final decisions for the VIC DNSPs</w:t>
      </w:r>
      <w:r w:rsidRPr="001A1C41">
        <w:t>, April 2016</w:t>
      </w:r>
      <w:r>
        <w:t>, p. 23-26</w:t>
      </w:r>
      <w:r w:rsidRPr="009A6053">
        <w:t xml:space="preserve"> </w:t>
      </w:r>
    </w:p>
  </w:footnote>
  <w:footnote w:id="383">
    <w:p w:rsidR="00E636A0" w:rsidRDefault="00E636A0" w:rsidP="00772B77">
      <w:pPr>
        <w:pStyle w:val="FootnoteText"/>
      </w:pPr>
      <w:r>
        <w:rPr>
          <w:rStyle w:val="FootnoteReference"/>
        </w:rPr>
        <w:footnoteRef/>
      </w:r>
      <w:r>
        <w:t xml:space="preserve"> </w:t>
      </w:r>
      <w:r>
        <w:tab/>
        <w:t>Partington</w:t>
      </w:r>
      <w:r w:rsidRPr="001A1C41">
        <w:t xml:space="preserve"> and Satchell, </w:t>
      </w:r>
      <w:r w:rsidRPr="00A164C0">
        <w:rPr>
          <w:rStyle w:val="Emphasis"/>
        </w:rPr>
        <w:t xml:space="preserve">Report to the AER: Discussion of estimates of the return on equity, </w:t>
      </w:r>
      <w:r>
        <w:t>12 April 2017, p. 23.</w:t>
      </w:r>
    </w:p>
  </w:footnote>
  <w:footnote w:id="384">
    <w:p w:rsidR="00E636A0" w:rsidRDefault="00E636A0" w:rsidP="00772B77">
      <w:pPr>
        <w:pStyle w:val="FootnoteText"/>
      </w:pPr>
      <w:r>
        <w:rPr>
          <w:rStyle w:val="FootnoteReference"/>
        </w:rPr>
        <w:footnoteRef/>
      </w:r>
      <w:r>
        <w:t xml:space="preserve"> </w:t>
      </w:r>
      <w:r>
        <w:tab/>
        <w:t xml:space="preserve">Partington and Satchell, </w:t>
      </w:r>
      <w:r w:rsidRPr="001A1C41">
        <w:rPr>
          <w:rStyle w:val="Emphasis"/>
        </w:rPr>
        <w:t>Report to the AER: Cost of equity issues–Final decisions for the VIC DNSPs</w:t>
      </w:r>
      <w:r w:rsidRPr="001A1C41">
        <w:t>, April 2016</w:t>
      </w:r>
      <w:r>
        <w:t xml:space="preserve">, pp. 23–26. </w:t>
      </w:r>
    </w:p>
  </w:footnote>
  <w:footnote w:id="385">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pp. 4</w:t>
      </w:r>
      <w:r>
        <w:t>; Ausgrid</w:t>
      </w:r>
      <w:r w:rsidRPr="00B907B8">
        <w:rPr>
          <w:rStyle w:val="Emphasis"/>
        </w:rPr>
        <w:t>, Revised Regulatory Proposal (amended)</w:t>
      </w:r>
      <w:r>
        <w:t>, February 2015, P190-191</w:t>
      </w:r>
    </w:p>
  </w:footnote>
  <w:footnote w:id="386">
    <w:p w:rsidR="00E636A0" w:rsidRDefault="00E636A0">
      <w:pPr>
        <w:pStyle w:val="FootnoteText"/>
      </w:pPr>
      <w:r>
        <w:rPr>
          <w:rStyle w:val="FootnoteReference"/>
        </w:rPr>
        <w:footnoteRef/>
      </w:r>
      <w:r>
        <w:t xml:space="preserve"> </w:t>
      </w:r>
      <w:r>
        <w:tab/>
        <w:t xml:space="preserve">AER, </w:t>
      </w:r>
      <w:r w:rsidRPr="00A164C0">
        <w:rPr>
          <w:rStyle w:val="Emphasis"/>
        </w:rPr>
        <w:t>Explanatory Statement - appendices - rate of return guideline</w:t>
      </w:r>
      <w:r>
        <w:t>, December 2013, p. 82.</w:t>
      </w:r>
    </w:p>
  </w:footnote>
  <w:footnote w:id="387">
    <w:p w:rsidR="00E636A0" w:rsidRDefault="00E636A0" w:rsidP="00F4298C">
      <w:pPr>
        <w:pStyle w:val="FootnoteText"/>
        <w:ind w:left="0" w:firstLine="0"/>
      </w:pPr>
    </w:p>
  </w:footnote>
  <w:footnote w:id="388">
    <w:p w:rsidR="00E636A0" w:rsidRDefault="00E636A0" w:rsidP="00772B77">
      <w:pPr>
        <w:pStyle w:val="FootnoteText"/>
      </w:pPr>
      <w:r>
        <w:rPr>
          <w:rStyle w:val="FootnoteReference"/>
        </w:rPr>
        <w:footnoteRef/>
      </w:r>
      <w:r>
        <w:t xml:space="preserve"> </w:t>
      </w:r>
      <w:r>
        <w:tab/>
        <w:t xml:space="preserve">Partington and Satchel, </w:t>
      </w:r>
      <w:r w:rsidRPr="001A1C41">
        <w:rPr>
          <w:rStyle w:val="Emphasis"/>
        </w:rPr>
        <w:t>Report to the AER: Cost of equity issues–Final decisions for the VIC DNSPs</w:t>
      </w:r>
      <w:r w:rsidRPr="001A1C41">
        <w:t>, April 2016</w:t>
      </w:r>
      <w:r>
        <w:t>, p25-26</w:t>
      </w:r>
    </w:p>
  </w:footnote>
  <w:footnote w:id="389">
    <w:p w:rsidR="00E636A0" w:rsidRDefault="00E636A0"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April 2016, pp. 23.</w:t>
      </w:r>
    </w:p>
  </w:footnote>
  <w:footnote w:id="390">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53–54.</w:t>
      </w:r>
    </w:p>
  </w:footnote>
  <w:footnote w:id="391">
    <w:p w:rsidR="00E636A0" w:rsidRDefault="00E636A0" w:rsidP="00C33F1F">
      <w:pPr>
        <w:pStyle w:val="FootnoteText"/>
      </w:pPr>
      <w:r>
        <w:rPr>
          <w:rStyle w:val="FootnoteReference"/>
        </w:rPr>
        <w:footnoteRef/>
      </w:r>
      <w:r>
        <w:t xml:space="preserve"> </w:t>
      </w:r>
      <w:r>
        <w:tab/>
        <w:t>Partington and Satchell,</w:t>
      </w:r>
      <w:r w:rsidRPr="001A1C41">
        <w:rPr>
          <w:rStyle w:val="Emphasis"/>
        </w:rPr>
        <w:t xml:space="preserve"> </w:t>
      </w:r>
      <w:r w:rsidRPr="00A164C0">
        <w:rPr>
          <w:rStyle w:val="Emphasis"/>
        </w:rPr>
        <w:t xml:space="preserve">Report to the AER: Discussion of estimates of the return on equity, </w:t>
      </w:r>
      <w:r>
        <w:t>12 April 2017, pp.15-16</w:t>
      </w:r>
    </w:p>
  </w:footnote>
  <w:footnote w:id="392">
    <w:p w:rsidR="00E636A0" w:rsidRDefault="00E636A0" w:rsidP="00C33F1F">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pp. </w:t>
      </w:r>
      <w:r>
        <w:t xml:space="preserve">33.  </w:t>
      </w:r>
    </w:p>
  </w:footnote>
  <w:footnote w:id="393">
    <w:p w:rsidR="00E636A0" w:rsidRDefault="00E636A0" w:rsidP="00C33F1F">
      <w:pPr>
        <w:pStyle w:val="FootnoteText"/>
      </w:pPr>
      <w:r>
        <w:rPr>
          <w:rStyle w:val="FootnoteReference"/>
        </w:rPr>
        <w:footnoteRef/>
      </w:r>
      <w:r>
        <w:t xml:space="preserve"> </w:t>
      </w:r>
      <w:r>
        <w:tab/>
        <w:t>Partington</w:t>
      </w:r>
      <w:r w:rsidRPr="005D13D4">
        <w:t xml:space="preserve"> and Satchell,</w:t>
      </w:r>
      <w:r w:rsidRPr="005D13D4">
        <w:rPr>
          <w:rStyle w:val="Emphasis"/>
        </w:rPr>
        <w:t xml:space="preserve"> </w:t>
      </w:r>
      <w:r w:rsidRPr="00A164C0">
        <w:rPr>
          <w:rStyle w:val="Emphasis"/>
        </w:rPr>
        <w:t xml:space="preserve">Report to the AER: Discussion of estimates of the return on equity, </w:t>
      </w:r>
      <w:r>
        <w:t>12 April 2017,p. 28.</w:t>
      </w:r>
    </w:p>
  </w:footnote>
  <w:footnote w:id="394">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4, 55–58.</w:t>
      </w:r>
    </w:p>
  </w:footnote>
  <w:footnote w:id="395">
    <w:p w:rsidR="00E636A0" w:rsidRDefault="00E636A0"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April 2016, pp. 23.</w:t>
      </w:r>
    </w:p>
  </w:footnote>
  <w:footnote w:id="396">
    <w:p w:rsidR="00E636A0" w:rsidRDefault="00E636A0" w:rsidP="003C4C42">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25. Partington </w:t>
      </w:r>
      <w:r w:rsidRPr="005D13D4">
        <w:t>and Satchell,</w:t>
      </w:r>
      <w:r w:rsidRPr="005D13D4">
        <w:rPr>
          <w:rStyle w:val="Emphasis"/>
        </w:rPr>
        <w:t xml:space="preserve"> </w:t>
      </w:r>
      <w:r w:rsidRPr="00A164C0">
        <w:rPr>
          <w:rStyle w:val="Emphasis"/>
        </w:rPr>
        <w:t xml:space="preserve">Report to the AER: Discussion of estimates of the return on equity, </w:t>
      </w:r>
      <w:r>
        <w:t>12 April 2017, pp. 23-24</w:t>
      </w:r>
    </w:p>
    <w:p w:rsidR="00E636A0" w:rsidRDefault="00E636A0" w:rsidP="00772B77">
      <w:pPr>
        <w:pStyle w:val="FootnoteText"/>
      </w:pPr>
    </w:p>
  </w:footnote>
  <w:footnote w:id="397">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w:t>
      </w:r>
    </w:p>
  </w:footnote>
  <w:footnote w:id="398">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w:t>
      </w:r>
    </w:p>
  </w:footnote>
  <w:footnote w:id="399">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w:t>
      </w:r>
    </w:p>
  </w:footnote>
  <w:footnote w:id="400">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48-49; SAPN, </w:t>
      </w:r>
      <w:r w:rsidRPr="00B907B8">
        <w:rPr>
          <w:rStyle w:val="Emphasis"/>
        </w:rPr>
        <w:t>2015-20 Revised Regulatory Proposal</w:t>
      </w:r>
      <w:r>
        <w:t>, July 2015, P341</w:t>
      </w:r>
    </w:p>
  </w:footnote>
  <w:footnote w:id="401">
    <w:p w:rsidR="00E636A0" w:rsidRDefault="00E636A0" w:rsidP="00772B77">
      <w:pPr>
        <w:pStyle w:val="FootnoteText"/>
      </w:pPr>
      <w:r>
        <w:rPr>
          <w:rStyle w:val="FootnoteReference"/>
        </w:rPr>
        <w:footnoteRef/>
      </w:r>
      <w:r>
        <w:t xml:space="preserve"> </w:t>
      </w:r>
      <w:r>
        <w:tab/>
        <w:t xml:space="preserve">RBA Table F7, Share Market. Available at: </w:t>
      </w:r>
      <w:hyperlink r:id="rId16" w:history="1">
        <w:r w:rsidRPr="00841DC7">
          <w:rPr>
            <w:rStyle w:val="Hyperlink"/>
            <w:sz w:val="16"/>
          </w:rPr>
          <w:t>http://www.rba.gov.au/statistics/tables/</w:t>
        </w:r>
      </w:hyperlink>
      <w:r>
        <w:t xml:space="preserve"> </w:t>
      </w:r>
    </w:p>
  </w:footnote>
  <w:footnote w:id="402">
    <w:p w:rsidR="00E636A0" w:rsidRDefault="00E636A0" w:rsidP="00772B77">
      <w:pPr>
        <w:pStyle w:val="FootnoteText"/>
      </w:pPr>
      <w:r>
        <w:rPr>
          <w:rStyle w:val="FootnoteReference"/>
        </w:rPr>
        <w:footnoteRef/>
      </w:r>
      <w:r>
        <w:t xml:space="preserve"> </w:t>
      </w:r>
      <w:r>
        <w:tab/>
        <w:t xml:space="preserve">Partington </w:t>
      </w:r>
      <w:r w:rsidRPr="005D13D4">
        <w:t>and Satchell,</w:t>
      </w:r>
      <w:r w:rsidRPr="005D13D4">
        <w:rPr>
          <w:rStyle w:val="Emphasis"/>
        </w:rPr>
        <w:t xml:space="preserve"> </w:t>
      </w:r>
      <w:r w:rsidRPr="00A164C0">
        <w:rPr>
          <w:rStyle w:val="Emphasis"/>
        </w:rPr>
        <w:t xml:space="preserve">Report to the AER: Discussion of estimates of the return on equity, </w:t>
      </w:r>
      <w:r>
        <w:t xml:space="preserve">12 April 2017, pp. 20-21; AER, </w:t>
      </w:r>
      <w:r w:rsidRPr="00A164C0">
        <w:rPr>
          <w:rStyle w:val="Emphasis"/>
        </w:rPr>
        <w:t>Final decision CitiPower distribution determination - attachment 3 - rate of return</w:t>
      </w:r>
      <w:r>
        <w:t>, May 2016, p.88</w:t>
      </w:r>
    </w:p>
  </w:footnote>
  <w:footnote w:id="403">
    <w:p w:rsidR="00E636A0" w:rsidRDefault="00E636A0" w:rsidP="00772B77">
      <w:pPr>
        <w:pStyle w:val="FootnoteText"/>
      </w:pPr>
      <w:r>
        <w:rPr>
          <w:rStyle w:val="FootnoteReference"/>
        </w:rPr>
        <w:footnoteRef/>
      </w:r>
      <w:r>
        <w:t xml:space="preserve"> </w:t>
      </w:r>
      <w:r>
        <w:tab/>
        <w:t>Partington</w:t>
      </w:r>
      <w:r w:rsidRPr="005D13D4">
        <w:t xml:space="preserve"> and Satchell,</w:t>
      </w:r>
      <w:r w:rsidRPr="005D13D4">
        <w:rPr>
          <w:rStyle w:val="Emphasis"/>
        </w:rPr>
        <w:t xml:space="preserve"> </w:t>
      </w:r>
      <w:r w:rsidRPr="00A164C0">
        <w:rPr>
          <w:rStyle w:val="Emphasis"/>
        </w:rPr>
        <w:t xml:space="preserve">Report to the AER: Discussion of estimates of the return on equity, </w:t>
      </w:r>
      <w:r>
        <w:t>12 April 2017,p. 21.</w:t>
      </w:r>
    </w:p>
  </w:footnote>
  <w:footnote w:id="404">
    <w:p w:rsidR="00E636A0" w:rsidRDefault="00E636A0" w:rsidP="00266238">
      <w:pPr>
        <w:pStyle w:val="FootnoteText"/>
      </w:pPr>
      <w:r>
        <w:rPr>
          <w:rStyle w:val="FootnoteReference"/>
        </w:rPr>
        <w:footnoteRef/>
      </w:r>
      <w:r>
        <w:t xml:space="preserve"> </w:t>
      </w:r>
      <w:r>
        <w:tab/>
        <w:t>AusNet p150, Frontier Economics</w:t>
      </w:r>
      <w:r w:rsidRPr="00F85FCC">
        <w:t xml:space="preserve">, </w:t>
      </w:r>
      <w:r>
        <w:rPr>
          <w:rStyle w:val="AERtextitalic"/>
        </w:rPr>
        <w:t>The Market Risk Premium</w:t>
      </w:r>
      <w:r>
        <w:t>, September</w:t>
      </w:r>
      <w:r w:rsidRPr="00F85FCC">
        <w:t xml:space="preserve"> 201</w:t>
      </w:r>
      <w:r>
        <w:t xml:space="preserve">6, p.40; </w:t>
      </w:r>
      <w:r w:rsidRPr="00273F0E">
        <w:t xml:space="preserve">CitiPower, </w:t>
      </w:r>
      <w:r w:rsidRPr="00273F0E">
        <w:rPr>
          <w:rStyle w:val="AERtextitalic"/>
        </w:rPr>
        <w:t>Revised regulatory proposal 2016–2020</w:t>
      </w:r>
      <w:r w:rsidRPr="00273F0E">
        <w:t>,</w:t>
      </w:r>
      <w:r>
        <w:t xml:space="preserve"> January 2016, pp.321-324</w:t>
      </w:r>
    </w:p>
  </w:footnote>
  <w:footnote w:id="405">
    <w:p w:rsidR="00E636A0" w:rsidRDefault="00E636A0">
      <w:pPr>
        <w:pStyle w:val="FootnoteText"/>
      </w:pPr>
      <w:r>
        <w:rPr>
          <w:rStyle w:val="FootnoteReference"/>
        </w:rPr>
        <w:footnoteRef/>
      </w:r>
      <w:r>
        <w:t xml:space="preserve"> </w:t>
      </w:r>
      <w:r>
        <w:tab/>
        <w:t xml:space="preserve">AER, </w:t>
      </w:r>
      <w:r w:rsidRPr="00A164C0">
        <w:rPr>
          <w:rStyle w:val="Emphasis"/>
        </w:rPr>
        <w:t>Final decision SA Power Networks distribution determination - Attachment 3 - Rate of Return</w:t>
      </w:r>
      <w:r>
        <w:t xml:space="preserve">, October 2015, pp.93,388-390; </w:t>
      </w:r>
    </w:p>
  </w:footnote>
  <w:footnote w:id="406">
    <w:p w:rsidR="00E636A0" w:rsidRDefault="00E636A0" w:rsidP="00772B77">
      <w:pPr>
        <w:pStyle w:val="FootnoteText"/>
      </w:pPr>
      <w:r>
        <w:rPr>
          <w:rStyle w:val="FootnoteReference"/>
        </w:rPr>
        <w:footnoteRef/>
      </w:r>
      <w:r>
        <w:t xml:space="preserve"> </w:t>
      </w:r>
      <w:r>
        <w:tab/>
        <w:t xml:space="preserve">AER, </w:t>
      </w:r>
      <w:r w:rsidRPr="00405AF1">
        <w:rPr>
          <w:rStyle w:val="Emphasis"/>
        </w:rPr>
        <w:t>Explanatory Statement - Rate of Return Guideline</w:t>
      </w:r>
      <w:r>
        <w:t>, December 2013, p.140</w:t>
      </w:r>
    </w:p>
  </w:footnote>
  <w:footnote w:id="407">
    <w:p w:rsidR="00E636A0" w:rsidRDefault="00E636A0" w:rsidP="00772B77">
      <w:pPr>
        <w:pStyle w:val="FootnoteText"/>
      </w:pPr>
      <w:r>
        <w:rPr>
          <w:rStyle w:val="FootnoteReference"/>
        </w:rPr>
        <w:footnoteRef/>
      </w:r>
      <w:r>
        <w:t xml:space="preserve"> </w:t>
      </w:r>
      <w:r>
        <w:tab/>
        <w:t xml:space="preserve">ERA, </w:t>
      </w:r>
      <w:r w:rsidRPr="0005600A">
        <w:rPr>
          <w:rStyle w:val="Emphasis"/>
        </w:rPr>
        <w:t>Final Decision on Proposed Revisions to the Access Arrangement for the Goldfields Gas Pipeline</w:t>
      </w:r>
      <w:r>
        <w:t>, June 2016, p.209-210</w:t>
      </w:r>
    </w:p>
  </w:footnote>
  <w:footnote w:id="408">
    <w:p w:rsidR="00E636A0" w:rsidRDefault="00E636A0" w:rsidP="00266238">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p.78; SAPN, </w:t>
      </w:r>
      <w:r w:rsidRPr="00B907B8">
        <w:rPr>
          <w:rStyle w:val="Emphasis"/>
        </w:rPr>
        <w:t>SA Power Networks - 2015-20 Revised Regulatory Proposal,</w:t>
      </w:r>
      <w:r>
        <w:t xml:space="preserve"> July 2015, p.379; Ausnet Services</w:t>
      </w:r>
      <w:r w:rsidRPr="00B907B8">
        <w:rPr>
          <w:rStyle w:val="Emphasis"/>
        </w:rPr>
        <w:t>, Revenue Proposal - Revised - PUBLIC</w:t>
      </w:r>
      <w:r>
        <w:t>, 18 November 15, p.263</w:t>
      </w:r>
    </w:p>
  </w:footnote>
  <w:footnote w:id="409">
    <w:p w:rsidR="00E636A0" w:rsidRDefault="00E636A0" w:rsidP="00772B77">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410">
    <w:p w:rsidR="00E636A0" w:rsidRDefault="00E636A0" w:rsidP="00772B77">
      <w:pPr>
        <w:pStyle w:val="FootnoteText"/>
      </w:pPr>
      <w:r>
        <w:rPr>
          <w:rStyle w:val="FootnoteReference"/>
        </w:rPr>
        <w:footnoteRef/>
      </w:r>
      <w:r>
        <w:t xml:space="preserve"> </w:t>
      </w:r>
      <w:r>
        <w:tab/>
        <w:t xml:space="preserve">AER, </w:t>
      </w:r>
      <w:r w:rsidRPr="00405AF1">
        <w:rPr>
          <w:rStyle w:val="Emphasis"/>
        </w:rPr>
        <w:t>Final Decision Ausgrid Distribution Determination 2015/16 to 2018/19 - rate of return attachment</w:t>
      </w:r>
      <w:r>
        <w:t>, April 2015, pp.315-317</w:t>
      </w:r>
    </w:p>
  </w:footnote>
  <w:footnote w:id="411">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P26; SAPN, </w:t>
      </w:r>
      <w:r w:rsidRPr="00B907B8">
        <w:rPr>
          <w:rStyle w:val="Emphasis"/>
        </w:rPr>
        <w:t>SA Power Networks - 2015-20 Revised Regulatory Proposal,</w:t>
      </w:r>
      <w:r>
        <w:t xml:space="preserve"> July 2015, p.331</w:t>
      </w:r>
    </w:p>
  </w:footnote>
  <w:footnote w:id="412">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p.26</w:t>
      </w:r>
    </w:p>
  </w:footnote>
  <w:footnote w:id="413">
    <w:p w:rsidR="00E636A0" w:rsidRDefault="00E636A0" w:rsidP="00266238">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P8, Figure 4; SAPN, </w:t>
      </w:r>
      <w:r w:rsidRPr="00A164C0">
        <w:rPr>
          <w:rStyle w:val="Emphasis"/>
        </w:rPr>
        <w:t>SA Power Networks - 2015-20 Revised Regulatory Proposal,</w:t>
      </w:r>
      <w:r>
        <w:t xml:space="preserve"> July 2015, p.331</w:t>
      </w:r>
    </w:p>
  </w:footnote>
  <w:footnote w:id="414">
    <w:p w:rsidR="00E636A0" w:rsidRDefault="00E636A0" w:rsidP="00772B77">
      <w:pPr>
        <w:pStyle w:val="FootnoteText"/>
      </w:pPr>
      <w:r>
        <w:rPr>
          <w:rStyle w:val="FootnoteReference"/>
        </w:rPr>
        <w:footnoteRef/>
      </w:r>
      <w:r>
        <w:t xml:space="preserve"> </w:t>
      </w:r>
      <w:r>
        <w:tab/>
        <w:t xml:space="preserve">AER, </w:t>
      </w:r>
      <w:r w:rsidRPr="00405AF1">
        <w:rPr>
          <w:rStyle w:val="Emphasis"/>
        </w:rPr>
        <w:t>AER Final Decision on SAPN distribution 2015-2020</w:t>
      </w:r>
      <w:r>
        <w:t xml:space="preserve">, Attachment 3, Section A.3.4, p.321 </w:t>
      </w:r>
    </w:p>
  </w:footnote>
  <w:footnote w:id="415">
    <w:p w:rsidR="00E636A0" w:rsidRDefault="00E636A0">
      <w:pPr>
        <w:pStyle w:val="FootnoteText"/>
      </w:pPr>
      <w:r>
        <w:rPr>
          <w:rStyle w:val="FootnoteReference"/>
        </w:rPr>
        <w:footnoteRef/>
      </w:r>
      <w:r>
        <w:t xml:space="preserve"> </w:t>
      </w:r>
      <w:r>
        <w:tab/>
        <w:t xml:space="preserve">AER, </w:t>
      </w:r>
      <w:r w:rsidRPr="00405AF1">
        <w:rPr>
          <w:rStyle w:val="Emphasis"/>
        </w:rPr>
        <w:t>AusNet transmission draft decision</w:t>
      </w:r>
      <w:r>
        <w:t xml:space="preserve">, pp. 202–204; AER, </w:t>
      </w:r>
    </w:p>
  </w:footnote>
  <w:footnote w:id="416">
    <w:p w:rsidR="00E636A0" w:rsidRDefault="00E636A0" w:rsidP="00772B77">
      <w:pPr>
        <w:pStyle w:val="FootnoteText"/>
      </w:pPr>
      <w:r>
        <w:rPr>
          <w:rStyle w:val="FootnoteReference"/>
        </w:rPr>
        <w:footnoteRef/>
      </w:r>
      <w:r>
        <w:t xml:space="preserve"> </w:t>
      </w:r>
      <w:r>
        <w:tab/>
        <w:t xml:space="preserve">AER, </w:t>
      </w:r>
      <w:r w:rsidRPr="00A164C0">
        <w:rPr>
          <w:rStyle w:val="Emphasis"/>
        </w:rPr>
        <w:t>Rate of Return Guideline</w:t>
      </w:r>
      <w:r>
        <w:t>, December 2013, p.6</w:t>
      </w:r>
    </w:p>
  </w:footnote>
  <w:footnote w:id="417">
    <w:p w:rsidR="00E636A0" w:rsidRDefault="00E636A0" w:rsidP="00772B77">
      <w:pPr>
        <w:pStyle w:val="FootnoteText"/>
      </w:pPr>
      <w:r>
        <w:rPr>
          <w:rStyle w:val="FootnoteReference"/>
        </w:rPr>
        <w:footnoteRef/>
      </w:r>
      <w:r>
        <w:t xml:space="preserve"> </w:t>
      </w:r>
      <w:r>
        <w:tab/>
        <w:t xml:space="preserve">AER, </w:t>
      </w:r>
      <w:r w:rsidRPr="00405AF1">
        <w:rPr>
          <w:rStyle w:val="Emphasis"/>
        </w:rPr>
        <w:t>Final Decision Ausgrid Distribution Determination Rate of Return attachment</w:t>
      </w:r>
      <w:r>
        <w:t>, April 2015, p.339-340.</w:t>
      </w:r>
    </w:p>
  </w:footnote>
  <w:footnote w:id="418">
    <w:p w:rsidR="00E636A0" w:rsidRDefault="00E636A0" w:rsidP="00772B77">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 367–368</w:t>
      </w:r>
    </w:p>
  </w:footnote>
  <w:footnote w:id="419">
    <w:p w:rsidR="00E636A0" w:rsidRDefault="00E636A0" w:rsidP="00772B77">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p.25-28</w:t>
      </w:r>
    </w:p>
  </w:footnote>
  <w:footnote w:id="420">
    <w:p w:rsidR="00E636A0" w:rsidRDefault="00E636A0" w:rsidP="00772B77">
      <w:pPr>
        <w:pStyle w:val="FootnoteText"/>
      </w:pPr>
      <w:r>
        <w:rPr>
          <w:rStyle w:val="FootnoteReference"/>
        </w:rPr>
        <w:footnoteRef/>
      </w:r>
      <w:r>
        <w:t xml:space="preserve"> </w:t>
      </w:r>
      <w:r>
        <w:tab/>
        <w:t xml:space="preserve">Frontier, </w:t>
      </w:r>
      <w:r w:rsidRPr="00405AF1">
        <w:rPr>
          <w:rStyle w:val="Emphasis"/>
        </w:rPr>
        <w:t>The Market Risk Premium, September 2016</w:t>
      </w:r>
      <w:r>
        <w:t>, p. 76.</w:t>
      </w:r>
    </w:p>
  </w:footnote>
  <w:footnote w:id="421">
    <w:p w:rsidR="00E636A0" w:rsidRDefault="00E636A0" w:rsidP="00772B77">
      <w:pPr>
        <w:pStyle w:val="FootnoteText"/>
      </w:pPr>
      <w:r>
        <w:rPr>
          <w:rStyle w:val="FootnoteReference"/>
        </w:rPr>
        <w:footnoteRef/>
      </w:r>
      <w:r>
        <w:t xml:space="preserve"> </w:t>
      </w:r>
      <w:r>
        <w:tab/>
        <w:t xml:space="preserve">AER, </w:t>
      </w:r>
      <w:r w:rsidRPr="001551FE">
        <w:rPr>
          <w:rStyle w:val="Emphasis"/>
        </w:rPr>
        <w:t>Final Decision Ausgrid Distribution Determination Rate of Return attachment</w:t>
      </w:r>
      <w:r>
        <w:t>, April 2015, pp.339-340</w:t>
      </w:r>
    </w:p>
  </w:footnote>
  <w:footnote w:id="422">
    <w:p w:rsidR="00E636A0" w:rsidRDefault="00E636A0" w:rsidP="00772B77">
      <w:pPr>
        <w:pStyle w:val="FootnoteText"/>
      </w:pPr>
      <w:r>
        <w:rPr>
          <w:rStyle w:val="FootnoteReference"/>
        </w:rPr>
        <w:footnoteRef/>
      </w:r>
      <w:r>
        <w:t xml:space="preserve"> </w:t>
      </w:r>
      <w:r>
        <w:tab/>
        <w:t>Partington</w:t>
      </w:r>
      <w:r w:rsidRPr="006B1751">
        <w:t xml:space="preserve"> and Satchell,</w:t>
      </w:r>
      <w:r w:rsidRPr="006B1751">
        <w:rPr>
          <w:rStyle w:val="Emphasis"/>
        </w:rPr>
        <w:t xml:space="preserve"> </w:t>
      </w:r>
      <w:r w:rsidRPr="00A164C0">
        <w:rPr>
          <w:rStyle w:val="Emphasis"/>
        </w:rPr>
        <w:t xml:space="preserve">Report to the AER: Discussion of estimates of the return on equity, </w:t>
      </w:r>
      <w:r>
        <w:t>12 April 2017, p. 27</w:t>
      </w:r>
    </w:p>
  </w:footnote>
  <w:footnote w:id="423">
    <w:p w:rsidR="00E636A0" w:rsidRDefault="00E636A0" w:rsidP="00772B77">
      <w:pPr>
        <w:pStyle w:val="FootnoteText"/>
      </w:pPr>
      <w:r>
        <w:rPr>
          <w:rStyle w:val="FootnoteReference"/>
        </w:rPr>
        <w:footnoteRef/>
      </w:r>
      <w:r>
        <w:t xml:space="preserve"> </w:t>
      </w:r>
      <w:r>
        <w:tab/>
        <w:t xml:space="preserve">Frontier Economics, </w:t>
      </w:r>
      <w:r>
        <w:rPr>
          <w:rStyle w:val="AERtextitalic"/>
        </w:rPr>
        <w:t>The Market Risk Premium</w:t>
      </w:r>
      <w:r>
        <w:t>, September</w:t>
      </w:r>
      <w:r w:rsidRPr="00F85FCC">
        <w:t xml:space="preserve"> 201</w:t>
      </w:r>
      <w:r>
        <w:t>6 p. 76</w:t>
      </w:r>
    </w:p>
  </w:footnote>
  <w:footnote w:id="424">
    <w:p w:rsidR="00E636A0" w:rsidRDefault="00E636A0" w:rsidP="00772B77">
      <w:pPr>
        <w:pStyle w:val="FootnoteText"/>
      </w:pPr>
      <w:r>
        <w:rPr>
          <w:rStyle w:val="FootnoteReference"/>
        </w:rPr>
        <w:footnoteRef/>
      </w:r>
      <w:r>
        <w:t xml:space="preserve"> </w:t>
      </w:r>
      <w:r>
        <w:tab/>
        <w:t xml:space="preserve">AER, </w:t>
      </w:r>
      <w:r w:rsidRPr="00405AF1">
        <w:rPr>
          <w:rStyle w:val="Emphasis"/>
        </w:rPr>
        <w:t>AER Explanatory Statement - Rate of Return Guideline</w:t>
      </w:r>
      <w:r>
        <w:t>, December 2013, P6</w:t>
      </w:r>
    </w:p>
  </w:footnote>
  <w:footnote w:id="425">
    <w:p w:rsidR="00E636A0" w:rsidRDefault="00E636A0" w:rsidP="00772B77">
      <w:pPr>
        <w:pStyle w:val="FootnoteText"/>
      </w:pPr>
      <w:r>
        <w:rPr>
          <w:rStyle w:val="FootnoteReference"/>
        </w:rPr>
        <w:footnoteRef/>
      </w:r>
      <w:r>
        <w:t xml:space="preserve"> </w:t>
      </w:r>
      <w:r>
        <w:tab/>
        <w:t xml:space="preserve">Partington </w:t>
      </w:r>
      <w:r w:rsidRPr="006B1751">
        <w:t>and Satchell</w:t>
      </w:r>
      <w:r w:rsidRPr="0006305F">
        <w:rPr>
          <w:rStyle w:val="Emphasis"/>
        </w:rPr>
        <w:t xml:space="preserve"> </w:t>
      </w:r>
      <w:r w:rsidRPr="00A164C0">
        <w:rPr>
          <w:rStyle w:val="Emphasis"/>
        </w:rPr>
        <w:t xml:space="preserve">Report to the AER: Discussion of estimates of the return on equity, </w:t>
      </w:r>
      <w:r>
        <w:t>12 April 2017, p.16</w:t>
      </w:r>
    </w:p>
  </w:footnote>
  <w:footnote w:id="426">
    <w:p w:rsidR="00E636A0" w:rsidRDefault="00E636A0" w:rsidP="00772B77">
      <w:pPr>
        <w:pStyle w:val="FootnoteText"/>
      </w:pPr>
      <w:r>
        <w:rPr>
          <w:rStyle w:val="FootnoteReference"/>
        </w:rPr>
        <w:footnoteRef/>
      </w:r>
      <w:r>
        <w:t xml:space="preserve"> </w:t>
      </w:r>
      <w:r>
        <w:tab/>
        <w:t xml:space="preserve">Partington </w:t>
      </w:r>
      <w:r w:rsidRPr="006B1751">
        <w:t>and Satchell,</w:t>
      </w:r>
      <w:r w:rsidRPr="006B1751">
        <w:rPr>
          <w:rStyle w:val="Emphasis"/>
        </w:rPr>
        <w:t xml:space="preserve"> </w:t>
      </w:r>
      <w:r w:rsidRPr="00A164C0">
        <w:rPr>
          <w:rStyle w:val="Emphasis"/>
        </w:rPr>
        <w:t xml:space="preserve">Report to the AER: Discussion of estimates of the return on equity, </w:t>
      </w:r>
      <w:r>
        <w:t>12 April 2017, p.16</w:t>
      </w:r>
    </w:p>
  </w:footnote>
  <w:footnote w:id="427">
    <w:p w:rsidR="00E636A0" w:rsidRDefault="00E636A0" w:rsidP="00772B77">
      <w:pPr>
        <w:pStyle w:val="FootnoteText"/>
      </w:pPr>
      <w:r>
        <w:rPr>
          <w:rStyle w:val="FootnoteReference"/>
        </w:rPr>
        <w:footnoteRef/>
      </w:r>
      <w:r>
        <w:t xml:space="preserve"> </w:t>
      </w:r>
      <w:r>
        <w:tab/>
        <w:t xml:space="preserve">Lonergan Edwards, </w:t>
      </w:r>
      <w:r w:rsidRPr="00405AF1">
        <w:rPr>
          <w:rStyle w:val="Emphasis"/>
        </w:rPr>
        <w:t>Valuation on Ethane Pipeline Income Fund,</w:t>
      </w:r>
      <w:r>
        <w:t xml:space="preserve"> 31/03/2016; Grant Samuel, </w:t>
      </w:r>
      <w:r w:rsidRPr="00405AF1">
        <w:rPr>
          <w:rStyle w:val="Emphasis"/>
        </w:rPr>
        <w:t>Valuation on Pacific Brands</w:t>
      </w:r>
      <w:r>
        <w:t xml:space="preserve">, 20/05/2016; KPMG, </w:t>
      </w:r>
      <w:r w:rsidRPr="00405AF1">
        <w:rPr>
          <w:rStyle w:val="Emphasis"/>
        </w:rPr>
        <w:t>Valuation report on STW Comms</w:t>
      </w:r>
      <w:r>
        <w:t>, 29/02/2016</w:t>
      </w:r>
    </w:p>
  </w:footnote>
  <w:footnote w:id="428">
    <w:p w:rsidR="00E636A0" w:rsidRDefault="00E636A0" w:rsidP="00772B77">
      <w:pPr>
        <w:pStyle w:val="FootnoteText"/>
      </w:pPr>
      <w:r>
        <w:rPr>
          <w:rStyle w:val="FootnoteReference"/>
        </w:rPr>
        <w:footnoteRef/>
      </w:r>
      <w:r>
        <w:t xml:space="preserve"> </w:t>
      </w:r>
      <w:r>
        <w:tab/>
        <w:t xml:space="preserve">Grant Samuel, </w:t>
      </w:r>
      <w:r w:rsidRPr="0005600A">
        <w:rPr>
          <w:rStyle w:val="Emphasis"/>
        </w:rPr>
        <w:t>Valuation on Pacific Brands</w:t>
      </w:r>
      <w:r>
        <w:t>, 20/05/2016</w:t>
      </w:r>
    </w:p>
  </w:footnote>
  <w:footnote w:id="429">
    <w:p w:rsidR="00E636A0" w:rsidRDefault="00E636A0" w:rsidP="00772B77">
      <w:pPr>
        <w:pStyle w:val="FootnoteText"/>
      </w:pPr>
      <w:r>
        <w:rPr>
          <w:rStyle w:val="FootnoteReference"/>
        </w:rPr>
        <w:footnoteRef/>
      </w:r>
      <w:r>
        <w:t xml:space="preserve"> </w:t>
      </w:r>
      <w:r>
        <w:tab/>
        <w:t xml:space="preserve">Lonergan Edwards, </w:t>
      </w:r>
      <w:r w:rsidRPr="0005600A">
        <w:rPr>
          <w:rStyle w:val="Emphasis"/>
        </w:rPr>
        <w:t>Valuation on Ethane Pipeline Income Fund,</w:t>
      </w:r>
      <w:r>
        <w:t xml:space="preserve"> 31/03/2016, Grant Samuel, </w:t>
      </w:r>
      <w:r w:rsidRPr="0005600A">
        <w:rPr>
          <w:rStyle w:val="Emphasis"/>
        </w:rPr>
        <w:t>Valuation on Pacific Brands</w:t>
      </w:r>
      <w:r>
        <w:t xml:space="preserve">, 20/05/2016; KPMG, </w:t>
      </w:r>
      <w:r w:rsidRPr="0005600A">
        <w:rPr>
          <w:rStyle w:val="Emphasis"/>
        </w:rPr>
        <w:t>Valuation report on STW Comms</w:t>
      </w:r>
      <w:r>
        <w:t>, 29/02/2016</w:t>
      </w:r>
    </w:p>
  </w:footnote>
  <w:footnote w:id="430">
    <w:p w:rsidR="00E636A0" w:rsidRDefault="00E636A0" w:rsidP="00772B77">
      <w:pPr>
        <w:pStyle w:val="FootnoteText"/>
      </w:pPr>
      <w:r>
        <w:rPr>
          <w:rStyle w:val="FootnoteReference"/>
        </w:rPr>
        <w:footnoteRef/>
      </w:r>
      <w:r>
        <w:t xml:space="preserve"> </w:t>
      </w:r>
      <w:r>
        <w:tab/>
        <w:t xml:space="preserve">Deloitte, </w:t>
      </w:r>
      <w:r w:rsidRPr="00405AF1">
        <w:rPr>
          <w:rStyle w:val="Emphasis"/>
        </w:rPr>
        <w:t xml:space="preserve">Valuation on Patties Foods, </w:t>
      </w:r>
      <w:r>
        <w:t>15/07/2016</w:t>
      </w:r>
    </w:p>
  </w:footnote>
  <w:footnote w:id="431">
    <w:p w:rsidR="00E636A0" w:rsidRDefault="00E636A0" w:rsidP="00772B77">
      <w:pPr>
        <w:pStyle w:val="FootnoteText"/>
      </w:pPr>
      <w:r>
        <w:rPr>
          <w:rStyle w:val="FootnoteReference"/>
        </w:rPr>
        <w:footnoteRef/>
      </w:r>
      <w:r>
        <w:t xml:space="preserve"> </w:t>
      </w:r>
      <w:r>
        <w:tab/>
        <w:t xml:space="preserve">Frontier Economics, </w:t>
      </w:r>
      <w:r>
        <w:rPr>
          <w:rStyle w:val="AERtextitalic"/>
        </w:rPr>
        <w:t>The Market Risk Premium</w:t>
      </w:r>
      <w:r>
        <w:t>, September</w:t>
      </w:r>
      <w:r w:rsidRPr="00F85FCC">
        <w:t xml:space="preserve"> 201</w:t>
      </w:r>
      <w:r>
        <w:t>6, p. 76</w:t>
      </w:r>
    </w:p>
  </w:footnote>
  <w:footnote w:id="432">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pp. </w:t>
      </w:r>
      <w:r>
        <w:t xml:space="preserve">33.  </w:t>
      </w:r>
    </w:p>
  </w:footnote>
  <w:footnote w:id="433">
    <w:p w:rsidR="00E636A0" w:rsidRPr="006E5878" w:rsidRDefault="00E636A0" w:rsidP="003C4C42">
      <w:pPr>
        <w:pStyle w:val="FootnoteText"/>
        <w:rPr>
          <w:i/>
          <w:iCs/>
        </w:rPr>
      </w:pPr>
      <w:r>
        <w:rPr>
          <w:rStyle w:val="FootnoteReference"/>
        </w:rPr>
        <w:footnoteRef/>
      </w:r>
      <w:r>
        <w:t xml:space="preserve"> </w:t>
      </w:r>
      <w:r>
        <w:tab/>
      </w:r>
      <w:r w:rsidRPr="006B1751">
        <w:t xml:space="preserve">AER, </w:t>
      </w:r>
      <w:r w:rsidRPr="006B1751">
        <w:rPr>
          <w:rStyle w:val="Emphasis"/>
        </w:rPr>
        <w:t>Final Decision SA Power Networks distribution determination - Attachment 3 - rate of return</w:t>
      </w:r>
      <w:r w:rsidRPr="006B1751">
        <w:t>, October 2015, p 48-51</w:t>
      </w:r>
      <w:r>
        <w:t xml:space="preserve">, ; AER, </w:t>
      </w:r>
      <w:r w:rsidRPr="00A164C0">
        <w:rPr>
          <w:rStyle w:val="Emphasis"/>
        </w:rPr>
        <w:t>Rate of Return guideline - explanatory statement</w:t>
      </w:r>
      <w:r>
        <w:t xml:space="preserve">, December 2013, p.91 ; </w:t>
      </w:r>
      <w:r w:rsidRPr="006566E4">
        <w:t>Partington and Satchell</w:t>
      </w:r>
      <w:r>
        <w:t xml:space="preserve">, </w:t>
      </w:r>
      <w:r w:rsidRPr="00A164C0">
        <w:rPr>
          <w:rStyle w:val="Emphasis"/>
        </w:rPr>
        <w:t xml:space="preserve"> Report to the AER: Discussion of estimates of the return on equity, </w:t>
      </w:r>
      <w:r>
        <w:t>12 April 2017</w:t>
      </w:r>
      <w:r w:rsidRPr="006566E4">
        <w:t xml:space="preserve">,  </w:t>
      </w:r>
      <w:r>
        <w:t>p. 28</w:t>
      </w:r>
    </w:p>
    <w:p w:rsidR="00E636A0" w:rsidRDefault="00E636A0" w:rsidP="00772B77">
      <w:pPr>
        <w:pStyle w:val="FootnoteText"/>
      </w:pPr>
    </w:p>
  </w:footnote>
  <w:footnote w:id="434">
    <w:p w:rsidR="00E636A0" w:rsidRDefault="00E636A0" w:rsidP="00772B77">
      <w:pPr>
        <w:pStyle w:val="FootnoteText"/>
      </w:pPr>
      <w:r>
        <w:rPr>
          <w:rStyle w:val="FootnoteReference"/>
        </w:rPr>
        <w:footnoteRef/>
      </w:r>
      <w:r>
        <w:t xml:space="preserve"> </w:t>
      </w:r>
      <w:r>
        <w:tab/>
        <w:t>Partington</w:t>
      </w:r>
      <w:r w:rsidRPr="006B1751">
        <w:t xml:space="preserve"> and Satchell,</w:t>
      </w:r>
      <w:r w:rsidRPr="006B1751">
        <w:rPr>
          <w:rStyle w:val="Emphasis"/>
        </w:rPr>
        <w:t xml:space="preserve"> Report to the AER: Discussion of estimates of the return on equity</w:t>
      </w:r>
      <w:r w:rsidRPr="006B1751">
        <w:t xml:space="preserve">, </w:t>
      </w:r>
      <w:r>
        <w:t>12 April</w:t>
      </w:r>
      <w:r w:rsidRPr="006B1751">
        <w:t xml:space="preserve"> 2017</w:t>
      </w:r>
      <w:r>
        <w:t>, p. 28</w:t>
      </w:r>
    </w:p>
  </w:footnote>
  <w:footnote w:id="435">
    <w:p w:rsidR="00E636A0" w:rsidRDefault="00E636A0" w:rsidP="00266238">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w:t>
      </w:r>
      <w:r>
        <w:t xml:space="preserve">p. 76; </w:t>
      </w:r>
      <w:r w:rsidRPr="00273F0E">
        <w:t xml:space="preserve">CitiPower, </w:t>
      </w:r>
      <w:r w:rsidRPr="00273F0E">
        <w:rPr>
          <w:rStyle w:val="AERtextitalic"/>
        </w:rPr>
        <w:t>Revised regulatory proposal 2016–2020</w:t>
      </w:r>
      <w:r w:rsidRPr="00273F0E">
        <w:t>,</w:t>
      </w:r>
      <w:r>
        <w:t xml:space="preserve"> January 2016, pp.321-324</w:t>
      </w:r>
    </w:p>
  </w:footnote>
  <w:footnote w:id="436">
    <w:p w:rsidR="00E636A0" w:rsidRDefault="00E636A0" w:rsidP="00772B77">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p.93</w:t>
      </w:r>
    </w:p>
  </w:footnote>
  <w:footnote w:id="437">
    <w:p w:rsidR="00E636A0" w:rsidRDefault="00E636A0"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w:t>
      </w:r>
      <w:r>
        <w:t>p. 76</w:t>
      </w:r>
    </w:p>
  </w:footnote>
  <w:footnote w:id="438">
    <w:p w:rsidR="00E636A0" w:rsidRDefault="00E636A0" w:rsidP="00A4295D">
      <w:pPr>
        <w:pStyle w:val="FootnoteText"/>
      </w:pPr>
      <w:r>
        <w:rPr>
          <w:rStyle w:val="FootnoteReference"/>
        </w:rPr>
        <w:footnoteRef/>
      </w:r>
      <w:r>
        <w:t xml:space="preserve"> </w:t>
      </w:r>
      <w:r>
        <w:tab/>
        <w:t xml:space="preserve">AER, </w:t>
      </w:r>
      <w:r w:rsidRPr="00A164C0">
        <w:rPr>
          <w:rStyle w:val="Emphasis"/>
        </w:rPr>
        <w:t>Final decision AusNet distribution determination - Attachment 3 - Rate of Return</w:t>
      </w:r>
      <w:r>
        <w:t xml:space="preserve">, May 2016, P244; </w:t>
      </w:r>
      <w:r w:rsidRPr="00866B7A">
        <w:t xml:space="preserve">AER, </w:t>
      </w:r>
      <w:r w:rsidRPr="00866B7A">
        <w:rPr>
          <w:rStyle w:val="Emphasis"/>
        </w:rPr>
        <w:t xml:space="preserve">Final decision </w:t>
      </w:r>
      <w:r>
        <w:rPr>
          <w:rStyle w:val="Emphasis"/>
        </w:rPr>
        <w:t xml:space="preserve">SA Power Networks </w:t>
      </w:r>
      <w:r w:rsidRPr="00866B7A">
        <w:rPr>
          <w:rStyle w:val="Emphasis"/>
        </w:rPr>
        <w:t>distribution determination - Attachment 3 - Rate of Return</w:t>
      </w:r>
      <w:r w:rsidRPr="00866B7A">
        <w:t xml:space="preserve">, </w:t>
      </w:r>
      <w:r>
        <w:t>October 2015</w:t>
      </w:r>
      <w:r w:rsidRPr="00866B7A">
        <w:t>, P244</w:t>
      </w:r>
    </w:p>
  </w:footnote>
  <w:footnote w:id="439">
    <w:p w:rsidR="00E636A0" w:rsidRDefault="00E636A0">
      <w:pPr>
        <w:pStyle w:val="FootnoteText"/>
      </w:pPr>
      <w:r>
        <w:rPr>
          <w:rStyle w:val="FootnoteReference"/>
        </w:rPr>
        <w:footnoteRef/>
      </w:r>
      <w:r>
        <w:t xml:space="preserve"> </w:t>
      </w:r>
      <w:r>
        <w:tab/>
      </w:r>
      <w:r w:rsidRPr="006566E4">
        <w:t>Partington and Satchell,</w:t>
      </w:r>
      <w:r w:rsidRPr="006566E4">
        <w:rPr>
          <w:rStyle w:val="Emphasis"/>
        </w:rPr>
        <w:t xml:space="preserve"> </w:t>
      </w:r>
      <w:r w:rsidRPr="00A164C0">
        <w:rPr>
          <w:rStyle w:val="Emphasis"/>
        </w:rPr>
        <w:t xml:space="preserve">Report to the AER: Discussion of estimates of the return on equity, </w:t>
      </w:r>
      <w:r>
        <w:t>12 April 2017</w:t>
      </w:r>
      <w:r w:rsidRPr="006566E4">
        <w:t>7, p</w:t>
      </w:r>
      <w:r>
        <w:t>p</w:t>
      </w:r>
      <w:r w:rsidRPr="006566E4">
        <w:t xml:space="preserve">. </w:t>
      </w:r>
      <w:r>
        <w:t>17–18</w:t>
      </w:r>
      <w:r w:rsidRPr="006566E4">
        <w:t>.</w:t>
      </w:r>
    </w:p>
  </w:footnote>
  <w:footnote w:id="440">
    <w:p w:rsidR="00E636A0" w:rsidRDefault="00E636A0">
      <w:pPr>
        <w:pStyle w:val="FootnoteText"/>
      </w:pPr>
      <w:r>
        <w:rPr>
          <w:rStyle w:val="FootnoteReference"/>
        </w:rPr>
        <w:footnoteRef/>
      </w:r>
      <w:r>
        <w:t xml:space="preserve"> </w:t>
      </w:r>
      <w:r>
        <w:tab/>
      </w:r>
      <w:r w:rsidRPr="005E6E22">
        <w:t>Partington and Satchell,</w:t>
      </w:r>
      <w:r w:rsidRPr="005E6E22">
        <w:rPr>
          <w:rStyle w:val="Emphasis"/>
        </w:rPr>
        <w:t xml:space="preserve"> </w:t>
      </w:r>
      <w:r w:rsidRPr="00A164C0">
        <w:rPr>
          <w:rStyle w:val="Emphasis"/>
        </w:rPr>
        <w:t xml:space="preserve">Report to the AER: Discussion of estimates of the return on equity, </w:t>
      </w:r>
      <w:r>
        <w:t>12 April 2017</w:t>
      </w:r>
      <w:r w:rsidRPr="005E6E22">
        <w:t>, pp. 1</w:t>
      </w:r>
      <w:r>
        <w:t>8</w:t>
      </w:r>
      <w:r w:rsidRPr="005E6E22">
        <w:t>–1</w:t>
      </w:r>
      <w:r>
        <w:t>9</w:t>
      </w:r>
      <w:r w:rsidRPr="005E6E22">
        <w:t>.</w:t>
      </w:r>
    </w:p>
  </w:footnote>
  <w:footnote w:id="441">
    <w:p w:rsidR="00E636A0" w:rsidRDefault="00E636A0" w:rsidP="00501F99">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442">
    <w:p w:rsidR="00E636A0" w:rsidRDefault="00E636A0" w:rsidP="00501F99">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43">
    <w:p w:rsidR="00E636A0" w:rsidRDefault="00E636A0" w:rsidP="00501F99">
      <w:pPr>
        <w:pStyle w:val="FootnoteText"/>
      </w:pPr>
      <w:r>
        <w:rPr>
          <w:rStyle w:val="FootnoteReference"/>
        </w:rPr>
        <w:footnoteRef/>
      </w:r>
      <w:r>
        <w:t xml:space="preserve"> </w:t>
      </w:r>
      <w:r>
        <w:tab/>
        <w:t>Or more precisely, a benchmark efficient entity with a similar degree of risk as TasNetworks in respect of the provision of prescribed transmission services.</w:t>
      </w:r>
    </w:p>
  </w:footnote>
  <w:footnote w:id="444">
    <w:p w:rsidR="00E636A0" w:rsidRDefault="00E636A0" w:rsidP="00501F99">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445">
    <w:p w:rsidR="00E636A0" w:rsidRDefault="00E636A0" w:rsidP="00501F99">
      <w:pPr>
        <w:pStyle w:val="FootnoteText"/>
      </w:pPr>
      <w:r>
        <w:rPr>
          <w:rStyle w:val="FootnoteReference"/>
        </w:rPr>
        <w:footnoteRef/>
      </w:r>
      <w:r>
        <w:t xml:space="preserve"> </w:t>
      </w:r>
      <w:r>
        <w:tab/>
        <w:t>The other material includes our construction of the Wright CAPM, other regulators' estimates, comparison with return on debt and relevant broker and independent expert reports.</w:t>
      </w:r>
    </w:p>
  </w:footnote>
  <w:footnote w:id="446">
    <w:p w:rsidR="00E636A0" w:rsidRDefault="00E636A0" w:rsidP="00501F99">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47">
    <w:p w:rsidR="00E636A0" w:rsidRDefault="00E636A0" w:rsidP="00501F99">
      <w:pPr>
        <w:pStyle w:val="FootnoteText"/>
      </w:pPr>
      <w:r>
        <w:rPr>
          <w:rStyle w:val="FootnoteReference"/>
        </w:rPr>
        <w:footnoteRef/>
      </w:r>
      <w:r>
        <w:t xml:space="preserve"> </w:t>
      </w:r>
      <w:r>
        <w:tab/>
        <w:t xml:space="preserve">AusNet transmission </w:t>
      </w:r>
    </w:p>
  </w:footnote>
  <w:footnote w:id="448">
    <w:p w:rsidR="00E636A0" w:rsidRDefault="00E636A0" w:rsidP="00501F99">
      <w:pPr>
        <w:pStyle w:val="FootnoteText"/>
      </w:pPr>
      <w:r>
        <w:rPr>
          <w:rStyle w:val="FootnoteReference"/>
        </w:rPr>
        <w:footnoteRef/>
      </w:r>
      <w:r>
        <w:t xml:space="preserve"> </w:t>
      </w:r>
      <w:r>
        <w:tab/>
        <w:t xml:space="preserve">CCP5, </w:t>
      </w:r>
      <w:r w:rsidRPr="001A0C41">
        <w:rPr>
          <w:rStyle w:val="AERtextitalic"/>
        </w:rPr>
        <w:t xml:space="preserve">Submission </w:t>
      </w:r>
      <w:r>
        <w:rPr>
          <w:rStyle w:val="AERtextitalic"/>
        </w:rPr>
        <w:t>on AusNet transmission revised proposal</w:t>
      </w:r>
      <w:r>
        <w:t>,  October 2016.</w:t>
      </w:r>
    </w:p>
  </w:footnote>
  <w:footnote w:id="449">
    <w:p w:rsidR="00E636A0" w:rsidRDefault="00E636A0" w:rsidP="00501F99">
      <w:pPr>
        <w:pStyle w:val="FootnoteText"/>
      </w:pPr>
      <w:r>
        <w:rPr>
          <w:rStyle w:val="FootnoteReference"/>
        </w:rPr>
        <w:footnoteRef/>
      </w:r>
      <w:r>
        <w:t xml:space="preserve"> </w:t>
      </w:r>
      <w:r>
        <w:tab/>
      </w:r>
      <w:r w:rsidRPr="00A752FF">
        <w:t xml:space="preserve"> </w:t>
      </w:r>
      <w:r w:rsidRPr="00744B73">
        <w:t xml:space="preserve">CCP4 (David Headberry), </w:t>
      </w:r>
      <w:r w:rsidRPr="00E91B81">
        <w:rPr>
          <w:rStyle w:val="AERtextitalic"/>
        </w:rPr>
        <w:t>Response to the AER Draft Decision and Revised Proposal to Powerlink's electricity transmission network for a revenue reset for the 2017-2019 regulatory period</w:t>
      </w:r>
      <w:r w:rsidRPr="004E503B">
        <w:t xml:space="preserve">, </w:t>
      </w:r>
      <w:r>
        <w:t xml:space="preserve">19 December 2016, p. 21; Cotton Australia, </w:t>
      </w:r>
      <w:r w:rsidRPr="00E91B81">
        <w:rPr>
          <w:rStyle w:val="AERtextitalic"/>
        </w:rPr>
        <w:t>Re: AER Draft Decision–Powerlink Electricity transmission revised revenue proposal 2017–2022</w:t>
      </w:r>
      <w:r>
        <w:t xml:space="preserve">, 22 December 2016; Queensland farmers’ federation, </w:t>
      </w:r>
      <w:r w:rsidRPr="00E91B81">
        <w:rPr>
          <w:rStyle w:val="AERtextitalic"/>
        </w:rPr>
        <w:t>Re: Response on Australian Energy Regulator (AER) Draft Decision on Powerlink ‘s revenue proposal for the 2017/18 –2021/22 regulatory period</w:t>
      </w:r>
      <w:r>
        <w:t xml:space="preserve">, 30 November 2016; </w:t>
      </w:r>
      <w:r w:rsidRPr="00744B73">
        <w:t xml:space="preserve">CCP4 (David Headberry), </w:t>
      </w:r>
      <w:r w:rsidRPr="00E91B81">
        <w:rPr>
          <w:rStyle w:val="AERtextitalic"/>
        </w:rPr>
        <w:t>Response to the AER Draft Decision and Revised Proposal to Tasmania's electricity distribution network service provider (TasNetworks - TND) for a revenue reset for the 2017-2019 regulatory period</w:t>
      </w:r>
      <w:r w:rsidRPr="004E503B">
        <w:t>, 25 November 2016</w:t>
      </w:r>
      <w:r>
        <w:t xml:space="preserve">, p. 28; </w:t>
      </w:r>
      <w:r w:rsidRPr="00744B73">
        <w:t xml:space="preserve">CCP4 (David Headberry), </w:t>
      </w:r>
      <w:r w:rsidRPr="00E91B81">
        <w:rPr>
          <w:rStyle w:val="AERtextitalic"/>
        </w:rPr>
        <w:t>Response to the AER Draft Decision and Revised Proposal to Tasmania's electricity distribution network service provider (TasNetworks - TND) for a revenue reset for the 2017-2019 regulatory period</w:t>
      </w:r>
      <w:r w:rsidRPr="004E503B">
        <w:t xml:space="preserve">, </w:t>
      </w:r>
      <w:r>
        <w:t>12 December</w:t>
      </w:r>
      <w:r w:rsidRPr="004E503B">
        <w:t xml:space="preserve"> 2016,</w:t>
      </w:r>
      <w:r>
        <w:t xml:space="preserve"> p. 31.</w:t>
      </w:r>
    </w:p>
  </w:footnote>
  <w:footnote w:id="450">
    <w:p w:rsidR="00E636A0" w:rsidRDefault="00E636A0" w:rsidP="006A3314">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C.2</w:t>
      </w:r>
      <w:r>
        <w:fldChar w:fldCharType="end"/>
      </w:r>
      <w:r>
        <w:t xml:space="preserve"> respectively.</w:t>
      </w:r>
    </w:p>
  </w:footnote>
  <w:footnote w:id="451">
    <w:p w:rsidR="00E636A0" w:rsidRDefault="00E636A0" w:rsidP="006A3314">
      <w:pPr>
        <w:pStyle w:val="FootnoteText"/>
      </w:pPr>
      <w:r>
        <w:rPr>
          <w:rStyle w:val="FootnoteReference"/>
        </w:rPr>
        <w:footnoteRef/>
      </w:r>
      <w:r>
        <w:t xml:space="preserve"> </w:t>
      </w:r>
      <w:r>
        <w:tab/>
        <w:t>Estimated as the difference between our estimate of the equity risk premium and the prevailing debt risk premium for March 2017.</w:t>
      </w:r>
    </w:p>
  </w:footnote>
  <w:footnote w:id="452">
    <w:p w:rsidR="00E636A0" w:rsidRDefault="00E636A0" w:rsidP="00501F99">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453">
    <w:p w:rsidR="00E636A0" w:rsidRDefault="00E636A0" w:rsidP="00501F99">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w:t>
      </w:r>
      <w:r w:rsidRPr="000F3DDE">
        <w:t>AusNet Services</w:t>
      </w:r>
      <w:r>
        <w:t>' 2016-20 distribution determination. And for example pages 78–80 of our final decision for AusNet Services (distribution) in May 2016.</w:t>
      </w:r>
    </w:p>
  </w:footnote>
  <w:footnote w:id="454">
    <w:p w:rsidR="00E636A0" w:rsidRDefault="00E636A0" w:rsidP="00501F99">
      <w:pPr>
        <w:pStyle w:val="FootnoteText"/>
      </w:pPr>
      <w:r>
        <w:rPr>
          <w:rStyle w:val="FootnoteReference"/>
        </w:rPr>
        <w:footnoteRef/>
      </w:r>
      <w:r>
        <w:t xml:space="preserve"> </w:t>
      </w:r>
      <w:r>
        <w:tab/>
        <w:t>For example, SAPN, Final decision, p. 509; AER</w:t>
      </w:r>
      <w:r w:rsidRPr="00A164C0">
        <w:rPr>
          <w:rStyle w:val="Emphasis"/>
        </w:rPr>
        <w:t>, Final Decision CitiPower distribution determination - attachment 3 - rate of return</w:t>
      </w:r>
      <w:r>
        <w:t>, May 2016, P76</w:t>
      </w:r>
    </w:p>
  </w:footnote>
  <w:footnote w:id="455">
    <w:p w:rsidR="00E636A0" w:rsidRDefault="00E636A0" w:rsidP="00501F99">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0F3DDE">
        <w:t>AusNet Services</w:t>
      </w:r>
      <w:r>
        <w:t>' 2016-20 distribution determination. And for example pages 78–80 of our final decision for AusNet Services (distribution) in May 2016.</w:t>
      </w:r>
    </w:p>
  </w:footnote>
  <w:footnote w:id="456">
    <w:p w:rsidR="00E636A0" w:rsidRDefault="00E636A0" w:rsidP="00501F99">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457">
    <w:p w:rsidR="00E636A0" w:rsidRDefault="00E636A0" w:rsidP="00501F99">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r w:rsidRPr="00214A02">
        <w:t xml:space="preserve"> </w:t>
      </w:r>
    </w:p>
    <w:p w:rsidR="00E636A0" w:rsidRDefault="00E636A0" w:rsidP="00501F99">
      <w:pPr>
        <w:pStyle w:val="FootnoteText"/>
      </w:pPr>
      <w:r>
        <w:tab/>
        <w:t>ASX &amp; SGX-ST release, AusNet Services successfully prices HKD 1.2bn offer, 9 December 2016; ASX &amp; SGX-ST release, AusNet Services successfully prices NOK 1bn offer, 10 January 2017; ASX &amp; SGX-ST release, AusNet Services successfully prices USD 80m offer, 19 January 2017</w:t>
      </w:r>
    </w:p>
  </w:footnote>
  <w:footnote w:id="458">
    <w:p w:rsidR="00E636A0" w:rsidRDefault="00E636A0" w:rsidP="00501F99">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 xml:space="preserve">; </w:t>
      </w:r>
    </w:p>
  </w:footnote>
  <w:footnote w:id="459">
    <w:p w:rsidR="00E636A0" w:rsidRDefault="00E636A0" w:rsidP="006A3314">
      <w:pPr>
        <w:pStyle w:val="FootnoteText"/>
      </w:pPr>
      <w:r>
        <w:rPr>
          <w:rStyle w:val="FootnoteReference"/>
        </w:rPr>
        <w:footnoteRef/>
      </w:r>
      <w:r>
        <w:t xml:space="preserve"> </w:t>
      </w:r>
      <w:r>
        <w:tab/>
        <w:t>For details, see section L.1 of Confidential Appendix L in Attachment 3 to our preliminary decision on AusNet Services' 2016-20 distribution determination.</w:t>
      </w:r>
    </w:p>
  </w:footnote>
  <w:footnote w:id="460">
    <w:p w:rsidR="00E636A0" w:rsidRDefault="00E636A0" w:rsidP="006A3314">
      <w:pPr>
        <w:pStyle w:val="FootnoteText"/>
      </w:pPr>
      <w:r>
        <w:rPr>
          <w:rStyle w:val="FootnoteReference"/>
        </w:rPr>
        <w:footnoteRef/>
      </w:r>
      <w:r>
        <w:t xml:space="preserve"> </w:t>
      </w:r>
      <w:r>
        <w:tab/>
        <w:t xml:space="preserve">See section </w:t>
      </w:r>
      <w:r>
        <w:fldChar w:fldCharType="begin"/>
      </w:r>
      <w:r>
        <w:instrText xml:space="preserve"> REF _Ref451685409 \r \h </w:instrText>
      </w:r>
      <w:r>
        <w:fldChar w:fldCharType="separate"/>
      </w:r>
      <w:r>
        <w:t>E</w:t>
      </w:r>
      <w:r>
        <w:fldChar w:fldCharType="end"/>
      </w:r>
      <w:r>
        <w:t xml:space="preserve"> for further discussion.</w:t>
      </w:r>
    </w:p>
  </w:footnote>
  <w:footnote w:id="461">
    <w:p w:rsidR="00E636A0" w:rsidRDefault="00E636A0" w:rsidP="006A3314">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462">
    <w:p w:rsidR="00E636A0" w:rsidRDefault="00E636A0" w:rsidP="006A3314">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463">
    <w:p w:rsidR="00E636A0" w:rsidRDefault="00E636A0" w:rsidP="006A3314">
      <w:pPr>
        <w:pStyle w:val="FootnoteText"/>
      </w:pPr>
      <w:r>
        <w:rPr>
          <w:rStyle w:val="FootnoteReference"/>
        </w:rPr>
        <w:footnoteRef/>
      </w:r>
      <w:r>
        <w:t xml:space="preserve"> </w:t>
      </w:r>
      <w:r>
        <w:tab/>
      </w:r>
      <w:r w:rsidRPr="004177B1">
        <w:t xml:space="preserve">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464">
    <w:p w:rsidR="00E636A0" w:rsidRDefault="00E636A0" w:rsidP="006A3314">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F3489A">
        <w:t>, February 2016</w:t>
      </w:r>
      <w:r>
        <w:t xml:space="preserve">; </w:t>
      </w:r>
    </w:p>
  </w:footnote>
  <w:footnote w:id="465">
    <w:p w:rsidR="00E636A0" w:rsidRDefault="00E636A0" w:rsidP="001537E5">
      <w:pPr>
        <w:pStyle w:val="FootnoteText"/>
      </w:pPr>
      <w:r>
        <w:rPr>
          <w:rStyle w:val="FootnoteReference"/>
        </w:rPr>
        <w:footnoteRef/>
      </w:r>
      <w:r>
        <w:t xml:space="preserve"> </w:t>
      </w:r>
      <w:r>
        <w:tab/>
        <w:t>CCP Panel 5</w:t>
      </w:r>
      <w:r w:rsidRPr="009751A6">
        <w:t xml:space="preserve">, </w:t>
      </w:r>
      <w:r>
        <w:rPr>
          <w:rStyle w:val="AERtextitalic"/>
        </w:rPr>
        <w:t>Response to AER draft decision on AusNet transmission revenue review</w:t>
      </w:r>
      <w:r w:rsidRPr="009751A6">
        <w:t xml:space="preserve">, </w:t>
      </w:r>
      <w:r>
        <w:t>September</w:t>
      </w:r>
      <w:r w:rsidRPr="009751A6">
        <w:t xml:space="preserve"> 2016</w:t>
      </w:r>
      <w:r>
        <w:t xml:space="preserve">; Cotton Australia, </w:t>
      </w:r>
      <w:r w:rsidRPr="00E91B81">
        <w:rPr>
          <w:rStyle w:val="AERtextitalic"/>
        </w:rPr>
        <w:t>Re: AER Draft Decision–Powerlink Electricity transmission revised revenue proposal 2017–2022,</w:t>
      </w:r>
      <w:r>
        <w:t xml:space="preserve"> 22 December 2016; Queensland farmers’ federation, </w:t>
      </w:r>
      <w:r w:rsidRPr="00E91B81">
        <w:rPr>
          <w:rStyle w:val="AERtextitalic"/>
        </w:rPr>
        <w:t>Re: Response on Australian Energy Regulator (AER) Draft Decision on Powerlink ‘s revenue proposal for the 2017/18 –2021/22 regulatory period</w:t>
      </w:r>
      <w:r>
        <w:t xml:space="preserve">, 30 November 2016; </w:t>
      </w:r>
      <w:r w:rsidRPr="001537E5">
        <w:t xml:space="preserve">CCP4 (David Headberry), </w:t>
      </w:r>
      <w:r w:rsidRPr="006E5878">
        <w:rPr>
          <w:rStyle w:val="AERtextitalic"/>
        </w:rPr>
        <w:t>Response to the AER Draft Decision and Revised Proposal to Tasmania's electricity distribution network service provider (TasNetworks - TND) for a revenue reset for the 2017-2019 regulatory period</w:t>
      </w:r>
      <w:r w:rsidRPr="004E503B">
        <w:t xml:space="preserve">, </w:t>
      </w:r>
      <w:r>
        <w:t>12 December</w:t>
      </w:r>
      <w:r w:rsidRPr="004E503B">
        <w:t xml:space="preserve"> 2016,</w:t>
      </w:r>
      <w:r>
        <w:t xml:space="preserve"> p. 31; </w:t>
      </w:r>
      <w:r w:rsidRPr="001537E5">
        <w:t xml:space="preserve">CCP4 (David Headberry), </w:t>
      </w:r>
      <w:r w:rsidRPr="006E5878">
        <w:rPr>
          <w:rStyle w:val="AERtextitalic"/>
        </w:rPr>
        <w:t>Response to the AER Draft Decision and Revised Proposal to Tasmania's electricity distribution network service provider (TasNetworks - TND) for a revenue reset for the 2017-2019 regulatory period</w:t>
      </w:r>
      <w:r w:rsidRPr="001537E5">
        <w:t>, 25 November 2016, p. 28.</w:t>
      </w:r>
    </w:p>
  </w:footnote>
  <w:footnote w:id="466">
    <w:p w:rsidR="00E636A0" w:rsidRDefault="00E636A0" w:rsidP="00501F99">
      <w:pPr>
        <w:pStyle w:val="FootnoteText"/>
      </w:pPr>
      <w:r>
        <w:rPr>
          <w:rStyle w:val="FootnoteReference"/>
        </w:rPr>
        <w:footnoteRef/>
      </w:r>
      <w:r>
        <w:t xml:space="preserve"> </w:t>
      </w:r>
      <w:r>
        <w:tab/>
        <w:t xml:space="preserve">CCP4 (David Headberry) - </w:t>
      </w:r>
      <w:r w:rsidRPr="00405AF1">
        <w:rPr>
          <w:rStyle w:val="Emphasis"/>
        </w:rPr>
        <w:t>Submission on Powerlink draft decision and revised proposal</w:t>
      </w:r>
      <w:r>
        <w:t>, p21, 21 December 2016; CCP5</w:t>
      </w:r>
      <w:r w:rsidRPr="00405AF1">
        <w:rPr>
          <w:rStyle w:val="Emphasis"/>
        </w:rPr>
        <w:t>, Submission on AusNet transmission revised proposal,</w:t>
      </w:r>
      <w:r>
        <w:t xml:space="preserve"> October 2016 p10; 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pp. 10 &amp; 29–30. </w:t>
      </w:r>
    </w:p>
  </w:footnote>
  <w:footnote w:id="467">
    <w:p w:rsidR="00E636A0" w:rsidRDefault="00E636A0" w:rsidP="00501F99">
      <w:pPr>
        <w:pStyle w:val="FootnoteText"/>
      </w:pPr>
      <w:r>
        <w:rPr>
          <w:rStyle w:val="FootnoteReference"/>
        </w:rPr>
        <w:footnoteRef/>
      </w:r>
      <w:r>
        <w:t xml:space="preserve"> </w:t>
      </w:r>
      <w:r>
        <w:tab/>
        <w:t xml:space="preserve">CCP4 (Hugh Grant) </w:t>
      </w:r>
      <w:r w:rsidRPr="00405AF1">
        <w:rPr>
          <w:rStyle w:val="Emphasis"/>
        </w:rPr>
        <w:t>- Submission on Powerlink draft decision and revised proposa</w:t>
      </w:r>
      <w:r>
        <w:rPr>
          <w:rStyle w:val="Emphasis"/>
        </w:rPr>
        <w:t>l,</w:t>
      </w:r>
      <w:r w:rsidRPr="003C3081">
        <w:t xml:space="preserve"> </w:t>
      </w:r>
      <w:r>
        <w:t xml:space="preserve">23 December 2016, p39-42,; CCP5, </w:t>
      </w:r>
      <w:r w:rsidRPr="00405AF1">
        <w:rPr>
          <w:rStyle w:val="Emphasis"/>
        </w:rPr>
        <w:t>Submission on AusNet transmission revised proposal</w:t>
      </w:r>
      <w:r>
        <w:t xml:space="preserve">, October 2016, p10; </w:t>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468">
    <w:p w:rsidR="00E636A0" w:rsidRDefault="00E636A0" w:rsidP="00501F99">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469">
    <w:p w:rsidR="00E636A0" w:rsidRDefault="00E636A0" w:rsidP="00501F99">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70">
    <w:p w:rsidR="00E636A0" w:rsidRDefault="00E636A0" w:rsidP="00501F99">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71">
    <w:p w:rsidR="00E636A0" w:rsidRDefault="00E636A0" w:rsidP="006A3314">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 xml:space="preserve">-44. Previously covered in AER Final decision for Australian Gas Networks Access Arrangement, CitiPower distribution Determination and Jemena distribution determination all in May 2016  </w:t>
      </w:r>
    </w:p>
  </w:footnote>
  <w:footnote w:id="472">
    <w:p w:rsidR="00E636A0" w:rsidRDefault="00E636A0">
      <w:pPr>
        <w:pStyle w:val="FootnoteText"/>
      </w:pPr>
      <w:r>
        <w:rPr>
          <w:rStyle w:val="FootnoteReference"/>
        </w:rPr>
        <w:footnoteRef/>
      </w:r>
      <w:r>
        <w:t xml:space="preserve"> </w:t>
      </w:r>
      <w:r>
        <w:tab/>
        <w:t>AER</w:t>
      </w:r>
      <w:r w:rsidRPr="00A164C0">
        <w:rPr>
          <w:rStyle w:val="Emphasis"/>
        </w:rPr>
        <w:t>, Final Decision AusNet distribution determination - Attachment 3 - rate of return</w:t>
      </w:r>
      <w:r>
        <w:t>, May 2016, P82</w:t>
      </w:r>
    </w:p>
  </w:footnote>
  <w:footnote w:id="473">
    <w:p w:rsidR="00E636A0" w:rsidRDefault="00E636A0" w:rsidP="00894A39">
      <w:pPr>
        <w:pStyle w:val="FootnoteText"/>
      </w:pPr>
      <w:r>
        <w:rPr>
          <w:rStyle w:val="FootnoteReference"/>
        </w:rPr>
        <w:footnoteRef/>
      </w:r>
      <w:r>
        <w:t xml:space="preserve"> </w:t>
      </w:r>
      <w:r>
        <w:tab/>
        <w:t xml:space="preserve">Partington </w:t>
      </w:r>
      <w:r w:rsidRPr="007902A4">
        <w:t>and Satchell,</w:t>
      </w:r>
      <w:r w:rsidRPr="007902A4">
        <w:rPr>
          <w:rStyle w:val="Emphasis"/>
        </w:rPr>
        <w:t xml:space="preserve"> </w:t>
      </w:r>
      <w:r w:rsidRPr="00A164C0">
        <w:rPr>
          <w:rStyle w:val="Emphasis"/>
        </w:rPr>
        <w:t xml:space="preserve">Report to the AER: Discussion of estimates of the return on equity, </w:t>
      </w:r>
      <w:r>
        <w:t>12 April 2017, P16</w:t>
      </w:r>
    </w:p>
  </w:footnote>
  <w:footnote w:id="474">
    <w:p w:rsidR="00E636A0" w:rsidRDefault="00E636A0" w:rsidP="006A3314">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45; AusNet Services, </w:t>
      </w:r>
      <w:r w:rsidRPr="008556CC">
        <w:rPr>
          <w:rStyle w:val="Emphasis"/>
        </w:rPr>
        <w:t>Transmission Revised Revenue Proposal</w:t>
      </w:r>
      <w:r>
        <w:t xml:space="preserve">, 21 September 2016, p150; Please see any one of: </w:t>
      </w:r>
      <w:r w:rsidRPr="008556CC">
        <w:rPr>
          <w:rStyle w:val="Emphasis"/>
        </w:rPr>
        <w:t>AER Final decision for Australian Gas Networks Access Arrangement</w:t>
      </w:r>
      <w:r>
        <w:t xml:space="preserve">, </w:t>
      </w:r>
      <w:r w:rsidRPr="008556CC">
        <w:rPr>
          <w:rStyle w:val="Emphasis"/>
        </w:rPr>
        <w:t>AER's CitiPower distribution Determination</w:t>
      </w:r>
      <w:r>
        <w:t xml:space="preserve"> or AER </w:t>
      </w:r>
      <w:r w:rsidRPr="008556CC">
        <w:rPr>
          <w:rStyle w:val="Emphasis"/>
        </w:rPr>
        <w:t>Jemena distribution determination</w:t>
      </w:r>
      <w:r>
        <w:t xml:space="preserve"> all in May 2016 for examples of where this material and argument has been considered before</w:t>
      </w:r>
    </w:p>
  </w:footnote>
  <w:footnote w:id="475">
    <w:p w:rsidR="00E636A0" w:rsidRDefault="00E636A0" w:rsidP="006A3314">
      <w:pPr>
        <w:pStyle w:val="FootnoteText"/>
      </w:pPr>
      <w:r>
        <w:rPr>
          <w:rStyle w:val="FootnoteReference"/>
        </w:rPr>
        <w:footnoteRef/>
      </w:r>
      <w:r>
        <w:t xml:space="preserve"> </w:t>
      </w:r>
      <w:r>
        <w:tab/>
        <w:t>Frontier,</w:t>
      </w:r>
      <w:r>
        <w:rPr>
          <w:rStyle w:val="AERtextitalic"/>
        </w:rPr>
        <w:t xml:space="preserve"> T</w:t>
      </w:r>
      <w:r w:rsidRPr="00A01314">
        <w:rPr>
          <w:rStyle w:val="AERtextitalic"/>
        </w:rPr>
        <w:t>he market risk premium</w:t>
      </w:r>
      <w:r w:rsidRPr="00A01314">
        <w:t xml:space="preserve">, </w:t>
      </w:r>
      <w:r>
        <w:t xml:space="preserve">September 2016, p. 44; AusNet Services, </w:t>
      </w:r>
      <w:r w:rsidRPr="008556CC">
        <w:rPr>
          <w:rStyle w:val="Emphasis"/>
        </w:rPr>
        <w:t>Transmission Revised Revenue Proposal</w:t>
      </w:r>
      <w:r>
        <w:t>, 21 September 2016, p.154; Please see any one of: AER Final decision for Australian Gas Networks Access Arrangement, CitiPower distribution Determination and Jemena distribution determination all in May 2016 for examples of where this material and argument has been considered before</w:t>
      </w:r>
    </w:p>
  </w:footnote>
  <w:footnote w:id="476">
    <w:p w:rsidR="00E636A0" w:rsidRDefault="00E636A0">
      <w:pPr>
        <w:pStyle w:val="FootnoteText"/>
      </w:pPr>
      <w:r>
        <w:rPr>
          <w:rStyle w:val="FootnoteReference"/>
        </w:rPr>
        <w:footnoteRef/>
      </w:r>
      <w:r>
        <w:t xml:space="preserve"> </w:t>
      </w:r>
      <w:r>
        <w:tab/>
      </w:r>
      <w:r w:rsidRPr="007902A4">
        <w:t>AER</w:t>
      </w:r>
      <w:r w:rsidRPr="007902A4">
        <w:rPr>
          <w:rStyle w:val="Emphasis"/>
        </w:rPr>
        <w:t>, Final Decision AusNet distribution determination - Attachment 3 - rate of return</w:t>
      </w:r>
      <w:r w:rsidRPr="007902A4">
        <w:t xml:space="preserve">, May 2016, </w:t>
      </w:r>
      <w:r>
        <w:t>p.</w:t>
      </w:r>
      <w:r w:rsidRPr="007902A4">
        <w:t>8</w:t>
      </w:r>
      <w:r>
        <w:t>4</w:t>
      </w:r>
    </w:p>
  </w:footnote>
  <w:footnote w:id="477">
    <w:p w:rsidR="00E636A0" w:rsidRDefault="00E636A0" w:rsidP="00894A39">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41; AusNet, </w:t>
      </w:r>
      <w:r w:rsidRPr="00A164C0">
        <w:rPr>
          <w:rStyle w:val="Emphasis"/>
        </w:rPr>
        <w:t>Service Revenue Proposal Revised - Public</w:t>
      </w:r>
      <w:r>
        <w:t>, Nov 2015, p.217</w:t>
      </w:r>
    </w:p>
  </w:footnote>
  <w:footnote w:id="478">
    <w:p w:rsidR="00E636A0" w:rsidRDefault="00E636A0" w:rsidP="00894A39">
      <w:pPr>
        <w:pStyle w:val="FootnoteText"/>
      </w:pPr>
      <w:r>
        <w:rPr>
          <w:rStyle w:val="FootnoteReference"/>
        </w:rPr>
        <w:footnoteRef/>
      </w:r>
      <w:r>
        <w:t xml:space="preserve"> </w:t>
      </w:r>
      <w:r>
        <w:tab/>
        <w:t xml:space="preserve">Partington </w:t>
      </w:r>
      <w:r w:rsidRPr="007902A4">
        <w:t>and Satchell,</w:t>
      </w:r>
      <w:r w:rsidRPr="007902A4">
        <w:rPr>
          <w:rStyle w:val="Emphasis"/>
        </w:rPr>
        <w:t xml:space="preserve"> </w:t>
      </w:r>
      <w:r w:rsidRPr="00A164C0">
        <w:rPr>
          <w:rStyle w:val="Emphasis"/>
        </w:rPr>
        <w:t xml:space="preserve">Report to the AER: Discussion of estimates of the return on equity, </w:t>
      </w:r>
      <w:r>
        <w:t>12 April 2017, p.28</w:t>
      </w:r>
    </w:p>
  </w:footnote>
  <w:footnote w:id="479">
    <w:p w:rsidR="00E636A0" w:rsidRDefault="00E636A0" w:rsidP="00894A39">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-44.</w:t>
      </w:r>
    </w:p>
  </w:footnote>
  <w:footnote w:id="480">
    <w:p w:rsidR="00E636A0" w:rsidRDefault="00E636A0" w:rsidP="00894A39">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44.</w:t>
      </w:r>
    </w:p>
  </w:footnote>
  <w:footnote w:id="481">
    <w:p w:rsidR="00E636A0" w:rsidRDefault="00E636A0" w:rsidP="006A3314">
      <w:pPr>
        <w:pStyle w:val="FootnoteText"/>
      </w:pPr>
      <w:r>
        <w:rPr>
          <w:rStyle w:val="FootnoteReference"/>
        </w:rPr>
        <w:footnoteRef/>
      </w:r>
      <w:r>
        <w:t xml:space="preserve"> </w:t>
      </w:r>
      <w:r>
        <w:tab/>
        <w:t>Or more precisely, a benchmark efficient entity with a similar degree of risk as TasNetworks in respect of the provision of prescribed transmission services.</w:t>
      </w:r>
    </w:p>
  </w:footnote>
  <w:footnote w:id="482">
    <w:p w:rsidR="00E636A0" w:rsidRDefault="00E636A0" w:rsidP="006A3314">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83">
    <w:p w:rsidR="00E636A0" w:rsidRDefault="00E636A0" w:rsidP="00734A68">
      <w:pPr>
        <w:pStyle w:val="FootnoteText"/>
      </w:pPr>
      <w:r>
        <w:rPr>
          <w:rStyle w:val="FootnoteReference"/>
        </w:rPr>
        <w:footnoteRef/>
      </w:r>
      <w:r>
        <w:t xml:space="preserve"> </w:t>
      </w:r>
      <w:r>
        <w:tab/>
        <w:t xml:space="preserve">Frontier Economics, </w:t>
      </w:r>
      <w:r>
        <w:rPr>
          <w:rStyle w:val="AERtextitalic"/>
        </w:rPr>
        <w:t>The market risk premium</w:t>
      </w:r>
      <w:r>
        <w:t>, September 2016, pp.55–59.</w:t>
      </w:r>
    </w:p>
  </w:footnote>
  <w:footnote w:id="484">
    <w:p w:rsidR="00E636A0" w:rsidRDefault="00E636A0" w:rsidP="006A3314">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485">
    <w:p w:rsidR="00E636A0" w:rsidRDefault="00E636A0" w:rsidP="006A3314">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See: NER, cl. 6.5.2(c); NER, cl. 6A.6.2(c); NGR, r.87(3).</w:t>
      </w:r>
    </w:p>
  </w:footnote>
  <w:footnote w:id="486">
    <w:p w:rsidR="00E636A0" w:rsidRDefault="00E636A0" w:rsidP="006A3314">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487">
    <w:p w:rsidR="00E636A0" w:rsidRDefault="00E636A0" w:rsidP="006A3314">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AER</w:t>
      </w:r>
      <w:r w:rsidRPr="00B55FA0">
        <w:rPr>
          <w:rStyle w:val="Emphasis"/>
        </w:rPr>
        <w:t>, Preliminary decision AusNet Services determination 2016 to 2020: Attachment 3–Rate of return</w:t>
      </w:r>
      <w:r w:rsidRPr="00B55FA0">
        <w:t>, October 2015, pp. 268–270</w:t>
      </w:r>
      <w:r>
        <w:t>.</w:t>
      </w:r>
    </w:p>
    <w:p w:rsidR="00E636A0" w:rsidRDefault="00E636A0" w:rsidP="006A3314">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488">
    <w:p w:rsidR="00E636A0" w:rsidRDefault="00E636A0" w:rsidP="006A3314">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489">
    <w:p w:rsidR="00E636A0" w:rsidRDefault="00E636A0" w:rsidP="006A3314">
      <w:pPr>
        <w:pStyle w:val="FootnoteText"/>
      </w:pPr>
      <w:r>
        <w:rPr>
          <w:rStyle w:val="FootnoteReference"/>
        </w:rPr>
        <w:footnoteRef/>
      </w:r>
      <w:r>
        <w:t xml:space="preserve"> </w:t>
      </w:r>
      <w:r>
        <w:tab/>
        <w:t xml:space="preserve">Partington, </w:t>
      </w:r>
      <w:r w:rsidRPr="00B342F3">
        <w:rPr>
          <w:rStyle w:val="AERtextitalic"/>
        </w:rPr>
        <w:t>Report to the AER: Return on equity (</w:t>
      </w:r>
      <w:r>
        <w:rPr>
          <w:rStyle w:val="AERtextitalic"/>
        </w:rPr>
        <w:t>u</w:t>
      </w:r>
      <w:r w:rsidRPr="00B342F3">
        <w:rPr>
          <w:rStyle w:val="AERtextitalic"/>
        </w:rPr>
        <w:t>pdated)</w:t>
      </w:r>
      <w:r>
        <w:t>, April 2015, p. 72.</w:t>
      </w:r>
    </w:p>
  </w:footnote>
  <w:footnote w:id="490">
    <w:p w:rsidR="00E636A0" w:rsidRDefault="00E636A0" w:rsidP="006A3314">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 xml:space="preserve">Return on equity (updated), </w:t>
      </w:r>
      <w:r w:rsidRPr="00BF02BD">
        <w:t>April 2015</w:t>
      </w:r>
      <w:r>
        <w:t>, p. 72.</w:t>
      </w:r>
    </w:p>
  </w:footnote>
  <w:footnote w:id="491">
    <w:p w:rsidR="00E636A0" w:rsidRDefault="00E636A0" w:rsidP="006A3314">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492">
    <w:p w:rsidR="00E636A0" w:rsidRDefault="00E636A0" w:rsidP="00894A39">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493">
    <w:p w:rsidR="00E636A0" w:rsidRDefault="00E636A0" w:rsidP="00894A39">
      <w:pPr>
        <w:pStyle w:val="FootnoteText"/>
      </w:pPr>
      <w:r>
        <w:rPr>
          <w:rStyle w:val="FootnoteReference"/>
        </w:rPr>
        <w:footnoteRef/>
      </w:r>
      <w:r>
        <w:t xml:space="preserve"> </w:t>
      </w:r>
      <w:r>
        <w:tab/>
        <w:t xml:space="preserve">Partington </w:t>
      </w:r>
      <w:r w:rsidRPr="007902A4">
        <w:t>and Satchell,</w:t>
      </w:r>
      <w:r w:rsidRPr="007902A4">
        <w:rPr>
          <w:rStyle w:val="Emphasis"/>
        </w:rPr>
        <w:t xml:space="preserve"> </w:t>
      </w:r>
      <w:r w:rsidRPr="00A164C0">
        <w:rPr>
          <w:rStyle w:val="Emphasis"/>
        </w:rPr>
        <w:t xml:space="preserve">Report to the AER: Discussion of estimates of the return on equity, </w:t>
      </w:r>
      <w:r>
        <w:t>12 April 2017, p.34</w:t>
      </w:r>
    </w:p>
  </w:footnote>
  <w:footnote w:id="494">
    <w:p w:rsidR="00E636A0" w:rsidRDefault="00E636A0" w:rsidP="00894A39">
      <w:pPr>
        <w:pStyle w:val="FootnoteText"/>
      </w:pPr>
      <w:r>
        <w:rPr>
          <w:rStyle w:val="FootnoteReference"/>
        </w:rPr>
        <w:footnoteRef/>
      </w:r>
      <w:r>
        <w:t xml:space="preserve"> </w:t>
      </w:r>
      <w:r>
        <w:tab/>
        <w:t xml:space="preserve">Partington </w:t>
      </w:r>
      <w:r w:rsidRPr="007902A4">
        <w:t>and Satchell,</w:t>
      </w:r>
      <w:r w:rsidRPr="007902A4">
        <w:rPr>
          <w:rStyle w:val="Emphasis"/>
        </w:rPr>
        <w:t xml:space="preserve"> </w:t>
      </w:r>
      <w:r w:rsidRPr="00A164C0">
        <w:rPr>
          <w:rStyle w:val="Emphasis"/>
        </w:rPr>
        <w:t xml:space="preserve">Report to the AER: Discussion of estimates of the return on equity, </w:t>
      </w:r>
      <w:r>
        <w:t>12 April 2017, pp.17-18.</w:t>
      </w:r>
    </w:p>
  </w:footnote>
  <w:footnote w:id="495">
    <w:p w:rsidR="00E636A0" w:rsidRDefault="00E636A0" w:rsidP="00894A39">
      <w:pPr>
        <w:pStyle w:val="FootnoteText"/>
      </w:pPr>
      <w:r>
        <w:rPr>
          <w:rStyle w:val="FootnoteReference"/>
        </w:rPr>
        <w:footnoteRef/>
      </w:r>
      <w:r>
        <w:t xml:space="preserve"> </w:t>
      </w:r>
      <w:r>
        <w:tab/>
        <w:t xml:space="preserve">Frontier Economics, </w:t>
      </w:r>
      <w:r w:rsidRPr="008556CC">
        <w:rPr>
          <w:rStyle w:val="Emphasis"/>
        </w:rPr>
        <w:t>The market risk premium</w:t>
      </w:r>
      <w:r>
        <w:t>, September 2016, p. 47–54.</w:t>
      </w:r>
    </w:p>
  </w:footnote>
  <w:footnote w:id="496">
    <w:p w:rsidR="00E636A0" w:rsidRDefault="00E636A0" w:rsidP="00894A39">
      <w:pPr>
        <w:pStyle w:val="FootnoteText"/>
      </w:pPr>
      <w:r>
        <w:rPr>
          <w:rStyle w:val="FootnoteReference"/>
        </w:rPr>
        <w:footnoteRef/>
      </w:r>
      <w:r>
        <w:t xml:space="preserve"> </w:t>
      </w:r>
      <w:r>
        <w:tab/>
        <w:t xml:space="preserve">Duarte and Rosa, </w:t>
      </w:r>
      <w:r w:rsidRPr="008556CC">
        <w:rPr>
          <w:rStyle w:val="Emphasis"/>
        </w:rPr>
        <w:t>The Equity Risk Premium: A review of Models</w:t>
      </w:r>
      <w:r>
        <w:t>, February 2015</w:t>
      </w:r>
    </w:p>
  </w:footnote>
  <w:footnote w:id="497">
    <w:p w:rsidR="00E636A0" w:rsidRDefault="00E636A0" w:rsidP="00894A39">
      <w:pPr>
        <w:pStyle w:val="FootnoteText"/>
      </w:pPr>
      <w:r>
        <w:rPr>
          <w:rStyle w:val="FootnoteReference"/>
        </w:rPr>
        <w:footnoteRef/>
      </w:r>
      <w:r>
        <w:t xml:space="preserve"> </w:t>
      </w:r>
      <w:r>
        <w:tab/>
        <w:t xml:space="preserve">Strunk, </w:t>
      </w:r>
      <w:r w:rsidRPr="008556CC">
        <w:rPr>
          <w:rStyle w:val="Emphasis"/>
        </w:rPr>
        <w:t>The Decoupling of Treasury Yields and the Cost of Equity for Public Utilities</w:t>
      </w:r>
      <w:r>
        <w:t>, 2014</w:t>
      </w:r>
    </w:p>
  </w:footnote>
  <w:footnote w:id="498">
    <w:p w:rsidR="00E636A0" w:rsidRDefault="00E636A0" w:rsidP="00894A39">
      <w:pPr>
        <w:pStyle w:val="FootnoteText"/>
      </w:pPr>
      <w:r>
        <w:rPr>
          <w:rStyle w:val="FootnoteReference"/>
        </w:rPr>
        <w:footnoteRef/>
      </w:r>
      <w:r>
        <w:t xml:space="preserve"> </w:t>
      </w:r>
      <w:r>
        <w:tab/>
        <w:t>Partington</w:t>
      </w:r>
      <w:r w:rsidRPr="00FA22CC">
        <w:t xml:space="preserve"> and Satchell,</w:t>
      </w:r>
      <w:r w:rsidRPr="00FA22CC">
        <w:rPr>
          <w:rStyle w:val="Emphasis"/>
        </w:rPr>
        <w:t xml:space="preserve"> </w:t>
      </w:r>
      <w:r w:rsidRPr="00A164C0">
        <w:rPr>
          <w:rStyle w:val="Emphasis"/>
        </w:rPr>
        <w:t xml:space="preserve">Report to the AER: Discussion of estimates of the return on equity, </w:t>
      </w:r>
      <w:r>
        <w:t>12 April 2017, p. 28.</w:t>
      </w:r>
    </w:p>
  </w:footnote>
  <w:footnote w:id="499">
    <w:p w:rsidR="00E636A0" w:rsidRDefault="00E636A0" w:rsidP="00894A39">
      <w:pPr>
        <w:pStyle w:val="FootnoteText"/>
      </w:pPr>
      <w:r>
        <w:rPr>
          <w:rStyle w:val="FootnoteReference"/>
        </w:rPr>
        <w:footnoteRef/>
      </w:r>
      <w:r>
        <w:t xml:space="preserve"> </w:t>
      </w:r>
      <w:r>
        <w:tab/>
        <w:t>The FERC effectively uses a dividend model to estimate a range for the required return on equity and then selects a point estimate based on movement in the government bond yields</w:t>
      </w:r>
    </w:p>
  </w:footnote>
  <w:footnote w:id="500">
    <w:p w:rsidR="00E636A0" w:rsidRDefault="00E636A0" w:rsidP="00894A39">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501">
    <w:p w:rsidR="00E636A0" w:rsidRDefault="00E636A0" w:rsidP="00894A39">
      <w:pPr>
        <w:pStyle w:val="FootnoteText"/>
      </w:pPr>
      <w:r>
        <w:rPr>
          <w:rStyle w:val="FootnoteReference"/>
        </w:rPr>
        <w:footnoteRef/>
      </w:r>
      <w:r>
        <w:t xml:space="preserve"> </w:t>
      </w:r>
      <w:r>
        <w:tab/>
        <w:t xml:space="preserve">FERC, </w:t>
      </w:r>
      <w:r w:rsidRPr="00A164C0">
        <w:rPr>
          <w:rStyle w:val="Emphasis"/>
        </w:rPr>
        <w:t>Docket No.EL11-66-001</w:t>
      </w:r>
      <w:r>
        <w:t>, June 2014 Paragraph 7 then page 13-43.</w:t>
      </w:r>
    </w:p>
    <w:p w:rsidR="00E636A0" w:rsidRDefault="00E636A0" w:rsidP="00894A39">
      <w:pPr>
        <w:pStyle w:val="FootnoteText"/>
      </w:pPr>
      <w:r>
        <w:tab/>
        <w:t xml:space="preserve">FERC, </w:t>
      </w:r>
      <w:r w:rsidRPr="00A164C0">
        <w:rPr>
          <w:rStyle w:val="Emphasis"/>
        </w:rPr>
        <w:t>Meeting Slides on Return on Equity</w:t>
      </w:r>
      <w:r>
        <w:t xml:space="preserve">, June 19 2014, </w:t>
      </w:r>
      <w:r w:rsidRPr="00D329A2">
        <w:t>https://www.ferc.gov/industries/electric/indus-act/oatt-reform/e-7-presentation.pdf</w:t>
      </w:r>
    </w:p>
  </w:footnote>
  <w:footnote w:id="502">
    <w:p w:rsidR="00E636A0" w:rsidRDefault="00E636A0" w:rsidP="00894A39">
      <w:pPr>
        <w:pStyle w:val="FootnoteText"/>
      </w:pPr>
      <w:r>
        <w:rPr>
          <w:rStyle w:val="FootnoteReference"/>
        </w:rPr>
        <w:footnoteRef/>
      </w:r>
      <w:r>
        <w:t xml:space="preserve"> </w:t>
      </w:r>
      <w:r>
        <w:tab/>
        <w:t xml:space="preserve">FERC, </w:t>
      </w:r>
      <w:r w:rsidRPr="007E6349">
        <w:t>Docket No. EL13-48-001</w:t>
      </w:r>
      <w:r>
        <w:t>, February 2016</w:t>
      </w:r>
    </w:p>
  </w:footnote>
  <w:footnote w:id="503">
    <w:p w:rsidR="00E636A0" w:rsidRDefault="00E636A0" w:rsidP="005E6E22">
      <w:pPr>
        <w:pStyle w:val="FootnoteText"/>
      </w:pPr>
      <w:r>
        <w:rPr>
          <w:rStyle w:val="FootnoteReference"/>
        </w:rPr>
        <w:footnoteRef/>
      </w:r>
      <w:r>
        <w:t xml:space="preserve"> </w:t>
      </w:r>
      <w:r>
        <w:tab/>
      </w:r>
      <w:r w:rsidRPr="006566E4">
        <w:t>Partington and Satchell,</w:t>
      </w:r>
      <w:r w:rsidRPr="006566E4">
        <w:rPr>
          <w:rStyle w:val="Emphasis"/>
        </w:rPr>
        <w:t xml:space="preserve"> </w:t>
      </w:r>
      <w:r w:rsidRPr="00A164C0">
        <w:rPr>
          <w:rStyle w:val="Emphasis"/>
        </w:rPr>
        <w:t xml:space="preserve">Report to the AER: Discussion of estimates of the return on equity, </w:t>
      </w:r>
      <w:r>
        <w:t>12 April 2017</w:t>
      </w:r>
      <w:r w:rsidRPr="006566E4">
        <w:t>, p</w:t>
      </w:r>
      <w:r>
        <w:t>p</w:t>
      </w:r>
      <w:r w:rsidRPr="006566E4">
        <w:t xml:space="preserve">. </w:t>
      </w:r>
      <w:r>
        <w:t>17–18</w:t>
      </w:r>
      <w:r w:rsidRPr="006566E4">
        <w:t>.</w:t>
      </w:r>
    </w:p>
  </w:footnote>
  <w:footnote w:id="504">
    <w:p w:rsidR="00E636A0" w:rsidRDefault="00E636A0" w:rsidP="006A3314">
      <w:pPr>
        <w:pStyle w:val="FootnoteText"/>
      </w:pPr>
      <w:r>
        <w:rPr>
          <w:rStyle w:val="FootnoteReference"/>
        </w:rPr>
        <w:footnoteRef/>
      </w:r>
      <w:r>
        <w:t xml:space="preserve"> </w:t>
      </w:r>
      <w:r>
        <w:tab/>
        <w:t xml:space="preserve">For example, see </w:t>
      </w:r>
      <w:r w:rsidRPr="00C36099">
        <w:t>AER</w:t>
      </w:r>
      <w:r w:rsidRPr="00C36099">
        <w:rPr>
          <w:rStyle w:val="Emphasis"/>
        </w:rPr>
        <w:t>, Preliminary decision AusNet Services determination 2016 to 2020: Attachment 3–Rate of return</w:t>
      </w:r>
      <w:r w:rsidRPr="00C36099">
        <w:t>, October 2015, pp. 269–271.</w:t>
      </w:r>
    </w:p>
  </w:footnote>
  <w:footnote w:id="505">
    <w:p w:rsidR="00E636A0" w:rsidRDefault="00E636A0" w:rsidP="00894A3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pp147-154; </w:t>
      </w:r>
    </w:p>
  </w:footnote>
  <w:footnote w:id="506">
    <w:p w:rsidR="00E636A0" w:rsidRDefault="00E636A0" w:rsidP="00894A39">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xml:space="preserve">, January 2016, pp. 21–25; Frontier Economics, </w:t>
      </w:r>
      <w:r w:rsidRPr="00A164C0">
        <w:rPr>
          <w:rStyle w:val="Emphasis"/>
        </w:rPr>
        <w:t>The market risk premium</w:t>
      </w:r>
      <w:r>
        <w:t xml:space="preserve">, September 2016, pp. 46–54. </w:t>
      </w:r>
    </w:p>
  </w:footnote>
  <w:footnote w:id="507">
    <w:p w:rsidR="00E636A0" w:rsidRDefault="00E636A0" w:rsidP="00894A39">
      <w:pPr>
        <w:pStyle w:val="FootnoteText"/>
      </w:pPr>
      <w:r>
        <w:rPr>
          <w:rStyle w:val="FootnoteReference"/>
        </w:rPr>
        <w:footnoteRef/>
      </w:r>
      <w:r>
        <w:t xml:space="preserve"> </w:t>
      </w:r>
      <w:r>
        <w:tab/>
        <w:t>A 2015 report from the Federal Reserve Bank authored by Duarte and Rosa, a speech from Glenn Stevens of the RBA in April 2015, A report for NERA titled "</w:t>
      </w:r>
      <w:r w:rsidRPr="00A164C0">
        <w:rPr>
          <w:rStyle w:val="Emphasis"/>
        </w:rPr>
        <w:t>The decoupling of treasury yields and the cost of equity for public utilities</w:t>
      </w:r>
      <w:r>
        <w:t xml:space="preserve">" by Strunk (2014) </w:t>
      </w:r>
    </w:p>
  </w:footnote>
  <w:footnote w:id="508">
    <w:p w:rsidR="00E636A0" w:rsidRDefault="00E636A0" w:rsidP="00894A39">
      <w:pPr>
        <w:pStyle w:val="FootnoteText"/>
      </w:pPr>
      <w:r>
        <w:rPr>
          <w:rStyle w:val="FootnoteReference"/>
        </w:rPr>
        <w:footnoteRef/>
      </w:r>
      <w:r>
        <w:t xml:space="preserve"> </w:t>
      </w:r>
      <w:r>
        <w:tab/>
        <w:t>A 2014 decision by the Federal Energy Regulatory Commission (FERC) in the United States.</w:t>
      </w:r>
      <w:r w:rsidRPr="006E620F">
        <w:t xml:space="preserve"> FERC, </w:t>
      </w:r>
      <w:r w:rsidRPr="00A164C0">
        <w:rPr>
          <w:rStyle w:val="Emphasis"/>
        </w:rPr>
        <w:t>Docket No. ER14-500-000</w:t>
      </w:r>
      <w:r w:rsidRPr="006E620F">
        <w:t>, June 2014, pp. 71</w:t>
      </w:r>
      <w:r>
        <w:t xml:space="preserve">; ERA Decisions </w:t>
      </w:r>
      <w:r w:rsidRPr="00A164C0">
        <w:rPr>
          <w:rStyle w:val="Emphasis"/>
        </w:rPr>
        <w:t>ATCO Gas Final decision</w:t>
      </w:r>
      <w:r>
        <w:t xml:space="preserve"> June 2015 and </w:t>
      </w:r>
      <w:r w:rsidRPr="00A164C0">
        <w:rPr>
          <w:rStyle w:val="Emphasis"/>
        </w:rPr>
        <w:t xml:space="preserve">DBP Final Decision </w:t>
      </w:r>
      <w:r>
        <w:t xml:space="preserve">June 2016; IPART, Semi-annual WACC update, February 2016, ESC Golburn Murray Water Draft Determination, February 2016; ESCOSA, </w:t>
      </w:r>
      <w:r w:rsidRPr="00A164C0">
        <w:rPr>
          <w:rStyle w:val="Emphasis"/>
        </w:rPr>
        <w:t>SA Water Final determination</w:t>
      </w:r>
      <w:r>
        <w:t xml:space="preserve"> June 2016; QCA, </w:t>
      </w:r>
      <w:r w:rsidRPr="00A164C0">
        <w:rPr>
          <w:rStyle w:val="Emphasis"/>
        </w:rPr>
        <w:t>DBCT Draft Decision</w:t>
      </w:r>
      <w:r>
        <w:t xml:space="preserve">, June 2016; Ofgem (UK), </w:t>
      </w:r>
      <w:r w:rsidRPr="00A164C0">
        <w:rPr>
          <w:rStyle w:val="Emphasis"/>
        </w:rPr>
        <w:t>RIIO-ED1</w:t>
      </w:r>
      <w:r>
        <w:t xml:space="preserve">, November 2014; FERC (US), </w:t>
      </w:r>
      <w:r w:rsidRPr="00A164C0">
        <w:rPr>
          <w:rStyle w:val="Emphasis"/>
        </w:rPr>
        <w:t>Baltimore Gas et al</w:t>
      </w:r>
      <w:r>
        <w:t>, February 2016.</w:t>
      </w:r>
    </w:p>
  </w:footnote>
  <w:footnote w:id="509">
    <w:p w:rsidR="00E636A0" w:rsidRDefault="00E636A0"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30–31,65-73 see AER, Jemena distribution determination 2016-2020: Rate of Return Attachment, May 2016 p.60 where this was considered previously</w:t>
      </w:r>
    </w:p>
  </w:footnote>
  <w:footnote w:id="510">
    <w:p w:rsidR="00E636A0" w:rsidRDefault="00E636A0"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 see AER, Jemena distribution determination 2016-2020:</w:t>
      </w:r>
      <w:r w:rsidRPr="00560539">
        <w:t xml:space="preserve"> </w:t>
      </w:r>
      <w:r>
        <w:t>Rate of Return Attachment, May 2016 p.88 where this was considered previously</w:t>
      </w:r>
    </w:p>
  </w:footnote>
  <w:footnote w:id="511">
    <w:p w:rsidR="00E636A0" w:rsidRDefault="00E636A0" w:rsidP="00894A39">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512">
    <w:p w:rsidR="00E636A0" w:rsidRDefault="00E636A0" w:rsidP="00894A39">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513">
    <w:p w:rsidR="00E636A0" w:rsidRDefault="00E636A0" w:rsidP="00894A39">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514">
    <w:p w:rsidR="00E636A0" w:rsidRDefault="00E636A0" w:rsidP="00894A39">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515">
    <w:p w:rsidR="00E636A0" w:rsidRDefault="00E636A0" w:rsidP="00894A39">
      <w:pPr>
        <w:pStyle w:val="FootnoteText"/>
      </w:pPr>
      <w:r>
        <w:rPr>
          <w:rStyle w:val="FootnoteReference"/>
        </w:rPr>
        <w:footnoteRef/>
      </w:r>
      <w:r>
        <w:t xml:space="preserve"> </w:t>
      </w:r>
      <w:r>
        <w:tab/>
        <w:t>Partington &amp; Satchell,</w:t>
      </w:r>
      <w:r w:rsidRPr="00740003">
        <w:rPr>
          <w:rStyle w:val="Emphasis"/>
        </w:rPr>
        <w:t xml:space="preserve"> Report to the AER: Cost of equity issues–Final decisions for the VIC DNSPs</w:t>
      </w:r>
      <w:r w:rsidRPr="00740003">
        <w:t>, April 2016,</w:t>
      </w:r>
      <w:r>
        <w:t xml:space="preserve"> , P31-32;</w:t>
      </w:r>
      <w:r w:rsidRPr="00740003">
        <w:t xml:space="preserve"> Partington, </w:t>
      </w:r>
      <w:r w:rsidRPr="00740003">
        <w:rPr>
          <w:rStyle w:val="AERtextitalic"/>
        </w:rPr>
        <w:t xml:space="preserve">Report to the AER: Return on equity (updated), </w:t>
      </w:r>
      <w:r w:rsidRPr="00740003">
        <w:t>April 2015</w:t>
      </w:r>
      <w:r>
        <w:t>, p.32</w:t>
      </w:r>
    </w:p>
    <w:p w:rsidR="00E636A0" w:rsidRDefault="00E636A0" w:rsidP="00894A39">
      <w:pPr>
        <w:pStyle w:val="FootnoteText"/>
      </w:pPr>
      <w:r>
        <w:tab/>
        <w:t>See P325 of the AER's decision on SAPN from October 2015 (Attachment 3) for further references</w:t>
      </w:r>
    </w:p>
  </w:footnote>
  <w:footnote w:id="516">
    <w:p w:rsidR="00E636A0" w:rsidRDefault="00E636A0" w:rsidP="00894A39">
      <w:pPr>
        <w:pStyle w:val="FootnoteText"/>
      </w:pPr>
      <w:r>
        <w:rPr>
          <w:rStyle w:val="FootnoteReference"/>
        </w:rPr>
        <w:footnoteRef/>
      </w:r>
      <w:r>
        <w:t xml:space="preserve"> </w:t>
      </w:r>
      <w:r>
        <w:tab/>
        <w:t>Partington</w:t>
      </w:r>
      <w:r w:rsidRPr="00FA22CC">
        <w:t xml:space="preserve"> and Satchell,</w:t>
      </w:r>
      <w:r w:rsidRPr="00FA22CC">
        <w:rPr>
          <w:rStyle w:val="Emphasis"/>
        </w:rPr>
        <w:t xml:space="preserve"> </w:t>
      </w:r>
      <w:r w:rsidRPr="00A164C0">
        <w:rPr>
          <w:rStyle w:val="Emphasis"/>
        </w:rPr>
        <w:t xml:space="preserve">Report to the AER: Discussion of estimates of the return on equity, </w:t>
      </w:r>
      <w:r>
        <w:t>12 April 2017, p. 32.</w:t>
      </w:r>
    </w:p>
  </w:footnote>
  <w:footnote w:id="517">
    <w:p w:rsidR="00E636A0" w:rsidRDefault="00E636A0" w:rsidP="00894A3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142</w:t>
      </w:r>
    </w:p>
  </w:footnote>
  <w:footnote w:id="518">
    <w:p w:rsidR="00E636A0" w:rsidRDefault="00E636A0" w:rsidP="00894A39">
      <w:pPr>
        <w:pStyle w:val="FootnoteText"/>
      </w:pPr>
      <w:r>
        <w:rPr>
          <w:rStyle w:val="FootnoteReference"/>
        </w:rPr>
        <w:footnoteRef/>
      </w:r>
      <w:r>
        <w:t xml:space="preserve"> </w:t>
      </w:r>
      <w:r>
        <w:tab/>
        <w:t xml:space="preserve">Frontier, </w:t>
      </w:r>
      <w:r>
        <w:rPr>
          <w:i/>
        </w:rPr>
        <w:t xml:space="preserve">The Market Risk Premium, </w:t>
      </w:r>
      <w:r>
        <w:t>September 2016, pp. 31.</w:t>
      </w:r>
    </w:p>
  </w:footnote>
  <w:footnote w:id="519">
    <w:p w:rsidR="00E636A0" w:rsidRDefault="00E636A0" w:rsidP="00894A39">
      <w:pPr>
        <w:pStyle w:val="FootnoteText"/>
      </w:pPr>
      <w:r>
        <w:rPr>
          <w:rStyle w:val="FootnoteReference"/>
        </w:rPr>
        <w:footnoteRef/>
      </w:r>
      <w:r>
        <w:t xml:space="preserve"> </w:t>
      </w:r>
      <w:r>
        <w:tab/>
        <w:t xml:space="preserve">Frontier, </w:t>
      </w:r>
      <w:r>
        <w:rPr>
          <w:rStyle w:val="Emphasis"/>
        </w:rPr>
        <w:t>The relationship between government bond yields and the market risk premium</w:t>
      </w:r>
      <w:r>
        <w:t>, January 2016, p. 13.</w:t>
      </w:r>
    </w:p>
  </w:footnote>
  <w:footnote w:id="520">
    <w:p w:rsidR="00E636A0" w:rsidRDefault="00E636A0" w:rsidP="00894A39">
      <w:pPr>
        <w:pStyle w:val="FootnoteText"/>
      </w:pPr>
      <w:r>
        <w:rPr>
          <w:rStyle w:val="FootnoteReference"/>
        </w:rPr>
        <w:footnoteRef/>
      </w:r>
      <w:r>
        <w:t xml:space="preserve">  </w:t>
      </w:r>
      <w:r>
        <w:tab/>
        <w:t xml:space="preserve">Frontier, </w:t>
      </w:r>
      <w:r>
        <w:rPr>
          <w:i/>
        </w:rPr>
        <w:t xml:space="preserve">The Market Risk Premium, </w:t>
      </w:r>
      <w:r>
        <w:t>September 2016, pp. 31–34.</w:t>
      </w:r>
    </w:p>
  </w:footnote>
  <w:footnote w:id="521">
    <w:p w:rsidR="00E636A0" w:rsidRDefault="00E636A0">
      <w:pPr>
        <w:pStyle w:val="FootnoteText"/>
      </w:pPr>
      <w:r>
        <w:rPr>
          <w:rStyle w:val="FootnoteReference"/>
        </w:rPr>
        <w:footnoteRef/>
      </w:r>
      <w:r>
        <w:t xml:space="preserve"> </w:t>
      </w:r>
      <w:r>
        <w:tab/>
      </w:r>
      <w:r w:rsidRPr="00D6679E">
        <w:t xml:space="preserve">Lally found the standard deviation of average real market returns is 1.5 per cent. The standard deviation for the average real government bond yield is 1.4 per cent. For the estimate MRP time series, it is 0.9 per cent. These standard deviations imply the average real market return is considerably more volatile than that for the estimated MRP. Lally, Review of the AER’s methodology, March 2013, pp. 12–16. </w:t>
      </w:r>
      <w:r>
        <w:t xml:space="preserve"> </w:t>
      </w:r>
    </w:p>
  </w:footnote>
  <w:footnote w:id="522">
    <w:p w:rsidR="00E636A0" w:rsidRDefault="00E636A0"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p.28</w:t>
      </w:r>
    </w:p>
  </w:footnote>
  <w:footnote w:id="523">
    <w:p w:rsidR="00E636A0" w:rsidRDefault="00E636A0" w:rsidP="00894A39">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524">
    <w:p w:rsidR="00E636A0" w:rsidRDefault="00E636A0"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xml:space="preserve">, September 2016, pp. 46–47. </w:t>
      </w:r>
    </w:p>
  </w:footnote>
  <w:footnote w:id="525">
    <w:p w:rsidR="00E636A0" w:rsidRDefault="00E636A0"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47-50</w:t>
      </w:r>
    </w:p>
  </w:footnote>
  <w:footnote w:id="526">
    <w:p w:rsidR="00E636A0" w:rsidRDefault="00E636A0" w:rsidP="00894A39">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 Deloitte, CFO Survey: Beyond the clouds, Q3 2014, P19 Chart 17: Frequency of hurdle rate updates</w:t>
      </w:r>
    </w:p>
  </w:footnote>
  <w:footnote w:id="527">
    <w:p w:rsidR="00E636A0" w:rsidRDefault="00E636A0" w:rsidP="00894A39">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528">
    <w:p w:rsidR="00E636A0" w:rsidRDefault="00E636A0" w:rsidP="00894A39">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29">
    <w:p w:rsidR="00E636A0" w:rsidRDefault="00E636A0" w:rsidP="00894A39">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530">
    <w:p w:rsidR="00E636A0" w:rsidRDefault="00E636A0" w:rsidP="00894A39">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31">
    <w:p w:rsidR="00E636A0" w:rsidRDefault="00E636A0" w:rsidP="00894A39">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532">
    <w:p w:rsidR="00E636A0" w:rsidRDefault="00E636A0" w:rsidP="00894A39">
      <w:pPr>
        <w:pStyle w:val="FootnoteText"/>
      </w:pPr>
      <w:r>
        <w:rPr>
          <w:rStyle w:val="FootnoteReference"/>
        </w:rPr>
        <w:footnoteRef/>
      </w:r>
      <w:r>
        <w:t xml:space="preserve"> </w:t>
      </w:r>
      <w:r>
        <w:tab/>
        <w:t xml:space="preserve">See section C.7.2 of Attachment 3 to our preliminary decision for </w:t>
      </w:r>
      <w:r w:rsidRPr="00897F23">
        <w:t>AusNet Services</w:t>
      </w:r>
      <w:r>
        <w:t>' 2016-20 distribution determination.</w:t>
      </w:r>
    </w:p>
  </w:footnote>
  <w:footnote w:id="533">
    <w:p w:rsidR="00E636A0" w:rsidRDefault="00E636A0" w:rsidP="00894A39">
      <w:pPr>
        <w:pStyle w:val="FootnoteText"/>
      </w:pPr>
      <w:r>
        <w:rPr>
          <w:rStyle w:val="FootnoteReference"/>
        </w:rPr>
        <w:footnoteRef/>
      </w:r>
      <w:r>
        <w:t xml:space="preserve"> </w:t>
      </w:r>
      <w:r>
        <w:tab/>
        <w:t>Assuming rational, well-functioning markets.</w:t>
      </w:r>
    </w:p>
  </w:footnote>
  <w:footnote w:id="534">
    <w:p w:rsidR="00E636A0" w:rsidRDefault="00E636A0" w:rsidP="00894A39">
      <w:pPr>
        <w:pStyle w:val="FootnoteText"/>
      </w:pPr>
      <w:r>
        <w:rPr>
          <w:rStyle w:val="FootnoteReference"/>
        </w:rPr>
        <w:footnoteRef/>
      </w:r>
      <w:r>
        <w:t xml:space="preserve"> </w:t>
      </w:r>
      <w:r>
        <w:tab/>
        <w:t xml:space="preserve">Frontier Economics, </w:t>
      </w:r>
      <w:r w:rsidRPr="00074148">
        <w:rPr>
          <w:rStyle w:val="Emphasis"/>
        </w:rPr>
        <w:t>The market risk premium</w:t>
      </w:r>
      <w:r>
        <w:t xml:space="preserve">, September 2016, p. 48-49; Frontier Economics, </w:t>
      </w:r>
      <w:r w:rsidRPr="00965F4A">
        <w:rPr>
          <w:rStyle w:val="Emphasis"/>
        </w:rPr>
        <w:t>The relationship between government bond yields and the market risk premium</w:t>
      </w:r>
      <w:r>
        <w:t>, January 2016 ,P21-23</w:t>
      </w:r>
    </w:p>
  </w:footnote>
  <w:footnote w:id="535">
    <w:p w:rsidR="00E636A0" w:rsidRDefault="00E636A0" w:rsidP="00894A39">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536">
    <w:p w:rsidR="00E636A0" w:rsidRDefault="00E636A0"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p.20</w:t>
      </w:r>
    </w:p>
  </w:footnote>
  <w:footnote w:id="537">
    <w:p w:rsidR="00E636A0" w:rsidRDefault="00E636A0"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p.20</w:t>
      </w:r>
    </w:p>
  </w:footnote>
  <w:footnote w:id="538">
    <w:p w:rsidR="00E636A0" w:rsidRDefault="00E636A0"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p.21</w:t>
      </w:r>
    </w:p>
  </w:footnote>
  <w:footnote w:id="539">
    <w:p w:rsidR="00E636A0" w:rsidRDefault="00E636A0" w:rsidP="00894A39">
      <w:pPr>
        <w:pStyle w:val="FootnoteText"/>
      </w:pPr>
      <w:r>
        <w:rPr>
          <w:rStyle w:val="FootnoteReference"/>
        </w:rPr>
        <w:footnoteRef/>
      </w:r>
      <w:r>
        <w:t xml:space="preserve"> </w:t>
      </w:r>
      <w:r>
        <w:tab/>
        <w:t xml:space="preserve"> AusNet Services, </w:t>
      </w:r>
      <w:r>
        <w:rPr>
          <w:rStyle w:val="Emphasis"/>
        </w:rPr>
        <w:t>AusNet Transmission Group Pty Ltd Transmission revised revenue review</w:t>
      </w:r>
      <w:r w:rsidRPr="00D325AA">
        <w:rPr>
          <w:rStyle w:val="Emphasis"/>
        </w:rPr>
        <w:t xml:space="preserve"> 2017–22</w:t>
      </w:r>
      <w:r>
        <w:t>, 21 September 2016,  p. 154</w:t>
      </w:r>
      <w:r w:rsidRPr="00C36099">
        <w:t>.</w:t>
      </w:r>
    </w:p>
  </w:footnote>
  <w:footnote w:id="540">
    <w:p w:rsidR="00E636A0" w:rsidRDefault="00E636A0" w:rsidP="0056513F">
      <w:pPr>
        <w:pStyle w:val="FootnoteText"/>
      </w:pPr>
      <w:r>
        <w:rPr>
          <w:rStyle w:val="FootnoteReference"/>
        </w:rPr>
        <w:footnoteRef/>
      </w:r>
      <w:r>
        <w:t xml:space="preserve"> </w:t>
      </w:r>
      <w:r>
        <w:tab/>
        <w:t>CCP4 (Hugh Grant),</w:t>
      </w:r>
      <w:r w:rsidRPr="00220907">
        <w:rPr>
          <w:rStyle w:val="Emphasis"/>
        </w:rPr>
        <w:t xml:space="preserve"> Submission on Powerlink draft decision and revised proposal</w:t>
      </w:r>
      <w:r w:rsidRPr="00220907">
        <w:t>, 23 December 2016</w:t>
      </w:r>
      <w:r>
        <w:t xml:space="preserve">, pp. 46–47; and </w:t>
      </w:r>
      <w:r w:rsidRPr="00DA5904">
        <w:t xml:space="preserve">CCP (David Headberry), </w:t>
      </w:r>
      <w:r w:rsidRPr="00DA5904">
        <w:rPr>
          <w:rStyle w:val="Emphasis"/>
        </w:rPr>
        <w:t>Response to the AER Draft Decision and Revised Proposal to Powerlink's electricity transmission network for a revenue reset for the 2017-2019 regulatory period</w:t>
      </w:r>
      <w:r w:rsidRPr="00DA5904">
        <w:t>, 19 December 2016, p</w:t>
      </w:r>
      <w:r>
        <w:t>p. 21–25</w:t>
      </w:r>
      <w:r w:rsidRPr="00DA5904">
        <w:t>.</w:t>
      </w:r>
    </w:p>
  </w:footnote>
  <w:footnote w:id="541">
    <w:p w:rsidR="00E636A0" w:rsidRDefault="00E636A0" w:rsidP="0056513F">
      <w:pPr>
        <w:pStyle w:val="FootnoteText"/>
      </w:pPr>
      <w:r>
        <w:rPr>
          <w:rStyle w:val="FootnoteReference"/>
        </w:rPr>
        <w:footnoteRef/>
      </w:r>
      <w:r>
        <w:t xml:space="preserve"> </w:t>
      </w:r>
      <w:r>
        <w:tab/>
        <w:t xml:space="preserve">For example, see CCP Sub-Panel 2 (Bruce Mountain), </w:t>
      </w:r>
      <w:r w:rsidRPr="00CA549A">
        <w:rPr>
          <w:rStyle w:val="AERtextitalic"/>
        </w:rPr>
        <w:t>Submission on the AER’s Preliminary Decisions for Energex, Ergon and South Australia Power Networks</w:t>
      </w:r>
      <w:r>
        <w:t xml:space="preserve">, July 2015, pp. 3–6. CCP Sub-Panel 2 (Hugh Grant), </w:t>
      </w:r>
      <w:r w:rsidRPr="00FE3DE0">
        <w:rPr>
          <w:rStyle w:val="AERtextitalic"/>
        </w:rPr>
        <w:t>Consumer Challenge Panel (CCP2 Panel) Submission AER Preliminary 2015-20 Revenue Determinations Energex and Ergon Energy Revised Revenue Proposals</w:t>
      </w:r>
      <w:r>
        <w:t xml:space="preserve">, September 2015, pp. 11–13. [To the extent, the CCP submissions appear to be suggesting that inflation is double counted under our building block frameworks (WACC and RAB), see Attachment 2 – the regulated asset base].CCP Sub-Panel 3 (David Headberry, Beverley Hughson, David Prins), </w:t>
      </w:r>
      <w:r w:rsidRPr="000605C0">
        <w:rPr>
          <w:rStyle w:val="AERtextitalic"/>
        </w:rPr>
        <w:t>Response to proposals from Victorian electricity distribution network service providers for a revenue reset for the 2016</w:t>
      </w:r>
      <w:r w:rsidRPr="000605C0">
        <w:rPr>
          <w:rStyle w:val="AERtextitalic"/>
          <w:rFonts w:ascii="Cambria Math" w:hAnsi="Cambria Math" w:cs="Cambria Math"/>
        </w:rPr>
        <w:t>‐</w:t>
      </w:r>
      <w:r w:rsidRPr="000605C0">
        <w:rPr>
          <w:rStyle w:val="AERtextitalic"/>
        </w:rPr>
        <w:t>2020 regulatory period</w:t>
      </w:r>
      <w:r>
        <w:t xml:space="preserve">, August 2015, pp. 68–69. Queensland Council of Social Services, </w:t>
      </w:r>
      <w:r w:rsidRPr="00CA549A">
        <w:rPr>
          <w:rStyle w:val="AERtextitalic"/>
        </w:rPr>
        <w:t>Response to Australian Energy Regulator Preliminary Decision for Queensland distributors 2015-2020</w:t>
      </w:r>
      <w:r>
        <w:t xml:space="preserve">, July 2015, p. 20. Queensland Farmers' Federation, </w:t>
      </w:r>
      <w:r w:rsidRPr="00974FED">
        <w:rPr>
          <w:rStyle w:val="AERtextitalic"/>
        </w:rPr>
        <w:t>Submission to Australian Energy Regulator (AER) on the Preliminary Determination for the Ergon Energy and Energex Regulatory Proposals for 2015-2020</w:t>
      </w:r>
      <w:r>
        <w:t xml:space="preserve">, July 2015, pp. 2–3. Total Environment Centre, </w:t>
      </w:r>
      <w:r w:rsidRPr="00974FED">
        <w:rPr>
          <w:rStyle w:val="AERtextitalic"/>
        </w:rPr>
        <w:t>Submission to the AER on the Preliminary Decisions on the QLD DBs' Regulatory Proposals 2015-20</w:t>
      </w:r>
      <w:r>
        <w:t xml:space="preserve">, July 2015, pp. 8–9. Victorian Energy Consumer and User Alliance, </w:t>
      </w:r>
      <w:r w:rsidRPr="00974FED">
        <w:rPr>
          <w:rStyle w:val="AERtextitalic"/>
        </w:rPr>
        <w:t>Submission to the AER: Victorian Distribution Networks' 2016-20 Revenue Proposals</w:t>
      </w:r>
      <w:r>
        <w:t>, July 2015, p. 9.</w:t>
      </w:r>
      <w:r w:rsidRPr="00DA5904">
        <w:t xml:space="preserve"> ResponseAbility (Hugh Grant), </w:t>
      </w:r>
      <w:r w:rsidRPr="00DA5904">
        <w:rPr>
          <w:rStyle w:val="Emphasis"/>
        </w:rPr>
        <w:t>Assets or liabilities? The need to apply fair regulatory values to Australia's electricity networks</w:t>
      </w:r>
      <w:r w:rsidRPr="00DA5904">
        <w:t>, 5 May 2016</w:t>
      </w:r>
      <w:r>
        <w:t xml:space="preserve">. </w:t>
      </w:r>
      <w:r w:rsidRPr="00DA5904">
        <w:t xml:space="preserve">CCP Sub-panel 4 (Hugh Grant and David Headberry), </w:t>
      </w:r>
      <w:r w:rsidRPr="00DA5904">
        <w:rPr>
          <w:rStyle w:val="Emphasis"/>
        </w:rPr>
        <w:t>Submission to the AER, Powerlink Queensland 2018–22 revenue proposal</w:t>
      </w:r>
      <w:r w:rsidRPr="00DA5904">
        <w:t xml:space="preserve">, 20 June 2016. CCP (Hugh Grant), </w:t>
      </w:r>
      <w:r w:rsidRPr="00457A06">
        <w:rPr>
          <w:rStyle w:val="Emphasis"/>
        </w:rPr>
        <w:t>Addressing the RAB/WACC disconnect issues within the current rules</w:t>
      </w:r>
      <w:r w:rsidRPr="00DA5904">
        <w:t xml:space="preserve">, 18 July 2016; and CCP (Hugh Grant), </w:t>
      </w:r>
      <w:r w:rsidRPr="00457A06">
        <w:rPr>
          <w:rStyle w:val="Emphasis"/>
        </w:rPr>
        <w:t>The methodology for the comparison of the electricity networks' return on equity with the returns of ASX 50 companies—in the context of the Powerlink/Telstra comparison</w:t>
      </w:r>
      <w:r w:rsidRPr="00DA5904">
        <w:t>, 26 July 2016</w:t>
      </w:r>
      <w:r>
        <w:t>.</w:t>
      </w:r>
    </w:p>
  </w:footnote>
  <w:footnote w:id="542">
    <w:p w:rsidR="00E636A0" w:rsidRDefault="00E636A0" w:rsidP="0056513F">
      <w:pPr>
        <w:pStyle w:val="FootnoteText"/>
      </w:pPr>
      <w:r>
        <w:rPr>
          <w:rStyle w:val="FootnoteReference"/>
        </w:rPr>
        <w:footnoteRef/>
      </w:r>
      <w:r>
        <w:t xml:space="preserve"> </w:t>
      </w:r>
      <w:r>
        <w:tab/>
      </w:r>
      <w:r w:rsidRPr="001D4868">
        <w:t>For instance: the disaggregation of regulated and unregulated revenue and assets; the absence of market value share prices and asset values; and the absence of historical financial statements where regulated networks were Government owned.</w:t>
      </w:r>
      <w:r>
        <w:t xml:space="preserve"> All these issues are noted in AER</w:t>
      </w:r>
      <w:r w:rsidRPr="001435E8">
        <w:t xml:space="preserve">, </w:t>
      </w:r>
      <w:r w:rsidRPr="001435E8">
        <w:rPr>
          <w:rStyle w:val="Emphasis"/>
        </w:rPr>
        <w:t>Draft decision, Powerlink determination 2017-18 to 2021-22: Attachment 2 − Regulatory asset base</w:t>
      </w:r>
      <w:r w:rsidRPr="001435E8">
        <w:t>, September 2016, Section A.</w:t>
      </w:r>
      <w:r>
        <w:t>2.</w:t>
      </w:r>
    </w:p>
  </w:footnote>
  <w:footnote w:id="543">
    <w:p w:rsidR="00E636A0" w:rsidRDefault="00E636A0" w:rsidP="0056513F">
      <w:pPr>
        <w:pStyle w:val="FootnoteText"/>
      </w:pPr>
      <w:r>
        <w:rPr>
          <w:rStyle w:val="FootnoteReference"/>
        </w:rPr>
        <w:footnoteRef/>
      </w:r>
      <w:r>
        <w:t xml:space="preserve"> </w:t>
      </w:r>
      <w:r>
        <w:tab/>
      </w:r>
      <w:r w:rsidRPr="00B32EB3">
        <w:t xml:space="preserve">AER, </w:t>
      </w:r>
      <w:r w:rsidRPr="00B32EB3">
        <w:rPr>
          <w:rStyle w:val="Emphasis"/>
        </w:rPr>
        <w:t>Draft decision, Powerlink determination 2017-18  to 2021-22: Attachment 2 − Regulatory asset base</w:t>
      </w:r>
      <w:r>
        <w:t xml:space="preserve">, </w:t>
      </w:r>
      <w:r w:rsidRPr="00B32EB3">
        <w:t>September 2016, Section A.2</w:t>
      </w:r>
      <w:r>
        <w:t>.</w:t>
      </w:r>
    </w:p>
  </w:footnote>
  <w:footnote w:id="544">
    <w:p w:rsidR="00E636A0" w:rsidRDefault="00E636A0" w:rsidP="003E0A44">
      <w:pPr>
        <w:pStyle w:val="FootnoteText"/>
      </w:pPr>
      <w:r>
        <w:rPr>
          <w:rStyle w:val="FootnoteReference"/>
        </w:rPr>
        <w:footnoteRef/>
      </w:r>
      <w:r>
        <w:t xml:space="preserve"> </w:t>
      </w:r>
      <w:r>
        <w:tab/>
      </w:r>
      <w:r w:rsidRPr="009521D0">
        <w:t xml:space="preserve">TasNetworks, </w:t>
      </w:r>
      <w:r w:rsidRPr="006E5878">
        <w:rPr>
          <w:rStyle w:val="AERtextitalic"/>
        </w:rPr>
        <w:t>Tasmanian Distribution Regulatory Proposal 2017-2019</w:t>
      </w:r>
      <w:r w:rsidRPr="009521D0">
        <w:t>, 29 January</w:t>
      </w:r>
      <w:r>
        <w:t xml:space="preserve"> 2016</w:t>
      </w:r>
      <w:r w:rsidRPr="009521D0">
        <w:t xml:space="preserve">, p.117. </w:t>
      </w:r>
    </w:p>
  </w:footnote>
  <w:footnote w:id="545">
    <w:p w:rsidR="00E636A0" w:rsidRDefault="00E636A0" w:rsidP="00907E8E">
      <w:pPr>
        <w:pStyle w:val="FootnoteText"/>
      </w:pPr>
      <w:r>
        <w:rPr>
          <w:rStyle w:val="FootnoteReference"/>
        </w:rPr>
        <w:footnoteRef/>
      </w:r>
      <w:r>
        <w:t xml:space="preserve"> </w:t>
      </w:r>
      <w:r>
        <w:tab/>
        <w:t>For clarity, that is 100% of the base rate and DRP components of the allowed return on debt.</w:t>
      </w:r>
    </w:p>
  </w:footnote>
  <w:footnote w:id="546">
    <w:p w:rsidR="00E636A0" w:rsidRDefault="00E636A0" w:rsidP="00907E8E">
      <w:pPr>
        <w:pStyle w:val="FootnoteText"/>
      </w:pPr>
      <w:r>
        <w:rPr>
          <w:rStyle w:val="FootnoteReference"/>
        </w:rPr>
        <w:footnoteRef/>
      </w:r>
      <w:r>
        <w:t xml:space="preserve"> </w:t>
      </w:r>
      <w:r>
        <w:tab/>
      </w:r>
      <w:r w:rsidRPr="009521D0">
        <w:t xml:space="preserve">TasNetworks, </w:t>
      </w:r>
      <w:r w:rsidRPr="006E5878">
        <w:rPr>
          <w:rStyle w:val="AERtextitalic"/>
        </w:rPr>
        <w:t>Tasmanian Distribution Regulatory Proposal 2017-2019</w:t>
      </w:r>
      <w:r w:rsidRPr="009521D0">
        <w:t>, 29 January</w:t>
      </w:r>
      <w:r>
        <w:t xml:space="preserve"> 2016</w:t>
      </w:r>
      <w:r w:rsidRPr="009521D0">
        <w:t>, p.117.</w:t>
      </w:r>
      <w:r>
        <w:t>;</w:t>
      </w:r>
      <w:r w:rsidRPr="0039163B">
        <w:t xml:space="preserve">AER, </w:t>
      </w:r>
      <w:r w:rsidRPr="0039163B">
        <w:rPr>
          <w:rStyle w:val="AERtextitalic"/>
        </w:rPr>
        <w:t>Better regulation—Explanatory statement to the rate of return guideline</w:t>
      </w:r>
      <w:r w:rsidRPr="0039163B">
        <w:t xml:space="preserve">, December 2013, chapters 3, 7 and 8; AER, </w:t>
      </w:r>
      <w:r w:rsidRPr="0039163B">
        <w:rPr>
          <w:rStyle w:val="AERtextitalic"/>
        </w:rPr>
        <w:t>Better regulation—Explanatory statement to the rate of return guideline (appendices)</w:t>
      </w:r>
      <w:r w:rsidRPr="0039163B">
        <w:t xml:space="preserve">, December 2013, appendix G; AER, </w:t>
      </w:r>
      <w:r w:rsidRPr="0039163B">
        <w:rPr>
          <w:rStyle w:val="AERtextitalic"/>
        </w:rPr>
        <w:t>Better regulation—Rate of return guideline</w:t>
      </w:r>
      <w:r w:rsidRPr="0039163B">
        <w:t>, December 2013, chapters 3,</w:t>
      </w:r>
      <w:r>
        <w:t xml:space="preserve"> </w:t>
      </w:r>
      <w:r w:rsidRPr="0039163B">
        <w:t xml:space="preserve">6 and appendix B; AER, </w:t>
      </w:r>
      <w:r>
        <w:t xml:space="preserve"> Draft Decision - AusNet Services transmission determination 2017–18 to 2021–22;</w:t>
      </w:r>
      <w:r w:rsidRPr="00F053FC">
        <w:t xml:space="preserve"> </w:t>
      </w:r>
      <w:r>
        <w:t>AER, Draft Decision - TasNetworks transmission determination 2017–19</w:t>
      </w:r>
    </w:p>
  </w:footnote>
  <w:footnote w:id="547">
    <w:p w:rsidR="00E636A0" w:rsidRDefault="00E636A0">
      <w:pPr>
        <w:pStyle w:val="FootnoteText"/>
      </w:pPr>
      <w:r>
        <w:rPr>
          <w:rStyle w:val="FootnoteReference"/>
        </w:rPr>
        <w:footnoteRef/>
      </w:r>
      <w:r>
        <w:t xml:space="preserve"> </w:t>
      </w:r>
      <w:r>
        <w:tab/>
        <w:t>TasNetworks, distribution Revised  Regulatory Proposal 2017-2019, December 2016, p.7.</w:t>
      </w:r>
    </w:p>
  </w:footnote>
  <w:footnote w:id="548">
    <w:p w:rsidR="00E636A0" w:rsidRDefault="00E636A0" w:rsidP="00907E8E">
      <w:pPr>
        <w:pStyle w:val="FootnoteText"/>
      </w:pPr>
      <w:r>
        <w:rPr>
          <w:rStyle w:val="FootnoteReference"/>
        </w:rPr>
        <w:footnoteRef/>
      </w:r>
      <w:r>
        <w:t xml:space="preserve">    CEG, </w:t>
      </w:r>
      <w:r w:rsidRPr="00222160">
        <w:rPr>
          <w:i/>
        </w:rPr>
        <w:t>The AER’s current interpretation of the ARORO</w:t>
      </w:r>
      <w:r>
        <w:t>, September 2016.</w:t>
      </w:r>
    </w:p>
  </w:footnote>
  <w:footnote w:id="549">
    <w:p w:rsidR="00E636A0" w:rsidRDefault="00E636A0" w:rsidP="00907E8E">
      <w:pPr>
        <w:pStyle w:val="FootnoteText"/>
      </w:pPr>
      <w:r>
        <w:rPr>
          <w:rStyle w:val="FootnoteReference"/>
        </w:rPr>
        <w:footnoteRef/>
      </w:r>
      <w:r>
        <w:t xml:space="preserve"> </w:t>
      </w:r>
      <w:r>
        <w:tab/>
        <w:t>S</w:t>
      </w:r>
      <w:r w:rsidRPr="00AE0473">
        <w:t>uch as our full transition</w:t>
      </w:r>
      <w:r>
        <w:t>.</w:t>
      </w:r>
    </w:p>
  </w:footnote>
  <w:footnote w:id="550">
    <w:p w:rsidR="00E636A0" w:rsidRDefault="00E636A0">
      <w:pPr>
        <w:pStyle w:val="FootnoteText"/>
      </w:pPr>
      <w:r>
        <w:rPr>
          <w:rStyle w:val="FootnoteReference"/>
        </w:rPr>
        <w:footnoteRef/>
      </w:r>
      <w:r>
        <w:t xml:space="preserve"> </w:t>
      </w:r>
      <w:r>
        <w:tab/>
        <w:t>That is AusNet and Powerlink.</w:t>
      </w:r>
    </w:p>
  </w:footnote>
  <w:footnote w:id="551">
    <w:p w:rsidR="00E636A0" w:rsidRDefault="00E636A0" w:rsidP="008D5A7E">
      <w:pPr>
        <w:pStyle w:val="FootnoteText"/>
      </w:pPr>
      <w:r>
        <w:rPr>
          <w:rStyle w:val="FootnoteReference"/>
        </w:rPr>
        <w:footnoteRef/>
      </w:r>
      <w:r>
        <w:t xml:space="preserve"> </w:t>
      </w:r>
      <w:r>
        <w:tab/>
      </w:r>
      <w:r w:rsidRPr="009521D0">
        <w:t xml:space="preserve">TasNetworks, </w:t>
      </w:r>
      <w:r w:rsidRPr="006E5878">
        <w:rPr>
          <w:rStyle w:val="AERtextitalic"/>
        </w:rPr>
        <w:t>Tasmanian Distribution Regulatory Proposal 2017-2019</w:t>
      </w:r>
      <w:r w:rsidRPr="009521D0">
        <w:t>, 29 January</w:t>
      </w:r>
      <w:r>
        <w:t xml:space="preserve"> 2016</w:t>
      </w:r>
      <w:r w:rsidRPr="009521D0">
        <w:t>, p.117.</w:t>
      </w:r>
    </w:p>
    <w:p w:rsidR="00E636A0" w:rsidRDefault="00E636A0" w:rsidP="008D5A7E">
      <w:pPr>
        <w:pStyle w:val="FootnoteText"/>
      </w:pPr>
      <w:r>
        <w:tab/>
        <w:t>Powerlink</w:t>
      </w:r>
      <w:r w:rsidRPr="006E5878">
        <w:rPr>
          <w:rStyle w:val="AERtextitalic"/>
        </w:rPr>
        <w:t>, 2018-2022 Revenue Proposal</w:t>
      </w:r>
      <w:r>
        <w:t>, January 2016, p.91.</w:t>
      </w:r>
    </w:p>
  </w:footnote>
  <w:footnote w:id="552">
    <w:p w:rsidR="00E636A0" w:rsidRDefault="00E636A0">
      <w:pPr>
        <w:pStyle w:val="FootnoteText"/>
      </w:pPr>
      <w:r>
        <w:rPr>
          <w:rStyle w:val="FootnoteReference"/>
        </w:rPr>
        <w:footnoteRef/>
      </w:r>
      <w:r>
        <w:t xml:space="preserve"> </w:t>
      </w:r>
      <w:r>
        <w:tab/>
        <w:t>AusNet Services</w:t>
      </w:r>
      <w:r w:rsidRPr="0038384D">
        <w:t xml:space="preserve">, </w:t>
      </w:r>
      <w:r w:rsidRPr="00287E46">
        <w:rPr>
          <w:rStyle w:val="AERtextitalic"/>
        </w:rPr>
        <w:t>Revised revenue proposal</w:t>
      </w:r>
      <w:r w:rsidRPr="0038384D">
        <w:t>, 21 September 2016</w:t>
      </w:r>
      <w:r>
        <w:t>, p.137.</w:t>
      </w:r>
    </w:p>
  </w:footnote>
  <w:footnote w:id="553">
    <w:p w:rsidR="00E636A0" w:rsidRDefault="00E636A0">
      <w:pPr>
        <w:pStyle w:val="FootnoteText"/>
      </w:pPr>
      <w:r>
        <w:rPr>
          <w:rStyle w:val="FootnoteReference"/>
        </w:rPr>
        <w:footnoteRef/>
      </w:r>
      <w:r>
        <w:t xml:space="preserve"> </w:t>
      </w:r>
      <w:r>
        <w:tab/>
      </w:r>
      <w:r w:rsidRPr="0038384D">
        <w:t xml:space="preserve">CEG, </w:t>
      </w:r>
      <w:r w:rsidRPr="00287E46">
        <w:rPr>
          <w:rStyle w:val="AERtextitalic"/>
        </w:rPr>
        <w:t>The AER’s current interpretation of the ARORO</w:t>
      </w:r>
      <w:r w:rsidRPr="0038384D">
        <w:t>, September 2016.</w:t>
      </w:r>
    </w:p>
  </w:footnote>
  <w:footnote w:id="554">
    <w:p w:rsidR="00E636A0" w:rsidRDefault="00E636A0" w:rsidP="00907E8E">
      <w:pPr>
        <w:pStyle w:val="FootnoteText"/>
      </w:pPr>
      <w:r>
        <w:rPr>
          <w:rStyle w:val="FootnoteReference"/>
        </w:rPr>
        <w:footnoteRef/>
      </w:r>
      <w:r>
        <w:t xml:space="preserve"> </w:t>
      </w:r>
      <w:r>
        <w:tab/>
        <w:t>NER, cl. 6A.12.3(b)</w:t>
      </w:r>
    </w:p>
  </w:footnote>
  <w:footnote w:id="555">
    <w:p w:rsidR="00E636A0" w:rsidRDefault="00E636A0" w:rsidP="00907E8E">
      <w:pPr>
        <w:pStyle w:val="FootnoteText"/>
      </w:pPr>
      <w:r>
        <w:rPr>
          <w:rStyle w:val="FootnoteReference"/>
        </w:rPr>
        <w:footnoteRef/>
      </w:r>
      <w:r>
        <w:t xml:space="preserve">    AusNet Services, letter to the AER: </w:t>
      </w:r>
      <w:r w:rsidRPr="0027518D">
        <w:rPr>
          <w:i/>
        </w:rPr>
        <w:t>Removing uncertainty of the Cost of Debt transition</w:t>
      </w:r>
      <w:r>
        <w:rPr>
          <w:i/>
        </w:rPr>
        <w:t xml:space="preserve">, </w:t>
      </w:r>
      <w:r w:rsidRPr="0027518D">
        <w:t>9 December 2016</w:t>
      </w:r>
    </w:p>
  </w:footnote>
  <w:footnote w:id="556">
    <w:p w:rsidR="00E636A0" w:rsidRDefault="00E636A0" w:rsidP="00907E8E">
      <w:pPr>
        <w:pStyle w:val="FootnoteText"/>
      </w:pPr>
      <w:r>
        <w:rPr>
          <w:rStyle w:val="FootnoteReference"/>
        </w:rPr>
        <w:footnoteRef/>
      </w:r>
      <w:r>
        <w:t xml:space="preserve">    AusNet Services, letter to the AER:</w:t>
      </w:r>
      <w:r>
        <w:rPr>
          <w:i/>
        </w:rPr>
        <w:t xml:space="preserve"> AusNet Services’ Transmission- Revised Revenue Proposal, </w:t>
      </w:r>
      <w:r>
        <w:t>20</w:t>
      </w:r>
      <w:r w:rsidRPr="0027518D">
        <w:t xml:space="preserve"> December 2016</w:t>
      </w:r>
    </w:p>
  </w:footnote>
  <w:footnote w:id="557">
    <w:p w:rsidR="00E636A0" w:rsidRPr="00F11AE3" w:rsidRDefault="00E636A0" w:rsidP="00907E8E">
      <w:pPr>
        <w:pStyle w:val="FootnoteText"/>
      </w:pPr>
      <w:r>
        <w:rPr>
          <w:rStyle w:val="FootnoteReference"/>
        </w:rPr>
        <w:footnoteRef/>
      </w:r>
      <w:r>
        <w:t xml:space="preserve">    AusNet Services, letter to the AER: </w:t>
      </w:r>
      <w:r w:rsidRPr="0027518D">
        <w:rPr>
          <w:i/>
        </w:rPr>
        <w:t>Removing uncertainty of the Cost of Debt transition</w:t>
      </w:r>
      <w:r>
        <w:rPr>
          <w:i/>
        </w:rPr>
        <w:t xml:space="preserve">, </w:t>
      </w:r>
      <w:r w:rsidRPr="0027518D">
        <w:t>9 December 2016</w:t>
      </w:r>
    </w:p>
  </w:footnote>
  <w:footnote w:id="558">
    <w:p w:rsidR="00E636A0" w:rsidRDefault="00E636A0" w:rsidP="00907E8E">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559">
    <w:p w:rsidR="00E636A0" w:rsidRDefault="00E636A0" w:rsidP="00907E8E">
      <w:pPr>
        <w:pStyle w:val="FootnoteText"/>
      </w:pPr>
      <w:r>
        <w:rPr>
          <w:rStyle w:val="FootnoteReference"/>
        </w:rPr>
        <w:footnoteRef/>
      </w:r>
      <w:r>
        <w:t xml:space="preserve"> </w:t>
      </w:r>
      <w:r>
        <w:tab/>
        <w:t>This decision determines the return on debt methodology for the 2016–20 regulatory control period. This period covers the first five years of the 10 year transition period. This decision also sets out our intended return on debt methodology for the remaining five years.</w:t>
      </w:r>
    </w:p>
  </w:footnote>
  <w:footnote w:id="560">
    <w:p w:rsidR="00E636A0" w:rsidRDefault="00E636A0" w:rsidP="00907E8E">
      <w:pPr>
        <w:pStyle w:val="FootnoteText"/>
      </w:pPr>
      <w:r>
        <w:rPr>
          <w:rStyle w:val="FootnoteReference"/>
        </w:rPr>
        <w:footnoteRef/>
      </w:r>
      <w:r>
        <w:t xml:space="preserve"> </w:t>
      </w:r>
      <w:r>
        <w:tab/>
      </w:r>
      <w:r w:rsidRPr="000938BF">
        <w:t>NER cl. 6.5.2(l) and cl. 6A.6.2(l)</w:t>
      </w:r>
      <w:r>
        <w:t xml:space="preserve"> and NGR, r.87(12). The return on debt methodology for the purposes of the annual update is set out in </w:t>
      </w:r>
      <w:r w:rsidRPr="00901515">
        <w:t>appendix</w:t>
      </w:r>
      <w:r>
        <w:rPr>
          <w:rStyle w:val="AERbody"/>
          <w:sz w:val="16"/>
        </w:rPr>
        <w:t xml:space="preserve"> </w:t>
      </w:r>
      <w:r>
        <w:rPr>
          <w:rStyle w:val="AERbody"/>
          <w:sz w:val="16"/>
        </w:rPr>
        <w:fldChar w:fldCharType="begin"/>
      </w:r>
      <w:r>
        <w:rPr>
          <w:rStyle w:val="AERbody"/>
          <w:sz w:val="16"/>
        </w:rPr>
        <w:instrText xml:space="preserve"> REF _Ref479168996 \r \h </w:instrText>
      </w:r>
      <w:r>
        <w:rPr>
          <w:rStyle w:val="AERbody"/>
          <w:sz w:val="16"/>
        </w:rPr>
      </w:r>
      <w:r>
        <w:rPr>
          <w:rStyle w:val="AERbody"/>
          <w:sz w:val="16"/>
        </w:rPr>
        <w:fldChar w:fldCharType="separate"/>
      </w:r>
      <w:r>
        <w:rPr>
          <w:rStyle w:val="AERbody"/>
          <w:sz w:val="16"/>
        </w:rPr>
        <w:t>J</w:t>
      </w:r>
      <w:r>
        <w:rPr>
          <w:rStyle w:val="AERbody"/>
          <w:sz w:val="16"/>
        </w:rPr>
        <w:fldChar w:fldCharType="end"/>
      </w:r>
      <w:r>
        <w:rPr>
          <w:rStyle w:val="AERbody"/>
        </w:rPr>
        <w:t xml:space="preserve"> </w:t>
      </w:r>
      <w:r>
        <w:t>of this attachment 3.</w:t>
      </w:r>
    </w:p>
  </w:footnote>
  <w:footnote w:id="561">
    <w:p w:rsidR="00E636A0" w:rsidRDefault="00E636A0" w:rsidP="00886B7C">
      <w:pPr>
        <w:pStyle w:val="FootnoteText"/>
      </w:pPr>
      <w:r>
        <w:rPr>
          <w:rStyle w:val="FootnoteReference"/>
        </w:rPr>
        <w:footnoteRef/>
      </w:r>
      <w:r>
        <w:t xml:space="preserve"> </w:t>
      </w:r>
      <w:r>
        <w:tab/>
      </w:r>
      <w:r w:rsidRPr="009521D0">
        <w:t xml:space="preserve">TasNetworks, </w:t>
      </w:r>
      <w:r w:rsidRPr="009F6D5D">
        <w:rPr>
          <w:rStyle w:val="AERtextitalic"/>
        </w:rPr>
        <w:t>Tasmanian Distribution Regulatory Proposal 2017-2019</w:t>
      </w:r>
      <w:r w:rsidRPr="009521D0">
        <w:t>, 29 January</w:t>
      </w:r>
      <w:r>
        <w:t xml:space="preserve"> 2016</w:t>
      </w:r>
      <w:r w:rsidRPr="009521D0">
        <w:t>, p.117.</w:t>
      </w:r>
    </w:p>
  </w:footnote>
  <w:footnote w:id="562">
    <w:p w:rsidR="00E636A0" w:rsidRDefault="00E636A0">
      <w:pPr>
        <w:pStyle w:val="FootnoteText"/>
      </w:pPr>
      <w:r>
        <w:rPr>
          <w:rStyle w:val="FootnoteReference"/>
        </w:rPr>
        <w:footnoteRef/>
      </w:r>
      <w:r>
        <w:t xml:space="preserve"> </w:t>
      </w:r>
      <w:r>
        <w:tab/>
        <w:t xml:space="preserve">AusNet Services, </w:t>
      </w:r>
      <w:r w:rsidRPr="00287E46">
        <w:rPr>
          <w:rStyle w:val="AERtextitalic"/>
        </w:rPr>
        <w:t>Transmission revenue review 2017-2022</w:t>
      </w:r>
      <w:r>
        <w:t>, 30 October 2015, p.196.</w:t>
      </w:r>
    </w:p>
  </w:footnote>
  <w:footnote w:id="563">
    <w:p w:rsidR="00E636A0" w:rsidRDefault="00E636A0" w:rsidP="00DC6749">
      <w:pPr>
        <w:pStyle w:val="FootnoteText"/>
      </w:pPr>
      <w:r>
        <w:rPr>
          <w:rStyle w:val="FootnoteReference"/>
        </w:rPr>
        <w:footnoteRef/>
      </w:r>
      <w:r>
        <w:t xml:space="preserve"> </w:t>
      </w:r>
      <w:r>
        <w:tab/>
        <w:t>AusNet Services</w:t>
      </w:r>
      <w:r w:rsidRPr="002E600D">
        <w:t xml:space="preserve">, </w:t>
      </w:r>
      <w:r w:rsidRPr="00452C44">
        <w:rPr>
          <w:rStyle w:val="AERtextitalic"/>
        </w:rPr>
        <w:t xml:space="preserve">Revised </w:t>
      </w:r>
      <w:r>
        <w:rPr>
          <w:rStyle w:val="AERtextitalic"/>
        </w:rPr>
        <w:t>revenue</w:t>
      </w:r>
      <w:r w:rsidRPr="00452C44">
        <w:rPr>
          <w:rStyle w:val="AERtextitalic"/>
        </w:rPr>
        <w:t xml:space="preserve"> proposa</w:t>
      </w:r>
      <w:r>
        <w:t>l, 21 September 2016, p.137.</w:t>
      </w:r>
    </w:p>
  </w:footnote>
  <w:footnote w:id="564">
    <w:p w:rsidR="00E636A0" w:rsidRDefault="00E636A0" w:rsidP="00907E8E">
      <w:pPr>
        <w:pStyle w:val="FootnoteText"/>
      </w:pPr>
      <w:r>
        <w:rPr>
          <w:rStyle w:val="FootnoteReference"/>
        </w:rPr>
        <w:footnoteRef/>
      </w:r>
      <w:r>
        <w:t xml:space="preserve">    CEG, </w:t>
      </w:r>
      <w:r w:rsidRPr="00584EB7">
        <w:rPr>
          <w:i/>
        </w:rPr>
        <w:t>The AER’s current interpretation of the ARORO</w:t>
      </w:r>
      <w:r>
        <w:t>, September 2016</w:t>
      </w:r>
    </w:p>
  </w:footnote>
  <w:footnote w:id="565">
    <w:p w:rsidR="00E636A0" w:rsidRDefault="00E636A0" w:rsidP="00907E8E">
      <w:pPr>
        <w:pStyle w:val="FootnoteText"/>
      </w:pPr>
      <w:r>
        <w:rPr>
          <w:rStyle w:val="FootnoteReference"/>
        </w:rPr>
        <w:footnoteRef/>
      </w:r>
      <w:r>
        <w:t xml:space="preserve">    </w:t>
      </w:r>
      <w:r w:rsidRPr="00D40AFA">
        <w:t>AusNet Services</w:t>
      </w:r>
      <w:r>
        <w:t xml:space="preserve">, </w:t>
      </w:r>
      <w:r w:rsidRPr="00D81671">
        <w:rPr>
          <w:i/>
        </w:rPr>
        <w:t>Transmission revenue review 2017-2022</w:t>
      </w:r>
      <w:r>
        <w:t>, 30 October 2015, p.196.</w:t>
      </w:r>
    </w:p>
  </w:footnote>
  <w:footnote w:id="566">
    <w:p w:rsidR="00E636A0" w:rsidRDefault="00E636A0" w:rsidP="00C16481">
      <w:pPr>
        <w:pStyle w:val="FootnoteText"/>
      </w:pPr>
      <w:r>
        <w:rPr>
          <w:rStyle w:val="FootnoteReference"/>
        </w:rPr>
        <w:footnoteRef/>
      </w:r>
      <w:r>
        <w:t xml:space="preserve"> </w:t>
      </w:r>
      <w:r>
        <w:tab/>
        <w:t xml:space="preserve">CEG, </w:t>
      </w:r>
      <w:r w:rsidRPr="001A4058">
        <w:t>The AER’s current interpretation of the ARORO</w:t>
      </w:r>
      <w:r>
        <w:t>, September 2016</w:t>
      </w:r>
    </w:p>
  </w:footnote>
  <w:footnote w:id="567">
    <w:p w:rsidR="00E636A0" w:rsidRDefault="00E636A0">
      <w:pPr>
        <w:pStyle w:val="FootnoteText"/>
      </w:pPr>
      <w:r>
        <w:rPr>
          <w:rStyle w:val="FootnoteReference"/>
        </w:rPr>
        <w:footnoteRef/>
      </w:r>
      <w:r>
        <w:t xml:space="preserve"> </w:t>
      </w:r>
      <w:r>
        <w:tab/>
      </w:r>
      <w:r w:rsidRPr="00D40AFA">
        <w:t>AusNet Services</w:t>
      </w:r>
      <w:r w:rsidRPr="002E600D">
        <w:t xml:space="preserve">, </w:t>
      </w:r>
      <w:r w:rsidRPr="00452C44">
        <w:rPr>
          <w:rStyle w:val="AERtextitalic"/>
        </w:rPr>
        <w:t xml:space="preserve">Revised </w:t>
      </w:r>
      <w:r>
        <w:rPr>
          <w:rStyle w:val="AERtextitalic"/>
        </w:rPr>
        <w:t>revenue</w:t>
      </w:r>
      <w:r w:rsidRPr="00452C44">
        <w:rPr>
          <w:rStyle w:val="AERtextitalic"/>
        </w:rPr>
        <w:t xml:space="preserve"> proposa</w:t>
      </w:r>
      <w:r>
        <w:t>l, 21 September 2016, p.137.</w:t>
      </w:r>
    </w:p>
  </w:footnote>
  <w:footnote w:id="568">
    <w:p w:rsidR="00E636A0" w:rsidRDefault="00E636A0" w:rsidP="00907E8E">
      <w:pPr>
        <w:pStyle w:val="FootnoteText"/>
        <w:ind w:left="0" w:firstLine="0"/>
      </w:pPr>
      <w:r>
        <w:rPr>
          <w:rStyle w:val="FootnoteReference"/>
        </w:rPr>
        <w:footnoteRef/>
      </w:r>
      <w:r>
        <w:t xml:space="preserve"> </w:t>
      </w:r>
      <w:r>
        <w:tab/>
      </w:r>
      <w:r w:rsidRPr="00D40AFA">
        <w:t>AusNet Services</w:t>
      </w:r>
      <w:r>
        <w:t>, Revised revenue proposal, 21 September 2016, p.157.</w:t>
      </w:r>
    </w:p>
  </w:footnote>
  <w:footnote w:id="569">
    <w:p w:rsidR="00E636A0" w:rsidRDefault="00E636A0" w:rsidP="00907E8E">
      <w:pPr>
        <w:pStyle w:val="FootnoteText"/>
      </w:pPr>
      <w:r>
        <w:rPr>
          <w:rStyle w:val="FootnoteReference"/>
        </w:rPr>
        <w:footnoteRef/>
      </w:r>
      <w:r>
        <w:t xml:space="preserve"> </w:t>
      </w:r>
      <w:r>
        <w:tab/>
      </w:r>
      <w:r w:rsidRPr="00D40AFA">
        <w:t>AusNet Services</w:t>
      </w:r>
      <w:r>
        <w:t xml:space="preserve">, </w:t>
      </w:r>
      <w:r w:rsidRPr="00E70998">
        <w:rPr>
          <w:i/>
        </w:rPr>
        <w:t xml:space="preserve">Revised </w:t>
      </w:r>
      <w:r>
        <w:t>revenue</w:t>
      </w:r>
      <w:r w:rsidRPr="00E70998">
        <w:rPr>
          <w:i/>
        </w:rPr>
        <w:t xml:space="preserve"> proposal</w:t>
      </w:r>
      <w:r>
        <w:t>, 21 September 2016, .p156.</w:t>
      </w:r>
    </w:p>
  </w:footnote>
  <w:footnote w:id="570">
    <w:p w:rsidR="00E636A0" w:rsidRDefault="00E636A0" w:rsidP="00907E8E">
      <w:pPr>
        <w:pStyle w:val="FootnoteText"/>
      </w:pPr>
      <w:r>
        <w:rPr>
          <w:rStyle w:val="FootnoteReference"/>
        </w:rPr>
        <w:footnoteRef/>
      </w:r>
      <w:r>
        <w:t xml:space="preserve"> </w:t>
      </w:r>
      <w:r>
        <w:tab/>
      </w:r>
      <w:r w:rsidRPr="00D40AFA">
        <w:t>AusNet Services</w:t>
      </w:r>
      <w:r>
        <w:t xml:space="preserve">, </w:t>
      </w:r>
      <w:r w:rsidRPr="004102DB">
        <w:rPr>
          <w:i/>
        </w:rPr>
        <w:t xml:space="preserve">Revised </w:t>
      </w:r>
      <w:r>
        <w:t>revenue</w:t>
      </w:r>
      <w:r w:rsidRPr="004102DB">
        <w:rPr>
          <w:i/>
        </w:rPr>
        <w:t xml:space="preserve"> proposal</w:t>
      </w:r>
      <w:r>
        <w:t>, 21 September 2016, .p165.</w:t>
      </w:r>
    </w:p>
  </w:footnote>
  <w:footnote w:id="571">
    <w:p w:rsidR="00E636A0" w:rsidRPr="00A237D2" w:rsidRDefault="00E636A0" w:rsidP="00907E8E">
      <w:pPr>
        <w:pStyle w:val="FootnoteText"/>
      </w:pPr>
      <w:r>
        <w:rPr>
          <w:rStyle w:val="FootnoteReference"/>
        </w:rPr>
        <w:footnoteRef/>
      </w:r>
      <w:r>
        <w:t xml:space="preserve"> </w:t>
      </w:r>
      <w:r>
        <w:tab/>
      </w:r>
      <w:r w:rsidRPr="00D40AFA">
        <w:t>AusNet Services</w:t>
      </w:r>
      <w:r>
        <w:t xml:space="preserve">, letter to the AER: </w:t>
      </w:r>
      <w:r w:rsidRPr="00584EB7">
        <w:rPr>
          <w:i/>
        </w:rPr>
        <w:t>AusNet Services’ transmission- revised revenue proposal</w:t>
      </w:r>
      <w:r>
        <w:rPr>
          <w:i/>
        </w:rPr>
        <w:t xml:space="preserve">, </w:t>
      </w:r>
      <w:r w:rsidRPr="00584EB7">
        <w:t>20 December 2016</w:t>
      </w:r>
    </w:p>
  </w:footnote>
  <w:footnote w:id="572">
    <w:p w:rsidR="00E636A0" w:rsidRDefault="00E636A0">
      <w:pPr>
        <w:pStyle w:val="FootnoteText"/>
      </w:pPr>
      <w:r>
        <w:rPr>
          <w:rStyle w:val="FootnoteReference"/>
        </w:rPr>
        <w:footnoteRef/>
      </w:r>
      <w:r>
        <w:t xml:space="preserve"> </w:t>
      </w:r>
      <w:r>
        <w:tab/>
      </w:r>
      <w:r w:rsidRPr="00D40AFA">
        <w:t>AusNet Services</w:t>
      </w:r>
      <w:r>
        <w:t xml:space="preserve">, letter to the AER: </w:t>
      </w:r>
      <w:r w:rsidRPr="00D043CC">
        <w:t xml:space="preserve">Removing uncertainty of the Cost of Debt transition, </w:t>
      </w:r>
      <w:r w:rsidRPr="0027518D">
        <w:t>9 December 2016</w:t>
      </w:r>
    </w:p>
  </w:footnote>
  <w:footnote w:id="573">
    <w:p w:rsidR="00E636A0" w:rsidRDefault="00E636A0" w:rsidP="00907E8E">
      <w:pPr>
        <w:pStyle w:val="FootnoteText"/>
      </w:pPr>
      <w:r>
        <w:rPr>
          <w:rStyle w:val="FootnoteReference"/>
        </w:rPr>
        <w:footnoteRef/>
      </w:r>
      <w:r>
        <w:t xml:space="preserve"> </w:t>
      </w:r>
      <w:r>
        <w:tab/>
      </w:r>
      <w:r w:rsidRPr="00D40AFA">
        <w:t>AusNet Services</w:t>
      </w:r>
      <w:r w:rsidRPr="002E600D">
        <w:t xml:space="preserve">, </w:t>
      </w:r>
      <w:r w:rsidRPr="00452C44">
        <w:rPr>
          <w:rStyle w:val="AERtextitalic"/>
        </w:rPr>
        <w:t xml:space="preserve">Revised </w:t>
      </w:r>
      <w:r>
        <w:rPr>
          <w:rStyle w:val="AERtextitalic"/>
        </w:rPr>
        <w:t>revenue</w:t>
      </w:r>
      <w:r w:rsidRPr="00452C44">
        <w:rPr>
          <w:rStyle w:val="AERtextitalic"/>
        </w:rPr>
        <w:t xml:space="preserve"> proposa</w:t>
      </w:r>
      <w:r>
        <w:t xml:space="preserve">l, 21 September 2016, p.159. </w:t>
      </w:r>
    </w:p>
  </w:footnote>
  <w:footnote w:id="574">
    <w:p w:rsidR="00E636A0" w:rsidRDefault="00E636A0">
      <w:pPr>
        <w:pStyle w:val="FootnoteText"/>
      </w:pPr>
      <w:r>
        <w:rPr>
          <w:rStyle w:val="FootnoteReference"/>
        </w:rPr>
        <w:footnoteRef/>
      </w:r>
      <w:r>
        <w:t xml:space="preserve"> </w:t>
      </w:r>
      <w:r>
        <w:tab/>
        <w:t xml:space="preserve">CCP (Panel 5), </w:t>
      </w:r>
      <w:r w:rsidRPr="006E5878">
        <w:rPr>
          <w:rStyle w:val="AERtextitalic"/>
        </w:rPr>
        <w:t>Submission to the AER: Transmission for the Generations III, Response to: Revised revenue proposal by AusNet Services For: Transmission Revenue Review 2017-22</w:t>
      </w:r>
      <w:r>
        <w:t>, October 2016, p.12</w:t>
      </w:r>
    </w:p>
  </w:footnote>
  <w:footnote w:id="575">
    <w:p w:rsidR="00E636A0" w:rsidRDefault="00E636A0">
      <w:pPr>
        <w:pStyle w:val="FootnoteText"/>
      </w:pPr>
      <w:r>
        <w:rPr>
          <w:rStyle w:val="FootnoteReference"/>
        </w:rPr>
        <w:footnoteRef/>
      </w:r>
      <w:r>
        <w:t xml:space="preserve"> </w:t>
      </w:r>
      <w:r>
        <w:tab/>
      </w:r>
      <w:r w:rsidRPr="00EB6EAE">
        <w:t xml:space="preserve">CCP (Panel 5), </w:t>
      </w:r>
      <w:r w:rsidRPr="006E5878">
        <w:rPr>
          <w:rStyle w:val="AERtextitalic"/>
        </w:rPr>
        <w:t>Submission to the AER: Transmission for the Generations III, Response to: Revised revenue proposal by AusNet Services For: Transmission Revenue Review 2017-22</w:t>
      </w:r>
      <w:r w:rsidRPr="00EB6EAE">
        <w:t>, October 2016, p.12</w:t>
      </w:r>
    </w:p>
  </w:footnote>
  <w:footnote w:id="576">
    <w:p w:rsidR="00E636A0" w:rsidRDefault="00E636A0">
      <w:pPr>
        <w:pStyle w:val="FootnoteText"/>
      </w:pPr>
      <w:r>
        <w:rPr>
          <w:rStyle w:val="FootnoteReference"/>
        </w:rPr>
        <w:footnoteRef/>
      </w:r>
      <w:r>
        <w:t xml:space="preserve"> </w:t>
      </w:r>
      <w:r>
        <w:tab/>
      </w:r>
      <w:r w:rsidRPr="00EB6EAE">
        <w:t>CCP (Panel 5</w:t>
      </w:r>
      <w:r w:rsidRPr="006E5878">
        <w:rPr>
          <w:rStyle w:val="AERtextitalic"/>
        </w:rPr>
        <w:t>), Submission to the AER: Transmission for the Generations III, Response to: Revised revenue proposal by AusNet Services For: Transmission Revenue Review 2017-22</w:t>
      </w:r>
      <w:r w:rsidRPr="00EB6EAE">
        <w:t>, October 2016, p.12</w:t>
      </w:r>
    </w:p>
  </w:footnote>
  <w:footnote w:id="577">
    <w:p w:rsidR="00E636A0" w:rsidRDefault="00E636A0">
      <w:pPr>
        <w:pStyle w:val="FootnoteText"/>
      </w:pPr>
      <w:r>
        <w:rPr>
          <w:rStyle w:val="FootnoteReference"/>
        </w:rPr>
        <w:footnoteRef/>
      </w:r>
      <w:r>
        <w:t xml:space="preserve"> </w:t>
      </w:r>
      <w:r>
        <w:tab/>
      </w:r>
      <w:r w:rsidRPr="00D40AFA">
        <w:t>AusNet Services</w:t>
      </w:r>
      <w:r>
        <w:t xml:space="preserve">, </w:t>
      </w:r>
      <w:r w:rsidRPr="006E5878">
        <w:rPr>
          <w:rStyle w:val="AERtextitalic"/>
        </w:rPr>
        <w:t>Letter to the AER: Removing uncertainty on the Cost of Debt transition</w:t>
      </w:r>
      <w:r>
        <w:t>, 9 December 2016</w:t>
      </w:r>
    </w:p>
  </w:footnote>
  <w:footnote w:id="578">
    <w:p w:rsidR="00E636A0" w:rsidRDefault="00E636A0" w:rsidP="00EB6EAE">
      <w:pPr>
        <w:pStyle w:val="FootnoteText"/>
        <w:tabs>
          <w:tab w:val="clear" w:pos="340"/>
          <w:tab w:val="left" w:pos="776"/>
        </w:tabs>
      </w:pPr>
      <w:r>
        <w:rPr>
          <w:rStyle w:val="FootnoteReference"/>
        </w:rPr>
        <w:footnoteRef/>
      </w:r>
      <w:r>
        <w:t xml:space="preserve"> </w:t>
      </w:r>
      <w:r>
        <w:tab/>
        <w:t>AusNet Services</w:t>
      </w:r>
      <w:r w:rsidRPr="006E5878">
        <w:rPr>
          <w:rStyle w:val="AERtextitalic"/>
        </w:rPr>
        <w:t>, Submission to the AER: AusNet Services’ Transmission- Revised Revenue Proposal</w:t>
      </w:r>
      <w:r w:rsidRPr="00EB6EAE">
        <w:t>,  20 December 2016</w:t>
      </w:r>
    </w:p>
  </w:footnote>
  <w:footnote w:id="579">
    <w:p w:rsidR="00E636A0" w:rsidRDefault="00E636A0" w:rsidP="00907E8E">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580">
    <w:p w:rsidR="00E636A0" w:rsidRDefault="00E636A0" w:rsidP="00907E8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81">
    <w:p w:rsidR="00E636A0" w:rsidRDefault="00E636A0" w:rsidP="00907E8E">
      <w:pPr>
        <w:pStyle w:val="FootnoteText"/>
      </w:pPr>
      <w:r>
        <w:rPr>
          <w:rStyle w:val="FootnoteReference"/>
        </w:rPr>
        <w:footnoteRef/>
      </w:r>
      <w:r>
        <w:t xml:space="preserve"> </w:t>
      </w:r>
      <w:r>
        <w:tab/>
        <w:t>For the RPPs see NEL, s. 7A; NGL, s. 24.</w:t>
      </w:r>
    </w:p>
  </w:footnote>
  <w:footnote w:id="582">
    <w:p w:rsidR="00E636A0" w:rsidRPr="00B57A7C" w:rsidRDefault="00E636A0" w:rsidP="00907E8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583">
    <w:p w:rsidR="00E636A0" w:rsidRDefault="00E636A0" w:rsidP="007E1962">
      <w:pPr>
        <w:pStyle w:val="FootnoteText"/>
      </w:pPr>
      <w:r>
        <w:rPr>
          <w:rStyle w:val="FootnoteReference"/>
        </w:rPr>
        <w:footnoteRef/>
      </w:r>
      <w:r>
        <w:t xml:space="preserve"> </w:t>
      </w:r>
      <w:r>
        <w:tab/>
      </w:r>
      <w:r w:rsidRPr="00FA6FCE">
        <w:t>Partington, G., Satchell, S</w:t>
      </w:r>
      <w:r w:rsidRPr="006E5878">
        <w:rPr>
          <w:rStyle w:val="AERtextitalic"/>
        </w:rPr>
        <w:t>., Report to the AER: Issues in relation to the cost of debt</w:t>
      </w:r>
      <w:r w:rsidRPr="00FA6FCE">
        <w:t>,</w:t>
      </w:r>
      <w:r w:rsidRPr="006E5878">
        <w:t>9 April 2017</w:t>
      </w:r>
    </w:p>
  </w:footnote>
  <w:footnote w:id="584">
    <w:p w:rsidR="00E636A0" w:rsidRDefault="00E636A0" w:rsidP="00907E8E">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585">
    <w:p w:rsidR="00E636A0" w:rsidRDefault="00E636A0" w:rsidP="00907E8E">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586">
    <w:p w:rsidR="00E636A0" w:rsidRDefault="00E636A0" w:rsidP="00907E8E">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587">
    <w:p w:rsidR="00E636A0" w:rsidRDefault="00E636A0" w:rsidP="00907E8E">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588">
    <w:p w:rsidR="00E636A0" w:rsidRDefault="00E636A0" w:rsidP="00907E8E">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_Ref479169214 \r \h </w:instrText>
      </w:r>
      <w:r>
        <w:fldChar w:fldCharType="separate"/>
      </w:r>
      <w:r>
        <w:t>H</w:t>
      </w:r>
      <w:r>
        <w:fldChar w:fldCharType="end"/>
      </w:r>
      <w:r>
        <w:t xml:space="preserve">). </w:t>
      </w:r>
    </w:p>
  </w:footnote>
  <w:footnote w:id="589">
    <w:p w:rsidR="00E636A0" w:rsidRDefault="00E636A0" w:rsidP="00907E8E">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590">
    <w:p w:rsidR="00E636A0" w:rsidRDefault="00E636A0" w:rsidP="00907E8E">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591">
    <w:p w:rsidR="00E636A0" w:rsidRDefault="00E636A0" w:rsidP="00907E8E">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592">
    <w:p w:rsidR="00E636A0" w:rsidRDefault="00E636A0" w:rsidP="00907E8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593">
    <w:p w:rsidR="00E636A0" w:rsidRDefault="00E636A0" w:rsidP="00907E8E">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21 September 2016, p.166</w:t>
      </w:r>
    </w:p>
  </w:footnote>
  <w:footnote w:id="594">
    <w:p w:rsidR="00E636A0" w:rsidRDefault="00E636A0" w:rsidP="00907E8E">
      <w:pPr>
        <w:pStyle w:val="FootnoteText"/>
      </w:pPr>
      <w:r>
        <w:rPr>
          <w:rStyle w:val="FootnoteReference"/>
        </w:rPr>
        <w:footnoteRef/>
      </w:r>
      <w:r>
        <w:t xml:space="preserve">     CEG, </w:t>
      </w:r>
      <w:r w:rsidRPr="00E70998">
        <w:rPr>
          <w:i/>
        </w:rPr>
        <w:t>The AER’s current interpretation of the ARORO</w:t>
      </w:r>
      <w:r>
        <w:t>, September 2016, p.3.</w:t>
      </w:r>
    </w:p>
  </w:footnote>
  <w:footnote w:id="595">
    <w:p w:rsidR="00E636A0" w:rsidRDefault="00E636A0" w:rsidP="00907E8E">
      <w:pPr>
        <w:pStyle w:val="FootnoteText"/>
      </w:pPr>
      <w:r>
        <w:rPr>
          <w:rStyle w:val="FootnoteReference"/>
        </w:rPr>
        <w:footnoteRef/>
      </w:r>
      <w:r>
        <w:t xml:space="preserve"> </w:t>
      </w:r>
      <w:r>
        <w:tab/>
        <w:t>As required under NER, cl. 5.5.2(h); NER, cl. 6A.6.2(h); NGR, cl. 87(8).</w:t>
      </w:r>
    </w:p>
  </w:footnote>
  <w:footnote w:id="596">
    <w:p w:rsidR="00E636A0" w:rsidRDefault="00E636A0" w:rsidP="00907E8E">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xml:space="preserve">, 21 September 2016, p.166; CEG, </w:t>
      </w:r>
      <w:r w:rsidRPr="00E70998">
        <w:rPr>
          <w:i/>
        </w:rPr>
        <w:t>The AER’s current interpretation of the ARORO</w:t>
      </w:r>
      <w:r>
        <w:t>, September 2016</w:t>
      </w:r>
    </w:p>
  </w:footnote>
  <w:footnote w:id="597">
    <w:p w:rsidR="00E636A0" w:rsidRDefault="00E636A0" w:rsidP="00907E8E">
      <w:pPr>
        <w:pStyle w:val="FootnoteText"/>
      </w:pPr>
      <w:r>
        <w:rPr>
          <w:rStyle w:val="FootnoteReference"/>
        </w:rPr>
        <w:footnoteRef/>
      </w:r>
      <w:r>
        <w:t xml:space="preserve"> </w:t>
      </w:r>
      <w:r>
        <w:tab/>
      </w:r>
      <w:r w:rsidRPr="000C0E6D">
        <w:t xml:space="preserve">CEG, </w:t>
      </w:r>
      <w:r w:rsidRPr="000C0E6D">
        <w:rPr>
          <w:i/>
        </w:rPr>
        <w:t>The AER’s current interpretation of the ARORO</w:t>
      </w:r>
      <w:r w:rsidRPr="000C0E6D">
        <w:t>, September 2016</w:t>
      </w:r>
      <w:r>
        <w:t>, p. 36.</w:t>
      </w:r>
    </w:p>
  </w:footnote>
  <w:footnote w:id="598">
    <w:p w:rsidR="00E636A0" w:rsidRDefault="00E636A0" w:rsidP="00907E8E">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599">
    <w:p w:rsidR="00E636A0" w:rsidRDefault="00E636A0" w:rsidP="00907E8E">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600">
    <w:p w:rsidR="00E636A0" w:rsidRDefault="00E636A0" w:rsidP="00907E8E">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601">
    <w:p w:rsidR="00E636A0" w:rsidRDefault="00E636A0" w:rsidP="00907E8E">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602">
    <w:p w:rsidR="00E636A0" w:rsidRDefault="00E636A0" w:rsidP="00907E8E">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603">
    <w:p w:rsidR="00E636A0" w:rsidRDefault="00E636A0" w:rsidP="00907E8E">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604">
    <w:p w:rsidR="00E636A0" w:rsidRDefault="00E636A0" w:rsidP="00907E8E">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605">
    <w:p w:rsidR="00E636A0" w:rsidRDefault="00E636A0" w:rsidP="00907E8E">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606">
    <w:p w:rsidR="00E636A0" w:rsidRDefault="00E636A0" w:rsidP="00907E8E">
      <w:pPr>
        <w:pStyle w:val="FootnoteText"/>
      </w:pPr>
      <w:r>
        <w:rPr>
          <w:rStyle w:val="FootnoteReference"/>
        </w:rPr>
        <w:footnoteRef/>
      </w:r>
      <w:r>
        <w:t xml:space="preserve"> </w:t>
      </w:r>
      <w:r>
        <w:tab/>
        <w:t>The RPPs require we have regard to this effect on incentives. See NEL, s. 7A(3)(b); NGL, s. 24(3)(b).</w:t>
      </w:r>
    </w:p>
  </w:footnote>
  <w:footnote w:id="607">
    <w:p w:rsidR="00E636A0" w:rsidRDefault="00E636A0" w:rsidP="00907E8E">
      <w:pPr>
        <w:pStyle w:val="FootnoteText"/>
      </w:pPr>
      <w:r>
        <w:rPr>
          <w:rStyle w:val="FootnoteReference"/>
        </w:rPr>
        <w:footnoteRef/>
      </w:r>
      <w:r>
        <w:t xml:space="preserve">    This was proposed by ActewAGL, AGN, Amadeus, CitiPower, JEN and United Energy</w:t>
      </w:r>
    </w:p>
  </w:footnote>
  <w:footnote w:id="608">
    <w:p w:rsidR="00E636A0" w:rsidRDefault="00E636A0" w:rsidP="00907E8E">
      <w:pPr>
        <w:pStyle w:val="FootnoteText"/>
      </w:pPr>
      <w:r>
        <w:rPr>
          <w:rStyle w:val="FootnoteReference"/>
        </w:rPr>
        <w:footnoteRef/>
      </w:r>
      <w:r>
        <w:t xml:space="preserve">    This was proposed by ActewAGL, AGN, Amadeus, CitiPower, JEN and United Energy</w:t>
      </w:r>
    </w:p>
  </w:footnote>
  <w:footnote w:id="609">
    <w:p w:rsidR="00E636A0" w:rsidRDefault="00E636A0" w:rsidP="0046271E">
      <w:pPr>
        <w:pStyle w:val="FootnoteText"/>
      </w:pPr>
      <w:r>
        <w:rPr>
          <w:rStyle w:val="FootnoteReference"/>
        </w:rPr>
        <w:footnoteRef/>
      </w:r>
      <w:r>
        <w:t xml:space="preserve"> </w:t>
      </w:r>
      <w:r>
        <w:tab/>
      </w:r>
      <w:r w:rsidRPr="0046271E">
        <w:t>ActewAGL, Access arrangement information, January 2016, p. 35; AGN, Attachment 10.26 response to draft decision: Rate of return, January 2016, p. 3; AusNet Electricity Services, Revised regulatory proposal, January 2016, p. 7-33;  CitiPower, Revised Regulatory Proposal 2016—2020, January 2016, p. 266; JEN, Attachment 6-1 rate of return, gamma, forecast inflation, and debt and equity raising costs, January 2016, p. 28; Powercor, Revised regulatory proposal 2016–20, January 2016, p. 260; United Energy, 2016 to 2020 revised regulatory proposal, January 2016, p. 79.</w:t>
      </w:r>
      <w:r>
        <w:t xml:space="preserve"> </w:t>
      </w:r>
    </w:p>
  </w:footnote>
  <w:footnote w:id="610">
    <w:p w:rsidR="00E636A0" w:rsidRDefault="00E636A0">
      <w:pPr>
        <w:pStyle w:val="FootnoteText"/>
      </w:pPr>
      <w:r>
        <w:rPr>
          <w:rStyle w:val="FootnoteReference"/>
        </w:rPr>
        <w:footnoteRef/>
      </w:r>
      <w:r>
        <w:t xml:space="preserve"> </w:t>
      </w:r>
      <w:r>
        <w:tab/>
      </w:r>
      <w:r w:rsidRPr="0046271E">
        <w:t xml:space="preserve">In the revised proposals that put Option 5 before us, </w:t>
      </w:r>
      <m:oMath>
        <m:r>
          <m:rPr>
            <m:sty m:val="p"/>
          </m:rPr>
          <w:rPr>
            <w:rFonts w:ascii="Cambria Math" w:hAnsi="Cambria Math"/>
          </w:rPr>
          <m:t>x=1/3</m:t>
        </m:r>
      </m:oMath>
      <w:r w:rsidRPr="0046271E">
        <w:t xml:space="preserve"> based on CEG, Critique of the AER's approach to transition, January 2016, p. 2.</w:t>
      </w:r>
    </w:p>
  </w:footnote>
  <w:footnote w:id="611">
    <w:p w:rsidR="00E636A0" w:rsidRDefault="00E636A0" w:rsidP="00907E8E">
      <w:pPr>
        <w:pStyle w:val="FootnoteText"/>
      </w:pPr>
      <w:r>
        <w:rPr>
          <w:rStyle w:val="FootnoteReference"/>
        </w:rPr>
        <w:footnoteRef/>
      </w:r>
      <w:r>
        <w:t xml:space="preserve"> </w:t>
      </w:r>
      <w:r>
        <w:tab/>
      </w:r>
      <w:r w:rsidRPr="00E82AD9">
        <w:t xml:space="preserve">See AER final decision for CitiPower distribution determination, AER final decision for </w:t>
      </w:r>
      <w:r>
        <w:t xml:space="preserve">Australian gas networks access </w:t>
      </w:r>
      <w:r w:rsidRPr="00E82AD9">
        <w:t xml:space="preserve">arrangement. AER final decision for ActewAGL distribution access arrangement </w:t>
      </w:r>
    </w:p>
  </w:footnote>
  <w:footnote w:id="612">
    <w:p w:rsidR="00E636A0" w:rsidRDefault="00E636A0" w:rsidP="00907E8E">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613">
    <w:p w:rsidR="00E636A0" w:rsidRDefault="00E636A0" w:rsidP="00907E8E">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614">
    <w:p w:rsidR="00E636A0" w:rsidRDefault="00E636A0" w:rsidP="00907E8E">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615">
    <w:p w:rsidR="00E636A0" w:rsidRDefault="00E636A0" w:rsidP="00907E8E">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616">
    <w:p w:rsidR="00E636A0" w:rsidRDefault="00E636A0" w:rsidP="00907E8E">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t>, 13 February 2011, pp. 9</w:t>
      </w:r>
      <w:r>
        <w:rPr>
          <w:rFonts w:cs="Arial"/>
        </w:rPr>
        <w:t>–</w:t>
      </w:r>
      <w:r w:rsidRPr="00586A00">
        <w:t xml:space="preserve">10. </w:t>
      </w:r>
    </w:p>
  </w:footnote>
  <w:footnote w:id="617">
    <w:p w:rsidR="00E636A0" w:rsidRDefault="00E636A0" w:rsidP="00907E8E">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618">
    <w:p w:rsidR="00E636A0" w:rsidRDefault="00E636A0">
      <w:pPr>
        <w:pStyle w:val="FootnoteText"/>
      </w:pPr>
      <w:r>
        <w:rPr>
          <w:rStyle w:val="FootnoteReference"/>
        </w:rPr>
        <w:footnoteRef/>
      </w:r>
      <w:r>
        <w:t xml:space="preserve"> </w:t>
      </w:r>
      <w:r>
        <w:tab/>
      </w:r>
      <w:r w:rsidRPr="00C85FC8">
        <w:t>That is CitiPower, Powercor, Jemena, United Energy and AusNet Serices</w:t>
      </w:r>
    </w:p>
  </w:footnote>
  <w:footnote w:id="619">
    <w:p w:rsidR="00E636A0" w:rsidRDefault="00E636A0" w:rsidP="00907E8E">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AusNet Services </w:t>
      </w:r>
      <w:r w:rsidRPr="00D1603D">
        <w:rPr>
          <w:rStyle w:val="AERtextitalic"/>
        </w:rPr>
        <w:t>determination, Attachment 3: Rate of return</w:t>
      </w:r>
      <w:r>
        <w:t>, October 2015, pp. 196</w:t>
      </w:r>
      <w:r w:rsidRPr="00D1603D">
        <w:t>–</w:t>
      </w:r>
      <w:r>
        <w:t xml:space="preserve">9. Also see AER, </w:t>
      </w:r>
      <w:r w:rsidRPr="00D1603D">
        <w:rPr>
          <w:rStyle w:val="AERtextitalic"/>
        </w:rPr>
        <w:t>Explanatory statement to the rate of return guideline</w:t>
      </w:r>
      <w:r>
        <w:t>, December 2013, pp. 166</w:t>
      </w:r>
      <w:r>
        <w:rPr>
          <w:rFonts w:cs="Arial"/>
        </w:rPr>
        <w:t>–16</w:t>
      </w:r>
      <w:r>
        <w:t>7.</w:t>
      </w:r>
    </w:p>
  </w:footnote>
  <w:footnote w:id="620">
    <w:p w:rsidR="00E636A0" w:rsidRDefault="00E636A0" w:rsidP="00907E8E">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621">
    <w:p w:rsidR="00E636A0" w:rsidRDefault="00E636A0" w:rsidP="00907E8E">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622">
    <w:p w:rsidR="00E636A0" w:rsidRDefault="00E636A0" w:rsidP="00C04C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w:t>
      </w:r>
      <w:r w:rsidRPr="002C1145">
        <w:t xml:space="preserve">AusNet Transmission Group Pty Ltd, </w:t>
      </w:r>
      <w:r w:rsidRPr="00DC0445">
        <w:rPr>
          <w:i/>
        </w:rPr>
        <w:t>Transmission Revenue Review 2017–2022 regulatory proposal</w:t>
      </w:r>
      <w:r w:rsidRPr="002C1145">
        <w:t>, 30 October 2015</w:t>
      </w:r>
      <w:r>
        <w:t xml:space="preserve">, p. 267; AusNet Transmission Group Pty Ltd, </w:t>
      </w:r>
      <w:r w:rsidRPr="002E3613">
        <w:t>Transmission Revenue Review 2017–2022 regulatory proposal</w:t>
      </w:r>
      <w:r>
        <w:t xml:space="preserve">, 21 September 2016, pp. 159, 168; </w:t>
      </w:r>
      <w:r w:rsidRPr="009521D0">
        <w:t xml:space="preserve">TasNetworks, </w:t>
      </w:r>
      <w:r w:rsidRPr="009F6D5D">
        <w:rPr>
          <w:rStyle w:val="AERtextitalic"/>
        </w:rPr>
        <w:t>Tasmanian Distribution Regulatory Proposal 2017-2019</w:t>
      </w:r>
      <w:r w:rsidRPr="009521D0">
        <w:t>, 29 January</w:t>
      </w:r>
      <w:r>
        <w:t xml:space="preserve"> 2016</w:t>
      </w:r>
      <w:r w:rsidRPr="009521D0">
        <w:t xml:space="preserve">, </w:t>
      </w:r>
      <w:r>
        <w:t>p. 1</w:t>
      </w:r>
      <w:r w:rsidRPr="009521D0">
        <w:t>17.</w:t>
      </w:r>
      <w:r>
        <w:t xml:space="preserve"> Powerlink</w:t>
      </w:r>
      <w:r w:rsidRPr="009F6D5D">
        <w:rPr>
          <w:rStyle w:val="AERtextitalic"/>
        </w:rPr>
        <w:t>, 2018-2022 Revenue Proposal</w:t>
      </w:r>
      <w:r>
        <w:t>, January 2016, p. 91.</w:t>
      </w:r>
    </w:p>
  </w:footnote>
  <w:footnote w:id="623">
    <w:p w:rsidR="00E636A0" w:rsidRDefault="00E636A0" w:rsidP="00C04C58">
      <w:pPr>
        <w:pStyle w:val="FootnoteText"/>
      </w:pPr>
      <w:r>
        <w:rPr>
          <w:rStyle w:val="FootnoteReference"/>
        </w:rPr>
        <w:footnoteRef/>
      </w:r>
      <w:r>
        <w:t xml:space="preserve"> </w:t>
      </w:r>
      <w:r>
        <w:tab/>
        <w:t xml:space="preserve">For example, see AER, final decision-TransGrid Transmission determination 2015-16 to 2017-18, Attachment 3 - Rate of return, April 2015, p. 12-13; AER, </w:t>
      </w:r>
      <w:r>
        <w:rPr>
          <w:rStyle w:val="AERtextitalic"/>
        </w:rPr>
        <w:t xml:space="preserve">preliminary </w:t>
      </w:r>
      <w:r w:rsidRPr="005C6992">
        <w:rPr>
          <w:rStyle w:val="AERtextitalic"/>
        </w:rPr>
        <w:t>decision-AusNet Services distribution determination 2016 to 2020, Attachment 3: Rate of return</w:t>
      </w:r>
      <w:r>
        <w:t xml:space="preserve">, October 2015, p. 11; AER, </w:t>
      </w:r>
      <w:r w:rsidRPr="005C6992">
        <w:rPr>
          <w:rStyle w:val="AERtextitalic"/>
        </w:rPr>
        <w:t>final decision-AusNet Services distribution determination 2016 to 2020, Attachment 3: Rate of return</w:t>
      </w:r>
      <w:r>
        <w:t xml:space="preserve">, May 2016, p. 11; AER, </w:t>
      </w:r>
      <w:r w:rsidRPr="00D94B89">
        <w:t xml:space="preserve">Attachment 3 – </w:t>
      </w:r>
      <w:r>
        <w:t>Rate of return, d</w:t>
      </w:r>
      <w:r w:rsidRPr="00D94B89">
        <w:t>raft decision: AusNet Ser</w:t>
      </w:r>
      <w:r>
        <w:t>v</w:t>
      </w:r>
      <w:r w:rsidRPr="00D94B89">
        <w:t>ices transmission determination 2017–22</w:t>
      </w:r>
      <w:r>
        <w:t xml:space="preserve"> to 2021-2022, July 2016, p. 13.</w:t>
      </w:r>
    </w:p>
  </w:footnote>
  <w:footnote w:id="624">
    <w:p w:rsidR="00E636A0" w:rsidRDefault="00E636A0" w:rsidP="00C04C58">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625">
    <w:p w:rsidR="00E636A0" w:rsidRDefault="00E636A0" w:rsidP="00C04C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626">
    <w:p w:rsidR="00E636A0" w:rsidRDefault="00E636A0" w:rsidP="00C04C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152–157. See attachment 3 of our final decisions published in May 2016 for ActewAGL distribution (gas), AGN, APTNT, AusNet Services (distribution), CitiPower, Jemena Electricity Networks, Powercor, United Energy.</w:t>
      </w:r>
    </w:p>
  </w:footnote>
  <w:footnote w:id="627">
    <w:p w:rsidR="00E636A0" w:rsidRDefault="00E636A0" w:rsidP="00C04C58">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628">
    <w:p w:rsidR="00E636A0" w:rsidRDefault="00E636A0" w:rsidP="00C04C58">
      <w:pPr>
        <w:pStyle w:val="FootnoteText"/>
      </w:pPr>
      <w:r>
        <w:rPr>
          <w:rStyle w:val="FootnoteReference"/>
        </w:rPr>
        <w:footnoteRef/>
      </w:r>
      <w:r>
        <w:t xml:space="preserve"> </w:t>
      </w:r>
      <w:r>
        <w:tab/>
        <w:t>AusNet Transmission Group Pty Ltd, Transmission Revenue Review 2017</w:t>
      </w:r>
      <w:r w:rsidRPr="00883E95">
        <w:t>–</w:t>
      </w:r>
      <w:r>
        <w:t>2022 regulatory proposal, 30 October 2015, pp. 191, 196.</w:t>
      </w:r>
    </w:p>
  </w:footnote>
  <w:footnote w:id="629">
    <w:p w:rsidR="00E636A0" w:rsidRDefault="00E636A0" w:rsidP="00C04C58">
      <w:pPr>
        <w:pStyle w:val="FootnoteText"/>
      </w:pPr>
      <w:r>
        <w:rPr>
          <w:rStyle w:val="FootnoteReference"/>
        </w:rPr>
        <w:footnoteRef/>
      </w:r>
      <w:r>
        <w:t xml:space="preserve"> </w:t>
      </w:r>
      <w:r>
        <w:tab/>
        <w:t>AusNet Transmission Group Pty Ltd, Transmission Revenue Review 2017</w:t>
      </w:r>
      <w:r w:rsidRPr="00883E95">
        <w:t>–</w:t>
      </w:r>
      <w:r>
        <w:t>2022 revised regulatory proposal, 21 September 2016, pp. 137, 167.</w:t>
      </w:r>
    </w:p>
  </w:footnote>
  <w:footnote w:id="630">
    <w:p w:rsidR="00E636A0" w:rsidRDefault="00E636A0" w:rsidP="00C04C58">
      <w:pPr>
        <w:pStyle w:val="FootnoteText"/>
      </w:pPr>
      <w:r>
        <w:rPr>
          <w:rStyle w:val="FootnoteReference"/>
        </w:rPr>
        <w:footnoteRef/>
      </w:r>
      <w:r>
        <w:t xml:space="preserve"> </w:t>
      </w:r>
      <w:r>
        <w:tab/>
        <w:t>AusNet Transmission Group Pty Ltd, Transmission Revenue Review 2017</w:t>
      </w:r>
      <w:r w:rsidRPr="00883E95">
        <w:t>–</w:t>
      </w:r>
      <w:r>
        <w:t>2022 revised regulatory proposal, 21 September 2016, p. 159 .</w:t>
      </w:r>
    </w:p>
  </w:footnote>
  <w:footnote w:id="631">
    <w:p w:rsidR="00E636A0" w:rsidRDefault="00E636A0" w:rsidP="00C04C58">
      <w:pPr>
        <w:pStyle w:val="FootnoteText"/>
      </w:pPr>
      <w:r>
        <w:rPr>
          <w:rStyle w:val="FootnoteReference"/>
        </w:rPr>
        <w:footnoteRef/>
      </w:r>
      <w:r>
        <w:t xml:space="preserve"> </w:t>
      </w:r>
      <w:r>
        <w:tab/>
        <w:t>Powerlink, Queensland revenue proposal, January 2016; TasNetworks, Tasmanian distribution regulatory proposal: Regulatory control period 1 July 2017 to 30 June 2019, 29 January 2016. For our Guideline approach</w:t>
      </w:r>
    </w:p>
  </w:footnote>
  <w:footnote w:id="632">
    <w:p w:rsidR="00E636A0" w:rsidRDefault="00E636A0" w:rsidP="00C04C58">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633">
    <w:p w:rsidR="00E636A0" w:rsidRDefault="00E636A0" w:rsidP="00C04C58">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634">
    <w:p w:rsidR="00E636A0" w:rsidRDefault="00E636A0" w:rsidP="00C04C58">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635">
    <w:p w:rsidR="00E636A0" w:rsidRDefault="00E636A0" w:rsidP="00C04C58">
      <w:pPr>
        <w:pStyle w:val="FootnoteText"/>
      </w:pPr>
      <w:r>
        <w:rPr>
          <w:rStyle w:val="FootnoteReference"/>
        </w:rPr>
        <w:footnoteRef/>
      </w:r>
      <w:r>
        <w:t xml:space="preserve"> </w:t>
      </w:r>
      <w:r>
        <w:tab/>
        <w:t>CCP4, David Headberry, Submission to the Australian Energy Regulator,  Response to the Proposal from Tasmania's Electricity Distribution Network Service provider (TasNetworks - TND) for a revenue reset for the 2017-19 regulatory period, 4 May 2016, p. 44.</w:t>
      </w:r>
    </w:p>
  </w:footnote>
  <w:footnote w:id="636">
    <w:p w:rsidR="00E636A0" w:rsidRDefault="00E636A0" w:rsidP="00C04C58">
      <w:pPr>
        <w:pStyle w:val="FootnoteText"/>
      </w:pPr>
      <w:r>
        <w:rPr>
          <w:rStyle w:val="FootnoteReference"/>
        </w:rPr>
        <w:footnoteRef/>
      </w:r>
      <w:r>
        <w:t xml:space="preserve"> </w:t>
      </w:r>
      <w:r>
        <w:tab/>
        <w:t>CCP4, Hugh Grant and David Headberry, Submission to the AER, Powerlink Queensland 2018- 22 Revenue Proposal, June 2016, pp. 4, 34, 46.</w:t>
      </w:r>
    </w:p>
  </w:footnote>
  <w:footnote w:id="637">
    <w:p w:rsidR="00E636A0" w:rsidRDefault="00E636A0" w:rsidP="00C04C58">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638">
    <w:p w:rsidR="00E636A0" w:rsidRDefault="00E636A0" w:rsidP="00C04C58">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639">
    <w:p w:rsidR="00E636A0" w:rsidRDefault="00E636A0" w:rsidP="00C04C58">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640">
    <w:p w:rsidR="00E636A0" w:rsidRDefault="00E636A0" w:rsidP="00C04C58">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641">
    <w:p w:rsidR="00E636A0" w:rsidRDefault="00E636A0" w:rsidP="00C04C58">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642">
    <w:p w:rsidR="00E636A0" w:rsidRDefault="00E636A0" w:rsidP="00C04C58">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643">
    <w:p w:rsidR="00E636A0" w:rsidRDefault="00E636A0" w:rsidP="00C04C58">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644">
    <w:p w:rsidR="00E636A0" w:rsidRDefault="00E636A0" w:rsidP="00C04C58">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645">
    <w:p w:rsidR="00E636A0" w:rsidRDefault="00E636A0" w:rsidP="00C04C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 156; AER, </w:t>
      </w:r>
      <w:r w:rsidRPr="00B96D23">
        <w:rPr>
          <w:rStyle w:val="AERtextitalic"/>
        </w:rPr>
        <w:t>Preliminary decision AusNet distribution determination - Attachment 3 - Rate of return</w:t>
      </w:r>
      <w:r>
        <w:t>, October 2015, p. 214.</w:t>
      </w:r>
    </w:p>
  </w:footnote>
  <w:footnote w:id="646">
    <w:p w:rsidR="00E636A0" w:rsidRDefault="00E636A0" w:rsidP="00C04C58">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647">
    <w:p w:rsidR="00E636A0" w:rsidRDefault="00E636A0" w:rsidP="00BF2F91">
      <w:pPr>
        <w:pStyle w:val="FootnoteText"/>
      </w:pPr>
      <w:r>
        <w:rPr>
          <w:rStyle w:val="FootnoteReference"/>
        </w:rPr>
        <w:footnoteRef/>
      </w:r>
      <w:r>
        <w:t xml:space="preserve"> </w:t>
      </w:r>
      <w:r>
        <w:tab/>
        <w:t xml:space="preserve">The RBA data series is available on the RBA's website in Statistical Table F3: </w:t>
      </w:r>
      <w:hyperlink r:id="rId17" w:anchor="interest-rates" w:history="1">
        <w:r w:rsidRPr="00A452ED">
          <w:rPr>
            <w:rStyle w:val="Hyperlink"/>
            <w:sz w:val="16"/>
            <w:szCs w:val="16"/>
          </w:rPr>
          <w:t>http://www.rba.gov.au/statistics/tables/index.html#interest-rates</w:t>
        </w:r>
      </w:hyperlink>
    </w:p>
  </w:footnote>
  <w:footnote w:id="648">
    <w:p w:rsidR="00E636A0" w:rsidRDefault="00E636A0" w:rsidP="00BF2F91">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649">
    <w:p w:rsidR="00E636A0" w:rsidRDefault="00E636A0" w:rsidP="00BF2F91">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650">
    <w:p w:rsidR="00E636A0" w:rsidRDefault="00E636A0" w:rsidP="00BF2F91">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651">
    <w:p w:rsidR="00E636A0" w:rsidRPr="00B85376" w:rsidRDefault="00E636A0" w:rsidP="00BF2F91">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 3-201 to 3-216.</w:t>
      </w:r>
    </w:p>
  </w:footnote>
  <w:footnote w:id="652">
    <w:p w:rsidR="00E636A0" w:rsidRDefault="00E636A0" w:rsidP="00BF2F9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653">
    <w:p w:rsidR="00E636A0" w:rsidRDefault="00E636A0" w:rsidP="00BF2F91">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654">
    <w:p w:rsidR="00E636A0" w:rsidRDefault="00E636A0" w:rsidP="00BF2F91">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655">
    <w:p w:rsidR="00E636A0" w:rsidRDefault="00E636A0" w:rsidP="00BF2F91">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656">
    <w:p w:rsidR="00E636A0" w:rsidRDefault="00E636A0" w:rsidP="00BF2F91">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57">
    <w:p w:rsidR="00E636A0" w:rsidRPr="00465D99" w:rsidRDefault="00E636A0" w:rsidP="00BF2F9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658">
    <w:p w:rsidR="00E636A0" w:rsidRPr="00465D99" w:rsidRDefault="00E636A0" w:rsidP="00BF2F9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659">
    <w:p w:rsidR="00E636A0" w:rsidRDefault="00E636A0" w:rsidP="00BF2F91">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660">
    <w:p w:rsidR="00E636A0" w:rsidRDefault="00E636A0" w:rsidP="00BF2F91">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661">
    <w:p w:rsidR="00E636A0" w:rsidRDefault="00E636A0" w:rsidP="00BF2F9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662">
    <w:p w:rsidR="00E636A0" w:rsidRDefault="00E636A0" w:rsidP="00BF2F91">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63">
    <w:p w:rsidR="00E636A0" w:rsidRDefault="00E636A0" w:rsidP="00BF2F91">
      <w:pPr>
        <w:pStyle w:val="FootnoteText"/>
      </w:pPr>
      <w:r>
        <w:rPr>
          <w:rStyle w:val="FootnoteReference"/>
        </w:rPr>
        <w:footnoteRef/>
      </w:r>
      <w:r>
        <w:t xml:space="preserve"> </w:t>
      </w:r>
      <w:r>
        <w:tab/>
        <w:t>[2016] ACompT 1 at 263.</w:t>
      </w:r>
    </w:p>
  </w:footnote>
  <w:footnote w:id="664">
    <w:p w:rsidR="00E636A0" w:rsidRDefault="00E636A0" w:rsidP="00BF2F91">
      <w:pPr>
        <w:pStyle w:val="FootnoteText"/>
      </w:pPr>
      <w:r>
        <w:rPr>
          <w:rStyle w:val="FootnoteReference"/>
        </w:rPr>
        <w:footnoteRef/>
      </w:r>
      <w:r>
        <w:t xml:space="preserve"> </w:t>
      </w:r>
      <w:r>
        <w:tab/>
        <w:t>[2016] ACompT 1 at 265.</w:t>
      </w:r>
    </w:p>
  </w:footnote>
  <w:footnote w:id="665">
    <w:p w:rsidR="00E636A0" w:rsidRDefault="00E636A0" w:rsidP="00BF2F91">
      <w:pPr>
        <w:pStyle w:val="FootnoteText"/>
      </w:pPr>
      <w:r>
        <w:rPr>
          <w:rStyle w:val="FootnoteReference"/>
        </w:rPr>
        <w:footnoteRef/>
      </w:r>
      <w:r>
        <w:t xml:space="preserve"> </w:t>
      </w:r>
      <w:r>
        <w:tab/>
        <w:t>[2016] ACompT 1 at 265-6.</w:t>
      </w:r>
    </w:p>
  </w:footnote>
  <w:footnote w:id="666">
    <w:p w:rsidR="00E636A0" w:rsidRDefault="00E636A0" w:rsidP="00BF2F91">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667">
    <w:p w:rsidR="00E636A0" w:rsidRDefault="00E636A0" w:rsidP="00BF2F91">
      <w:pPr>
        <w:pStyle w:val="FootnoteText"/>
      </w:pPr>
      <w:r>
        <w:rPr>
          <w:rStyle w:val="FootnoteReference"/>
        </w:rPr>
        <w:footnoteRef/>
      </w:r>
      <w:r>
        <w:t xml:space="preserve"> </w:t>
      </w:r>
      <w:r>
        <w:tab/>
        <w:t xml:space="preserve">Electricity revised proposals— AusNet Transmission Group, </w:t>
      </w:r>
      <w:r>
        <w:rPr>
          <w:i/>
        </w:rPr>
        <w:t xml:space="preserve">Revised Revenue Proposal, </w:t>
      </w:r>
      <w:r>
        <w:t xml:space="preserve">September 2016, p. 155-178; Powerlink, </w:t>
      </w:r>
      <w:r w:rsidRPr="00414A87">
        <w:rPr>
          <w:i/>
        </w:rPr>
        <w:t>Revised Revenue Proposal</w:t>
      </w:r>
      <w:r>
        <w:t xml:space="preserve">, December 2016, p. iii. TasNetworks, </w:t>
      </w:r>
      <w:r w:rsidRPr="00414A87">
        <w:rPr>
          <w:i/>
        </w:rPr>
        <w:t>Tasmanian Distribution Regulatory Proposal</w:t>
      </w:r>
      <w:r>
        <w:t xml:space="preserve">, January 2016, p. 117, TasNetworks, </w:t>
      </w:r>
      <w:r w:rsidRPr="00414A87">
        <w:rPr>
          <w:i/>
        </w:rPr>
        <w:t>Tasmanian Distribution Revised Regulatory Proposal</w:t>
      </w:r>
      <w:r>
        <w:t>, December 2016, pp. 7.</w:t>
      </w:r>
    </w:p>
  </w:footnote>
  <w:footnote w:id="668">
    <w:p w:rsidR="00E636A0" w:rsidRDefault="00E636A0" w:rsidP="00BF2F91">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669">
    <w:p w:rsidR="00E636A0" w:rsidRDefault="00E636A0" w:rsidP="00BF2F91">
      <w:pPr>
        <w:pStyle w:val="FootnoteText"/>
      </w:pPr>
      <w:r>
        <w:rPr>
          <w:rStyle w:val="FootnoteReference"/>
        </w:rPr>
        <w:footnoteRef/>
      </w:r>
      <w:r>
        <w:t xml:space="preserve"> </w:t>
      </w:r>
      <w:r>
        <w:tab/>
      </w:r>
      <w:r w:rsidRPr="00C442AD">
        <w:t>[</w:t>
      </w:r>
      <w:r>
        <w:t xml:space="preserve">ACCC REU, </w:t>
      </w:r>
      <w:r w:rsidRPr="00C442AD">
        <w:rPr>
          <w:i/>
        </w:rPr>
        <w:t>Thomson Reuters Credit Curve Methodology</w:t>
      </w:r>
      <w:r>
        <w:t>, April 2017.]</w:t>
      </w:r>
    </w:p>
  </w:footnote>
  <w:footnote w:id="670">
    <w:p w:rsidR="00E636A0" w:rsidRDefault="00E636A0" w:rsidP="00BF2F91">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671">
    <w:p w:rsidR="00E636A0" w:rsidRDefault="00E636A0" w:rsidP="00BF2F91">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672">
    <w:p w:rsidR="00E636A0" w:rsidRDefault="00E636A0" w:rsidP="0082114E">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673">
    <w:p w:rsidR="00E636A0" w:rsidRDefault="00E636A0" w:rsidP="0082114E">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74">
    <w:p w:rsidR="00E636A0" w:rsidRDefault="00E636A0" w:rsidP="0082114E">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8"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75">
    <w:p w:rsidR="00E636A0" w:rsidRDefault="00E636A0" w:rsidP="0082114E">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676">
    <w:p w:rsidR="00E636A0" w:rsidRDefault="00E636A0" w:rsidP="0082114E">
      <w:pPr>
        <w:pStyle w:val="FootnoteText"/>
      </w:pPr>
      <w:r>
        <w:rPr>
          <w:rStyle w:val="FootnoteReference"/>
        </w:rPr>
        <w:footnoteRef/>
      </w:r>
      <w:r>
        <w:t xml:space="preserve"> </w:t>
      </w:r>
      <w:r>
        <w:tab/>
        <w:t>Specifically, from 15 September 2014 to 3 November 2014.</w:t>
      </w:r>
    </w:p>
  </w:footnote>
  <w:footnote w:id="677">
    <w:p w:rsidR="00E636A0" w:rsidRDefault="00E636A0" w:rsidP="0082114E">
      <w:pPr>
        <w:pStyle w:val="FootnoteText"/>
      </w:pPr>
      <w:r>
        <w:rPr>
          <w:rStyle w:val="FootnoteReference"/>
        </w:rPr>
        <w:footnoteRef/>
      </w:r>
      <w:r>
        <w:t xml:space="preserve"> </w:t>
      </w:r>
      <w:r>
        <w:tab/>
        <w:t>Specifically, 14 April 2015.</w:t>
      </w:r>
    </w:p>
  </w:footnote>
  <w:footnote w:id="678">
    <w:p w:rsidR="00E636A0" w:rsidRDefault="00E636A0" w:rsidP="0082114E">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679">
    <w:p w:rsidR="00E636A0" w:rsidRDefault="00E636A0" w:rsidP="0082114E">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680">
    <w:p w:rsidR="00E636A0" w:rsidRDefault="00E636A0" w:rsidP="00245D0E">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681">
    <w:p w:rsidR="00E636A0" w:rsidRDefault="00E636A0" w:rsidP="00245D0E">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682">
    <w:p w:rsidR="00E636A0" w:rsidRDefault="00E636A0" w:rsidP="00245D0E">
      <w:pPr>
        <w:pStyle w:val="FootnoteText"/>
      </w:pPr>
      <w:r>
        <w:rPr>
          <w:rStyle w:val="FootnoteReference"/>
        </w:rPr>
        <w:footnoteRef/>
      </w:r>
      <w:r>
        <w:t xml:space="preserve"> </w:t>
      </w:r>
      <w:r>
        <w:tab/>
        <w:t>NER, cl. 6.5.2(l) and cl. 6A.6.2(l).</w:t>
      </w:r>
    </w:p>
  </w:footnote>
  <w:footnote w:id="683">
    <w:p w:rsidR="00E636A0" w:rsidRDefault="00E636A0" w:rsidP="00245D0E">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684">
    <w:p w:rsidR="00E636A0" w:rsidRDefault="00E636A0" w:rsidP="00245D0E">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685">
    <w:p w:rsidR="00E636A0" w:rsidRDefault="00E636A0" w:rsidP="00245D0E">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686">
    <w:p w:rsidR="00E636A0" w:rsidRDefault="00E636A0" w:rsidP="00245D0E">
      <w:pPr>
        <w:pStyle w:val="FootnoteText"/>
      </w:pPr>
      <w:r>
        <w:rPr>
          <w:rStyle w:val="FootnoteReference"/>
        </w:rPr>
        <w:footnoteRef/>
      </w:r>
      <w:r>
        <w:t xml:space="preserve"> </w:t>
      </w:r>
      <w:r>
        <w:tab/>
        <w:t>Specifically, the spread to CGS.</w:t>
      </w:r>
    </w:p>
  </w:footnote>
  <w:footnote w:id="687">
    <w:p w:rsidR="00E636A0" w:rsidRDefault="00E636A0" w:rsidP="00245D0E">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688">
    <w:p w:rsidR="00E636A0" w:rsidRDefault="00E636A0" w:rsidP="00245D0E">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276.</w:t>
      </w:r>
    </w:p>
  </w:footnote>
  <w:footnote w:id="689">
    <w:p w:rsidR="00E636A0" w:rsidRDefault="00E636A0" w:rsidP="00245D0E">
      <w:pPr>
        <w:pStyle w:val="FootnoteText"/>
      </w:pPr>
      <w:r>
        <w:rPr>
          <w:rStyle w:val="FootnoteReference"/>
        </w:rPr>
        <w:footnoteRef/>
      </w:r>
      <w:r>
        <w:t xml:space="preserve"> </w:t>
      </w:r>
      <w:r>
        <w:tab/>
        <w:t>AusNet Services characterises</w:t>
      </w:r>
      <w:r w:rsidRPr="0018148E">
        <w:t xml:space="preserve"> </w:t>
      </w:r>
      <w:r>
        <w:t>a new issue premium as ‘t</w:t>
      </w:r>
      <w:r w:rsidRPr="000062C0">
        <w:t xml:space="preserve">he difference between the costs facing a business issuing bonds into the primary debt market </w:t>
      </w:r>
      <w:r>
        <w:t xml:space="preserve">[which would determine their effective cost of debt] </w:t>
      </w:r>
      <w:r w:rsidRPr="000062C0">
        <w:t>and trading in the secondary debt market</w:t>
      </w:r>
      <w:r>
        <w:t xml:space="preserve"> [which we use to estimate the debt allowance]’</w:t>
      </w:r>
      <w:r w:rsidDel="000062C0">
        <w:t xml:space="preserve"> </w:t>
      </w:r>
      <w:r>
        <w:t xml:space="preserve">. See AusNet Transmission Group Pty Ltd, </w:t>
      </w:r>
      <w:r w:rsidRPr="0047386D">
        <w:rPr>
          <w:i/>
        </w:rPr>
        <w:t>Transmission Revenue Review 2017</w:t>
      </w:r>
      <w:r w:rsidRPr="0047386D">
        <w:rPr>
          <w:rFonts w:cs="Arial"/>
          <w:i/>
        </w:rPr>
        <w:t>–</w:t>
      </w:r>
      <w:r w:rsidRPr="0047386D">
        <w:rPr>
          <w:i/>
        </w:rPr>
        <w:t>2022 regulatory proposal</w:t>
      </w:r>
      <w:r>
        <w:t>, 30 October 2015, p. 275.</w:t>
      </w:r>
    </w:p>
  </w:footnote>
  <w:footnote w:id="690">
    <w:p w:rsidR="00E636A0" w:rsidRDefault="00E636A0" w:rsidP="00245D0E">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691">
    <w:p w:rsidR="00E636A0" w:rsidRDefault="00E636A0" w:rsidP="00245D0E">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692">
    <w:p w:rsidR="00E636A0" w:rsidRDefault="00E636A0" w:rsidP="00245D0E">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693">
    <w:p w:rsidR="00E636A0" w:rsidRDefault="00E636A0" w:rsidP="00245D0E">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694">
    <w:p w:rsidR="00E636A0" w:rsidRDefault="00E636A0" w:rsidP="00245D0E">
      <w:pPr>
        <w:pStyle w:val="FootnoteText"/>
      </w:pPr>
      <w:r>
        <w:rPr>
          <w:rStyle w:val="FootnoteReference"/>
        </w:rPr>
        <w:footnoteRef/>
      </w:r>
      <w:r>
        <w:t xml:space="preserve"> </w:t>
      </w:r>
      <w:r>
        <w:tab/>
        <w:t>TasNetworks</w:t>
      </w:r>
      <w:r w:rsidRPr="00C808D5">
        <w:rPr>
          <w:rStyle w:val="AERtextitalic"/>
        </w:rPr>
        <w:t xml:space="preserve">, </w:t>
      </w:r>
      <w:r>
        <w:rPr>
          <w:rStyle w:val="AERtextitalic"/>
        </w:rPr>
        <w:t xml:space="preserve">Letter from John Sayers Program Leader Revenue Resets TasNetworks to Chris Pattas General Manager AER - Averaging periods to estimate the allowed return on debt, </w:t>
      </w:r>
      <w:r>
        <w:t>23 December 2015</w:t>
      </w:r>
    </w:p>
  </w:footnote>
  <w:footnote w:id="695">
    <w:p w:rsidR="00E636A0" w:rsidRDefault="00E636A0" w:rsidP="00245D0E">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696">
    <w:p w:rsidR="00E636A0" w:rsidRDefault="00E636A0" w:rsidP="00245D0E">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697">
    <w:p w:rsidR="00E636A0" w:rsidRDefault="00E636A0" w:rsidP="00245D0E">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698">
    <w:p w:rsidR="00E636A0" w:rsidRDefault="00E636A0" w:rsidP="00AC6390">
      <w:pPr>
        <w:pStyle w:val="FootnoteText"/>
      </w:pPr>
      <w:r>
        <w:rPr>
          <w:rStyle w:val="FootnoteReference"/>
        </w:rPr>
        <w:footnoteRef/>
      </w:r>
      <w:r>
        <w:t xml:space="preserve"> </w:t>
      </w:r>
      <w:r>
        <w:tab/>
        <w:t xml:space="preserve">Clause </w:t>
      </w:r>
      <w:r w:rsidRPr="00827C64">
        <w:t xml:space="preserve">6.18.2(a)(2) </w:t>
      </w:r>
      <w:r>
        <w:t xml:space="preserve">of the NER </w:t>
      </w:r>
      <w:r w:rsidRPr="00827C64">
        <w:t xml:space="preserve">requires </w:t>
      </w:r>
      <w:r>
        <w:t>electricity distributors</w:t>
      </w:r>
      <w:r w:rsidRPr="00827C64">
        <w:t xml:space="preserve"> to submit their annual pricing proposals to us at least 2 months before the commencement of the second and each subsequent regulatory year of the regulatory control period. </w:t>
      </w:r>
      <w:r>
        <w:t xml:space="preserve">For the Victorian distributors, each regulatory year commences at the start of the calendar year (1 January). </w:t>
      </w:r>
      <w:r w:rsidRPr="00827C64">
        <w:t xml:space="preserve">For non-Victorian </w:t>
      </w:r>
      <w:r>
        <w:t>distributors</w:t>
      </w:r>
      <w:r w:rsidRPr="00827C64">
        <w:t>, each regulatory year commences at the start of the financial year</w:t>
      </w:r>
      <w:r>
        <w:t xml:space="preserve"> (1 July)</w:t>
      </w:r>
      <w:r w:rsidRPr="00827C64">
        <w:t>.</w:t>
      </w:r>
    </w:p>
  </w:footnote>
  <w:footnote w:id="699">
    <w:p w:rsidR="00E636A0" w:rsidRDefault="00E636A0" w:rsidP="00AC6390">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700">
    <w:p w:rsidR="00E636A0" w:rsidRDefault="00E636A0" w:rsidP="00AC6390">
      <w:pPr>
        <w:pStyle w:val="FootnoteText"/>
      </w:pPr>
      <w:r>
        <w:rPr>
          <w:rStyle w:val="FootnoteReference"/>
        </w:rPr>
        <w:footnoteRef/>
      </w:r>
      <w:r>
        <w:t xml:space="preserve"> </w:t>
      </w:r>
      <w:r>
        <w:tab/>
      </w:r>
      <w:r w:rsidRPr="00827C64">
        <w:t xml:space="preserve">See </w:t>
      </w:r>
      <w:r w:rsidRPr="000B49EB">
        <w:t xml:space="preserve">AEMC, </w:t>
      </w:r>
      <w:r w:rsidRPr="000B49EB">
        <w:rPr>
          <w:rStyle w:val="AERtextitalic"/>
        </w:rPr>
        <w:t>Distribution network pricing arrangements, rule determination</w:t>
      </w:r>
      <w:r>
        <w:t>, 27 November 2014, pp</w:t>
      </w:r>
      <w:r w:rsidRPr="00827C64">
        <w:t xml:space="preserve">. </w:t>
      </w:r>
      <w:r>
        <w:t xml:space="preserve">57, 95, 103. </w:t>
      </w:r>
      <w:r w:rsidRPr="00827C64">
        <w:t xml:space="preserve">Victorian </w:t>
      </w:r>
      <w:r>
        <w:t>distributors</w:t>
      </w:r>
      <w:r w:rsidRPr="00827C64">
        <w:t xml:space="preserve"> will be required to submit their annual pricing proposals to us no later than 30 September. This is because the pricing process in Victoria operates on calendar years, rather than financial years.</w:t>
      </w:r>
    </w:p>
  </w:footnote>
  <w:footnote w:id="701">
    <w:p w:rsidR="00E636A0" w:rsidRDefault="00E636A0">
      <w:pPr>
        <w:pStyle w:val="FootnoteText"/>
      </w:pPr>
      <w:r>
        <w:rPr>
          <w:rStyle w:val="FootnoteReference"/>
        </w:rPr>
        <w:footnoteRef/>
      </w:r>
      <w:r>
        <w:t xml:space="preserve"> </w:t>
      </w:r>
      <w:r>
        <w:tab/>
      </w:r>
      <w:r w:rsidRPr="0084079E">
        <w:t xml:space="preserve">AER, </w:t>
      </w:r>
      <w:r w:rsidRPr="00185FF8">
        <w:rPr>
          <w:rStyle w:val="Emphasis"/>
        </w:rPr>
        <w:t>Rate of return guideline</w:t>
      </w:r>
      <w:r w:rsidRPr="0084079E">
        <w:t xml:space="preserve">, December 2013, p. 9. AusNet Transmission Group Pty Ltd, </w:t>
      </w:r>
      <w:r w:rsidRPr="00185FF8">
        <w:rPr>
          <w:rStyle w:val="Emphasis"/>
        </w:rPr>
        <w:t>Transmission Revenue Review 2017–2022 regulatory proposal</w:t>
      </w:r>
      <w:r w:rsidRPr="0084079E">
        <w:t xml:space="preserve">, 30 October 2015, p. 191. </w:t>
      </w:r>
      <w:r>
        <w:t xml:space="preserve"> </w:t>
      </w:r>
    </w:p>
  </w:footnote>
  <w:footnote w:id="702">
    <w:p w:rsidR="00E636A0" w:rsidRDefault="00E636A0">
      <w:pPr>
        <w:pStyle w:val="FootnoteText"/>
      </w:pPr>
      <w:r>
        <w:rPr>
          <w:rStyle w:val="FootnoteReference"/>
        </w:rPr>
        <w:footnoteRef/>
      </w:r>
      <w:r>
        <w:t xml:space="preserve"> </w:t>
      </w:r>
      <w:r>
        <w:tab/>
        <w:t xml:space="preserve">That is if a service provider had a gearing ratio that was significantly different to the benchmark gearing ratio, then we would consider any implications of this for including that service provider within the sample used to estimate the industry median credit rating. </w:t>
      </w:r>
    </w:p>
  </w:footnote>
  <w:footnote w:id="703">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191-192.</w:t>
      </w:r>
    </w:p>
  </w:footnote>
  <w:footnote w:id="704">
    <w:p w:rsidR="00E636A0" w:rsidRDefault="00E636A0" w:rsidP="00762CF4">
      <w:pPr>
        <w:pStyle w:val="FootnoteText"/>
      </w:pPr>
      <w:r>
        <w:rPr>
          <w:rStyle w:val="FootnoteReference"/>
        </w:rPr>
        <w:footnoteRef/>
      </w:r>
      <w:r>
        <w:t xml:space="preserve"> </w:t>
      </w:r>
      <w:r>
        <w:tab/>
        <w:t>See: Application by SA Power Networks [2016] ACompT 11, para 614.</w:t>
      </w:r>
    </w:p>
  </w:footnote>
  <w:footnote w:id="705">
    <w:p w:rsidR="00E636A0" w:rsidRDefault="00E636A0" w:rsidP="00762CF4">
      <w:pPr>
        <w:pStyle w:val="FootnoteText"/>
      </w:pPr>
      <w:r>
        <w:rPr>
          <w:rStyle w:val="FootnoteReference"/>
        </w:rPr>
        <w:footnoteRef/>
      </w:r>
      <w:r>
        <w:t xml:space="preserve"> </w:t>
      </w:r>
      <w:r>
        <w:tab/>
        <w:t>Including</w:t>
      </w:r>
      <w:r w:rsidRPr="00DA54AC">
        <w:t xml:space="preserve"> </w:t>
      </w:r>
      <w:r>
        <w:t xml:space="preserve">ActewAGL, </w:t>
      </w:r>
      <w:r>
        <w:rPr>
          <w:rStyle w:val="AERtextitalic"/>
        </w:rPr>
        <w:t>Appendix 5.01: Detailed response to rate of return, gamma and inflation</w:t>
      </w:r>
      <w:r>
        <w:t xml:space="preserve">, January 2016, p. 135; AusNet Transmission Group Pty Ltd, </w:t>
      </w:r>
      <w:r w:rsidRPr="00A51CD5">
        <w:rPr>
          <w:rStyle w:val="AERtextitalic"/>
        </w:rPr>
        <w:t>Transmission Revenue Review 2017-2022 Revised Revenue Proposal</w:t>
      </w:r>
      <w:r>
        <w:t xml:space="preserve">, 21 September 2016, pp. 178-194; AusNet Services, </w:t>
      </w:r>
      <w:r w:rsidRPr="005C2943">
        <w:rPr>
          <w:rStyle w:val="AERtextitalic"/>
        </w:rPr>
        <w:t>R</w:t>
      </w:r>
      <w:r>
        <w:rPr>
          <w:rStyle w:val="AERtextitalic"/>
        </w:rPr>
        <w:t>evised regulatory p</w:t>
      </w:r>
      <w:r w:rsidRPr="005C2943">
        <w:rPr>
          <w:rStyle w:val="AERtextitalic"/>
        </w:rPr>
        <w:t>roposal</w:t>
      </w:r>
      <w:r w:rsidRPr="00EC24CF">
        <w:t xml:space="preserve">, </w:t>
      </w:r>
      <w:r>
        <w:t>January 2016, pp. 7-96</w:t>
      </w:r>
      <w:r w:rsidRPr="000641C7">
        <w:t>–</w:t>
      </w:r>
      <w:r>
        <w:t>7-102;</w:t>
      </w:r>
      <w:r w:rsidRPr="00DA54AC">
        <w:t xml:space="preserve"> </w:t>
      </w:r>
      <w:r>
        <w:t xml:space="preserve">AGN, </w:t>
      </w:r>
      <w:r>
        <w:rPr>
          <w:rStyle w:val="AERtextitalic"/>
        </w:rPr>
        <w:t>Attachment 9.3 Response to draft decision: Inflation</w:t>
      </w:r>
      <w:r>
        <w:t xml:space="preserve">, January 2016, p. 6.; JEN, </w:t>
      </w:r>
      <w:r w:rsidRPr="00086BBC">
        <w:rPr>
          <w:rStyle w:val="AERtextitalic"/>
        </w:rPr>
        <w:t>Revocation and substitution submission, Attachment 6-1 Rate of return, gamma, forecast inflation, and debt and equity raising costs</w:t>
      </w:r>
      <w:r>
        <w:t xml:space="preserve">, January 2016, p. 111; SA Power Networks, </w:t>
      </w:r>
      <w:r w:rsidRPr="004C08AC">
        <w:rPr>
          <w:rStyle w:val="AERtextitalic"/>
        </w:rPr>
        <w:t>Revised Regulatory Proposal 2015-20</w:t>
      </w:r>
      <w:r>
        <w:t xml:space="preserve">, 3 July 2015, pp. 393-399; </w:t>
      </w:r>
      <w:r w:rsidRPr="00EC24CF">
        <w:t xml:space="preserve">United Energy, </w:t>
      </w:r>
      <w:r w:rsidRPr="005C2943">
        <w:rPr>
          <w:rStyle w:val="AERtextitalic"/>
        </w:rPr>
        <w:t>Regulatory Proposal</w:t>
      </w:r>
      <w:r w:rsidRPr="00EC24CF">
        <w:t xml:space="preserve">, </w:t>
      </w:r>
      <w:r>
        <w:t xml:space="preserve">April 2015, </w:t>
      </w:r>
      <w:r w:rsidRPr="00EC24CF">
        <w:t>p. 105</w:t>
      </w:r>
      <w:r>
        <w:t xml:space="preserve">; United Energy, </w:t>
      </w:r>
      <w:r w:rsidRPr="00572480">
        <w:rPr>
          <w:rStyle w:val="AERtextitalic"/>
        </w:rPr>
        <w:t>Response to AER preliminary decision re: rate of return and gamma</w:t>
      </w:r>
      <w:r>
        <w:t>, 6 January 2016, p. 103.</w:t>
      </w:r>
    </w:p>
    <w:p w:rsidR="00E636A0" w:rsidRDefault="00E636A0" w:rsidP="00762CF4">
      <w:pPr>
        <w:pStyle w:val="FootnoteText"/>
      </w:pPr>
      <w:r>
        <w:tab/>
        <w:t>CitiPower and Powercor</w:t>
      </w:r>
      <w:r w:rsidDel="008F2186">
        <w:t xml:space="preserve"> </w:t>
      </w:r>
      <w:r>
        <w:t xml:space="preserve">proposed the RBA forecasts and target band approach, but also submitted that the break-even approach would be 'superior' and would result in the 'best estimate' (CitiPower, </w:t>
      </w:r>
      <w:r w:rsidRPr="000B2E88">
        <w:rPr>
          <w:rStyle w:val="AERtextitalic"/>
        </w:rPr>
        <w:t>Revised regulatory proposal</w:t>
      </w:r>
      <w:r>
        <w:t>, January 2016, pp. 376</w:t>
      </w:r>
      <w:r w:rsidRPr="000641C7">
        <w:t>–</w:t>
      </w:r>
      <w:r>
        <w:t xml:space="preserve">383; Powercor, </w:t>
      </w:r>
      <w:r w:rsidRPr="000B2E88">
        <w:rPr>
          <w:rStyle w:val="AERtextitalic"/>
        </w:rPr>
        <w:t>Revised regulatory proposal</w:t>
      </w:r>
      <w:r>
        <w:t>, January 2016, p. 377).</w:t>
      </w:r>
    </w:p>
  </w:footnote>
  <w:footnote w:id="706">
    <w:p w:rsidR="00E636A0" w:rsidRDefault="00E636A0" w:rsidP="00762CF4">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xml:space="preserve">, 29 January 2016, p. 117; Powerlink Queensland, </w:t>
      </w:r>
      <w:r w:rsidRPr="006C0405">
        <w:rPr>
          <w:rStyle w:val="AERtextitalic"/>
        </w:rPr>
        <w:t>201</w:t>
      </w:r>
      <w:r>
        <w:rPr>
          <w:rStyle w:val="AERtextitalic"/>
        </w:rPr>
        <w:t>8</w:t>
      </w:r>
      <w:r w:rsidRPr="006C0405">
        <w:rPr>
          <w:rStyle w:val="AERtextitalic"/>
        </w:rPr>
        <w:t xml:space="preserve">–2022 </w:t>
      </w:r>
      <w:r>
        <w:rPr>
          <w:rStyle w:val="AERtextitalic"/>
        </w:rPr>
        <w:t>Powerlink Queensland revenue</w:t>
      </w:r>
      <w:r w:rsidRPr="006C0405">
        <w:rPr>
          <w:rStyle w:val="AERtextitalic"/>
        </w:rPr>
        <w:t xml:space="preserve"> proposal</w:t>
      </w:r>
      <w:r>
        <w:t>, 31 January 2016, p. 95.</w:t>
      </w:r>
    </w:p>
  </w:footnote>
  <w:footnote w:id="707">
    <w:p w:rsidR="00E636A0" w:rsidRDefault="00E636A0" w:rsidP="00762CF4">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 5.</w:t>
      </w:r>
    </w:p>
  </w:footnote>
  <w:footnote w:id="708">
    <w:p w:rsidR="00E636A0" w:rsidRDefault="00E636A0" w:rsidP="00762CF4">
      <w:pPr>
        <w:pStyle w:val="FootnoteText"/>
      </w:pPr>
      <w:r w:rsidRPr="004D069F">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paragraphs 200-204.</w:t>
      </w:r>
    </w:p>
  </w:footnote>
  <w:footnote w:id="709">
    <w:p w:rsidR="00E636A0" w:rsidRDefault="00E636A0" w:rsidP="00762CF4">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paragraphs 214-221.</w:t>
      </w:r>
    </w:p>
  </w:footnote>
  <w:footnote w:id="710">
    <w:p w:rsidR="00E636A0" w:rsidRDefault="00E636A0" w:rsidP="00762CF4">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21</w:t>
      </w:r>
      <w:r>
        <w:t>3</w:t>
      </w:r>
      <w:r w:rsidRPr="00C371CA">
        <w:t>.</w:t>
      </w:r>
    </w:p>
  </w:footnote>
  <w:footnote w:id="711">
    <w:p w:rsidR="00E636A0" w:rsidRDefault="00E636A0" w:rsidP="00762CF4">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w:t>
      </w:r>
      <w:r>
        <w:t>22</w:t>
      </w:r>
      <w:r w:rsidRPr="00C371CA">
        <w:t>-22</w:t>
      </w:r>
      <w:r>
        <w:t>3</w:t>
      </w:r>
      <w:r w:rsidRPr="00C371CA">
        <w:t>.</w:t>
      </w:r>
    </w:p>
  </w:footnote>
  <w:footnote w:id="712">
    <w:p w:rsidR="00E636A0" w:rsidRDefault="00E636A0" w:rsidP="00762CF4">
      <w:pPr>
        <w:pStyle w:val="FootnoteText"/>
      </w:pPr>
      <w:r w:rsidRPr="004D069F">
        <w:rPr>
          <w:rStyle w:val="FootnoteReference"/>
        </w:rPr>
        <w:footnoteRef/>
      </w:r>
      <w:r>
        <w:rPr>
          <w:rFonts w:eastAsia="Arial Unicode MS" w:cs="Arial Unicode MS"/>
        </w:rPr>
        <w:t xml:space="preserve"> </w:t>
      </w:r>
      <w:r>
        <w:rPr>
          <w:rFonts w:eastAsia="Arial Unicode MS" w:cs="Arial Unicode MS"/>
        </w:rPr>
        <w:tab/>
        <w:t>Carolin Pflueger and Luis Viceira (2015), ‘Return Predictability in the Treasury Market: Real Rates, Inflation, and Liquidity’, Working Paper, p. 12 and p. 16, Table IIA; Matthias Fleckenstein, Francis Longstaff and Hanno Lustig (2014), ‘The TIPS-Treasury Bonds Puzzle’, The Journal of Finance, 69(5), October, pp. 2151-2197; Zhuoshi Liu, Elisabeth Vangelista, Iryna Kaminski and Jon Relleen (2015), ‘The informational content of market-based measures of inflation expectations derived from government bonds and inflation swaps in the United Kingdom’, Staff Working Paper No. 551, Bank of England, pp. 1-36;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713">
    <w:p w:rsidR="00E636A0" w:rsidRDefault="00E636A0" w:rsidP="00762CF4">
      <w:pPr>
        <w:pStyle w:val="FootnoteText"/>
      </w:pPr>
      <w:r>
        <w:rPr>
          <w:rStyle w:val="FootnoteReference"/>
        </w:rPr>
        <w:footnoteRef/>
      </w:r>
      <w:r>
        <w:t xml:space="preserve"> </w:t>
      </w:r>
      <w:r>
        <w:tab/>
        <w:t xml:space="preserve">This point is also noted by CEG, see: CEG, </w:t>
      </w:r>
      <w:r w:rsidRPr="00A51CD5">
        <w:rPr>
          <w:rStyle w:val="AERtextitalic"/>
        </w:rPr>
        <w:t>Best Estimate of Expected Inflation</w:t>
      </w:r>
      <w:r>
        <w:t>,</w:t>
      </w:r>
      <w:r w:rsidRPr="00215774">
        <w:t xml:space="preserve"> September 2016</w:t>
      </w:r>
      <w:r>
        <w:t>, p. 45.</w:t>
      </w:r>
    </w:p>
  </w:footnote>
  <w:footnote w:id="714">
    <w:p w:rsidR="00E636A0" w:rsidRDefault="00E636A0" w:rsidP="00762CF4">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#11, April 2017, paragraph 213, 219-220.</w:t>
      </w:r>
    </w:p>
  </w:footnote>
  <w:footnote w:id="715">
    <w:p w:rsidR="00E636A0" w:rsidRDefault="00E636A0" w:rsidP="00762CF4">
      <w:pPr>
        <w:pStyle w:val="FootnoteText"/>
      </w:pPr>
      <w:r>
        <w:rPr>
          <w:vertAlign w:val="superscript"/>
        </w:rPr>
        <w:footnoteRef/>
      </w:r>
      <w:r>
        <w:rPr>
          <w:rFonts w:eastAsia="Arial Unicode MS" w:cs="Arial Unicode MS"/>
        </w:rPr>
        <w:t xml:space="preserve"> </w:t>
      </w:r>
      <w:r>
        <w:rPr>
          <w:rFonts w:eastAsia="Arial Unicode MS" w:cs="Arial Unicode MS"/>
        </w:rPr>
        <w:tab/>
        <w:t>Stefania D’Amico, Don Kim and Min Wei (2016), ‘Tips from TIPS: The informational content of Treasury Inflation-Protected Security prices’, Finance and Economics Discussion Series, Divisions of Research and Statistics and Monetary Affairs, Federal Reserve Board, 2014-24, p. 37.</w:t>
      </w:r>
    </w:p>
  </w:footnote>
  <w:footnote w:id="716">
    <w:p w:rsidR="00E636A0" w:rsidRDefault="00E636A0" w:rsidP="00762CF4">
      <w:pPr>
        <w:pStyle w:val="FootnoteText"/>
      </w:pPr>
      <w:r w:rsidRPr="00FD18B1">
        <w:rPr>
          <w:rStyle w:val="FootnoteReference"/>
        </w:rPr>
        <w:footnoteRef/>
      </w:r>
      <w:r>
        <w:t xml:space="preserve"> </w:t>
      </w:r>
      <w:r>
        <w:tab/>
        <w:t>In practice, only one cash payment is actually made, being the difference between the pre-determined fixed rate and the actual CPI.</w:t>
      </w:r>
    </w:p>
  </w:footnote>
  <w:footnote w:id="717">
    <w:p w:rsidR="00E636A0" w:rsidRPr="00EE5409" w:rsidRDefault="00E636A0" w:rsidP="00762CF4">
      <w:pPr>
        <w:pStyle w:val="FootnoteText"/>
      </w:pPr>
      <w:r w:rsidRPr="00BB271E">
        <w:rPr>
          <w:rStyle w:val="FootnoteReference"/>
          <w:rFonts w:asciiTheme="minorHAnsi" w:hAnsiTheme="minorHAnsi" w:cstheme="minorHAnsi"/>
          <w:sz w:val="17"/>
          <w:szCs w:val="17"/>
        </w:rPr>
        <w:footnoteRef/>
      </w:r>
      <w:r w:rsidRPr="00BB271E">
        <w:t xml:space="preserve"> </w:t>
      </w:r>
      <w:r>
        <w:tab/>
      </w:r>
      <w:r w:rsidRPr="00DD24C5">
        <w:t>Charles Howard and Louis D’Antonio (1994), ‘The Cost of Hedging and the Optimal Hedge Ratio’, The Journal of Futures Markets, 14(2), pp. 237-238.</w:t>
      </w:r>
    </w:p>
  </w:footnote>
  <w:footnote w:id="718">
    <w:p w:rsidR="00E636A0" w:rsidRPr="00EE5409" w:rsidRDefault="00E636A0" w:rsidP="00762CF4">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Kieran Davies, Felicity Emmett and Denise Wong (2010), ‘Submission to the 16th Series Consumer Price Review’ Australia/NZ Strategy and Economics, The Royal Bank of Scotland, 12 March, p. 9.</w:t>
      </w:r>
    </w:p>
  </w:footnote>
  <w:footnote w:id="719">
    <w:p w:rsidR="00E636A0" w:rsidRPr="0046733A" w:rsidRDefault="00E636A0" w:rsidP="00762CF4">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 xml:space="preserve">Arroub Zine-eddine (2014), OpenGamma Quantitative Research, ‘Inflation: Instruments and curve construction’, January, p. 2. </w:t>
      </w:r>
    </w:p>
  </w:footnote>
  <w:footnote w:id="720">
    <w:p w:rsidR="00E636A0" w:rsidRPr="0046733A" w:rsidRDefault="00E636A0" w:rsidP="00762CF4">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Matthew Hurd and Jon Relleen (2006), ‘New information from inflation swaps and index-linked bonds’, Bank of England Quarterly Bulletin, Spring, p. 27.</w:t>
      </w:r>
    </w:p>
  </w:footnote>
  <w:footnote w:id="721">
    <w:p w:rsidR="00E636A0" w:rsidRDefault="00E636A0" w:rsidP="00762CF4">
      <w:pPr>
        <w:pStyle w:val="FootnoteText"/>
      </w:pPr>
      <w:r>
        <w:rPr>
          <w:rStyle w:val="FootnoteReference"/>
        </w:rPr>
        <w:footnoteRef/>
      </w:r>
      <w:r>
        <w:t xml:space="preserve"> </w:t>
      </w:r>
      <w:r>
        <w:tab/>
        <w:t xml:space="preserve">See Mathysen, </w:t>
      </w:r>
      <w:r w:rsidRPr="009B20F9">
        <w:rPr>
          <w:rStyle w:val="AERtextitalic"/>
        </w:rPr>
        <w:t>Best estimates of expected inflation: a comparative assessment of four methods</w:t>
      </w:r>
      <w:r>
        <w:t xml:space="preserve">, ACCC Working Paper #11, April 2017, paragraphs 174-178. </w:t>
      </w:r>
    </w:p>
  </w:footnote>
  <w:footnote w:id="722">
    <w:p w:rsidR="00E636A0" w:rsidRDefault="00E636A0" w:rsidP="00762CF4">
      <w:pPr>
        <w:pStyle w:val="FootnoteText"/>
      </w:pPr>
      <w:r w:rsidRPr="00272C0C">
        <w:rPr>
          <w:rStyle w:val="FootnoteReference"/>
        </w:rPr>
        <w:footnoteRef/>
      </w:r>
      <w:r>
        <w:rPr>
          <w:rFonts w:eastAsia="Arial Unicode MS" w:cs="Arial Unicode MS"/>
        </w:rPr>
        <w:t xml:space="preserve"> </w:t>
      </w:r>
      <w:r>
        <w:rPr>
          <w:rFonts w:eastAsia="Arial Unicode MS" w:cs="Arial Unicode MS"/>
        </w:rPr>
        <w:tab/>
        <w:t>See also: Richard Finlay and David Olivan (2012), ‘Extracting Information from Financial Market Instruments’, RBA Bulletin, March Quarter, pp. 45-46; Reserve Bank of Australia (2015), Statement on Monetary Policy, February, p. 50; Joseph Haubrich, George Pennachi and Peter Ritchken (2012), ‘Inflation Expectations, Real Rates, and Risk Premia: Evidence from Inflation Swaps’, The Review of Financial Studies, 25(2), p. 1590; Zhuoshi Liu, Elisabeth Vangelista, Iryna Kaminski and Jon Relleen (2015), ‘The informational content of market-based measures of inflation expectations derived from government bonds and inflation swaps in the United Kingdom’, Staff Working Paper No. 551, Bank of England, p. 2; Carolin Pflueger and Luis Viceira (2015), ‘Return Predictability in the Treasury Market: Real Rates, Inflation, and Liquidity’, Working Paper, p. 12, p. 16 and Table IIA;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723">
    <w:p w:rsidR="00E636A0" w:rsidRDefault="00E636A0" w:rsidP="006051BD">
      <w:pPr>
        <w:pStyle w:val="FootnoteText"/>
      </w:pPr>
      <w:r>
        <w:rPr>
          <w:rStyle w:val="FootnoteReference"/>
        </w:rPr>
        <w:footnoteRef/>
      </w:r>
      <w:r>
        <w:t xml:space="preserve"> </w:t>
      </w:r>
      <w:r>
        <w:tab/>
        <w:t xml:space="preserve">AusNet Services, </w:t>
      </w:r>
      <w:r w:rsidRPr="00680BC2">
        <w:rPr>
          <w:rStyle w:val="Emphasis"/>
        </w:rPr>
        <w:t>AusNet Transmission Group Pty Ltd Transmission revised revenue review 2017–22</w:t>
      </w:r>
      <w:r w:rsidRPr="00680BC2">
        <w:t xml:space="preserve">, 21 </w:t>
      </w:r>
      <w:r>
        <w:t xml:space="preserve">September 2016, p. 143. </w:t>
      </w:r>
    </w:p>
    <w:p w:rsidR="00E636A0" w:rsidRDefault="00E636A0" w:rsidP="006051BD">
      <w:pPr>
        <w:pStyle w:val="FootnoteText"/>
      </w:pPr>
      <w:r>
        <w:rPr>
          <w:rStyle w:val="FootnoteReference"/>
        </w:rPr>
        <w:footnoteRef/>
      </w:r>
      <w:r>
        <w:t xml:space="preserve"> </w:t>
      </w:r>
      <w:r>
        <w:tab/>
      </w:r>
      <w:r w:rsidRPr="00680BC2">
        <w:t xml:space="preserve">AusNet Services, </w:t>
      </w:r>
      <w:r w:rsidRPr="00680BC2">
        <w:rPr>
          <w:rStyle w:val="Emphasis"/>
        </w:rPr>
        <w:t>AusNet Transmission Group Pty Ltd Transmission revised revenue review 2017–22</w:t>
      </w:r>
      <w:r>
        <w:rPr>
          <w:rStyle w:val="Emphasis"/>
        </w:rPr>
        <w:t xml:space="preserve">, </w:t>
      </w:r>
      <w:r w:rsidRPr="00680BC2">
        <w:t>September 2016, p</w:t>
      </w:r>
      <w:r>
        <w:t>. 138;</w:t>
      </w:r>
      <w:r w:rsidRPr="00680BC2">
        <w:t>,</w:t>
      </w:r>
    </w:p>
  </w:footnote>
  <w:footnote w:id="724">
    <w:p w:rsidR="00E636A0" w:rsidRDefault="00E636A0" w:rsidP="000A0378">
      <w:pPr>
        <w:pStyle w:val="FootnoteText"/>
      </w:pPr>
      <w:r>
        <w:rPr>
          <w:rStyle w:val="FootnoteReference"/>
        </w:rPr>
        <w:footnoteRef/>
      </w:r>
      <w:r>
        <w:t xml:space="preserve"> </w:t>
      </w:r>
      <w:r>
        <w:tab/>
        <w:t>AER, Better regulation Rate of Return Guideline: Explanatory Statement, December 2013, p. 62.</w:t>
      </w:r>
    </w:p>
  </w:footnote>
  <w:footnote w:id="725">
    <w:p w:rsidR="00E636A0" w:rsidRDefault="00E636A0" w:rsidP="000A0378">
      <w:pPr>
        <w:pStyle w:val="FootnoteText"/>
      </w:pPr>
      <w:r>
        <w:rPr>
          <w:rStyle w:val="FootnoteReference"/>
        </w:rPr>
        <w:footnoteRef/>
      </w:r>
      <w:r>
        <w:t xml:space="preserve"> </w:t>
      </w:r>
      <w:r>
        <w:tab/>
        <w:t>[2016] ACT 1 at 180–222.</w:t>
      </w:r>
    </w:p>
  </w:footnote>
  <w:footnote w:id="726">
    <w:p w:rsidR="00E636A0" w:rsidRDefault="00E636A0" w:rsidP="000A0378">
      <w:pPr>
        <w:pStyle w:val="FootnoteText"/>
      </w:pPr>
      <w:r>
        <w:rPr>
          <w:rStyle w:val="FootnoteReference"/>
        </w:rPr>
        <w:footnoteRef/>
      </w:r>
      <w:r>
        <w:t xml:space="preserve"> </w:t>
      </w:r>
      <w:r>
        <w:tab/>
        <w:t>[2016] ACT 1 at pp. 200–201</w:t>
      </w:r>
    </w:p>
  </w:footnote>
  <w:footnote w:id="727">
    <w:p w:rsidR="00E636A0" w:rsidRDefault="00E636A0" w:rsidP="000A0378">
      <w:pPr>
        <w:pStyle w:val="FootnoteText"/>
      </w:pPr>
      <w:r>
        <w:rPr>
          <w:rStyle w:val="FootnoteReference"/>
        </w:rPr>
        <w:footnoteRef/>
      </w:r>
      <w:r>
        <w:t xml:space="preserve"> </w:t>
      </w:r>
      <w:r>
        <w:tab/>
        <w:t>[2016] ACT 1 at 219–221</w:t>
      </w:r>
    </w:p>
  </w:footnote>
  <w:footnote w:id="728">
    <w:p w:rsidR="00E636A0" w:rsidRDefault="00E636A0" w:rsidP="00A210B3">
      <w:pPr>
        <w:pStyle w:val="FootnoteText"/>
      </w:pPr>
      <w:r>
        <w:rPr>
          <w:rStyle w:val="FootnoteReference"/>
        </w:rPr>
        <w:footnoteRef/>
      </w:r>
      <w:r>
        <w:t xml:space="preserve"> </w:t>
      </w:r>
      <w:r>
        <w:tab/>
        <w:t>AusNet Services, TasNetworks, Powerlink.</w:t>
      </w:r>
    </w:p>
  </w:footnote>
  <w:footnote w:id="729">
    <w:p w:rsidR="00E636A0" w:rsidRDefault="00E636A0" w:rsidP="00A210B3">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143.</w:t>
      </w:r>
    </w:p>
  </w:footnote>
  <w:footnote w:id="730">
    <w:p w:rsidR="00E636A0" w:rsidRDefault="00E636A0" w:rsidP="00A210B3">
      <w:pPr>
        <w:pStyle w:val="FootnoteText"/>
      </w:pPr>
      <w:r>
        <w:rPr>
          <w:rStyle w:val="FootnoteReference"/>
        </w:rPr>
        <w:footnoteRef/>
      </w:r>
      <w:r>
        <w:t xml:space="preserve"> </w:t>
      </w:r>
      <w:r>
        <w:tab/>
        <w:t>AusNet Services</w:t>
      </w:r>
      <w:r w:rsidRPr="00DC0445">
        <w:rPr>
          <w:rStyle w:val="AERtextitalic"/>
        </w:rPr>
        <w:t>, AusNet Transmission Group Pty Ltd transmission revenue review 2017–2022</w:t>
      </w:r>
      <w:r>
        <w:t xml:space="preserve">, 30 October 2015, pp. 239–266; </w:t>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xml:space="preserve">, 6 January 2016, pp.37–40,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731">
    <w:p w:rsidR="00E636A0" w:rsidRDefault="00E636A0" w:rsidP="00A210B3">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732">
    <w:p w:rsidR="00E636A0" w:rsidRDefault="00E636A0" w:rsidP="00A210B3">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t>3.4.1</w:t>
      </w:r>
      <w:r>
        <w:fldChar w:fldCharType="end"/>
      </w:r>
      <w:r>
        <w:t>.</w:t>
      </w:r>
    </w:p>
  </w:footnote>
  <w:footnote w:id="733">
    <w:p w:rsidR="00E636A0" w:rsidRDefault="00E636A0" w:rsidP="00A210B3">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734">
    <w:p w:rsidR="00E636A0" w:rsidRDefault="00E636A0" w:rsidP="00A210B3">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735">
    <w:p w:rsidR="00E636A0" w:rsidRDefault="00E636A0" w:rsidP="00A210B3">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736">
    <w:p w:rsidR="00E636A0" w:rsidRDefault="00E636A0" w:rsidP="00A210B3">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737">
    <w:p w:rsidR="00E636A0" w:rsidRDefault="00E636A0"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38">
    <w:p w:rsidR="00E636A0" w:rsidRDefault="00E636A0"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739">
    <w:p w:rsidR="00E636A0" w:rsidRDefault="00E636A0" w:rsidP="00A210B3">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740">
    <w:p w:rsidR="00E636A0" w:rsidRDefault="00E636A0" w:rsidP="00A210B3">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741">
    <w:p w:rsidR="00E636A0" w:rsidRDefault="00E636A0"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42">
    <w:p w:rsidR="00E636A0" w:rsidRDefault="00E636A0"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43">
    <w:p w:rsidR="00E636A0" w:rsidRDefault="00E636A0"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744">
    <w:p w:rsidR="00E636A0" w:rsidRDefault="00E636A0" w:rsidP="00A210B3">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E636A0" w:rsidRDefault="00E636A0" w:rsidP="00A210B3">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p w:rsidR="00E636A0" w:rsidRDefault="00E636A0" w:rsidP="00A210B3">
      <w:pPr>
        <w:pStyle w:val="FootnoteText"/>
      </w:pPr>
      <w:r>
        <w:tab/>
        <w:t>AusNet Services</w:t>
      </w:r>
      <w:r w:rsidRPr="00DC0445">
        <w:rPr>
          <w:rStyle w:val="AERtextitalic"/>
        </w:rPr>
        <w:t>, AusNet Transmission Group Pty Ltd transmission revenue review 2017–2022</w:t>
      </w:r>
      <w:r>
        <w:t>, 30 October 2015, pp. 239–266.</w:t>
      </w:r>
    </w:p>
  </w:footnote>
  <w:footnote w:id="745">
    <w:p w:rsidR="00E636A0" w:rsidRDefault="00E636A0" w:rsidP="00A210B3">
      <w:pPr>
        <w:pStyle w:val="FootnoteText"/>
      </w:pPr>
      <w:r>
        <w:rPr>
          <w:rStyle w:val="FootnoteReference"/>
        </w:rPr>
        <w:footnoteRef/>
      </w:r>
      <w:r>
        <w:t xml:space="preserve"> </w:t>
      </w:r>
      <w:r>
        <w:tab/>
        <w:t>ActewAGL, Jemena Electricity Networks, AusNet Services (Distribution and Transmission), CitiPower/Powercor, APTNT, Australian Gas Networks (AGN) and United Energy.</w:t>
      </w:r>
    </w:p>
  </w:footnote>
  <w:footnote w:id="746">
    <w:p w:rsidR="00E636A0" w:rsidRDefault="00E636A0" w:rsidP="00A210B3">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r>
        <w:t>; AusNet Services</w:t>
      </w:r>
      <w:r w:rsidRPr="00DC0445">
        <w:rPr>
          <w:rStyle w:val="AERtextitalic"/>
        </w:rPr>
        <w:t>, AusNet Transmission Group Pty Ltd transmission revenue review 2017–2022</w:t>
      </w:r>
      <w:r>
        <w:t>, 30 October 2015, pp. 239–266.</w:t>
      </w:r>
    </w:p>
  </w:footnote>
  <w:footnote w:id="747">
    <w:p w:rsidR="00E636A0" w:rsidRDefault="00E636A0" w:rsidP="00A210B3">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p w:rsidR="00E636A0" w:rsidRDefault="00E636A0" w:rsidP="00A210B3">
      <w:pPr>
        <w:pStyle w:val="FootnoteText"/>
      </w:pPr>
      <w:r>
        <w:tab/>
        <w:t>AusNet Services</w:t>
      </w:r>
      <w:r w:rsidRPr="00DC0445">
        <w:rPr>
          <w:rStyle w:val="AERtextitalic"/>
        </w:rPr>
        <w:t>, AusNet Transmission Group Pty Ltd transmission revenue review 2017–2022</w:t>
      </w:r>
      <w:r>
        <w:t>, 30 October 2015, pp. 195, 230–231; AusNet Services</w:t>
      </w:r>
      <w:r w:rsidRPr="00DC0445">
        <w:rPr>
          <w:rStyle w:val="AERtextitalic"/>
        </w:rPr>
        <w:t>, AusNet Transmission Group Pty Ltd transmission revenue review 2017–2022</w:t>
      </w:r>
      <w:r>
        <w:rPr>
          <w:rStyle w:val="AERtextitalic"/>
        </w:rPr>
        <w:t>: Revised Revenue Proposal</w:t>
      </w:r>
      <w:r>
        <w:t xml:space="preserve">, 21 September 2016, pp. 143 &amp; 146; </w:t>
      </w:r>
    </w:p>
  </w:footnote>
  <w:footnote w:id="748">
    <w:p w:rsidR="00E636A0" w:rsidRDefault="00E636A0" w:rsidP="00A210B3">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749">
    <w:p w:rsidR="00E636A0" w:rsidRDefault="00E636A0" w:rsidP="00A210B3">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750">
    <w:p w:rsidR="00E636A0" w:rsidRDefault="00E636A0" w:rsidP="003C78BA">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751">
    <w:p w:rsidR="00E636A0" w:rsidRDefault="00E636A0" w:rsidP="00A210B3">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752">
    <w:p w:rsidR="00E636A0" w:rsidRDefault="00E636A0" w:rsidP="00A210B3">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 AusNet Services</w:t>
      </w:r>
      <w:r w:rsidRPr="008170DA">
        <w:rPr>
          <w:rStyle w:val="AERtextitalic"/>
        </w:rPr>
        <w:t>, AusNet Transmission Group Pty Ltd transmission revenue review 2017–2022</w:t>
      </w:r>
      <w:r>
        <w:t>, 30 October 2015, pp. 204–223, 239–266.</w:t>
      </w:r>
    </w:p>
  </w:footnote>
  <w:footnote w:id="753">
    <w:p w:rsidR="00E636A0" w:rsidRDefault="00E636A0" w:rsidP="00A210B3">
      <w:pPr>
        <w:pStyle w:val="FootnoteText"/>
      </w:pPr>
      <w:r>
        <w:rPr>
          <w:rStyle w:val="FootnoteReference"/>
        </w:rPr>
        <w:footnoteRef/>
      </w:r>
      <w:r>
        <w:t xml:space="preserve"> </w:t>
      </w:r>
      <w:r>
        <w:tab/>
      </w:r>
      <w:r w:rsidRPr="0083726D">
        <w:t xml:space="preserve">For example, see: Australian Competition Tribunal, </w:t>
      </w:r>
      <w:r w:rsidRPr="00CF598C">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754">
    <w:p w:rsidR="00E636A0" w:rsidRDefault="00E636A0"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755">
    <w:p w:rsidR="00E636A0" w:rsidRDefault="00E636A0" w:rsidP="00A210B3">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756">
    <w:p w:rsidR="00E636A0" w:rsidRDefault="00E636A0" w:rsidP="00A210B3">
      <w:pPr>
        <w:pStyle w:val="FootnoteText"/>
      </w:pPr>
      <w:r>
        <w:rPr>
          <w:rStyle w:val="FootnoteReference"/>
        </w:rPr>
        <w:footnoteRef/>
      </w:r>
      <w:r>
        <w:t xml:space="preserve"> CCP5, Transmission for the Generations III–Response to: Revised revenue proposal by AusNet Services for Transmission Revenue Review 2017–22, October 2016, p. 18.</w:t>
      </w:r>
    </w:p>
  </w:footnote>
  <w:footnote w:id="757">
    <w:p w:rsidR="00E636A0" w:rsidRDefault="00E636A0" w:rsidP="00A210B3">
      <w:pPr>
        <w:pStyle w:val="FootnoteText"/>
      </w:pPr>
      <w:r>
        <w:rPr>
          <w:rStyle w:val="FootnoteReference"/>
        </w:rPr>
        <w:footnoteRef/>
      </w:r>
      <w:r>
        <w:t xml:space="preserve"> </w:t>
      </w:r>
      <w:r>
        <w:tab/>
        <w:t>CCP5, Transmission for the Generations III–Response to: AER draft decision for AusNet Services’ Transmission Revenue Review 2017–22, October 2016, pp. 20–21.</w:t>
      </w:r>
    </w:p>
  </w:footnote>
  <w:footnote w:id="758">
    <w:p w:rsidR="00E636A0" w:rsidRDefault="00E636A0" w:rsidP="00EF3C65">
      <w:pPr>
        <w:pStyle w:val="FootnoteText"/>
      </w:pPr>
      <w:r>
        <w:rPr>
          <w:rStyle w:val="FootnoteReference"/>
        </w:rPr>
        <w:footnoteRef/>
      </w:r>
      <w:r>
        <w:t xml:space="preserve"> </w:t>
      </w:r>
      <w:r>
        <w:tab/>
      </w:r>
      <w:r w:rsidRPr="00EF3C65">
        <w:t xml:space="preserve">CCP4 (David Headberry), </w:t>
      </w:r>
      <w:r w:rsidRPr="00786193">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w:t>
      </w:r>
    </w:p>
  </w:footnote>
  <w:footnote w:id="759">
    <w:p w:rsidR="00E636A0" w:rsidRDefault="00E636A0" w:rsidP="00EF3C65">
      <w:pPr>
        <w:pStyle w:val="FootnoteText"/>
      </w:pPr>
      <w:r>
        <w:rPr>
          <w:rStyle w:val="FootnoteReference"/>
        </w:rPr>
        <w:footnoteRef/>
      </w:r>
      <w:r>
        <w:t xml:space="preserve"> </w:t>
      </w:r>
      <w:r>
        <w:tab/>
        <w:t xml:space="preserve">Queensland farmers’ federation, </w:t>
      </w:r>
      <w:r w:rsidRPr="00786193">
        <w:rPr>
          <w:rStyle w:val="AERtextitalic"/>
        </w:rPr>
        <w:t>Re: Response on Australian Energy Regulator (AER) Draft Decision on Powerlink's revenue proposal for the 2017/18 –2021/22 regulatory period</w:t>
      </w:r>
      <w:r>
        <w:t>, 30 November 2016.</w:t>
      </w:r>
    </w:p>
  </w:footnote>
  <w:footnote w:id="760">
    <w:p w:rsidR="00E636A0" w:rsidRDefault="00E636A0" w:rsidP="00A210B3">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p w:rsidR="00E636A0" w:rsidRDefault="00E636A0" w:rsidP="00A210B3">
      <w:pPr>
        <w:pStyle w:val="FootnoteText"/>
      </w:pPr>
      <w:r>
        <w:tab/>
        <w:t>AusNet Services</w:t>
      </w:r>
      <w:r w:rsidRPr="00DC0445">
        <w:rPr>
          <w:rStyle w:val="AERtextitalic"/>
        </w:rPr>
        <w:t>, AusNet Transmission Group Pty Ltd transmission revenue review 2017–2022</w:t>
      </w:r>
      <w:r>
        <w:t>, 30 October 2015, pp. 214, 250–260.</w:t>
      </w:r>
    </w:p>
  </w:footnote>
  <w:footnote w:id="761">
    <w:p w:rsidR="00E636A0" w:rsidRDefault="00E636A0"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62">
    <w:p w:rsidR="00E636A0" w:rsidRDefault="00E636A0"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763">
    <w:p w:rsidR="00E636A0" w:rsidRPr="00892F96" w:rsidRDefault="00E636A0" w:rsidP="00A210B3">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64">
    <w:p w:rsidR="00E636A0" w:rsidRDefault="00E636A0"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765">
    <w:p w:rsidR="00E636A0" w:rsidRPr="00892F96" w:rsidRDefault="00E636A0" w:rsidP="00A210B3">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66">
    <w:p w:rsidR="00E636A0" w:rsidRDefault="00E636A0" w:rsidP="00A210B3">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767">
    <w:p w:rsidR="00E636A0" w:rsidRDefault="00E636A0"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768">
    <w:p w:rsidR="00E636A0" w:rsidRDefault="00E636A0" w:rsidP="00A210B3">
      <w:pPr>
        <w:pStyle w:val="FootnoteText"/>
      </w:pPr>
      <w:r>
        <w:rPr>
          <w:rStyle w:val="FootnoteReference"/>
        </w:rPr>
        <w:footnoteRef/>
      </w:r>
      <w:r>
        <w:t xml:space="preserve"> </w:t>
      </w:r>
      <w:r>
        <w:tab/>
        <w:t>Generalised least squares,</w:t>
      </w:r>
    </w:p>
  </w:footnote>
  <w:footnote w:id="769">
    <w:p w:rsidR="00E636A0" w:rsidRDefault="00E636A0" w:rsidP="00A210B3">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770">
    <w:p w:rsidR="00E636A0" w:rsidRDefault="00E636A0" w:rsidP="00A210B3">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771">
    <w:p w:rsidR="00E636A0" w:rsidRDefault="00E636A0" w:rsidP="00A210B3">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772">
    <w:p w:rsidR="00E636A0" w:rsidRDefault="00E636A0" w:rsidP="00A210B3">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773">
    <w:p w:rsidR="00E636A0" w:rsidRDefault="00E636A0"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774">
    <w:p w:rsidR="00E636A0" w:rsidRDefault="00E636A0"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775">
    <w:p w:rsidR="00E636A0" w:rsidRDefault="00E636A0"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776">
    <w:p w:rsidR="00E636A0" w:rsidRDefault="00E636A0" w:rsidP="00A210B3">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777">
    <w:p w:rsidR="00E636A0" w:rsidRDefault="00E636A0"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778">
    <w:p w:rsidR="00E636A0" w:rsidRDefault="00E636A0"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779">
    <w:p w:rsidR="00E636A0" w:rsidRDefault="00E636A0" w:rsidP="00A210B3">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780">
    <w:p w:rsidR="00E636A0" w:rsidRDefault="00E636A0" w:rsidP="00A210B3">
      <w:pPr>
        <w:pStyle w:val="FootnoteText"/>
      </w:pPr>
      <w:r>
        <w:rPr>
          <w:rStyle w:val="FootnoteReference"/>
        </w:rPr>
        <w:footnoteRef/>
      </w:r>
      <w:r>
        <w:t xml:space="preserve"> </w:t>
      </w:r>
      <w:r>
        <w:tab/>
        <w:t>Partington and Satchell, draft report, April 2015, p. 50.</w:t>
      </w:r>
    </w:p>
  </w:footnote>
  <w:footnote w:id="781">
    <w:p w:rsidR="00E636A0" w:rsidRDefault="00E636A0" w:rsidP="00A210B3">
      <w:pPr>
        <w:pStyle w:val="FootnoteText"/>
      </w:pPr>
      <w:r>
        <w:rPr>
          <w:rStyle w:val="FootnoteReference"/>
        </w:rPr>
        <w:footnoteRef/>
      </w:r>
      <w:r>
        <w:t xml:space="preserve"> </w:t>
      </w:r>
      <w:r>
        <w:tab/>
        <w:t>Partington and Satchell, draft report, April 2015, p. 50.</w:t>
      </w:r>
    </w:p>
  </w:footnote>
  <w:footnote w:id="782">
    <w:p w:rsidR="00E636A0" w:rsidRDefault="00E636A0"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783">
    <w:p w:rsidR="00E636A0" w:rsidRDefault="00E636A0"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784">
    <w:p w:rsidR="00E636A0" w:rsidRDefault="00E636A0" w:rsidP="00A210B3">
      <w:pPr>
        <w:pStyle w:val="FootnoteText"/>
      </w:pPr>
      <w:r>
        <w:rPr>
          <w:rStyle w:val="FootnoteReference"/>
        </w:rPr>
        <w:footnoteRef/>
      </w:r>
      <w:r>
        <w:t xml:space="preserve"> </w:t>
      </w:r>
      <w:r>
        <w:tab/>
        <w:t>Partington and Satchell, draft report, April 2015, p. 45.</w:t>
      </w:r>
    </w:p>
  </w:footnote>
  <w:footnote w:id="785">
    <w:p w:rsidR="00E636A0" w:rsidRDefault="00E636A0"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786">
    <w:p w:rsidR="00E636A0" w:rsidRDefault="00E636A0"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787">
    <w:p w:rsidR="00E636A0" w:rsidRDefault="00E636A0" w:rsidP="00A210B3">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788">
    <w:p w:rsidR="00E636A0" w:rsidRDefault="00E636A0"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789">
    <w:p w:rsidR="00E636A0" w:rsidRDefault="00E636A0" w:rsidP="00A210B3">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90">
    <w:p w:rsidR="00E636A0" w:rsidRDefault="00E636A0" w:rsidP="00A210B3">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91">
    <w:p w:rsidR="00E636A0" w:rsidRDefault="00E636A0" w:rsidP="00A210B3">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792">
    <w:p w:rsidR="00E636A0" w:rsidRDefault="00E636A0" w:rsidP="00A210B3">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793">
    <w:p w:rsidR="00E636A0" w:rsidRDefault="00E636A0"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794">
    <w:p w:rsidR="00E636A0" w:rsidRDefault="00E636A0" w:rsidP="00A210B3">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795">
    <w:p w:rsidR="00E636A0" w:rsidRDefault="00E636A0" w:rsidP="00A210B3">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796">
    <w:p w:rsidR="00E636A0" w:rsidRDefault="00E636A0" w:rsidP="00A210B3">
      <w:pPr>
        <w:pStyle w:val="FootnoteText"/>
      </w:pPr>
      <w:r>
        <w:rPr>
          <w:rStyle w:val="FootnoteReference"/>
        </w:rPr>
        <w:footnoteRef/>
      </w:r>
      <w:r>
        <w:tab/>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xml:space="preserve">, January 2016, pp.  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p w:rsidR="00E636A0" w:rsidRDefault="00E636A0" w:rsidP="00A210B3">
      <w:pPr>
        <w:pStyle w:val="FootnoteText"/>
      </w:pPr>
      <w:r>
        <w:tab/>
        <w:t>AusNet Services</w:t>
      </w:r>
      <w:r w:rsidRPr="00DC0445">
        <w:rPr>
          <w:rStyle w:val="AERtextitalic"/>
        </w:rPr>
        <w:t>, AusNet Transmission Group Pty Ltd transmission revenue review 2017–2022</w:t>
      </w:r>
      <w:r>
        <w:t>, 30 October 2015, pp. 263–266</w:t>
      </w:r>
    </w:p>
  </w:footnote>
  <w:footnote w:id="797">
    <w:p w:rsidR="00E636A0" w:rsidRDefault="00E636A0" w:rsidP="00A210B3">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r>
        <w:t>.</w:t>
      </w:r>
    </w:p>
    <w:p w:rsidR="00E636A0" w:rsidRDefault="00E636A0" w:rsidP="00A210B3">
      <w:pPr>
        <w:pStyle w:val="FootnoteText"/>
      </w:pPr>
      <w:r>
        <w:tab/>
        <w:t>AusNet Services</w:t>
      </w:r>
      <w:r w:rsidRPr="00DC0445">
        <w:rPr>
          <w:rStyle w:val="AERtextitalic"/>
        </w:rPr>
        <w:t>, AusNet Transmission Group Pty Ltd transmission revenue review 2017–2022</w:t>
      </w:r>
      <w:r>
        <w:t xml:space="preserve">, 30 October 2015, pp. 250–255. </w:t>
      </w:r>
    </w:p>
  </w:footnote>
  <w:footnote w:id="798">
    <w:p w:rsidR="00E636A0" w:rsidRDefault="00E636A0" w:rsidP="00A210B3">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2016–17 to 2020/21 Access Arrangement information response to draft decision: Attachment 10.26 Response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799">
    <w:p w:rsidR="00E636A0" w:rsidRDefault="00E636A0"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800">
    <w:p w:rsidR="00E636A0" w:rsidRDefault="00E636A0" w:rsidP="00A210B3">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p w:rsidR="00E636A0" w:rsidRDefault="00E636A0" w:rsidP="00A210B3">
      <w:pPr>
        <w:pStyle w:val="FootnoteText"/>
      </w:pPr>
      <w:r>
        <w:tab/>
        <w:t>AusNet Services</w:t>
      </w:r>
      <w:r w:rsidRPr="00172CD0">
        <w:rPr>
          <w:rStyle w:val="AERtextitalic"/>
        </w:rPr>
        <w:t>, AusNet Transmission Group Pty Ltd transmission revenue review 2017–2022</w:t>
      </w:r>
      <w:r>
        <w:t>, 30 October 2015, p. 239.</w:t>
      </w:r>
    </w:p>
  </w:footnote>
  <w:footnote w:id="801">
    <w:p w:rsidR="00E636A0" w:rsidRDefault="00E636A0" w:rsidP="00A210B3">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p w:rsidR="00E636A0" w:rsidRDefault="00E636A0" w:rsidP="00A210B3">
      <w:pPr>
        <w:pStyle w:val="FootnoteText"/>
      </w:pPr>
      <w:r>
        <w:tab/>
        <w:t>AusNet Services</w:t>
      </w:r>
      <w:r w:rsidRPr="00172CD0">
        <w:rPr>
          <w:rStyle w:val="AERtextitalic"/>
        </w:rPr>
        <w:t>, AusNet Transmission Group Pty Ltd transmission revenue review 2017–2022</w:t>
      </w:r>
      <w:r>
        <w:t xml:space="preserve">, 30 October 2015, pp. 257–259. </w:t>
      </w:r>
    </w:p>
  </w:footnote>
  <w:footnote w:id="802">
    <w:p w:rsidR="00E636A0" w:rsidRDefault="00E636A0"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803">
    <w:p w:rsidR="00E636A0" w:rsidRDefault="00E636A0"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804">
    <w:p w:rsidR="00E636A0" w:rsidRDefault="00E636A0"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805">
    <w:p w:rsidR="00E636A0" w:rsidRDefault="00E636A0"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806">
    <w:p w:rsidR="00E636A0" w:rsidRDefault="00E636A0"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07">
    <w:p w:rsidR="00E636A0" w:rsidRDefault="00E636A0"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08">
    <w:p w:rsidR="00E636A0" w:rsidRDefault="00E636A0"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809">
    <w:p w:rsidR="00E636A0" w:rsidRDefault="00E636A0" w:rsidP="00A210B3">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810">
    <w:p w:rsidR="00E636A0" w:rsidRDefault="00E636A0"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811">
    <w:p w:rsidR="00E636A0" w:rsidRDefault="00E636A0"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812">
    <w:p w:rsidR="00E636A0" w:rsidRDefault="00E636A0" w:rsidP="00A210B3">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813">
    <w:p w:rsidR="00E636A0" w:rsidRDefault="00E636A0"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14">
    <w:p w:rsidR="00E636A0" w:rsidRDefault="00E636A0"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15">
    <w:p w:rsidR="00E636A0" w:rsidRDefault="00E636A0"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816">
    <w:p w:rsidR="00E636A0" w:rsidRDefault="00E636A0"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817">
    <w:p w:rsidR="00E636A0" w:rsidRDefault="00E636A0" w:rsidP="00A210B3">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818">
    <w:p w:rsidR="00E636A0" w:rsidRDefault="00E636A0"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19">
    <w:p w:rsidR="00E636A0" w:rsidRDefault="00E636A0" w:rsidP="00A210B3">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820">
    <w:p w:rsidR="00E636A0" w:rsidRDefault="00E636A0" w:rsidP="00A210B3">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p w:rsidR="00E636A0" w:rsidRDefault="00E636A0" w:rsidP="00A210B3">
      <w:pPr>
        <w:pStyle w:val="FootnoteText"/>
      </w:pPr>
      <w:r>
        <w:tab/>
      </w:r>
    </w:p>
  </w:footnote>
  <w:footnote w:id="821">
    <w:p w:rsidR="00E636A0" w:rsidRDefault="00E636A0"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822">
    <w:p w:rsidR="00E636A0" w:rsidRDefault="00E636A0" w:rsidP="00A210B3">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p w:rsidR="00E636A0" w:rsidRDefault="00E636A0" w:rsidP="00A210B3">
      <w:pPr>
        <w:pStyle w:val="FootnoteText"/>
      </w:pPr>
      <w:r>
        <w:tab/>
      </w:r>
    </w:p>
  </w:footnote>
  <w:footnote w:id="823">
    <w:p w:rsidR="00E636A0" w:rsidRDefault="00E636A0"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pp. 217, 239–244, 255–259.</w:t>
      </w:r>
    </w:p>
  </w:footnote>
  <w:footnote w:id="824">
    <w:p w:rsidR="00E636A0" w:rsidRDefault="00E636A0"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25">
    <w:p w:rsidR="00E636A0" w:rsidRDefault="00E636A0"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826">
    <w:p w:rsidR="00E636A0" w:rsidRDefault="00E636A0"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827">
    <w:p w:rsidR="00E636A0" w:rsidRDefault="00E636A0"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828">
    <w:p w:rsidR="00E636A0" w:rsidRDefault="00E636A0"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829">
    <w:p w:rsidR="00E636A0" w:rsidRDefault="00E636A0" w:rsidP="00A210B3">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830">
    <w:p w:rsidR="00E636A0" w:rsidRDefault="00E636A0"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831">
    <w:p w:rsidR="00E636A0" w:rsidRDefault="00E636A0"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832">
    <w:p w:rsidR="00E636A0" w:rsidRDefault="00E636A0" w:rsidP="00A210B3">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833">
    <w:p w:rsidR="00E636A0" w:rsidRDefault="00E636A0" w:rsidP="00A210B3">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834">
    <w:p w:rsidR="00E636A0" w:rsidRDefault="00E636A0"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835">
    <w:p w:rsidR="00E636A0" w:rsidRDefault="00E636A0"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836">
    <w:p w:rsidR="00E636A0" w:rsidRDefault="00E636A0"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837">
    <w:p w:rsidR="00E636A0" w:rsidRDefault="00E636A0" w:rsidP="00A210B3">
      <w:pPr>
        <w:pStyle w:val="FootnoteText"/>
      </w:pPr>
      <w:r>
        <w:rPr>
          <w:rStyle w:val="FootnoteReference"/>
        </w:rPr>
        <w:footnoteRef/>
      </w:r>
      <w:r>
        <w:t xml:space="preserve"> </w:t>
      </w:r>
      <w:r>
        <w:tab/>
        <w:t xml:space="preserve">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p w:rsidR="00E636A0" w:rsidRDefault="00E636A0" w:rsidP="00A210B3">
      <w:pPr>
        <w:pStyle w:val="FootnoteText"/>
      </w:pPr>
      <w:r>
        <w:tab/>
        <w:t>AusNet Services</w:t>
      </w:r>
      <w:r w:rsidRPr="00172CD0">
        <w:rPr>
          <w:rStyle w:val="AERtextitalic"/>
        </w:rPr>
        <w:t>, AusNet Transmission Group Pty Ltd transmission revenue review 2017–2022</w:t>
      </w:r>
      <w:r>
        <w:t>, 30 October 2015, pp. 222–223, 250–255.</w:t>
      </w:r>
    </w:p>
  </w:footnote>
  <w:footnote w:id="838">
    <w:p w:rsidR="00E636A0" w:rsidRDefault="00E636A0"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839">
    <w:p w:rsidR="00E636A0" w:rsidRDefault="00E636A0"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840">
    <w:p w:rsidR="00E636A0" w:rsidRDefault="00E636A0" w:rsidP="00A210B3">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841">
    <w:p w:rsidR="00E636A0" w:rsidRDefault="00E636A0"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42">
    <w:p w:rsidR="00E636A0" w:rsidRDefault="00E636A0"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843">
    <w:p w:rsidR="00E636A0" w:rsidRDefault="00E636A0"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844">
    <w:p w:rsidR="00E636A0" w:rsidRDefault="00E636A0"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45">
    <w:p w:rsidR="00E636A0" w:rsidRDefault="00E636A0"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846">
    <w:p w:rsidR="00E636A0" w:rsidRDefault="00E636A0" w:rsidP="009A1A4E">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847">
    <w:p w:rsidR="00E636A0" w:rsidRDefault="00E636A0" w:rsidP="009A1A4E">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t>3.4.1</w:t>
      </w:r>
      <w:r>
        <w:fldChar w:fldCharType="end"/>
      </w:r>
      <w:r>
        <w:t>.</w:t>
      </w:r>
    </w:p>
  </w:footnote>
  <w:footnote w:id="848">
    <w:p w:rsidR="00E636A0" w:rsidRDefault="00E636A0" w:rsidP="009A1A4E">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849">
    <w:p w:rsidR="00E636A0" w:rsidRDefault="00E636A0"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850">
    <w:p w:rsidR="00E636A0" w:rsidRDefault="00E636A0"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851">
    <w:p w:rsidR="00E636A0" w:rsidRDefault="00E636A0" w:rsidP="009A1A4E">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852">
    <w:p w:rsidR="00E636A0" w:rsidRDefault="00E636A0" w:rsidP="009A1A4E">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p w:rsidR="00E636A0" w:rsidRDefault="00E636A0" w:rsidP="009A1A4E">
      <w:pPr>
        <w:pStyle w:val="FootnoteText"/>
      </w:pPr>
      <w:r>
        <w:tab/>
        <w:t>AusNet Services</w:t>
      </w:r>
      <w:r w:rsidRPr="00172CD0">
        <w:rPr>
          <w:rStyle w:val="AERtextitalic"/>
        </w:rPr>
        <w:t>, AusNet Transmission Group Pty Ltd transmission revenue review 2017–2022</w:t>
      </w:r>
      <w:r>
        <w:t>, 30 October 2015, p. 223.</w:t>
      </w:r>
    </w:p>
  </w:footnote>
  <w:footnote w:id="853">
    <w:p w:rsidR="00E636A0" w:rsidRDefault="00E636A0" w:rsidP="009A1A4E">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854">
    <w:p w:rsidR="00E636A0" w:rsidRDefault="00E636A0" w:rsidP="009A1A4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855">
    <w:p w:rsidR="00E636A0" w:rsidRDefault="00E636A0" w:rsidP="009A1A4E">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856">
    <w:p w:rsidR="00E636A0" w:rsidRDefault="00E636A0" w:rsidP="009A1A4E">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857">
    <w:p w:rsidR="00E636A0" w:rsidRDefault="00E636A0" w:rsidP="009A1A4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858">
    <w:p w:rsidR="00E636A0" w:rsidRDefault="00E636A0"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859">
    <w:p w:rsidR="00E636A0" w:rsidRDefault="00E636A0"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860">
    <w:p w:rsidR="00E636A0" w:rsidRDefault="00E636A0" w:rsidP="009A1A4E">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861">
    <w:p w:rsidR="00E636A0" w:rsidRDefault="00E636A0" w:rsidP="009A1A4E">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862">
    <w:p w:rsidR="00E636A0" w:rsidRDefault="00E636A0" w:rsidP="009A1A4E">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63">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64">
    <w:p w:rsidR="00E636A0" w:rsidRDefault="00E636A0" w:rsidP="009A1A4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865">
    <w:p w:rsidR="00E636A0" w:rsidRDefault="00E636A0" w:rsidP="009A1A4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66">
    <w:p w:rsidR="00E636A0" w:rsidRDefault="00E636A0" w:rsidP="009A1A4E">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AGN, which remains relevant here.</w:t>
      </w:r>
    </w:p>
  </w:footnote>
  <w:footnote w:id="867">
    <w:p w:rsidR="00E636A0" w:rsidRDefault="00E636A0" w:rsidP="009A1A4E">
      <w:pPr>
        <w:pStyle w:val="FootnoteText"/>
      </w:pPr>
      <w:r>
        <w:rPr>
          <w:rStyle w:val="FootnoteReference"/>
        </w:rPr>
        <w:footnoteRef/>
      </w:r>
      <w:r>
        <w:t xml:space="preserve"> </w:t>
      </w:r>
      <w:r>
        <w:tab/>
        <w:t>For more detail, see the 'use in practice' subsection in section A.3.2 of Attachment 3 to our draft decision for AGN, which remains relevant here. No new material was submitted on this issue following our draft decision.</w:t>
      </w:r>
    </w:p>
  </w:footnote>
  <w:footnote w:id="868">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869">
    <w:p w:rsidR="00E636A0" w:rsidRDefault="00E636A0" w:rsidP="009A1A4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870">
    <w:p w:rsidR="00E636A0" w:rsidRDefault="00E636A0" w:rsidP="009A1A4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871">
    <w:p w:rsidR="00E636A0" w:rsidRDefault="00E636A0" w:rsidP="009A1A4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872">
    <w:p w:rsidR="00E636A0" w:rsidRDefault="00E636A0" w:rsidP="009A1A4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873">
    <w:p w:rsidR="00E636A0" w:rsidRDefault="00E636A0"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p w:rsidR="00E636A0" w:rsidRDefault="00E636A0" w:rsidP="009A1A4E">
      <w:pPr>
        <w:pStyle w:val="FootnoteText"/>
      </w:pPr>
      <w:r>
        <w:tab/>
        <w:t>AusNet Services</w:t>
      </w:r>
      <w:r w:rsidRPr="00172CD0">
        <w:rPr>
          <w:rStyle w:val="AERtextitalic"/>
        </w:rPr>
        <w:t>, AusNet Transmission Group Pty Ltd transmission revenue review 2017–2022</w:t>
      </w:r>
      <w:r>
        <w:t>, 30 October 2015, pp. 204–223.</w:t>
      </w:r>
    </w:p>
  </w:footnote>
  <w:footnote w:id="874">
    <w:p w:rsidR="00E636A0" w:rsidRDefault="00E636A0" w:rsidP="009A1A4E">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875">
    <w:p w:rsidR="00E636A0" w:rsidRDefault="00E636A0"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 AusNet Services</w:t>
      </w:r>
      <w:r w:rsidRPr="00172CD0">
        <w:rPr>
          <w:rStyle w:val="AERtextitalic"/>
        </w:rPr>
        <w:t>, AusNet Transmission Group Pty Ltd transmission revenue review 2017–2022</w:t>
      </w:r>
      <w:r>
        <w:t>, 30 October 2015, pp. 259–263.</w:t>
      </w:r>
    </w:p>
  </w:footnote>
  <w:footnote w:id="876">
    <w:p w:rsidR="00E636A0" w:rsidRDefault="00E636A0"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877">
    <w:p w:rsidR="00E636A0" w:rsidRDefault="00E636A0"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878">
    <w:p w:rsidR="00E636A0" w:rsidRDefault="00E636A0"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79">
    <w:p w:rsidR="00E636A0" w:rsidRDefault="00E636A0"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80">
    <w:p w:rsidR="00E636A0" w:rsidRDefault="00E636A0"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81">
    <w:p w:rsidR="00E636A0" w:rsidRDefault="00E636A0"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82">
    <w:p w:rsidR="00E636A0" w:rsidRDefault="00E636A0" w:rsidP="009A1A4E">
      <w:pPr>
        <w:pStyle w:val="FootnoteText"/>
      </w:pPr>
      <w:r>
        <w:rPr>
          <w:rStyle w:val="FootnoteReference"/>
        </w:rPr>
        <w:footnoteRef/>
      </w:r>
      <w:r>
        <w:t xml:space="preserve"> </w:t>
      </w:r>
      <w:r>
        <w:tab/>
      </w:r>
      <w:r w:rsidRPr="00F8120D">
        <w:t xml:space="preserve">Partington and Satchell, </w:t>
      </w:r>
      <w:r w:rsidRPr="00F8120D">
        <w:rPr>
          <w:rStyle w:val="Emphasis"/>
        </w:rPr>
        <w:t>Report to the AER: Cost of equity issues–2016 electricity and gas determinations</w:t>
      </w:r>
      <w:r w:rsidRPr="00F8120D">
        <w:t>, April 2016, p</w:t>
      </w:r>
      <w:r>
        <w:t>p. 32–34.</w:t>
      </w:r>
    </w:p>
  </w:footnote>
  <w:footnote w:id="883">
    <w:p w:rsidR="00E636A0" w:rsidRDefault="00E636A0"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884">
    <w:p w:rsidR="00E636A0" w:rsidRDefault="00E636A0"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85">
    <w:p w:rsidR="00E636A0" w:rsidRDefault="00E636A0"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86">
    <w:p w:rsidR="00E636A0" w:rsidRDefault="00E636A0"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87">
    <w:p w:rsidR="00E636A0" w:rsidRDefault="00E636A0" w:rsidP="009A1A4E">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88">
    <w:p w:rsidR="00E636A0" w:rsidRDefault="00E636A0"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89">
    <w:p w:rsidR="00E636A0" w:rsidRDefault="00E636A0" w:rsidP="009A1A4E">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890">
    <w:p w:rsidR="00E636A0" w:rsidRDefault="00E636A0" w:rsidP="009A1A4E">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91">
    <w:p w:rsidR="00E636A0" w:rsidRDefault="00E636A0"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892">
    <w:p w:rsidR="00E636A0" w:rsidRDefault="00E636A0" w:rsidP="009A1A4E">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93">
    <w:p w:rsidR="00E636A0" w:rsidRDefault="00E636A0" w:rsidP="009A1A4E">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894">
    <w:p w:rsidR="00E636A0" w:rsidRDefault="00E636A0" w:rsidP="009A1A4E">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895">
    <w:p w:rsidR="00E636A0" w:rsidRDefault="00E636A0"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96">
    <w:p w:rsidR="00E636A0" w:rsidRDefault="00E636A0" w:rsidP="009A1A4E">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97">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98">
    <w:p w:rsidR="00E636A0" w:rsidRDefault="00E636A0" w:rsidP="009A1A4E">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99">
    <w:p w:rsidR="00E636A0" w:rsidRDefault="00E636A0"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900">
    <w:p w:rsidR="00E636A0" w:rsidRDefault="00E636A0" w:rsidP="009A1A4E">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901">
    <w:p w:rsidR="00E636A0" w:rsidRDefault="00E636A0" w:rsidP="009A1A4E">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902">
    <w:p w:rsidR="00E636A0" w:rsidRDefault="00E636A0" w:rsidP="009A1A4E">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903">
    <w:p w:rsidR="00E636A0" w:rsidRDefault="00E636A0"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p w:rsidR="00E636A0" w:rsidRDefault="00E636A0" w:rsidP="009A1A4E">
      <w:pPr>
        <w:pStyle w:val="FootnoteText"/>
      </w:pPr>
      <w:r>
        <w:tab/>
        <w:t>AusNet Services</w:t>
      </w:r>
      <w:r w:rsidRPr="00172CD0">
        <w:rPr>
          <w:rStyle w:val="AERtextitalic"/>
        </w:rPr>
        <w:t>, AusNet Transmission Group Pty Ltd transmission revenue review 2017–2022</w:t>
      </w:r>
      <w:r>
        <w:t>, 30 October 2015, pp. 210–211.</w:t>
      </w:r>
    </w:p>
  </w:footnote>
  <w:footnote w:id="904">
    <w:p w:rsidR="00E636A0" w:rsidRDefault="00E636A0"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905">
    <w:p w:rsidR="00E636A0" w:rsidRDefault="00E636A0"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p w:rsidR="00E636A0" w:rsidRDefault="00E636A0" w:rsidP="009A1A4E">
      <w:pPr>
        <w:pStyle w:val="FootnoteText"/>
      </w:pPr>
      <w:r>
        <w:tab/>
        <w:t>AusNet Services</w:t>
      </w:r>
      <w:r w:rsidRPr="00172CD0">
        <w:rPr>
          <w:rStyle w:val="AERtextitalic"/>
        </w:rPr>
        <w:t>, AusNet Transmission Group Pty Ltd transmission revenue review 2017–2022</w:t>
      </w:r>
      <w:r>
        <w:t>, 30 October 2015, pp. 214–215, 217, 250–263.</w:t>
      </w:r>
    </w:p>
  </w:footnote>
  <w:footnote w:id="906">
    <w:p w:rsidR="00E636A0" w:rsidRDefault="00E636A0"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907">
    <w:p w:rsidR="00E636A0" w:rsidRDefault="00E636A0"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908">
    <w:p w:rsidR="00E636A0" w:rsidRDefault="00E636A0"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909">
    <w:p w:rsidR="00E636A0" w:rsidRDefault="00E636A0" w:rsidP="009A1A4E">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10">
    <w:p w:rsidR="00E636A0" w:rsidRDefault="00E636A0"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11">
    <w:p w:rsidR="00E636A0" w:rsidRDefault="00E636A0"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12">
    <w:p w:rsidR="00E636A0" w:rsidRDefault="00E636A0" w:rsidP="009A1A4E">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13">
    <w:p w:rsidR="00E636A0" w:rsidRDefault="00E636A0" w:rsidP="009A1A4E">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14">
    <w:p w:rsidR="00E636A0" w:rsidRDefault="00E636A0" w:rsidP="009A1A4E">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15">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16">
    <w:p w:rsidR="00E636A0" w:rsidRDefault="00E636A0" w:rsidP="009A1A4E">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17">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18">
    <w:p w:rsidR="00E636A0" w:rsidRDefault="00E636A0" w:rsidP="009A1A4E">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19">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20">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921">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922">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923">
    <w:p w:rsidR="00E636A0" w:rsidRDefault="00E636A0" w:rsidP="009A1A4E">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924">
    <w:p w:rsidR="00E636A0" w:rsidRDefault="00E636A0"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925">
    <w:p w:rsidR="00E636A0" w:rsidRDefault="00E636A0"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926">
    <w:p w:rsidR="00E636A0" w:rsidRDefault="00E636A0"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27">
    <w:p w:rsidR="00E636A0" w:rsidRDefault="00E636A0"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28">
    <w:p w:rsidR="00E636A0" w:rsidRDefault="00E636A0"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p w:rsidR="00E636A0" w:rsidRDefault="00E636A0" w:rsidP="009A1A4E">
      <w:pPr>
        <w:pStyle w:val="FootnoteText"/>
      </w:pPr>
      <w:r>
        <w:tab/>
        <w:t>AusNet Services</w:t>
      </w:r>
      <w:r w:rsidRPr="00172CD0">
        <w:rPr>
          <w:rStyle w:val="AERtextitalic"/>
        </w:rPr>
        <w:t>, AusNet Transmission Group Pty Ltd transmission revenue review 2017–2022</w:t>
      </w:r>
      <w:r>
        <w:t>, 30 October 2015, pp. 200–223, 244–250.</w:t>
      </w:r>
    </w:p>
  </w:footnote>
  <w:footnote w:id="929">
    <w:p w:rsidR="00E636A0" w:rsidRDefault="00E636A0" w:rsidP="0089007A">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rPr>
          <w:rStyle w:val="AERtextitalic"/>
        </w:rPr>
        <w:t>: Revised revenue proposal</w:t>
      </w:r>
      <w:r>
        <w:t>, 21 September 2016, pp. 147–154.</w:t>
      </w:r>
    </w:p>
  </w:footnote>
  <w:footnote w:id="930">
    <w:p w:rsidR="00E636A0" w:rsidRDefault="00E636A0"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931">
    <w:p w:rsidR="00E636A0" w:rsidRDefault="00E636A0" w:rsidP="009A1A4E">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32">
    <w:p w:rsidR="00E636A0" w:rsidRDefault="00E636A0" w:rsidP="009A1A4E">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r>
        <w:t xml:space="preserve"> </w:t>
      </w:r>
    </w:p>
    <w:p w:rsidR="00E636A0" w:rsidRDefault="00E636A0" w:rsidP="009A1A4E">
      <w:pPr>
        <w:pStyle w:val="FootnoteText"/>
      </w:pPr>
      <w:r>
        <w:tab/>
        <w:t>AusNet Services</w:t>
      </w:r>
      <w:r w:rsidRPr="00172CD0">
        <w:rPr>
          <w:rStyle w:val="AERtextitalic"/>
        </w:rPr>
        <w:t>, AusNet Transmission Group Pty Ltd transmission revenue review 2017–2022</w:t>
      </w:r>
      <w:r>
        <w:t>, 30 October 2015, pp. 196–223.</w:t>
      </w:r>
    </w:p>
  </w:footnote>
  <w:footnote w:id="933">
    <w:p w:rsidR="00E636A0" w:rsidRDefault="00E636A0"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934">
    <w:p w:rsidR="00E636A0" w:rsidRDefault="00E636A0"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935">
    <w:p w:rsidR="00E636A0" w:rsidRDefault="00E636A0"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936">
    <w:p w:rsidR="00E636A0" w:rsidRDefault="00E636A0"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937">
    <w:p w:rsidR="00E636A0" w:rsidRDefault="00E636A0"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938">
    <w:p w:rsidR="00E636A0" w:rsidRDefault="00E636A0"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939">
    <w:p w:rsidR="00E636A0" w:rsidRDefault="00E636A0" w:rsidP="009A1A4E">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940">
    <w:p w:rsidR="00E636A0" w:rsidRDefault="00E636A0" w:rsidP="009A1A4E">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941">
    <w:p w:rsidR="00E636A0" w:rsidRDefault="00E636A0" w:rsidP="00C33F1F">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942">
    <w:p w:rsidR="00E636A0" w:rsidRDefault="00E636A0" w:rsidP="00C33F1F">
      <w:pPr>
        <w:pStyle w:val="FootnoteText"/>
      </w:pPr>
      <w:r>
        <w:rPr>
          <w:rStyle w:val="FootnoteReference"/>
        </w:rPr>
        <w:footnoteRef/>
      </w:r>
      <w:r>
        <w:t xml:space="preserve"> </w:t>
      </w:r>
      <w:r>
        <w:tab/>
        <w:t xml:space="preserve">Bringham and Daves state, 'The CAPM is an ex-ante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943">
    <w:p w:rsidR="00E636A0" w:rsidRDefault="00E636A0" w:rsidP="00C33F1F">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944">
    <w:p w:rsidR="00E636A0" w:rsidRDefault="00E636A0" w:rsidP="00C33F1F">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945">
    <w:p w:rsidR="00E636A0" w:rsidRDefault="00E636A0" w:rsidP="00C33F1F">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 12–16.</w:t>
      </w:r>
    </w:p>
  </w:footnote>
  <w:footnote w:id="946">
    <w:p w:rsidR="00E636A0" w:rsidRDefault="00E636A0" w:rsidP="00C33F1F">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947">
    <w:p w:rsidR="00E636A0" w:rsidRDefault="00E636A0" w:rsidP="00C33F1F">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948">
    <w:p w:rsidR="00E636A0" w:rsidRDefault="00E636A0" w:rsidP="00C33F1F">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949">
    <w:p w:rsidR="00E636A0" w:rsidRDefault="00E636A0" w:rsidP="00C33F1F">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950">
    <w:p w:rsidR="00E636A0" w:rsidRDefault="00E636A0" w:rsidP="00C33F1F">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951">
    <w:p w:rsidR="00E636A0" w:rsidRDefault="00E636A0" w:rsidP="001043A2">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p w:rsidR="00E636A0" w:rsidRDefault="00E636A0" w:rsidP="001043A2">
      <w:pPr>
        <w:pStyle w:val="FootnoteText"/>
      </w:pPr>
      <w:r>
        <w:tab/>
        <w:t>AusNet Services</w:t>
      </w:r>
      <w:r w:rsidRPr="00172CD0">
        <w:rPr>
          <w:rStyle w:val="AERtextitalic"/>
        </w:rPr>
        <w:t>, AusNet Transmission Group Pty Ltd transmission revenue review 2017–2022</w:t>
      </w:r>
      <w:r>
        <w:t>, 30 October 2015, pp. 226, 232, 250, 252, 254 &amp; 263.</w:t>
      </w:r>
    </w:p>
    <w:p w:rsidR="00E636A0" w:rsidRDefault="00E636A0" w:rsidP="001043A2">
      <w:pPr>
        <w:pStyle w:val="FootnoteText"/>
      </w:pPr>
      <w:r>
        <w:tab/>
        <w:t xml:space="preserve">AusNet Services, </w:t>
      </w:r>
      <w:r w:rsidRPr="00172CD0">
        <w:rPr>
          <w:rStyle w:val="AERtextitalic"/>
        </w:rPr>
        <w:t>AusNet Transmission Group Pty Ltd transmission revenue review 2017–2022</w:t>
      </w:r>
      <w:r>
        <w:rPr>
          <w:rStyle w:val="AERtextitalic"/>
        </w:rPr>
        <w:t xml:space="preserve">: Revised revenue proposal, </w:t>
      </w:r>
      <w:r>
        <w:t>21 September 2016, p. 151</w:t>
      </w:r>
    </w:p>
  </w:footnote>
  <w:footnote w:id="952">
    <w:p w:rsidR="00E636A0" w:rsidRDefault="00E636A0" w:rsidP="001043A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953">
    <w:p w:rsidR="00E636A0" w:rsidRDefault="00E636A0" w:rsidP="001043A2">
      <w:pPr>
        <w:pStyle w:val="FootnoteText"/>
      </w:pPr>
      <w:r>
        <w:rPr>
          <w:rStyle w:val="FootnoteReference"/>
        </w:rPr>
        <w:footnoteRef/>
      </w:r>
      <w:r>
        <w:t xml:space="preserve"> </w:t>
      </w:r>
      <w:r>
        <w:tab/>
        <w:t xml:space="preserve">Partington and Satchell, </w:t>
      </w:r>
      <w:r w:rsidRPr="00440833">
        <w:rPr>
          <w:rStyle w:val="Emphasis"/>
        </w:rPr>
        <w:t xml:space="preserve">Report to the AER: Discussion of estimates of the return on equity, </w:t>
      </w:r>
      <w:r>
        <w:t>12 April 017, p. 28.</w:t>
      </w:r>
    </w:p>
  </w:footnote>
  <w:footnote w:id="954">
    <w:p w:rsidR="00E636A0" w:rsidRDefault="00E636A0" w:rsidP="00BB18D4">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955">
    <w:p w:rsidR="00E636A0" w:rsidRDefault="00E636A0" w:rsidP="00BB18D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956">
    <w:p w:rsidR="00E636A0" w:rsidRDefault="00E636A0" w:rsidP="00BB18D4">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957">
    <w:p w:rsidR="00E636A0" w:rsidRDefault="00E636A0" w:rsidP="00BB18D4">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958">
    <w:p w:rsidR="00E636A0" w:rsidRDefault="00E636A0" w:rsidP="00BB18D4">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959">
    <w:p w:rsidR="00E636A0" w:rsidRDefault="00E636A0" w:rsidP="00BB18D4">
      <w:pPr>
        <w:pStyle w:val="FootnoteText"/>
      </w:pPr>
      <w:r>
        <w:rPr>
          <w:rStyle w:val="FootnoteReference"/>
        </w:rPr>
        <w:footnoteRef/>
      </w:r>
      <w:r>
        <w:t xml:space="preserve"> </w:t>
      </w:r>
      <w:r>
        <w:tab/>
        <w:t>Our risk free rate estimate is 2.85 per cent.</w:t>
      </w:r>
    </w:p>
  </w:footnote>
  <w:footnote w:id="960">
    <w:p w:rsidR="00E636A0" w:rsidRDefault="00E636A0" w:rsidP="00BB18D4">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t>3.4.1</w:t>
      </w:r>
      <w:r>
        <w:fldChar w:fldCharType="end"/>
      </w:r>
      <w:r>
        <w:t>.</w:t>
      </w:r>
    </w:p>
  </w:footnote>
  <w:footnote w:id="961">
    <w:p w:rsidR="00E636A0" w:rsidRDefault="00E636A0" w:rsidP="00BB18D4">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962">
    <w:p w:rsidR="00E636A0" w:rsidRDefault="00E636A0" w:rsidP="00BB18D4">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963">
    <w:p w:rsidR="00E636A0" w:rsidRDefault="00E636A0"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64">
    <w:p w:rsidR="00E636A0" w:rsidRDefault="00E636A0" w:rsidP="00BB18D4">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965">
    <w:p w:rsidR="00E636A0" w:rsidRDefault="00E636A0" w:rsidP="00BB18D4">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966">
    <w:p w:rsidR="00E636A0" w:rsidRDefault="00E636A0" w:rsidP="00BB18D4">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967">
    <w:p w:rsidR="00E636A0" w:rsidRDefault="00E636A0" w:rsidP="00BB18D4">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968">
    <w:p w:rsidR="00E636A0" w:rsidRDefault="00E636A0" w:rsidP="00BB18D4">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69">
    <w:p w:rsidR="00E636A0" w:rsidRDefault="00E636A0" w:rsidP="00BB18D4">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970">
    <w:p w:rsidR="00E636A0" w:rsidRDefault="00E636A0"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971">
    <w:p w:rsidR="00E636A0" w:rsidRDefault="00E636A0"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972">
    <w:p w:rsidR="00E636A0" w:rsidRDefault="00E636A0"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973">
    <w:p w:rsidR="00E636A0" w:rsidRDefault="00E636A0" w:rsidP="00BB18D4">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974">
    <w:p w:rsidR="00E636A0" w:rsidRDefault="00E636A0"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975">
    <w:p w:rsidR="00E636A0" w:rsidRDefault="00E636A0"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976">
    <w:p w:rsidR="00E636A0" w:rsidRDefault="00E636A0"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77">
    <w:p w:rsidR="00E636A0" w:rsidRDefault="00E636A0"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978">
    <w:p w:rsidR="00E636A0" w:rsidRDefault="00E636A0"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79">
    <w:p w:rsidR="00E636A0" w:rsidRDefault="00E636A0"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980">
    <w:p w:rsidR="00E636A0" w:rsidRDefault="00E636A0"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p.74;</w:t>
      </w:r>
      <w:r w:rsidRPr="00F13BF7">
        <w:t xml:space="preserve"> </w:t>
      </w:r>
      <w:r>
        <w:t>AusNet, AusNet transmission Revised Revenue Proposal, 21 September 2016, p 147</w:t>
      </w:r>
    </w:p>
  </w:footnote>
  <w:footnote w:id="981">
    <w:p w:rsidR="00E636A0" w:rsidRDefault="00E636A0" w:rsidP="00BB18D4">
      <w:pPr>
        <w:pStyle w:val="FootnoteText"/>
      </w:pPr>
      <w:r>
        <w:rPr>
          <w:rStyle w:val="FootnoteReference"/>
        </w:rPr>
        <w:footnoteRef/>
      </w:r>
      <w:r>
        <w:t xml:space="preserve">     Frontier Economics</w:t>
      </w:r>
      <w:r w:rsidRPr="00F85FCC">
        <w:t xml:space="preserve">, </w:t>
      </w:r>
      <w:r>
        <w:rPr>
          <w:rStyle w:val="AERtextitalic"/>
        </w:rPr>
        <w:t>The Market Risk Premium</w:t>
      </w:r>
      <w:r>
        <w:t>, September</w:t>
      </w:r>
      <w:r w:rsidRPr="00F85FCC">
        <w:t xml:space="preserve"> 201</w:t>
      </w:r>
      <w:r>
        <w:t>6, P27-28,74</w:t>
      </w:r>
    </w:p>
  </w:footnote>
  <w:footnote w:id="982">
    <w:p w:rsidR="00E636A0" w:rsidRDefault="00E636A0" w:rsidP="00BB18D4">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xml:space="preserve">, June 2015, pp. 333–338.; 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983">
    <w:p w:rsidR="00E636A0" w:rsidRDefault="00E636A0"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P27-28,</w:t>
      </w:r>
    </w:p>
  </w:footnote>
  <w:footnote w:id="984">
    <w:p w:rsidR="00E636A0" w:rsidRDefault="00E636A0" w:rsidP="00BB18D4">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985">
    <w:p w:rsidR="00E636A0" w:rsidRDefault="00E636A0" w:rsidP="00BB18D4">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986">
    <w:p w:rsidR="00E636A0" w:rsidRDefault="00E636A0" w:rsidP="009F0858">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87">
    <w:p w:rsidR="00E636A0" w:rsidRDefault="00E636A0" w:rsidP="009F0858">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988">
    <w:p w:rsidR="00E636A0" w:rsidRDefault="00E636A0" w:rsidP="009F0858">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89">
    <w:p w:rsidR="00E636A0" w:rsidRDefault="00E636A0"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990">
    <w:p w:rsidR="00E636A0" w:rsidRDefault="00E636A0" w:rsidP="009F0858">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991">
    <w:p w:rsidR="00E636A0" w:rsidRDefault="00E636A0" w:rsidP="009F0858">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992">
    <w:p w:rsidR="00E636A0" w:rsidRDefault="00E636A0"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993">
    <w:p w:rsidR="00E636A0" w:rsidRDefault="00E636A0" w:rsidP="009F0858">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994">
    <w:p w:rsidR="00E636A0" w:rsidRDefault="00E636A0">
      <w:pPr>
        <w:pStyle w:val="FootnoteText"/>
      </w:pPr>
      <w:r>
        <w:rPr>
          <w:rStyle w:val="FootnoteReference"/>
        </w:rPr>
        <w:footnoteRef/>
      </w:r>
      <w:r>
        <w:t xml:space="preserve"> </w:t>
      </w:r>
      <w:r>
        <w:tab/>
        <w:t>Partington and Satchell, pp. 23–25.</w:t>
      </w:r>
    </w:p>
  </w:footnote>
  <w:footnote w:id="995">
    <w:p w:rsidR="00E636A0" w:rsidRDefault="00E636A0" w:rsidP="009F0858">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996">
    <w:p w:rsidR="00E636A0" w:rsidRDefault="00E636A0" w:rsidP="009F0858">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997">
    <w:p w:rsidR="00E636A0" w:rsidRDefault="00E636A0" w:rsidP="009F0858">
      <w:pPr>
        <w:pStyle w:val="FootnoteText"/>
      </w:pPr>
      <w:r>
        <w:rPr>
          <w:rStyle w:val="FootnoteReference"/>
        </w:rPr>
        <w:footnoteRef/>
      </w:r>
      <w:r>
        <w:t xml:space="preserve"> </w:t>
      </w:r>
      <w:r>
        <w:tab/>
        <w:t>Rather than target prices.</w:t>
      </w:r>
    </w:p>
  </w:footnote>
  <w:footnote w:id="998">
    <w:p w:rsidR="00E636A0" w:rsidRDefault="00E636A0" w:rsidP="009F0858">
      <w:pPr>
        <w:pStyle w:val="FootnoteText"/>
      </w:pPr>
      <w:r>
        <w:rPr>
          <w:rStyle w:val="FootnoteReference"/>
        </w:rPr>
        <w:footnoteRef/>
      </w:r>
      <w:r>
        <w:t xml:space="preserve"> </w:t>
      </w:r>
      <w:r>
        <w:tab/>
        <w:t>Assumed to be 2.5 per cent, which is the mid-point of the RBA's target inflation band.</w:t>
      </w:r>
    </w:p>
  </w:footnote>
  <w:footnote w:id="999">
    <w:p w:rsidR="00E636A0" w:rsidRDefault="00E636A0" w:rsidP="009F0858">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00">
    <w:p w:rsidR="00E636A0" w:rsidRDefault="00E636A0" w:rsidP="009F0858">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01">
    <w:p w:rsidR="00E636A0" w:rsidRDefault="00E636A0" w:rsidP="009F0858">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02">
    <w:p w:rsidR="00E636A0" w:rsidRDefault="00E636A0" w:rsidP="009F0858">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03">
    <w:p w:rsidR="00E636A0" w:rsidRDefault="00E636A0" w:rsidP="009F0858">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04">
    <w:p w:rsidR="00E636A0" w:rsidRDefault="00E636A0" w:rsidP="009F0858">
      <w:pPr>
        <w:pStyle w:val="FootnoteText"/>
      </w:pPr>
      <w:r>
        <w:rPr>
          <w:rStyle w:val="FootnoteReference"/>
        </w:rPr>
        <w:footnoteRef/>
      </w:r>
      <w:r>
        <w:t xml:space="preserve"> </w:t>
      </w:r>
      <w:r>
        <w:tab/>
        <w:t>Although it used a different value for the assumed utilisation rate of imputation credits.</w:t>
      </w:r>
    </w:p>
  </w:footnote>
  <w:footnote w:id="1005">
    <w:p w:rsidR="00E636A0" w:rsidRDefault="00E636A0" w:rsidP="009F0858">
      <w:pPr>
        <w:pStyle w:val="FootnoteText"/>
      </w:pPr>
      <w:r>
        <w:rPr>
          <w:rStyle w:val="FootnoteReference"/>
        </w:rPr>
        <w:footnoteRef/>
      </w:r>
      <w:r>
        <w:t xml:space="preserve"> </w:t>
      </w:r>
      <w:r>
        <w:tab/>
        <w:t xml:space="preserve">AusNet Services adopts the market risk premium estimates of Frontier Economics, see: Frontier Economics, </w:t>
      </w:r>
      <w:r>
        <w:rPr>
          <w:rStyle w:val="AERtextitalic"/>
        </w:rPr>
        <w:t>an updated estimate of the required return on equity, Report prepared for AusNet Services</w:t>
      </w:r>
      <w:r>
        <w:t>, August 2015, p. 6.</w:t>
      </w:r>
    </w:p>
  </w:footnote>
  <w:footnote w:id="1006">
    <w:p w:rsidR="00E636A0" w:rsidRDefault="00E636A0" w:rsidP="009F0858">
      <w:pPr>
        <w:pStyle w:val="FootnoteText"/>
      </w:pPr>
      <w:r>
        <w:rPr>
          <w:rStyle w:val="FootnoteReference"/>
        </w:rPr>
        <w:footnoteRef/>
      </w:r>
      <w:r>
        <w:t xml:space="preserve"> </w:t>
      </w:r>
      <w:r>
        <w:tab/>
        <w:t>Frontier Economics, The market risk premium, September 2016, p. 76.</w:t>
      </w:r>
    </w:p>
  </w:footnote>
  <w:footnote w:id="1007">
    <w:p w:rsidR="00E636A0" w:rsidRDefault="00E636A0" w:rsidP="009F0858">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008">
    <w:p w:rsidR="00E636A0" w:rsidRDefault="00E636A0" w:rsidP="009F0858">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09">
    <w:p w:rsidR="00E636A0" w:rsidRDefault="00E636A0" w:rsidP="009F0858">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1010">
    <w:p w:rsidR="00E636A0" w:rsidRDefault="00E636A0"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011">
    <w:p w:rsidR="00E636A0" w:rsidRDefault="00E636A0" w:rsidP="009F0858">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1012">
    <w:p w:rsidR="00E636A0" w:rsidRDefault="00E636A0" w:rsidP="009F0858">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1013">
    <w:p w:rsidR="00E636A0" w:rsidRDefault="00E636A0"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14">
    <w:p w:rsidR="00E636A0" w:rsidRDefault="00E636A0" w:rsidP="00EC5833">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1015">
    <w:p w:rsidR="00E636A0" w:rsidRDefault="00E636A0"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16">
    <w:p w:rsidR="00E636A0" w:rsidRDefault="00E636A0" w:rsidP="00EC5833">
      <w:pPr>
        <w:pStyle w:val="FootnoteText"/>
      </w:pPr>
      <w:r>
        <w:rPr>
          <w:rStyle w:val="FootnoteReference"/>
        </w:rPr>
        <w:footnoteRef/>
      </w:r>
      <w:r>
        <w:t xml:space="preserve"> </w:t>
      </w:r>
      <w:r>
        <w:tab/>
        <w:t xml:space="preserve">Damodaran, </w:t>
      </w:r>
      <w:hyperlink r:id="rId19" w:history="1">
        <w:r w:rsidRPr="00007302">
          <w:rPr>
            <w:rStyle w:val="Hyperlink"/>
            <w:sz w:val="16"/>
          </w:rPr>
          <w:t>http://pages.stern.nyu.edu/~adamodar/New_Home_Page/lectures/pe.html</w:t>
        </w:r>
      </w:hyperlink>
      <w:r>
        <w:t xml:space="preserve">, </w:t>
      </w:r>
    </w:p>
  </w:footnote>
  <w:footnote w:id="1017">
    <w:p w:rsidR="00E636A0" w:rsidRDefault="00E636A0"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18">
    <w:p w:rsidR="00E636A0" w:rsidRDefault="00E636A0"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19">
    <w:p w:rsidR="00E636A0" w:rsidRDefault="00E636A0">
      <w:pPr>
        <w:pStyle w:val="FootnoteText"/>
      </w:pPr>
      <w:r>
        <w:rPr>
          <w:rStyle w:val="FootnoteReference"/>
        </w:rPr>
        <w:footnoteRef/>
      </w:r>
      <w:r>
        <w:t xml:space="preserve"> </w:t>
      </w:r>
      <w:r>
        <w:tab/>
        <w:t>Frontier, The market risk premium, September 2016, p. 63.</w:t>
      </w:r>
    </w:p>
  </w:footnote>
  <w:footnote w:id="1020">
    <w:p w:rsidR="00E636A0" w:rsidRDefault="00E636A0" w:rsidP="009F0858">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1021">
    <w:p w:rsidR="00E636A0" w:rsidRDefault="00E636A0" w:rsidP="009F0858">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1022">
    <w:p w:rsidR="00E636A0" w:rsidRDefault="00E636A0" w:rsidP="00B60505">
      <w:pPr>
        <w:pStyle w:val="FootnoteText"/>
      </w:pPr>
      <w:r>
        <w:rPr>
          <w:rStyle w:val="FootnoteReference"/>
        </w:rPr>
        <w:footnoteRef/>
      </w:r>
      <w:r>
        <w:t xml:space="preserve"> </w:t>
      </w:r>
      <w:r>
        <w:tab/>
        <w:t xml:space="preserve">Partington and Satchell, </w:t>
      </w:r>
      <w:r w:rsidRPr="00440833">
        <w:rPr>
          <w:rStyle w:val="Emphasis"/>
        </w:rPr>
        <w:t>Report to the AER: Discussion of estimates of the return o</w:t>
      </w:r>
      <w:r>
        <w:rPr>
          <w:rStyle w:val="Emphasis"/>
        </w:rPr>
        <w:t xml:space="preserve">n equity, March </w:t>
      </w:r>
      <w:r>
        <w:t>12 April 2017, p. 32.</w:t>
      </w:r>
    </w:p>
  </w:footnote>
  <w:footnote w:id="1023">
    <w:p w:rsidR="00E636A0" w:rsidRDefault="00E636A0" w:rsidP="0048197D">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1024">
    <w:p w:rsidR="00E636A0" w:rsidRDefault="00E636A0" w:rsidP="00827E36">
      <w:pPr>
        <w:pStyle w:val="FootnoteText"/>
      </w:pPr>
      <w:r>
        <w:rPr>
          <w:rStyle w:val="FootnoteReference"/>
        </w:rPr>
        <w:footnoteRef/>
      </w:r>
      <w:r>
        <w:t xml:space="preserve"> </w:t>
      </w:r>
      <w:r>
        <w:tab/>
      </w:r>
      <w:r w:rsidRPr="00827E36">
        <w:t xml:space="preserve">Partington and Satchell, </w:t>
      </w:r>
      <w:r w:rsidRPr="006E5878">
        <w:rPr>
          <w:rStyle w:val="AERtextitalic"/>
        </w:rPr>
        <w:t>Report to the AER: Discussion of estimates of the return on equity</w:t>
      </w:r>
      <w:r w:rsidRPr="00827E36">
        <w:t xml:space="preserve">, </w:t>
      </w:r>
      <w:r>
        <w:t>12 April</w:t>
      </w:r>
      <w:r w:rsidRPr="00827E36">
        <w:t xml:space="preserve"> 2017, pp. 1</w:t>
      </w:r>
      <w:r>
        <w:t>7–18</w:t>
      </w:r>
      <w:r w:rsidRPr="00827E36">
        <w:t>, 3</w:t>
      </w:r>
      <w:r>
        <w:t>2</w:t>
      </w:r>
      <w:r w:rsidRPr="00827E36">
        <w:t>.</w:t>
      </w:r>
    </w:p>
  </w:footnote>
  <w:footnote w:id="1025">
    <w:p w:rsidR="00E636A0" w:rsidRDefault="00E636A0" w:rsidP="0048197D">
      <w:pPr>
        <w:pStyle w:val="FootnoteText"/>
        <w:tabs>
          <w:tab w:val="clear" w:pos="340"/>
          <w:tab w:val="left" w:pos="284"/>
        </w:tabs>
        <w:ind w:left="142" w:hanging="142"/>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26">
    <w:p w:rsidR="00E636A0" w:rsidRDefault="00E636A0"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027">
    <w:p w:rsidR="00E636A0" w:rsidRDefault="00E636A0" w:rsidP="00EC5833">
      <w:pPr>
        <w:pStyle w:val="FootnoteText"/>
      </w:pPr>
      <w:r>
        <w:rPr>
          <w:rStyle w:val="FootnoteReference"/>
        </w:rPr>
        <w:footnoteRef/>
      </w:r>
      <w:r>
        <w:t xml:space="preserve"> </w:t>
      </w:r>
      <w:r>
        <w:tab/>
        <w:t xml:space="preserve">Partington and Satchell, </w:t>
      </w:r>
      <w:r w:rsidRPr="006E5878">
        <w:rPr>
          <w:rStyle w:val="AERtextitalic"/>
        </w:rPr>
        <w:t>Report to the AER: Discussion of estimates of the return on equity</w:t>
      </w:r>
      <w:r>
        <w:t>, 12 April 2017, p. 29.</w:t>
      </w:r>
    </w:p>
  </w:footnote>
  <w:footnote w:id="1028">
    <w:p w:rsidR="00E636A0" w:rsidRDefault="00E636A0" w:rsidP="009F0858">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029">
    <w:p w:rsidR="00E636A0" w:rsidRDefault="00E636A0" w:rsidP="009F085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030">
    <w:p w:rsidR="00E636A0" w:rsidRDefault="00E636A0" w:rsidP="006A331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1031">
    <w:p w:rsidR="00E636A0" w:rsidRDefault="00E636A0" w:rsidP="006A3314">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032">
    <w:p w:rsidR="00E636A0" w:rsidRDefault="00E636A0" w:rsidP="006A3314">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1033">
    <w:p w:rsidR="00E636A0" w:rsidRDefault="00E636A0" w:rsidP="006A3314">
      <w:pPr>
        <w:pStyle w:val="FootnoteText"/>
      </w:pPr>
      <w:r>
        <w:rPr>
          <w:rStyle w:val="FootnoteReference"/>
        </w:rPr>
        <w:footnoteRef/>
      </w:r>
      <w:r>
        <w:t xml:space="preserve"> </w:t>
      </w:r>
      <w:r>
        <w:tab/>
        <w:t>AusNet</w:t>
      </w:r>
      <w:r w:rsidRPr="00F85FCC">
        <w:t xml:space="preserve">, </w:t>
      </w:r>
      <w:r>
        <w:rPr>
          <w:rStyle w:val="AERtextitalic"/>
        </w:rPr>
        <w:t>The AusNet Transmission Revised Revenue Proposal 2017-2022</w:t>
      </w:r>
      <w:r>
        <w:t>, September</w:t>
      </w:r>
      <w:r w:rsidRPr="00F85FCC">
        <w:t xml:space="preserve"> 201</w:t>
      </w:r>
      <w:r>
        <w:t>6, P150-151</w:t>
      </w:r>
    </w:p>
  </w:footnote>
  <w:footnote w:id="1034">
    <w:p w:rsidR="00E636A0" w:rsidRDefault="00E636A0" w:rsidP="006A3314">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1035">
    <w:p w:rsidR="00E636A0" w:rsidRDefault="00E636A0" w:rsidP="006A331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1036">
    <w:p w:rsidR="00E636A0" w:rsidRDefault="00E636A0" w:rsidP="006A3314">
      <w:pPr>
        <w:pStyle w:val="FootnoteText"/>
      </w:pPr>
      <w:r>
        <w:rPr>
          <w:rStyle w:val="FootnoteReference"/>
        </w:rPr>
        <w:footnoteRef/>
      </w:r>
      <w:r>
        <w:t xml:space="preserve"> </w:t>
      </w:r>
      <w:r>
        <w:tab/>
        <w:t xml:space="preserve">This was based on Merton, R.C., 'On Estimating the Expected Return on the Market: An Exploratory Investigation', </w:t>
      </w:r>
      <w:r>
        <w:rPr>
          <w:rStyle w:val="AERtextitalic"/>
        </w:rPr>
        <w:t>Journal of Financial Economics</w:t>
      </w:r>
      <w:r>
        <w:t>, 1980, Vol. 8, pp. 323</w:t>
      </w:r>
      <w:r>
        <w:rPr>
          <w:rFonts w:cs="Gautami"/>
        </w:rPr>
        <w:t>–</w:t>
      </w:r>
      <w:r>
        <w:t>361.</w:t>
      </w:r>
    </w:p>
  </w:footnote>
  <w:footnote w:id="1037">
    <w:p w:rsidR="00E636A0" w:rsidRDefault="00E636A0" w:rsidP="006A3314">
      <w:pPr>
        <w:pStyle w:val="FootnoteText"/>
      </w:pPr>
      <w:r>
        <w:rPr>
          <w:rStyle w:val="FootnoteReference"/>
        </w:rPr>
        <w:footnoteRef/>
      </w:r>
      <w:r>
        <w:t xml:space="preserve"> </w:t>
      </w:r>
      <w:r>
        <w:tab/>
        <w:t xml:space="preserve">This averaging period is from 21 February 2017 to 20 March 2017.  </w:t>
      </w:r>
    </w:p>
  </w:footnote>
  <w:footnote w:id="1038">
    <w:p w:rsidR="00E636A0" w:rsidRDefault="00E636A0" w:rsidP="006A331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039">
    <w:p w:rsidR="00E636A0" w:rsidRDefault="00E636A0" w:rsidP="006A3314">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040">
    <w:p w:rsidR="00E636A0" w:rsidRDefault="00E636A0" w:rsidP="006A331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041">
    <w:p w:rsidR="00E636A0" w:rsidRDefault="00E636A0" w:rsidP="006A3314">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See: NER, cl. 6.5.2(c); NER, cl. 6A.6.2(c); NGR, r.87(3).</w:t>
      </w:r>
    </w:p>
  </w:footnote>
  <w:footnote w:id="1042">
    <w:p w:rsidR="00E636A0" w:rsidRDefault="00E636A0" w:rsidP="006A3314">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1043">
    <w:p w:rsidR="00E636A0" w:rsidRDefault="00E636A0" w:rsidP="006A3314">
      <w:pPr>
        <w:pStyle w:val="FootnoteText"/>
      </w:pPr>
      <w:r>
        <w:rPr>
          <w:rStyle w:val="FootnoteReference"/>
        </w:rPr>
        <w:footnoteRef/>
      </w:r>
      <w:r>
        <w:t xml:space="preserve"> </w:t>
      </w:r>
      <w:r>
        <w:tab/>
        <w:t>Based on a proposed return on equity of 10 per cent and a proposed risk free rate of 3.02 per cent (see: AusNet Services</w:t>
      </w:r>
      <w:r w:rsidRPr="00172CD0">
        <w:rPr>
          <w:rStyle w:val="AERtextitalic"/>
        </w:rPr>
        <w:t>, AusNet Transmission Group Pty Ltd transmission revenue review 2017–2022</w:t>
      </w:r>
      <w:r>
        <w:t>, 30 October 2015, pp. 265–266).</w:t>
      </w:r>
    </w:p>
  </w:footnote>
  <w:footnote w:id="1044">
    <w:p w:rsidR="00E636A0" w:rsidRDefault="00E636A0" w:rsidP="006A3314">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045">
    <w:p w:rsidR="00E636A0" w:rsidRDefault="00E636A0" w:rsidP="006A3314">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046">
    <w:p w:rsidR="00E636A0" w:rsidRDefault="00E636A0" w:rsidP="006A3314">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1047">
    <w:p w:rsidR="00E636A0" w:rsidRDefault="00E636A0" w:rsidP="006A3314">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r>
        <w:t>.</w:t>
      </w:r>
    </w:p>
  </w:footnote>
  <w:footnote w:id="1048">
    <w:p w:rsidR="00E636A0" w:rsidRDefault="00E636A0" w:rsidP="006A3314">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1049">
    <w:p w:rsidR="00E636A0" w:rsidRDefault="00E636A0" w:rsidP="006A3314">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1050">
    <w:p w:rsidR="00E636A0" w:rsidRDefault="00E636A0" w:rsidP="006A3314">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 xml:space="preserve">78–79; Frontier Economics, </w:t>
      </w:r>
      <w:r w:rsidRPr="00074148">
        <w:rPr>
          <w:rStyle w:val="Emphasis"/>
        </w:rPr>
        <w:t>The market risk premium</w:t>
      </w:r>
      <w:r>
        <w:t xml:space="preserve">, September 2016, p32; </w:t>
      </w:r>
    </w:p>
    <w:p w:rsidR="00E636A0" w:rsidRDefault="00E636A0" w:rsidP="006A3314">
      <w:pPr>
        <w:pStyle w:val="FootnoteText"/>
      </w:pPr>
      <w:r>
        <w:tab/>
      </w:r>
    </w:p>
  </w:footnote>
  <w:footnote w:id="1051">
    <w:p w:rsidR="00E636A0" w:rsidRDefault="00E636A0" w:rsidP="006A3314">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1052">
    <w:p w:rsidR="00E636A0" w:rsidRDefault="00E636A0" w:rsidP="006A3314">
      <w:pPr>
        <w:pStyle w:val="FootnoteText"/>
      </w:pPr>
      <w:r>
        <w:rPr>
          <w:rStyle w:val="FootnoteReference"/>
        </w:rPr>
        <w:footnoteRef/>
      </w:r>
      <w:r>
        <w:t xml:space="preserve"> </w:t>
      </w:r>
      <w:r>
        <w:tab/>
        <w:t>Fernandez, Ortiz, Acín, M</w:t>
      </w:r>
      <w:r>
        <w:rPr>
          <w:rStyle w:val="AERtextitalic"/>
        </w:rPr>
        <w:t>arket risk premium used in 71 countries in 2016</w:t>
      </w:r>
      <w:r w:rsidRPr="00280362">
        <w:rPr>
          <w:rStyle w:val="AERtextitalic"/>
        </w:rPr>
        <w:t>: a survey</w:t>
      </w:r>
      <w:r>
        <w:t xml:space="preserve">, May 2016; 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 xml:space="preserve">uary 2013; Asher and Carruther , </w:t>
      </w:r>
      <w:r w:rsidRPr="006665F9">
        <w:rPr>
          <w:rStyle w:val="Emphasis"/>
        </w:rPr>
        <w:t>Equity Risk Premium Survey 2015, Acutaries Digital</w:t>
      </w:r>
      <w:r>
        <w:t>, May 26 2016</w:t>
      </w:r>
    </w:p>
  </w:footnote>
  <w:footnote w:id="1053">
    <w:p w:rsidR="00E636A0" w:rsidRDefault="00E636A0" w:rsidP="006A3314">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054">
    <w:p w:rsidR="00E636A0" w:rsidRDefault="00E636A0" w:rsidP="006A3314">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55">
    <w:p w:rsidR="00E636A0" w:rsidRDefault="00E636A0" w:rsidP="006A3314">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56">
    <w:p w:rsidR="00E636A0" w:rsidRDefault="00E636A0" w:rsidP="006A3314">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057">
    <w:p w:rsidR="00E636A0" w:rsidRDefault="00E636A0" w:rsidP="006A3314">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058">
    <w:p w:rsidR="00E636A0" w:rsidRDefault="00E636A0" w:rsidP="006A3314">
      <w:pPr>
        <w:pStyle w:val="FootnoteText"/>
      </w:pPr>
      <w:r>
        <w:rPr>
          <w:rStyle w:val="FootnoteReference"/>
        </w:rPr>
        <w:footnoteRef/>
      </w:r>
      <w:r>
        <w:tab/>
        <w:t xml:space="preserve">AusNet, AusNet Transmission Revised revenue proposal 2017-2022, 21 September 2016; </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27 March 2015, p. 7).</w:t>
      </w:r>
    </w:p>
  </w:footnote>
  <w:footnote w:id="1059">
    <w:p w:rsidR="00E636A0" w:rsidRDefault="00E636A0" w:rsidP="006A3314">
      <w:pPr>
        <w:pStyle w:val="FootnoteText"/>
      </w:pPr>
      <w:r>
        <w:rPr>
          <w:rStyle w:val="FootnoteReference"/>
        </w:rPr>
        <w:footnoteRef/>
      </w:r>
      <w:r>
        <w:t xml:space="preserve"> </w:t>
      </w:r>
      <w:r>
        <w:tab/>
        <w:t xml:space="preserve">See, for example, AusNet Services, </w:t>
      </w:r>
      <w:r w:rsidRPr="006C0405">
        <w:rPr>
          <w:rStyle w:val="AERtextitalic"/>
        </w:rPr>
        <w:t>Transmission Revenue Review 2017–2022 regulatory proposal</w:t>
      </w:r>
      <w:r>
        <w:t xml:space="preserve">, 30 October 2015, p. 235;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1060">
    <w:p w:rsidR="00E636A0" w:rsidRDefault="00E636A0" w:rsidP="006A3314">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Pr="003C2547">
        <w:t xml:space="preserve">Table </w:t>
      </w:r>
      <w:r>
        <w:rPr>
          <w:noProof/>
        </w:rPr>
        <w:t>3</w:t>
      </w:r>
      <w:r>
        <w:noBreakHyphen/>
      </w:r>
      <w:r>
        <w:rPr>
          <w:noProof/>
        </w:rPr>
        <w:t>31</w:t>
      </w:r>
      <w:r>
        <w:fldChar w:fldCharType="end"/>
      </w:r>
      <w:r>
        <w:t xml:space="preserve"> capture the most recent report from each broker on each of the stated companies in this time period.</w:t>
      </w:r>
    </w:p>
  </w:footnote>
  <w:footnote w:id="1061">
    <w:p w:rsidR="00E636A0" w:rsidRDefault="00E636A0" w:rsidP="006A3314">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1062">
    <w:p w:rsidR="00E636A0" w:rsidRDefault="00E636A0" w:rsidP="006A3314">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1063">
    <w:p w:rsidR="00E636A0" w:rsidRDefault="00E636A0" w:rsidP="006A3314">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1064">
    <w:p w:rsidR="00E636A0" w:rsidRDefault="00E636A0" w:rsidP="006A3314">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065">
    <w:p w:rsidR="00E636A0" w:rsidRDefault="00E636A0" w:rsidP="006A3314">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1066">
    <w:p w:rsidR="00E636A0" w:rsidRDefault="00E636A0" w:rsidP="006A3314">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xml:space="preserve">, 6 January 2016, pp.71–72;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1067">
    <w:p w:rsidR="00E636A0" w:rsidRDefault="00E636A0" w:rsidP="006A3314">
      <w:pPr>
        <w:pStyle w:val="FootnoteText"/>
      </w:pPr>
      <w:r>
        <w:rPr>
          <w:rStyle w:val="FootnoteReference"/>
        </w:rPr>
        <w:footnoteRef/>
      </w:r>
      <w:r>
        <w:t xml:space="preserve"> </w:t>
      </w:r>
      <w:r>
        <w:tab/>
      </w:r>
      <w:r w:rsidRPr="00B67D24">
        <w:rPr>
          <w:lang w:eastAsia="en-AU"/>
        </w:rPr>
        <w:t>Australian Competition and Consumer Commission, NBN Co Special Access Undertaking: Long Term Revenue Constraint Methodology 2014–15 - Draft Determination, March 2016</w:t>
      </w:r>
      <w:r w:rsidRPr="00B67D24">
        <w:t xml:space="preserve">; </w:t>
      </w:r>
      <w:r w:rsidRPr="00B67D24">
        <w:rPr>
          <w:lang w:eastAsia="en-AU"/>
        </w:rPr>
        <w:t>Essential Services Commission of Victoria, Melbourne Water Price Review 2016: Draft Decision, March 2016</w:t>
      </w:r>
      <w:r w:rsidRPr="00B67D24">
        <w:t xml:space="preserve">; </w:t>
      </w:r>
      <w:r w:rsidRPr="00B67D24">
        <w:rPr>
          <w:lang w:eastAsia="en-AU"/>
        </w:rPr>
        <w:t>Independent Pricing and Regulatory Tribunal, Review of prices for Sydney Water Corporation from 1 July 2016 to 30 June 2020 - Draft report, March 2016</w:t>
      </w:r>
      <w:r w:rsidRPr="00B67D24">
        <w:t xml:space="preserve">; </w:t>
      </w:r>
      <w:r w:rsidRPr="00B67D24">
        <w:rPr>
          <w:lang w:eastAsia="en-AU"/>
        </w:rPr>
        <w:t>Independent Pricing and Regulatory Tribunal, Review of prices for Hunter Water Corporation from 1 July 2016 to 30 June 2020 - Draft report, March 2016</w:t>
      </w:r>
      <w:r w:rsidRPr="00B67D24">
        <w:t xml:space="preserve">; </w:t>
      </w:r>
      <w:r w:rsidRPr="00B67D24">
        <w:rPr>
          <w:lang w:eastAsia="en-AU"/>
        </w:rPr>
        <w:t>Independent Pricing and Regulatory Tribunal, Review of prices for WaterNSW from 1 July 2016 to 30 June 2020 - Draft report, March 2016</w:t>
      </w:r>
      <w:r w:rsidRPr="00B67D24">
        <w:t xml:space="preserve">; </w:t>
      </w:r>
      <w:r w:rsidRPr="00B67D24">
        <w:rPr>
          <w:lang w:eastAsia="en-AU"/>
        </w:rPr>
        <w:t>Independent Pricing and Regulatory Tribunal, Review of prices for WaterNSW from 1 July 2016 to 30 June 2020 - Draft report, March 2016</w:t>
      </w:r>
      <w:r w:rsidRPr="00B67D24">
        <w:t xml:space="preserve">; </w:t>
      </w:r>
      <w:r w:rsidRPr="00B67D24">
        <w:rPr>
          <w:lang w:eastAsia="en-AU"/>
        </w:rPr>
        <w:t>Australian Competition and Consumer Commission, WaterNSW: Annual review of regulated charges 2016-17 - Draft decision, April 2016</w:t>
      </w:r>
      <w:r w:rsidRPr="00B67D24">
        <w:t xml:space="preserve">; </w:t>
      </w:r>
      <w:r w:rsidRPr="00B67D24">
        <w:rPr>
          <w:lang w:eastAsia="en-AU"/>
        </w:rPr>
        <w:t>Queensland competition authority, Draft decision DBCT Management's 2015 draft access undertaking, 19 April 2016</w:t>
      </w:r>
      <w:r w:rsidRPr="00B67D24">
        <w:t xml:space="preserve">; </w:t>
      </w:r>
      <w:r w:rsidRPr="00B67D24">
        <w:rPr>
          <w:lang w:eastAsia="en-AU"/>
        </w:rPr>
        <w:t>Queensland competition authority, Final decision Aurizon Network 2014 Access Undertaking-Volume IV-Maximum allowable revenue, 28 April 2016</w:t>
      </w:r>
      <w:r w:rsidRPr="00B67D24">
        <w:t xml:space="preserve">; </w:t>
      </w:r>
      <w:r w:rsidRPr="00B67D24">
        <w:rPr>
          <w:lang w:eastAsia="en-AU"/>
        </w:rPr>
        <w:t>IPART, Weighted average cost of capital (WACC) Final report - information paper 10, 10 May 2016</w:t>
      </w:r>
      <w:r w:rsidRPr="00B67D24">
        <w:t xml:space="preserve">; </w:t>
      </w:r>
      <w:r w:rsidRPr="00B67D24">
        <w:rPr>
          <w:lang w:eastAsia="en-AU"/>
        </w:rPr>
        <w:t>Australian Competition and Consumer Commission, WaterNSW: Annual review of regulated charges 2016-17 -Final decision, May 2016</w:t>
      </w:r>
      <w:r w:rsidRPr="00B67D24">
        <w:t xml:space="preserve">; </w:t>
      </w:r>
      <w:r w:rsidRPr="00B67D24">
        <w:rPr>
          <w:lang w:eastAsia="en-AU"/>
        </w:rPr>
        <w:t>QCA, Regulated retail electricity prices for 2016-17, Final determination, 31 May 2016</w:t>
      </w:r>
      <w:r w:rsidRPr="00B67D24">
        <w:t xml:space="preserve">; </w:t>
      </w:r>
      <w:r w:rsidRPr="00B67D24">
        <w:rPr>
          <w:lang w:eastAsia="en-AU"/>
        </w:rPr>
        <w:t>ESCOSA, SA Water Regulatory Determination 2016 Final Decision, June 2016</w:t>
      </w:r>
      <w:r w:rsidRPr="00B67D24">
        <w:t xml:space="preserve">; </w:t>
      </w:r>
      <w:r w:rsidRPr="00B67D24">
        <w:rPr>
          <w:lang w:eastAsia="en-AU"/>
        </w:rPr>
        <w:t>IPART, Review of prices for the Water Administration Ministerial Corporation, 7 June 2016</w:t>
      </w:r>
      <w:r w:rsidRPr="00B67D24">
        <w:t xml:space="preserve">; </w:t>
      </w:r>
      <w:r w:rsidRPr="00B67D24">
        <w:rPr>
          <w:lang w:eastAsia="en-AU"/>
        </w:rPr>
        <w:t>IPART, Review of prices for Sydney Water Corporation, Final Report, 14 June 2016</w:t>
      </w:r>
      <w:r w:rsidRPr="00B67D24">
        <w:t xml:space="preserve">; </w:t>
      </w:r>
      <w:r w:rsidRPr="00B67D24">
        <w:rPr>
          <w:lang w:eastAsia="en-AU"/>
        </w:rPr>
        <w:t>IPART, Review of prices for Hunter Water Corporation, Final Report, 14 June 2016</w:t>
      </w:r>
      <w:r w:rsidRPr="00B67D24">
        <w:t xml:space="preserve">; </w:t>
      </w:r>
      <w:r w:rsidRPr="00B67D24">
        <w:rPr>
          <w:lang w:eastAsia="en-AU"/>
        </w:rPr>
        <w:t>IPART, Review of prices for WaterNSW, Final Report, 14 June 2016</w:t>
      </w:r>
      <w:r w:rsidRPr="00B67D24">
        <w:t xml:space="preserve">; </w:t>
      </w:r>
      <w:r w:rsidRPr="00B67D24">
        <w:rPr>
          <w:lang w:eastAsia="en-AU"/>
        </w:rPr>
        <w:t>ESCV, Goulbourn-Murray Water Price Review 2016, 16 June 2016</w:t>
      </w:r>
      <w:r w:rsidRPr="00B67D24">
        <w:t xml:space="preserve">; </w:t>
      </w:r>
      <w:r w:rsidRPr="00B67D24">
        <w:rPr>
          <w:lang w:eastAsia="en-AU"/>
        </w:rPr>
        <w:t>ESCV, Melbourne Water Price Review 2016 final decision, 16 June 2016</w:t>
      </w:r>
      <w:r w:rsidRPr="00B67D24">
        <w:t xml:space="preserve">; </w:t>
      </w:r>
      <w:r w:rsidRPr="00B67D24">
        <w:rPr>
          <w:lang w:eastAsia="en-AU"/>
        </w:rPr>
        <w:t>QCA, Queensland Rail's Draft Access Undertaking, Decision, 17 June 2016</w:t>
      </w:r>
      <w:r w:rsidRPr="00B67D24">
        <w:t xml:space="preserve">; </w:t>
      </w:r>
      <w:r w:rsidRPr="00B67D24">
        <w:rPr>
          <w:lang w:eastAsia="en-AU"/>
        </w:rPr>
        <w:t>ACCC, Australian Rail Track Corporation's application to vary the 2011 Hunter Valley Access Undertaking - extension of term, 22 June 2016</w:t>
      </w:r>
      <w:r w:rsidRPr="00B67D24">
        <w:t xml:space="preserve">; </w:t>
      </w:r>
      <w:r w:rsidRPr="00B67D24">
        <w:rPr>
          <w:lang w:eastAsia="en-AU"/>
        </w:rPr>
        <w:t>ERA, Final Decision on Proposed Revisions to the Access Arrangement for the Dampier to Bunbury Natural Gas Pipeline 2016 – 2020, Appendix 4 Rate of Return, 30 June 2016</w:t>
      </w:r>
      <w:r w:rsidRPr="00B67D24">
        <w:t xml:space="preserve">; </w:t>
      </w:r>
      <w:r w:rsidRPr="00B67D24">
        <w:rPr>
          <w:lang w:eastAsia="en-AU"/>
        </w:rPr>
        <w:t>ERA, Final Decision on Proposed Revisions to the Access Arrangement for the Goldfields Gas Pipeline, 30 June 2016</w:t>
      </w:r>
      <w:r w:rsidRPr="00B67D24">
        <w:t xml:space="preserve">; </w:t>
      </w:r>
      <w:r w:rsidRPr="00B67D24">
        <w:rPr>
          <w:lang w:eastAsia="en-AU"/>
        </w:rPr>
        <w:t>IPART, Maximum fees and charges for cruise ships in Sydney Harbour Draft decision, 26 July 2016</w:t>
      </w:r>
      <w:r w:rsidRPr="00B67D24">
        <w:t xml:space="preserve">; </w:t>
      </w:r>
      <w:r w:rsidRPr="00B67D24">
        <w:rPr>
          <w:lang w:eastAsia="en-AU"/>
        </w:rPr>
        <w:t>IPART, WACC biannual update, August 2016</w:t>
      </w:r>
      <w:r w:rsidRPr="00B67D24">
        <w:t xml:space="preserve">; </w:t>
      </w:r>
      <w:r w:rsidRPr="00B67D24">
        <w:rPr>
          <w:lang w:eastAsia="en-AU"/>
        </w:rPr>
        <w:t>QCA, DBCT 2015 Draft Access Undertaking Final decision, 21 November 2016</w:t>
      </w:r>
      <w:r w:rsidRPr="00B67D24">
        <w:t xml:space="preserve">; </w:t>
      </w:r>
      <w:r w:rsidRPr="00B67D24">
        <w:rPr>
          <w:lang w:eastAsia="en-AU"/>
        </w:rPr>
        <w:t>IPART, Maximum fees and charges for cruise ships in Sydney Harbour Final decision, 25 November 2016</w:t>
      </w:r>
      <w:r>
        <w:t xml:space="preserve">; </w:t>
      </w:r>
      <w:r w:rsidRPr="00C33C87">
        <w:t>IPART, Review of Prices for Sydney desalination plant ltd. March 2017; IPART, Review of Prices for rural bulk water services from 1 July 2017 to 30 June 2021 (Coastal Valleys), March 2017; IPART, Review of Prices for rural bulk water services from 1 July 2017 to 30 June 2021 (MDB Valleys), March 2017</w:t>
      </w:r>
    </w:p>
  </w:footnote>
  <w:footnote w:id="1068">
    <w:p w:rsidR="00E636A0" w:rsidRDefault="00E636A0" w:rsidP="006A3314">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1069">
    <w:p w:rsidR="00E636A0" w:rsidRDefault="00E636A0" w:rsidP="006A3314">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1070">
    <w:p w:rsidR="00E636A0" w:rsidRDefault="00E636A0" w:rsidP="006A3314">
      <w:pPr>
        <w:pStyle w:val="FootnoteText"/>
      </w:pPr>
      <w:r>
        <w:rPr>
          <w:rStyle w:val="FootnoteReference"/>
        </w:rPr>
        <w:footnoteRef/>
      </w:r>
      <w:r>
        <w:t xml:space="preserve"> </w:t>
      </w:r>
      <w:r>
        <w:tab/>
      </w:r>
      <w:r w:rsidRPr="00977DEE">
        <w:rPr>
          <w:lang w:eastAsia="en-AU"/>
        </w:rPr>
        <w:t>Australian Competition and Consumer Commission, NBN Co Special Access Undertaking: Long Term Revenue Constraint Methodology 2014–15 - Draft Determination, March 2016</w:t>
      </w:r>
      <w:r w:rsidRPr="00977DEE">
        <w:t xml:space="preserve">; </w:t>
      </w:r>
      <w:r w:rsidRPr="00977DEE">
        <w:rPr>
          <w:lang w:eastAsia="en-AU"/>
        </w:rPr>
        <w:t>Essential Services Commission of Victoria, Melbourne Water Price Review 2016: Draft Decision, March 2016</w:t>
      </w:r>
      <w:r w:rsidRPr="00977DEE">
        <w:t xml:space="preserve">; </w:t>
      </w:r>
      <w:r w:rsidRPr="00977DEE">
        <w:rPr>
          <w:lang w:eastAsia="en-AU"/>
        </w:rPr>
        <w:t>Independent Pricing and Regulatory Tribunal, Review of prices for Sydney Water Corporation from 1 July 2016 to 30 June 2020 - Draft report, March 2016</w:t>
      </w:r>
      <w:r w:rsidRPr="00977DEE">
        <w:t xml:space="preserve">. </w:t>
      </w:r>
      <w:r w:rsidRPr="00977DEE">
        <w:rPr>
          <w:lang w:eastAsia="en-AU"/>
        </w:rPr>
        <w:t>Independent Pricing and Regulatory Tribunal, Review of prices for Hunter Water Corporation from 1 July 2016 to 30 June 2020 - Draft report, March 2016</w:t>
      </w:r>
      <w:r w:rsidRPr="00977DEE">
        <w:t xml:space="preserve">, </w:t>
      </w:r>
      <w:r w:rsidRPr="00977DEE">
        <w:rPr>
          <w:lang w:eastAsia="en-AU"/>
        </w:rPr>
        <w:t>Independent Pricing and Regulatory Tribunal, Review of prices for WaterNSW from 1 July 2016 to 30 June 2020 - Draft report, March 2016</w:t>
      </w:r>
      <w:r w:rsidRPr="00977DEE">
        <w:t xml:space="preserve">, </w:t>
      </w:r>
      <w:r w:rsidRPr="00977DEE">
        <w:rPr>
          <w:lang w:eastAsia="en-AU"/>
        </w:rPr>
        <w:t>Australian Competition and Consumer Commission, WaterNSW: Annual review of regulated charges 2016-17 - Draft decision, April 2016</w:t>
      </w:r>
      <w:r w:rsidRPr="00977DEE">
        <w:t xml:space="preserve">, </w:t>
      </w:r>
      <w:r w:rsidRPr="00977DEE">
        <w:rPr>
          <w:lang w:eastAsia="en-AU"/>
        </w:rPr>
        <w:t>Queensland competition authority, Draft decision DBCT Management's 2015 draft access undertaking, 19 April 2016</w:t>
      </w:r>
      <w:r w:rsidRPr="00977DEE">
        <w:t xml:space="preserve">; </w:t>
      </w:r>
      <w:r w:rsidRPr="00977DEE">
        <w:rPr>
          <w:lang w:eastAsia="en-AU"/>
        </w:rPr>
        <w:t>Queensland competition authority, Final decision Aurizon Network 2014 Access Undertaking-Volume IV-Maximum allowable revenue, 28 April 2016</w:t>
      </w:r>
      <w:r w:rsidRPr="00977DEE">
        <w:t xml:space="preserve">; </w:t>
      </w:r>
      <w:r w:rsidRPr="00977DEE">
        <w:rPr>
          <w:lang w:eastAsia="en-AU"/>
        </w:rPr>
        <w:t>IPART, Weighted average cost of capital (WACC) Final report - information paper 10, 10 May 2016</w:t>
      </w:r>
      <w:r w:rsidRPr="00977DEE">
        <w:t xml:space="preserve">; </w:t>
      </w:r>
      <w:r w:rsidRPr="00977DEE">
        <w:rPr>
          <w:lang w:eastAsia="en-AU"/>
        </w:rPr>
        <w:t>Australian Competition and Consumer Commission, WaterNSW: Annual review of regulated charges</w:t>
      </w:r>
      <w:r w:rsidRPr="00977DEE">
        <w:t xml:space="preserve"> </w:t>
      </w:r>
      <w:r w:rsidRPr="00977DEE">
        <w:rPr>
          <w:lang w:eastAsia="en-AU"/>
        </w:rPr>
        <w:t>2016-17 -Final decision, May 2016</w:t>
      </w:r>
      <w:r w:rsidRPr="00977DEE">
        <w:t xml:space="preserve">; </w:t>
      </w:r>
      <w:r w:rsidRPr="00977DEE">
        <w:rPr>
          <w:lang w:eastAsia="en-AU"/>
        </w:rPr>
        <w:t>QCA, Regulated retail electricity prices for 2016-17, Final determination, 31 May 2016</w:t>
      </w:r>
      <w:r w:rsidRPr="00977DEE">
        <w:t xml:space="preserve">; </w:t>
      </w:r>
      <w:r w:rsidRPr="00977DEE">
        <w:rPr>
          <w:lang w:eastAsia="en-AU"/>
        </w:rPr>
        <w:t>ESCOSA, SA Water Regulatory Determination 2016 Final Decision, June 2016</w:t>
      </w:r>
      <w:r w:rsidRPr="00977DEE">
        <w:t xml:space="preserve">; </w:t>
      </w:r>
      <w:r w:rsidRPr="00977DEE">
        <w:rPr>
          <w:lang w:eastAsia="en-AU"/>
        </w:rPr>
        <w:t>IPART, Review of prices for the Water administration Ministerial Corporation, 7 June 2016</w:t>
      </w:r>
      <w:r w:rsidRPr="00977DEE">
        <w:t xml:space="preserve">; </w:t>
      </w:r>
      <w:r w:rsidRPr="00977DEE">
        <w:rPr>
          <w:lang w:eastAsia="en-AU"/>
        </w:rPr>
        <w:t>IPART, Review of prices for Sydney Water Corporation, Final Report, 14 June 2016</w:t>
      </w:r>
      <w:r w:rsidRPr="00977DEE">
        <w:t xml:space="preserve">; </w:t>
      </w:r>
      <w:r w:rsidRPr="00977DEE">
        <w:rPr>
          <w:lang w:eastAsia="en-AU"/>
        </w:rPr>
        <w:t>IPART, Review of prices for Hunter Water Corporation, Final Report, 14 June 2016</w:t>
      </w:r>
      <w:r w:rsidRPr="00977DEE">
        <w:t xml:space="preserve">; </w:t>
      </w:r>
      <w:r w:rsidRPr="00977DEE">
        <w:rPr>
          <w:lang w:eastAsia="en-AU"/>
        </w:rPr>
        <w:t>IPART, Review of prices for WaterNSW, Final Report, 14 June 2016</w:t>
      </w:r>
      <w:r w:rsidRPr="00977DEE">
        <w:t xml:space="preserve">; </w:t>
      </w:r>
      <w:r w:rsidRPr="00977DEE">
        <w:rPr>
          <w:lang w:eastAsia="en-AU"/>
        </w:rPr>
        <w:t>ESCV, Goulbourn-Murray Water Price Review 2016, 16 June 2016</w:t>
      </w:r>
      <w:r w:rsidRPr="00977DEE">
        <w:t xml:space="preserve">; </w:t>
      </w:r>
      <w:r w:rsidRPr="00977DEE">
        <w:rPr>
          <w:lang w:eastAsia="en-AU"/>
        </w:rPr>
        <w:t>ESCV, Melbourne Water Price Review 2016 final decision, 16 June 2016</w:t>
      </w:r>
      <w:r w:rsidRPr="00977DEE">
        <w:t xml:space="preserve">; </w:t>
      </w:r>
      <w:r w:rsidRPr="00977DEE">
        <w:rPr>
          <w:lang w:eastAsia="en-AU"/>
        </w:rPr>
        <w:t>QCA, Queensland Rail's Draft Access Undertaking, Decision, 17 June 2016</w:t>
      </w:r>
      <w:r w:rsidRPr="00977DEE">
        <w:t xml:space="preserve">; </w:t>
      </w:r>
      <w:r w:rsidRPr="00977DEE">
        <w:rPr>
          <w:lang w:eastAsia="en-AU"/>
        </w:rPr>
        <w:t>ACCC, Australian Rail Track Corporation's application to vary the 2011 Hunter Valley Access Undertaking - extension of term, 22 June 2016</w:t>
      </w:r>
      <w:r w:rsidRPr="00977DEE">
        <w:t xml:space="preserve">; </w:t>
      </w:r>
      <w:r w:rsidRPr="00977DEE">
        <w:rPr>
          <w:lang w:eastAsia="en-AU"/>
        </w:rPr>
        <w:t>ERA, Final Decision on Proposed Revisions to the Access Arrangement for the Dampier to Bunbury Natural Gas Pipeline 2016 – 2020, Appendix 4 Rate of Return, 30 June 2016</w:t>
      </w:r>
      <w:r w:rsidRPr="00977DEE">
        <w:t xml:space="preserve">; </w:t>
      </w:r>
      <w:r w:rsidRPr="00977DEE">
        <w:rPr>
          <w:lang w:eastAsia="en-AU"/>
        </w:rPr>
        <w:t>ERA, Final Decision on Proposed Revisions to the Access Arrangement for the Goldfields Gas Pipeline, 30 June 2016</w:t>
      </w:r>
      <w:r w:rsidRPr="00977DEE">
        <w:t xml:space="preserve">; </w:t>
      </w:r>
      <w:r w:rsidRPr="00977DEE">
        <w:rPr>
          <w:lang w:eastAsia="en-AU"/>
        </w:rPr>
        <w:t>IPART, Maximum fees and charges for cruise ships in Sydney Harbour Draft decision, 26 July 2016</w:t>
      </w:r>
      <w:r w:rsidRPr="00977DEE">
        <w:t xml:space="preserve">; </w:t>
      </w:r>
      <w:r w:rsidRPr="00977DEE">
        <w:rPr>
          <w:lang w:eastAsia="en-AU"/>
        </w:rPr>
        <w:t>IPART, WACC biannual update, August 2016</w:t>
      </w:r>
      <w:r w:rsidRPr="00977DEE">
        <w:t xml:space="preserve">; </w:t>
      </w:r>
      <w:r w:rsidRPr="00977DEE">
        <w:rPr>
          <w:lang w:eastAsia="en-AU"/>
        </w:rPr>
        <w:t>QCA, DBCT 2015 Draft Access Undertaking Final decision, 21 November 2016</w:t>
      </w:r>
      <w:r w:rsidRPr="00977DEE">
        <w:t xml:space="preserve">; </w:t>
      </w:r>
      <w:r w:rsidRPr="00977DEE">
        <w:rPr>
          <w:lang w:eastAsia="en-AU"/>
        </w:rPr>
        <w:t>IPART, Maximum fees and charges for cruise ships in Sydney Harbour Final decision, 25 November 2016</w:t>
      </w:r>
      <w:r>
        <w:t xml:space="preserve">; </w:t>
      </w:r>
      <w:r w:rsidRPr="00C33C87">
        <w:t>IPART, Review of Prices for Sydney desalination plant ltd. March 2017; IPART, Review of Prices for rural bulk water services from 1 July 2017 to 30 June 2021 (Coastal Valleys), March 2017; IPART, Review of Prices for rural bulk water services from 1 July 2017 to 30 June 2021 (MDB Valleys), March 2017</w:t>
      </w:r>
    </w:p>
  </w:footnote>
  <w:footnote w:id="1071">
    <w:p w:rsidR="00E636A0" w:rsidRDefault="00E636A0" w:rsidP="006A3314">
      <w:pPr>
        <w:pStyle w:val="FootnoteText"/>
      </w:pPr>
      <w:r>
        <w:rPr>
          <w:rStyle w:val="FootnoteReference"/>
        </w:rPr>
        <w:footnoteRef/>
      </w:r>
      <w:r>
        <w:t xml:space="preserve"> </w:t>
      </w:r>
      <w:r>
        <w:tab/>
        <w:t xml:space="preserve">CitiPower, </w:t>
      </w:r>
      <w:r>
        <w:rPr>
          <w:rStyle w:val="Emphasis"/>
        </w:rPr>
        <w:t>Revised regulatory proposal 2016–2020</w:t>
      </w:r>
      <w:r>
        <w:t xml:space="preserve">, January 2016, pp. 307, 316; Powercor, </w:t>
      </w:r>
      <w:r>
        <w:rPr>
          <w:rStyle w:val="AERtextitalic"/>
        </w:rPr>
        <w:t>Revised regulatory proposal 2016–2020</w:t>
      </w:r>
      <w:r>
        <w:t xml:space="preserve">, January  2016, pp. 301, 310; ActewAGL, </w:t>
      </w:r>
      <w:r>
        <w:rPr>
          <w:rStyle w:val="Emphasis"/>
        </w:rPr>
        <w:t>Revised 2016–21 access arrangement proposal Response to the AER's draft decision, Appendix 5.01 Detailed response to rate of return, gamma and inflation</w:t>
      </w:r>
      <w:r>
        <w:t xml:space="preserve">, January 2016, pp. 73–74, 83–84; United Energy, </w:t>
      </w:r>
      <w:r>
        <w:rPr>
          <w:rStyle w:val="Emphasis"/>
        </w:rPr>
        <w:t>Response to AER preliminary determination–Re: rate of return and gamma</w:t>
      </w:r>
      <w:r>
        <w:t xml:space="preserve">, 6 January 2016, pp. 53–54,61–62; AGN, </w:t>
      </w:r>
      <w:r>
        <w:rPr>
          <w:rStyle w:val="Emphasis"/>
        </w:rPr>
        <w:t>2016–17 to 2020/21 Access Arrangement information response to draft decision: Attachment 10.26 Response to draft decision: rate of return</w:t>
      </w:r>
      <w:r>
        <w:t xml:space="preserve">, January 2016, pp. 67 ; JEN (Vic), </w:t>
      </w:r>
      <w:r>
        <w:rPr>
          <w:rStyle w:val="Emphasis"/>
        </w:rPr>
        <w:t>2016–20 Electricity distribution price review regulatory proposal revocation and substitution submission: Attachment 6–1 Rate of return, gamma, forecast inflation, and debt and equity raising costs,</w:t>
      </w:r>
      <w:r>
        <w:t xml:space="preserve"> 6 January 2016, pp. 58–59, 67–68; AusNet Services, </w:t>
      </w:r>
      <w:r>
        <w:rPr>
          <w:rStyle w:val="Emphasis"/>
        </w:rPr>
        <w:t>Electricity distribution price review 2016–20 Revised regulatory proposal: Chapter 7 Rate of return &amp; gamma</w:t>
      </w:r>
      <w:r>
        <w:t>, 6 January 2016, pp. 53, 70–73.</w:t>
      </w:r>
    </w:p>
  </w:footnote>
  <w:footnote w:id="1072">
    <w:p w:rsidR="00E636A0" w:rsidRDefault="00E636A0" w:rsidP="006A3314">
      <w:pPr>
        <w:pStyle w:val="FootnoteText"/>
      </w:pPr>
      <w:r>
        <w:rPr>
          <w:rStyle w:val="FootnoteReference"/>
        </w:rPr>
        <w:footnoteRef/>
      </w:r>
      <w:r>
        <w:t xml:space="preserve"> </w:t>
      </w:r>
      <w:r>
        <w:tab/>
        <w:t xml:space="preserve">HoustonKemp, </w:t>
      </w:r>
      <w:r>
        <w:rPr>
          <w:rStyle w:val="AERtextitalic"/>
        </w:rPr>
        <w:t>The cost of equity: Response to the AER's draft decisions for the Victorian electricity distributors, ActewAGL Distribution and Australian Gas Networks</w:t>
      </w:r>
      <w:r>
        <w:t xml:space="preserve">, January 2016, pp. xiii–xiv. </w:t>
      </w:r>
    </w:p>
  </w:footnote>
  <w:footnote w:id="1073">
    <w:p w:rsidR="00E636A0" w:rsidRDefault="00E636A0" w:rsidP="006A3314">
      <w:pPr>
        <w:pStyle w:val="FootnoteText"/>
      </w:pPr>
      <w:r>
        <w:rPr>
          <w:rStyle w:val="FootnoteReference"/>
        </w:rPr>
        <w:footnoteRef/>
      </w:r>
      <w:r>
        <w:t xml:space="preserve"> </w:t>
      </w:r>
      <w:r>
        <w:tab/>
        <w:t xml:space="preserve">Partington, </w:t>
      </w:r>
      <w:r>
        <w:rPr>
          <w:rStyle w:val="AERtextitalic"/>
        </w:rPr>
        <w:t>Report to the AER: Return on equity (Updated)</w:t>
      </w:r>
      <w:r>
        <w:t xml:space="preserve">, April 2015, p. 28; Partington &amp; Satchell, </w:t>
      </w:r>
      <w:r>
        <w:rPr>
          <w:rStyle w:val="AERtextitalic"/>
        </w:rPr>
        <w:t>Report to the AER: Analysis of criticism of 2015 determinations</w:t>
      </w:r>
      <w:r>
        <w:t>, October 2015, p. 36.</w:t>
      </w:r>
    </w:p>
  </w:footnote>
  <w:footnote w:id="1074">
    <w:p w:rsidR="00E636A0" w:rsidRDefault="00E636A0" w:rsidP="0035222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75">
    <w:p w:rsidR="00E636A0" w:rsidRDefault="00E636A0" w:rsidP="001537E5">
      <w:pPr>
        <w:pStyle w:val="FootnoteText"/>
      </w:pPr>
      <w:r>
        <w:rPr>
          <w:rStyle w:val="FootnoteReference"/>
        </w:rPr>
        <w:footnoteRef/>
      </w:r>
      <w:r>
        <w:t xml:space="preserve"> </w:t>
      </w:r>
      <w:r>
        <w:tab/>
      </w:r>
      <w:r w:rsidRPr="009F0978">
        <w:t xml:space="preserve">TasNetworks, </w:t>
      </w:r>
      <w:r w:rsidRPr="00E91B81">
        <w:rPr>
          <w:rStyle w:val="AERtextitalic"/>
        </w:rPr>
        <w:t>Tasmanian Distribution Regulatory Proposal Regulatory Control Period 1 July 2017 to 30 June 2019</w:t>
      </w:r>
      <w:r w:rsidRPr="009F0978">
        <w:t>, 29 January 2016, p. 117</w:t>
      </w:r>
      <w:r>
        <w:t>; TasNetworks</w:t>
      </w:r>
      <w:r w:rsidRPr="00E91B81">
        <w:rPr>
          <w:rStyle w:val="AERtextitalic"/>
        </w:rPr>
        <w:t xml:space="preserve">, </w:t>
      </w:r>
      <w:r>
        <w:rPr>
          <w:rStyle w:val="AERtextitalic"/>
        </w:rPr>
        <w:t>Tasmanian Distribution Revised Regulatory Proposal Regulatory Control Period 1 July 2017 to 30 June 2019</w:t>
      </w:r>
      <w:r>
        <w:t>, December 2016, p. 7.</w:t>
      </w:r>
    </w:p>
  </w:footnote>
  <w:footnote w:id="1076">
    <w:p w:rsidR="00E636A0" w:rsidRDefault="00E636A0" w:rsidP="00352220">
      <w:pPr>
        <w:pStyle w:val="FootnoteText"/>
      </w:pPr>
      <w:r>
        <w:rPr>
          <w:rStyle w:val="FootnoteReference"/>
        </w:rPr>
        <w:footnoteRef/>
      </w:r>
      <w:r>
        <w:t xml:space="preserve"> </w:t>
      </w:r>
      <w:r>
        <w:tab/>
        <w:t xml:space="preserve">AusNet Services, </w:t>
      </w:r>
      <w:r>
        <w:rPr>
          <w:rStyle w:val="AERtextitalic"/>
        </w:rPr>
        <w:t>Transmission Revenue Review 2017-2022 - Revised Revenue Proposal</w:t>
      </w:r>
      <w:r>
        <w:t>,  pp. 144–146.</w:t>
      </w:r>
    </w:p>
  </w:footnote>
  <w:footnote w:id="1077">
    <w:p w:rsidR="00E636A0" w:rsidRDefault="00E636A0" w:rsidP="00352220">
      <w:pPr>
        <w:pStyle w:val="FootnoteText"/>
      </w:pPr>
      <w:r>
        <w:rPr>
          <w:rStyle w:val="FootnoteReference"/>
        </w:rPr>
        <w:footnoteRef/>
      </w:r>
      <w:r>
        <w:t xml:space="preserve"> </w:t>
      </w:r>
      <w:r>
        <w:tab/>
        <w:t xml:space="preserve">CEG, </w:t>
      </w:r>
      <w:r w:rsidRPr="006E5878">
        <w:rPr>
          <w:rStyle w:val="AERtextitalic"/>
        </w:rPr>
        <w:t>Replication and extension of Henry’s beta analysis</w:t>
      </w:r>
      <w:r>
        <w:t>, 21 September 2016</w:t>
      </w:r>
    </w:p>
  </w:footnote>
  <w:footnote w:id="1078">
    <w:p w:rsidR="00E636A0" w:rsidRDefault="00E636A0" w:rsidP="00352220">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79">
    <w:p w:rsidR="00E636A0" w:rsidRDefault="00E636A0" w:rsidP="00352220">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080">
    <w:p w:rsidR="00E636A0" w:rsidRDefault="00E636A0" w:rsidP="00352220">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081">
    <w:p w:rsidR="00E636A0" w:rsidRDefault="00E636A0" w:rsidP="00352220">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p>
  </w:footnote>
  <w:footnote w:id="1082">
    <w:p w:rsidR="00E636A0" w:rsidRDefault="00E636A0" w:rsidP="00352220">
      <w:pPr>
        <w:pStyle w:val="FootnoteText"/>
      </w:pPr>
      <w:r>
        <w:rPr>
          <w:rStyle w:val="FootnoteReference"/>
        </w:rPr>
        <w:footnoteRef/>
      </w:r>
      <w:r>
        <w:t xml:space="preserve"> </w:t>
      </w:r>
      <w:r>
        <w:tab/>
        <w:t>R</w:t>
      </w:r>
      <w:r w:rsidRPr="00D20501">
        <w:t>aw equity beta estimates are those that are observed from the initial regression</w:t>
      </w:r>
    </w:p>
  </w:footnote>
  <w:footnote w:id="1083">
    <w:p w:rsidR="00E636A0" w:rsidRDefault="00E636A0" w:rsidP="00352220">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084">
    <w:p w:rsidR="00E636A0" w:rsidRDefault="00E636A0" w:rsidP="00352220">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085">
    <w:p w:rsidR="00E636A0" w:rsidRDefault="00E636A0" w:rsidP="00352220">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086">
    <w:p w:rsidR="00E636A0" w:rsidRDefault="00E636A0" w:rsidP="00352220">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087">
    <w:p w:rsidR="00E636A0" w:rsidRDefault="00E636A0" w:rsidP="00352220">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088">
    <w:p w:rsidR="00E636A0" w:rsidRDefault="00E636A0" w:rsidP="00352220">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089">
    <w:p w:rsidR="00E636A0" w:rsidRDefault="00E636A0" w:rsidP="00352220">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090">
    <w:p w:rsidR="00E636A0" w:rsidRDefault="00E636A0" w:rsidP="00352220">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091">
    <w:p w:rsidR="00E636A0" w:rsidRDefault="00E636A0" w:rsidP="00352220">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092">
    <w:p w:rsidR="00E636A0" w:rsidRDefault="00E636A0" w:rsidP="00352220">
      <w:pPr>
        <w:pStyle w:val="FootnoteText"/>
      </w:pPr>
      <w:r>
        <w:rPr>
          <w:rStyle w:val="FootnoteReference"/>
        </w:rPr>
        <w:footnoteRef/>
      </w:r>
      <w:r>
        <w:t xml:space="preserve"> </w:t>
      </w:r>
      <w:r>
        <w:tab/>
        <w:t>A</w:t>
      </w:r>
      <w:r w:rsidRPr="00354781">
        <w:t xml:space="preserve">s set out in section D.2.2 of Attachment 3 to </w:t>
      </w:r>
      <w:r>
        <w:t>AusNet Services'</w:t>
      </w:r>
      <w:r w:rsidRPr="00354781">
        <w:t xml:space="preserve"> preliminary decision</w:t>
      </w:r>
      <w:r>
        <w:t>.</w:t>
      </w:r>
    </w:p>
  </w:footnote>
  <w:footnote w:id="1093">
    <w:p w:rsidR="00E636A0" w:rsidRDefault="00E636A0" w:rsidP="00352220">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xml:space="preserve">, April 2014; SFG, </w:t>
      </w:r>
      <w:r w:rsidRPr="00B85B84">
        <w:rPr>
          <w:i/>
        </w:rPr>
        <w:t>Beta and the Black capital asset pricing model</w:t>
      </w:r>
      <w:r>
        <w:t xml:space="preserve">, 13 February, 2015; ERA, </w:t>
      </w:r>
      <w:r w:rsidRPr="006E5878">
        <w:rPr>
          <w:rStyle w:val="AERtextitalic"/>
        </w:rPr>
        <w:t>Draft decision on proposed revisions to the Access Arrangement for the Dampier to Bunbury Natural Gas Pipeline 2016–2020: Appendix 4 Rate of Return</w:t>
      </w:r>
      <w:r w:rsidRPr="00672B79">
        <w:t xml:space="preserve">, </w:t>
      </w:r>
      <w:r>
        <w:t xml:space="preserve">22 December 2015, p.192; ERA, </w:t>
      </w:r>
      <w:r w:rsidRPr="006E5878">
        <w:rPr>
          <w:rStyle w:val="AERtextitalic"/>
        </w:rPr>
        <w:t>Final decision on proposed revisions to the Access Arrangement for the Dampier to Bunbury Natural Gas Pipeline 2016–2020: Appendix 4 Rate of Return</w:t>
      </w:r>
      <w:r>
        <w:t xml:space="preserve">, 30 June 2016, p. 193; CEG, </w:t>
      </w:r>
      <w:r w:rsidRPr="00B85B84">
        <w:rPr>
          <w:i/>
        </w:rPr>
        <w:t>Replication and extension of Henry’s beta analysis</w:t>
      </w:r>
      <w:r>
        <w:t>, September 2016, pp. 7, 9, 15, 20-1;</w:t>
      </w:r>
    </w:p>
  </w:footnote>
  <w:footnote w:id="1094">
    <w:p w:rsidR="00E636A0" w:rsidRDefault="00E636A0" w:rsidP="00352220">
      <w:pPr>
        <w:pStyle w:val="FootnoteText"/>
      </w:pPr>
      <w:r>
        <w:rPr>
          <w:rStyle w:val="FootnoteReference"/>
        </w:rPr>
        <w:footnoteRef/>
      </w:r>
      <w:r>
        <w:t xml:space="preserve"> </w:t>
      </w:r>
      <w:r>
        <w:tab/>
        <w:t xml:space="preserve">CEG, </w:t>
      </w:r>
      <w:r w:rsidRPr="000C309D">
        <w:rPr>
          <w:i/>
        </w:rPr>
        <w:t>Replication and extension of Henry’s beta analysis</w:t>
      </w:r>
      <w:r>
        <w:t>, 21 September 2016</w:t>
      </w:r>
    </w:p>
  </w:footnote>
  <w:footnote w:id="1095">
    <w:p w:rsidR="00E636A0" w:rsidRDefault="00E636A0" w:rsidP="00352220">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 7.</w:t>
      </w:r>
    </w:p>
  </w:footnote>
  <w:footnote w:id="1096">
    <w:p w:rsidR="00E636A0" w:rsidRDefault="00E636A0"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21 September 2016,   p. 10.</w:t>
      </w:r>
    </w:p>
  </w:footnote>
  <w:footnote w:id="1097">
    <w:p w:rsidR="00E636A0" w:rsidRDefault="00E636A0"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21 September 2016,   p. 12.</w:t>
      </w:r>
    </w:p>
  </w:footnote>
  <w:footnote w:id="1098">
    <w:p w:rsidR="00E636A0" w:rsidRDefault="00E636A0" w:rsidP="00352220">
      <w:pPr>
        <w:pStyle w:val="FootnoteText"/>
      </w:pPr>
      <w:r>
        <w:rPr>
          <w:rStyle w:val="FootnoteReference"/>
        </w:rPr>
        <w:footnoteRef/>
      </w:r>
      <w:r>
        <w:t xml:space="preserve"> </w:t>
      </w:r>
      <w:r>
        <w:tab/>
      </w:r>
      <w:r>
        <w:rPr>
          <w:rStyle w:val="AERtextsize8"/>
        </w:rPr>
        <w:t>The discrepancy is because we adjust for related party transactions for SKI to Powercor, CitiPower and SAPN (formerly ETSA).</w:t>
      </w:r>
    </w:p>
  </w:footnote>
  <w:footnote w:id="1099">
    <w:p w:rsidR="00E636A0" w:rsidRDefault="00E636A0"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21 September 2016,   p. 6.</w:t>
      </w:r>
    </w:p>
  </w:footnote>
  <w:footnote w:id="1100">
    <w:p w:rsidR="00E636A0" w:rsidRDefault="00E636A0"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pp. 11–12.</w:t>
      </w:r>
    </w:p>
  </w:footnote>
  <w:footnote w:id="1101">
    <w:p w:rsidR="00E636A0" w:rsidRDefault="00E636A0"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 13.</w:t>
      </w:r>
    </w:p>
  </w:footnote>
  <w:footnote w:id="1102">
    <w:p w:rsidR="00E636A0" w:rsidRDefault="00E636A0"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 8, 14.</w:t>
      </w:r>
    </w:p>
  </w:footnote>
  <w:footnote w:id="1103">
    <w:p w:rsidR="00E636A0" w:rsidRDefault="00E636A0"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21 September 2016, p. 13.</w:t>
      </w:r>
    </w:p>
  </w:footnote>
  <w:footnote w:id="1104">
    <w:p w:rsidR="00E636A0" w:rsidRDefault="00E636A0"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21 September 2016,   p. 2.</w:t>
      </w:r>
    </w:p>
  </w:footnote>
  <w:footnote w:id="1105">
    <w:p w:rsidR="00E636A0" w:rsidRDefault="00E636A0" w:rsidP="00352220">
      <w:pPr>
        <w:pStyle w:val="FootnoteText"/>
      </w:pPr>
      <w:r>
        <w:rPr>
          <w:rStyle w:val="FootnoteReference"/>
        </w:rPr>
        <w:footnoteRef/>
      </w:r>
      <w:r>
        <w:t xml:space="preserve"> </w:t>
      </w:r>
      <w:r>
        <w:tab/>
        <w:t xml:space="preserve">AER, </w:t>
      </w:r>
      <w:r w:rsidRPr="00B62985">
        <w:t xml:space="preserve"> </w:t>
      </w:r>
      <w:r w:rsidRPr="00B62985">
        <w:rPr>
          <w:rStyle w:val="AERtextitalic"/>
        </w:rPr>
        <w:t xml:space="preserve">Better regulation: Explanatory statement rate of return guideline, </w:t>
      </w:r>
      <w:r w:rsidRPr="00B62985">
        <w:t>December 2013</w:t>
      </w:r>
      <w:r>
        <w:t>, p. 122.</w:t>
      </w:r>
    </w:p>
  </w:footnote>
  <w:footnote w:id="1106">
    <w:p w:rsidR="00E636A0" w:rsidRDefault="00E636A0" w:rsidP="0070354B">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r w:rsidRPr="00B23FBA">
        <w:t xml:space="preserve">. </w:t>
      </w:r>
      <w:r>
        <w:t>Also, the studies we consider in this section are largely the same as those considered in our recent decisions.</w:t>
      </w:r>
    </w:p>
  </w:footnote>
  <w:footnote w:id="1107">
    <w:p w:rsidR="00E636A0" w:rsidRDefault="00E636A0" w:rsidP="0070354B">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08">
    <w:p w:rsidR="00E636A0" w:rsidRDefault="00E636A0" w:rsidP="0070354B">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109">
    <w:p w:rsidR="00E636A0" w:rsidRDefault="00E636A0" w:rsidP="0070354B">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110">
    <w:p w:rsidR="00E636A0" w:rsidRDefault="00E636A0"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111">
    <w:p w:rsidR="00E636A0" w:rsidRDefault="00E636A0" w:rsidP="0070354B">
      <w:pPr>
        <w:pStyle w:val="FootnoteText"/>
      </w:pPr>
      <w:r>
        <w:rPr>
          <w:rStyle w:val="FootnoteReference"/>
        </w:rPr>
        <w:footnoteRef/>
      </w:r>
      <w:r>
        <w:t xml:space="preserve"> </w:t>
      </w:r>
      <w:r>
        <w:tab/>
        <w:t>See, for example, sections D.2.1 and D.2.3 of Attachment 3 to our preliminary decision for AusNet Services. In these decisions we also responded to submissions from other stakeholders that suggested the equity beta estimates in Henry's 2014 report cluster around a range of 0.3 to 0.5.</w:t>
      </w:r>
    </w:p>
  </w:footnote>
  <w:footnote w:id="1112">
    <w:p w:rsidR="00E636A0" w:rsidRDefault="00E636A0"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13">
    <w:p w:rsidR="00E636A0" w:rsidRDefault="00E636A0" w:rsidP="0070354B">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114">
    <w:p w:rsidR="00E636A0" w:rsidRDefault="00E636A0" w:rsidP="0070354B">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115">
    <w:p w:rsidR="00E636A0" w:rsidRDefault="00E636A0" w:rsidP="0070354B">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116">
    <w:p w:rsidR="00E636A0" w:rsidRDefault="00E636A0" w:rsidP="0070354B">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117">
    <w:p w:rsidR="00E636A0" w:rsidRDefault="00E636A0" w:rsidP="0070354B">
      <w:pPr>
        <w:pStyle w:val="FootnoteText"/>
      </w:pPr>
      <w:r>
        <w:rPr>
          <w:rStyle w:val="FootnoteReference"/>
        </w:rPr>
        <w:footnoteRef/>
      </w:r>
      <w:r>
        <w:t xml:space="preserve"> </w:t>
      </w:r>
      <w:r>
        <w:tab/>
        <w:t xml:space="preserve">See: </w:t>
      </w:r>
      <w:hyperlink r:id="rId20" w:history="1">
        <w:r w:rsidRPr="007C34AE">
          <w:rPr>
            <w:rStyle w:val="Hyperlink"/>
            <w:color w:val="auto"/>
            <w:sz w:val="16"/>
            <w:u w:val="none"/>
          </w:rPr>
          <w:t>http://www.asx.com.au/asx/statistics/announcements.do?by=asxCode&amp;asxCode=ENV&amp;timeframe=Y&amp;year=2014</w:t>
        </w:r>
      </w:hyperlink>
      <w:r>
        <w:t xml:space="preserve">. </w:t>
      </w:r>
    </w:p>
  </w:footnote>
  <w:footnote w:id="1118">
    <w:p w:rsidR="00E636A0" w:rsidRDefault="00E636A0" w:rsidP="0070354B">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119">
    <w:p w:rsidR="00E636A0" w:rsidRDefault="00E636A0" w:rsidP="0070354B">
      <w:pPr>
        <w:pStyle w:val="FootnoteText"/>
      </w:pPr>
      <w:r>
        <w:rPr>
          <w:rStyle w:val="FootnoteReference"/>
        </w:rPr>
        <w:footnoteRef/>
      </w:r>
      <w:r>
        <w:t xml:space="preserve"> </w:t>
      </w:r>
      <w:r>
        <w:tab/>
        <w:t xml:space="preserve">APA Group, </w:t>
      </w:r>
      <w:r>
        <w:rPr>
          <w:rStyle w:val="AERtextitalic"/>
        </w:rPr>
        <w:t>Annual report 2016: energy.connected.</w:t>
      </w:r>
      <w:r>
        <w:t>, pp. 16, 29.</w:t>
      </w:r>
    </w:p>
  </w:footnote>
  <w:footnote w:id="1120">
    <w:p w:rsidR="00E636A0" w:rsidRDefault="00E636A0"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121">
    <w:p w:rsidR="00E636A0" w:rsidRDefault="00E636A0"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 20; </w:t>
      </w:r>
    </w:p>
  </w:footnote>
  <w:footnote w:id="1122">
    <w:p w:rsidR="00E636A0" w:rsidRDefault="00E636A0"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pp. 10, 16.  </w:t>
      </w:r>
    </w:p>
  </w:footnote>
  <w:footnote w:id="1123">
    <w:p w:rsidR="00E636A0" w:rsidRDefault="00E636A0" w:rsidP="0070354B">
      <w:pPr>
        <w:pStyle w:val="FootnoteText"/>
      </w:pPr>
      <w:r>
        <w:rPr>
          <w:rStyle w:val="FootnoteReference"/>
        </w:rPr>
        <w:footnoteRef/>
      </w:r>
      <w:r>
        <w:t xml:space="preserve"> </w:t>
      </w:r>
      <w:r>
        <w:tab/>
        <w:t xml:space="preserve">AusNet Services, </w:t>
      </w:r>
      <w:r>
        <w:rPr>
          <w:rStyle w:val="AERtextitalic"/>
        </w:rPr>
        <w:t>Annual report 2016</w:t>
      </w:r>
      <w:r>
        <w:t>, p. 73.</w:t>
      </w:r>
    </w:p>
  </w:footnote>
  <w:footnote w:id="1124">
    <w:p w:rsidR="00E636A0" w:rsidRDefault="00E636A0" w:rsidP="0070354B">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21"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22"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23" w:history="1">
        <w:r w:rsidRPr="006558B8">
          <w:rPr>
            <w:rStyle w:val="Hyperlink"/>
            <w:color w:val="auto"/>
            <w:sz w:val="16"/>
            <w:u w:val="none"/>
          </w:rPr>
          <w:t>http://www.aer.gov.au/node/5219</w:t>
        </w:r>
      </w:hyperlink>
      <w:r>
        <w:t>.</w:t>
      </w:r>
    </w:p>
  </w:footnote>
  <w:footnote w:id="1125">
    <w:p w:rsidR="00E636A0" w:rsidRDefault="00E636A0" w:rsidP="0070354B">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126">
    <w:p w:rsidR="00E636A0" w:rsidRDefault="00E636A0" w:rsidP="0070354B">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127">
    <w:p w:rsidR="00E636A0" w:rsidRDefault="00E636A0" w:rsidP="0070354B">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128">
    <w:p w:rsidR="00E636A0" w:rsidRDefault="00E636A0" w:rsidP="0070354B">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129">
    <w:p w:rsidR="00E636A0" w:rsidRDefault="00E636A0" w:rsidP="0070354B">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130">
    <w:p w:rsidR="00E636A0" w:rsidRDefault="00E636A0"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31">
    <w:p w:rsidR="00E636A0" w:rsidRDefault="00E636A0" w:rsidP="0070354B">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132">
    <w:p w:rsidR="00E636A0" w:rsidRDefault="00E636A0" w:rsidP="0070354B">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133">
    <w:p w:rsidR="00E636A0" w:rsidRDefault="00E636A0" w:rsidP="0070354B">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134">
    <w:p w:rsidR="00E636A0" w:rsidRDefault="00E636A0" w:rsidP="0070354B">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135">
    <w:p w:rsidR="00E636A0" w:rsidRDefault="00E636A0" w:rsidP="0070354B">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136">
    <w:p w:rsidR="00E636A0" w:rsidRDefault="00E636A0"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137">
    <w:p w:rsidR="00E636A0" w:rsidRDefault="00E636A0"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38">
    <w:p w:rsidR="00E636A0" w:rsidRDefault="00E636A0"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139">
    <w:p w:rsidR="00E636A0" w:rsidRDefault="00E636A0" w:rsidP="0070354B">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140">
    <w:p w:rsidR="00E636A0" w:rsidRDefault="00E636A0"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141">
    <w:p w:rsidR="00E636A0" w:rsidRDefault="00E636A0" w:rsidP="0070354B">
      <w:pPr>
        <w:pStyle w:val="FootnoteText"/>
      </w:pPr>
      <w:r>
        <w:rPr>
          <w:rStyle w:val="FootnoteReference"/>
        </w:rPr>
        <w:footnoteRef/>
      </w:r>
      <w:r>
        <w:t xml:space="preserve"> </w:t>
      </w:r>
      <w:r>
        <w:tab/>
        <w:t>NER, cll. 6.5.2(f) and 6A.6.2(f); NGR, rule 87(6).</w:t>
      </w:r>
    </w:p>
  </w:footnote>
  <w:footnote w:id="1142">
    <w:p w:rsidR="00E636A0" w:rsidRDefault="00E636A0" w:rsidP="0070354B">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143">
    <w:p w:rsidR="00E636A0" w:rsidRDefault="00E636A0" w:rsidP="0070354B">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144">
    <w:p w:rsidR="00E636A0" w:rsidRDefault="00E636A0" w:rsidP="0070354B">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145">
    <w:p w:rsidR="00E636A0" w:rsidRDefault="00E636A0" w:rsidP="0070354B">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146">
    <w:p w:rsidR="00E636A0" w:rsidRDefault="00E636A0" w:rsidP="0070354B">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147">
    <w:p w:rsidR="00E636A0" w:rsidRDefault="00E636A0"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148">
    <w:p w:rsidR="00E636A0" w:rsidRDefault="00E636A0" w:rsidP="0070354B">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149">
    <w:p w:rsidR="00E636A0" w:rsidRDefault="00E636A0" w:rsidP="0070354B">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150">
    <w:p w:rsidR="00E636A0" w:rsidRDefault="00E636A0" w:rsidP="0070354B">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151">
    <w:p w:rsidR="00E636A0" w:rsidRDefault="00E636A0" w:rsidP="0070354B">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152">
    <w:p w:rsidR="00E636A0" w:rsidRDefault="00E636A0" w:rsidP="0070354B">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153">
    <w:p w:rsidR="00E636A0" w:rsidRDefault="00E636A0" w:rsidP="0070354B">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154">
    <w:p w:rsidR="00E636A0" w:rsidRDefault="00E636A0" w:rsidP="0070354B">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G.4.2</w:t>
      </w:r>
      <w:r>
        <w:fldChar w:fldCharType="end"/>
      </w:r>
      <w:r>
        <w:t>)</w:t>
      </w:r>
      <w:r w:rsidRPr="00872992">
        <w:t>.</w:t>
      </w:r>
    </w:p>
  </w:footnote>
  <w:footnote w:id="1155">
    <w:p w:rsidR="00E636A0" w:rsidRDefault="00E636A0"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156">
    <w:p w:rsidR="00E636A0" w:rsidRDefault="00E636A0" w:rsidP="0070354B">
      <w:pPr>
        <w:pStyle w:val="FootnoteText"/>
      </w:pPr>
      <w:r>
        <w:rPr>
          <w:rStyle w:val="FootnoteReference"/>
        </w:rPr>
        <w:footnoteRef/>
      </w:r>
      <w:r>
        <w:t xml:space="preserve"> </w:t>
      </w:r>
      <w:r>
        <w:tab/>
        <w:t xml:space="preserve">See, for example, </w:t>
      </w:r>
      <w:r w:rsidRPr="00DC3465">
        <w:t xml:space="preserve"> </w:t>
      </w:r>
      <w:r>
        <w:t xml:space="preserve">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D.2.1 (under the heading 'International comparators').</w:t>
      </w:r>
    </w:p>
  </w:footnote>
  <w:footnote w:id="1157">
    <w:p w:rsidR="00E636A0" w:rsidRDefault="00E636A0"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158">
    <w:p w:rsidR="00E636A0" w:rsidRDefault="00E636A0" w:rsidP="0070354B">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159">
    <w:p w:rsidR="00E636A0" w:rsidRDefault="00E636A0" w:rsidP="0070354B">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160">
    <w:p w:rsidR="00E636A0" w:rsidRDefault="00E636A0" w:rsidP="0070354B">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161">
    <w:p w:rsidR="00E636A0" w:rsidRDefault="00E636A0" w:rsidP="0070354B">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162">
    <w:p w:rsidR="00E636A0" w:rsidRDefault="00E636A0" w:rsidP="0070354B">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G.4.2</w:t>
      </w:r>
      <w:r>
        <w:fldChar w:fldCharType="end"/>
      </w:r>
      <w:r>
        <w:t>.</w:t>
      </w:r>
    </w:p>
  </w:footnote>
  <w:footnote w:id="1163">
    <w:p w:rsidR="00E636A0" w:rsidRDefault="00E636A0" w:rsidP="0070354B">
      <w:pPr>
        <w:pStyle w:val="FootnoteText"/>
      </w:pPr>
      <w:r>
        <w:rPr>
          <w:rStyle w:val="FootnoteReference"/>
        </w:rPr>
        <w:footnoteRef/>
      </w:r>
      <w:r>
        <w:t xml:space="preserve"> </w:t>
      </w:r>
      <w:r>
        <w:tab/>
        <w:t>That is, the National Electricity Law and Rules, and the National Gas Law and Rules.</w:t>
      </w:r>
    </w:p>
  </w:footnote>
  <w:footnote w:id="1164">
    <w:p w:rsidR="00E636A0" w:rsidRDefault="00E636A0" w:rsidP="0070354B">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24"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165">
    <w:p w:rsidR="00E636A0" w:rsidRDefault="00E636A0" w:rsidP="0070354B">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166">
    <w:p w:rsidR="00E636A0" w:rsidRDefault="00E636A0" w:rsidP="0070354B">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167">
    <w:p w:rsidR="00E636A0" w:rsidRDefault="00E636A0"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168">
    <w:p w:rsidR="00E636A0" w:rsidRDefault="00E636A0"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169">
    <w:p w:rsidR="00E636A0" w:rsidRDefault="00E636A0"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170">
    <w:p w:rsidR="00E636A0" w:rsidRDefault="00E636A0"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71">
    <w:p w:rsidR="00E636A0" w:rsidRDefault="00E636A0"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172">
    <w:p w:rsidR="00E636A0" w:rsidRDefault="00E636A0"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173">
    <w:p w:rsidR="00E636A0" w:rsidRDefault="00E636A0"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174">
    <w:p w:rsidR="00E636A0" w:rsidRDefault="00E636A0" w:rsidP="0070354B">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175">
    <w:p w:rsidR="00E636A0" w:rsidRDefault="00E636A0" w:rsidP="00CE5DD5">
      <w:pPr>
        <w:pStyle w:val="FootnoteText"/>
      </w:pPr>
      <w:r>
        <w:rPr>
          <w:rStyle w:val="FootnoteReference"/>
        </w:rPr>
        <w:footnoteRef/>
      </w:r>
      <w:r>
        <w:t xml:space="preserve"> </w:t>
      </w:r>
      <w:r>
        <w:tab/>
        <w:t>For clarity, that is 100% of the base rate and DRP components of the allowed return on debt.</w:t>
      </w:r>
    </w:p>
  </w:footnote>
  <w:footnote w:id="1176">
    <w:p w:rsidR="00E636A0" w:rsidRDefault="00E636A0" w:rsidP="00CE5DD5">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177">
    <w:p w:rsidR="00E636A0" w:rsidRDefault="00E636A0" w:rsidP="00CE5DD5">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178">
    <w:p w:rsidR="00E636A0" w:rsidRDefault="00E636A0" w:rsidP="00CE5DD5">
      <w:pPr>
        <w:pStyle w:val="FootnoteText"/>
      </w:pPr>
      <w:r>
        <w:rPr>
          <w:rStyle w:val="FootnoteReference"/>
        </w:rPr>
        <w:footnoteRef/>
      </w:r>
      <w:r>
        <w:t xml:space="preserve"> </w:t>
      </w:r>
      <w:r>
        <w:tab/>
        <w:t>NER, cl. 6.5.2(c); NER, cl. 6A.6.2(c); NGR, r. 87(3).</w:t>
      </w:r>
    </w:p>
  </w:footnote>
  <w:footnote w:id="1179">
    <w:p w:rsidR="00E636A0" w:rsidRDefault="00E636A0" w:rsidP="00CE5DD5">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180">
    <w:p w:rsidR="00E636A0" w:rsidRDefault="00E636A0" w:rsidP="00CE5DD5">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–7</w:t>
      </w:r>
      <w:r>
        <w:t>6.</w:t>
      </w:r>
    </w:p>
  </w:footnote>
  <w:footnote w:id="1181">
    <w:p w:rsidR="00E636A0" w:rsidRDefault="00E636A0" w:rsidP="00CE5DD5">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182">
    <w:p w:rsidR="00E636A0" w:rsidRDefault="00E636A0" w:rsidP="00CE5DD5">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183">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84">
    <w:p w:rsidR="00E636A0" w:rsidRDefault="00E636A0" w:rsidP="00CE5DD5">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185">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186">
    <w:p w:rsidR="00E636A0" w:rsidRDefault="00E636A0" w:rsidP="00CE5DD5">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In relation to the cost of debt</w:t>
      </w:r>
      <w:r>
        <w:t>, 9 April 2017, p. 23.</w:t>
      </w:r>
    </w:p>
  </w:footnote>
  <w:footnote w:id="1187">
    <w:p w:rsidR="00E636A0" w:rsidRDefault="00E636A0" w:rsidP="00CE5DD5">
      <w:pPr>
        <w:pStyle w:val="FootnoteText"/>
      </w:pPr>
      <w:r>
        <w:rPr>
          <w:rStyle w:val="FootnoteReference"/>
        </w:rPr>
        <w:footnoteRef/>
      </w:r>
      <w:r>
        <w:t xml:space="preserve">   </w:t>
      </w:r>
      <w:r w:rsidRPr="001C3D87">
        <w:t>Partington, G., Satchell, S., Report to the AER: Discussion of the allowed cost of debt, 5 May 2016, p. 15.</w:t>
      </w:r>
    </w:p>
  </w:footnote>
  <w:footnote w:id="1188">
    <w:p w:rsidR="00E636A0" w:rsidRDefault="00E636A0" w:rsidP="00CE5DD5">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189">
    <w:p w:rsidR="00E636A0" w:rsidRDefault="00E636A0" w:rsidP="00CE5DD5">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190">
    <w:p w:rsidR="00E636A0" w:rsidRDefault="00E636A0" w:rsidP="00CE5DD5">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191">
    <w:p w:rsidR="00E636A0" w:rsidRDefault="00E636A0" w:rsidP="00CE5DD5">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192">
    <w:p w:rsidR="00E636A0" w:rsidRDefault="00E636A0" w:rsidP="00CE5DD5">
      <w:pPr>
        <w:pStyle w:val="FootnoteText"/>
      </w:pPr>
      <w:r>
        <w:rPr>
          <w:rStyle w:val="FootnoteReference"/>
        </w:rPr>
        <w:footnoteRef/>
      </w:r>
      <w:r>
        <w:t xml:space="preserve"> </w:t>
      </w:r>
      <w:r>
        <w:tab/>
      </w:r>
      <w:r w:rsidRPr="00E0091E">
        <w:t xml:space="preserve">AER, </w:t>
      </w:r>
      <w:r w:rsidRPr="007F2F06">
        <w:rPr>
          <w:rStyle w:val="AERtextitalic"/>
        </w:rPr>
        <w:t>Final decision–Electricity transmission and distribution network service providers: Review of the weighted average cost of capital (WACC) parameters</w:t>
      </w:r>
      <w:r w:rsidRPr="00E0091E">
        <w:t>, May 2009, p. 82.</w:t>
      </w:r>
    </w:p>
  </w:footnote>
  <w:footnote w:id="1193">
    <w:p w:rsidR="00E636A0" w:rsidRDefault="00E636A0" w:rsidP="00CE5DD5">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194">
    <w:p w:rsidR="00E636A0" w:rsidRDefault="00E636A0" w:rsidP="00CE5DD5">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195">
    <w:p w:rsidR="00E636A0" w:rsidRDefault="00E636A0" w:rsidP="00CE5DD5">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196">
    <w:p w:rsidR="00E636A0" w:rsidRDefault="00E636A0" w:rsidP="00CE5DD5">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197">
    <w:p w:rsidR="00E636A0" w:rsidRDefault="00E636A0">
      <w:pPr>
        <w:pStyle w:val="FootnoteText"/>
      </w:pPr>
      <w:r>
        <w:rPr>
          <w:rStyle w:val="FootnoteReference"/>
        </w:rPr>
        <w:footnoteRef/>
      </w:r>
      <w:r>
        <w:t xml:space="preserve"> </w:t>
      </w:r>
      <w:r>
        <w:tab/>
        <w:t>That is CitiPower, Powercor, Jemena, United Energy and AusNet Serices</w:t>
      </w:r>
    </w:p>
  </w:footnote>
  <w:footnote w:id="1198">
    <w:p w:rsidR="00E636A0" w:rsidRDefault="00E636A0"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199">
    <w:p w:rsidR="00E636A0" w:rsidRDefault="00E636A0" w:rsidP="0095716E">
      <w:pPr>
        <w:pStyle w:val="FootnoteText"/>
      </w:pPr>
      <w:r>
        <w:rPr>
          <w:rStyle w:val="FootnoteReference"/>
        </w:rPr>
        <w:footnoteRef/>
      </w:r>
      <w:r>
        <w:t xml:space="preserve">   </w:t>
      </w:r>
      <w:r w:rsidRPr="008D17FB">
        <w:t xml:space="preserve">TasNetworks, </w:t>
      </w:r>
      <w:r w:rsidRPr="006E5878">
        <w:rPr>
          <w:rStyle w:val="AERtextitalic"/>
        </w:rPr>
        <w:t>Tasmanian Distribution Regulatory Proposal 2017-2019</w:t>
      </w:r>
      <w:r w:rsidRPr="008D17FB">
        <w:t>, 29 Januar</w:t>
      </w:r>
      <w:r>
        <w:t>y 2016, p.114</w:t>
      </w:r>
      <w:r w:rsidRPr="008D17FB">
        <w:t>.</w:t>
      </w:r>
    </w:p>
  </w:footnote>
  <w:footnote w:id="1200">
    <w:p w:rsidR="00E636A0" w:rsidRPr="0070748E" w:rsidRDefault="00E636A0" w:rsidP="00CE5DD5">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201">
    <w:p w:rsidR="00E636A0" w:rsidRDefault="00E636A0" w:rsidP="00CE5DD5">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footnote>
  <w:footnote w:id="1202">
    <w:p w:rsidR="00E636A0" w:rsidRDefault="00E636A0" w:rsidP="00CE5DD5">
      <w:pPr>
        <w:pStyle w:val="FootnoteText"/>
      </w:pPr>
      <w:r>
        <w:rPr>
          <w:rStyle w:val="FootnoteReference"/>
        </w:rPr>
        <w:footnoteRef/>
      </w:r>
      <w:r>
        <w:t xml:space="preserve">   </w:t>
      </w:r>
      <w:r w:rsidRPr="00315A21">
        <w:t>CEG, The AER’s current interpretation of the ARORO, September 2016</w:t>
      </w:r>
      <w:r w:rsidRPr="00315A21">
        <w:tab/>
      </w:r>
    </w:p>
  </w:footnote>
  <w:footnote w:id="1203">
    <w:p w:rsidR="00E636A0" w:rsidRDefault="00E636A0" w:rsidP="00CE5DD5">
      <w:pPr>
        <w:pStyle w:val="FootnoteText"/>
        <w:tabs>
          <w:tab w:val="clear" w:pos="340"/>
          <w:tab w:val="left" w:pos="1232"/>
        </w:tabs>
      </w:pPr>
      <w:r>
        <w:rPr>
          <w:rStyle w:val="FootnoteReference"/>
        </w:rPr>
        <w:footnoteRef/>
      </w:r>
      <w:r>
        <w:t xml:space="preserve"> </w:t>
      </w:r>
      <w:r>
        <w:tab/>
      </w:r>
      <w:r w:rsidRPr="00315A21">
        <w:t>The AER, Final decision ActewAGL distribution access arrangement 2016 t</w:t>
      </w:r>
      <w:r>
        <w:t>o</w:t>
      </w:r>
      <w:r w:rsidRPr="00315A21">
        <w:t xml:space="preserve"> 2021, attachment 3- Rate of return, May 2016</w:t>
      </w:r>
    </w:p>
  </w:footnote>
  <w:footnote w:id="1204">
    <w:p w:rsidR="00E636A0" w:rsidRDefault="00E636A0" w:rsidP="00CE5DD5">
      <w:pPr>
        <w:pStyle w:val="FootnoteText"/>
      </w:pPr>
      <w:r>
        <w:rPr>
          <w:rStyle w:val="FootnoteReference"/>
        </w:rPr>
        <w:footnoteRef/>
      </w:r>
      <w:r>
        <w:t xml:space="preserve"> </w:t>
      </w:r>
      <w:r>
        <w:tab/>
        <w:t>NGR, cl. 87(3). Similar wording is found in NER, cl.  6.5.2(c) and NER, cl. 6A.6.2(c).</w:t>
      </w:r>
    </w:p>
  </w:footnote>
  <w:footnote w:id="1205">
    <w:p w:rsidR="00E636A0" w:rsidRDefault="00E636A0" w:rsidP="00CE5DD5">
      <w:pPr>
        <w:pStyle w:val="FootnoteText"/>
      </w:pPr>
      <w:r>
        <w:rPr>
          <w:rStyle w:val="FootnoteReference"/>
        </w:rPr>
        <w:footnoteRef/>
      </w:r>
      <w:r>
        <w:t xml:space="preserve"> </w:t>
      </w:r>
      <w:r>
        <w:tab/>
        <w:t>NER, cl. 6.5.2(c); NER, cl. 6A.6.2(c); NGR, r. 87(3).</w:t>
      </w:r>
    </w:p>
  </w:footnote>
  <w:footnote w:id="1206">
    <w:p w:rsidR="00E636A0" w:rsidRDefault="00E636A0" w:rsidP="00CE5DD5">
      <w:pPr>
        <w:pStyle w:val="FootnoteText"/>
      </w:pPr>
      <w:r w:rsidRPr="000F26DE">
        <w:rPr>
          <w:rStyle w:val="FootnoteReference"/>
          <w:sz w:val="20"/>
        </w:rPr>
        <w:footnoteRef/>
      </w:r>
      <w:r w:rsidRPr="000F26DE">
        <w:rPr>
          <w:sz w:val="20"/>
        </w:rPr>
        <w:t xml:space="preserve"> </w:t>
      </w:r>
      <w:r>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207">
    <w:p w:rsidR="00E636A0" w:rsidRDefault="00E636A0" w:rsidP="00CE5DD5">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208">
    <w:p w:rsidR="00E636A0" w:rsidRPr="00602829" w:rsidRDefault="00E636A0" w:rsidP="00CE5DD5">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209">
    <w:p w:rsidR="00E636A0" w:rsidRDefault="00E636A0" w:rsidP="00CE5DD5">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210">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211">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212">
    <w:p w:rsidR="00E636A0" w:rsidRDefault="00E636A0" w:rsidP="00CE5DD5">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213">
    <w:p w:rsidR="00E636A0" w:rsidRDefault="00E636A0" w:rsidP="00CE5DD5">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214">
    <w:p w:rsidR="00E636A0" w:rsidRDefault="00E636A0"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215">
    <w:p w:rsidR="00E636A0" w:rsidRDefault="00E636A0" w:rsidP="00CE5DD5">
      <w:pPr>
        <w:pStyle w:val="FootnoteText"/>
      </w:pPr>
      <w:r>
        <w:rPr>
          <w:rStyle w:val="FootnoteReference"/>
        </w:rPr>
        <w:footnoteRef/>
      </w:r>
      <w:r>
        <w:t xml:space="preserve">   </w:t>
      </w:r>
      <w:r w:rsidRPr="00E52A84">
        <w:t xml:space="preserve">Partington, G., Satchell, S., </w:t>
      </w:r>
      <w:r w:rsidRPr="006E5878">
        <w:rPr>
          <w:rStyle w:val="AERtextitalic"/>
        </w:rPr>
        <w:t>Report to the AER: Issues in relation to the cost of debt</w:t>
      </w:r>
      <w:r>
        <w:t>,9 April 2017, p.16</w:t>
      </w:r>
      <w:r w:rsidRPr="00E52A84">
        <w:t>.</w:t>
      </w:r>
    </w:p>
  </w:footnote>
  <w:footnote w:id="1216">
    <w:p w:rsidR="00E636A0" w:rsidRDefault="00E636A0" w:rsidP="00CE5DD5">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217">
    <w:p w:rsidR="00E636A0" w:rsidRDefault="00E636A0" w:rsidP="00CE5DD5">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218">
    <w:p w:rsidR="00E636A0" w:rsidRDefault="00E636A0" w:rsidP="00CE5DD5">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219">
    <w:p w:rsidR="00E636A0" w:rsidRDefault="00E636A0" w:rsidP="00CE5DD5">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220">
    <w:p w:rsidR="00E636A0" w:rsidRDefault="00E636A0"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221">
    <w:p w:rsidR="00E636A0" w:rsidRDefault="00E636A0" w:rsidP="00CE5DD5">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p w:rsidR="00E636A0" w:rsidRDefault="00E636A0" w:rsidP="007E1962">
      <w:pPr>
        <w:pStyle w:val="FootnoteText"/>
      </w:pPr>
      <w:r>
        <w:t xml:space="preserve">       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Pr>
          <w:rStyle w:val="AERtextitalic"/>
        </w:rPr>
        <w:t xml:space="preserve">, </w:t>
      </w:r>
      <w:r w:rsidRPr="005A4B75">
        <w:rPr>
          <w:rStyle w:val="AERtextitalic"/>
          <w:i w:val="0"/>
        </w:rPr>
        <w:t>p.</w:t>
      </w:r>
      <w:r w:rsidRPr="007E1962">
        <w:rPr>
          <w:rStyle w:val="AERtextitalic"/>
          <w:i w:val="0"/>
        </w:rPr>
        <w:t>2</w:t>
      </w:r>
      <w:r w:rsidRPr="00BE50B0">
        <w:rPr>
          <w:rStyle w:val="AERtextitalic"/>
          <w:i w:val="0"/>
        </w:rPr>
        <w:t>6</w:t>
      </w:r>
    </w:p>
  </w:footnote>
  <w:footnote w:id="1222">
    <w:p w:rsidR="00E636A0" w:rsidRDefault="00E636A0" w:rsidP="00CE5DD5">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223">
    <w:p w:rsidR="00E636A0" w:rsidRDefault="00E636A0" w:rsidP="00CE5DD5">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NGR, r. 97(1)(c).</w:t>
      </w:r>
    </w:p>
  </w:footnote>
  <w:footnote w:id="1224">
    <w:p w:rsidR="00E636A0" w:rsidRDefault="00E636A0" w:rsidP="00CE5DD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225">
    <w:p w:rsidR="00E636A0" w:rsidRDefault="00E636A0" w:rsidP="00CE5DD5">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226">
    <w:p w:rsidR="00E636A0" w:rsidRDefault="00E636A0" w:rsidP="00CE5DD5">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227">
    <w:p w:rsidR="00E636A0" w:rsidRDefault="00E636A0" w:rsidP="00CE5DD5">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228">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229">
    <w:p w:rsidR="00E636A0" w:rsidRDefault="00E636A0" w:rsidP="007E196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sidRPr="0051093A">
        <w:rPr>
          <w:rStyle w:val="AERtextitalic"/>
        </w:rPr>
        <w:t>,</w:t>
      </w:r>
      <w:r w:rsidRPr="0051093A">
        <w:t xml:space="preserve"> </w:t>
      </w:r>
      <w:r>
        <w:t>p.26</w:t>
      </w:r>
      <w:r w:rsidRPr="0051093A">
        <w:t>.</w:t>
      </w:r>
    </w:p>
  </w:footnote>
  <w:footnote w:id="1230">
    <w:p w:rsidR="00E636A0" w:rsidRDefault="00E636A0"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231">
    <w:p w:rsidR="00E636A0" w:rsidRDefault="00E636A0" w:rsidP="00CE5DD5">
      <w:pPr>
        <w:pStyle w:val="FootnoteText"/>
      </w:pPr>
      <w:r>
        <w:rPr>
          <w:rStyle w:val="FootnoteReference"/>
        </w:rPr>
        <w:footnoteRef/>
      </w:r>
      <w:r>
        <w:t xml:space="preserve"> </w:t>
      </w:r>
      <w:r>
        <w:tab/>
        <w:t>NEL, s. 7A(3); NGL, s. (24)(3).</w:t>
      </w:r>
    </w:p>
  </w:footnote>
  <w:footnote w:id="1232">
    <w:p w:rsidR="00E636A0" w:rsidRPr="00612B7B" w:rsidRDefault="00E636A0" w:rsidP="00CE5DD5">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233">
    <w:p w:rsidR="00E636A0" w:rsidRDefault="00E636A0" w:rsidP="00CE5DD5">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234">
    <w:p w:rsidR="00E636A0" w:rsidRDefault="00E636A0" w:rsidP="00CE5DD5">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235">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236">
    <w:p w:rsidR="00E636A0" w:rsidRPr="00B57A7C" w:rsidRDefault="00E636A0" w:rsidP="00CE5DD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237">
    <w:p w:rsidR="00E636A0" w:rsidRDefault="00E636A0" w:rsidP="00CE5DD5">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238">
    <w:p w:rsidR="00E636A0" w:rsidRPr="007E1962" w:rsidRDefault="00E636A0" w:rsidP="007E196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 p.26.</w:t>
      </w:r>
    </w:p>
  </w:footnote>
  <w:footnote w:id="1239">
    <w:p w:rsidR="00E636A0" w:rsidRDefault="00E636A0" w:rsidP="00CE5DD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240">
    <w:p w:rsidR="00E636A0" w:rsidRDefault="00E636A0" w:rsidP="00CE5DD5">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41">
    <w:p w:rsidR="00E636A0" w:rsidRDefault="00E636A0" w:rsidP="007E1962">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w:t>
      </w:r>
      <w:r w:rsidRPr="007E1962">
        <w:rPr>
          <w:rStyle w:val="AERtextitalic"/>
          <w:i w:val="0"/>
        </w:rPr>
        <w:t>, p.2</w:t>
      </w:r>
      <w:r w:rsidRPr="00BE50B0">
        <w:rPr>
          <w:rStyle w:val="AERtextitalic"/>
          <w:i w:val="0"/>
        </w:rPr>
        <w:t>8</w:t>
      </w:r>
      <w:r w:rsidRPr="00C6428D">
        <w:rPr>
          <w:rStyle w:val="AERtextitalic"/>
          <w:i w:val="0"/>
        </w:rPr>
        <w:t>.</w:t>
      </w:r>
    </w:p>
  </w:footnote>
  <w:footnote w:id="1242">
    <w:p w:rsidR="00E636A0" w:rsidRDefault="00E636A0" w:rsidP="007E1962">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sidRPr="00C6428D" w:rsidDel="009F5F73">
        <w:rPr>
          <w:rStyle w:val="AERtextitalic"/>
          <w:i w:val="0"/>
        </w:rPr>
        <w:t xml:space="preserve"> </w:t>
      </w:r>
      <w:r w:rsidRPr="00BE50B0">
        <w:rPr>
          <w:rStyle w:val="AERtextitalic"/>
          <w:i w:val="0"/>
        </w:rPr>
        <w:t>9 April 2017</w:t>
      </w:r>
      <w:r w:rsidRPr="007E1962">
        <w:rPr>
          <w:rStyle w:val="AERtextitalic"/>
          <w:i w:val="0"/>
        </w:rPr>
        <w:t>, p.2</w:t>
      </w:r>
      <w:r w:rsidRPr="00BE50B0">
        <w:rPr>
          <w:rStyle w:val="AERtextitalic"/>
          <w:i w:val="0"/>
        </w:rPr>
        <w:t>7</w:t>
      </w:r>
      <w:r w:rsidRPr="00C6428D">
        <w:rPr>
          <w:rStyle w:val="AERtextitalic"/>
          <w:i w:val="0"/>
        </w:rPr>
        <w:t>.</w:t>
      </w:r>
    </w:p>
  </w:footnote>
  <w:footnote w:id="1243">
    <w:p w:rsidR="00E636A0" w:rsidRDefault="00E636A0" w:rsidP="00CE5DD5">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244">
    <w:p w:rsidR="00E636A0" w:rsidRDefault="00E636A0" w:rsidP="00CE5DD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245">
    <w:p w:rsidR="00E636A0" w:rsidRDefault="00E636A0" w:rsidP="00CE5DD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246">
    <w:p w:rsidR="00E636A0" w:rsidRDefault="00E636A0" w:rsidP="00CE5DD5">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247">
    <w:p w:rsidR="00E636A0" w:rsidRDefault="00E636A0" w:rsidP="00CE5DD5">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248">
    <w:p w:rsidR="00E636A0" w:rsidRDefault="00E636A0" w:rsidP="00CE5DD5">
      <w:pPr>
        <w:pStyle w:val="FootnoteText"/>
      </w:pPr>
      <w:r>
        <w:rPr>
          <w:rStyle w:val="FootnoteReference"/>
        </w:rPr>
        <w:footnoteRef/>
      </w:r>
      <w:r>
        <w:t xml:space="preserve"> </w:t>
      </w:r>
      <w:r>
        <w:tab/>
        <w:t>NEL, s. 7A(3)(b); NGL, s. 24(3)(b).</w:t>
      </w:r>
    </w:p>
  </w:footnote>
  <w:footnote w:id="1249">
    <w:p w:rsidR="00E636A0" w:rsidRDefault="00E636A0"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p w:rsidR="00E636A0" w:rsidRDefault="00E636A0" w:rsidP="00CE5DD5">
      <w:pPr>
        <w:pStyle w:val="FootnoteText"/>
      </w:pP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17</w:t>
      </w:r>
      <w:r w:rsidRPr="00C6428D">
        <w:rPr>
          <w:rStyle w:val="AERtextitalic"/>
          <w:i w:val="0"/>
        </w:rPr>
        <w:t>.</w:t>
      </w:r>
    </w:p>
  </w:footnote>
  <w:footnote w:id="1250">
    <w:p w:rsidR="00E636A0" w:rsidRDefault="00E636A0">
      <w:pPr>
        <w:pStyle w:val="FootnoteText"/>
      </w:pPr>
      <w:r>
        <w:rPr>
          <w:rStyle w:val="FootnoteReference"/>
        </w:rPr>
        <w:footnoteRef/>
      </w:r>
      <w:r>
        <w:t xml:space="preserve"> </w:t>
      </w:r>
      <w:r>
        <w:tab/>
        <w:t>Partington, G., Satchell, S.,</w:t>
      </w:r>
      <w:r w:rsidRPr="00F77F90">
        <w:t xml:space="preserve"> </w:t>
      </w:r>
      <w:r w:rsidRPr="006E5878">
        <w:rPr>
          <w:rStyle w:val="AERtextitalic"/>
        </w:rPr>
        <w:t>Report to the AER: Issues in relation to the cost of debt</w:t>
      </w:r>
      <w:r w:rsidRPr="00F77F90">
        <w:t>,</w:t>
      </w:r>
      <w:r>
        <w:t xml:space="preserve"> </w:t>
      </w:r>
      <w:r w:rsidRPr="00F77F90">
        <w:t xml:space="preserve">9 April 2017, p. </w:t>
      </w:r>
      <w:r>
        <w:t>29.</w:t>
      </w:r>
    </w:p>
  </w:footnote>
  <w:footnote w:id="1251">
    <w:p w:rsidR="00E636A0" w:rsidRDefault="00E636A0" w:rsidP="003E4202">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2</w:t>
      </w:r>
      <w:r w:rsidRPr="00BE50B0">
        <w:rPr>
          <w:rStyle w:val="AERtextitalic"/>
          <w:i w:val="0"/>
        </w:rPr>
        <w:t>9</w:t>
      </w:r>
      <w:r w:rsidRPr="00C6428D">
        <w:rPr>
          <w:rStyle w:val="AERtextitalic"/>
          <w:i w:val="0"/>
        </w:rPr>
        <w:t>.</w:t>
      </w:r>
    </w:p>
  </w:footnote>
  <w:footnote w:id="1252">
    <w:p w:rsidR="00E636A0" w:rsidRDefault="00E636A0" w:rsidP="00CE5DD5">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253">
    <w:p w:rsidR="00E636A0" w:rsidRDefault="00E636A0" w:rsidP="00CE5DD5">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254">
    <w:p w:rsidR="00E636A0" w:rsidRDefault="00E636A0" w:rsidP="00CE5DD5">
      <w:pPr>
        <w:pStyle w:val="FootnoteText"/>
      </w:pPr>
      <w:r>
        <w:rPr>
          <w:rStyle w:val="FootnoteReference"/>
        </w:rPr>
        <w:footnoteRef/>
      </w:r>
      <w:r>
        <w:t xml:space="preserve"> </w:t>
      </w:r>
      <w:r>
        <w:tab/>
        <w:t>See NER, cl. 6.5.2(j)(1); NER, cl. 6A.6.2(j)(1); NGR, r. 87(10)(a).</w:t>
      </w:r>
    </w:p>
  </w:footnote>
  <w:footnote w:id="1255">
    <w:p w:rsidR="00E636A0" w:rsidRDefault="00E636A0" w:rsidP="00CE5DD5">
      <w:pPr>
        <w:pStyle w:val="FootnoteText"/>
      </w:pPr>
      <w:r>
        <w:rPr>
          <w:rStyle w:val="FootnoteReference"/>
        </w:rPr>
        <w:footnoteRef/>
      </w:r>
      <w:r>
        <w:t xml:space="preserve"> </w:t>
      </w:r>
      <w:r>
        <w:tab/>
        <w:t>NER, cl. 6.5.2(g); NER, cl. 6A.6.2(g); NGR, cl. 87(7).</w:t>
      </w:r>
    </w:p>
  </w:footnote>
  <w:footnote w:id="1256">
    <w:p w:rsidR="00E636A0" w:rsidRDefault="00E636A0" w:rsidP="00CE5DD5">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257">
    <w:p w:rsidR="00E636A0" w:rsidRDefault="00E636A0" w:rsidP="00CE5DD5">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258">
    <w:p w:rsidR="00E636A0" w:rsidRDefault="00E636A0" w:rsidP="00CE5DD5">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259">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60">
    <w:p w:rsidR="00E636A0" w:rsidRDefault="00E636A0" w:rsidP="003E4202">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29</w:t>
      </w:r>
      <w:r w:rsidRPr="00C6428D">
        <w:rPr>
          <w:rStyle w:val="AERtextitalic"/>
          <w:i w:val="0"/>
        </w:rPr>
        <w:t>.</w:t>
      </w:r>
    </w:p>
  </w:footnote>
  <w:footnote w:id="1261">
    <w:p w:rsidR="00E636A0" w:rsidRDefault="00E636A0" w:rsidP="00CE5DD5">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262">
    <w:p w:rsidR="00E636A0" w:rsidRDefault="00E636A0" w:rsidP="00CE5DD5">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263">
    <w:p w:rsidR="00E636A0" w:rsidRDefault="00E636A0" w:rsidP="00CE5DD5">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264">
    <w:p w:rsidR="00E636A0" w:rsidRDefault="00E636A0" w:rsidP="00CE5DD5">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265">
    <w:p w:rsidR="00E636A0" w:rsidRDefault="00E636A0" w:rsidP="00CE5DD5">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266">
    <w:p w:rsidR="00E636A0" w:rsidRDefault="00E636A0" w:rsidP="00CE5DD5">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267">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268">
    <w:p w:rsidR="00E636A0" w:rsidRDefault="00E636A0" w:rsidP="00CE5DD5">
      <w:pPr>
        <w:pStyle w:val="FootnoteText"/>
      </w:pPr>
      <w:r>
        <w:rPr>
          <w:rStyle w:val="FootnoteReference"/>
        </w:rPr>
        <w:footnoteRef/>
      </w:r>
      <w:r>
        <w:t xml:space="preserve"> </w:t>
      </w:r>
      <w:r>
        <w:tab/>
        <w:t>See NER, cl. 6.5.2(j)(2); NER, cl. 6A.6.2(j)(2); NGR, r. 87(10)(b).</w:t>
      </w:r>
    </w:p>
  </w:footnote>
  <w:footnote w:id="1269">
    <w:p w:rsidR="00E636A0" w:rsidRDefault="00E636A0" w:rsidP="00CE5DD5">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270">
    <w:p w:rsidR="00E636A0" w:rsidRDefault="00E636A0" w:rsidP="00CE5DD5">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271">
    <w:p w:rsidR="00E636A0" w:rsidRDefault="00E636A0" w:rsidP="00CE5DD5">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272">
    <w:p w:rsidR="00E636A0" w:rsidRDefault="00E636A0" w:rsidP="00CE5DD5">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273">
    <w:p w:rsidR="00E636A0" w:rsidRDefault="00E636A0" w:rsidP="00744C5A">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w:t>
      </w:r>
      <w:r w:rsidRPr="00BE50B0">
        <w:rPr>
          <w:rStyle w:val="AERtextitalic"/>
          <w:i w:val="0"/>
        </w:rPr>
        <w:t>7</w:t>
      </w:r>
      <w:r w:rsidRPr="00C6428D">
        <w:rPr>
          <w:rStyle w:val="AERtextitalic"/>
          <w:i w:val="0"/>
        </w:rPr>
        <w:t>.</w:t>
      </w:r>
    </w:p>
  </w:footnote>
  <w:footnote w:id="1274">
    <w:p w:rsidR="00E636A0" w:rsidRDefault="00E636A0" w:rsidP="00CE5DD5">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275">
    <w:p w:rsidR="00E636A0" w:rsidRDefault="00E636A0" w:rsidP="00CE5DD5">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276">
    <w:p w:rsidR="00E636A0" w:rsidRDefault="00E636A0" w:rsidP="00CE5DD5">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277">
    <w:p w:rsidR="00E636A0" w:rsidRDefault="00E636A0" w:rsidP="00CE5DD5">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278">
    <w:p w:rsidR="00E636A0" w:rsidRDefault="00E636A0" w:rsidP="00CE5DD5">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279">
    <w:p w:rsidR="00E636A0" w:rsidRDefault="00E636A0" w:rsidP="00CE5DD5">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280">
    <w:p w:rsidR="00E636A0" w:rsidRDefault="00E636A0" w:rsidP="00CE5DD5">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281">
    <w:p w:rsidR="00E636A0" w:rsidRDefault="00E636A0" w:rsidP="00CE5DD5">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282">
    <w:p w:rsidR="00E636A0" w:rsidRDefault="00E636A0" w:rsidP="00CE5DD5">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283">
    <w:p w:rsidR="00E636A0" w:rsidRDefault="00E636A0" w:rsidP="00CE5DD5">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284">
    <w:p w:rsidR="00E636A0" w:rsidRDefault="00E636A0" w:rsidP="00CE5DD5">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285">
    <w:p w:rsidR="00E636A0" w:rsidRDefault="00E636A0" w:rsidP="00CE5DD5">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286">
    <w:p w:rsidR="00E636A0" w:rsidRDefault="00E636A0" w:rsidP="00CE5DD5">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287">
    <w:p w:rsidR="00E636A0" w:rsidRDefault="00E636A0" w:rsidP="00CE5DD5">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288">
    <w:p w:rsidR="00E636A0" w:rsidRDefault="00E636A0" w:rsidP="00CE5DD5">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289">
    <w:p w:rsidR="00E636A0" w:rsidRDefault="00E636A0"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p w:rsidR="00E636A0" w:rsidRDefault="00E636A0" w:rsidP="00563C02">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16</w:t>
      </w:r>
      <w:r w:rsidRPr="00C6428D">
        <w:rPr>
          <w:rStyle w:val="AERtextitalic"/>
          <w:i w:val="0"/>
        </w:rPr>
        <w:t>.</w:t>
      </w:r>
    </w:p>
  </w:footnote>
  <w:footnote w:id="1290">
    <w:p w:rsidR="00E636A0" w:rsidRDefault="00E636A0" w:rsidP="00CE5DD5">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291">
    <w:p w:rsidR="00E636A0" w:rsidRDefault="00E636A0" w:rsidP="00CE5DD5">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292">
    <w:p w:rsidR="00E636A0" w:rsidRDefault="00E636A0" w:rsidP="00CE5DD5">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293">
    <w:p w:rsidR="00E636A0" w:rsidRDefault="00E636A0" w:rsidP="00CE5DD5">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p w:rsidR="00E636A0" w:rsidRDefault="00E636A0" w:rsidP="00CE5DD5">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21</w:t>
      </w:r>
      <w:r w:rsidRPr="00C6428D">
        <w:rPr>
          <w:rStyle w:val="AERtextitalic"/>
          <w:i w:val="0"/>
        </w:rPr>
        <w:t>.</w:t>
      </w:r>
    </w:p>
  </w:footnote>
  <w:footnote w:id="1294">
    <w:p w:rsidR="00E636A0" w:rsidRDefault="00E636A0" w:rsidP="00CE5DD5">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295">
    <w:p w:rsidR="00E636A0" w:rsidRDefault="00E636A0" w:rsidP="00CE5DD5">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296">
    <w:p w:rsidR="00E636A0" w:rsidRDefault="00E636A0" w:rsidP="00CE5DD5">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297">
    <w:p w:rsidR="00E636A0" w:rsidRDefault="00E636A0" w:rsidP="00CE5DD5">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298">
    <w:p w:rsidR="00E636A0" w:rsidRDefault="00E636A0" w:rsidP="00CE5DD5">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299">
    <w:p w:rsidR="00E636A0" w:rsidRDefault="00E636A0" w:rsidP="00CE5DD5">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300">
    <w:p w:rsidR="00E636A0" w:rsidRDefault="00E636A0" w:rsidP="00CE5DD5">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301">
    <w:p w:rsidR="00E636A0" w:rsidRDefault="00E636A0" w:rsidP="00CE5DD5">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302">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303">
    <w:p w:rsidR="00E636A0" w:rsidRDefault="00E636A0" w:rsidP="00CE5DD5">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304">
    <w:p w:rsidR="00E636A0" w:rsidRDefault="00E636A0" w:rsidP="00CE5DD5">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305">
    <w:p w:rsidR="00E636A0" w:rsidRDefault="00E636A0" w:rsidP="00CE5DD5">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306">
    <w:p w:rsidR="00E636A0" w:rsidRDefault="00E636A0" w:rsidP="00CE5DD5">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307">
    <w:p w:rsidR="00E636A0" w:rsidRDefault="00E636A0" w:rsidP="00744C5A">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3</w:t>
      </w:r>
      <w:r w:rsidRPr="00BE50B0">
        <w:rPr>
          <w:rStyle w:val="AERtextitalic"/>
          <w:i w:val="0"/>
        </w:rPr>
        <w:t>0</w:t>
      </w:r>
      <w:r w:rsidRPr="00C6428D">
        <w:rPr>
          <w:rStyle w:val="AERtextitalic"/>
          <w:i w:val="0"/>
        </w:rPr>
        <w:t>.</w:t>
      </w:r>
    </w:p>
  </w:footnote>
  <w:footnote w:id="1308">
    <w:p w:rsidR="00E636A0" w:rsidRDefault="00E636A0" w:rsidP="00EF3F7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27</w:t>
      </w:r>
      <w:r w:rsidRPr="00C6428D">
        <w:rPr>
          <w:rStyle w:val="AERtextitalic"/>
          <w:i w:val="0"/>
        </w:rPr>
        <w:t>.</w:t>
      </w:r>
    </w:p>
  </w:footnote>
  <w:footnote w:id="1309">
    <w:p w:rsidR="00E636A0" w:rsidRDefault="00E636A0">
      <w:pPr>
        <w:pStyle w:val="FootnoteText"/>
      </w:pPr>
      <w:r>
        <w:rPr>
          <w:rStyle w:val="FootnoteReference"/>
        </w:rPr>
        <w:footnoteRef/>
      </w:r>
      <w:r>
        <w:t xml:space="preserve"> </w:t>
      </w:r>
      <w:r>
        <w:tab/>
        <w:t>This was the preferred transition approach in recent revised proposals from ActewAGL distribution (gas), AGN, APTMT, AusNet Services (distribution), CitiPower, Jen, Powercor and United Energy.</w:t>
      </w:r>
    </w:p>
  </w:footnote>
  <w:footnote w:id="1310">
    <w:p w:rsidR="00E636A0" w:rsidRDefault="00E636A0" w:rsidP="00CE5DD5">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311">
    <w:p w:rsidR="00E636A0" w:rsidRDefault="00E636A0" w:rsidP="00CE5DD5">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312">
    <w:p w:rsidR="00E636A0" w:rsidRDefault="00E636A0" w:rsidP="00CE5DD5">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313">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p w:rsidR="00E636A0" w:rsidRPr="009B5A2D" w:rsidRDefault="00E636A0" w:rsidP="00CE5DD5">
      <w:pPr>
        <w:pStyle w:val="FootnoteText"/>
      </w:pPr>
      <w:r>
        <w:t xml:space="preserve">        </w:t>
      </w:r>
      <w:r w:rsidRPr="009B5A2D">
        <w:t xml:space="preserve">Partington, G., Satchell, S., </w:t>
      </w:r>
      <w:r w:rsidRPr="009B5A2D">
        <w:rPr>
          <w:i/>
        </w:rPr>
        <w:t>Report to the AER: Issues in relation to the cost of debt,</w:t>
      </w:r>
      <w:r>
        <w:t>9 April 2017</w:t>
      </w:r>
      <w:r w:rsidRPr="00584EB7">
        <w:t>, p.</w:t>
      </w:r>
      <w:r w:rsidRPr="009B5A2D">
        <w:t>2</w:t>
      </w:r>
      <w:r>
        <w:t>8</w:t>
      </w:r>
      <w:r w:rsidRPr="00584EB7">
        <w:t>.</w:t>
      </w:r>
    </w:p>
  </w:footnote>
  <w:footnote w:id="1314">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315">
    <w:p w:rsidR="00E636A0" w:rsidRDefault="00E636A0" w:rsidP="00CE5DD5">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316">
    <w:p w:rsidR="00E636A0" w:rsidRDefault="00E636A0" w:rsidP="00CE5DD5">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317">
    <w:p w:rsidR="00E636A0" w:rsidRDefault="00E636A0" w:rsidP="00CE5DD5">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318">
    <w:p w:rsidR="00E636A0" w:rsidRDefault="00E636A0" w:rsidP="00CE5DD5">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319">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320">
    <w:p w:rsidR="00E636A0" w:rsidRDefault="00E636A0" w:rsidP="006E5878">
      <w:pPr>
        <w:pStyle w:val="FootnoteText"/>
      </w:pPr>
      <w:r>
        <w:rPr>
          <w:rStyle w:val="FootnoteReference"/>
        </w:rPr>
        <w:footnoteRef/>
      </w:r>
      <w:r>
        <w:t xml:space="preserve">   </w:t>
      </w:r>
      <w:r w:rsidRPr="009E6AEC">
        <w:t xml:space="preserve">Partington, G., Satchell, S., </w:t>
      </w:r>
      <w:r w:rsidRPr="006E5878">
        <w:rPr>
          <w:rStyle w:val="AERtextitalic"/>
        </w:rPr>
        <w:t>Report to the AER: Issues in relation to the cost of debt</w:t>
      </w:r>
      <w:r w:rsidRPr="009E6AEC">
        <w:t>,</w:t>
      </w:r>
      <w:r>
        <w:t xml:space="preserve">9 </w:t>
      </w:r>
      <w:r w:rsidRPr="006E5878">
        <w:t>April 2017</w:t>
      </w:r>
      <w:r>
        <w:t>, p.27</w:t>
      </w:r>
      <w:r w:rsidRPr="009E6AEC">
        <w:t>.</w:t>
      </w:r>
      <w:r>
        <w:tab/>
      </w:r>
    </w:p>
  </w:footnote>
  <w:footnote w:id="1321">
    <w:p w:rsidR="00E636A0" w:rsidRDefault="00E636A0" w:rsidP="00CE5DD5">
      <w:pPr>
        <w:pStyle w:val="FootnoteText"/>
      </w:pPr>
      <w:r>
        <w:rPr>
          <w:rStyle w:val="FootnoteReference"/>
        </w:rPr>
        <w:footnoteRef/>
      </w:r>
      <w:r>
        <w:t xml:space="preserve">   AusNet, </w:t>
      </w:r>
      <w:r w:rsidRPr="00D81671">
        <w:rPr>
          <w:i/>
        </w:rPr>
        <w:t>Transmission revenue review 2017-2022</w:t>
      </w:r>
      <w:r>
        <w:t>, 30 October 2015, p.269</w:t>
      </w:r>
    </w:p>
    <w:p w:rsidR="00E636A0" w:rsidRDefault="00E636A0" w:rsidP="00CE5DD5">
      <w:pPr>
        <w:pStyle w:val="FootnoteText"/>
      </w:pPr>
      <w:r>
        <w:tab/>
      </w:r>
      <w:r w:rsidRPr="002C71C8">
        <w:t xml:space="preserve">TasNetworks, </w:t>
      </w:r>
      <w:r w:rsidRPr="006E5878">
        <w:rPr>
          <w:rStyle w:val="AERtextitalic"/>
        </w:rPr>
        <w:t>Tasmanian Distribution Regulatory Proposal 2017-2019</w:t>
      </w:r>
      <w:r w:rsidRPr="002C71C8">
        <w:t>, 29 January 2016, p.117.</w:t>
      </w:r>
    </w:p>
  </w:footnote>
  <w:footnote w:id="1322">
    <w:p w:rsidR="00E636A0" w:rsidRPr="0046674C" w:rsidRDefault="00E636A0" w:rsidP="00FC43C9">
      <w:pPr>
        <w:pStyle w:val="FootnoteText"/>
        <w:ind w:left="0" w:firstLine="0"/>
      </w:pPr>
      <w:r>
        <w:rPr>
          <w:rStyle w:val="FootnoteReference"/>
        </w:rPr>
        <w:footnoteRef/>
      </w:r>
      <w:r>
        <w:t xml:space="preserve">   </w:t>
      </w:r>
      <w:r w:rsidRPr="0046674C">
        <w:t xml:space="preserve">AusNet, </w:t>
      </w:r>
      <w:r w:rsidRPr="0046674C">
        <w:rPr>
          <w:i/>
        </w:rPr>
        <w:t>Transmission revised revenue proposal</w:t>
      </w:r>
      <w:r w:rsidRPr="0046674C">
        <w:t>, 21 September 2016, p.165.</w:t>
      </w:r>
    </w:p>
    <w:p w:rsidR="00E636A0" w:rsidRDefault="00E636A0" w:rsidP="00CE5DD5">
      <w:pPr>
        <w:pStyle w:val="FootnoteText"/>
      </w:pPr>
    </w:p>
  </w:footnote>
  <w:footnote w:id="1323">
    <w:p w:rsidR="00E636A0" w:rsidRDefault="00E636A0" w:rsidP="00CE5DD5">
      <w:pPr>
        <w:pStyle w:val="FootnoteText"/>
      </w:pPr>
      <w:r>
        <w:rPr>
          <w:rStyle w:val="FootnoteReference"/>
        </w:rPr>
        <w:footnoteRef/>
      </w:r>
      <w:r>
        <w:t xml:space="preserve"> </w:t>
      </w:r>
      <w:r>
        <w:tab/>
        <w:t>The majority of service providers chose to not appeal our May 2016 decisions which applied a full transition. The service providers that had proposed an immediate trailing average and chose to not appeal their regulatory determination on this point were: Powerlink, CitiPower, AusNet Services (distribution), United Energy, Australian Gas Networks (SA), and APTNT. The service providers that chose to appeal out debt transition decisions to apply a full transition were Jemena Electricity and ActewAGL Gas.</w:t>
      </w:r>
    </w:p>
  </w:footnote>
  <w:footnote w:id="1324">
    <w:p w:rsidR="00E636A0" w:rsidRDefault="00E636A0" w:rsidP="00CE5DD5">
      <w:pPr>
        <w:pStyle w:val="FootnoteText"/>
      </w:pPr>
      <w:r>
        <w:rPr>
          <w:rStyle w:val="FootnoteReference"/>
        </w:rPr>
        <w:footnoteRef/>
      </w:r>
      <w:r>
        <w:t xml:space="preserve"> </w:t>
      </w:r>
      <w:r>
        <w:tab/>
        <w:t>CCP3 submitted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325">
    <w:p w:rsidR="00E636A0" w:rsidRDefault="00E636A0" w:rsidP="00CE5DD5">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326">
    <w:p w:rsidR="00E636A0" w:rsidRDefault="00E636A0" w:rsidP="00CE5DD5">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t>H.3.3</w:t>
      </w:r>
      <w:r>
        <w:fldChar w:fldCharType="end"/>
      </w:r>
      <w:r>
        <w:t xml:space="preserve"> for a mathematical depiction).</w:t>
      </w:r>
    </w:p>
  </w:footnote>
  <w:footnote w:id="1327">
    <w:p w:rsidR="00E636A0" w:rsidRDefault="00E636A0"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r>
        <w:t xml:space="preserve">;. AusNet Services, </w:t>
      </w:r>
      <w:r w:rsidRPr="00FC43C9">
        <w:rPr>
          <w:i/>
        </w:rPr>
        <w:t>Transmission revised revenue proposal</w:t>
      </w:r>
      <w:r>
        <w:t>, 21 September, p.138.</w:t>
      </w:r>
    </w:p>
  </w:footnote>
  <w:footnote w:id="1328">
    <w:p w:rsidR="00E636A0" w:rsidRDefault="00E636A0" w:rsidP="00CE5DD5">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329">
    <w:p w:rsidR="00E636A0" w:rsidRDefault="00E636A0" w:rsidP="00CE5DD5">
      <w:pPr>
        <w:pStyle w:val="FootnoteText"/>
      </w:pPr>
      <w:r>
        <w:rPr>
          <w:rStyle w:val="FootnoteReference"/>
        </w:rPr>
        <w:footnoteRef/>
      </w:r>
      <w:r>
        <w:t xml:space="preserve"> </w:t>
      </w:r>
      <w:r>
        <w:tab/>
        <w:t>NER, cl. 6.5.2(k)(1);  NER, cl. 6A.6.2(k)(1); NGR, cl. 87(11)(a).</w:t>
      </w:r>
    </w:p>
  </w:footnote>
  <w:footnote w:id="1330">
    <w:p w:rsidR="00E636A0" w:rsidRDefault="00E636A0" w:rsidP="00CE5DD5">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331">
    <w:p w:rsidR="00E636A0" w:rsidRDefault="00E636A0" w:rsidP="00CE5DD5">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332">
    <w:p w:rsidR="00E636A0" w:rsidRDefault="00E636A0"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pp. 258</w:t>
      </w:r>
      <w:r w:rsidRPr="007D612D">
        <w:t>–</w:t>
      </w:r>
      <w:r>
        <w:t xml:space="preserve">259; United Energy, </w:t>
      </w:r>
      <w:r w:rsidRPr="00DA2177">
        <w:rPr>
          <w:rStyle w:val="AERtextitalic"/>
        </w:rPr>
        <w:t>2016 to 2020 revised regulatory proposal</w:t>
      </w:r>
      <w:r>
        <w:t>, January 2016, p. 76</w:t>
      </w:r>
      <w:r w:rsidRPr="007D612D">
        <w:t>–</w:t>
      </w:r>
      <w:r>
        <w:t>8.</w:t>
      </w:r>
    </w:p>
  </w:footnote>
  <w:footnote w:id="1333">
    <w:p w:rsidR="00E636A0" w:rsidRDefault="00E636A0" w:rsidP="00CE5DD5">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334">
    <w:p w:rsidR="00E636A0" w:rsidRDefault="00E636A0"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xml:space="preserve">, January 2016, p. 22.; </w:t>
      </w:r>
      <w:r w:rsidRPr="00FC43C9">
        <w:rPr>
          <w:i/>
        </w:rPr>
        <w:t>AusNet Services, Transmission revised revenue proposal</w:t>
      </w:r>
      <w:r>
        <w:t>, 21 September 2016. P.155.</w:t>
      </w:r>
    </w:p>
  </w:footnote>
  <w:footnote w:id="1335">
    <w:p w:rsidR="00E636A0" w:rsidRDefault="00E636A0" w:rsidP="00CE5DD5">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336">
    <w:p w:rsidR="00E636A0" w:rsidRDefault="00E636A0"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337">
    <w:p w:rsidR="00E636A0" w:rsidRDefault="00E636A0"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338">
    <w:p w:rsidR="00E636A0" w:rsidRDefault="00E636A0">
      <w:pPr>
        <w:pStyle w:val="FootnoteText"/>
      </w:pPr>
      <w:r>
        <w:rPr>
          <w:rStyle w:val="FootnoteReference"/>
        </w:rPr>
        <w:footnoteRef/>
      </w:r>
      <w:r>
        <w:t xml:space="preserve"> </w:t>
      </w:r>
      <w:r>
        <w:tab/>
      </w:r>
      <w:r w:rsidRPr="009521D0">
        <w:t xml:space="preserve">TasNetworks, </w:t>
      </w:r>
      <w:r w:rsidRPr="006E5878">
        <w:rPr>
          <w:rStyle w:val="AERtextitalic"/>
        </w:rPr>
        <w:t>Tasmanian Distribution Regulatory Proposal 2017-2019</w:t>
      </w:r>
      <w:r w:rsidRPr="009521D0">
        <w:t>, 29 January</w:t>
      </w:r>
      <w:r>
        <w:t xml:space="preserve"> 2016</w:t>
      </w:r>
      <w:r w:rsidRPr="009521D0">
        <w:t xml:space="preserve">, p.117.  </w:t>
      </w:r>
    </w:p>
    <w:p w:rsidR="00E636A0" w:rsidRDefault="00E636A0">
      <w:pPr>
        <w:pStyle w:val="FootnoteText"/>
      </w:pPr>
      <w:r>
        <w:tab/>
        <w:t xml:space="preserve">AusNet Services, </w:t>
      </w:r>
      <w:r w:rsidRPr="006E5878">
        <w:rPr>
          <w:rStyle w:val="AERtextitalic"/>
        </w:rPr>
        <w:t>letter to the AER: Removing uncertainty of the Cost of Debt transition</w:t>
      </w:r>
      <w:r w:rsidRPr="005A6F9E">
        <w:t xml:space="preserve">, </w:t>
      </w:r>
      <w:r w:rsidRPr="0027518D">
        <w:t>9 December 2016</w:t>
      </w:r>
    </w:p>
    <w:p w:rsidR="00E636A0" w:rsidRDefault="00E636A0">
      <w:pPr>
        <w:pStyle w:val="FootnoteText"/>
      </w:pPr>
      <w:r>
        <w:tab/>
        <w:t xml:space="preserve">AusNet Services, </w:t>
      </w:r>
      <w:r w:rsidRPr="006E5878">
        <w:rPr>
          <w:rStyle w:val="AERtextitalic"/>
        </w:rPr>
        <w:t>letter to the AER: AusNet Services’ Transmission- Revised Revenue Proposal</w:t>
      </w:r>
      <w:r w:rsidRPr="005A6F9E">
        <w:t xml:space="preserve">, </w:t>
      </w:r>
      <w:r>
        <w:t>20</w:t>
      </w:r>
      <w:r w:rsidRPr="0027518D">
        <w:t xml:space="preserve"> December 2016</w:t>
      </w:r>
    </w:p>
  </w:footnote>
  <w:footnote w:id="1339">
    <w:p w:rsidR="00E636A0" w:rsidRDefault="00E636A0" w:rsidP="00CE5DD5">
      <w:pPr>
        <w:pStyle w:val="FootnoteText"/>
      </w:pPr>
      <w:r>
        <w:rPr>
          <w:rStyle w:val="FootnoteReference"/>
        </w:rPr>
        <w:footnoteRef/>
      </w:r>
      <w:r>
        <w:t xml:space="preserve">   CEG, </w:t>
      </w:r>
      <w:r w:rsidRPr="009A0AF1">
        <w:rPr>
          <w:i/>
        </w:rPr>
        <w:t>The AER’s current interpretation of the ARORO</w:t>
      </w:r>
      <w:r>
        <w:t xml:space="preserve">, September 2016 </w:t>
      </w:r>
    </w:p>
  </w:footnote>
  <w:footnote w:id="1340">
    <w:p w:rsidR="00E636A0" w:rsidRDefault="00E636A0" w:rsidP="00CE5DD5">
      <w:pPr>
        <w:pStyle w:val="FootnoteText"/>
      </w:pPr>
      <w:r>
        <w:rPr>
          <w:rStyle w:val="FootnoteReference"/>
        </w:rPr>
        <w:footnoteRef/>
      </w:r>
      <w:r>
        <w:t xml:space="preserve">    CEG, </w:t>
      </w:r>
      <w:r w:rsidRPr="009A0AF1">
        <w:rPr>
          <w:i/>
        </w:rPr>
        <w:t>The AER’s current interpretation of the ARORO</w:t>
      </w:r>
      <w:r>
        <w:t>, September 2016, p.3.</w:t>
      </w:r>
    </w:p>
  </w:footnote>
  <w:footnote w:id="1341">
    <w:p w:rsidR="00E636A0" w:rsidRDefault="00E636A0">
      <w:pPr>
        <w:pStyle w:val="FootnoteText"/>
      </w:pPr>
      <w:r>
        <w:rPr>
          <w:rStyle w:val="FootnoteReference"/>
        </w:rPr>
        <w:footnoteRef/>
      </w:r>
      <w:r>
        <w:t xml:space="preserve"> </w:t>
      </w:r>
      <w:r>
        <w:tab/>
      </w:r>
      <w:r w:rsidRPr="000F18DA">
        <w:t>See SFG, Preliminary analysis of rule change proposals: Report for AEMC, February 2012, p. 41; Brennan, Depreciation, investor compensation and, welfare under rate-of-return regulation, Review of industrial organisation, 1991, 6, p. 75. In his article, Brennan stated, 'With regard to investor compensation, the basic goal of regulation is to give investors an income stream just sufficient to cover the costs of their assets, and no more'.</w:t>
      </w:r>
    </w:p>
  </w:footnote>
  <w:footnote w:id="1342">
    <w:p w:rsidR="00E636A0" w:rsidRDefault="00E636A0">
      <w:pPr>
        <w:pStyle w:val="FootnoteText"/>
      </w:pPr>
      <w:r>
        <w:rPr>
          <w:rStyle w:val="FootnoteReference"/>
        </w:rPr>
        <w:footnoteRef/>
      </w:r>
      <w:r>
        <w:t xml:space="preserve"> </w:t>
      </w:r>
      <w:r>
        <w:tab/>
        <w:t>More detailed responses with relevant supporting references are contained in text below the table.</w:t>
      </w:r>
    </w:p>
  </w:footnote>
  <w:footnote w:id="1343">
    <w:p w:rsidR="00E636A0" w:rsidRDefault="00E636A0" w:rsidP="00CE5DD5">
      <w:pPr>
        <w:pStyle w:val="FootnoteText"/>
      </w:pPr>
      <w:r>
        <w:rPr>
          <w:rStyle w:val="FootnoteReference"/>
        </w:rPr>
        <w:footnoteRef/>
      </w:r>
      <w:r>
        <w:t xml:space="preserve">   CEG, </w:t>
      </w:r>
      <w:r w:rsidRPr="006E5878">
        <w:rPr>
          <w:rStyle w:val="AERtextitalic"/>
        </w:rPr>
        <w:t>the AER’s current interpretation of the ARORO</w:t>
      </w:r>
      <w:r>
        <w:t>, September 2016, p. 36.</w:t>
      </w:r>
    </w:p>
  </w:footnote>
  <w:footnote w:id="1344">
    <w:p w:rsidR="00E636A0" w:rsidRDefault="00E636A0">
      <w:pPr>
        <w:pStyle w:val="FootnoteText"/>
      </w:pPr>
      <w:r>
        <w:rPr>
          <w:rStyle w:val="FootnoteReference"/>
        </w:rPr>
        <w:footnoteRef/>
      </w:r>
      <w:r>
        <w:t xml:space="preserve">   </w:t>
      </w:r>
      <w:r w:rsidRPr="00FF6705">
        <w:t xml:space="preserve">CEG, </w:t>
      </w:r>
      <w:r w:rsidRPr="006E5878">
        <w:rPr>
          <w:rStyle w:val="AERtextitalic"/>
        </w:rPr>
        <w:t>the AER’s current interpretation of the ARORO</w:t>
      </w:r>
      <w:r w:rsidRPr="00FF6705">
        <w:t xml:space="preserve">, September 2016, </w:t>
      </w:r>
      <w:r>
        <w:t>p. 48.</w:t>
      </w:r>
    </w:p>
  </w:footnote>
  <w:footnote w:id="1345">
    <w:p w:rsidR="00E636A0" w:rsidRDefault="00E636A0">
      <w:pPr>
        <w:pStyle w:val="FootnoteText"/>
      </w:pPr>
      <w:r>
        <w:rPr>
          <w:rStyle w:val="FootnoteReference"/>
        </w:rPr>
        <w:footnoteRef/>
      </w:r>
      <w:r>
        <w:t xml:space="preserve"> </w:t>
      </w:r>
      <w:r>
        <w:tab/>
      </w:r>
      <w:r w:rsidRPr="00FF6705">
        <w:t>Graham Partington and Stephen Satchell</w:t>
      </w:r>
      <w:r w:rsidRPr="006E5878">
        <w:rPr>
          <w:rStyle w:val="AERtextitalic"/>
        </w:rPr>
        <w:t>, Report to the AER: Issues in Relation to the Cost of Debt</w:t>
      </w:r>
      <w:r w:rsidRPr="00FF6705">
        <w:t xml:space="preserve">, </w:t>
      </w:r>
      <w:r>
        <w:t>9 April 2017</w:t>
      </w:r>
      <w:r w:rsidRPr="00FF6705">
        <w:t>, p</w:t>
      </w:r>
      <w:r>
        <w:t>.</w:t>
      </w:r>
      <w:r w:rsidRPr="00FF6705">
        <w:t>2</w:t>
      </w:r>
      <w:r>
        <w:t>5.</w:t>
      </w:r>
    </w:p>
  </w:footnote>
  <w:footnote w:id="1346">
    <w:p w:rsidR="00E636A0" w:rsidRDefault="00E636A0" w:rsidP="00692233">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p.26.</w:t>
      </w:r>
    </w:p>
  </w:footnote>
  <w:footnote w:id="1347">
    <w:p w:rsidR="00E636A0" w:rsidRDefault="00E636A0" w:rsidP="00692233">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p.26.</w:t>
      </w:r>
    </w:p>
  </w:footnote>
  <w:footnote w:id="1348">
    <w:p w:rsidR="00E636A0" w:rsidRDefault="00E636A0" w:rsidP="00CE5DD5">
      <w:pPr>
        <w:pStyle w:val="FootnoteText"/>
      </w:pPr>
      <w:r>
        <w:rPr>
          <w:rStyle w:val="FootnoteReference"/>
        </w:rPr>
        <w:footnoteRef/>
      </w:r>
      <w:r>
        <w:t xml:space="preserve">   CEG, </w:t>
      </w:r>
      <w:r w:rsidRPr="00584EB7">
        <w:rPr>
          <w:i/>
        </w:rPr>
        <w:t>the AER’s current interpretation of the ARORO</w:t>
      </w:r>
      <w:r>
        <w:t>, September 2016, p. 32.</w:t>
      </w:r>
    </w:p>
  </w:footnote>
  <w:footnote w:id="1349">
    <w:p w:rsidR="00E636A0" w:rsidRDefault="00E636A0" w:rsidP="00CE5DD5">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p.16.</w:t>
      </w:r>
    </w:p>
  </w:footnote>
  <w:footnote w:id="1350">
    <w:p w:rsidR="00E636A0" w:rsidRDefault="00E636A0" w:rsidP="00CE5DD5">
      <w:pPr>
        <w:pStyle w:val="FootnoteText"/>
      </w:pPr>
      <w:r>
        <w:rPr>
          <w:rStyle w:val="FootnoteReference"/>
        </w:rPr>
        <w:footnoteRef/>
      </w:r>
      <w:r>
        <w:t xml:space="preserve">   CEG, </w:t>
      </w:r>
      <w:r w:rsidRPr="00584EB7">
        <w:rPr>
          <w:i/>
        </w:rPr>
        <w:t>the AER’s current interpretation of the ARORO</w:t>
      </w:r>
      <w:r>
        <w:t>, September 2016, pp. 27-28.</w:t>
      </w:r>
    </w:p>
  </w:footnote>
  <w:footnote w:id="1351">
    <w:p w:rsidR="00E636A0" w:rsidRDefault="00E636A0">
      <w:pPr>
        <w:pStyle w:val="FootnoteText"/>
      </w:pPr>
      <w:r>
        <w:rPr>
          <w:rStyle w:val="FootnoteReference"/>
        </w:rPr>
        <w:footnoteRef/>
      </w:r>
      <w:r>
        <w:t xml:space="preserve"> </w:t>
      </w:r>
      <w:r>
        <w:tab/>
      </w:r>
      <w:r w:rsidRPr="00FF6705">
        <w:t xml:space="preserve">CEG, </w:t>
      </w:r>
      <w:r w:rsidRPr="006E5878">
        <w:rPr>
          <w:rStyle w:val="AERtextitalic"/>
        </w:rPr>
        <w:t>the AER’s current interpretation of the ARORO</w:t>
      </w:r>
      <w:r w:rsidRPr="00FF6705">
        <w:t xml:space="preserve">, September 2016, </w:t>
      </w:r>
      <w:r>
        <w:t>p. 27.</w:t>
      </w:r>
    </w:p>
  </w:footnote>
  <w:footnote w:id="1352">
    <w:p w:rsidR="00E636A0" w:rsidRPr="00EF48B3" w:rsidRDefault="00E636A0" w:rsidP="00EF48B3">
      <w:pPr>
        <w:pStyle w:val="FootnoteText"/>
      </w:pPr>
      <w:r>
        <w:rPr>
          <w:rStyle w:val="FootnoteReference"/>
        </w:rPr>
        <w:footnoteRef/>
      </w:r>
      <w:r>
        <w:t xml:space="preserve"> </w:t>
      </w:r>
      <w:r>
        <w:tab/>
      </w:r>
      <w:r w:rsidRPr="00711A00">
        <w:t xml:space="preserve">Partington, G., Satchell, S., </w:t>
      </w:r>
      <w:r w:rsidRPr="00711A00">
        <w:rPr>
          <w:i/>
        </w:rPr>
        <w:t>Report to the AER: Issues in relation to the cost of debt,</w:t>
      </w:r>
      <w:r w:rsidRPr="006E5878">
        <w:t>9 April 2017</w:t>
      </w:r>
      <w:r w:rsidRPr="00EF48B3">
        <w:t xml:space="preserve">, p.11. </w:t>
      </w:r>
    </w:p>
  </w:footnote>
  <w:footnote w:id="1353">
    <w:p w:rsidR="00E636A0" w:rsidRDefault="00E636A0" w:rsidP="00CE5DD5">
      <w:pPr>
        <w:pStyle w:val="FootnoteText"/>
      </w:pPr>
      <w:r>
        <w:rPr>
          <w:rStyle w:val="FootnoteReference"/>
        </w:rPr>
        <w:footnoteRef/>
      </w:r>
      <w:r>
        <w:t xml:space="preserve">   CEG, </w:t>
      </w:r>
      <w:r w:rsidRPr="00584EB7">
        <w:rPr>
          <w:i/>
        </w:rPr>
        <w:t>the AER’s current interpretation of the ARORO</w:t>
      </w:r>
      <w:r>
        <w:t>, September 2016, p. 40.</w:t>
      </w:r>
    </w:p>
  </w:footnote>
  <w:footnote w:id="1354">
    <w:p w:rsidR="00E636A0" w:rsidRPr="00EF48B3" w:rsidRDefault="00E636A0" w:rsidP="00EF48B3">
      <w:pPr>
        <w:pStyle w:val="FootnoteText"/>
      </w:pPr>
      <w:r>
        <w:rPr>
          <w:rStyle w:val="FootnoteReference"/>
        </w:rPr>
        <w:footnoteRef/>
      </w:r>
      <w:r>
        <w:t xml:space="preserve">   </w:t>
      </w:r>
      <w:r w:rsidRPr="00E3217F">
        <w:t xml:space="preserve">Partington, G., Satchell, S., </w:t>
      </w:r>
      <w:r w:rsidRPr="006E5878">
        <w:rPr>
          <w:rStyle w:val="AERtextitalic"/>
        </w:rPr>
        <w:t>Report to the AER: Issues in relation to the cost of debt</w:t>
      </w:r>
      <w:r w:rsidRPr="00E3217F">
        <w:t>,</w:t>
      </w:r>
      <w:r w:rsidRPr="006E5878">
        <w:t>9 April 2017</w:t>
      </w:r>
      <w:r w:rsidRPr="00EF48B3">
        <w:t>, p.</w:t>
      </w:r>
      <w:r>
        <w:t xml:space="preserve"> 19.</w:t>
      </w:r>
    </w:p>
  </w:footnote>
  <w:footnote w:id="1355">
    <w:p w:rsidR="00E636A0" w:rsidRPr="00EF48B3" w:rsidRDefault="00E636A0" w:rsidP="006E5878">
      <w:pPr>
        <w:pStyle w:val="FootnoteText"/>
      </w:pPr>
      <w:r>
        <w:rPr>
          <w:rStyle w:val="FootnoteReference"/>
        </w:rPr>
        <w:footnoteRef/>
      </w:r>
      <w:r>
        <w:t xml:space="preserve">   </w:t>
      </w:r>
      <w:r w:rsidRPr="00403DAD">
        <w:t xml:space="preserve">Partington, G., Satchell, S., </w:t>
      </w:r>
      <w:r w:rsidRPr="006E5878">
        <w:rPr>
          <w:rStyle w:val="AERtextitalic"/>
        </w:rPr>
        <w:t>Report to the AER: Issues in relation to the cost of debt</w:t>
      </w:r>
      <w:r w:rsidRPr="00403DAD">
        <w:t>,</w:t>
      </w:r>
      <w:r w:rsidRPr="006E5878">
        <w:t>9 April 2017</w:t>
      </w:r>
      <w:r w:rsidRPr="00EF48B3">
        <w:t>, p.</w:t>
      </w:r>
      <w:r>
        <w:t xml:space="preserve"> 19</w:t>
      </w:r>
      <w:r w:rsidRPr="00EF48B3">
        <w:t>.</w:t>
      </w:r>
    </w:p>
  </w:footnote>
  <w:footnote w:id="1356">
    <w:p w:rsidR="00E636A0" w:rsidRPr="00EF48B3" w:rsidRDefault="00E636A0" w:rsidP="00EF48B3">
      <w:pPr>
        <w:pStyle w:val="FootnoteText"/>
      </w:pPr>
      <w:r>
        <w:rPr>
          <w:rStyle w:val="FootnoteReference"/>
        </w:rPr>
        <w:footnoteRef/>
      </w:r>
      <w:r>
        <w:t xml:space="preserve">   </w:t>
      </w:r>
      <w:r w:rsidRPr="00403DAD">
        <w:t xml:space="preserve">Partington, G., Satchell, S., </w:t>
      </w:r>
      <w:r w:rsidRPr="006E5878">
        <w:rPr>
          <w:rStyle w:val="AERtextitalic"/>
        </w:rPr>
        <w:t>Report to the AER: Issues in relation to the cost of debt</w:t>
      </w:r>
      <w:r w:rsidRPr="00403DAD">
        <w:t>,</w:t>
      </w:r>
      <w:r w:rsidRPr="006E5878">
        <w:t>9 April 2017</w:t>
      </w:r>
      <w:r w:rsidRPr="00EF48B3">
        <w:t>, p.</w:t>
      </w:r>
      <w:r>
        <w:t xml:space="preserve"> </w:t>
      </w:r>
      <w:r w:rsidRPr="00EF48B3">
        <w:t>2</w:t>
      </w:r>
      <w:r>
        <w:t>0</w:t>
      </w:r>
      <w:r w:rsidRPr="00EF48B3">
        <w:t>.</w:t>
      </w:r>
    </w:p>
  </w:footnote>
  <w:footnote w:id="1357">
    <w:p w:rsidR="00E636A0" w:rsidRDefault="00E636A0" w:rsidP="00CE5DD5">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w:t>
      </w:r>
      <w:r>
        <w:t xml:space="preserve">. </w:t>
      </w:r>
      <w:r w:rsidRPr="000B7A93">
        <w:t>11.</w:t>
      </w:r>
    </w:p>
  </w:footnote>
  <w:footnote w:id="1358">
    <w:p w:rsidR="00E636A0" w:rsidRDefault="00E636A0" w:rsidP="00CE5DD5">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 12.</w:t>
      </w:r>
    </w:p>
  </w:footnote>
  <w:footnote w:id="1359">
    <w:p w:rsidR="00E636A0" w:rsidRDefault="00E636A0" w:rsidP="00CE5DD5">
      <w:pPr>
        <w:pStyle w:val="FootnoteText"/>
      </w:pPr>
      <w:r>
        <w:rPr>
          <w:rStyle w:val="FootnoteReference"/>
        </w:rPr>
        <w:footnoteRef/>
      </w:r>
      <w:r>
        <w:t xml:space="preserve">   CEG</w:t>
      </w:r>
      <w:r w:rsidRPr="00584EB7">
        <w:rPr>
          <w:i/>
        </w:rPr>
        <w:t>, the AER’s current interpretation of the ARORO</w:t>
      </w:r>
      <w:r>
        <w:t>, September 2016, p. 14.</w:t>
      </w:r>
    </w:p>
  </w:footnote>
  <w:footnote w:id="1360">
    <w:p w:rsidR="00E636A0" w:rsidRDefault="00E636A0" w:rsidP="00CE5DD5">
      <w:pPr>
        <w:pStyle w:val="FootnoteText"/>
      </w:pPr>
      <w:r>
        <w:rPr>
          <w:rStyle w:val="FootnoteReference"/>
        </w:rPr>
        <w:footnoteRef/>
      </w:r>
      <w:r>
        <w:t xml:space="preserve">   CEG</w:t>
      </w:r>
      <w:r w:rsidRPr="00D81671">
        <w:rPr>
          <w:i/>
        </w:rPr>
        <w:t>, the AER’s current interpretation of the ARORO</w:t>
      </w:r>
      <w:r>
        <w:t>, September 2016, pp.15-16.</w:t>
      </w:r>
    </w:p>
  </w:footnote>
  <w:footnote w:id="1361">
    <w:p w:rsidR="00E636A0" w:rsidRDefault="00E636A0" w:rsidP="00CE5DD5">
      <w:pPr>
        <w:pStyle w:val="FootnoteText"/>
      </w:pPr>
      <w:r>
        <w:rPr>
          <w:rStyle w:val="FootnoteReference"/>
        </w:rPr>
        <w:footnoteRef/>
      </w:r>
      <w:r>
        <w:t xml:space="preserve">   </w:t>
      </w:r>
      <w:r w:rsidRPr="001B06CD">
        <w:t xml:space="preserve">Graham Partington and Stephen Satchell, </w:t>
      </w:r>
      <w:r w:rsidRPr="001B06CD">
        <w:rPr>
          <w:i/>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362">
    <w:p w:rsidR="00E636A0" w:rsidRDefault="00E636A0" w:rsidP="00CE5DD5">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t>, 9 April 2017, p. 16</w:t>
      </w:r>
      <w:r w:rsidRPr="000B7A93">
        <w:t>.</w:t>
      </w:r>
    </w:p>
  </w:footnote>
  <w:footnote w:id="1363">
    <w:p w:rsidR="00E636A0" w:rsidRDefault="00E636A0" w:rsidP="00CE5DD5">
      <w:pPr>
        <w:pStyle w:val="FootnoteText"/>
      </w:pPr>
      <w:r>
        <w:rPr>
          <w:rStyle w:val="FootnoteReference"/>
        </w:rPr>
        <w:footnoteRef/>
      </w:r>
      <w:r>
        <w:t xml:space="preserve">   </w:t>
      </w:r>
      <w:r w:rsidRPr="0084645D">
        <w:t>Graham Partington and Stephen Satchell, Report to the AER: Issues in Relation to the Cost of Debt</w:t>
      </w:r>
      <w:r>
        <w:t>, 9 April 2017, p. 13.</w:t>
      </w:r>
    </w:p>
  </w:footnote>
  <w:footnote w:id="1364">
    <w:p w:rsidR="00E636A0" w:rsidRDefault="00E636A0">
      <w:pPr>
        <w:pStyle w:val="FootnoteText"/>
      </w:pPr>
      <w:r>
        <w:rPr>
          <w:rStyle w:val="FootnoteReference"/>
        </w:rPr>
        <w:footnoteRef/>
      </w:r>
      <w:r>
        <w:t xml:space="preserve"> </w:t>
      </w:r>
      <w:r>
        <w:tab/>
      </w:r>
      <w:r w:rsidRPr="001B06CD">
        <w:t xml:space="preserve">Graham Partington and Stephen Satchell, </w:t>
      </w:r>
      <w:r w:rsidRPr="006E5878">
        <w:rPr>
          <w:rStyle w:val="AERtextitalic"/>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365">
    <w:p w:rsidR="00E636A0" w:rsidRDefault="00E636A0" w:rsidP="00CE5DD5">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w:t>
      </w:r>
      <w:r>
        <w:t>. 13</w:t>
      </w:r>
      <w:r w:rsidRPr="000B7A93">
        <w:t>.</w:t>
      </w:r>
    </w:p>
  </w:footnote>
  <w:footnote w:id="1366">
    <w:p w:rsidR="00E636A0" w:rsidRDefault="00E636A0">
      <w:pPr>
        <w:pStyle w:val="FootnoteText"/>
      </w:pPr>
      <w:r>
        <w:rPr>
          <w:rStyle w:val="FootnoteReference"/>
        </w:rPr>
        <w:footnoteRef/>
      </w:r>
      <w:r>
        <w:t xml:space="preserve"> </w:t>
      </w:r>
      <w:r>
        <w:tab/>
        <w:t xml:space="preserve">CEG, </w:t>
      </w:r>
      <w:r w:rsidRPr="006E5878">
        <w:rPr>
          <w:rStyle w:val="AERtextitalic"/>
        </w:rPr>
        <w:t>the AER’s current interpretation of the ARORO</w:t>
      </w:r>
      <w:r>
        <w:t>, September 2016, p. 40.</w:t>
      </w:r>
    </w:p>
  </w:footnote>
  <w:footnote w:id="1367">
    <w:p w:rsidR="00E636A0" w:rsidRDefault="00E636A0">
      <w:pPr>
        <w:pStyle w:val="FootnoteText"/>
      </w:pPr>
      <w:r>
        <w:rPr>
          <w:rStyle w:val="FootnoteReference"/>
        </w:rPr>
        <w:footnoteRef/>
      </w:r>
      <w:r>
        <w:t xml:space="preserve"> </w:t>
      </w:r>
      <w:r>
        <w:tab/>
        <w:t xml:space="preserve">Graham Partington and Stephen Satchell, </w:t>
      </w:r>
      <w:r w:rsidRPr="006E5878">
        <w:rPr>
          <w:rStyle w:val="AERtextitalic"/>
        </w:rPr>
        <w:t>Report to the AER: Issues in Relation to the Cost of Debt</w:t>
      </w:r>
      <w:r>
        <w:t>, 9 April 2017, p. 22.</w:t>
      </w:r>
    </w:p>
  </w:footnote>
  <w:footnote w:id="1368">
    <w:p w:rsidR="00E636A0" w:rsidRDefault="00E636A0" w:rsidP="0072585D">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 p. 276.</w:t>
      </w:r>
    </w:p>
  </w:footnote>
  <w:footnote w:id="1369">
    <w:p w:rsidR="00E636A0" w:rsidRDefault="00E636A0" w:rsidP="0072585D">
      <w:pPr>
        <w:pStyle w:val="FootnoteText"/>
      </w:pPr>
      <w:r>
        <w:rPr>
          <w:rStyle w:val="FootnoteReference"/>
        </w:rPr>
        <w:footnoteRef/>
      </w:r>
      <w:r>
        <w:t xml:space="preserve"> </w:t>
      </w:r>
      <w:r>
        <w:tab/>
      </w:r>
      <w:r w:rsidRPr="000B7A93">
        <w:t xml:space="preserve">Graham Partington and Stephen Satchell, </w:t>
      </w:r>
      <w:r w:rsidRPr="002C1D43">
        <w:t>Report to the AER: Issues in Relation to the Cost of Debt</w:t>
      </w:r>
      <w:r>
        <w:t>, 9 April 2017, p. 22</w:t>
      </w:r>
      <w:r w:rsidRPr="000B7A93">
        <w:t>.</w:t>
      </w:r>
    </w:p>
  </w:footnote>
  <w:footnote w:id="1370">
    <w:p w:rsidR="00E636A0" w:rsidRDefault="00E636A0"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371">
    <w:p w:rsidR="00E636A0" w:rsidRDefault="00E636A0" w:rsidP="00CE5DD5">
      <w:pPr>
        <w:pStyle w:val="FootnoteText"/>
      </w:pPr>
      <w:r>
        <w:rPr>
          <w:rStyle w:val="FootnoteReference"/>
        </w:rPr>
        <w:footnoteRef/>
      </w:r>
      <w:r>
        <w:t xml:space="preserve"> </w:t>
      </w:r>
      <w:r>
        <w:tab/>
        <w:t xml:space="preserve">Based on CEG's advice in CEG, </w:t>
      </w:r>
      <w:r w:rsidRPr="003E0673">
        <w:rPr>
          <w:rStyle w:val="AERtextitalic"/>
        </w:rPr>
        <w:t>Critique of the AER’s approach to transition</w:t>
      </w:r>
      <w:r>
        <w:t>, January 2016.</w:t>
      </w:r>
    </w:p>
  </w:footnote>
  <w:footnote w:id="1372">
    <w:p w:rsidR="00E636A0" w:rsidRDefault="00E636A0" w:rsidP="00CE5DD5">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373">
    <w:p w:rsidR="00E636A0" w:rsidRDefault="00E636A0" w:rsidP="00CE5DD5">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374">
    <w:p w:rsidR="00E636A0" w:rsidRDefault="00E636A0" w:rsidP="00CE5DD5">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375">
    <w:p w:rsidR="00E636A0" w:rsidRDefault="00E636A0" w:rsidP="00CE5DD5">
      <w:pPr>
        <w:pStyle w:val="FootnoteText"/>
      </w:pPr>
      <w:r>
        <w:rPr>
          <w:rStyle w:val="FootnoteReference"/>
        </w:rPr>
        <w:footnoteRef/>
      </w:r>
      <w:r>
        <w:t xml:space="preserve"> </w:t>
      </w:r>
      <w:r>
        <w:tab/>
        <w:t xml:space="preserve">Chairmont, </w:t>
      </w:r>
      <w:r w:rsidRPr="00196FB2">
        <w:rPr>
          <w:rStyle w:val="AERtextitalic"/>
        </w:rPr>
        <w:t>Financing practices under regulation: Past and transitional</w:t>
      </w:r>
      <w:r>
        <w:t>, October 2015, pp. 9, 13.</w:t>
      </w:r>
    </w:p>
  </w:footnote>
  <w:footnote w:id="1376">
    <w:p w:rsidR="00E636A0" w:rsidRDefault="00E636A0" w:rsidP="00CE5DD5">
      <w:pPr>
        <w:pStyle w:val="FootnoteText"/>
      </w:pPr>
      <w:r>
        <w:rPr>
          <w:rStyle w:val="FootnoteReference"/>
        </w:rPr>
        <w:footnoteRef/>
      </w:r>
      <w:r>
        <w:t xml:space="preserve"> </w:t>
      </w:r>
      <w:r>
        <w:tab/>
        <w:t xml:space="preserve">See, for example, AER, </w:t>
      </w:r>
      <w:r w:rsidRPr="00AD0E24">
        <w:rPr>
          <w:rStyle w:val="AERtextitalic"/>
        </w:rPr>
        <w:t>Preliminary decision: United Energy determination 2016 to 2020, Attachment 3 — Rate of return</w:t>
      </w:r>
      <w:r>
        <w:t>, October 2015, pp. 555</w:t>
      </w:r>
      <w:r>
        <w:rPr>
          <w:rFonts w:cs="Arial"/>
        </w:rPr>
        <w:t>–</w:t>
      </w:r>
      <w:r>
        <w:t>558.</w:t>
      </w:r>
    </w:p>
  </w:footnote>
  <w:footnote w:id="1377">
    <w:p w:rsidR="00E636A0" w:rsidRDefault="00E636A0" w:rsidP="00CE5DD5">
      <w:pPr>
        <w:pStyle w:val="FootnoteText"/>
      </w:pPr>
      <w:r>
        <w:rPr>
          <w:rStyle w:val="FootnoteReference"/>
        </w:rPr>
        <w:footnoteRef/>
      </w:r>
      <w:r>
        <w:t xml:space="preserve"> </w:t>
      </w:r>
      <w:r>
        <w:tab/>
        <w:t xml:space="preserve">JEN, </w:t>
      </w:r>
      <w:r w:rsidRPr="00C067F7">
        <w:rPr>
          <w:rStyle w:val="AERtextitalic"/>
        </w:rPr>
        <w:t>R</w:t>
      </w:r>
      <w:r>
        <w:rPr>
          <w:rStyle w:val="AERtextitalic"/>
        </w:rPr>
        <w:t>evised r</w:t>
      </w:r>
      <w:r w:rsidRPr="00C067F7">
        <w:rPr>
          <w:rStyle w:val="AERtextitalic"/>
        </w:rPr>
        <w:t xml:space="preserve">egulatory proposal: Attachment </w:t>
      </w:r>
      <w:r>
        <w:rPr>
          <w:rStyle w:val="AERtextitalic"/>
        </w:rPr>
        <w:t>6</w:t>
      </w:r>
      <w:r w:rsidRPr="00C067F7">
        <w:rPr>
          <w:rStyle w:val="AERtextitalic"/>
        </w:rPr>
        <w:t>-</w:t>
      </w:r>
      <w:r>
        <w:rPr>
          <w:rStyle w:val="AERtextitalic"/>
        </w:rPr>
        <w:t>1 R</w:t>
      </w:r>
      <w:r w:rsidRPr="00C067F7">
        <w:rPr>
          <w:rStyle w:val="AERtextitalic"/>
        </w:rPr>
        <w:t>ate of return</w:t>
      </w:r>
      <w:r>
        <w:rPr>
          <w:rStyle w:val="AERtextitalic"/>
        </w:rPr>
        <w:t>, gamma, forecast inflation, and debt and equity raising costs</w:t>
      </w:r>
      <w:r>
        <w:t xml:space="preserve">, January 2016, pp. 35, 41. See ActewAGL, </w:t>
      </w:r>
      <w:r>
        <w:rPr>
          <w:rStyle w:val="AERtextitalic"/>
        </w:rPr>
        <w:t>Revised a</w:t>
      </w:r>
      <w:r w:rsidRPr="00C067F7">
        <w:rPr>
          <w:rStyle w:val="AERtextitalic"/>
        </w:rPr>
        <w:t xml:space="preserve">ccess arrangement </w:t>
      </w:r>
      <w:r>
        <w:rPr>
          <w:rStyle w:val="AERtextitalic"/>
        </w:rPr>
        <w:t>proposal</w:t>
      </w:r>
      <w:r w:rsidRPr="00C067F7">
        <w:rPr>
          <w:rStyle w:val="AERtextitalic"/>
        </w:rPr>
        <w:t>:</w:t>
      </w:r>
      <w:r>
        <w:rPr>
          <w:rStyle w:val="AERtextitalic"/>
        </w:rPr>
        <w:t xml:space="preserve"> Appendix 5.01—Detailed response to r</w:t>
      </w:r>
      <w:r w:rsidRPr="00C067F7">
        <w:rPr>
          <w:rStyle w:val="AERtextitalic"/>
        </w:rPr>
        <w:t>ate of return, gamma and inflation</w:t>
      </w:r>
      <w:r>
        <w:t xml:space="preserve">, January 2016, pp. 43, 45; AGN, </w:t>
      </w:r>
      <w:r>
        <w:rPr>
          <w:rStyle w:val="AERtextitalic"/>
        </w:rPr>
        <w:t>Revised a</w:t>
      </w:r>
      <w:r w:rsidRPr="00C067F7">
        <w:rPr>
          <w:rStyle w:val="AERtextitalic"/>
        </w:rPr>
        <w:t xml:space="preserve">ccess arrangement </w:t>
      </w:r>
      <w:r>
        <w:rPr>
          <w:rStyle w:val="AERtextitalic"/>
        </w:rPr>
        <w:t>proposal: Attachment 10.26—Response to draft decision: Rate of return</w:t>
      </w:r>
      <w:r>
        <w:t xml:space="preserve">, January 2016, pp. 9–10, 37–40, 87; CitiPower, </w:t>
      </w:r>
      <w:r w:rsidRPr="00C067F7">
        <w:rPr>
          <w:rStyle w:val="AERtextitalic"/>
        </w:rPr>
        <w:t>R</w:t>
      </w:r>
      <w:r>
        <w:rPr>
          <w:rStyle w:val="AERtextitalic"/>
        </w:rPr>
        <w:t>evised r</w:t>
      </w:r>
      <w:r w:rsidRPr="00C067F7">
        <w:rPr>
          <w:rStyle w:val="AERtextitalic"/>
        </w:rPr>
        <w:t>egulatory proposal</w:t>
      </w:r>
      <w:r>
        <w:t xml:space="preserve">, January 2016, p. 349–351; Powercor, </w:t>
      </w:r>
      <w:r w:rsidRPr="00C067F7">
        <w:rPr>
          <w:rStyle w:val="AERtextitalic"/>
        </w:rPr>
        <w:t>R</w:t>
      </w:r>
      <w:r>
        <w:rPr>
          <w:rStyle w:val="AERtextitalic"/>
        </w:rPr>
        <w:t>evised r</w:t>
      </w:r>
      <w:r w:rsidRPr="00C067F7">
        <w:rPr>
          <w:rStyle w:val="AERtextitalic"/>
        </w:rPr>
        <w:t>egulatory proposal</w:t>
      </w:r>
      <w:r>
        <w:t>, January 2016, pp. 343–345.</w:t>
      </w:r>
    </w:p>
  </w:footnote>
  <w:footnote w:id="1378">
    <w:p w:rsidR="00E636A0" w:rsidRDefault="00E636A0" w:rsidP="00CE5DD5">
      <w:pPr>
        <w:pStyle w:val="FootnoteText"/>
      </w:pPr>
      <w:r>
        <w:rPr>
          <w:rStyle w:val="FootnoteReference"/>
        </w:rPr>
        <w:footnoteRef/>
      </w:r>
      <w:r>
        <w:t xml:space="preserve"> </w:t>
      </w:r>
      <w:r>
        <w:tab/>
      </w:r>
      <w:r w:rsidRPr="007B5BED">
        <w:t xml:space="preserve">Chairmont, </w:t>
      </w:r>
      <w:r w:rsidRPr="00D001FE">
        <w:rPr>
          <w:rStyle w:val="AERtextitalic"/>
        </w:rPr>
        <w:t>ERA Hedging costs in the cost of debt</w:t>
      </w:r>
      <w:r w:rsidRPr="007B5BED">
        <w:t>, 13 May 2015</w:t>
      </w:r>
      <w:r>
        <w:t xml:space="preserve">; CEG, </w:t>
      </w:r>
      <w:r w:rsidRPr="00196FB2">
        <w:rPr>
          <w:rStyle w:val="AERtextitalic"/>
        </w:rPr>
        <w:t>Critique of the AER's approach to transition</w:t>
      </w:r>
      <w:r>
        <w:t>, January 2016, pp. 63</w:t>
      </w:r>
      <w:r w:rsidRPr="005F311D">
        <w:t>–</w:t>
      </w:r>
      <w:r>
        <w:t>64; C</w:t>
      </w:r>
      <w:r w:rsidRPr="00CE6B23">
        <w:t xml:space="preserve">EG, </w:t>
      </w:r>
      <w:r w:rsidRPr="00D001FE">
        <w:rPr>
          <w:rStyle w:val="AERtextitalic"/>
        </w:rPr>
        <w:t>Memo– September 2015 cost of debt and inflation forecasts</w:t>
      </w:r>
      <w:r>
        <w:t xml:space="preserve">, 5 </w:t>
      </w:r>
      <w:r w:rsidRPr="00CE6B23">
        <w:t>January 2016</w:t>
      </w:r>
      <w:r>
        <w:t>.</w:t>
      </w:r>
    </w:p>
  </w:footnote>
  <w:footnote w:id="1379">
    <w:p w:rsidR="00E636A0" w:rsidRDefault="00E636A0" w:rsidP="00CE5DD5">
      <w:pPr>
        <w:pStyle w:val="FootnoteText"/>
      </w:pPr>
      <w:r>
        <w:rPr>
          <w:rStyle w:val="FootnoteReference"/>
        </w:rPr>
        <w:footnoteRef/>
      </w:r>
      <w:r>
        <w:t xml:space="preserve"> </w:t>
      </w:r>
      <w:r>
        <w:tab/>
        <w:t xml:space="preserve">On this basis, some service providers do not propose swap transaction costs. APTNT, </w:t>
      </w:r>
      <w:r w:rsidRPr="00C067F7">
        <w:rPr>
          <w:rStyle w:val="AERtextitalic"/>
        </w:rPr>
        <w:t xml:space="preserve">Amadeus Gas Pipeline access arrangement </w:t>
      </w:r>
      <w:r>
        <w:rPr>
          <w:rStyle w:val="AERtextitalic"/>
        </w:rPr>
        <w:t>revised proposal: Response to draft decision</w:t>
      </w:r>
      <w:r>
        <w:t xml:space="preserve">, January 2016; and United Energy, </w:t>
      </w:r>
      <w:r w:rsidRPr="00C067F7">
        <w:rPr>
          <w:rStyle w:val="AERtextitalic"/>
        </w:rPr>
        <w:t>Regulatory proposal</w:t>
      </w:r>
      <w:r>
        <w:t xml:space="preserve">, April 2015 do not mention swap transaction costs. AusNet Services, </w:t>
      </w:r>
      <w:r w:rsidRPr="00C067F7">
        <w:rPr>
          <w:rStyle w:val="AERtextitalic"/>
        </w:rPr>
        <w:t>R</w:t>
      </w:r>
      <w:r>
        <w:rPr>
          <w:rStyle w:val="AERtextitalic"/>
        </w:rPr>
        <w:t>evised r</w:t>
      </w:r>
      <w:r w:rsidRPr="00C067F7">
        <w:rPr>
          <w:rStyle w:val="AERtextitalic"/>
        </w:rPr>
        <w:t>egulatory proposal</w:t>
      </w:r>
      <w:r>
        <w:t xml:space="preserve">, January 2016, p. 7-37 specifically stated it does not propose swap transaction costs because it proposes an immediate transition to a trailing average. </w:t>
      </w:r>
    </w:p>
  </w:footnote>
  <w:footnote w:id="1380">
    <w:p w:rsidR="00E636A0" w:rsidRDefault="00E636A0" w:rsidP="00CE5DD5">
      <w:pPr>
        <w:pStyle w:val="FootnoteText"/>
      </w:pPr>
      <w:r>
        <w:rPr>
          <w:rStyle w:val="FootnoteReference"/>
        </w:rPr>
        <w:footnoteRef/>
      </w:r>
      <w:r>
        <w:t xml:space="preserve"> </w:t>
      </w:r>
      <w:r>
        <w:tab/>
        <w:t xml:space="preserve">See, for example, AER, </w:t>
      </w:r>
      <w:r w:rsidRPr="00AD0E24">
        <w:rPr>
          <w:rStyle w:val="AERtextitalic"/>
        </w:rPr>
        <w:t>Draft decision: Australian Gas Networks access arrangement 2016 to 2021</w:t>
      </w:r>
      <w:r>
        <w:t>, November 2015, section G.1.6, p. 581.</w:t>
      </w:r>
    </w:p>
  </w:footnote>
  <w:footnote w:id="1381">
    <w:p w:rsidR="00E636A0" w:rsidRDefault="00E636A0" w:rsidP="00CE5DD5">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382">
    <w:p w:rsidR="00E636A0" w:rsidRDefault="00E636A0"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383">
    <w:p w:rsidR="00E636A0" w:rsidRDefault="00E636A0" w:rsidP="00CE5DD5">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384">
    <w:p w:rsidR="00E636A0" w:rsidRDefault="00E636A0" w:rsidP="00A933BB">
      <w:pPr>
        <w:pStyle w:val="FootnoteText"/>
      </w:pPr>
      <w:r>
        <w:rPr>
          <w:rStyle w:val="FootnoteReference"/>
        </w:rPr>
        <w:footnoteRef/>
      </w:r>
      <w:r>
        <w:t xml:space="preserve"> AER, </w:t>
      </w:r>
      <w:r w:rsidRPr="00F775B5">
        <w:rPr>
          <w:rStyle w:val="AERtextitalic"/>
        </w:rPr>
        <w:t>Better Regulation: Explanatory statement—Rate of return guideline</w:t>
      </w:r>
      <w:r>
        <w:t xml:space="preserve">, December 2013, p. 23–24 </w:t>
      </w:r>
    </w:p>
  </w:footnote>
  <w:footnote w:id="1385">
    <w:p w:rsidR="00E636A0" w:rsidRDefault="00E636A0" w:rsidP="00A933BB">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386">
    <w:p w:rsidR="00E636A0" w:rsidRDefault="00E636A0" w:rsidP="00A933BB">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387">
    <w:p w:rsidR="00E636A0" w:rsidRDefault="00E636A0" w:rsidP="00A933BB">
      <w:pPr>
        <w:pStyle w:val="FootnoteText"/>
      </w:pPr>
      <w:r>
        <w:rPr>
          <w:rStyle w:val="FootnoteReference"/>
        </w:rPr>
        <w:footnoteRef/>
      </w:r>
      <w:r>
        <w:t xml:space="preserve"> </w:t>
      </w:r>
      <w:r>
        <w:tab/>
        <w:t xml:space="preserve">Australian Competition Tribunal, </w:t>
      </w:r>
      <w:r w:rsidRPr="0091529E">
        <w:rPr>
          <w:rStyle w:val="AERtextitalic"/>
        </w:rPr>
        <w:t>Applications by Public Interest Advocacy Centre Ltd and Ausgrid  [2016] ACompT 1</w:t>
      </w:r>
      <w:r>
        <w:t>, February 2016, para. 983.</w:t>
      </w:r>
    </w:p>
  </w:footnote>
  <w:footnote w:id="1388">
    <w:p w:rsidR="00E636A0" w:rsidRDefault="00E636A0" w:rsidP="00A933BB">
      <w:pPr>
        <w:pStyle w:val="FootnoteText"/>
      </w:pPr>
      <w:r>
        <w:rPr>
          <w:rStyle w:val="FootnoteReference"/>
        </w:rPr>
        <w:footnoteRef/>
      </w:r>
      <w:r>
        <w:t xml:space="preserve"> </w:t>
      </w:r>
      <w:r>
        <w:tab/>
      </w:r>
      <w:r w:rsidRPr="005379ED">
        <w:t xml:space="preserve">AusNet </w:t>
      </w:r>
      <w:r>
        <w:t>Transmission</w:t>
      </w:r>
      <w:r w:rsidRPr="005379ED">
        <w:t xml:space="preserve">, </w:t>
      </w:r>
      <w:r w:rsidRPr="005379ED">
        <w:rPr>
          <w:rStyle w:val="AERtextitalic"/>
        </w:rPr>
        <w:t>Revised regulatory proposal</w:t>
      </w:r>
      <w:r w:rsidRPr="005379ED">
        <w:t xml:space="preserve">, </w:t>
      </w:r>
      <w:r>
        <w:t>September</w:t>
      </w:r>
      <w:r w:rsidRPr="005379ED">
        <w:t xml:space="preserve"> 2016, p. </w:t>
      </w:r>
      <w:r>
        <w:t>171.</w:t>
      </w:r>
    </w:p>
  </w:footnote>
  <w:footnote w:id="1389">
    <w:p w:rsidR="00E636A0" w:rsidRDefault="00E636A0" w:rsidP="00A933BB">
      <w:pPr>
        <w:pStyle w:val="FootnoteText"/>
      </w:pPr>
      <w:r>
        <w:rPr>
          <w:rStyle w:val="FootnoteReference"/>
        </w:rPr>
        <w:footnoteRef/>
      </w:r>
      <w:r>
        <w:t xml:space="preserve"> </w:t>
      </w:r>
      <w:r>
        <w:tab/>
        <w:t xml:space="preserve">Lally, </w:t>
      </w:r>
      <w:r w:rsidRPr="006E5878">
        <w:rPr>
          <w:rStyle w:val="AERtextitalic"/>
        </w:rPr>
        <w:t>Implementation Issues for the Cost of debt</w:t>
      </w:r>
      <w:r>
        <w:t xml:space="preserve">, November 2014, Lally, </w:t>
      </w:r>
      <w:r w:rsidRPr="006E5878">
        <w:rPr>
          <w:rStyle w:val="AERtextitalic"/>
        </w:rPr>
        <w:t>Review of Submissions on Implementation Issues for the Cost of Debt</w:t>
      </w:r>
      <w:r>
        <w:t xml:space="preserve">, October 2015, and ACCC REU, </w:t>
      </w:r>
      <w:r w:rsidRPr="006E5878">
        <w:rPr>
          <w:rStyle w:val="AERtextitalic"/>
        </w:rPr>
        <w:t>Return on debt estimation: a review of the alternative third party data series</w:t>
      </w:r>
      <w:r>
        <w:t>, August 2014.</w:t>
      </w:r>
    </w:p>
  </w:footnote>
  <w:footnote w:id="1390">
    <w:p w:rsidR="00E636A0" w:rsidRDefault="00E636A0" w:rsidP="00A933BB">
      <w:pPr>
        <w:pStyle w:val="FootnoteText"/>
      </w:pPr>
      <w:r>
        <w:rPr>
          <w:rStyle w:val="FootnoteReference"/>
        </w:rPr>
        <w:footnoteRef/>
      </w:r>
      <w:r>
        <w:t xml:space="preserve"> </w:t>
      </w:r>
      <w:r>
        <w:tab/>
        <w:t xml:space="preserve">Lally, </w:t>
      </w:r>
      <w:r w:rsidRPr="00644C14">
        <w:rPr>
          <w:i/>
        </w:rPr>
        <w:t>Implementation Issues for the Cost of debt</w:t>
      </w:r>
      <w:r>
        <w:t xml:space="preserve">, November 2014, p. 12. </w:t>
      </w:r>
    </w:p>
  </w:footnote>
  <w:footnote w:id="1391">
    <w:p w:rsidR="00E636A0" w:rsidRDefault="00E636A0" w:rsidP="00A933BB">
      <w:pPr>
        <w:pStyle w:val="FootnoteText"/>
      </w:pPr>
      <w:r>
        <w:rPr>
          <w:rStyle w:val="FootnoteReference"/>
        </w:rPr>
        <w:footnoteRef/>
      </w:r>
      <w:r>
        <w:t xml:space="preserve"> </w:t>
      </w:r>
      <w:r>
        <w:tab/>
      </w:r>
      <w:hyperlink r:id="rId25" w:history="1">
        <w:r w:rsidRPr="002E3F4B">
          <w:rPr>
            <w:rStyle w:val="Hyperlink"/>
            <w:sz w:val="16"/>
          </w:rPr>
          <w:t>https://www.bbhub.io/solutions/sites/8/2015/10/BVAL-Score-fact-sheet.pdf</w:t>
        </w:r>
      </w:hyperlink>
      <w:r>
        <w:t xml:space="preserve"> </w:t>
      </w:r>
    </w:p>
  </w:footnote>
  <w:footnote w:id="1392">
    <w:p w:rsidR="00E636A0" w:rsidRDefault="00E636A0" w:rsidP="00A933BB">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p. 8.</w:t>
      </w:r>
    </w:p>
  </w:footnote>
  <w:footnote w:id="1393">
    <w:p w:rsidR="00E636A0" w:rsidRDefault="00E636A0" w:rsidP="00A933BB">
      <w:pPr>
        <w:pStyle w:val="FootnoteText"/>
      </w:pPr>
      <w:r>
        <w:rPr>
          <w:rStyle w:val="FootnoteReference"/>
        </w:rPr>
        <w:footnoteRef/>
      </w:r>
      <w:r>
        <w:t xml:space="preserve"> </w:t>
      </w:r>
      <w:r>
        <w:tab/>
        <w:t>See for example</w:t>
      </w:r>
      <w:r w:rsidRPr="006E5878">
        <w:rPr>
          <w:rStyle w:val="AERtextitalic"/>
        </w:rPr>
        <w:t>, AusNet Dx final decision</w:t>
      </w:r>
      <w:r>
        <w:t>, p. 3-323</w:t>
      </w:r>
    </w:p>
  </w:footnote>
  <w:footnote w:id="1394">
    <w:p w:rsidR="00E636A0" w:rsidRDefault="00E636A0" w:rsidP="00A933BB">
      <w:pPr>
        <w:pStyle w:val="FootnoteText"/>
      </w:pPr>
      <w:r>
        <w:rPr>
          <w:rStyle w:val="FootnoteReference"/>
        </w:rPr>
        <w:footnoteRef/>
      </w:r>
      <w:r>
        <w:t xml:space="preserve"> </w:t>
      </w:r>
      <w:r>
        <w:tab/>
        <w:t xml:space="preserve">See for example, </w:t>
      </w:r>
      <w:r w:rsidRPr="006E5878">
        <w:rPr>
          <w:rStyle w:val="AERtextitalic"/>
        </w:rPr>
        <w:t>AusNet Dx final decision</w:t>
      </w:r>
      <w:r>
        <w:t>, p. 3-323</w:t>
      </w:r>
    </w:p>
  </w:footnote>
  <w:footnote w:id="1395">
    <w:p w:rsidR="00E636A0" w:rsidRDefault="00E636A0" w:rsidP="00A933BB">
      <w:pPr>
        <w:pStyle w:val="FootnoteText"/>
      </w:pPr>
      <w:r>
        <w:rPr>
          <w:rStyle w:val="FootnoteReference"/>
        </w:rPr>
        <w:footnoteRef/>
      </w:r>
      <w:r>
        <w:t xml:space="preserve"> </w:t>
      </w:r>
      <w:r>
        <w:tab/>
        <w:t xml:space="preserve">Lally, </w:t>
      </w:r>
      <w:r w:rsidRPr="006E5878">
        <w:rPr>
          <w:rStyle w:val="AERtextitalic"/>
        </w:rPr>
        <w:t>Implementation Issues for the Cost of debt</w:t>
      </w:r>
      <w:r>
        <w:t>, November 2014, p. 13</w:t>
      </w:r>
    </w:p>
  </w:footnote>
  <w:footnote w:id="1396">
    <w:p w:rsidR="00E636A0" w:rsidRDefault="00E636A0" w:rsidP="00A933BB">
      <w:pPr>
        <w:pStyle w:val="FootnoteText"/>
      </w:pPr>
      <w:r>
        <w:rPr>
          <w:rStyle w:val="FootnoteReference"/>
        </w:rPr>
        <w:footnoteRef/>
      </w:r>
      <w:r>
        <w:t xml:space="preserve"> </w:t>
      </w:r>
      <w:r>
        <w:tab/>
        <w:t xml:space="preserve">Bank of Japan (2016), </w:t>
      </w:r>
      <w:r w:rsidRPr="000D1A79">
        <w:rPr>
          <w:i/>
        </w:rPr>
        <w:t>Recent Trends in Cross-currency Basis</w:t>
      </w:r>
      <w:r>
        <w:t xml:space="preserve">, Bank of Japan Review.  </w:t>
      </w:r>
    </w:p>
  </w:footnote>
  <w:footnote w:id="1397">
    <w:p w:rsidR="00E636A0" w:rsidRDefault="00E636A0" w:rsidP="00A933BB">
      <w:pPr>
        <w:pStyle w:val="FootnoteText"/>
      </w:pPr>
      <w:r>
        <w:rPr>
          <w:rStyle w:val="FootnoteReference"/>
        </w:rPr>
        <w:footnoteRef/>
      </w:r>
      <w:r>
        <w:t xml:space="preserve"> </w:t>
      </w:r>
      <w:r>
        <w:tab/>
        <w:t xml:space="preserve">Wenxin Du et. al., </w:t>
      </w:r>
      <w:r w:rsidRPr="006E5878">
        <w:rPr>
          <w:rStyle w:val="AERtextitalic"/>
        </w:rPr>
        <w:t>Deviations from Covered Interest Rate Parity</w:t>
      </w:r>
      <w:r>
        <w:t xml:space="preserve">, 2016. </w:t>
      </w:r>
    </w:p>
  </w:footnote>
  <w:footnote w:id="1398">
    <w:p w:rsidR="00E636A0" w:rsidRDefault="00E636A0" w:rsidP="00A933BB">
      <w:pPr>
        <w:pStyle w:val="FootnoteText"/>
      </w:pPr>
      <w:r>
        <w:rPr>
          <w:rStyle w:val="FootnoteReference"/>
        </w:rPr>
        <w:footnoteRef/>
      </w:r>
      <w:r>
        <w:t xml:space="preserve"> </w:t>
      </w:r>
      <w:r>
        <w:tab/>
        <w:t xml:space="preserve">Issuing into the cheapest market appears to be in agreeance with CEG’s view. CEG, Criteria for assessing fair value curves, January 2016, p. 20. </w:t>
      </w:r>
    </w:p>
  </w:footnote>
  <w:footnote w:id="1399">
    <w:p w:rsidR="00E636A0" w:rsidRDefault="00E636A0" w:rsidP="00A933BB">
      <w:pPr>
        <w:pStyle w:val="FootnoteText"/>
      </w:pPr>
      <w:r>
        <w:rPr>
          <w:rStyle w:val="FootnoteReference"/>
        </w:rPr>
        <w:footnoteRef/>
      </w:r>
      <w:r>
        <w:t xml:space="preserve"> </w:t>
      </w:r>
      <w:r>
        <w:tab/>
        <w:t>To illustrate this, Bloomberg published data on 252 days in 2015, where the RBA published data on 12 days.</w:t>
      </w:r>
    </w:p>
  </w:footnote>
  <w:footnote w:id="1400">
    <w:p w:rsidR="00E636A0" w:rsidRDefault="00E636A0" w:rsidP="00A933BB">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xml:space="preserve">, p. 8. </w:t>
      </w:r>
    </w:p>
  </w:footnote>
  <w:footnote w:id="1401">
    <w:p w:rsidR="00E636A0" w:rsidRPr="00635BCF" w:rsidRDefault="00E636A0" w:rsidP="00A933BB">
      <w:pPr>
        <w:pStyle w:val="FootnoteText"/>
        <w:rPr>
          <w:i/>
        </w:rPr>
      </w:pPr>
      <w:r w:rsidRPr="00635BCF">
        <w:rPr>
          <w:rStyle w:val="AERtextitalic"/>
          <w:vertAlign w:val="superscript"/>
        </w:rPr>
        <w:footnoteRef/>
      </w:r>
      <w:r w:rsidRPr="00635BCF">
        <w:rPr>
          <w:rStyle w:val="AERtextitalic"/>
        </w:rPr>
        <w:t xml:space="preserve"> </w:t>
      </w:r>
      <w:r w:rsidRPr="00635BCF">
        <w:rPr>
          <w:rStyle w:val="AERtextitalic"/>
        </w:rPr>
        <w:tab/>
      </w:r>
      <w:r>
        <w:rPr>
          <w:rStyle w:val="AERtextitalic"/>
          <w:bCs/>
        </w:rPr>
        <w:t xml:space="preserve">RBA, New Measures of Australian Corporate Spreads, December 2013, footnote 13. </w:t>
      </w:r>
    </w:p>
  </w:footnote>
  <w:footnote w:id="1402">
    <w:p w:rsidR="00E636A0" w:rsidRPr="00431C4F" w:rsidRDefault="00E636A0" w:rsidP="006E5878">
      <w:pPr>
        <w:pStyle w:val="FootnoteText"/>
        <w:rPr>
          <w:rFonts w:ascii="Times New Roman" w:hAnsi="Times New Roman"/>
          <w:sz w:val="24"/>
          <w:szCs w:val="24"/>
        </w:rPr>
      </w:pPr>
      <w:r>
        <w:rPr>
          <w:rStyle w:val="FootnoteReference"/>
        </w:rPr>
        <w:footnoteRef/>
      </w:r>
      <w:r>
        <w:t xml:space="preserve"> </w:t>
      </w:r>
      <w:r>
        <w:tab/>
      </w:r>
      <w:r w:rsidRPr="00431C4F">
        <w:t xml:space="preserve">The interest rate on make-whole options, according to Lally (2014), should not be affected by the presence of the option and therefore no adjustment should be required. Note that bonds with a make-whole call option are included </w:t>
      </w:r>
      <w:r>
        <w:t xml:space="preserve">in the BVAL curve </w:t>
      </w:r>
      <w:r w:rsidRPr="00431C4F">
        <w:t xml:space="preserve">– even when they also have other type of embedded options. For example, a bond that has a call option and a make-whole option would be included in the sample. As of 24th March 2017, one of the current constituents of the AUD Corporate BBB BVAL Curve has both call and make whole call option.  </w:t>
      </w:r>
    </w:p>
  </w:footnote>
  <w:footnote w:id="1403">
    <w:p w:rsidR="00E636A0" w:rsidRDefault="00E636A0" w:rsidP="00A933BB">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404">
    <w:p w:rsidR="00E636A0" w:rsidRDefault="00E636A0" w:rsidP="00A933BB">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405">
    <w:p w:rsidR="00E636A0" w:rsidRDefault="00E636A0" w:rsidP="00A933BB">
      <w:pPr>
        <w:pStyle w:val="FootnoteText"/>
      </w:pPr>
      <w:r>
        <w:rPr>
          <w:rStyle w:val="FootnoteReference"/>
        </w:rPr>
        <w:footnoteRef/>
      </w:r>
      <w:r>
        <w:t xml:space="preserve"> </w:t>
      </w:r>
      <w:r>
        <w:tab/>
        <w:t xml:space="preserve">AusNet Services, </w:t>
      </w:r>
      <w:r w:rsidRPr="006E5878">
        <w:rPr>
          <w:rStyle w:val="AERtextitalic"/>
        </w:rPr>
        <w:t>Revised transmission revenue proposal</w:t>
      </w:r>
      <w:r>
        <w:t>, September 2016, p. 170.</w:t>
      </w:r>
    </w:p>
  </w:footnote>
  <w:footnote w:id="1406">
    <w:p w:rsidR="00E636A0" w:rsidRDefault="00E636A0" w:rsidP="00A933BB">
      <w:pPr>
        <w:pStyle w:val="FootnoteText"/>
      </w:pPr>
      <w:r>
        <w:rPr>
          <w:rStyle w:val="FootnoteReference"/>
        </w:rPr>
        <w:footnoteRef/>
      </w:r>
      <w:r>
        <w:t xml:space="preserve"> </w:t>
      </w:r>
      <w:r>
        <w:tab/>
        <w:t xml:space="preserve">AusNet Services, </w:t>
      </w:r>
      <w:r w:rsidRPr="006E5878">
        <w:rPr>
          <w:rStyle w:val="AERtextitalic"/>
        </w:rPr>
        <w:t>Revised transmission revenue proposal</w:t>
      </w:r>
      <w:r>
        <w:t>, September 2016, p. 170.</w:t>
      </w:r>
    </w:p>
  </w:footnote>
  <w:footnote w:id="1407">
    <w:p w:rsidR="00E636A0" w:rsidRDefault="00E636A0" w:rsidP="00A933BB">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 226–227.</w:t>
      </w:r>
    </w:p>
  </w:footnote>
  <w:footnote w:id="1408">
    <w:p w:rsidR="00E636A0" w:rsidRDefault="00E636A0" w:rsidP="00A933BB">
      <w:pPr>
        <w:pStyle w:val="FootnoteText"/>
      </w:pPr>
      <w:r>
        <w:rPr>
          <w:rStyle w:val="FootnoteReference"/>
        </w:rPr>
        <w:footnoteRef/>
      </w:r>
      <w:r>
        <w:t xml:space="preserve"> </w:t>
      </w:r>
      <w:r>
        <w:tab/>
        <w:t>See section I.1.</w:t>
      </w:r>
    </w:p>
  </w:footnote>
  <w:footnote w:id="1409">
    <w:p w:rsidR="00E636A0" w:rsidRDefault="00E636A0" w:rsidP="00A933BB">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 226</w:t>
      </w:r>
      <w:r>
        <w:softHyphen/>
        <w:t>–227.</w:t>
      </w:r>
    </w:p>
  </w:footnote>
  <w:footnote w:id="1410">
    <w:p w:rsidR="00E636A0" w:rsidRDefault="00E636A0" w:rsidP="00A933BB">
      <w:pPr>
        <w:pStyle w:val="FootnoteText"/>
      </w:pPr>
      <w:r>
        <w:rPr>
          <w:rStyle w:val="FootnoteReference"/>
        </w:rPr>
        <w:footnoteRef/>
      </w:r>
      <w:r>
        <w:t xml:space="preserve"> </w:t>
      </w:r>
      <w:r>
        <w:tab/>
      </w:r>
      <w:hyperlink r:id="rId26" w:history="1">
        <w:r w:rsidRPr="00A526EA">
          <w:t>https://www.moodys.com/research/Moodys-downgrades-Asciano-to-Baa3-following-acquisition-approvals-outlook-stable--PR_352423</w:t>
        </w:r>
      </w:hyperlink>
    </w:p>
  </w:footnote>
  <w:footnote w:id="1411">
    <w:p w:rsidR="00E636A0" w:rsidRPr="00534955" w:rsidRDefault="00E636A0" w:rsidP="00A933BB">
      <w:pPr>
        <w:pStyle w:val="FootnoteText"/>
      </w:pPr>
      <w:r>
        <w:rPr>
          <w:rStyle w:val="FootnoteReference"/>
        </w:rPr>
        <w:footnoteRef/>
      </w:r>
      <w:r>
        <w:t xml:space="preserve"> </w:t>
      </w:r>
      <w:r>
        <w:tab/>
        <w:t xml:space="preserve">Lally, </w:t>
      </w:r>
      <w:r>
        <w:rPr>
          <w:i/>
        </w:rPr>
        <w:t>Review of Submissions on implementation issues for the cost of debt,</w:t>
      </w:r>
      <w:r>
        <w:t xml:space="preserve"> October 2015, p. 14.</w:t>
      </w:r>
    </w:p>
  </w:footnote>
  <w:footnote w:id="1412">
    <w:p w:rsidR="00E636A0" w:rsidRDefault="00E636A0" w:rsidP="00A933BB">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413">
    <w:p w:rsidR="00E636A0" w:rsidRDefault="00E636A0" w:rsidP="00A933BB">
      <w:pPr>
        <w:pStyle w:val="FootnoteText"/>
      </w:pPr>
      <w:r>
        <w:rPr>
          <w:rStyle w:val="FootnoteReference"/>
        </w:rPr>
        <w:footnoteRef/>
      </w:r>
      <w:r>
        <w:t xml:space="preserve"> </w:t>
      </w:r>
      <w:r>
        <w:tab/>
        <w:t>Specifically, AER staff met with RBA staff on 8 April 2016.</w:t>
      </w:r>
    </w:p>
  </w:footnote>
  <w:footnote w:id="1414">
    <w:p w:rsidR="00E636A0" w:rsidRDefault="00E636A0" w:rsidP="00A933BB">
      <w:pPr>
        <w:pStyle w:val="FootnoteText"/>
      </w:pPr>
      <w:r>
        <w:rPr>
          <w:rStyle w:val="FootnoteReference"/>
        </w:rPr>
        <w:footnoteRef/>
      </w:r>
      <w:r>
        <w:t xml:space="preserve"> </w:t>
      </w:r>
      <w:r>
        <w:tab/>
        <w:t xml:space="preserve">CEG, </w:t>
      </w:r>
      <w:r w:rsidRPr="006E5878">
        <w:rPr>
          <w:rStyle w:val="AERtextitalic"/>
        </w:rPr>
        <w:t>Criteria for assessing fair value curves: an update</w:t>
      </w:r>
      <w:r>
        <w:t>, September 2016, p. 9 &amp; 19.</w:t>
      </w:r>
    </w:p>
  </w:footnote>
  <w:footnote w:id="1415">
    <w:p w:rsidR="00E636A0" w:rsidRDefault="00E636A0" w:rsidP="00A933BB">
      <w:pPr>
        <w:pStyle w:val="FootnoteText"/>
      </w:pPr>
      <w:r>
        <w:rPr>
          <w:rStyle w:val="FootnoteReference"/>
        </w:rPr>
        <w:footnoteRef/>
      </w:r>
      <w:r>
        <w:t xml:space="preserve"> </w:t>
      </w:r>
      <w:r>
        <w:tab/>
        <w:t xml:space="preserve">CEG, </w:t>
      </w:r>
      <w:r w:rsidRPr="006E5878">
        <w:rPr>
          <w:rStyle w:val="AERtextitalic"/>
        </w:rPr>
        <w:t>Criteria for assessing fair value curves: an update</w:t>
      </w:r>
      <w:r>
        <w:t>, September 2016, p. 20.</w:t>
      </w:r>
    </w:p>
  </w:footnote>
  <w:footnote w:id="1416">
    <w:p w:rsidR="00E636A0" w:rsidRDefault="00E636A0" w:rsidP="00A933BB">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p. 142.</w:t>
      </w:r>
    </w:p>
  </w:footnote>
  <w:footnote w:id="1417">
    <w:p w:rsidR="00E636A0" w:rsidRDefault="00E636A0" w:rsidP="00A933BB">
      <w:pPr>
        <w:pStyle w:val="FootnoteText"/>
      </w:pPr>
      <w:r>
        <w:rPr>
          <w:rStyle w:val="FootnoteReference"/>
        </w:rPr>
        <w:footnoteRef/>
      </w:r>
      <w:r>
        <w:t xml:space="preserve"> </w:t>
      </w:r>
      <w:r>
        <w:tab/>
        <w:t xml:space="preserve">AusNet Transmission Group, </w:t>
      </w:r>
      <w:r w:rsidRPr="006E5878">
        <w:rPr>
          <w:rStyle w:val="AERtextitalic"/>
        </w:rPr>
        <w:t>Transmission Revenue Review 2017-2022</w:t>
      </w:r>
      <w:r>
        <w:t xml:space="preserve">, October 2015. TasNetworks, </w:t>
      </w:r>
      <w:r w:rsidRPr="00414A87">
        <w:rPr>
          <w:i/>
        </w:rPr>
        <w:t>Tasmanian Distribution Regulatory Proposal</w:t>
      </w:r>
      <w:r>
        <w:t xml:space="preserve">, January 2016. and, Powerlink, </w:t>
      </w:r>
      <w:r w:rsidRPr="00985A2D">
        <w:rPr>
          <w:i/>
        </w:rPr>
        <w:t>Queensland revenue proposal</w:t>
      </w:r>
      <w:r>
        <w:t xml:space="preserve">, January 2016. </w:t>
      </w:r>
    </w:p>
  </w:footnote>
  <w:footnote w:id="1418">
    <w:p w:rsidR="00E636A0" w:rsidRDefault="00E636A0" w:rsidP="00A933BB">
      <w:pPr>
        <w:pStyle w:val="FootnoteText"/>
      </w:pPr>
      <w:r>
        <w:rPr>
          <w:rStyle w:val="FootnoteReference"/>
        </w:rPr>
        <w:footnoteRef/>
      </w:r>
      <w:r>
        <w:t xml:space="preserve"> </w:t>
      </w:r>
      <w:r>
        <w:tab/>
        <w:t xml:space="preserve">AER, </w:t>
      </w:r>
      <w:r w:rsidRPr="006E5878">
        <w:rPr>
          <w:rStyle w:val="AERtextitalic"/>
        </w:rPr>
        <w:t>Draft decision for AusNet Services AusNet Services transmission determination 2017–18 to 2021–22</w:t>
      </w:r>
      <w:r>
        <w:t>, p.3-117</w:t>
      </w:r>
    </w:p>
  </w:footnote>
  <w:footnote w:id="1419">
    <w:p w:rsidR="00E636A0" w:rsidRDefault="00E636A0" w:rsidP="00A933BB">
      <w:pPr>
        <w:pStyle w:val="FootnoteText"/>
      </w:pPr>
      <w:r>
        <w:rPr>
          <w:rStyle w:val="FootnoteReference"/>
        </w:rPr>
        <w:footnoteRef/>
      </w:r>
      <w:r>
        <w:t xml:space="preserve"> </w:t>
      </w:r>
      <w:r>
        <w:tab/>
        <w:t xml:space="preserve">AusNet Services, </w:t>
      </w:r>
      <w:r w:rsidRPr="006E5878">
        <w:rPr>
          <w:rStyle w:val="AERtextitalic"/>
        </w:rPr>
        <w:t>Revised transmission revenue proposal</w:t>
      </w:r>
      <w:r>
        <w:t xml:space="preserve">, September 2016, p. 177. </w:t>
      </w:r>
    </w:p>
  </w:footnote>
  <w:footnote w:id="1420">
    <w:p w:rsidR="00E636A0" w:rsidRDefault="00E636A0" w:rsidP="00A933BB">
      <w:pPr>
        <w:pStyle w:val="FootnoteText"/>
      </w:pPr>
      <w:r>
        <w:rPr>
          <w:rStyle w:val="FootnoteReference"/>
        </w:rPr>
        <w:footnoteRef/>
      </w:r>
      <w:r>
        <w:t xml:space="preserve"> </w:t>
      </w:r>
      <w:r>
        <w:tab/>
        <w:t xml:space="preserve">Lally, </w:t>
      </w:r>
      <w:r w:rsidRPr="009C3F2D">
        <w:rPr>
          <w:rStyle w:val="AERtextitalic"/>
        </w:rPr>
        <w:t>Implementation issues for the cost of debt</w:t>
      </w:r>
      <w:r>
        <w:t>, 20 November 2014, pp. 7–46.</w:t>
      </w:r>
    </w:p>
  </w:footnote>
  <w:footnote w:id="1421">
    <w:p w:rsidR="00E636A0" w:rsidRDefault="00E636A0" w:rsidP="00A933BB">
      <w:pPr>
        <w:pStyle w:val="FootnoteText"/>
      </w:pPr>
      <w:r>
        <w:rPr>
          <w:rStyle w:val="FootnoteReference"/>
        </w:rPr>
        <w:footnoteRef/>
      </w:r>
      <w:r>
        <w:t xml:space="preserve"> </w:t>
      </w:r>
      <w:r>
        <w:tab/>
        <w:t>Thomson Reuters publishes two versions of its AUD corporate yield curve; blended and domestic. The blended curve includes a larger sample as an outcome of including debt issued in AUD by issuers with a country of risk that is not Australia. That is a materially different selection criterion that either the BVAL or RBA curves in which all issuers have Australia as their country of risk.</w:t>
      </w:r>
    </w:p>
  </w:footnote>
  <w:footnote w:id="1422">
    <w:p w:rsidR="00E636A0" w:rsidRDefault="00E636A0" w:rsidP="00A933BB">
      <w:pPr>
        <w:pStyle w:val="FootnoteText"/>
      </w:pPr>
      <w:r>
        <w:rPr>
          <w:rStyle w:val="FootnoteReference"/>
        </w:rPr>
        <w:footnoteRef/>
      </w:r>
      <w:r>
        <w:t xml:space="preserve"> </w:t>
      </w:r>
      <w:r>
        <w:tab/>
        <w:t xml:space="preserve">Lally, </w:t>
      </w:r>
      <w:r w:rsidRPr="009C3F2D">
        <w:rPr>
          <w:rStyle w:val="AERtextitalic"/>
        </w:rPr>
        <w:t>Implementation issues for the cost of debt</w:t>
      </w:r>
      <w:r>
        <w:t>, 20 November 2014, p. 7–21.</w:t>
      </w:r>
    </w:p>
  </w:footnote>
  <w:footnote w:id="1423">
    <w:p w:rsidR="00E636A0" w:rsidRDefault="00E636A0" w:rsidP="00A933BB">
      <w:pPr>
        <w:pStyle w:val="FootnoteText"/>
      </w:pPr>
      <w:r>
        <w:rPr>
          <w:rStyle w:val="FootnoteReference"/>
        </w:rPr>
        <w:footnoteRef/>
      </w:r>
      <w:r>
        <w:t xml:space="preserve"> </w:t>
      </w:r>
      <w:r>
        <w:tab/>
        <w:t>We note that for 105 days of the 427 day sample period, we relied on extrapolation of the curve from 9 years.</w:t>
      </w:r>
    </w:p>
  </w:footnote>
  <w:footnote w:id="1424">
    <w:p w:rsidR="00E636A0" w:rsidRDefault="00E636A0" w:rsidP="00A933BB">
      <w:pPr>
        <w:pStyle w:val="FootnoteText"/>
      </w:pPr>
      <w:r>
        <w:rPr>
          <w:rStyle w:val="FootnoteReference"/>
        </w:rPr>
        <w:footnoteRef/>
      </w:r>
      <w:r>
        <w:t xml:space="preserve"> </w:t>
      </w:r>
      <w:r>
        <w:tab/>
        <w:t xml:space="preserve">CEG, </w:t>
      </w:r>
      <w:r w:rsidRPr="006E5878">
        <w:rPr>
          <w:rStyle w:val="AERtextitalic"/>
        </w:rPr>
        <w:t>Criteria for assessing fair value curves: an update</w:t>
      </w:r>
      <w:r>
        <w:t>, September 2016, p. 25.</w:t>
      </w:r>
    </w:p>
  </w:footnote>
  <w:footnote w:id="1425">
    <w:p w:rsidR="00E636A0" w:rsidRDefault="00E636A0" w:rsidP="00A933BB">
      <w:pPr>
        <w:pStyle w:val="FootnoteText"/>
      </w:pPr>
      <w:r>
        <w:rPr>
          <w:rStyle w:val="FootnoteReference"/>
        </w:rPr>
        <w:footnoteRef/>
      </w:r>
      <w:r>
        <w:t xml:space="preserve"> </w:t>
      </w:r>
      <w:r>
        <w:tab/>
        <w:t xml:space="preserve">AER, </w:t>
      </w:r>
      <w:r w:rsidRPr="006E5878">
        <w:rPr>
          <w:rStyle w:val="AERtextitalic"/>
        </w:rPr>
        <w:t>Preliminary Decision SA Power Networks distribution determination – Attachment 3</w:t>
      </w:r>
      <w:r>
        <w:t>, April 2015, pp. 200-201</w:t>
      </w:r>
    </w:p>
  </w:footnote>
  <w:footnote w:id="1426">
    <w:p w:rsidR="00E636A0" w:rsidRDefault="00E636A0" w:rsidP="00AD2086">
      <w:pPr>
        <w:pStyle w:val="FootnoteText"/>
      </w:pPr>
      <w:r>
        <w:rPr>
          <w:rStyle w:val="FootnoteReference"/>
        </w:rPr>
        <w:footnoteRef/>
      </w:r>
      <w:r>
        <w:t xml:space="preserve"> </w:t>
      </w:r>
      <w:r>
        <w:tab/>
        <w:t xml:space="preserve">That is Ergon Energy Corp Ltd. </w:t>
      </w:r>
    </w:p>
  </w:footnote>
  <w:footnote w:id="1427">
    <w:p w:rsidR="00E636A0" w:rsidRDefault="00E636A0" w:rsidP="00AD2086">
      <w:pPr>
        <w:pStyle w:val="FootnoteText"/>
      </w:pPr>
      <w:r>
        <w:rPr>
          <w:rStyle w:val="FootnoteReference"/>
        </w:rPr>
        <w:footnoteRef/>
      </w:r>
      <w:r>
        <w:t xml:space="preserve"> </w:t>
      </w:r>
      <w:r>
        <w:tab/>
        <w:t xml:space="preserve">Powercor Australia LLC and the CitiPower Trust now raise debt under a common funding vehicle, Victoria Power Networks (Finance) Pty Ltd. As such, from 2015, the CitiPower Trust and Powercor Australia LLC fall out of our sample and Victorian Power Networks Pty Ltd is added. See 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1428">
    <w:p w:rsidR="00E636A0" w:rsidRDefault="00E636A0" w:rsidP="00AD2086">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270.</w:t>
      </w:r>
    </w:p>
  </w:footnote>
  <w:footnote w:id="1429">
    <w:p w:rsidR="00E636A0" w:rsidRDefault="00E636A0" w:rsidP="00AD2086">
      <w:pPr>
        <w:pStyle w:val="FootnoteText"/>
      </w:pPr>
      <w:r>
        <w:rPr>
          <w:rStyle w:val="FootnoteReference"/>
        </w:rPr>
        <w:footnoteRef/>
      </w:r>
      <w:r>
        <w:t xml:space="preserve"> </w:t>
      </w:r>
      <w:r>
        <w:tab/>
        <w:t xml:space="preserve">This was in response to </w:t>
      </w:r>
      <w:r w:rsidRPr="00930291">
        <w:t xml:space="preserve">CEG, </w:t>
      </w:r>
      <w:r w:rsidRPr="00E3172F">
        <w:rPr>
          <w:rStyle w:val="AERtextitalic"/>
        </w:rPr>
        <w:t>Attachment 7.01: WACC estimates, a report for the NSW DNSPs</w:t>
      </w:r>
      <w:r w:rsidRPr="00930291">
        <w:t>, May 2014, p. 65</w:t>
      </w:r>
      <w:r>
        <w:t xml:space="preserve">. See AER, </w:t>
      </w:r>
      <w:r w:rsidRPr="00AC04F4">
        <w:rPr>
          <w:i/>
        </w:rPr>
        <w:t xml:space="preserve">Final decision: SA Power Networks determination 2015-16 to 2019-20, Attachment 3 </w:t>
      </w:r>
      <w:r w:rsidRPr="00AC04F4">
        <w:rPr>
          <w:rFonts w:cs="Arial"/>
          <w:i/>
        </w:rPr>
        <w:t>–</w:t>
      </w:r>
      <w:r w:rsidRPr="00AC04F4">
        <w:rPr>
          <w:i/>
        </w:rPr>
        <w:t xml:space="preserve"> Rate of return</w:t>
      </w:r>
      <w:r>
        <w:t>, October 2015.</w:t>
      </w:r>
    </w:p>
  </w:footnote>
  <w:footnote w:id="1430">
    <w:p w:rsidR="00E636A0" w:rsidRDefault="00E636A0" w:rsidP="00AD2086">
      <w:pPr>
        <w:pStyle w:val="FootnoteText"/>
      </w:pPr>
      <w:r>
        <w:rPr>
          <w:rStyle w:val="FootnoteReference"/>
        </w:rPr>
        <w:footnoteRef/>
      </w:r>
      <w:r>
        <w:t xml:space="preserve"> </w:t>
      </w:r>
      <w:r>
        <w:tab/>
      </w:r>
      <w:r w:rsidRPr="009020CE">
        <w:t xml:space="preserve">This is supported by Standard and Poor's who have stated that </w:t>
      </w:r>
      <w:r>
        <w:t>it</w:t>
      </w:r>
      <w:r w:rsidRPr="009020CE">
        <w:t xml:space="preserve"> consider</w:t>
      </w:r>
      <w:r>
        <w:t>s</w:t>
      </w:r>
      <w:r w:rsidRPr="009020CE">
        <w:t xml:space="preserve"> the importance of the entities role to government and whether it could be considered a core investment when undertaking credit ratings assessments</w:t>
      </w:r>
    </w:p>
  </w:footnote>
  <w:footnote w:id="1431">
    <w:p w:rsidR="00E636A0" w:rsidRDefault="00E636A0" w:rsidP="00AD2086">
      <w:pPr>
        <w:pStyle w:val="FootnoteText"/>
      </w:pPr>
      <w:r>
        <w:rPr>
          <w:rStyle w:val="FootnoteReference"/>
        </w:rPr>
        <w:footnoteRef/>
      </w:r>
      <w:r>
        <w:t xml:space="preserve"> </w:t>
      </w:r>
      <w:r>
        <w:tab/>
        <w:t xml:space="preserve">ECCSA, </w:t>
      </w:r>
      <w:r w:rsidRPr="005C528A">
        <w:rPr>
          <w:rStyle w:val="AERtextitalic"/>
        </w:rPr>
        <w:t>AER review of SAPN application 2014: ECCSA response to AER's preliminary decision</w:t>
      </w:r>
      <w:r>
        <w:t>, June 2015</w:t>
      </w:r>
    </w:p>
  </w:footnote>
  <w:footnote w:id="1432">
    <w:p w:rsidR="00E636A0" w:rsidRDefault="00E636A0" w:rsidP="00AD2086">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156.</w:t>
      </w:r>
    </w:p>
  </w:footnote>
  <w:footnote w:id="1433">
    <w:p w:rsidR="00E636A0" w:rsidRDefault="00E636A0" w:rsidP="00AD2086">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2022 regulatory proposal</w:t>
      </w:r>
      <w:r>
        <w:t>, 30 October 2015, p. 270.</w:t>
      </w:r>
    </w:p>
  </w:footnote>
  <w:footnote w:id="1434">
    <w:p w:rsidR="00E636A0" w:rsidRDefault="00E636A0" w:rsidP="00AD2086">
      <w:pPr>
        <w:pStyle w:val="FootnoteText"/>
      </w:pPr>
      <w:r>
        <w:rPr>
          <w:rStyle w:val="FootnoteReference"/>
        </w:rPr>
        <w:footnoteRef/>
      </w:r>
      <w:r>
        <w:t xml:space="preserve"> </w:t>
      </w:r>
      <w:r>
        <w:tab/>
      </w:r>
      <w:r w:rsidRPr="00EE4324">
        <w:t xml:space="preserve">AER, </w:t>
      </w:r>
      <w:r w:rsidRPr="006E5878">
        <w:rPr>
          <w:rStyle w:val="AERtextitalic"/>
        </w:rPr>
        <w:t>AusNet Services Draft Decision</w:t>
      </w:r>
      <w:r w:rsidRPr="00EE4324">
        <w:t>, July 2016: Attach</w:t>
      </w:r>
      <w:r>
        <w:t xml:space="preserve">ment 3 – Rate of Return, p. 312. </w:t>
      </w:r>
      <w:r w:rsidRPr="00EE4324">
        <w:t xml:space="preserve"> </w:t>
      </w:r>
      <w:r>
        <w:t xml:space="preserve"> </w:t>
      </w:r>
    </w:p>
  </w:footnote>
  <w:footnote w:id="1435">
    <w:p w:rsidR="00E636A0" w:rsidRDefault="00E636A0" w:rsidP="00AD2086">
      <w:pPr>
        <w:pStyle w:val="FootnoteText"/>
      </w:pPr>
      <w:r>
        <w:rPr>
          <w:rStyle w:val="FootnoteReference"/>
        </w:rPr>
        <w:footnoteRef/>
      </w:r>
      <w:r>
        <w:t xml:space="preserve"> </w:t>
      </w:r>
      <w:r>
        <w:tab/>
      </w:r>
      <w:r w:rsidRPr="00EE4324">
        <w:t>AusNet Transmission Group Pty Ltd, Transmission Revenue Review 2017–2022 regulatory proposal</w:t>
      </w:r>
      <w:r>
        <w:t>, 30 October 2015, p. 167</w:t>
      </w:r>
      <w:r w:rsidRPr="00EE4324">
        <w:t xml:space="preserve">. </w:t>
      </w:r>
      <w:r>
        <w:t xml:space="preserve"> </w:t>
      </w:r>
    </w:p>
  </w:footnote>
  <w:footnote w:id="1436">
    <w:p w:rsidR="00E636A0" w:rsidRDefault="00E636A0" w:rsidP="00AD2086">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1437">
    <w:p w:rsidR="00E636A0" w:rsidRDefault="00E636A0" w:rsidP="00AD2086">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 xml:space="preserve">2022 </w:t>
      </w:r>
      <w:r>
        <w:t xml:space="preserve">revised </w:t>
      </w:r>
      <w:r w:rsidRPr="0047386D">
        <w:rPr>
          <w:i/>
        </w:rPr>
        <w:t>regulatory proposal</w:t>
      </w:r>
      <w:r>
        <w:t>, 21 September 2016, pp. 167-8.</w:t>
      </w:r>
    </w:p>
  </w:footnote>
  <w:footnote w:id="1438">
    <w:p w:rsidR="00E636A0" w:rsidRDefault="00E636A0" w:rsidP="00AD2086">
      <w:pPr>
        <w:pStyle w:val="FootnoteText"/>
      </w:pPr>
      <w:r>
        <w:rPr>
          <w:rStyle w:val="FootnoteReference"/>
        </w:rPr>
        <w:footnoteRef/>
      </w:r>
      <w:r>
        <w:t xml:space="preserve"> </w:t>
      </w:r>
      <w:r>
        <w:tab/>
        <w:t xml:space="preserve">AER, </w:t>
      </w:r>
      <w:r w:rsidRPr="006E5878">
        <w:rPr>
          <w:rStyle w:val="AERtextitalic"/>
        </w:rPr>
        <w:t>Draft decision: AusNet Services transmission determination</w:t>
      </w:r>
      <w:r>
        <w:t>, July 2016, pp. 313</w:t>
      </w:r>
      <w:r>
        <w:rPr>
          <w:rFonts w:cs="Arial"/>
        </w:rPr>
        <w:t>̶</w:t>
      </w:r>
      <w:r>
        <w:t xml:space="preserve"> 314.</w:t>
      </w:r>
    </w:p>
  </w:footnote>
  <w:footnote w:id="1439">
    <w:p w:rsidR="00E636A0" w:rsidRDefault="00E636A0" w:rsidP="00A933BB">
      <w:pPr>
        <w:pStyle w:val="FootnoteText"/>
      </w:pPr>
      <w:r>
        <w:rPr>
          <w:rStyle w:val="FootnoteReference"/>
        </w:rPr>
        <w:footnoteRef/>
      </w:r>
      <w:r>
        <w:t xml:space="preserve"> </w:t>
      </w:r>
      <w:r>
        <w:tab/>
        <w:t>This draft decision determines the return on debt methodology for the 2017–22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440">
    <w:p w:rsidR="00E636A0" w:rsidRDefault="00E636A0" w:rsidP="00A933BB">
      <w:pPr>
        <w:pStyle w:val="FootnoteText"/>
      </w:pPr>
      <w:r>
        <w:rPr>
          <w:rStyle w:val="FootnoteReference"/>
        </w:rPr>
        <w:footnoteRef/>
      </w:r>
      <w:r>
        <w:t xml:space="preserve"> </w:t>
      </w:r>
      <w:r>
        <w:tab/>
        <w:t>NER, cl. 6A.6.2(i).</w:t>
      </w:r>
    </w:p>
  </w:footnote>
  <w:footnote w:id="1441">
    <w:p w:rsidR="00E636A0" w:rsidRDefault="00E636A0" w:rsidP="00A933BB">
      <w:pPr>
        <w:pStyle w:val="FootnoteText"/>
      </w:pPr>
      <w:r>
        <w:rPr>
          <w:rStyle w:val="FootnoteReference"/>
        </w:rPr>
        <w:footnoteRef/>
      </w:r>
      <w:r>
        <w:t xml:space="preserve"> </w:t>
      </w:r>
      <w:r>
        <w:tab/>
        <w:t>NER, cl. 6A.6.2(l).</w:t>
      </w:r>
    </w:p>
  </w:footnote>
  <w:footnote w:id="1442">
    <w:p w:rsidR="00E636A0" w:rsidRDefault="00E636A0" w:rsidP="00A933BB">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T</w:t>
      </w:r>
      <w:r w:rsidRPr="001E76AF">
        <w:rPr>
          <w:rStyle w:val="AERtextitalic"/>
        </w:rPr>
        <w:t>NSPs PTRM handbook</w:t>
      </w:r>
      <w:r w:rsidRPr="00127B75">
        <w:t>, 29 January 2015</w:t>
      </w:r>
      <w:r>
        <w:t>.</w:t>
      </w:r>
    </w:p>
  </w:footnote>
  <w:footnote w:id="1443">
    <w:p w:rsidR="00E636A0" w:rsidRDefault="00E636A0" w:rsidP="00A933BB">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444">
    <w:p w:rsidR="00E636A0" w:rsidRDefault="00E636A0" w:rsidP="00A933BB">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445">
    <w:p w:rsidR="00E636A0" w:rsidRDefault="00E636A0" w:rsidP="00A933BB">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446">
    <w:p w:rsidR="00E636A0" w:rsidRDefault="00E636A0" w:rsidP="00A933BB">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447">
    <w:p w:rsidR="00E636A0" w:rsidRDefault="00E636A0" w:rsidP="00A933BB">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448">
    <w:p w:rsidR="00E636A0" w:rsidRDefault="00E636A0" w:rsidP="00A933BB">
      <w:pPr>
        <w:pStyle w:val="FootnoteText"/>
      </w:pPr>
      <w:r>
        <w:rPr>
          <w:rStyle w:val="FootnoteReference"/>
        </w:rPr>
        <w:footnoteRef/>
      </w:r>
      <w:r>
        <w:t xml:space="preserve"> </w:t>
      </w:r>
      <w:r>
        <w:tab/>
        <w:t>Specifically, from 15 September 2014 to 3 November 2014.</w:t>
      </w:r>
    </w:p>
  </w:footnote>
  <w:footnote w:id="1449">
    <w:p w:rsidR="00E636A0" w:rsidRDefault="00E636A0" w:rsidP="00A933BB">
      <w:pPr>
        <w:pStyle w:val="FootnoteText"/>
      </w:pPr>
      <w:r>
        <w:rPr>
          <w:rStyle w:val="FootnoteReference"/>
        </w:rPr>
        <w:footnoteRef/>
      </w:r>
      <w:r>
        <w:t xml:space="preserve"> </w:t>
      </w:r>
      <w:r>
        <w:tab/>
        <w:t>Specifically, 14 April 2015.</w:t>
      </w:r>
    </w:p>
  </w:footnote>
  <w:footnote w:id="1450">
    <w:p w:rsidR="00E636A0" w:rsidRDefault="00E636A0" w:rsidP="00A933BB">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451">
    <w:p w:rsidR="00E636A0" w:rsidRDefault="00E636A0" w:rsidP="00A933BB">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452">
    <w:p w:rsidR="00E636A0" w:rsidRDefault="00E636A0" w:rsidP="00A933BB">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453">
    <w:p w:rsidR="00E636A0" w:rsidRDefault="00E636A0" w:rsidP="00A933BB">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454">
    <w:p w:rsidR="00E636A0" w:rsidRDefault="00E636A0"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55">
    <w:p w:rsidR="00E636A0" w:rsidRDefault="00E636A0"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56">
    <w:p w:rsidR="00E636A0" w:rsidRDefault="00E636A0" w:rsidP="00A933BB">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457">
    <w:p w:rsidR="00E636A0" w:rsidRDefault="00E636A0" w:rsidP="00A933BB">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458">
    <w:p w:rsidR="00E636A0" w:rsidRDefault="00E636A0" w:rsidP="00A933BB">
      <w:pPr>
        <w:pStyle w:val="FootnoteText"/>
      </w:pPr>
      <w:r>
        <w:rPr>
          <w:rStyle w:val="FootnoteReference"/>
        </w:rPr>
        <w:footnoteRef/>
      </w:r>
      <w:r>
        <w:t xml:space="preserve"> </w:t>
      </w:r>
      <w:r>
        <w:tab/>
        <w:t xml:space="preserve">In previous decisions, we have stated that for dates before 14 April 2015, calculating the adjusted BVAL estimate would require downloading </w:t>
      </w:r>
      <w:r w:rsidRPr="00FB18DC">
        <w:t>the 7 year Corporate BBB rated Austral</w:t>
      </w:r>
      <w:r>
        <w:t xml:space="preserve">ian BVAL curve (BVCSAB07 index) and adding the </w:t>
      </w:r>
      <w:r w:rsidRPr="00FB18DC">
        <w:t>difference between the 7 and 10 year daily RBA adjuste</w:t>
      </w:r>
      <w:r>
        <w:t>d yields (as calculated in step 8 of the RBA process) to this yield.</w:t>
      </w:r>
      <w:r w:rsidRPr="00FB18DC">
        <w:t xml:space="preserve"> </w:t>
      </w:r>
      <w:r>
        <w:t>However, under the approach in this draft decision, all averaging period dates should be after 14 April 2015.</w:t>
      </w:r>
    </w:p>
  </w:footnote>
  <w:footnote w:id="1459">
    <w:p w:rsidR="00E636A0" w:rsidRDefault="00E636A0" w:rsidP="00A870A6">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1460">
    <w:p w:rsidR="00E636A0" w:rsidRDefault="00E636A0" w:rsidP="00A870A6">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1461">
    <w:p w:rsidR="00E636A0" w:rsidRDefault="00E636A0" w:rsidP="00A870A6">
      <w:pPr>
        <w:pStyle w:val="FootnoteText"/>
      </w:pPr>
      <w:r>
        <w:rPr>
          <w:rStyle w:val="FootnoteReference"/>
        </w:rPr>
        <w:footnoteRef/>
      </w:r>
      <w:r>
        <w:t xml:space="preserve"> </w:t>
      </w:r>
      <w:r>
        <w:tab/>
        <w:t>NER, cl. 6.5.2(l) and cl. 6A.6.2(l).</w:t>
      </w:r>
    </w:p>
  </w:footnote>
  <w:footnote w:id="1462">
    <w:p w:rsidR="00E636A0" w:rsidRDefault="00E636A0" w:rsidP="00A870A6">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463">
    <w:p w:rsidR="00E636A0" w:rsidRDefault="00E636A0" w:rsidP="00A870A6">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464">
    <w:p w:rsidR="00E636A0" w:rsidRDefault="00E636A0" w:rsidP="00A870A6">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1465">
    <w:p w:rsidR="00E636A0" w:rsidRDefault="00E636A0" w:rsidP="00A870A6">
      <w:pPr>
        <w:pStyle w:val="FootnoteText"/>
      </w:pPr>
      <w:r>
        <w:rPr>
          <w:rStyle w:val="FootnoteReference"/>
        </w:rPr>
        <w:footnoteRef/>
      </w:r>
      <w:r>
        <w:t xml:space="preserve"> </w:t>
      </w:r>
      <w:r>
        <w:tab/>
        <w:t>Specifically, the spread to CGS.</w:t>
      </w:r>
    </w:p>
  </w:footnote>
  <w:footnote w:id="1466">
    <w:p w:rsidR="00E636A0" w:rsidRDefault="00E636A0" w:rsidP="00A870A6">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467">
    <w:p w:rsidR="00E636A0" w:rsidRDefault="00E636A0" w:rsidP="00A870A6">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276.</w:t>
      </w:r>
    </w:p>
  </w:footnote>
  <w:footnote w:id="1468">
    <w:p w:rsidR="00E636A0" w:rsidRDefault="00E636A0" w:rsidP="00A870A6">
      <w:pPr>
        <w:pStyle w:val="FootnoteText"/>
      </w:pPr>
      <w:r>
        <w:rPr>
          <w:rStyle w:val="FootnoteReference"/>
        </w:rPr>
        <w:footnoteRef/>
      </w:r>
      <w:r>
        <w:t xml:space="preserve"> </w:t>
      </w:r>
      <w:r>
        <w:tab/>
        <w:t>AusNet Services characterises</w:t>
      </w:r>
      <w:r w:rsidRPr="0018148E">
        <w:t xml:space="preserve"> </w:t>
      </w:r>
      <w:r>
        <w:t>a new issue premium as ‘t</w:t>
      </w:r>
      <w:r w:rsidRPr="000062C0">
        <w:t xml:space="preserve">he difference between the costs facing a business issuing bonds into the primary debt market </w:t>
      </w:r>
      <w:r>
        <w:t xml:space="preserve">[which would determine their effective cost of debt] </w:t>
      </w:r>
      <w:r w:rsidRPr="000062C0">
        <w:t>and trading in the secondary debt market</w:t>
      </w:r>
      <w:r>
        <w:t xml:space="preserve"> [which we use to estimate the debt allowance]’</w:t>
      </w:r>
      <w:r w:rsidDel="000062C0">
        <w:t xml:space="preserve"> </w:t>
      </w:r>
      <w:r>
        <w:t xml:space="preserve">. See AusNet Transmission Group Pty Ltd, </w:t>
      </w:r>
      <w:r w:rsidRPr="0047386D">
        <w:rPr>
          <w:i/>
        </w:rPr>
        <w:t>Transmission Revenue Review 2017</w:t>
      </w:r>
      <w:r w:rsidRPr="0047386D">
        <w:rPr>
          <w:rFonts w:cs="Arial"/>
          <w:i/>
        </w:rPr>
        <w:t>–</w:t>
      </w:r>
      <w:r w:rsidRPr="0047386D">
        <w:rPr>
          <w:i/>
        </w:rPr>
        <w:t>2022 regulatory proposal</w:t>
      </w:r>
      <w:r>
        <w:t>, 30 October 2015, p. 275.</w:t>
      </w:r>
    </w:p>
  </w:footnote>
  <w:footnote w:id="1469">
    <w:p w:rsidR="00E636A0" w:rsidRDefault="00E636A0" w:rsidP="00A870A6">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1470">
    <w:p w:rsidR="00E636A0" w:rsidRDefault="00E636A0" w:rsidP="00A870A6">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1471">
    <w:p w:rsidR="00E636A0" w:rsidRDefault="00E636A0" w:rsidP="00A870A6">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1472">
    <w:p w:rsidR="00E636A0" w:rsidRDefault="00E636A0" w:rsidP="00A870A6">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1473">
    <w:p w:rsidR="00E636A0" w:rsidRDefault="00E636A0" w:rsidP="000E14D2">
      <w:pPr>
        <w:pStyle w:val="FootnoteText"/>
      </w:pPr>
      <w:r>
        <w:rPr>
          <w:rStyle w:val="FootnoteReference"/>
        </w:rPr>
        <w:footnoteRef/>
      </w:r>
      <w:r>
        <w:t xml:space="preserve"> </w:t>
      </w:r>
      <w:r>
        <w:tab/>
        <w:t>TasNetworks</w:t>
      </w:r>
      <w:r w:rsidRPr="00C808D5">
        <w:rPr>
          <w:rStyle w:val="AERtextitalic"/>
        </w:rPr>
        <w:t xml:space="preserve">, </w:t>
      </w:r>
      <w:r>
        <w:rPr>
          <w:rStyle w:val="AERtextitalic"/>
        </w:rPr>
        <w:t xml:space="preserve">Letter from John Sayers Program Leader Revenue Resets TasNetworks to Chris Pattas General Manager AER - Averaging periods to estimate the allowed return on debt, </w:t>
      </w:r>
      <w:r>
        <w:t xml:space="preserve">23 December 2015; </w:t>
      </w:r>
    </w:p>
  </w:footnote>
  <w:footnote w:id="1474">
    <w:p w:rsidR="00E636A0" w:rsidRDefault="00E636A0" w:rsidP="000E14D2">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1475">
    <w:p w:rsidR="00E636A0" w:rsidRDefault="00E636A0" w:rsidP="000E14D2">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1476">
    <w:p w:rsidR="00E636A0" w:rsidRDefault="00E636A0" w:rsidP="000E14D2">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1477">
    <w:p w:rsidR="00E636A0" w:rsidRDefault="00E636A0" w:rsidP="000E14D2">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1478">
    <w:p w:rsidR="00E636A0" w:rsidRDefault="00E636A0" w:rsidP="000E14D2">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479">
    <w:p w:rsidR="00E636A0" w:rsidRDefault="00E636A0" w:rsidP="000E14D2">
      <w:pPr>
        <w:pStyle w:val="FootnoteText"/>
      </w:pPr>
      <w:r>
        <w:rPr>
          <w:rStyle w:val="FootnoteReference"/>
        </w:rPr>
        <w:footnoteRef/>
      </w:r>
      <w:r>
        <w:t xml:space="preserve"> </w:t>
      </w:r>
      <w:r>
        <w:tab/>
        <w:t xml:space="preserve">Clause </w:t>
      </w:r>
      <w:r w:rsidRPr="00827C64">
        <w:t xml:space="preserve">6.18.2(a)(2) </w:t>
      </w:r>
      <w:r>
        <w:t xml:space="preserve">of the NER </w:t>
      </w:r>
      <w:r w:rsidRPr="00827C64">
        <w:t xml:space="preserve">requires </w:t>
      </w:r>
      <w:r>
        <w:t>electricity distributors</w:t>
      </w:r>
      <w:r w:rsidRPr="00827C64">
        <w:t xml:space="preserve"> to submit their annual pricing proposals to us at least 2 months before the commencement of the second and each subsequent regulatory year of the regulatory control period. </w:t>
      </w:r>
      <w:r>
        <w:t xml:space="preserve">For the Victorian distributors, each regulatory year commences at the start of the calendar year (1 January). </w:t>
      </w:r>
      <w:r w:rsidRPr="00827C64">
        <w:t xml:space="preserve">For non-Victorian </w:t>
      </w:r>
      <w:r>
        <w:t>distributors</w:t>
      </w:r>
      <w:r w:rsidRPr="00827C64">
        <w:t>, each regulatory year commences at the start of the financial year</w:t>
      </w:r>
      <w:r>
        <w:t xml:space="preserve"> (1 July)</w:t>
      </w:r>
      <w:r w:rsidRPr="00827C64">
        <w:t>.</w:t>
      </w:r>
    </w:p>
  </w:footnote>
  <w:footnote w:id="1480">
    <w:p w:rsidR="00E636A0" w:rsidRDefault="00E636A0" w:rsidP="000E14D2">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1481">
    <w:p w:rsidR="00E636A0" w:rsidRDefault="00E636A0" w:rsidP="000E14D2">
      <w:pPr>
        <w:pStyle w:val="FootnoteText"/>
      </w:pPr>
      <w:r>
        <w:rPr>
          <w:rStyle w:val="FootnoteReference"/>
        </w:rPr>
        <w:footnoteRef/>
      </w:r>
      <w:r>
        <w:t xml:space="preserve"> </w:t>
      </w:r>
      <w:r>
        <w:tab/>
      </w:r>
      <w:r w:rsidRPr="00827C64">
        <w:t xml:space="preserve">See </w:t>
      </w:r>
      <w:r w:rsidRPr="000B49EB">
        <w:t xml:space="preserve">AEMC, </w:t>
      </w:r>
      <w:r w:rsidRPr="000B49EB">
        <w:rPr>
          <w:rStyle w:val="AERtextitalic"/>
        </w:rPr>
        <w:t>Distribution network pricing arrangements, rule determination</w:t>
      </w:r>
      <w:r>
        <w:t>, 27 November 2014, pp</w:t>
      </w:r>
      <w:r w:rsidRPr="00827C64">
        <w:t xml:space="preserve">. </w:t>
      </w:r>
      <w:r>
        <w:t xml:space="preserve">57, 95, 103. </w:t>
      </w:r>
      <w:r w:rsidRPr="00827C64">
        <w:t xml:space="preserve">Victorian </w:t>
      </w:r>
      <w:r>
        <w:t>distributors</w:t>
      </w:r>
      <w:r w:rsidRPr="00827C64">
        <w:t xml:space="preserve"> will be required to submit their annual pricing proposals to us no later than 30 September. This is because the pricing process in Victoria operates on calendar years, rather than financial years.</w:t>
      </w:r>
    </w:p>
  </w:footnote>
  <w:footnote w:id="1482">
    <w:p w:rsidR="00E636A0" w:rsidRDefault="00E636A0" w:rsidP="00205FDB"/>
  </w:footnote>
  <w:footnote w:id="1483">
    <w:p w:rsidR="00E636A0" w:rsidRDefault="00E636A0" w:rsidP="00762CF4">
      <w:pPr>
        <w:pStyle w:val="FootnoteText"/>
      </w:pPr>
      <w:r>
        <w:rPr>
          <w:rStyle w:val="FootnoteReference"/>
        </w:rPr>
        <w:footnoteRef/>
      </w:r>
      <w:r>
        <w:t xml:space="preserve"> </w:t>
      </w:r>
      <w:r>
        <w:tab/>
      </w:r>
      <w:r w:rsidRPr="00844BA4">
        <w:t>Peter Tulip and Stephanie Wallace (2012), ‘Estimates of Uncertainty around the RBA’s Forecasts’, RBA Research Discussion Paper – November 2012, RDP2012-07, p. 2</w:t>
      </w:r>
      <w:r>
        <w:t>.</w:t>
      </w:r>
    </w:p>
  </w:footnote>
  <w:footnote w:id="1484">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485">
    <w:p w:rsidR="00E636A0" w:rsidRDefault="00E636A0" w:rsidP="00762CF4">
      <w:pPr>
        <w:pStyle w:val="FootnoteText"/>
      </w:pPr>
      <w:r>
        <w:rPr>
          <w:rStyle w:val="FootnoteReference"/>
        </w:rPr>
        <w:footnoteRef/>
      </w:r>
      <w:r>
        <w:t xml:space="preserve"> </w:t>
      </w:r>
      <w:r>
        <w:tab/>
      </w:r>
      <w:r w:rsidRPr="00844BA4">
        <w:t>George Tawadros (2013), ‘The information content of the Reserve Bank of Australia’s inflation forecasts’, Applied Economics, 45, pp. 623-628</w:t>
      </w:r>
      <w:r>
        <w:t>.</w:t>
      </w:r>
    </w:p>
  </w:footnote>
  <w:footnote w:id="1486">
    <w:p w:rsidR="00E636A0" w:rsidRDefault="00E636A0" w:rsidP="00762CF4">
      <w:pPr>
        <w:pStyle w:val="FootnoteText"/>
      </w:pPr>
      <w:r>
        <w:rPr>
          <w:rStyle w:val="FootnoteReference"/>
        </w:rPr>
        <w:footnoteRef/>
      </w:r>
      <w:r>
        <w:t xml:space="preserve"> </w:t>
      </w:r>
      <w:r>
        <w:tab/>
        <w:t>A</w:t>
      </w:r>
      <w:r w:rsidRPr="007E2BD9">
        <w:t>t the 10 year horizon or any other horizon</w:t>
      </w:r>
      <w:r>
        <w:t>.</w:t>
      </w:r>
    </w:p>
  </w:footnote>
  <w:footnote w:id="1487">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488">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 181.</w:t>
      </w:r>
    </w:p>
  </w:footnote>
  <w:footnote w:id="1489">
    <w:p w:rsidR="00E636A0" w:rsidRPr="004570A2" w:rsidRDefault="00E636A0" w:rsidP="00762CF4">
      <w:pPr>
        <w:pStyle w:val="FootnoteText"/>
      </w:pPr>
      <w:r w:rsidRPr="004570A2">
        <w:rPr>
          <w:rStyle w:val="FootnoteReference"/>
          <w:sz w:val="17"/>
          <w:szCs w:val="17"/>
        </w:rPr>
        <w:footnoteRef/>
      </w:r>
      <w:r w:rsidRPr="004570A2">
        <w:t xml:space="preserve"> </w:t>
      </w:r>
      <w:r>
        <w:tab/>
      </w:r>
      <w:r w:rsidRPr="00144E03">
        <w:t>Richard Finlay and Sebastian Wende (2011), ‘Estimating Inflation Expectations with a Limited Number of Inflation-indexed Bonds’, Research Discussion Paper, Reserve Bank of Australia, RDP 2011-01, March, pp. 1-35</w:t>
      </w:r>
    </w:p>
  </w:footnote>
  <w:footnote w:id="1490">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215774">
        <w:t xml:space="preserve"> September 2016, p</w:t>
      </w:r>
      <w:r>
        <w:t>p. 12–14, 22–26.</w:t>
      </w:r>
    </w:p>
  </w:footnote>
  <w:footnote w:id="1491">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13–14, 22–26.</w:t>
      </w:r>
    </w:p>
  </w:footnote>
  <w:footnote w:id="1492">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493">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26–27.</w:t>
      </w:r>
    </w:p>
  </w:footnote>
  <w:footnote w:id="1494">
    <w:p w:rsidR="00E636A0" w:rsidRDefault="00E636A0" w:rsidP="00762CF4">
      <w:pPr>
        <w:pStyle w:val="FootnoteText"/>
      </w:pPr>
      <w:r>
        <w:rPr>
          <w:rStyle w:val="FootnoteReference"/>
        </w:rPr>
        <w:footnoteRef/>
      </w:r>
      <w:r>
        <w:t xml:space="preserve"> </w:t>
      </w:r>
      <w:r>
        <w:tab/>
        <w:t xml:space="preserve">For example, see: RBA, </w:t>
      </w:r>
      <w:r w:rsidRPr="002C766C">
        <w:rPr>
          <w:rStyle w:val="AERtextitalic"/>
        </w:rPr>
        <w:t>Statement on Monetary Policy</w:t>
      </w:r>
      <w:r>
        <w:t>, February 2017, pp. 56-62.</w:t>
      </w:r>
    </w:p>
  </w:footnote>
  <w:footnote w:id="1495">
    <w:p w:rsidR="00E636A0" w:rsidRDefault="00E636A0" w:rsidP="00762CF4">
      <w:pPr>
        <w:pStyle w:val="FootnoteText"/>
      </w:pPr>
      <w:r>
        <w:rPr>
          <w:rStyle w:val="FootnoteReference"/>
        </w:rPr>
        <w:footnoteRef/>
      </w:r>
      <w:r>
        <w:t xml:space="preserve"> </w:t>
      </w:r>
      <w:r>
        <w:tab/>
        <w:t xml:space="preserve">CEG’s cites RBA statements and statements made by mainstream media </w:t>
      </w:r>
      <w:r w:rsidRPr="00DB16EC">
        <w:t>as evidence of an asymmetric distribution – neither which make reference to a skewed distribution of market-anticipated inflation outcomes</w:t>
      </w:r>
      <w:r>
        <w:t xml:space="preserve"> [CEG, </w:t>
      </w:r>
      <w:r w:rsidRPr="00A51CD5">
        <w:rPr>
          <w:rStyle w:val="AERtextitalic"/>
        </w:rPr>
        <w:t>Best Estimate of Expected Inflation</w:t>
      </w:r>
      <w:r>
        <w:t>,</w:t>
      </w:r>
      <w:r w:rsidRPr="00215774">
        <w:t xml:space="preserve"> September 2016</w:t>
      </w:r>
      <w:r>
        <w:t>, pp. 23-26]</w:t>
      </w:r>
      <w:r w:rsidRPr="00DB16EC">
        <w:t>. CEG cites the IMF which makes reference to the higher likelihood of weaker downside outcomes for world economic growth but in the passages cited no reference is made to anticipated inflation outcomes for Australia</w:t>
      </w:r>
      <w:r>
        <w:t xml:space="preserve"> [CEG, </w:t>
      </w:r>
      <w:r w:rsidRPr="00A51CD5">
        <w:rPr>
          <w:rStyle w:val="AERtextitalic"/>
        </w:rPr>
        <w:t>Best Estimate of Expected Inflation</w:t>
      </w:r>
      <w:r>
        <w:t>,</w:t>
      </w:r>
      <w:r w:rsidRPr="00215774">
        <w:t xml:space="preserve"> September 2016</w:t>
      </w:r>
      <w:r>
        <w:t>, p. 25]</w:t>
      </w:r>
      <w:r w:rsidRPr="00DB16EC">
        <w:t>.</w:t>
      </w:r>
    </w:p>
  </w:footnote>
  <w:footnote w:id="1496">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12.</w:t>
      </w:r>
    </w:p>
  </w:footnote>
  <w:footnote w:id="1497">
    <w:p w:rsidR="00E636A0" w:rsidRDefault="00E636A0" w:rsidP="00762CF4">
      <w:pPr>
        <w:pStyle w:val="FootnoteText"/>
      </w:pPr>
      <w:r>
        <w:rPr>
          <w:rStyle w:val="FootnoteReference"/>
        </w:rPr>
        <w:footnoteRef/>
      </w:r>
      <w:r>
        <w:t xml:space="preserve"> </w:t>
      </w:r>
      <w:r>
        <w:tab/>
      </w:r>
      <w:r w:rsidRPr="00144E03">
        <w:t>Matthias Fleckenstein, Francis Longstaff and Hanno Lustig (2014), ‘The TIPS-Treasury Bonds Puzzle’, The Journal of Finance, 69(5), October, pp. 2168-2171.</w:t>
      </w:r>
    </w:p>
  </w:footnote>
  <w:footnote w:id="1498">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499">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 September 2016,</w:t>
      </w:r>
      <w:r w:rsidRPr="00215774">
        <w:t xml:space="preserve"> p</w:t>
      </w:r>
      <w:r>
        <w:t>p. 13–17.</w:t>
      </w:r>
    </w:p>
  </w:footnote>
  <w:footnote w:id="1500">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17.</w:t>
      </w:r>
    </w:p>
  </w:footnote>
  <w:footnote w:id="1501">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22–23.</w:t>
      </w:r>
    </w:p>
  </w:footnote>
  <w:footnote w:id="1502">
    <w:p w:rsidR="00E636A0" w:rsidRDefault="00E636A0" w:rsidP="00762CF4">
      <w:pPr>
        <w:pStyle w:val="FootnoteText"/>
      </w:pPr>
      <w:r>
        <w:rPr>
          <w:rStyle w:val="FootnoteReference"/>
        </w:rPr>
        <w:footnoteRef/>
      </w:r>
      <w:r>
        <w:t xml:space="preserve"> </w:t>
      </w:r>
      <w:r>
        <w:tab/>
        <w:t xml:space="preserve">See: </w:t>
      </w:r>
      <w:r w:rsidRPr="00EC25CF">
        <w:t>http://www.rba.gov.au/statistics/cash-rate/</w:t>
      </w:r>
    </w:p>
  </w:footnote>
  <w:footnote w:id="1503">
    <w:p w:rsidR="00E636A0" w:rsidRDefault="00E636A0" w:rsidP="00762CF4">
      <w:pPr>
        <w:pStyle w:val="FootnoteText"/>
      </w:pPr>
      <w:r>
        <w:rPr>
          <w:rStyle w:val="FootnoteReference"/>
        </w:rPr>
        <w:footnoteRef/>
      </w:r>
      <w:r>
        <w:t xml:space="preserve"> </w:t>
      </w:r>
      <w:r>
        <w:tab/>
        <w:t xml:space="preserve">See: </w:t>
      </w:r>
      <w:hyperlink r:id="rId28" w:history="1">
        <w:r w:rsidRPr="00722CCC">
          <w:rPr>
            <w:rStyle w:val="Hyperlink"/>
            <w:sz w:val="16"/>
          </w:rPr>
          <w:t>http://www.ecb.europa.eu/stats/policy_and_exchange_rates/key_ecb_interest_rates/html/index.en.html</w:t>
        </w:r>
      </w:hyperlink>
      <w:r>
        <w:t xml:space="preserve">; </w:t>
      </w:r>
      <w:r w:rsidRPr="00CA4110">
        <w:t>Bloomberg Markets</w:t>
      </w:r>
      <w:r>
        <w:t>,</w:t>
      </w:r>
      <w:r w:rsidRPr="00CA4110">
        <w:t xml:space="preserve"> </w:t>
      </w:r>
      <w:r w:rsidRPr="00CA4110">
        <w:rPr>
          <w:rStyle w:val="AERtextitalic"/>
        </w:rPr>
        <w:t>BOJ Maintains Policy Rate at -0.1 Percent</w:t>
      </w:r>
      <w:r>
        <w:t xml:space="preserve">, 15 March 2017; </w:t>
      </w:r>
      <w:hyperlink r:id="rId29" w:history="1">
        <w:r w:rsidRPr="00722CCC">
          <w:rPr>
            <w:rStyle w:val="Hyperlink"/>
            <w:sz w:val="16"/>
          </w:rPr>
          <w:t>https://www.snb.ch/en/iabout/stat/statpub/zidea/id/current_interest_exchange_rates</w:t>
        </w:r>
      </w:hyperlink>
      <w:r>
        <w:t xml:space="preserve">; Wienberg, </w:t>
      </w:r>
      <w:r w:rsidRPr="00CA4110">
        <w:rPr>
          <w:rStyle w:val="AERtextitalic"/>
        </w:rPr>
        <w:t>Speculators Seen Driving Denmark to Test World’s Lowest Rate</w:t>
      </w:r>
      <w:r>
        <w:t>, Bloomberg News 12 February 2015.</w:t>
      </w:r>
    </w:p>
  </w:footnote>
  <w:footnote w:id="1504">
    <w:p w:rsidR="00E636A0" w:rsidRDefault="00E636A0" w:rsidP="00762CF4">
      <w:pPr>
        <w:pStyle w:val="FootnoteText"/>
      </w:pPr>
      <w:r>
        <w:rPr>
          <w:rStyle w:val="FootnoteReference"/>
        </w:rPr>
        <w:footnoteRef/>
      </w:r>
      <w:r>
        <w:t xml:space="preserve"> </w:t>
      </w:r>
      <w:r>
        <w:tab/>
        <w:t>This was also noted by the CCP. The CCP also submitted that, with regards to quantitative easing, "that would make the use of bond yields to forecast inflation somewhat circular - bonds would be the measure as well as the tool wielded by Government to affect the measure" [CCP, Response to AusNet Services Revised Revenue Proposal for 2017-2022, October 2016, p.18].</w:t>
      </w:r>
    </w:p>
  </w:footnote>
  <w:footnote w:id="1505">
    <w:p w:rsidR="00E636A0" w:rsidRDefault="00E636A0" w:rsidP="00762CF4">
      <w:pPr>
        <w:pStyle w:val="FootnoteText"/>
      </w:pPr>
      <w:r>
        <w:rPr>
          <w:rStyle w:val="FootnoteReference"/>
        </w:rPr>
        <w:footnoteRef/>
      </w:r>
      <w:r>
        <w:t xml:space="preserve"> </w:t>
      </w:r>
      <w:r>
        <w:tab/>
        <w:t>RBA Bulletin, Measures of Inflation Expectations in Australia, December 2016.</w:t>
      </w:r>
    </w:p>
  </w:footnote>
  <w:footnote w:id="1506">
    <w:p w:rsidR="00E636A0" w:rsidRDefault="00E636A0" w:rsidP="00762CF4">
      <w:pPr>
        <w:pStyle w:val="FootnoteText"/>
      </w:pPr>
      <w:r>
        <w:rPr>
          <w:rStyle w:val="FootnoteReference"/>
        </w:rPr>
        <w:footnoteRef/>
      </w:r>
      <w:r>
        <w:t xml:space="preserve"> </w:t>
      </w:r>
      <w:r>
        <w:tab/>
        <w:t xml:space="preserve">Australia began inflation rate targeting in 1993. See: Bernie Fraser, </w:t>
      </w:r>
      <w:r w:rsidRPr="00202883">
        <w:rPr>
          <w:rStyle w:val="AERtextitalic"/>
        </w:rPr>
        <w:t>Two Perspectives on Monetary Policy</w:t>
      </w:r>
      <w:r>
        <w:t xml:space="preserve">, Talk to a conference in honour of Don Sanders, Sydney, 17 August 1992; and Bernie Fraser, </w:t>
      </w:r>
      <w:r w:rsidRPr="00202883">
        <w:rPr>
          <w:rStyle w:val="AERtextitalic"/>
        </w:rPr>
        <w:t>Some Aspects of Monetary Policy</w:t>
      </w:r>
      <w:r>
        <w:t>, Talk to Australian Business Economists, Sydney, 31 March 1993.</w:t>
      </w:r>
    </w:p>
  </w:footnote>
  <w:footnote w:id="1507">
    <w:p w:rsidR="00E636A0" w:rsidRDefault="00E636A0" w:rsidP="00762CF4">
      <w:pPr>
        <w:pStyle w:val="FootnoteText"/>
      </w:pPr>
      <w:r>
        <w:rPr>
          <w:rStyle w:val="FootnoteReference"/>
        </w:rPr>
        <w:footnoteRef/>
      </w:r>
      <w:r>
        <w:t xml:space="preserve"> </w:t>
      </w:r>
      <w:r>
        <w:tab/>
        <w:t xml:space="preserve">RBA, </w:t>
      </w:r>
      <w:r w:rsidRPr="00086267">
        <w:rPr>
          <w:i/>
        </w:rPr>
        <w:t>Inflation and Monetary Policy</w:t>
      </w:r>
      <w:r>
        <w:t>, speech by Philip Lowe, 18 October 2016.</w:t>
      </w:r>
    </w:p>
  </w:footnote>
  <w:footnote w:id="1508">
    <w:p w:rsidR="00E636A0" w:rsidRPr="00984B33" w:rsidRDefault="00E636A0" w:rsidP="00762CF4">
      <w:pPr>
        <w:pStyle w:val="FootnoteText"/>
      </w:pPr>
      <w:r>
        <w:rPr>
          <w:rStyle w:val="FootnoteReference"/>
        </w:rPr>
        <w:footnoteRef/>
      </w:r>
      <w:r>
        <w:t xml:space="preserve"> </w:t>
      </w:r>
      <w:r>
        <w:tab/>
        <w:t xml:space="preserve">See </w:t>
      </w:r>
      <w:hyperlink r:id="rId30" w:history="1">
        <w:r w:rsidRPr="00984B33">
          <w:rPr>
            <w:rStyle w:val="Hyperlink"/>
            <w:color w:val="auto"/>
            <w:sz w:val="16"/>
            <w:u w:val="none"/>
          </w:rPr>
          <w:t>https://www.ft.com/content/2bd40fd7-6c27-3f79-9759-d109425cab6d</w:t>
        </w:r>
      </w:hyperlink>
      <w:r w:rsidRPr="00202883">
        <w:rPr>
          <w:rStyle w:val="Hyperlink"/>
          <w:color w:val="auto"/>
          <w:sz w:val="16"/>
          <w:u w:val="none"/>
        </w:rPr>
        <w:t>; and</w:t>
      </w:r>
      <w:r w:rsidRPr="00984B33">
        <w:t xml:space="preserve"> </w:t>
      </w:r>
      <w:hyperlink r:id="rId31" w:history="1">
        <w:r w:rsidRPr="00984B33">
          <w:rPr>
            <w:rStyle w:val="Hyperlink"/>
            <w:color w:val="auto"/>
            <w:sz w:val="16"/>
            <w:u w:val="none"/>
          </w:rPr>
          <w:t>https://www.bloomberg.com/news/articles/2016-08-10/norway-inflation-surge-casts-doubt-over-more-interest-rate-cuts</w:t>
        </w:r>
      </w:hyperlink>
      <w:r w:rsidRPr="00984B33">
        <w:rPr>
          <w:rStyle w:val="Hyperlink"/>
          <w:color w:val="auto"/>
          <w:sz w:val="16"/>
          <w:u w:val="none"/>
        </w:rPr>
        <w:t xml:space="preserve"> as </w:t>
      </w:r>
    </w:p>
  </w:footnote>
  <w:footnote w:id="1509">
    <w:p w:rsidR="00E636A0" w:rsidRDefault="00E636A0" w:rsidP="00762CF4">
      <w:pPr>
        <w:pStyle w:val="FootnoteText"/>
      </w:pPr>
      <w:r>
        <w:rPr>
          <w:rStyle w:val="FootnoteReference"/>
        </w:rPr>
        <w:footnoteRef/>
      </w:r>
      <w:r>
        <w:t xml:space="preserve"> </w:t>
      </w:r>
      <w:r>
        <w:tab/>
        <w:t xml:space="preserve">Bureau of Labor Statistics, </w:t>
      </w:r>
      <w:r w:rsidRPr="00B0612B">
        <w:rPr>
          <w:rStyle w:val="AERtextitalic"/>
        </w:rPr>
        <w:t>CPI Detailed Report - Data for February 2017</w:t>
      </w:r>
      <w:r>
        <w:t xml:space="preserve">; US Federal Reserve, </w:t>
      </w:r>
      <w:r w:rsidRPr="00B0612B">
        <w:rPr>
          <w:rStyle w:val="AERtextitalic"/>
        </w:rPr>
        <w:t>Why does the Federal Reserve aim for 2 percent inflation over time?</w:t>
      </w:r>
      <w:r>
        <w:t>, 26 January 2015.</w:t>
      </w:r>
    </w:p>
  </w:footnote>
  <w:footnote w:id="1510">
    <w:p w:rsidR="00E636A0" w:rsidRDefault="00E636A0" w:rsidP="00762CF4">
      <w:pPr>
        <w:pStyle w:val="FootnoteText"/>
      </w:pPr>
      <w:r>
        <w:rPr>
          <w:rStyle w:val="FootnoteReference"/>
        </w:rPr>
        <w:footnoteRef/>
      </w:r>
      <w:r>
        <w:t xml:space="preserve"> </w:t>
      </w:r>
      <w:r>
        <w:tab/>
        <w:t xml:space="preserve">Office of National Statistics, </w:t>
      </w:r>
      <w:r w:rsidRPr="00C12163">
        <w:rPr>
          <w:rStyle w:val="AERtextitalic"/>
        </w:rPr>
        <w:t>CPIH: % change over 12 months</w:t>
      </w:r>
      <w:r>
        <w:t>, 21 March 2017; Phillip Hammond (</w:t>
      </w:r>
      <w:hyperlink r:id="rId32" w:history="1">
        <w:r w:rsidRPr="00C12163">
          <w:t>Chancellor of the Exchequer</w:t>
        </w:r>
      </w:hyperlink>
      <w:r>
        <w:t xml:space="preserve">), </w:t>
      </w:r>
      <w:r w:rsidRPr="00C12163">
        <w:rPr>
          <w:rStyle w:val="AERtextitalic"/>
        </w:rPr>
        <w:t>Remit for the monetary policy committee</w:t>
      </w:r>
      <w:r>
        <w:t>, 8 March 2017.</w:t>
      </w:r>
    </w:p>
  </w:footnote>
  <w:footnote w:id="1511">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 xml:space="preserve">5; AusNet Transmission Group Pty Ltd, </w:t>
      </w:r>
      <w:r w:rsidRPr="00A51CD5">
        <w:rPr>
          <w:rStyle w:val="AERtextitalic"/>
        </w:rPr>
        <w:t>Transmission Revenue Review 2017-2022 Revised Revenue Proposal</w:t>
      </w:r>
      <w:r>
        <w:t>, 21 September 2016, pp. 179, 188–191.</w:t>
      </w:r>
    </w:p>
  </w:footnote>
  <w:footnote w:id="1512">
    <w:p w:rsidR="00E636A0" w:rsidRDefault="00E636A0" w:rsidP="00762CF4">
      <w:pPr>
        <w:pStyle w:val="FootnoteText"/>
      </w:pPr>
      <w:r>
        <w:rPr>
          <w:rStyle w:val="FootnoteReference"/>
        </w:rPr>
        <w:footnoteRef/>
      </w:r>
      <w:r>
        <w:t xml:space="preserve"> </w:t>
      </w:r>
      <w:r>
        <w:tab/>
        <w:t xml:space="preserve">AusNet Services, </w:t>
      </w:r>
      <w:r w:rsidRPr="004E26A9">
        <w:rPr>
          <w:rStyle w:val="AERtextitalic"/>
        </w:rPr>
        <w:t>Submission on Revised Proposal</w:t>
      </w:r>
      <w:r>
        <w:t>, 19 October 2016, p. 4.</w:t>
      </w:r>
    </w:p>
  </w:footnote>
  <w:footnote w:id="1513">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5.</w:t>
      </w:r>
    </w:p>
  </w:footnote>
  <w:footnote w:id="1514">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12-13.</w:t>
      </w:r>
    </w:p>
  </w:footnote>
  <w:footnote w:id="1515">
    <w:p w:rsidR="00E636A0" w:rsidRDefault="00E636A0" w:rsidP="00762CF4">
      <w:pPr>
        <w:pStyle w:val="FootnoteText"/>
      </w:pPr>
      <w:r>
        <w:rPr>
          <w:rStyle w:val="FootnoteReference"/>
        </w:rPr>
        <w:footnoteRef/>
      </w:r>
      <w:r>
        <w:t xml:space="preserve"> </w:t>
      </w:r>
      <w:r>
        <w:tab/>
        <w:t>In the draft decision, our nominal risk free rate estimate was 2.57 per cent and our inflation estimate was 2.44 per cent, implying a positive real risk free rate of 0.13 per cent. In this final decision, our nominal risk free rate estimate is 2.52 per cent and our inflation estimate is 2.40 per cent, implying real risk free rate estimate of 0.12 per cent.</w:t>
      </w:r>
    </w:p>
  </w:footnote>
  <w:footnote w:id="1516">
    <w:p w:rsidR="00E636A0" w:rsidRDefault="00E636A0" w:rsidP="00762CF4">
      <w:pPr>
        <w:pStyle w:val="FootnoteText"/>
      </w:pPr>
      <w:r>
        <w:rPr>
          <w:rStyle w:val="FootnoteReference"/>
        </w:rPr>
        <w:footnoteRef/>
      </w:r>
      <w:r>
        <w:t xml:space="preserve"> </w:t>
      </w:r>
      <w:r>
        <w:tab/>
        <w:t xml:space="preserve">See Table 3 in Mathysen, </w:t>
      </w:r>
      <w:r w:rsidRPr="009B20F9">
        <w:rPr>
          <w:rStyle w:val="AERtextitalic"/>
        </w:rPr>
        <w:t>Best estimates of expected inflation: a comparative assessment of four methods</w:t>
      </w:r>
      <w:r>
        <w:t>, ACCC Working Paper # 11, April 2017.. D'Amico, Kim, and Wei (2016) found liquidity premia in the US of up to 300 basis points during the GFC. Liu et al (2015) found liquidity premium in the UK between 2009 and 2013 averaged -30 basis points.</w:t>
      </w:r>
    </w:p>
  </w:footnote>
  <w:footnote w:id="1517">
    <w:p w:rsidR="00E636A0" w:rsidRDefault="00E636A0" w:rsidP="00762CF4">
      <w:pPr>
        <w:pStyle w:val="FootnoteText"/>
      </w:pPr>
      <w:r>
        <w:rPr>
          <w:rStyle w:val="FootnoteReference"/>
        </w:rPr>
        <w:footnoteRef/>
      </w:r>
      <w:r>
        <w:t xml:space="preserve"> </w:t>
      </w:r>
      <w:r>
        <w:tab/>
        <w:t>Based on a 20 day average of the yield on indexed CGS with a 10-year term to maturity, and using the return on equity risk free rate averaging period used in our AusNet Services 2017-22 transmission determination.</w:t>
      </w:r>
    </w:p>
  </w:footnote>
  <w:footnote w:id="1518">
    <w:p w:rsidR="00E636A0" w:rsidRDefault="00E636A0" w:rsidP="00762CF4">
      <w:pPr>
        <w:pStyle w:val="FootnoteText"/>
      </w:pPr>
      <w:r>
        <w:rPr>
          <w:rStyle w:val="FootnoteReference"/>
        </w:rPr>
        <w:footnoteRef/>
      </w:r>
      <w:r>
        <w:t xml:space="preserve"> </w:t>
      </w:r>
      <w:r>
        <w:tab/>
        <w:t>We acknowledge that, while investors have the option of investing in cash, large negative rates may not be likely without deflation.</w:t>
      </w:r>
    </w:p>
  </w:footnote>
  <w:footnote w:id="1519">
    <w:p w:rsidR="00E636A0" w:rsidRDefault="00E636A0" w:rsidP="00762CF4">
      <w:pPr>
        <w:pStyle w:val="FootnoteText"/>
      </w:pPr>
      <w:r>
        <w:rPr>
          <w:rStyle w:val="FootnoteReference"/>
        </w:rPr>
        <w:footnoteRef/>
      </w:r>
      <w:r>
        <w:t xml:space="preserve"> </w:t>
      </w:r>
      <w:r>
        <w:tab/>
        <w:t>CCP, Response to AusNet Services Revised Revenue Proposal for 2017-2022, October 2016, p.17.</w:t>
      </w:r>
    </w:p>
  </w:footnote>
  <w:footnote w:id="1520">
    <w:p w:rsidR="00E636A0" w:rsidRDefault="00E636A0" w:rsidP="00762CF4">
      <w:pPr>
        <w:pStyle w:val="FootnoteText"/>
      </w:pPr>
      <w:r>
        <w:rPr>
          <w:rStyle w:val="FootnoteReference"/>
        </w:rPr>
        <w:footnoteRef/>
      </w:r>
      <w:r>
        <w:t xml:space="preserve"> </w:t>
      </w:r>
      <w:r>
        <w:tab/>
        <w:t>Less a spread above the CPI rate that may be set by market markers in the swap market. The presence of this spread in the swap rate may result in swap-implied real risk free rate under-estimating the true real risk free rate. However, the yield on nominal CGS would likely include an inflation risk premium, and this premium would likely result in the swap-implied real risk free rate over-estimating the true real risk free rate (all else equal). Therefore, the net effect is unclear.</w:t>
      </w:r>
    </w:p>
  </w:footnote>
  <w:footnote w:id="1521">
    <w:p w:rsidR="00E636A0" w:rsidRDefault="00E636A0" w:rsidP="00762CF4">
      <w:pPr>
        <w:pStyle w:val="FootnoteText"/>
      </w:pPr>
      <w:r>
        <w:rPr>
          <w:rStyle w:val="FootnoteReference"/>
        </w:rPr>
        <w:footnoteRef/>
      </w:r>
      <w:r>
        <w:t xml:space="preserve"> </w:t>
      </w:r>
      <w:r>
        <w:tab/>
        <w:t>Based on Australian 10 year inflation swaps data from the Bloomberg Professional Service (AUSWIT10).</w:t>
      </w:r>
    </w:p>
  </w:footnote>
  <w:footnote w:id="1522">
    <w:p w:rsidR="00E636A0" w:rsidRDefault="00E636A0">
      <w:pPr>
        <w:pStyle w:val="FootnoteText"/>
      </w:pPr>
      <w:r>
        <w:rPr>
          <w:rStyle w:val="FootnoteReference"/>
        </w:rPr>
        <w:footnoteRef/>
      </w:r>
      <w:r>
        <w:t xml:space="preserve"> </w:t>
      </w:r>
      <w:r>
        <w:tab/>
        <w:t>Used in our AusNet Services 2017-22 transmission determination.</w:t>
      </w:r>
    </w:p>
  </w:footnote>
  <w:footnote w:id="1523">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192-195.</w:t>
      </w:r>
    </w:p>
  </w:footnote>
  <w:footnote w:id="1524">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12-13.</w:t>
      </w:r>
    </w:p>
  </w:footnote>
  <w:footnote w:id="1525">
    <w:p w:rsidR="00E636A0" w:rsidRDefault="00E636A0" w:rsidP="00762CF4">
      <w:pPr>
        <w:pStyle w:val="FootnoteText"/>
      </w:pPr>
      <w:r>
        <w:rPr>
          <w:rStyle w:val="FootnoteReference"/>
        </w:rPr>
        <w:footnoteRef/>
      </w:r>
      <w:r>
        <w:t xml:space="preserve"> </w:t>
      </w:r>
      <w:r>
        <w:tab/>
        <w:t xml:space="preserve">See, e.g., </w:t>
      </w:r>
      <w:r w:rsidRPr="00B22FAC">
        <w:t>Angus Moore (2016), ‘Measures of Inflation Expectations in Australia,</w:t>
      </w:r>
      <w:r w:rsidRPr="00EE45FC">
        <w:rPr>
          <w:rStyle w:val="Emphasis"/>
        </w:rPr>
        <w:t xml:space="preserve"> Reserve Bank of Australia Bulletin</w:t>
      </w:r>
      <w:r w:rsidRPr="00B22FAC">
        <w:t>, December Quarter, pp. 23</w:t>
      </w:r>
      <w:r>
        <w:t>–</w:t>
      </w:r>
      <w:r w:rsidRPr="00B22FAC">
        <w:t>31</w:t>
      </w:r>
      <w:r>
        <w:t xml:space="preserve">; </w:t>
      </w:r>
      <w:r w:rsidRPr="00AE0B65">
        <w:t>Will Devlin and Deepika Patwardhan (2012), ‘Measuring market inflation expectations’, Treasury Roundup Series, Issue 2, pp. 5</w:t>
      </w:r>
      <w:r>
        <w:t>–</w:t>
      </w:r>
      <w:r w:rsidRPr="00AE0B65">
        <w:t>17</w:t>
      </w:r>
      <w:r>
        <w:t>.</w:t>
      </w:r>
    </w:p>
  </w:footnote>
  <w:footnote w:id="1526">
    <w:p w:rsidR="00E636A0" w:rsidRDefault="00E636A0" w:rsidP="00762CF4">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xml:space="preserve">, ACCC Working Paper # 11, April 2017, paragraph 59. </w:t>
      </w:r>
    </w:p>
  </w:footnote>
  <w:footnote w:id="1527">
    <w:p w:rsidR="00E636A0" w:rsidRDefault="00E636A0" w:rsidP="00762CF4">
      <w:pPr>
        <w:pStyle w:val="FootnoteText"/>
      </w:pPr>
      <w:r>
        <w:rPr>
          <w:rStyle w:val="FootnoteReference"/>
        </w:rPr>
        <w:footnoteRef/>
      </w:r>
      <w:r>
        <w:t xml:space="preserve"> </w:t>
      </w:r>
      <w:r>
        <w:tab/>
        <w:t xml:space="preserve">As argued by </w:t>
      </w:r>
      <w:r w:rsidRPr="00B22FAC">
        <w:t>Carlos Zarazaga (2010), ‘The Difficult Art of Eliciting Long-Run Inflation Expectations from Government Bond Prices’, Staff Papers, Federal Reserve Bank of Dallas, No. 9, March, pp. 1</w:t>
      </w:r>
      <w:r>
        <w:t>–</w:t>
      </w:r>
      <w:r w:rsidRPr="00B22FAC">
        <w:t>53</w:t>
      </w:r>
      <w:r>
        <w:t xml:space="preserve">. </w:t>
      </w:r>
    </w:p>
  </w:footnote>
  <w:footnote w:id="1528">
    <w:p w:rsidR="00E636A0" w:rsidRDefault="00E636A0" w:rsidP="00762CF4">
      <w:pPr>
        <w:pStyle w:val="FootnoteText"/>
      </w:pPr>
      <w:r>
        <w:rPr>
          <w:rStyle w:val="FootnoteReference"/>
        </w:rPr>
        <w:footnoteRef/>
      </w:r>
      <w:r>
        <w:t xml:space="preserve"> </w:t>
      </w:r>
      <w:r>
        <w:tab/>
      </w:r>
      <w:r w:rsidRPr="00B22FAC">
        <w:t xml:space="preserve">Mark Deacon and Andrew Derry (1994), ‘Deriving Estimates of Inflation Expectations from the Prices of UK Government Bonds’, </w:t>
      </w:r>
      <w:r w:rsidRPr="00EE45FC">
        <w:rPr>
          <w:rStyle w:val="Emphasis"/>
        </w:rPr>
        <w:t>Bank of England Working Paper</w:t>
      </w:r>
      <w:r w:rsidRPr="00B22FAC">
        <w:t>, No. 23, pp. 1</w:t>
      </w:r>
      <w:r>
        <w:t>–</w:t>
      </w:r>
      <w:r w:rsidRPr="00B22FAC">
        <w:t>52</w:t>
      </w:r>
      <w:r>
        <w:t xml:space="preserve">. </w:t>
      </w:r>
    </w:p>
  </w:footnote>
  <w:footnote w:id="1529">
    <w:p w:rsidR="00E636A0" w:rsidRDefault="00E636A0" w:rsidP="00762CF4">
      <w:pPr>
        <w:pStyle w:val="FootnoteText"/>
      </w:pPr>
      <w:r>
        <w:rPr>
          <w:rStyle w:val="FootnoteReference"/>
        </w:rPr>
        <w:footnoteRef/>
      </w:r>
      <w:r>
        <w:t xml:space="preserve"> </w:t>
      </w:r>
      <w:r>
        <w:tab/>
        <w:t xml:space="preserve">See section </w:t>
      </w:r>
      <w:r>
        <w:fldChar w:fldCharType="begin"/>
      </w:r>
      <w:r>
        <w:instrText xml:space="preserve"> REF _Ref478559903 \r \h </w:instrText>
      </w:r>
      <w:r>
        <w:fldChar w:fldCharType="separate"/>
      </w:r>
      <w:r>
        <w:t>3.4.4.1</w:t>
      </w:r>
      <w:r>
        <w:fldChar w:fldCharType="end"/>
      </w:r>
      <w:r>
        <w:t>.</w:t>
      </w:r>
    </w:p>
  </w:footnote>
  <w:footnote w:id="1530">
    <w:p w:rsidR="00E636A0" w:rsidRDefault="00E636A0" w:rsidP="00762CF4">
      <w:pPr>
        <w:pStyle w:val="FootnoteText"/>
      </w:pPr>
      <w:r>
        <w:rPr>
          <w:rStyle w:val="FootnoteReference"/>
        </w:rPr>
        <w:footnoteRef/>
      </w:r>
      <w:r>
        <w:t xml:space="preserve"> </w:t>
      </w:r>
      <w:r>
        <w:tab/>
        <w:t xml:space="preserve">As pointed out in Mathysen, </w:t>
      </w:r>
      <w:r w:rsidRPr="009B20F9">
        <w:rPr>
          <w:rStyle w:val="AERtextitalic"/>
        </w:rPr>
        <w:t>Best estimates of expected inflation: a comparative assessment of four methods</w:t>
      </w:r>
      <w:r>
        <w:t>, ACCC Working Paper # 11, April 2017, paragraph 212.</w:t>
      </w:r>
    </w:p>
  </w:footnote>
  <w:footnote w:id="1531">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189-190; CEG, </w:t>
      </w:r>
      <w:r w:rsidRPr="00A51CD5">
        <w:rPr>
          <w:rStyle w:val="AERtextitalic"/>
        </w:rPr>
        <w:t>Best Estimate of Expected Inflation</w:t>
      </w:r>
      <w:r>
        <w:t>,</w:t>
      </w:r>
      <w:r w:rsidRPr="00215774">
        <w:t xml:space="preserve"> September 2016</w:t>
      </w:r>
      <w:r>
        <w:t>, p. 35.</w:t>
      </w:r>
    </w:p>
  </w:footnote>
  <w:footnote w:id="1532">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41-44.</w:t>
      </w:r>
    </w:p>
  </w:footnote>
  <w:footnote w:id="1533">
    <w:p w:rsidR="00E636A0" w:rsidRDefault="00E636A0" w:rsidP="00762CF4">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534">
    <w:p w:rsidR="00E636A0" w:rsidRDefault="00E636A0" w:rsidP="00762CF4">
      <w:pPr>
        <w:pStyle w:val="FootnoteText"/>
      </w:pPr>
      <w:r>
        <w:rPr>
          <w:rStyle w:val="FootnoteReference"/>
        </w:rPr>
        <w:footnoteRef/>
      </w:r>
      <w:r>
        <w:t xml:space="preserve"> </w:t>
      </w:r>
      <w:r>
        <w:tab/>
      </w:r>
      <w:r>
        <w:rPr>
          <w:rFonts w:asciiTheme="minorHAnsi" w:eastAsiaTheme="minorEastAsia" w:hAnsiTheme="minorHAnsi" w:cstheme="minorHAnsi"/>
          <w:sz w:val="17"/>
          <w:szCs w:val="17"/>
        </w:rPr>
        <w:t>Olesya Grishchenko and Jing-z</w:t>
      </w:r>
      <w:r w:rsidRPr="00EE5409">
        <w:rPr>
          <w:rFonts w:asciiTheme="minorHAnsi" w:eastAsiaTheme="minorEastAsia" w:hAnsiTheme="minorHAnsi" w:cstheme="minorHAnsi"/>
          <w:sz w:val="17"/>
          <w:szCs w:val="17"/>
        </w:rPr>
        <w:t xml:space="preserve">hi Huang (2012), </w:t>
      </w:r>
      <w:r w:rsidRPr="006A4EB6">
        <w:rPr>
          <w:rStyle w:val="AERtextitalic"/>
        </w:rPr>
        <w:t>Inflation Risk Premium: Evidence from the TIPS market</w:t>
      </w:r>
      <w:r w:rsidRPr="00EE5409">
        <w:rPr>
          <w:rFonts w:asciiTheme="minorHAnsi" w:eastAsiaTheme="minorEastAsia" w:hAnsiTheme="minorHAnsi" w:cstheme="minorHAnsi"/>
          <w:sz w:val="17"/>
          <w:szCs w:val="17"/>
        </w:rPr>
        <w:t xml:space="preserve">, </w:t>
      </w:r>
      <w:r w:rsidRPr="00EE5409">
        <w:rPr>
          <w:rFonts w:asciiTheme="minorHAnsi" w:eastAsiaTheme="minorEastAsia" w:hAnsiTheme="minorHAnsi" w:cstheme="minorHAnsi"/>
          <w:i/>
          <w:sz w:val="17"/>
          <w:szCs w:val="17"/>
        </w:rPr>
        <w:t xml:space="preserve">Finance and Economics Discussion Series Divisions of Research and Statistics and Monetary Affairs, Federal Reserve Board, Washington, D.C. </w:t>
      </w:r>
      <w:r w:rsidRPr="00EE5409">
        <w:rPr>
          <w:rFonts w:asciiTheme="minorHAnsi" w:eastAsiaTheme="minorEastAsia" w:hAnsiTheme="minorHAnsi" w:cstheme="minorHAnsi"/>
          <w:sz w:val="17"/>
          <w:szCs w:val="17"/>
        </w:rPr>
        <w:t>2012-06</w:t>
      </w:r>
    </w:p>
  </w:footnote>
  <w:footnote w:id="1535">
    <w:p w:rsidR="00E636A0" w:rsidRDefault="00E636A0" w:rsidP="00762CF4">
      <w:pPr>
        <w:pStyle w:val="FootnoteText"/>
      </w:pPr>
      <w:r>
        <w:rPr>
          <w:rStyle w:val="FootnoteReference"/>
        </w:rPr>
        <w:footnoteRef/>
      </w:r>
      <w:r>
        <w:t xml:space="preserve"> </w:t>
      </w:r>
      <w:r>
        <w:tab/>
      </w:r>
      <w:r>
        <w:rPr>
          <w:sz w:val="17"/>
          <w:szCs w:val="17"/>
        </w:rPr>
        <w:t xml:space="preserve">Andrew Ang, Geert Bekaert and Min Wei (2008), ‘The Term Structure of Real Rates and Expected Inflation’, </w:t>
      </w:r>
      <w:r w:rsidRPr="00B27352">
        <w:rPr>
          <w:i/>
          <w:sz w:val="17"/>
          <w:szCs w:val="17"/>
        </w:rPr>
        <w:t>The</w:t>
      </w:r>
      <w:r>
        <w:rPr>
          <w:sz w:val="17"/>
          <w:szCs w:val="17"/>
        </w:rPr>
        <w:t xml:space="preserve"> </w:t>
      </w:r>
      <w:r w:rsidRPr="00F869F1">
        <w:rPr>
          <w:i/>
          <w:sz w:val="17"/>
          <w:szCs w:val="17"/>
        </w:rPr>
        <w:t>Journal of Finance</w:t>
      </w:r>
      <w:r>
        <w:rPr>
          <w:sz w:val="17"/>
          <w:szCs w:val="17"/>
        </w:rPr>
        <w:t>, 63(2), April</w:t>
      </w:r>
    </w:p>
  </w:footnote>
  <w:footnote w:id="1536">
    <w:p w:rsidR="00E636A0" w:rsidRDefault="00E636A0" w:rsidP="00762CF4">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pp. 46-47.</w:t>
      </w:r>
    </w:p>
  </w:footnote>
  <w:footnote w:id="1537">
    <w:p w:rsidR="00E636A0" w:rsidRDefault="00E636A0" w:rsidP="00762CF4">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Paras 100, 113, 118, 135, 136</w:t>
      </w:r>
    </w:p>
  </w:footnote>
  <w:footnote w:id="1538">
    <w:p w:rsidR="00E636A0" w:rsidRDefault="00E636A0" w:rsidP="00762CF4">
      <w:pPr>
        <w:pStyle w:val="FootnoteText"/>
      </w:pPr>
      <w:r>
        <w:rPr>
          <w:rStyle w:val="FootnoteReference"/>
        </w:rPr>
        <w:footnoteRef/>
      </w:r>
      <w:r>
        <w:t xml:space="preserve"> </w:t>
      </w:r>
      <w:r>
        <w:tab/>
      </w:r>
      <w:r w:rsidRPr="008F304E">
        <w:t>Carlos Zarazaga (2010), ‘The Difficult Art of Eliciting Long-Run Inflation Expectations from Government Bond Prices’, Staff Papers, Federal Reserve Bank of Dallas, No. 9, March, p. 38.</w:t>
      </w:r>
    </w:p>
  </w:footnote>
  <w:footnote w:id="1539">
    <w:p w:rsidR="00E636A0" w:rsidRDefault="00E636A0" w:rsidP="00762CF4">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208(d).</w:t>
      </w:r>
    </w:p>
  </w:footnote>
  <w:footnote w:id="1540">
    <w:p w:rsidR="00E636A0" w:rsidRDefault="00E636A0" w:rsidP="00762CF4">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212.</w:t>
      </w:r>
    </w:p>
  </w:footnote>
  <w:footnote w:id="1541">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p. 39.</w:t>
      </w:r>
    </w:p>
  </w:footnote>
  <w:footnote w:id="1542">
    <w:p w:rsidR="00E636A0" w:rsidRDefault="00E636A0" w:rsidP="00762CF4">
      <w:pPr>
        <w:pStyle w:val="FootnoteText"/>
      </w:pPr>
      <w:r>
        <w:rPr>
          <w:rStyle w:val="FootnoteReference"/>
        </w:rPr>
        <w:footnoteRef/>
      </w:r>
      <w:r>
        <w:t xml:space="preserve"> </w:t>
      </w:r>
      <w:r>
        <w:tab/>
        <w:t>CCP, Response to AusNet Services Revised Revenue Proposal for 2017-2022, October 2016, p.16.</w:t>
      </w:r>
    </w:p>
  </w:footnote>
  <w:footnote w:id="1543">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 189; CEG, </w:t>
      </w:r>
      <w:r w:rsidRPr="00A51CD5">
        <w:rPr>
          <w:rStyle w:val="AERtextitalic"/>
        </w:rPr>
        <w:t>Best Estimate of Expected Inflation</w:t>
      </w:r>
      <w:r>
        <w:t>,</w:t>
      </w:r>
      <w:r w:rsidRPr="00215774">
        <w:t xml:space="preserve"> September 2016</w:t>
      </w:r>
      <w:r>
        <w:t>, pp. 36-37.</w:t>
      </w:r>
    </w:p>
  </w:footnote>
  <w:footnote w:id="1544">
    <w:p w:rsidR="00E636A0" w:rsidRDefault="00E636A0" w:rsidP="00762CF4">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545">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38-39.</w:t>
      </w:r>
    </w:p>
  </w:footnote>
  <w:footnote w:id="1546">
    <w:p w:rsidR="00E636A0" w:rsidRDefault="00E636A0" w:rsidP="00762CF4">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r w:rsidDel="00251EB5">
        <w:t xml:space="preserve"> </w:t>
      </w:r>
    </w:p>
  </w:footnote>
  <w:footnote w:id="1547">
    <w:p w:rsidR="00E636A0" w:rsidRDefault="00E636A0" w:rsidP="00762CF4">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section 5.3.3.</w:t>
      </w:r>
    </w:p>
  </w:footnote>
  <w:footnote w:id="1548">
    <w:p w:rsidR="00E636A0" w:rsidRDefault="00E636A0" w:rsidP="00762CF4">
      <w:pPr>
        <w:pStyle w:val="FootnoteText"/>
      </w:pPr>
      <w:r>
        <w:rPr>
          <w:rStyle w:val="FootnoteReference"/>
        </w:rPr>
        <w:footnoteRef/>
      </w:r>
      <w:r>
        <w:t xml:space="preserve"> </w:t>
      </w:r>
      <w:r>
        <w:tab/>
        <w:t xml:space="preserve">CEG, </w:t>
      </w:r>
      <w:r w:rsidRPr="00112BDF">
        <w:rPr>
          <w:rStyle w:val="AERtextitalic"/>
        </w:rPr>
        <w:t>Best estimate of expected inflation</w:t>
      </w:r>
      <w:r>
        <w:t>, September 2016, pp. 46-47.</w:t>
      </w:r>
    </w:p>
  </w:footnote>
  <w:footnote w:id="1549">
    <w:p w:rsidR="00E636A0" w:rsidRDefault="00E636A0" w:rsidP="00762CF4">
      <w:pPr>
        <w:pStyle w:val="FootnoteText"/>
      </w:pPr>
      <w:r>
        <w:rPr>
          <w:rStyle w:val="FootnoteReference"/>
        </w:rPr>
        <w:footnoteRef/>
      </w:r>
      <w:r>
        <w:t xml:space="preserve"> </w:t>
      </w:r>
      <w:r>
        <w:tab/>
      </w:r>
      <w:r>
        <w:rPr>
          <w:rFonts w:asciiTheme="minorHAnsi" w:hAnsiTheme="minorHAnsi" w:cstheme="minorHAnsi"/>
        </w:rPr>
        <w:t>Hayden 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rPr>
          <w:rFonts w:asciiTheme="minorHAnsi" w:hAnsiTheme="minorHAnsi" w:cstheme="minorHAnsi"/>
        </w:rPr>
        <w:t xml:space="preserve"> </w:t>
      </w:r>
      <w:r>
        <w:t xml:space="preserve">ACCC Working Paper #11, 2017, </w:t>
      </w:r>
      <w:r>
        <w:rPr>
          <w:rFonts w:asciiTheme="minorHAnsi" w:hAnsiTheme="minorHAnsi" w:cstheme="minorHAnsi"/>
        </w:rPr>
        <w:t>p</w:t>
      </w:r>
      <w:r>
        <w:t>aragraph</w:t>
      </w:r>
      <w:r>
        <w:rPr>
          <w:rFonts w:asciiTheme="minorHAnsi" w:hAnsiTheme="minorHAnsi" w:cstheme="minorHAnsi"/>
        </w:rPr>
        <w:t xml:space="preserve"> </w:t>
      </w:r>
      <w:r>
        <w:t>137</w:t>
      </w:r>
      <w:r>
        <w:rPr>
          <w:rFonts w:asciiTheme="minorHAnsi" w:hAnsiTheme="minorHAnsi" w:cstheme="minorHAnsi"/>
        </w:rPr>
        <w:t>.</w:t>
      </w:r>
    </w:p>
  </w:footnote>
  <w:footnote w:id="1550">
    <w:p w:rsidR="00E636A0" w:rsidRDefault="00E636A0" w:rsidP="00762CF4">
      <w:pPr>
        <w:pStyle w:val="FootnoteText"/>
      </w:pPr>
      <w:r>
        <w:rPr>
          <w:rStyle w:val="FootnoteReference"/>
        </w:rPr>
        <w:footnoteRef/>
      </w:r>
      <w:r>
        <w:t xml:space="preserve"> </w:t>
      </w:r>
      <w:r>
        <w:tab/>
        <w:t xml:space="preserve">Andrew Ang, Geert Bekaert, and Min Wei, </w:t>
      </w:r>
      <w:r w:rsidRPr="006A4EB6">
        <w:rPr>
          <w:rStyle w:val="AERtextitalic"/>
        </w:rPr>
        <w:t>The Term Structure of Real Rates and Expected Inflation</w:t>
      </w:r>
      <w:r>
        <w:t>, The Journal of Finance, 63(2), April 2008, pp. 797-849.</w:t>
      </w:r>
    </w:p>
  </w:footnote>
  <w:footnote w:id="1551">
    <w:p w:rsidR="00E636A0" w:rsidRPr="00302409" w:rsidRDefault="00E636A0" w:rsidP="00762CF4">
      <w:pPr>
        <w:pStyle w:val="FootnoteText"/>
      </w:pPr>
      <w:r>
        <w:rPr>
          <w:rStyle w:val="FootnoteReference"/>
        </w:rPr>
        <w:footnoteRef/>
      </w:r>
      <w:r>
        <w:t xml:space="preserve"> </w:t>
      </w:r>
      <w:r>
        <w:tab/>
      </w:r>
      <w:r w:rsidRPr="00302409">
        <w:t>Coroneo, L, (2016) “TIPS Liquidity Premium and Quantitative Easing”, Working paper (draft version April</w:t>
      </w:r>
      <w:r>
        <w:t xml:space="preserve"> </w:t>
      </w:r>
      <w:r w:rsidRPr="00302409">
        <w:t>2nd 2016)</w:t>
      </w:r>
      <w:r>
        <w:t>.</w:t>
      </w:r>
    </w:p>
  </w:footnote>
  <w:footnote w:id="1552">
    <w:p w:rsidR="00E636A0" w:rsidRDefault="00E636A0" w:rsidP="00762CF4">
      <w:pPr>
        <w:pStyle w:val="FootnoteText"/>
      </w:pPr>
      <w:r>
        <w:rPr>
          <w:rStyle w:val="FootnoteReference"/>
        </w:rPr>
        <w:footnoteRef/>
      </w:r>
      <w:r>
        <w:t xml:space="preserve"> </w:t>
      </w:r>
      <w:r>
        <w:tab/>
        <w:t xml:space="preserve">CEG, </w:t>
      </w:r>
      <w:r w:rsidRPr="007F03DF">
        <w:rPr>
          <w:i/>
        </w:rPr>
        <w:t>Best estimate of expected inflation</w:t>
      </w:r>
      <w:r>
        <w:rPr>
          <w:i/>
        </w:rPr>
        <w:t xml:space="preserve">, </w:t>
      </w:r>
      <w:r>
        <w:t>September 2016, p. 50.</w:t>
      </w:r>
    </w:p>
  </w:footnote>
  <w:footnote w:id="1553">
    <w:p w:rsidR="00E636A0" w:rsidRDefault="00E636A0" w:rsidP="00762CF4">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11.</w:t>
      </w:r>
    </w:p>
  </w:footnote>
  <w:footnote w:id="1554">
    <w:p w:rsidR="00E636A0" w:rsidRDefault="00E636A0" w:rsidP="00762CF4">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26.</w:t>
      </w:r>
    </w:p>
  </w:footnote>
  <w:footnote w:id="1555">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41-44.</w:t>
      </w:r>
    </w:p>
  </w:footnote>
  <w:footnote w:id="1556">
    <w:p w:rsidR="00E636A0" w:rsidRDefault="00E636A0" w:rsidP="00762CF4">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557">
    <w:p w:rsidR="00E636A0" w:rsidRDefault="00E636A0" w:rsidP="00762CF4">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558">
    <w:p w:rsidR="00E636A0" w:rsidRDefault="00E636A0" w:rsidP="00762CF4">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559">
    <w:p w:rsidR="00E636A0" w:rsidRDefault="00E636A0" w:rsidP="00762CF4">
      <w:pPr>
        <w:pStyle w:val="FootnoteText"/>
      </w:pPr>
      <w:r>
        <w:rPr>
          <w:rStyle w:val="FootnoteReference"/>
        </w:rPr>
        <w:footnoteRef/>
      </w:r>
      <w:r>
        <w:t xml:space="preserve"> </w:t>
      </w:r>
      <w:r>
        <w:tab/>
        <w:t>Estimated by removing estimated biases and risk premia from the break-even inflation rate.</w:t>
      </w:r>
    </w:p>
  </w:footnote>
  <w:footnote w:id="1560">
    <w:p w:rsidR="00E636A0" w:rsidRDefault="00E636A0" w:rsidP="00762CF4">
      <w:pPr>
        <w:pStyle w:val="FootnoteText"/>
      </w:pPr>
      <w:r>
        <w:rPr>
          <w:rStyle w:val="FootnoteReference"/>
        </w:rPr>
        <w:footnoteRef/>
      </w:r>
      <w:r>
        <w:t xml:space="preserve"> </w:t>
      </w:r>
      <w:r>
        <w:tab/>
      </w:r>
      <w:r>
        <w:rPr>
          <w:rFonts w:asciiTheme="minorHAnsi" w:hAnsiTheme="minorHAnsi" w:cstheme="minorHAnsi"/>
        </w:rPr>
        <w:t>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t xml:space="preserve"> ACCC Working Paper #11, April 2017,</w:t>
      </w:r>
      <w:r>
        <w:rPr>
          <w:rFonts w:asciiTheme="minorHAnsi" w:hAnsiTheme="minorHAnsi" w:cstheme="minorHAnsi"/>
        </w:rPr>
        <w:t xml:space="preserve"> p</w:t>
      </w:r>
      <w:r>
        <w:t>aragraphs</w:t>
      </w:r>
      <w:r>
        <w:rPr>
          <w:rFonts w:asciiTheme="minorHAnsi" w:hAnsiTheme="minorHAnsi" w:cstheme="minorHAnsi"/>
        </w:rPr>
        <w:t xml:space="preserve"> </w:t>
      </w:r>
      <w:r>
        <w:t>36</w:t>
      </w:r>
      <w:r>
        <w:rPr>
          <w:rFonts w:asciiTheme="minorHAnsi" w:hAnsiTheme="minorHAnsi" w:cstheme="minorHAnsi"/>
        </w:rPr>
        <w:t>-</w:t>
      </w:r>
      <w:r>
        <w:t>38</w:t>
      </w:r>
      <w:r>
        <w:rPr>
          <w:rFonts w:asciiTheme="minorHAnsi" w:hAnsiTheme="minorHAnsi" w:cstheme="minorHAnsi"/>
        </w:rPr>
        <w:t>.</w:t>
      </w:r>
    </w:p>
  </w:footnote>
  <w:footnote w:id="1561">
    <w:p w:rsidR="00E636A0" w:rsidRDefault="00E636A0" w:rsidP="00762CF4">
      <w:pPr>
        <w:pStyle w:val="FootnoteText"/>
      </w:pPr>
      <w:r>
        <w:rPr>
          <w:rStyle w:val="FootnoteReference"/>
        </w:rPr>
        <w:footnoteRef/>
      </w:r>
      <w:r>
        <w:t xml:space="preserve"> </w:t>
      </w:r>
      <w:r>
        <w:tab/>
        <w:t xml:space="preserve">CEG, </w:t>
      </w:r>
      <w:r w:rsidRPr="007F03DF">
        <w:rPr>
          <w:i/>
        </w:rPr>
        <w:t>Best estimate of expected inflation</w:t>
      </w:r>
      <w:r>
        <w:t xml:space="preserve"> pp. 42-43.</w:t>
      </w:r>
    </w:p>
  </w:footnote>
  <w:footnote w:id="1562">
    <w:p w:rsidR="00E636A0" w:rsidRPr="00D059DA" w:rsidRDefault="00E636A0" w:rsidP="00762CF4">
      <w:pPr>
        <w:pStyle w:val="FootnoteText"/>
        <w:rPr>
          <w:szCs w:val="16"/>
        </w:rPr>
      </w:pPr>
      <w:r w:rsidRPr="00D059DA">
        <w:rPr>
          <w:rStyle w:val="FootnoteReference"/>
          <w:szCs w:val="16"/>
        </w:rPr>
        <w:footnoteRef/>
      </w:r>
      <w:r w:rsidRPr="00D059DA">
        <w:rPr>
          <w:szCs w:val="16"/>
        </w:rPr>
        <w:t xml:space="preserve"> </w:t>
      </w:r>
      <w:r w:rsidRPr="00D059DA">
        <w:rPr>
          <w:szCs w:val="16"/>
        </w:rPr>
        <w:tab/>
      </w:r>
      <w:r>
        <w:t xml:space="preserve">That is, as a proportion of total (nominal and indexed) government securities. Source for </w:t>
      </w:r>
      <w:r w:rsidRPr="00D059DA">
        <w:rPr>
          <w:szCs w:val="16"/>
        </w:rPr>
        <w:t xml:space="preserve">UK values: </w:t>
      </w:r>
      <w:hyperlink r:id="rId33" w:history="1">
        <w:r w:rsidRPr="00D059DA">
          <w:rPr>
            <w:rStyle w:val="Hyperlink"/>
            <w:rFonts w:asciiTheme="minorHAnsi" w:hAnsiTheme="minorHAnsi" w:cstheme="minorHAnsi"/>
            <w:sz w:val="16"/>
            <w:szCs w:val="16"/>
          </w:rPr>
          <w:t>http://www.dmo.gov.uk/index.aspx?page=gilts/about_gilts</w:t>
        </w:r>
      </w:hyperlink>
      <w:r w:rsidRPr="00D059DA">
        <w:rPr>
          <w:szCs w:val="16"/>
        </w:rPr>
        <w:t xml:space="preserve">. </w:t>
      </w:r>
      <w:r>
        <w:t xml:space="preserve">Source for </w:t>
      </w:r>
      <w:r w:rsidRPr="00D059DA">
        <w:rPr>
          <w:szCs w:val="16"/>
        </w:rPr>
        <w:t xml:space="preserve">US values: </w:t>
      </w:r>
      <w:hyperlink r:id="rId34" w:history="1">
        <w:r w:rsidRPr="00D059DA">
          <w:rPr>
            <w:rStyle w:val="Hyperlink"/>
            <w:rFonts w:asciiTheme="minorHAnsi" w:hAnsiTheme="minorHAnsi" w:cstheme="minorHAnsi"/>
            <w:sz w:val="16"/>
            <w:szCs w:val="16"/>
          </w:rPr>
          <w:t>https://www.treasurydirect.gov/govt/charts/principal/principal_debt.htm</w:t>
        </w:r>
      </w:hyperlink>
    </w:p>
  </w:footnote>
  <w:footnote w:id="1563">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48.</w:t>
      </w:r>
    </w:p>
  </w:footnote>
  <w:footnote w:id="1564">
    <w:p w:rsidR="00E636A0" w:rsidRDefault="00E636A0" w:rsidP="00762CF4">
      <w:pPr>
        <w:pStyle w:val="FootnoteText"/>
      </w:pPr>
      <w:r>
        <w:rPr>
          <w:rStyle w:val="FootnoteReference"/>
        </w:rPr>
        <w:footnoteRef/>
      </w:r>
      <w:r>
        <w:t xml:space="preserve"> </w:t>
      </w:r>
      <w:r>
        <w:tab/>
      </w:r>
      <w:r w:rsidRPr="00526E22">
        <w:t>Mathysen, Consideration of best estimates of expected inflation: comparing and ranking approaches,</w:t>
      </w:r>
      <w:r>
        <w:t xml:space="preserve"> ACCC Working Paper #11, 2017, para 71.</w:t>
      </w:r>
    </w:p>
  </w:footnote>
  <w:footnote w:id="1565">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 42; AusNet Transmission Group Pty Ltd, </w:t>
      </w:r>
      <w:r w:rsidRPr="00A51CD5">
        <w:rPr>
          <w:rStyle w:val="AERtextitalic"/>
        </w:rPr>
        <w:t>Transmission Revenue Review 2017-2022 Revised Revenue Proposal</w:t>
      </w:r>
      <w:r>
        <w:t>, 21 September 2016, pp. 189-190.</w:t>
      </w:r>
    </w:p>
  </w:footnote>
  <w:footnote w:id="1566">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46.</w:t>
      </w:r>
    </w:p>
  </w:footnote>
  <w:footnote w:id="1567">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42.</w:t>
      </w:r>
    </w:p>
  </w:footnote>
  <w:footnote w:id="1568">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49.</w:t>
      </w:r>
    </w:p>
  </w:footnote>
  <w:footnote w:id="1569">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50.</w:t>
      </w:r>
    </w:p>
  </w:footnote>
  <w:footnote w:id="1570">
    <w:p w:rsidR="00E636A0" w:rsidRDefault="00E636A0" w:rsidP="00762CF4">
      <w:pPr>
        <w:pStyle w:val="FootnoteText"/>
      </w:pPr>
      <w:r>
        <w:rPr>
          <w:rStyle w:val="FootnoteReference"/>
        </w:rPr>
        <w:footnoteRef/>
      </w:r>
      <w:r>
        <w:t xml:space="preserve"> </w:t>
      </w:r>
      <w:r>
        <w:tab/>
        <w:t xml:space="preserve">Based on simple difference. See: </w:t>
      </w:r>
      <w:r w:rsidRPr="007072D2">
        <w:t>Kodjo Apedjinou, Priya Misra and Anshul Pradhan (2006), A TIPS Valuation Framework, Fixed Income Research, U.S. Interest Rate Strategy, Lehmann Brothers</w:t>
      </w:r>
      <w:r>
        <w:t>, p. 8.</w:t>
      </w:r>
    </w:p>
  </w:footnote>
  <w:footnote w:id="1571">
    <w:p w:rsidR="00E636A0" w:rsidRDefault="00E636A0" w:rsidP="00762CF4">
      <w:pPr>
        <w:pStyle w:val="FootnoteText"/>
      </w:pPr>
      <w:r>
        <w:rPr>
          <w:rStyle w:val="FootnoteReference"/>
        </w:rPr>
        <w:footnoteRef/>
      </w:r>
      <w:r>
        <w:t xml:space="preserve"> </w:t>
      </w:r>
      <w:r>
        <w:tab/>
        <w:t xml:space="preserve">See: John Hull, </w:t>
      </w:r>
      <w:r w:rsidRPr="007072D2">
        <w:rPr>
          <w:rStyle w:val="AERtextitalic"/>
        </w:rPr>
        <w:t>Options, Futures and Other Derivatives, Seventh Edition</w:t>
      </w:r>
      <w:r>
        <w:t>, Pearson Prentice Hall, New Jersey, 2009, p. 672.</w:t>
      </w:r>
    </w:p>
  </w:footnote>
  <w:footnote w:id="1572">
    <w:p w:rsidR="00E636A0" w:rsidRDefault="00E636A0" w:rsidP="00762CF4">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140.</w:t>
      </w:r>
    </w:p>
  </w:footnote>
  <w:footnote w:id="1573">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pp. 66-67.</w:t>
      </w:r>
    </w:p>
  </w:footnote>
  <w:footnote w:id="1574">
    <w:p w:rsidR="00E636A0" w:rsidRPr="00FB2D7C" w:rsidRDefault="00E636A0" w:rsidP="00762CF4">
      <w:pPr>
        <w:pStyle w:val="FootnoteText"/>
      </w:pPr>
      <w:r>
        <w:rPr>
          <w:rStyle w:val="FootnoteReference"/>
        </w:rPr>
        <w:footnoteRef/>
      </w:r>
      <w:r>
        <w:t xml:space="preserve"> </w:t>
      </w:r>
      <w:r>
        <w:tab/>
      </w:r>
      <w:r w:rsidRPr="00FB2D7C">
        <w:t>John Campbell, Robert Shiller and Luis Viceira (2009), ‘Understanding Inflation-Indexed Bond Markets’, Brookings Papers on Economic Activity, Spring 2009, pp. 108-109.</w:t>
      </w:r>
    </w:p>
  </w:footnote>
  <w:footnote w:id="1575">
    <w:p w:rsidR="00E636A0" w:rsidRDefault="00E636A0" w:rsidP="00762CF4">
      <w:pPr>
        <w:pStyle w:val="FootnoteText"/>
      </w:pPr>
      <w:r>
        <w:rPr>
          <w:rStyle w:val="FootnoteReference"/>
        </w:rPr>
        <w:footnoteRef/>
      </w:r>
      <w:r>
        <w:t xml:space="preserve"> </w:t>
      </w:r>
      <w:r>
        <w:tab/>
      </w:r>
      <w:r w:rsidRPr="00E46428">
        <w:t>Richard Finlay and David Olivan (2012), ‘Extracting Information from Financial Market Instruments’, RBA Bulletin, March Quarter, pp. 45-46</w:t>
      </w:r>
      <w:r>
        <w:t>.</w:t>
      </w:r>
    </w:p>
  </w:footnote>
  <w:footnote w:id="1576">
    <w:p w:rsidR="00E636A0" w:rsidRDefault="00E636A0" w:rsidP="00762CF4">
      <w:pPr>
        <w:pStyle w:val="FootnoteText"/>
      </w:pPr>
      <w:r>
        <w:rPr>
          <w:rStyle w:val="FootnoteReference"/>
        </w:rPr>
        <w:footnoteRef/>
      </w:r>
      <w:r>
        <w:t xml:space="preserve"> </w:t>
      </w:r>
      <w:r>
        <w:tab/>
      </w:r>
      <w:r w:rsidRPr="00FB2D7C">
        <w:t>Reserve Bank of Australia, Statement on Monetary Policy, February</w:t>
      </w:r>
      <w:r>
        <w:t xml:space="preserve"> 2015</w:t>
      </w:r>
      <w:r w:rsidRPr="00FB2D7C">
        <w:t>, p. 50</w:t>
      </w:r>
      <w:r>
        <w:t>.</w:t>
      </w:r>
    </w:p>
  </w:footnote>
  <w:footnote w:id="1577">
    <w:p w:rsidR="00E636A0" w:rsidRDefault="00E636A0" w:rsidP="00762CF4">
      <w:pPr>
        <w:pStyle w:val="FootnoteText"/>
      </w:pPr>
      <w:r>
        <w:rPr>
          <w:rStyle w:val="FootnoteReference"/>
        </w:rPr>
        <w:footnoteRef/>
      </w:r>
      <w:r>
        <w:t xml:space="preserve"> </w:t>
      </w:r>
      <w:r>
        <w:tab/>
      </w:r>
      <w:r w:rsidRPr="00FB2D7C">
        <w:t>Matthias Fleckenstein, Francis Longstaff and Hanno Lustig (2014), ‘The TIPS-Treasury Bonds Puzzle’, The Journal of Finance, 69(5), October, pp. 2151-2197</w:t>
      </w:r>
      <w:r>
        <w:t>.</w:t>
      </w:r>
    </w:p>
  </w:footnote>
  <w:footnote w:id="1578">
    <w:p w:rsidR="00E636A0" w:rsidRDefault="00E636A0" w:rsidP="00762CF4">
      <w:pPr>
        <w:pStyle w:val="FootnoteText"/>
      </w:pPr>
      <w:r>
        <w:rPr>
          <w:rStyle w:val="FootnoteReference"/>
        </w:rPr>
        <w:footnoteRef/>
      </w:r>
      <w:r>
        <w:t xml:space="preserve"> </w:t>
      </w:r>
      <w:r>
        <w:tab/>
      </w:r>
      <w:r w:rsidRPr="00FB2D7C">
        <w:t>Joseph Haubrich, George Pennachi and Peter Ritchken (2012), ‘Inflation Expectations, Real Rates, and Risk Premia: Evidence from Inflation Swaps’, The Review of Financial Studies, 25(2), p. 1590</w:t>
      </w:r>
      <w:r>
        <w:t>.</w:t>
      </w:r>
    </w:p>
  </w:footnote>
  <w:footnote w:id="1579">
    <w:p w:rsidR="00E636A0" w:rsidRDefault="00E636A0" w:rsidP="00762CF4">
      <w:pPr>
        <w:pStyle w:val="FootnoteText"/>
      </w:pPr>
      <w:r>
        <w:rPr>
          <w:rStyle w:val="FootnoteReference"/>
        </w:rPr>
        <w:footnoteRef/>
      </w:r>
      <w:r>
        <w:t xml:space="preserve"> </w:t>
      </w:r>
      <w:r>
        <w:tab/>
      </w:r>
      <w:r w:rsidRPr="00FB2D7C">
        <w:t>Carolin Pflueger and Luis Viceira (2015), ‘Return Predictability in the Treasury Market: Real Rates, Inflation, and Liquidity’, Working Paper, p</w:t>
      </w:r>
      <w:r>
        <w:t>p. 12,</w:t>
      </w:r>
      <w:r w:rsidRPr="00FB2D7C">
        <w:t xml:space="preserve"> 16</w:t>
      </w:r>
      <w:r>
        <w:t>.</w:t>
      </w:r>
    </w:p>
  </w:footnote>
  <w:footnote w:id="1580">
    <w:p w:rsidR="00E636A0" w:rsidRDefault="00E636A0" w:rsidP="00762CF4">
      <w:pPr>
        <w:pStyle w:val="FootnoteText"/>
      </w:pPr>
      <w:r>
        <w:rPr>
          <w:rStyle w:val="FootnoteReference"/>
        </w:rPr>
        <w:footnoteRef/>
      </w:r>
      <w:r>
        <w:t xml:space="preserve"> </w:t>
      </w:r>
      <w:r>
        <w:tab/>
      </w:r>
      <w:r w:rsidRPr="00FB2D7C">
        <w:t>Zhuoshi Liu, Elisabeth Vangelista, Iryna Kaminski and Jon Relleen (2015), ‘The informational content of market-based measures of inflation expectations derived from government bonds and inflation swaps in the United Kingdom’, Staff Working Paper No. 551, Bank of England, p. 2</w:t>
      </w:r>
      <w:r>
        <w:t>.</w:t>
      </w:r>
    </w:p>
  </w:footnote>
  <w:footnote w:id="1581">
    <w:p w:rsidR="00E636A0" w:rsidRDefault="00E636A0" w:rsidP="00762CF4">
      <w:pPr>
        <w:pStyle w:val="FootnoteText"/>
      </w:pPr>
      <w:r>
        <w:rPr>
          <w:rStyle w:val="FootnoteReference"/>
        </w:rPr>
        <w:footnoteRef/>
      </w:r>
      <w:r>
        <w:t xml:space="preserve"> </w:t>
      </w:r>
      <w:r>
        <w:tab/>
      </w:r>
      <w:r w:rsidRPr="00FB2D7C">
        <w:t>Jens Christensen and James Gillan (2012), ‘Could the US Treasury Benefit from Issuing More TIPS?’, Federal Reserve Bank of San Francisco, Working Paper Series, pp. 1-37</w:t>
      </w:r>
      <w:r>
        <w:t>.</w:t>
      </w:r>
    </w:p>
  </w:footnote>
  <w:footnote w:id="1582">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September 2016, pp. 13-15, 28.</w:t>
      </w:r>
    </w:p>
  </w:footnote>
  <w:footnote w:id="1583">
    <w:p w:rsidR="00E636A0" w:rsidRDefault="00E636A0" w:rsidP="00762CF4">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September 2016, pp. 13-15,</w:t>
      </w:r>
      <w:r w:rsidRPr="00116A00">
        <w:t xml:space="preserve"> 18-21</w:t>
      </w:r>
      <w:r>
        <w:t xml:space="preserve">; AusNet Transmission Group Pty Ltd, </w:t>
      </w:r>
      <w:r w:rsidRPr="00A51CD5">
        <w:rPr>
          <w:rStyle w:val="AERtextitalic"/>
        </w:rPr>
        <w:t>Transmission Revenue Review 2017-2022 Revised Revenue Proposal</w:t>
      </w:r>
      <w:r>
        <w:t>, 21 September 2016,</w:t>
      </w:r>
      <w:r w:rsidRPr="00116A00">
        <w:t xml:space="preserve"> pp. 188, 190-191</w:t>
      </w:r>
      <w:r>
        <w:t>.</w:t>
      </w:r>
    </w:p>
  </w:footnote>
  <w:footnote w:id="1584">
    <w:p w:rsidR="00E636A0" w:rsidRDefault="00E636A0" w:rsidP="00762CF4">
      <w:pPr>
        <w:pStyle w:val="FootnoteText"/>
      </w:pPr>
      <w:r>
        <w:rPr>
          <w:rStyle w:val="FootnoteReference"/>
        </w:rPr>
        <w:footnoteRef/>
      </w:r>
      <w:r>
        <w:t xml:space="preserve"> </w:t>
      </w:r>
      <w:r>
        <w:tab/>
        <w:t xml:space="preserve">See Figures 2, 3, 5, 6, 7, and 8 in CEG, </w:t>
      </w:r>
      <w:r w:rsidRPr="00A51CD5">
        <w:rPr>
          <w:rStyle w:val="AERtextitalic"/>
        </w:rPr>
        <w:t>Best Estimate of Expected Inflation</w:t>
      </w:r>
      <w:r>
        <w:t>,</w:t>
      </w:r>
      <w:r w:rsidRPr="00ED7C40">
        <w:t xml:space="preserve"> </w:t>
      </w:r>
      <w:r>
        <w:t>September 2016.</w:t>
      </w:r>
    </w:p>
  </w:footnote>
  <w:footnote w:id="1585">
    <w:p w:rsidR="00E636A0" w:rsidRDefault="00E636A0" w:rsidP="00762CF4">
      <w:pPr>
        <w:pStyle w:val="FootnoteText"/>
      </w:pPr>
      <w:r>
        <w:rPr>
          <w:rStyle w:val="FootnoteReference"/>
        </w:rPr>
        <w:footnoteRef/>
      </w:r>
      <w:r>
        <w:t xml:space="preserve"> </w:t>
      </w:r>
      <w:r>
        <w:tab/>
        <w:t xml:space="preserve">See, e.g., </w:t>
      </w:r>
      <w:r w:rsidRPr="00B22FAC">
        <w:t>Christian Gillitzer and John Simon (2015), ‘Inflation Targeting: A Victim of Its Own Success?’, RDP 2015</w:t>
      </w:r>
      <w:r>
        <w:t>–</w:t>
      </w:r>
      <w:r w:rsidRPr="00B22FAC">
        <w:t xml:space="preserve">09, August, </w:t>
      </w:r>
      <w:r w:rsidRPr="00EE45FC">
        <w:rPr>
          <w:rStyle w:val="Emphasis"/>
        </w:rPr>
        <w:t>Reserve Bank of Australia Discussion Paper</w:t>
      </w:r>
      <w:r w:rsidRPr="00B22FAC">
        <w:t>, pp. 1</w:t>
      </w:r>
      <w:r>
        <w:t>–</w:t>
      </w:r>
      <w:r w:rsidRPr="00B22FAC">
        <w:t>37</w:t>
      </w:r>
      <w:r>
        <w:rPr>
          <w:rFonts w:cs="Arial"/>
        </w:rPr>
        <w:t xml:space="preserve">; </w:t>
      </w:r>
      <w:r w:rsidRPr="00B22FAC">
        <w:t xml:space="preserve">Richard Finlay and Sebastian Wende (2011), ‘Estimating Inflation Expectations with a Limited Number of Inflation-indexed Bonds’, </w:t>
      </w:r>
      <w:r w:rsidRPr="00EE45FC">
        <w:rPr>
          <w:rStyle w:val="Emphasis"/>
        </w:rPr>
        <w:t>Research Discussion Paper, Reserve Bank of Australia</w:t>
      </w:r>
      <w:r w:rsidRPr="00B22FAC">
        <w:t>, RDP 2011</w:t>
      </w:r>
      <w:r>
        <w:t>–</w:t>
      </w:r>
      <w:r w:rsidRPr="00B22FAC">
        <w:t>01, March, pp. 1</w:t>
      </w:r>
      <w:r>
        <w:t>–</w:t>
      </w:r>
      <w:r w:rsidRPr="00B22FAC">
        <w:t>35</w:t>
      </w:r>
      <w:r>
        <w:rPr>
          <w:rFonts w:eastAsia="Times New Roman" w:cs="Arial"/>
          <w:lang w:eastAsia="en-AU"/>
        </w:rPr>
        <w:t xml:space="preserve">; </w:t>
      </w:r>
      <w:r w:rsidRPr="00B22FAC">
        <w:t xml:space="preserve">Shawn Chen-Yu Leu and Jeffery Sheen (2006), ‘Asymmetric Monetary Policy in Australia’, </w:t>
      </w:r>
      <w:r w:rsidRPr="00EE45FC">
        <w:rPr>
          <w:rStyle w:val="Emphasis"/>
        </w:rPr>
        <w:t>The Economic Record</w:t>
      </w:r>
      <w:r w:rsidRPr="00B22FAC">
        <w:t>, 82, Special Issue, September, pp. S85</w:t>
      </w:r>
      <w:r>
        <w:t>–</w:t>
      </w:r>
      <w:r w:rsidRPr="00B22FAC">
        <w:t>S96</w:t>
      </w:r>
      <w:r>
        <w:rPr>
          <w:rFonts w:eastAsia="Times New Roman" w:cs="Arial"/>
          <w:lang w:eastAsia="en-AU"/>
        </w:rPr>
        <w:t xml:space="preserve">; and </w:t>
      </w:r>
      <w:r w:rsidRPr="00B22FAC">
        <w:t>Jarkko Jaaskela and Rebecca McKibbin (2010), ‘Learning in an Estimated Small Open Economy Model’, RDP 2010</w:t>
      </w:r>
      <w:r>
        <w:t>–</w:t>
      </w:r>
      <w:r w:rsidRPr="00B22FAC">
        <w:t xml:space="preserve">02, March, </w:t>
      </w:r>
      <w:r w:rsidRPr="00EE45FC">
        <w:rPr>
          <w:rStyle w:val="Emphasis"/>
        </w:rPr>
        <w:t xml:space="preserve">Reserve Bank of Australia Discussion Paper, </w:t>
      </w:r>
      <w:r w:rsidRPr="00B22FAC">
        <w:t>pp. 1</w:t>
      </w:r>
      <w:r>
        <w:t>–</w:t>
      </w:r>
      <w:r w:rsidRPr="00B22FAC">
        <w:t>45</w:t>
      </w:r>
      <w:r>
        <w:t xml:space="preserve">. </w:t>
      </w:r>
      <w:r w:rsidRPr="007B7961">
        <w:t>These studies consider a much longer time frame than the limited selection examined by CEG</w:t>
      </w:r>
      <w:r>
        <w:t>.</w:t>
      </w:r>
    </w:p>
  </w:footnote>
  <w:footnote w:id="1586">
    <w:p w:rsidR="00E636A0" w:rsidRDefault="00E636A0" w:rsidP="00762CF4">
      <w:pPr>
        <w:pStyle w:val="FootnoteText"/>
      </w:pPr>
      <w:r>
        <w:rPr>
          <w:rStyle w:val="FootnoteReference"/>
        </w:rPr>
        <w:footnoteRef/>
      </w:r>
      <w:r>
        <w:t xml:space="preserve"> </w:t>
      </w:r>
      <w:r>
        <w:tab/>
      </w:r>
      <w:r w:rsidRPr="00CC351D">
        <w:t xml:space="preserve">Christian Gillitzer and John Simon (2015), ‘Inflation Targeting: A Victim of Its Own Success?’, RDP 2015-09, August, Reserve Bank of Australia Discussion Paper, pp. 1-37; Shawn Chen-Yu Leu and Jeffery Sheen (2006), ‘Asymmetric Monetary Policy in Australia’, The Economic Record, 82, Special Issue, September, pp. S85-S86. Richard Finlay and Sebastian Wende (2011), ‘Estimating Inflation Expectations with a Limited Number of Inflation-indexed Bonds’, Research Discussion Paper, Reserve Bank of Australia, </w:t>
      </w:r>
      <w:r>
        <w:t>RDP 2011-01, March, pp. 3-4, 13-15,</w:t>
      </w:r>
      <w:r w:rsidRPr="00CC351D">
        <w:t xml:space="preserve"> 22</w:t>
      </w:r>
      <w:r>
        <w:t xml:space="preserve">; </w:t>
      </w:r>
      <w:r w:rsidRPr="00CC351D">
        <w:t>Jarkko Jaaskela and Rebecca McKibbin (2010), ‘Learning in an Estimated Small Open Economy Model’, RDP 2010-02, March, Reserve Bank of Australia Discussion Paper, pp. 1-45</w:t>
      </w:r>
      <w:r>
        <w:t>.</w:t>
      </w:r>
    </w:p>
  </w:footnote>
  <w:footnote w:id="1587">
    <w:p w:rsidR="00E636A0" w:rsidRDefault="00E636A0" w:rsidP="00762CF4">
      <w:pPr>
        <w:pStyle w:val="FootnoteText"/>
      </w:pPr>
      <w:r>
        <w:rPr>
          <w:rStyle w:val="FootnoteReference"/>
        </w:rPr>
        <w:footnoteRef/>
      </w:r>
      <w:r>
        <w:t xml:space="preserve"> </w:t>
      </w:r>
      <w:r>
        <w:tab/>
      </w:r>
      <w:r w:rsidRPr="00CC351D">
        <w:t>Brian Sack (2000), ‘Deriving Inflation Expectations from Nominal and Inflation-Indexed Treasury Yields’, Division of Monetary Affairs, Board of Governors of the Federal Reserve System, Washington DC,16 May, pp. 1-24</w:t>
      </w:r>
      <w:r>
        <w:t xml:space="preserve">; </w:t>
      </w:r>
      <w:r w:rsidRPr="006149CD">
        <w:t>Ian Christensen, Frederic Dion and Christopher Reid (2004), ‘Real Return Bonds, Inflation Expectations, and the Break-Even Inflation Rate’, Bank of Canada Working Paper 2004-43, November</w:t>
      </w:r>
      <w:r>
        <w:t xml:space="preserve">, p. 5, </w:t>
      </w:r>
      <w:r w:rsidRPr="006149CD">
        <w:t>39-4</w:t>
      </w:r>
      <w:r>
        <w:t>0.</w:t>
      </w:r>
    </w:p>
  </w:footnote>
  <w:footnote w:id="1588">
    <w:p w:rsidR="00E636A0" w:rsidRDefault="00E636A0" w:rsidP="00762CF4">
      <w:pPr>
        <w:pStyle w:val="FootnoteText"/>
      </w:pPr>
      <w:r>
        <w:rPr>
          <w:rStyle w:val="FootnoteReference"/>
        </w:rPr>
        <w:footnoteRef/>
      </w:r>
      <w:r>
        <w:t xml:space="preserve"> </w:t>
      </w:r>
      <w:r>
        <w:tab/>
      </w:r>
      <w:r w:rsidRPr="006149CD">
        <w:t>Ian Christensen, Frederic Dion and Christopher Reid (2004), ‘Real Return Bonds, Inflation Expectations, and the Break-Even Inflation Rate’, Bank of Canada Working Paper 2004-43, November</w:t>
      </w:r>
      <w:r>
        <w:t xml:space="preserve">, p. 5, </w:t>
      </w:r>
      <w:r w:rsidRPr="006149CD">
        <w:t>39-40</w:t>
      </w:r>
      <w:r>
        <w:t>.</w:t>
      </w:r>
    </w:p>
  </w:footnote>
  <w:footnote w:id="1589">
    <w:p w:rsidR="00E636A0" w:rsidRDefault="00E636A0" w:rsidP="00762CF4">
      <w:pPr>
        <w:pStyle w:val="FootnoteText"/>
      </w:pPr>
      <w:r>
        <w:rPr>
          <w:rStyle w:val="FootnoteReference"/>
        </w:rPr>
        <w:footnoteRef/>
      </w:r>
      <w:r>
        <w:t xml:space="preserve"> </w:t>
      </w:r>
      <w:r>
        <w:tab/>
      </w:r>
      <w:r w:rsidRPr="008B2A3E">
        <w:t xml:space="preserve">See, e.g., Carolin Pflueger and Luis Viceira (2015), ‘Return Predictability in the Treasury Market: Real Rates, Inflation, and Liquidity’, Working Paper, </w:t>
      </w:r>
      <w:r w:rsidRPr="0042498F">
        <w:t>pp. 27-28.</w:t>
      </w:r>
    </w:p>
  </w:footnote>
  <w:footnote w:id="1590">
    <w:p w:rsidR="00E636A0" w:rsidRDefault="00E636A0" w:rsidP="00762CF4">
      <w:pPr>
        <w:pStyle w:val="FootnoteText"/>
      </w:pPr>
      <w:r>
        <w:rPr>
          <w:rStyle w:val="FootnoteReference"/>
        </w:rPr>
        <w:footnoteRef/>
      </w:r>
      <w:r>
        <w:t xml:space="preserve"> </w:t>
      </w:r>
      <w:r>
        <w:tab/>
        <w:t>22 quarterly data points from September 2011 to December 2016.</w:t>
      </w:r>
    </w:p>
  </w:footnote>
  <w:footnote w:id="1591">
    <w:p w:rsidR="00E636A0" w:rsidRDefault="00E636A0" w:rsidP="00762CF4">
      <w:pPr>
        <w:pStyle w:val="FootnoteText"/>
      </w:pPr>
      <w:r>
        <w:rPr>
          <w:rStyle w:val="FootnoteReference"/>
        </w:rPr>
        <w:footnoteRef/>
      </w:r>
      <w:r>
        <w:t xml:space="preserve"> </w:t>
      </w:r>
      <w:r>
        <w:tab/>
      </w:r>
      <w:r w:rsidRPr="00E30D9D">
        <w:t xml:space="preserve">Christian Gillitzer </w:t>
      </w:r>
      <w:r w:rsidRPr="00EE5409">
        <w:t xml:space="preserve">and John Simon (2015), ‘Inflation Targeting: A Victim of Its Own Success?’, RDP 2015-09, August, </w:t>
      </w:r>
      <w:r w:rsidRPr="00B51F28">
        <w:t>Reserve Bank of Australia Discussion Paper</w:t>
      </w:r>
      <w:r>
        <w:t>, pp. 1-2</w:t>
      </w:r>
      <w:r w:rsidRPr="00EE5409">
        <w:t>7</w:t>
      </w:r>
      <w:r>
        <w:t xml:space="preserve">; </w:t>
      </w:r>
      <w:r w:rsidRPr="00FA294D">
        <w:t xml:space="preserve">Richard Finlay and Sebastian Wende (2011), ‘Estimating Inflation Expectations with a Limited Number of Inflation-indexed Bonds’, </w:t>
      </w:r>
      <w:r w:rsidRPr="00B51F28">
        <w:t>Research Discussion Paper, Reserve Bank of Australia</w:t>
      </w:r>
      <w:r w:rsidRPr="00FA294D">
        <w:t>, RDP 2011-01, March</w:t>
      </w:r>
      <w:r>
        <w:t xml:space="preserve">, pp. 1-35; </w:t>
      </w:r>
      <w:r w:rsidRPr="00EE5409">
        <w:t xml:space="preserve">Shawn Chen-Yu Leu and Jeffery Sheen (2006), ‘Asymmetric Monetary Policy in Australia’, </w:t>
      </w:r>
      <w:r w:rsidRPr="00B51F28">
        <w:t>The Economic Record</w:t>
      </w:r>
      <w:r w:rsidRPr="00EE5409">
        <w:t>, 82, Spec</w:t>
      </w:r>
      <w:r>
        <w:t>ial Issue, September, pp. S85-S9</w:t>
      </w:r>
      <w:r w:rsidRPr="00EE5409">
        <w:t>6</w:t>
      </w:r>
      <w:r>
        <w:t xml:space="preserve">; </w:t>
      </w:r>
      <w:r w:rsidRPr="00EE5409">
        <w:t xml:space="preserve">Jarkko Jaaskela and Rebecca McKibbin (2010), ‘Learning in an Estimated Small Open Economy Model’, RDP 2010-02, March, </w:t>
      </w:r>
      <w:r w:rsidRPr="00B51F28">
        <w:t xml:space="preserve">Reserve Bank of Australia Discussion Paper, </w:t>
      </w:r>
      <w:r w:rsidRPr="00EE5409">
        <w:t>pp. 1-45</w:t>
      </w:r>
      <w:r>
        <w:t xml:space="preserve">; Ken Kuttner and Tim Robinson (2010), ‘Understanding the flattening of the Phillips Curve’, </w:t>
      </w:r>
      <w:r w:rsidRPr="00B51F28">
        <w:t>North American Journal of Economics and Finance</w:t>
      </w:r>
      <w:r>
        <w:t xml:space="preserve">, 21(2), pp. 110-125; Antonio Paradiso and Bhaskara Rao (2012), ‘Flattening of the Phillips curve and the role of the oil price: An unobserved component model for the USA and Australia’, </w:t>
      </w:r>
      <w:r w:rsidRPr="00B51F28">
        <w:t>Economics Letters</w:t>
      </w:r>
      <w:r>
        <w:t>, 117(1), pp. 259-262; Debdulal Mallick (2015), ‘A Spectral Representation of the Phillips Curve in Australia’, Faculty of Business and Law, School Working Paper, Economic Series, SWP 2015/7, pp. 1-48.</w:t>
      </w:r>
    </w:p>
  </w:footnote>
  <w:footnote w:id="1592">
    <w:p w:rsidR="00E636A0" w:rsidRDefault="00E636A0" w:rsidP="00762CF4">
      <w:pPr>
        <w:pStyle w:val="FootnoteText"/>
      </w:pPr>
      <w:r>
        <w:rPr>
          <w:rStyle w:val="FootnoteReference"/>
        </w:rPr>
        <w:footnoteRef/>
      </w:r>
      <w:r>
        <w:t xml:space="preserve"> </w:t>
      </w:r>
      <w:r>
        <w:tab/>
      </w:r>
      <w:r>
        <w:fldChar w:fldCharType="begin"/>
      </w:r>
      <w:r>
        <w:instrText xml:space="preserve"> REF _Ref477792559 \h </w:instrText>
      </w:r>
      <w:r>
        <w:fldChar w:fldCharType="separate"/>
      </w:r>
      <w:r>
        <w:t xml:space="preserve">Figure </w:t>
      </w:r>
      <w:r>
        <w:rPr>
          <w:noProof/>
        </w:rPr>
        <w:t>3</w:t>
      </w:r>
      <w:r>
        <w:noBreakHyphen/>
      </w:r>
      <w:r>
        <w:rPr>
          <w:noProof/>
        </w:rPr>
        <w:t>27</w:t>
      </w:r>
      <w:r>
        <w:fldChar w:fldCharType="end"/>
      </w:r>
      <w:r>
        <w:t xml:space="preserve"> shows daily bond break-even estimates, while RBA forecasts and CPI outcomes are quarterly. Nonetheless, a quarterly series of bond break-even estimates also appears more volatile than estimates from the RBA forecasts and target band approach.</w:t>
      </w:r>
    </w:p>
  </w:footnote>
  <w:footnote w:id="1593">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ED7C40">
        <w:t xml:space="preserve"> </w:t>
      </w:r>
      <w:r>
        <w:t>September 2016, pp. 13-14.</w:t>
      </w:r>
    </w:p>
  </w:footnote>
  <w:footnote w:id="1594">
    <w:p w:rsidR="00E636A0" w:rsidRDefault="00E636A0" w:rsidP="00762CF4">
      <w:pPr>
        <w:pStyle w:val="FootnoteText"/>
      </w:pPr>
      <w:r>
        <w:rPr>
          <w:rStyle w:val="FootnoteReference"/>
        </w:rPr>
        <w:footnoteRef/>
      </w:r>
      <w:r>
        <w:t xml:space="preserve"> </w:t>
      </w:r>
      <w:r>
        <w:tab/>
        <w:t>It should be noted that CEG has not supplied us with the regression specification, however the lack of detail provided by CEG in their report would imply that other variables were not considered in the regression.</w:t>
      </w:r>
    </w:p>
  </w:footnote>
  <w:footnote w:id="1595">
    <w:p w:rsidR="00E636A0" w:rsidRDefault="00E636A0" w:rsidP="00762CF4">
      <w:pPr>
        <w:pStyle w:val="FootnoteText"/>
      </w:pPr>
      <w:r>
        <w:rPr>
          <w:rStyle w:val="FootnoteReference"/>
        </w:rPr>
        <w:footnoteRef/>
      </w:r>
      <w:r>
        <w:t xml:space="preserve"> </w:t>
      </w:r>
      <w:r>
        <w:tab/>
        <w:t>Refer to the discussion undertaken in Hayden’s working paper at pp 27-31.</w:t>
      </w:r>
    </w:p>
  </w:footnote>
  <w:footnote w:id="1596">
    <w:p w:rsidR="00E636A0" w:rsidRDefault="00E636A0" w:rsidP="00762CF4">
      <w:pPr>
        <w:pStyle w:val="FootnoteText"/>
        <w:tabs>
          <w:tab w:val="clear" w:pos="340"/>
          <w:tab w:val="left" w:pos="284"/>
        </w:tabs>
        <w:ind w:left="284" w:hanging="284"/>
      </w:pPr>
      <w:r>
        <w:rPr>
          <w:rStyle w:val="FootnoteReference"/>
        </w:rPr>
        <w:footnoteRef/>
      </w:r>
      <w:r>
        <w:t xml:space="preserve"> </w:t>
      </w:r>
      <w:r>
        <w:tab/>
      </w:r>
      <w:r>
        <w:tab/>
        <w:t xml:space="preserve">Mark Deacon and Andrew Derry, ‘Estimating market interest rate and inflation expectations from the prices of UK government bonds’ [1994](3) </w:t>
      </w:r>
      <w:r w:rsidRPr="00045583">
        <w:rPr>
          <w:i/>
        </w:rPr>
        <w:t>Bank of England Quarterly Bulletin</w:t>
      </w:r>
      <w:r>
        <w:t xml:space="preserve"> 232, 236-37.</w:t>
      </w:r>
    </w:p>
  </w:footnote>
  <w:footnote w:id="1597">
    <w:p w:rsidR="00E636A0" w:rsidRPr="0087220A" w:rsidRDefault="00E636A0" w:rsidP="00762CF4">
      <w:pPr>
        <w:pStyle w:val="FootnoteText"/>
        <w:tabs>
          <w:tab w:val="clear" w:pos="340"/>
          <w:tab w:val="left" w:pos="0"/>
        </w:tabs>
        <w:ind w:left="0" w:firstLine="0"/>
      </w:pPr>
      <w:r>
        <w:rPr>
          <w:rStyle w:val="FootnoteReference"/>
        </w:rPr>
        <w:footnoteRef/>
      </w:r>
      <w:r>
        <w:t xml:space="preserve"> </w:t>
      </w:r>
      <w:r>
        <w:tab/>
      </w:r>
      <w:r w:rsidRPr="0087220A">
        <w:t>This can be shown by the following equation:</w:t>
      </w:r>
    </w:p>
    <w:p w:rsidR="00E636A0" w:rsidRPr="0087220A" w:rsidRDefault="00E636A0" w:rsidP="00762CF4">
      <w:pPr>
        <w:pStyle w:val="AERbodytextnospace"/>
      </w:pPr>
      <m:oMathPara>
        <m:oMath>
          <m:r>
            <w:rPr>
              <w:rFonts w:ascii="Cambria Math" w:hAnsi="Cambria Math"/>
            </w:rPr>
            <m:t>i</m:t>
          </m:r>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π+</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t</m:t>
              </m:r>
            </m:sub>
          </m:sSub>
        </m:oMath>
      </m:oMathPara>
    </w:p>
    <w:p w:rsidR="00E636A0" w:rsidRPr="0087220A" w:rsidRDefault="00E636A0" w:rsidP="00762CF4">
      <w:pPr>
        <w:pStyle w:val="FootnoteText"/>
        <w:tabs>
          <w:tab w:val="clear" w:pos="340"/>
          <w:tab w:val="left" w:pos="0"/>
        </w:tabs>
        <w:ind w:left="0" w:firstLine="0"/>
      </w:pPr>
      <w:r>
        <w:tab/>
      </w:r>
      <w:r w:rsidRPr="0087220A">
        <w:t xml:space="preserve">By OLS estimation, </w:t>
      </w:r>
    </w:p>
    <w:p w:rsidR="00E636A0" w:rsidRPr="0087220A" w:rsidRDefault="004A6459" w:rsidP="00762CF4">
      <w:pPr>
        <w:pStyle w:val="AERbodytextnospace"/>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f>
            <m:fPr>
              <m:ctrlPr>
                <w:rPr>
                  <w:rFonts w:ascii="Cambria Math" w:hAnsi="Cambria Math"/>
                </w:rPr>
              </m:ctrlPr>
            </m:fPr>
            <m:num>
              <m:r>
                <m:rPr>
                  <m:sty m:val="p"/>
                </m:rPr>
                <w:rPr>
                  <w:rFonts w:ascii="Cambria Math" w:hAnsi="Cambria Math"/>
                </w:rPr>
                <m:t>cov</m:t>
              </m:r>
              <m:d>
                <m:dPr>
                  <m:ctrlPr>
                    <w:rPr>
                      <w:rFonts w:ascii="Cambria Math" w:hAnsi="Cambria Math"/>
                    </w:rPr>
                  </m:ctrlPr>
                </m:dPr>
                <m:e>
                  <m:r>
                    <w:rPr>
                      <w:rFonts w:ascii="Cambria Math" w:hAnsi="Cambria Math"/>
                    </w:rPr>
                    <m:t>i</m:t>
                  </m:r>
                  <m:r>
                    <m:rPr>
                      <m:sty m:val="p"/>
                    </m:rPr>
                    <w:rPr>
                      <w:rFonts w:ascii="Cambria Math" w:hAnsi="Cambria Math"/>
                    </w:rPr>
                    <m:t xml:space="preserve"> ,π</m:t>
                  </m:r>
                </m:e>
              </m:d>
            </m:num>
            <m:den>
              <m:r>
                <m:rPr>
                  <m:sty m:val="p"/>
                </m:rPr>
                <w:rPr>
                  <w:rFonts w:ascii="Cambria Math" w:hAnsi="Cambria Math"/>
                </w:rPr>
                <m:t>var</m:t>
              </m:r>
              <m:d>
                <m:dPr>
                  <m:ctrlPr>
                    <w:rPr>
                      <w:rFonts w:ascii="Cambria Math" w:hAnsi="Cambria Math"/>
                    </w:rPr>
                  </m:ctrlPr>
                </m:dPr>
                <m:e>
                  <m:r>
                    <m:rPr>
                      <m:sty m:val="p"/>
                    </m:rPr>
                    <w:rPr>
                      <w:rFonts w:ascii="Cambria Math" w:hAnsi="Cambria Math"/>
                    </w:rPr>
                    <m:t>π</m:t>
                  </m:r>
                </m:e>
              </m:d>
            </m:den>
          </m:f>
        </m:oMath>
      </m:oMathPara>
    </w:p>
    <w:p w:rsidR="00E636A0" w:rsidRDefault="00E636A0" w:rsidP="00762CF4">
      <w:pPr>
        <w:pStyle w:val="FootnoteText"/>
        <w:tabs>
          <w:tab w:val="clear" w:pos="340"/>
          <w:tab w:val="left" w:pos="0"/>
        </w:tabs>
        <w:ind w:left="426" w:hanging="426"/>
      </w:pPr>
      <w:r>
        <w:tab/>
      </w:r>
      <w:r w:rsidRPr="0087220A">
        <w:t xml:space="preserve">If the indexed yield and breakeven rate were uncorrelated, their covariance would be zero, leading the original slope coefficient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one. If they are positively correlated, the RHS would be positive, leading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greater than one. </w:t>
      </w:r>
    </w:p>
  </w:footnote>
  <w:footnote w:id="1598">
    <w:p w:rsidR="00E636A0" w:rsidRDefault="00E636A0" w:rsidP="00762CF4">
      <w:pPr>
        <w:pStyle w:val="FootnoteText"/>
      </w:pPr>
      <w:r>
        <w:rPr>
          <w:rStyle w:val="FootnoteReference"/>
        </w:rPr>
        <w:footnoteRef/>
      </w:r>
      <w:r>
        <w:t xml:space="preserve"> </w:t>
      </w:r>
      <w:r>
        <w:tab/>
        <w:t xml:space="preserve">See, e.g. </w:t>
      </w:r>
      <w:r w:rsidRPr="00B22FAC">
        <w:t>Ian Christensen, Frederic Dion and Christopher Reid (2004), ‘Real Return Bonds, Inflation Expectations, and the Break</w:t>
      </w:r>
      <w:r>
        <w:t>-</w:t>
      </w:r>
      <w:r w:rsidRPr="00B22FAC">
        <w:t xml:space="preserve">Even Inflation Rate’, </w:t>
      </w:r>
      <w:r w:rsidRPr="00EE45FC">
        <w:rPr>
          <w:rStyle w:val="Emphasis"/>
        </w:rPr>
        <w:t>Bank of Canada Working Paper 2004</w:t>
      </w:r>
      <w:r>
        <w:rPr>
          <w:rStyle w:val="Emphasis"/>
        </w:rPr>
        <w:t>–</w:t>
      </w:r>
      <w:r w:rsidRPr="00EE45FC">
        <w:rPr>
          <w:rStyle w:val="Emphasis"/>
        </w:rPr>
        <w:t>43</w:t>
      </w:r>
      <w:r>
        <w:t xml:space="preserve">, November, </w:t>
      </w:r>
      <w:r>
        <w:rPr>
          <w:rFonts w:asciiTheme="minorHAnsi" w:hAnsiTheme="minorHAnsi" w:cstheme="minorHAnsi"/>
          <w:sz w:val="17"/>
          <w:szCs w:val="17"/>
        </w:rPr>
        <w:t xml:space="preserve">pp 39-40. </w:t>
      </w:r>
    </w:p>
  </w:footnote>
  <w:footnote w:id="1599">
    <w:p w:rsidR="00E636A0" w:rsidRDefault="00E636A0" w:rsidP="00762CF4">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191-192.</w:t>
      </w:r>
    </w:p>
  </w:footnote>
  <w:footnote w:id="1600">
    <w:p w:rsidR="00E636A0" w:rsidRDefault="00E636A0" w:rsidP="00762CF4">
      <w:pPr>
        <w:pStyle w:val="FootnoteText"/>
      </w:pPr>
      <w:r>
        <w:rPr>
          <w:rStyle w:val="FootnoteReference"/>
        </w:rPr>
        <w:footnoteRef/>
      </w:r>
      <w:r>
        <w:t xml:space="preserve"> </w:t>
      </w:r>
      <w:r>
        <w:tab/>
        <w:t>NER cll. 6.4.1(a) and 6A.5.2(a).</w:t>
      </w:r>
    </w:p>
  </w:footnote>
  <w:footnote w:id="1601">
    <w:p w:rsidR="00E636A0" w:rsidRDefault="00E636A0" w:rsidP="00762CF4">
      <w:pPr>
        <w:pStyle w:val="FootnoteText"/>
      </w:pPr>
      <w:r>
        <w:rPr>
          <w:rStyle w:val="FootnoteReference"/>
        </w:rPr>
        <w:footnoteRef/>
      </w:r>
      <w:r>
        <w:t xml:space="preserve"> </w:t>
      </w:r>
      <w:r>
        <w:tab/>
        <w:t xml:space="preserve">NER cll. </w:t>
      </w:r>
      <w:r w:rsidRPr="00F4557F">
        <w:t>6.4.2(b)(1)</w:t>
      </w:r>
      <w:r>
        <w:t xml:space="preserve"> and 6A.5.3(b)(1).</w:t>
      </w:r>
    </w:p>
  </w:footnote>
  <w:footnote w:id="1602">
    <w:p w:rsidR="00E636A0" w:rsidRDefault="00E636A0" w:rsidP="00762CF4">
      <w:pPr>
        <w:pStyle w:val="FootnoteText"/>
      </w:pPr>
      <w:r>
        <w:rPr>
          <w:rStyle w:val="FootnoteReference"/>
        </w:rPr>
        <w:footnoteRef/>
      </w:r>
      <w:r>
        <w:t xml:space="preserve"> </w:t>
      </w:r>
      <w:r>
        <w:tab/>
        <w:t>NER cll. 6.8.2(c)(2), 6.3.1(c)(1)</w:t>
      </w:r>
      <w:r w:rsidRPr="00CA2298">
        <w:t xml:space="preserve"> </w:t>
      </w:r>
      <w:r>
        <w:t>, 6A.4.1(a), 6A.5.1(a), 6A.10.1(a), and 6A.4.1(b).</w:t>
      </w:r>
    </w:p>
  </w:footnote>
  <w:footnote w:id="1603">
    <w:p w:rsidR="00E636A0" w:rsidRDefault="00E636A0" w:rsidP="00762CF4">
      <w:pPr>
        <w:pStyle w:val="FootnoteText"/>
      </w:pPr>
      <w:r>
        <w:rPr>
          <w:rStyle w:val="FootnoteReference"/>
        </w:rPr>
        <w:footnoteRef/>
      </w:r>
      <w:r>
        <w:t xml:space="preserve"> </w:t>
      </w:r>
      <w:r>
        <w:tab/>
        <w:t>NER cll. 6.4.1(c) and 6A.5.2(c).</w:t>
      </w:r>
    </w:p>
  </w:footnote>
  <w:footnote w:id="1604">
    <w:p w:rsidR="00E636A0" w:rsidRDefault="00E636A0" w:rsidP="00762CF4">
      <w:pPr>
        <w:pStyle w:val="FootnoteText"/>
      </w:pPr>
      <w:r>
        <w:rPr>
          <w:rStyle w:val="FootnoteReference"/>
        </w:rPr>
        <w:footnoteRef/>
      </w:r>
      <w:r>
        <w:t xml:space="preserve"> </w:t>
      </w:r>
      <w:r>
        <w:tab/>
        <w:t>NER cll. 6.12.3(d) and 6A.14.3(b)(3).</w:t>
      </w:r>
    </w:p>
  </w:footnote>
  <w:footnote w:id="1605">
    <w:p w:rsidR="00E636A0" w:rsidRDefault="00E636A0" w:rsidP="00762CF4">
      <w:pPr>
        <w:pStyle w:val="FootnoteText"/>
      </w:pPr>
      <w:r>
        <w:rPr>
          <w:rStyle w:val="FootnoteReference"/>
        </w:rPr>
        <w:footnoteRef/>
      </w:r>
      <w:r>
        <w:t xml:space="preserve"> </w:t>
      </w:r>
      <w:r>
        <w:tab/>
        <w:t>Application by SA Power Networks [2016] ACompT 11, para 614.</w:t>
      </w:r>
    </w:p>
  </w:footnote>
  <w:footnote w:id="1606">
    <w:p w:rsidR="00E636A0" w:rsidRDefault="00E636A0" w:rsidP="00762CF4">
      <w:pPr>
        <w:pStyle w:val="FootnoteText"/>
      </w:pPr>
      <w:r>
        <w:rPr>
          <w:rStyle w:val="FootnoteReference"/>
        </w:rPr>
        <w:footnoteRef/>
      </w:r>
      <w:r>
        <w:t xml:space="preserve"> </w:t>
      </w:r>
      <w:r>
        <w:tab/>
      </w:r>
      <w:bookmarkStart w:id="458" w:name="MNC"/>
      <w:r>
        <w:t>Application by SA Power Networks [2016] ACompT 11</w:t>
      </w:r>
      <w:bookmarkEnd w:id="458"/>
      <w:r>
        <w:t>, para 603.</w:t>
      </w:r>
    </w:p>
  </w:footnote>
  <w:footnote w:id="1607">
    <w:p w:rsidR="00E636A0" w:rsidRDefault="00E636A0" w:rsidP="00762CF4">
      <w:pPr>
        <w:pStyle w:val="FootnoteText"/>
      </w:pPr>
      <w:r>
        <w:rPr>
          <w:rStyle w:val="FootnoteReference"/>
        </w:rPr>
        <w:footnoteRef/>
      </w:r>
      <w:r>
        <w:t xml:space="preserve"> </w:t>
      </w:r>
      <w:r>
        <w:tab/>
        <w:t>NER cll. 6.5.1(b) and (c)</w:t>
      </w:r>
      <w:r w:rsidRPr="00CA2298">
        <w:t xml:space="preserve"> </w:t>
      </w:r>
      <w:r>
        <w:t>, and 6A.20.</w:t>
      </w:r>
    </w:p>
  </w:footnote>
  <w:footnote w:id="1608">
    <w:p w:rsidR="00E636A0" w:rsidRDefault="00E636A0" w:rsidP="00762CF4">
      <w:pPr>
        <w:pStyle w:val="FootnoteText"/>
      </w:pPr>
      <w:r>
        <w:rPr>
          <w:rStyle w:val="FootnoteReference"/>
        </w:rPr>
        <w:footnoteRef/>
      </w:r>
      <w:r>
        <w:t xml:space="preserve"> </w:t>
      </w:r>
      <w:r>
        <w:tab/>
        <w:t>CCP, Response to AusNet Services Revised Revenue Proposal for 2017-2022, October 2016, p.17.</w:t>
      </w:r>
    </w:p>
  </w:footnote>
  <w:footnote w:id="1609">
    <w:p w:rsidR="00E636A0" w:rsidRDefault="00E636A0" w:rsidP="007611E3">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 118.</w:t>
      </w:r>
    </w:p>
  </w:footnote>
  <w:footnote w:id="1610">
    <w:p w:rsidR="00E636A0" w:rsidRDefault="00E636A0" w:rsidP="00392FFF">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611">
    <w:p w:rsidR="00E636A0" w:rsidRDefault="00E636A0" w:rsidP="00392FFF">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612">
    <w:p w:rsidR="00E636A0" w:rsidRDefault="00E636A0" w:rsidP="00392FFF">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613">
    <w:p w:rsidR="00E636A0" w:rsidRDefault="00E636A0">
      <w:pPr>
        <w:pStyle w:val="FootnoteText"/>
      </w:pPr>
      <w:r>
        <w:rPr>
          <w:rStyle w:val="FootnoteReference"/>
        </w:rPr>
        <w:footnoteRef/>
      </w:r>
      <w:r>
        <w:t xml:space="preserve"> </w:t>
      </w:r>
      <w:r>
        <w:tab/>
        <w:t xml:space="preserve">TasNetworks, RTN006–Post Tax Revenue Model, December 2016; </w:t>
      </w:r>
      <w:r w:rsidRPr="00F3255E">
        <w:t>AER, Final decision, TasNetworks 2017-19 metering post tax revenue model and prices, April 2017</w:t>
      </w:r>
      <w:r>
        <w:t>.</w:t>
      </w:r>
    </w:p>
  </w:footnote>
  <w:footnote w:id="1614">
    <w:p w:rsidR="00E636A0" w:rsidRDefault="00E636A0" w:rsidP="00392FFF">
      <w:pPr>
        <w:pStyle w:val="FootnoteText"/>
      </w:pPr>
      <w:r>
        <w:rPr>
          <w:rStyle w:val="FootnoteReference"/>
        </w:rPr>
        <w:footnoteRef/>
      </w:r>
      <w:r>
        <w:t xml:space="preserve"> </w:t>
      </w:r>
      <w:r>
        <w:tab/>
        <w:t xml:space="preserve">AER, </w:t>
      </w:r>
      <w:r w:rsidRPr="002A032E">
        <w:rPr>
          <w:rStyle w:val="AERtextitalic"/>
        </w:rPr>
        <w:t>Final decision AusNet Services determination 2016–20 - Attachment 3 - Rate of return</w:t>
      </w:r>
      <w:r w:rsidRPr="00157C26">
        <w:t xml:space="preserve"> - </w:t>
      </w:r>
      <w:r>
        <w:t xml:space="preserve">May </w:t>
      </w:r>
      <w:r w:rsidRPr="00157C26">
        <w:t>201</w:t>
      </w:r>
      <w:r>
        <w:t>6</w:t>
      </w:r>
      <w:r w:rsidRPr="00157C26">
        <w:t xml:space="preserve">, </w:t>
      </w:r>
      <w:r>
        <w:t>Appendix K.</w:t>
      </w:r>
    </w:p>
  </w:footnote>
  <w:footnote w:id="1615">
    <w:p w:rsidR="00E636A0" w:rsidRDefault="00E636A0" w:rsidP="00392FFF">
      <w:pPr>
        <w:pStyle w:val="FootnoteText"/>
      </w:pPr>
      <w:r>
        <w:rPr>
          <w:rStyle w:val="FootnoteReference"/>
        </w:rPr>
        <w:footnoteRef/>
      </w:r>
      <w:r>
        <w:t xml:space="preserve"> </w:t>
      </w:r>
      <w:r>
        <w:tab/>
      </w:r>
      <w:r w:rsidRPr="00E64828">
        <w:t xml:space="preserve">The Allen Consulting Group, </w:t>
      </w:r>
      <w:r w:rsidRPr="004B7B8C">
        <w:rPr>
          <w:rStyle w:val="AERtextitalic"/>
        </w:rPr>
        <w:t>Debt and equity raising transaction costs: Final report</w:t>
      </w:r>
      <w:r w:rsidRPr="00E64828">
        <w:t>, December 2004</w:t>
      </w:r>
      <w:r>
        <w:t>.</w:t>
      </w:r>
    </w:p>
  </w:footnote>
  <w:footnote w:id="1616">
    <w:p w:rsidR="00E636A0" w:rsidRDefault="00E636A0" w:rsidP="00392FFF">
      <w:pPr>
        <w:pStyle w:val="FootnoteText"/>
      </w:pPr>
      <w:r>
        <w:rPr>
          <w:rStyle w:val="FootnoteReference"/>
        </w:rPr>
        <w:footnoteRef/>
      </w:r>
      <w:r>
        <w:t xml:space="preserve"> </w:t>
      </w:r>
      <w:r>
        <w:tab/>
      </w:r>
      <w:r w:rsidRPr="00E64828">
        <w:t xml:space="preserve">PricewaterhouseCoopers, </w:t>
      </w:r>
      <w:r w:rsidRPr="004B7B8C">
        <w:rPr>
          <w:rStyle w:val="AERtextitalic"/>
        </w:rPr>
        <w:t>Energy Networks Association: Debt financing costs</w:t>
      </w:r>
      <w:r w:rsidRPr="00E64828">
        <w:t xml:space="preserve">, June 2013, p. i.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459" w:rsidRDefault="004A64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459" w:rsidRDefault="004A64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459" w:rsidRDefault="004A64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142C23FE"/>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D24C37"/>
    <w:multiLevelType w:val="hybridMultilevel"/>
    <w:tmpl w:val="4992F6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26AA0DA7"/>
    <w:multiLevelType w:val="multilevel"/>
    <w:tmpl w:val="718EDCB4"/>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305"/>
        </w:tabs>
        <w:ind w:left="1305"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6">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7">
    <w:nsid w:val="325401B9"/>
    <w:multiLevelType w:val="hybridMultilevel"/>
    <w:tmpl w:val="0F6AC8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F640E4"/>
    <w:multiLevelType w:val="hybridMultilevel"/>
    <w:tmpl w:val="94E81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6A3DDE"/>
    <w:multiLevelType w:val="hybridMultilevel"/>
    <w:tmpl w:val="F51A789C"/>
    <w:lvl w:ilvl="0" w:tplc="92E84616">
      <w:start w:val="1"/>
      <w:numFmt w:val="bullet"/>
      <w:pStyle w:val="AERquote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5ECE4384"/>
    <w:multiLevelType w:val="multilevel"/>
    <w:tmpl w:val="3A1CBB48"/>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65497802"/>
    <w:multiLevelType w:val="hybridMultilevel"/>
    <w:tmpl w:val="8FAE9C50"/>
    <w:lvl w:ilvl="0" w:tplc="18D86C0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6DC52CE"/>
    <w:multiLevelType w:val="hybridMultilevel"/>
    <w:tmpl w:val="05ACFE50"/>
    <w:lvl w:ilvl="0" w:tplc="5CD829E8">
      <w:start w:val="1"/>
      <w:numFmt w:val="decimal"/>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20"/>
  </w:num>
  <w:num w:numId="14">
    <w:abstractNumId w:val="10"/>
  </w:num>
  <w:num w:numId="15">
    <w:abstractNumId w:val="13"/>
  </w:num>
  <w:num w:numId="16">
    <w:abstractNumId w:val="22"/>
  </w:num>
  <w:num w:numId="17">
    <w:abstractNumId w:val="9"/>
  </w:num>
  <w:num w:numId="18">
    <w:abstractNumId w:val="15"/>
  </w:num>
  <w:num w:numId="19">
    <w:abstractNumId w:val="23"/>
  </w:num>
  <w:num w:numId="20">
    <w:abstractNumId w:val="31"/>
  </w:num>
  <w:num w:numId="21">
    <w:abstractNumId w:val="26"/>
  </w:num>
  <w:num w:numId="22">
    <w:abstractNumId w:val="24"/>
  </w:num>
  <w:num w:numId="23">
    <w:abstractNumId w:val="16"/>
  </w:num>
  <w:num w:numId="24">
    <w:abstractNumId w:val="25"/>
  </w:num>
  <w:num w:numId="25">
    <w:abstractNumId w:val="27"/>
  </w:num>
  <w:num w:numId="26">
    <w:abstractNumId w:val="18"/>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num>
  <w:num w:numId="38">
    <w:abstractNumId w:val="28"/>
  </w:num>
  <w:num w:numId="39">
    <w:abstractNumId w:val="21"/>
  </w:num>
  <w:num w:numId="40">
    <w:abstractNumId w:val="12"/>
  </w:num>
  <w:num w:numId="41">
    <w:abstractNumId w:val="29"/>
  </w:num>
  <w:num w:numId="42">
    <w:abstractNumId w:val="19"/>
  </w:num>
  <w:num w:numId="43">
    <w:abstractNumId w:val="8"/>
    <w:lvlOverride w:ilvl="0">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defaultTabStop w:val="340"/>
  <w:characterSpacingControl w:val="doNotCompress"/>
  <w:hdrShapeDefaults>
    <o:shapedefaults v:ext="edit" spidmax="3594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2344\D17 47043  AER - WACC - final decision - TasNetworks final decision Attachment 3 rate of return.DOCX"/>
  </w:docVars>
  <w:rsids>
    <w:rsidRoot w:val="00961A4A"/>
    <w:rsid w:val="00001DD2"/>
    <w:rsid w:val="000035FC"/>
    <w:rsid w:val="00003643"/>
    <w:rsid w:val="00003A32"/>
    <w:rsid w:val="00005540"/>
    <w:rsid w:val="00007C77"/>
    <w:rsid w:val="00010955"/>
    <w:rsid w:val="00014C58"/>
    <w:rsid w:val="00021202"/>
    <w:rsid w:val="00021C2B"/>
    <w:rsid w:val="000225F4"/>
    <w:rsid w:val="0002321D"/>
    <w:rsid w:val="0002517F"/>
    <w:rsid w:val="00027EFA"/>
    <w:rsid w:val="0003100F"/>
    <w:rsid w:val="00033F56"/>
    <w:rsid w:val="000343B1"/>
    <w:rsid w:val="0003578C"/>
    <w:rsid w:val="00040EBF"/>
    <w:rsid w:val="00045500"/>
    <w:rsid w:val="000457EA"/>
    <w:rsid w:val="000470A3"/>
    <w:rsid w:val="00053564"/>
    <w:rsid w:val="00053874"/>
    <w:rsid w:val="00053BB0"/>
    <w:rsid w:val="00053CED"/>
    <w:rsid w:val="00054E05"/>
    <w:rsid w:val="00057463"/>
    <w:rsid w:val="00063247"/>
    <w:rsid w:val="00063EEC"/>
    <w:rsid w:val="00064FA9"/>
    <w:rsid w:val="00066857"/>
    <w:rsid w:val="00067708"/>
    <w:rsid w:val="00070F9F"/>
    <w:rsid w:val="0007137B"/>
    <w:rsid w:val="00072776"/>
    <w:rsid w:val="00073092"/>
    <w:rsid w:val="00073541"/>
    <w:rsid w:val="0007424B"/>
    <w:rsid w:val="0007528C"/>
    <w:rsid w:val="00077389"/>
    <w:rsid w:val="00081507"/>
    <w:rsid w:val="00081BA4"/>
    <w:rsid w:val="00085663"/>
    <w:rsid w:val="00085EBF"/>
    <w:rsid w:val="000866E3"/>
    <w:rsid w:val="00086871"/>
    <w:rsid w:val="00087EB6"/>
    <w:rsid w:val="00092F0E"/>
    <w:rsid w:val="000A0378"/>
    <w:rsid w:val="000A077B"/>
    <w:rsid w:val="000A1E5B"/>
    <w:rsid w:val="000A2AE4"/>
    <w:rsid w:val="000A3020"/>
    <w:rsid w:val="000A3B74"/>
    <w:rsid w:val="000A5386"/>
    <w:rsid w:val="000A6C7B"/>
    <w:rsid w:val="000B3020"/>
    <w:rsid w:val="000B321F"/>
    <w:rsid w:val="000B3458"/>
    <w:rsid w:val="000B3F7D"/>
    <w:rsid w:val="000B5500"/>
    <w:rsid w:val="000C2B40"/>
    <w:rsid w:val="000D122C"/>
    <w:rsid w:val="000D24A6"/>
    <w:rsid w:val="000D34B6"/>
    <w:rsid w:val="000D40F2"/>
    <w:rsid w:val="000D56E0"/>
    <w:rsid w:val="000D5DA8"/>
    <w:rsid w:val="000E1298"/>
    <w:rsid w:val="000E14D2"/>
    <w:rsid w:val="000E16EB"/>
    <w:rsid w:val="000E1819"/>
    <w:rsid w:val="000E4821"/>
    <w:rsid w:val="000E594D"/>
    <w:rsid w:val="000E6C72"/>
    <w:rsid w:val="000F18DA"/>
    <w:rsid w:val="000F5221"/>
    <w:rsid w:val="000F53E3"/>
    <w:rsid w:val="001003E9"/>
    <w:rsid w:val="00101608"/>
    <w:rsid w:val="001043A2"/>
    <w:rsid w:val="00110816"/>
    <w:rsid w:val="00113EAF"/>
    <w:rsid w:val="001160B7"/>
    <w:rsid w:val="00116EB2"/>
    <w:rsid w:val="001203C4"/>
    <w:rsid w:val="00122F86"/>
    <w:rsid w:val="00123E0C"/>
    <w:rsid w:val="00124609"/>
    <w:rsid w:val="00125A18"/>
    <w:rsid w:val="00126A4C"/>
    <w:rsid w:val="00126F0C"/>
    <w:rsid w:val="0013097A"/>
    <w:rsid w:val="00130F99"/>
    <w:rsid w:val="00132A6D"/>
    <w:rsid w:val="0013636F"/>
    <w:rsid w:val="001430EC"/>
    <w:rsid w:val="00143FA4"/>
    <w:rsid w:val="0014573B"/>
    <w:rsid w:val="00145971"/>
    <w:rsid w:val="00145D24"/>
    <w:rsid w:val="00146063"/>
    <w:rsid w:val="00146770"/>
    <w:rsid w:val="001502BF"/>
    <w:rsid w:val="001516D1"/>
    <w:rsid w:val="001537C1"/>
    <w:rsid w:val="001537E5"/>
    <w:rsid w:val="0015508E"/>
    <w:rsid w:val="001573E4"/>
    <w:rsid w:val="00160756"/>
    <w:rsid w:val="0016298C"/>
    <w:rsid w:val="00162BD4"/>
    <w:rsid w:val="0016738D"/>
    <w:rsid w:val="0017232E"/>
    <w:rsid w:val="00173350"/>
    <w:rsid w:val="00174102"/>
    <w:rsid w:val="001754EE"/>
    <w:rsid w:val="00176860"/>
    <w:rsid w:val="001769A2"/>
    <w:rsid w:val="00176FB0"/>
    <w:rsid w:val="00177E7C"/>
    <w:rsid w:val="00180157"/>
    <w:rsid w:val="00180347"/>
    <w:rsid w:val="00183887"/>
    <w:rsid w:val="00185424"/>
    <w:rsid w:val="00185C55"/>
    <w:rsid w:val="00185CB9"/>
    <w:rsid w:val="00185FF8"/>
    <w:rsid w:val="00186DBF"/>
    <w:rsid w:val="00186F77"/>
    <w:rsid w:val="001877D0"/>
    <w:rsid w:val="001921F2"/>
    <w:rsid w:val="001926A4"/>
    <w:rsid w:val="00192AD5"/>
    <w:rsid w:val="00196CC7"/>
    <w:rsid w:val="001A1C41"/>
    <w:rsid w:val="001A63AF"/>
    <w:rsid w:val="001A7089"/>
    <w:rsid w:val="001B2529"/>
    <w:rsid w:val="001B45A0"/>
    <w:rsid w:val="001B566E"/>
    <w:rsid w:val="001B5D4D"/>
    <w:rsid w:val="001D055E"/>
    <w:rsid w:val="001D0DFC"/>
    <w:rsid w:val="001D12C1"/>
    <w:rsid w:val="001D35A1"/>
    <w:rsid w:val="001D46AF"/>
    <w:rsid w:val="001D4715"/>
    <w:rsid w:val="001D56B0"/>
    <w:rsid w:val="001D685F"/>
    <w:rsid w:val="001E2BC8"/>
    <w:rsid w:val="001E4057"/>
    <w:rsid w:val="001E4D2A"/>
    <w:rsid w:val="001E5F8E"/>
    <w:rsid w:val="001E6895"/>
    <w:rsid w:val="001E6CAD"/>
    <w:rsid w:val="001F3118"/>
    <w:rsid w:val="001F492E"/>
    <w:rsid w:val="001F54F6"/>
    <w:rsid w:val="001F6DA3"/>
    <w:rsid w:val="002010BC"/>
    <w:rsid w:val="002016E7"/>
    <w:rsid w:val="00202296"/>
    <w:rsid w:val="00202790"/>
    <w:rsid w:val="00202E03"/>
    <w:rsid w:val="00203DFA"/>
    <w:rsid w:val="0020492C"/>
    <w:rsid w:val="00205FDB"/>
    <w:rsid w:val="00206151"/>
    <w:rsid w:val="00206193"/>
    <w:rsid w:val="00206A59"/>
    <w:rsid w:val="002106AB"/>
    <w:rsid w:val="0021305D"/>
    <w:rsid w:val="00213CB7"/>
    <w:rsid w:val="0021761B"/>
    <w:rsid w:val="00217DF8"/>
    <w:rsid w:val="00217E4A"/>
    <w:rsid w:val="00220907"/>
    <w:rsid w:val="00222E5F"/>
    <w:rsid w:val="00224657"/>
    <w:rsid w:val="00224819"/>
    <w:rsid w:val="00224DB9"/>
    <w:rsid w:val="00226E14"/>
    <w:rsid w:val="00231C4B"/>
    <w:rsid w:val="00232F6B"/>
    <w:rsid w:val="00233775"/>
    <w:rsid w:val="002435F7"/>
    <w:rsid w:val="00245D0E"/>
    <w:rsid w:val="002479C8"/>
    <w:rsid w:val="0025059A"/>
    <w:rsid w:val="00251745"/>
    <w:rsid w:val="002520D1"/>
    <w:rsid w:val="002624A3"/>
    <w:rsid w:val="00263A15"/>
    <w:rsid w:val="00263AC0"/>
    <w:rsid w:val="00264264"/>
    <w:rsid w:val="00265DD1"/>
    <w:rsid w:val="00266238"/>
    <w:rsid w:val="00266C03"/>
    <w:rsid w:val="00266FE4"/>
    <w:rsid w:val="0026772D"/>
    <w:rsid w:val="00270218"/>
    <w:rsid w:val="0027602F"/>
    <w:rsid w:val="00276267"/>
    <w:rsid w:val="002804DC"/>
    <w:rsid w:val="002837FC"/>
    <w:rsid w:val="00286874"/>
    <w:rsid w:val="00286CD1"/>
    <w:rsid w:val="002876B3"/>
    <w:rsid w:val="00290C63"/>
    <w:rsid w:val="0029294F"/>
    <w:rsid w:val="00292A25"/>
    <w:rsid w:val="00293FA6"/>
    <w:rsid w:val="00296B65"/>
    <w:rsid w:val="002972FD"/>
    <w:rsid w:val="00297B6A"/>
    <w:rsid w:val="00297C2E"/>
    <w:rsid w:val="002A0C23"/>
    <w:rsid w:val="002A118C"/>
    <w:rsid w:val="002A27CF"/>
    <w:rsid w:val="002A433D"/>
    <w:rsid w:val="002A4528"/>
    <w:rsid w:val="002A5E10"/>
    <w:rsid w:val="002A64B4"/>
    <w:rsid w:val="002A7DEF"/>
    <w:rsid w:val="002B1F1A"/>
    <w:rsid w:val="002B2285"/>
    <w:rsid w:val="002B33C7"/>
    <w:rsid w:val="002C045A"/>
    <w:rsid w:val="002C0B62"/>
    <w:rsid w:val="002C0FE6"/>
    <w:rsid w:val="002C233C"/>
    <w:rsid w:val="002C3581"/>
    <w:rsid w:val="002C441B"/>
    <w:rsid w:val="002C49DA"/>
    <w:rsid w:val="002C66FC"/>
    <w:rsid w:val="002C6F6E"/>
    <w:rsid w:val="002D2333"/>
    <w:rsid w:val="002D4487"/>
    <w:rsid w:val="002D4DAA"/>
    <w:rsid w:val="002D701C"/>
    <w:rsid w:val="002D72E8"/>
    <w:rsid w:val="002E20F1"/>
    <w:rsid w:val="002E2FC2"/>
    <w:rsid w:val="002E61A7"/>
    <w:rsid w:val="002E7B22"/>
    <w:rsid w:val="002F086F"/>
    <w:rsid w:val="002F0E35"/>
    <w:rsid w:val="002F5AB4"/>
    <w:rsid w:val="002F6361"/>
    <w:rsid w:val="002F7986"/>
    <w:rsid w:val="0030019B"/>
    <w:rsid w:val="00301B40"/>
    <w:rsid w:val="003029EE"/>
    <w:rsid w:val="00304D51"/>
    <w:rsid w:val="003053D4"/>
    <w:rsid w:val="00305CC8"/>
    <w:rsid w:val="00307F6D"/>
    <w:rsid w:val="00310F69"/>
    <w:rsid w:val="0031162C"/>
    <w:rsid w:val="00312CA8"/>
    <w:rsid w:val="00315606"/>
    <w:rsid w:val="0031707B"/>
    <w:rsid w:val="0031715E"/>
    <w:rsid w:val="003172FB"/>
    <w:rsid w:val="003177A2"/>
    <w:rsid w:val="00320EBF"/>
    <w:rsid w:val="00321540"/>
    <w:rsid w:val="003215AF"/>
    <w:rsid w:val="003271B5"/>
    <w:rsid w:val="00327929"/>
    <w:rsid w:val="00327A1E"/>
    <w:rsid w:val="00330965"/>
    <w:rsid w:val="00331264"/>
    <w:rsid w:val="00334C8D"/>
    <w:rsid w:val="003357F0"/>
    <w:rsid w:val="003379AF"/>
    <w:rsid w:val="0034234A"/>
    <w:rsid w:val="0034344E"/>
    <w:rsid w:val="00343A18"/>
    <w:rsid w:val="00344E89"/>
    <w:rsid w:val="00345EDF"/>
    <w:rsid w:val="00346F38"/>
    <w:rsid w:val="003479F6"/>
    <w:rsid w:val="00351528"/>
    <w:rsid w:val="00351675"/>
    <w:rsid w:val="003518B3"/>
    <w:rsid w:val="00351AEB"/>
    <w:rsid w:val="00352220"/>
    <w:rsid w:val="0036117F"/>
    <w:rsid w:val="0036289C"/>
    <w:rsid w:val="00363461"/>
    <w:rsid w:val="00364C53"/>
    <w:rsid w:val="0036545E"/>
    <w:rsid w:val="003707F4"/>
    <w:rsid w:val="003712BF"/>
    <w:rsid w:val="00373B1C"/>
    <w:rsid w:val="00376F04"/>
    <w:rsid w:val="003846F1"/>
    <w:rsid w:val="003857D1"/>
    <w:rsid w:val="00385F4D"/>
    <w:rsid w:val="0038658A"/>
    <w:rsid w:val="003903F6"/>
    <w:rsid w:val="00390756"/>
    <w:rsid w:val="003917E7"/>
    <w:rsid w:val="00392FFF"/>
    <w:rsid w:val="0039542D"/>
    <w:rsid w:val="00395B78"/>
    <w:rsid w:val="003A0850"/>
    <w:rsid w:val="003A25C1"/>
    <w:rsid w:val="003A52B7"/>
    <w:rsid w:val="003A7D32"/>
    <w:rsid w:val="003B484F"/>
    <w:rsid w:val="003B5E1F"/>
    <w:rsid w:val="003B7FBA"/>
    <w:rsid w:val="003C21F4"/>
    <w:rsid w:val="003C303F"/>
    <w:rsid w:val="003C3081"/>
    <w:rsid w:val="003C3A9C"/>
    <w:rsid w:val="003C4BDD"/>
    <w:rsid w:val="003C4C42"/>
    <w:rsid w:val="003C5C21"/>
    <w:rsid w:val="003C78BA"/>
    <w:rsid w:val="003D0930"/>
    <w:rsid w:val="003D1D59"/>
    <w:rsid w:val="003E0046"/>
    <w:rsid w:val="003E0A44"/>
    <w:rsid w:val="003E3DC3"/>
    <w:rsid w:val="003E4202"/>
    <w:rsid w:val="003E5F9E"/>
    <w:rsid w:val="003E6448"/>
    <w:rsid w:val="003F174D"/>
    <w:rsid w:val="003F32FC"/>
    <w:rsid w:val="00400514"/>
    <w:rsid w:val="00400B32"/>
    <w:rsid w:val="00405AF1"/>
    <w:rsid w:val="00406119"/>
    <w:rsid w:val="004062E0"/>
    <w:rsid w:val="00415F31"/>
    <w:rsid w:val="00421AC1"/>
    <w:rsid w:val="00421CDD"/>
    <w:rsid w:val="004220C7"/>
    <w:rsid w:val="00423A77"/>
    <w:rsid w:val="004325E9"/>
    <w:rsid w:val="004358A8"/>
    <w:rsid w:val="00442B70"/>
    <w:rsid w:val="00442E6A"/>
    <w:rsid w:val="00442F6B"/>
    <w:rsid w:val="0044338D"/>
    <w:rsid w:val="0044491B"/>
    <w:rsid w:val="00451C27"/>
    <w:rsid w:val="00452704"/>
    <w:rsid w:val="00455E57"/>
    <w:rsid w:val="004574AD"/>
    <w:rsid w:val="0045777E"/>
    <w:rsid w:val="004625E2"/>
    <w:rsid w:val="0046271E"/>
    <w:rsid w:val="00462CE9"/>
    <w:rsid w:val="00464682"/>
    <w:rsid w:val="00464C22"/>
    <w:rsid w:val="00466044"/>
    <w:rsid w:val="00470832"/>
    <w:rsid w:val="00475461"/>
    <w:rsid w:val="00475EF7"/>
    <w:rsid w:val="00480B4B"/>
    <w:rsid w:val="0048197D"/>
    <w:rsid w:val="00481BBE"/>
    <w:rsid w:val="0048274C"/>
    <w:rsid w:val="0048292C"/>
    <w:rsid w:val="004830D0"/>
    <w:rsid w:val="00485DC4"/>
    <w:rsid w:val="004868A8"/>
    <w:rsid w:val="00486EA0"/>
    <w:rsid w:val="00491349"/>
    <w:rsid w:val="00492389"/>
    <w:rsid w:val="004926A0"/>
    <w:rsid w:val="004930DE"/>
    <w:rsid w:val="00496561"/>
    <w:rsid w:val="004972C2"/>
    <w:rsid w:val="004A3FF1"/>
    <w:rsid w:val="004A411C"/>
    <w:rsid w:val="004A43D1"/>
    <w:rsid w:val="004A4FC3"/>
    <w:rsid w:val="004A6459"/>
    <w:rsid w:val="004A7B39"/>
    <w:rsid w:val="004B20FC"/>
    <w:rsid w:val="004B4412"/>
    <w:rsid w:val="004C348C"/>
    <w:rsid w:val="004C3627"/>
    <w:rsid w:val="004C574A"/>
    <w:rsid w:val="004C5BB1"/>
    <w:rsid w:val="004C69BA"/>
    <w:rsid w:val="004D26DF"/>
    <w:rsid w:val="004D4888"/>
    <w:rsid w:val="004D55BA"/>
    <w:rsid w:val="004D6A10"/>
    <w:rsid w:val="004E1D72"/>
    <w:rsid w:val="004E22EC"/>
    <w:rsid w:val="004E42FF"/>
    <w:rsid w:val="004E4E6D"/>
    <w:rsid w:val="004E4F39"/>
    <w:rsid w:val="004F088A"/>
    <w:rsid w:val="004F223F"/>
    <w:rsid w:val="004F6A0E"/>
    <w:rsid w:val="004F762D"/>
    <w:rsid w:val="00501F99"/>
    <w:rsid w:val="00506611"/>
    <w:rsid w:val="00506B1F"/>
    <w:rsid w:val="0051093A"/>
    <w:rsid w:val="005130CC"/>
    <w:rsid w:val="00513224"/>
    <w:rsid w:val="005143B3"/>
    <w:rsid w:val="0052093D"/>
    <w:rsid w:val="0052170E"/>
    <w:rsid w:val="00522EA2"/>
    <w:rsid w:val="00523509"/>
    <w:rsid w:val="00525368"/>
    <w:rsid w:val="00526EAA"/>
    <w:rsid w:val="00530128"/>
    <w:rsid w:val="0053167B"/>
    <w:rsid w:val="00532467"/>
    <w:rsid w:val="00537545"/>
    <w:rsid w:val="00540418"/>
    <w:rsid w:val="005422DC"/>
    <w:rsid w:val="00544C12"/>
    <w:rsid w:val="00551D58"/>
    <w:rsid w:val="00553342"/>
    <w:rsid w:val="005537CC"/>
    <w:rsid w:val="00553BA5"/>
    <w:rsid w:val="00554B67"/>
    <w:rsid w:val="0055669A"/>
    <w:rsid w:val="00561DD2"/>
    <w:rsid w:val="00562786"/>
    <w:rsid w:val="00563C02"/>
    <w:rsid w:val="00564A4D"/>
    <w:rsid w:val="0056513F"/>
    <w:rsid w:val="00566163"/>
    <w:rsid w:val="00566A90"/>
    <w:rsid w:val="00567BA5"/>
    <w:rsid w:val="00570C9B"/>
    <w:rsid w:val="005711CF"/>
    <w:rsid w:val="00571B35"/>
    <w:rsid w:val="00571D57"/>
    <w:rsid w:val="0057502F"/>
    <w:rsid w:val="00577A09"/>
    <w:rsid w:val="005829C2"/>
    <w:rsid w:val="00584D8F"/>
    <w:rsid w:val="00585225"/>
    <w:rsid w:val="00585EC9"/>
    <w:rsid w:val="00594D19"/>
    <w:rsid w:val="00597801"/>
    <w:rsid w:val="00597C6C"/>
    <w:rsid w:val="00597E38"/>
    <w:rsid w:val="005A28D5"/>
    <w:rsid w:val="005A3C88"/>
    <w:rsid w:val="005A404D"/>
    <w:rsid w:val="005A6140"/>
    <w:rsid w:val="005A61F0"/>
    <w:rsid w:val="005A6F9E"/>
    <w:rsid w:val="005B0820"/>
    <w:rsid w:val="005B1E3C"/>
    <w:rsid w:val="005B1EDD"/>
    <w:rsid w:val="005B24D0"/>
    <w:rsid w:val="005B313B"/>
    <w:rsid w:val="005B3C75"/>
    <w:rsid w:val="005B5A47"/>
    <w:rsid w:val="005B704A"/>
    <w:rsid w:val="005C0D5D"/>
    <w:rsid w:val="005C106B"/>
    <w:rsid w:val="005C20C3"/>
    <w:rsid w:val="005C2692"/>
    <w:rsid w:val="005C26CC"/>
    <w:rsid w:val="005C2998"/>
    <w:rsid w:val="005D13D4"/>
    <w:rsid w:val="005D2377"/>
    <w:rsid w:val="005D30C9"/>
    <w:rsid w:val="005D500D"/>
    <w:rsid w:val="005D51C4"/>
    <w:rsid w:val="005D653A"/>
    <w:rsid w:val="005D7BA2"/>
    <w:rsid w:val="005D7D02"/>
    <w:rsid w:val="005E1C36"/>
    <w:rsid w:val="005E2D1E"/>
    <w:rsid w:val="005E36C2"/>
    <w:rsid w:val="005E3878"/>
    <w:rsid w:val="005E5104"/>
    <w:rsid w:val="005E629E"/>
    <w:rsid w:val="005E6E22"/>
    <w:rsid w:val="005F17A2"/>
    <w:rsid w:val="005F2BC3"/>
    <w:rsid w:val="005F2F84"/>
    <w:rsid w:val="005F3BAD"/>
    <w:rsid w:val="005F3CA6"/>
    <w:rsid w:val="005F7600"/>
    <w:rsid w:val="006009F1"/>
    <w:rsid w:val="0060124E"/>
    <w:rsid w:val="00603D2C"/>
    <w:rsid w:val="00604AA9"/>
    <w:rsid w:val="006051BD"/>
    <w:rsid w:val="00607987"/>
    <w:rsid w:val="00611F7C"/>
    <w:rsid w:val="00612F4F"/>
    <w:rsid w:val="00615485"/>
    <w:rsid w:val="00615C6B"/>
    <w:rsid w:val="00615DA8"/>
    <w:rsid w:val="00616770"/>
    <w:rsid w:val="00621BB0"/>
    <w:rsid w:val="00621CD6"/>
    <w:rsid w:val="00621DCE"/>
    <w:rsid w:val="00622BD5"/>
    <w:rsid w:val="006308A6"/>
    <w:rsid w:val="00631982"/>
    <w:rsid w:val="00632D6D"/>
    <w:rsid w:val="00634A68"/>
    <w:rsid w:val="00635D29"/>
    <w:rsid w:val="00636ED5"/>
    <w:rsid w:val="0063759E"/>
    <w:rsid w:val="00640296"/>
    <w:rsid w:val="00640B09"/>
    <w:rsid w:val="00642C3E"/>
    <w:rsid w:val="00643825"/>
    <w:rsid w:val="006527D1"/>
    <w:rsid w:val="0065306C"/>
    <w:rsid w:val="006537AA"/>
    <w:rsid w:val="00654111"/>
    <w:rsid w:val="00654881"/>
    <w:rsid w:val="0065573A"/>
    <w:rsid w:val="006560A1"/>
    <w:rsid w:val="006566E4"/>
    <w:rsid w:val="0066104A"/>
    <w:rsid w:val="0066180C"/>
    <w:rsid w:val="00663DAD"/>
    <w:rsid w:val="00664144"/>
    <w:rsid w:val="00664172"/>
    <w:rsid w:val="00664F75"/>
    <w:rsid w:val="00665696"/>
    <w:rsid w:val="00666644"/>
    <w:rsid w:val="00670389"/>
    <w:rsid w:val="00673193"/>
    <w:rsid w:val="00673895"/>
    <w:rsid w:val="00674A3E"/>
    <w:rsid w:val="00675E20"/>
    <w:rsid w:val="00676679"/>
    <w:rsid w:val="00680BC2"/>
    <w:rsid w:val="00683180"/>
    <w:rsid w:val="00683C89"/>
    <w:rsid w:val="006840C4"/>
    <w:rsid w:val="00690F3B"/>
    <w:rsid w:val="006912FE"/>
    <w:rsid w:val="006914B3"/>
    <w:rsid w:val="00692233"/>
    <w:rsid w:val="006A07DE"/>
    <w:rsid w:val="006A08A8"/>
    <w:rsid w:val="006A3314"/>
    <w:rsid w:val="006A54DD"/>
    <w:rsid w:val="006A674D"/>
    <w:rsid w:val="006A6FF1"/>
    <w:rsid w:val="006B0F74"/>
    <w:rsid w:val="006B1751"/>
    <w:rsid w:val="006B2395"/>
    <w:rsid w:val="006B240A"/>
    <w:rsid w:val="006B4166"/>
    <w:rsid w:val="006B4CF9"/>
    <w:rsid w:val="006B6535"/>
    <w:rsid w:val="006B701F"/>
    <w:rsid w:val="006B74FD"/>
    <w:rsid w:val="006B7AC8"/>
    <w:rsid w:val="006C1736"/>
    <w:rsid w:val="006C4D48"/>
    <w:rsid w:val="006C50C0"/>
    <w:rsid w:val="006C60B8"/>
    <w:rsid w:val="006D0F60"/>
    <w:rsid w:val="006D5008"/>
    <w:rsid w:val="006D550F"/>
    <w:rsid w:val="006D5A42"/>
    <w:rsid w:val="006D7B5C"/>
    <w:rsid w:val="006E04B7"/>
    <w:rsid w:val="006E27DA"/>
    <w:rsid w:val="006E2CB2"/>
    <w:rsid w:val="006E3B1E"/>
    <w:rsid w:val="006E4ADB"/>
    <w:rsid w:val="006E5878"/>
    <w:rsid w:val="006E7560"/>
    <w:rsid w:val="006F0977"/>
    <w:rsid w:val="006F789C"/>
    <w:rsid w:val="006F79E0"/>
    <w:rsid w:val="006F7DD8"/>
    <w:rsid w:val="00701CAB"/>
    <w:rsid w:val="0070354B"/>
    <w:rsid w:val="00703D76"/>
    <w:rsid w:val="00704113"/>
    <w:rsid w:val="00707563"/>
    <w:rsid w:val="00713956"/>
    <w:rsid w:val="007139C9"/>
    <w:rsid w:val="00720341"/>
    <w:rsid w:val="0072348C"/>
    <w:rsid w:val="00724A37"/>
    <w:rsid w:val="0072561F"/>
    <w:rsid w:val="0072585D"/>
    <w:rsid w:val="00727F48"/>
    <w:rsid w:val="007303C3"/>
    <w:rsid w:val="00731756"/>
    <w:rsid w:val="00732CA0"/>
    <w:rsid w:val="00733A68"/>
    <w:rsid w:val="00734A68"/>
    <w:rsid w:val="00734BA4"/>
    <w:rsid w:val="00735D0E"/>
    <w:rsid w:val="00736065"/>
    <w:rsid w:val="007370F1"/>
    <w:rsid w:val="00740003"/>
    <w:rsid w:val="0074257E"/>
    <w:rsid w:val="007429BE"/>
    <w:rsid w:val="00742E6B"/>
    <w:rsid w:val="00743223"/>
    <w:rsid w:val="007447DC"/>
    <w:rsid w:val="00744C5A"/>
    <w:rsid w:val="00746513"/>
    <w:rsid w:val="00746E01"/>
    <w:rsid w:val="00747A2C"/>
    <w:rsid w:val="00757364"/>
    <w:rsid w:val="00757BDF"/>
    <w:rsid w:val="007609D0"/>
    <w:rsid w:val="007611E3"/>
    <w:rsid w:val="007614DD"/>
    <w:rsid w:val="00762CF4"/>
    <w:rsid w:val="00763E2F"/>
    <w:rsid w:val="00763E5D"/>
    <w:rsid w:val="00764374"/>
    <w:rsid w:val="00765078"/>
    <w:rsid w:val="00767740"/>
    <w:rsid w:val="007725F2"/>
    <w:rsid w:val="00772B77"/>
    <w:rsid w:val="00774576"/>
    <w:rsid w:val="00777EE6"/>
    <w:rsid w:val="00781C71"/>
    <w:rsid w:val="00781E59"/>
    <w:rsid w:val="00782C6C"/>
    <w:rsid w:val="00782EEA"/>
    <w:rsid w:val="00783A3A"/>
    <w:rsid w:val="00786193"/>
    <w:rsid w:val="0078790F"/>
    <w:rsid w:val="007902A4"/>
    <w:rsid w:val="007927B0"/>
    <w:rsid w:val="00792C6E"/>
    <w:rsid w:val="007938E5"/>
    <w:rsid w:val="00796270"/>
    <w:rsid w:val="007967C0"/>
    <w:rsid w:val="00796D18"/>
    <w:rsid w:val="00797315"/>
    <w:rsid w:val="007A2F93"/>
    <w:rsid w:val="007A3121"/>
    <w:rsid w:val="007A3664"/>
    <w:rsid w:val="007A451A"/>
    <w:rsid w:val="007B186E"/>
    <w:rsid w:val="007B2C72"/>
    <w:rsid w:val="007B74B0"/>
    <w:rsid w:val="007C1C53"/>
    <w:rsid w:val="007C4678"/>
    <w:rsid w:val="007C6250"/>
    <w:rsid w:val="007C695E"/>
    <w:rsid w:val="007C74BB"/>
    <w:rsid w:val="007C7B20"/>
    <w:rsid w:val="007D1C3D"/>
    <w:rsid w:val="007D456E"/>
    <w:rsid w:val="007D7D01"/>
    <w:rsid w:val="007E1962"/>
    <w:rsid w:val="007E1EA4"/>
    <w:rsid w:val="007E1FD6"/>
    <w:rsid w:val="007E21A1"/>
    <w:rsid w:val="007E23EF"/>
    <w:rsid w:val="007E4904"/>
    <w:rsid w:val="007E4CB5"/>
    <w:rsid w:val="007E5FF4"/>
    <w:rsid w:val="007F066B"/>
    <w:rsid w:val="007F07BE"/>
    <w:rsid w:val="007F2D66"/>
    <w:rsid w:val="007F2F06"/>
    <w:rsid w:val="007F4229"/>
    <w:rsid w:val="007F5DCB"/>
    <w:rsid w:val="00800A30"/>
    <w:rsid w:val="00802835"/>
    <w:rsid w:val="008033C4"/>
    <w:rsid w:val="0080518E"/>
    <w:rsid w:val="00805410"/>
    <w:rsid w:val="00806C88"/>
    <w:rsid w:val="0081034E"/>
    <w:rsid w:val="008170C4"/>
    <w:rsid w:val="00817EEF"/>
    <w:rsid w:val="0082114E"/>
    <w:rsid w:val="00821AEE"/>
    <w:rsid w:val="00821F59"/>
    <w:rsid w:val="00826060"/>
    <w:rsid w:val="00827E36"/>
    <w:rsid w:val="008344F6"/>
    <w:rsid w:val="0083510F"/>
    <w:rsid w:val="00836286"/>
    <w:rsid w:val="00837438"/>
    <w:rsid w:val="0084079E"/>
    <w:rsid w:val="008423B5"/>
    <w:rsid w:val="00842AFA"/>
    <w:rsid w:val="00842D08"/>
    <w:rsid w:val="00842E66"/>
    <w:rsid w:val="008432D8"/>
    <w:rsid w:val="008433AB"/>
    <w:rsid w:val="0084645D"/>
    <w:rsid w:val="00847513"/>
    <w:rsid w:val="00851209"/>
    <w:rsid w:val="008520D1"/>
    <w:rsid w:val="008525C4"/>
    <w:rsid w:val="0085280E"/>
    <w:rsid w:val="00853443"/>
    <w:rsid w:val="00855149"/>
    <w:rsid w:val="008556CC"/>
    <w:rsid w:val="00855F46"/>
    <w:rsid w:val="0086018D"/>
    <w:rsid w:val="008601AE"/>
    <w:rsid w:val="0086418D"/>
    <w:rsid w:val="00866292"/>
    <w:rsid w:val="00866B7A"/>
    <w:rsid w:val="0086791F"/>
    <w:rsid w:val="00867D79"/>
    <w:rsid w:val="0087365A"/>
    <w:rsid w:val="008748BA"/>
    <w:rsid w:val="008748DA"/>
    <w:rsid w:val="008764CF"/>
    <w:rsid w:val="0087675F"/>
    <w:rsid w:val="0087773E"/>
    <w:rsid w:val="00880CE2"/>
    <w:rsid w:val="00882F3D"/>
    <w:rsid w:val="008837AC"/>
    <w:rsid w:val="00884E51"/>
    <w:rsid w:val="00886B7C"/>
    <w:rsid w:val="0089007A"/>
    <w:rsid w:val="008908AB"/>
    <w:rsid w:val="00891CF4"/>
    <w:rsid w:val="00892103"/>
    <w:rsid w:val="00892BC8"/>
    <w:rsid w:val="00894A39"/>
    <w:rsid w:val="00895145"/>
    <w:rsid w:val="008A0A6F"/>
    <w:rsid w:val="008A12C8"/>
    <w:rsid w:val="008A451E"/>
    <w:rsid w:val="008A4EA6"/>
    <w:rsid w:val="008A587D"/>
    <w:rsid w:val="008B13F0"/>
    <w:rsid w:val="008B2351"/>
    <w:rsid w:val="008B265F"/>
    <w:rsid w:val="008B35CD"/>
    <w:rsid w:val="008B3640"/>
    <w:rsid w:val="008B41F6"/>
    <w:rsid w:val="008B5FCC"/>
    <w:rsid w:val="008B721C"/>
    <w:rsid w:val="008C4977"/>
    <w:rsid w:val="008C53C2"/>
    <w:rsid w:val="008C5486"/>
    <w:rsid w:val="008C7DD1"/>
    <w:rsid w:val="008D0A2C"/>
    <w:rsid w:val="008D161E"/>
    <w:rsid w:val="008D1661"/>
    <w:rsid w:val="008D170F"/>
    <w:rsid w:val="008D18DD"/>
    <w:rsid w:val="008D2F88"/>
    <w:rsid w:val="008D52B7"/>
    <w:rsid w:val="008D5A7E"/>
    <w:rsid w:val="008D75FD"/>
    <w:rsid w:val="008D77C8"/>
    <w:rsid w:val="008E7031"/>
    <w:rsid w:val="008E77DE"/>
    <w:rsid w:val="008F07A3"/>
    <w:rsid w:val="008F49AA"/>
    <w:rsid w:val="009001B6"/>
    <w:rsid w:val="00900E1B"/>
    <w:rsid w:val="00901E2A"/>
    <w:rsid w:val="0090431C"/>
    <w:rsid w:val="00904E21"/>
    <w:rsid w:val="00905FEC"/>
    <w:rsid w:val="00906349"/>
    <w:rsid w:val="00906737"/>
    <w:rsid w:val="00907B76"/>
    <w:rsid w:val="00907E8E"/>
    <w:rsid w:val="0091128B"/>
    <w:rsid w:val="00913086"/>
    <w:rsid w:val="009211CA"/>
    <w:rsid w:val="009233EE"/>
    <w:rsid w:val="00927F59"/>
    <w:rsid w:val="00932975"/>
    <w:rsid w:val="00933B54"/>
    <w:rsid w:val="009353CC"/>
    <w:rsid w:val="009377B4"/>
    <w:rsid w:val="00945C0A"/>
    <w:rsid w:val="009460AA"/>
    <w:rsid w:val="00950A65"/>
    <w:rsid w:val="00951978"/>
    <w:rsid w:val="009553E3"/>
    <w:rsid w:val="00955B8B"/>
    <w:rsid w:val="00956D15"/>
    <w:rsid w:val="0095716E"/>
    <w:rsid w:val="00961A4A"/>
    <w:rsid w:val="00965F4A"/>
    <w:rsid w:val="009661DE"/>
    <w:rsid w:val="00967B19"/>
    <w:rsid w:val="00982130"/>
    <w:rsid w:val="0098399B"/>
    <w:rsid w:val="00983C25"/>
    <w:rsid w:val="009856B7"/>
    <w:rsid w:val="00985C86"/>
    <w:rsid w:val="00987246"/>
    <w:rsid w:val="00996349"/>
    <w:rsid w:val="00996A8E"/>
    <w:rsid w:val="00996F81"/>
    <w:rsid w:val="009A03CB"/>
    <w:rsid w:val="009A1A4E"/>
    <w:rsid w:val="009A5FC3"/>
    <w:rsid w:val="009A792A"/>
    <w:rsid w:val="009A7D9D"/>
    <w:rsid w:val="009B02F6"/>
    <w:rsid w:val="009B090B"/>
    <w:rsid w:val="009B74B0"/>
    <w:rsid w:val="009C0D47"/>
    <w:rsid w:val="009C2886"/>
    <w:rsid w:val="009D0037"/>
    <w:rsid w:val="009D1AA8"/>
    <w:rsid w:val="009D1E8B"/>
    <w:rsid w:val="009D232F"/>
    <w:rsid w:val="009D35A0"/>
    <w:rsid w:val="009D3906"/>
    <w:rsid w:val="009D6B46"/>
    <w:rsid w:val="009D6D71"/>
    <w:rsid w:val="009E05E3"/>
    <w:rsid w:val="009E2AB3"/>
    <w:rsid w:val="009E2F4C"/>
    <w:rsid w:val="009E33AA"/>
    <w:rsid w:val="009E40AA"/>
    <w:rsid w:val="009E6455"/>
    <w:rsid w:val="009F0858"/>
    <w:rsid w:val="009F0978"/>
    <w:rsid w:val="009F4934"/>
    <w:rsid w:val="009F4940"/>
    <w:rsid w:val="009F580A"/>
    <w:rsid w:val="009F5BA1"/>
    <w:rsid w:val="009F5F73"/>
    <w:rsid w:val="00A0245F"/>
    <w:rsid w:val="00A02A88"/>
    <w:rsid w:val="00A04813"/>
    <w:rsid w:val="00A0562E"/>
    <w:rsid w:val="00A06940"/>
    <w:rsid w:val="00A0726D"/>
    <w:rsid w:val="00A10224"/>
    <w:rsid w:val="00A13D81"/>
    <w:rsid w:val="00A164C0"/>
    <w:rsid w:val="00A16CC8"/>
    <w:rsid w:val="00A210B3"/>
    <w:rsid w:val="00A2305F"/>
    <w:rsid w:val="00A23B57"/>
    <w:rsid w:val="00A24DED"/>
    <w:rsid w:val="00A30F00"/>
    <w:rsid w:val="00A32FBB"/>
    <w:rsid w:val="00A34043"/>
    <w:rsid w:val="00A344D3"/>
    <w:rsid w:val="00A3486A"/>
    <w:rsid w:val="00A4070F"/>
    <w:rsid w:val="00A428EE"/>
    <w:rsid w:val="00A4295D"/>
    <w:rsid w:val="00A42F74"/>
    <w:rsid w:val="00A4478A"/>
    <w:rsid w:val="00A44852"/>
    <w:rsid w:val="00A4740A"/>
    <w:rsid w:val="00A525C4"/>
    <w:rsid w:val="00A55C4E"/>
    <w:rsid w:val="00A570A2"/>
    <w:rsid w:val="00A57694"/>
    <w:rsid w:val="00A57D04"/>
    <w:rsid w:val="00A608C9"/>
    <w:rsid w:val="00A6098D"/>
    <w:rsid w:val="00A60A26"/>
    <w:rsid w:val="00A61598"/>
    <w:rsid w:val="00A637C3"/>
    <w:rsid w:val="00A63E08"/>
    <w:rsid w:val="00A63EDD"/>
    <w:rsid w:val="00A6401F"/>
    <w:rsid w:val="00A64A73"/>
    <w:rsid w:val="00A704B2"/>
    <w:rsid w:val="00A72AF9"/>
    <w:rsid w:val="00A74F31"/>
    <w:rsid w:val="00A752FF"/>
    <w:rsid w:val="00A75594"/>
    <w:rsid w:val="00A80B9D"/>
    <w:rsid w:val="00A84532"/>
    <w:rsid w:val="00A846B5"/>
    <w:rsid w:val="00A84A99"/>
    <w:rsid w:val="00A84B1B"/>
    <w:rsid w:val="00A84C72"/>
    <w:rsid w:val="00A84F46"/>
    <w:rsid w:val="00A870A6"/>
    <w:rsid w:val="00A871F4"/>
    <w:rsid w:val="00A90B8C"/>
    <w:rsid w:val="00A914F3"/>
    <w:rsid w:val="00A933BB"/>
    <w:rsid w:val="00AA15E7"/>
    <w:rsid w:val="00AA1E14"/>
    <w:rsid w:val="00AA3B8E"/>
    <w:rsid w:val="00AA53A3"/>
    <w:rsid w:val="00AA5660"/>
    <w:rsid w:val="00AA6C75"/>
    <w:rsid w:val="00AA7F63"/>
    <w:rsid w:val="00AB32EC"/>
    <w:rsid w:val="00AB4D90"/>
    <w:rsid w:val="00AB5AB7"/>
    <w:rsid w:val="00AB6832"/>
    <w:rsid w:val="00AC0C43"/>
    <w:rsid w:val="00AC1867"/>
    <w:rsid w:val="00AC1A83"/>
    <w:rsid w:val="00AC1B2C"/>
    <w:rsid w:val="00AC26B1"/>
    <w:rsid w:val="00AC3264"/>
    <w:rsid w:val="00AC3478"/>
    <w:rsid w:val="00AC3B9C"/>
    <w:rsid w:val="00AC4546"/>
    <w:rsid w:val="00AC4B4A"/>
    <w:rsid w:val="00AC50EE"/>
    <w:rsid w:val="00AC6390"/>
    <w:rsid w:val="00AD0CE0"/>
    <w:rsid w:val="00AD2086"/>
    <w:rsid w:val="00AD4C94"/>
    <w:rsid w:val="00AD60DC"/>
    <w:rsid w:val="00AD6655"/>
    <w:rsid w:val="00AE05A6"/>
    <w:rsid w:val="00AE1BF1"/>
    <w:rsid w:val="00AE2141"/>
    <w:rsid w:val="00AE38E6"/>
    <w:rsid w:val="00AE7649"/>
    <w:rsid w:val="00AF026A"/>
    <w:rsid w:val="00AF0DD2"/>
    <w:rsid w:val="00AF37BA"/>
    <w:rsid w:val="00AF3F7F"/>
    <w:rsid w:val="00AF564E"/>
    <w:rsid w:val="00AF674E"/>
    <w:rsid w:val="00B005D6"/>
    <w:rsid w:val="00B03016"/>
    <w:rsid w:val="00B039D3"/>
    <w:rsid w:val="00B047E3"/>
    <w:rsid w:val="00B05B6C"/>
    <w:rsid w:val="00B06C2F"/>
    <w:rsid w:val="00B06E71"/>
    <w:rsid w:val="00B12C7A"/>
    <w:rsid w:val="00B13048"/>
    <w:rsid w:val="00B1716D"/>
    <w:rsid w:val="00B17A1D"/>
    <w:rsid w:val="00B207A0"/>
    <w:rsid w:val="00B21346"/>
    <w:rsid w:val="00B217BD"/>
    <w:rsid w:val="00B2303F"/>
    <w:rsid w:val="00B235DA"/>
    <w:rsid w:val="00B252D3"/>
    <w:rsid w:val="00B30750"/>
    <w:rsid w:val="00B31C39"/>
    <w:rsid w:val="00B3302E"/>
    <w:rsid w:val="00B36EA9"/>
    <w:rsid w:val="00B37345"/>
    <w:rsid w:val="00B37A84"/>
    <w:rsid w:val="00B44F23"/>
    <w:rsid w:val="00B50654"/>
    <w:rsid w:val="00B514DD"/>
    <w:rsid w:val="00B52AF0"/>
    <w:rsid w:val="00B546C3"/>
    <w:rsid w:val="00B556DC"/>
    <w:rsid w:val="00B561BD"/>
    <w:rsid w:val="00B56E03"/>
    <w:rsid w:val="00B60505"/>
    <w:rsid w:val="00B608D8"/>
    <w:rsid w:val="00B62985"/>
    <w:rsid w:val="00B656A7"/>
    <w:rsid w:val="00B71FAE"/>
    <w:rsid w:val="00B75F8E"/>
    <w:rsid w:val="00B80121"/>
    <w:rsid w:val="00B8080B"/>
    <w:rsid w:val="00B82223"/>
    <w:rsid w:val="00B82EC0"/>
    <w:rsid w:val="00B83A31"/>
    <w:rsid w:val="00B84897"/>
    <w:rsid w:val="00B87BA5"/>
    <w:rsid w:val="00B87C39"/>
    <w:rsid w:val="00B91232"/>
    <w:rsid w:val="00B951BB"/>
    <w:rsid w:val="00B9562D"/>
    <w:rsid w:val="00B9733D"/>
    <w:rsid w:val="00BA055C"/>
    <w:rsid w:val="00BA1218"/>
    <w:rsid w:val="00BA1869"/>
    <w:rsid w:val="00BA300D"/>
    <w:rsid w:val="00BA3460"/>
    <w:rsid w:val="00BA392B"/>
    <w:rsid w:val="00BA42B2"/>
    <w:rsid w:val="00BA4665"/>
    <w:rsid w:val="00BA4C69"/>
    <w:rsid w:val="00BB0CBF"/>
    <w:rsid w:val="00BB18D4"/>
    <w:rsid w:val="00BB2FB2"/>
    <w:rsid w:val="00BB3304"/>
    <w:rsid w:val="00BB4C3C"/>
    <w:rsid w:val="00BB711D"/>
    <w:rsid w:val="00BC2F8E"/>
    <w:rsid w:val="00BC64D5"/>
    <w:rsid w:val="00BC7472"/>
    <w:rsid w:val="00BD192F"/>
    <w:rsid w:val="00BD3446"/>
    <w:rsid w:val="00BD37A7"/>
    <w:rsid w:val="00BD5331"/>
    <w:rsid w:val="00BD5399"/>
    <w:rsid w:val="00BD542D"/>
    <w:rsid w:val="00BD5D87"/>
    <w:rsid w:val="00BE1F1B"/>
    <w:rsid w:val="00BE47B5"/>
    <w:rsid w:val="00BE50A6"/>
    <w:rsid w:val="00BE50B0"/>
    <w:rsid w:val="00BE5A59"/>
    <w:rsid w:val="00BE7E8C"/>
    <w:rsid w:val="00BE7ED0"/>
    <w:rsid w:val="00BF052C"/>
    <w:rsid w:val="00BF0C3E"/>
    <w:rsid w:val="00BF1DC0"/>
    <w:rsid w:val="00BF2F91"/>
    <w:rsid w:val="00BF5906"/>
    <w:rsid w:val="00BF595D"/>
    <w:rsid w:val="00BF76DE"/>
    <w:rsid w:val="00C042FB"/>
    <w:rsid w:val="00C04867"/>
    <w:rsid w:val="00C04C58"/>
    <w:rsid w:val="00C0601D"/>
    <w:rsid w:val="00C10D7D"/>
    <w:rsid w:val="00C16481"/>
    <w:rsid w:val="00C175D3"/>
    <w:rsid w:val="00C22C38"/>
    <w:rsid w:val="00C23EDE"/>
    <w:rsid w:val="00C25320"/>
    <w:rsid w:val="00C25FA6"/>
    <w:rsid w:val="00C26737"/>
    <w:rsid w:val="00C30906"/>
    <w:rsid w:val="00C33F1F"/>
    <w:rsid w:val="00C420BC"/>
    <w:rsid w:val="00C42763"/>
    <w:rsid w:val="00C450E3"/>
    <w:rsid w:val="00C517BC"/>
    <w:rsid w:val="00C538A9"/>
    <w:rsid w:val="00C53B5A"/>
    <w:rsid w:val="00C54F5A"/>
    <w:rsid w:val="00C566E8"/>
    <w:rsid w:val="00C569B4"/>
    <w:rsid w:val="00C61926"/>
    <w:rsid w:val="00C6448C"/>
    <w:rsid w:val="00C65A66"/>
    <w:rsid w:val="00C663E7"/>
    <w:rsid w:val="00C67A92"/>
    <w:rsid w:val="00C71054"/>
    <w:rsid w:val="00C7183C"/>
    <w:rsid w:val="00C71E6B"/>
    <w:rsid w:val="00C73ADA"/>
    <w:rsid w:val="00C75E74"/>
    <w:rsid w:val="00C76317"/>
    <w:rsid w:val="00C77169"/>
    <w:rsid w:val="00C80FB3"/>
    <w:rsid w:val="00C81758"/>
    <w:rsid w:val="00C834E7"/>
    <w:rsid w:val="00C84560"/>
    <w:rsid w:val="00C85FC8"/>
    <w:rsid w:val="00C86679"/>
    <w:rsid w:val="00C8739E"/>
    <w:rsid w:val="00C87587"/>
    <w:rsid w:val="00C87AC7"/>
    <w:rsid w:val="00C87FF4"/>
    <w:rsid w:val="00C91BAB"/>
    <w:rsid w:val="00C95384"/>
    <w:rsid w:val="00C96CB8"/>
    <w:rsid w:val="00C96D7A"/>
    <w:rsid w:val="00CA2FB2"/>
    <w:rsid w:val="00CA489E"/>
    <w:rsid w:val="00CA67ED"/>
    <w:rsid w:val="00CA7486"/>
    <w:rsid w:val="00CB0279"/>
    <w:rsid w:val="00CB18AD"/>
    <w:rsid w:val="00CB4590"/>
    <w:rsid w:val="00CB666B"/>
    <w:rsid w:val="00CC4A6D"/>
    <w:rsid w:val="00CC4C4C"/>
    <w:rsid w:val="00CC66F3"/>
    <w:rsid w:val="00CC7A1C"/>
    <w:rsid w:val="00CC7F1D"/>
    <w:rsid w:val="00CD2633"/>
    <w:rsid w:val="00CD659C"/>
    <w:rsid w:val="00CE090A"/>
    <w:rsid w:val="00CE1A2A"/>
    <w:rsid w:val="00CE2A08"/>
    <w:rsid w:val="00CE484B"/>
    <w:rsid w:val="00CE50CC"/>
    <w:rsid w:val="00CE52FC"/>
    <w:rsid w:val="00CE5DD5"/>
    <w:rsid w:val="00CE7579"/>
    <w:rsid w:val="00CF13CB"/>
    <w:rsid w:val="00CF143A"/>
    <w:rsid w:val="00CF19B5"/>
    <w:rsid w:val="00CF6177"/>
    <w:rsid w:val="00CF7597"/>
    <w:rsid w:val="00D006AE"/>
    <w:rsid w:val="00D01CF0"/>
    <w:rsid w:val="00D03907"/>
    <w:rsid w:val="00D043CC"/>
    <w:rsid w:val="00D0442A"/>
    <w:rsid w:val="00D05C8F"/>
    <w:rsid w:val="00D06AA0"/>
    <w:rsid w:val="00D11ADD"/>
    <w:rsid w:val="00D13C51"/>
    <w:rsid w:val="00D1563D"/>
    <w:rsid w:val="00D1579E"/>
    <w:rsid w:val="00D17061"/>
    <w:rsid w:val="00D21595"/>
    <w:rsid w:val="00D22444"/>
    <w:rsid w:val="00D24089"/>
    <w:rsid w:val="00D24E42"/>
    <w:rsid w:val="00D25370"/>
    <w:rsid w:val="00D256AE"/>
    <w:rsid w:val="00D27530"/>
    <w:rsid w:val="00D31967"/>
    <w:rsid w:val="00D325B8"/>
    <w:rsid w:val="00D33977"/>
    <w:rsid w:val="00D365A6"/>
    <w:rsid w:val="00D369E5"/>
    <w:rsid w:val="00D36C21"/>
    <w:rsid w:val="00D375C4"/>
    <w:rsid w:val="00D40AFA"/>
    <w:rsid w:val="00D46BE3"/>
    <w:rsid w:val="00D5642A"/>
    <w:rsid w:val="00D57DD1"/>
    <w:rsid w:val="00D600FB"/>
    <w:rsid w:val="00D60AEA"/>
    <w:rsid w:val="00D61388"/>
    <w:rsid w:val="00D61A54"/>
    <w:rsid w:val="00D63923"/>
    <w:rsid w:val="00D64AB4"/>
    <w:rsid w:val="00D64DEA"/>
    <w:rsid w:val="00D661A5"/>
    <w:rsid w:val="00D6679E"/>
    <w:rsid w:val="00D7168E"/>
    <w:rsid w:val="00D71E57"/>
    <w:rsid w:val="00D72913"/>
    <w:rsid w:val="00D73513"/>
    <w:rsid w:val="00D73DF5"/>
    <w:rsid w:val="00D77FFC"/>
    <w:rsid w:val="00D806E7"/>
    <w:rsid w:val="00D80893"/>
    <w:rsid w:val="00D84854"/>
    <w:rsid w:val="00D92CF1"/>
    <w:rsid w:val="00D92D38"/>
    <w:rsid w:val="00D93D07"/>
    <w:rsid w:val="00D94CDE"/>
    <w:rsid w:val="00D950F5"/>
    <w:rsid w:val="00D97063"/>
    <w:rsid w:val="00D9712E"/>
    <w:rsid w:val="00DA1CF9"/>
    <w:rsid w:val="00DA3023"/>
    <w:rsid w:val="00DA4752"/>
    <w:rsid w:val="00DA5359"/>
    <w:rsid w:val="00DA61F3"/>
    <w:rsid w:val="00DA6A65"/>
    <w:rsid w:val="00DA77DF"/>
    <w:rsid w:val="00DB0F93"/>
    <w:rsid w:val="00DB15A8"/>
    <w:rsid w:val="00DB1A67"/>
    <w:rsid w:val="00DB3099"/>
    <w:rsid w:val="00DB34F9"/>
    <w:rsid w:val="00DB48C6"/>
    <w:rsid w:val="00DB5074"/>
    <w:rsid w:val="00DB5658"/>
    <w:rsid w:val="00DB6648"/>
    <w:rsid w:val="00DB6E44"/>
    <w:rsid w:val="00DB76C3"/>
    <w:rsid w:val="00DB7A28"/>
    <w:rsid w:val="00DC12FC"/>
    <w:rsid w:val="00DC27D1"/>
    <w:rsid w:val="00DC3494"/>
    <w:rsid w:val="00DC42C4"/>
    <w:rsid w:val="00DC5D3C"/>
    <w:rsid w:val="00DC6749"/>
    <w:rsid w:val="00DC6AF0"/>
    <w:rsid w:val="00DC7209"/>
    <w:rsid w:val="00DC7981"/>
    <w:rsid w:val="00DD090E"/>
    <w:rsid w:val="00DD2C3C"/>
    <w:rsid w:val="00DD2EC0"/>
    <w:rsid w:val="00DD79A7"/>
    <w:rsid w:val="00DE0524"/>
    <w:rsid w:val="00DE084F"/>
    <w:rsid w:val="00DE0893"/>
    <w:rsid w:val="00DE1093"/>
    <w:rsid w:val="00DE109F"/>
    <w:rsid w:val="00DE363B"/>
    <w:rsid w:val="00DE3695"/>
    <w:rsid w:val="00DE4EFA"/>
    <w:rsid w:val="00DE5520"/>
    <w:rsid w:val="00DE563D"/>
    <w:rsid w:val="00DF0600"/>
    <w:rsid w:val="00DF362A"/>
    <w:rsid w:val="00DF4722"/>
    <w:rsid w:val="00DF65C9"/>
    <w:rsid w:val="00E01319"/>
    <w:rsid w:val="00E01744"/>
    <w:rsid w:val="00E01CAB"/>
    <w:rsid w:val="00E02715"/>
    <w:rsid w:val="00E04818"/>
    <w:rsid w:val="00E06308"/>
    <w:rsid w:val="00E06442"/>
    <w:rsid w:val="00E10E75"/>
    <w:rsid w:val="00E13934"/>
    <w:rsid w:val="00E147BE"/>
    <w:rsid w:val="00E20018"/>
    <w:rsid w:val="00E21837"/>
    <w:rsid w:val="00E230BC"/>
    <w:rsid w:val="00E23993"/>
    <w:rsid w:val="00E23B86"/>
    <w:rsid w:val="00E25B8C"/>
    <w:rsid w:val="00E27625"/>
    <w:rsid w:val="00E31230"/>
    <w:rsid w:val="00E31239"/>
    <w:rsid w:val="00E33EED"/>
    <w:rsid w:val="00E358C3"/>
    <w:rsid w:val="00E3755A"/>
    <w:rsid w:val="00E43C30"/>
    <w:rsid w:val="00E5152F"/>
    <w:rsid w:val="00E53744"/>
    <w:rsid w:val="00E574A3"/>
    <w:rsid w:val="00E57A52"/>
    <w:rsid w:val="00E57FA4"/>
    <w:rsid w:val="00E60AE4"/>
    <w:rsid w:val="00E636A0"/>
    <w:rsid w:val="00E6371D"/>
    <w:rsid w:val="00E6403F"/>
    <w:rsid w:val="00E64C45"/>
    <w:rsid w:val="00E654D7"/>
    <w:rsid w:val="00E65C85"/>
    <w:rsid w:val="00E66199"/>
    <w:rsid w:val="00E716F3"/>
    <w:rsid w:val="00E71E69"/>
    <w:rsid w:val="00E72090"/>
    <w:rsid w:val="00E72DD2"/>
    <w:rsid w:val="00E755EC"/>
    <w:rsid w:val="00E75959"/>
    <w:rsid w:val="00E7595F"/>
    <w:rsid w:val="00E7624D"/>
    <w:rsid w:val="00E7682C"/>
    <w:rsid w:val="00E81300"/>
    <w:rsid w:val="00E8310D"/>
    <w:rsid w:val="00E85C2D"/>
    <w:rsid w:val="00E92CFA"/>
    <w:rsid w:val="00E939FE"/>
    <w:rsid w:val="00E93F98"/>
    <w:rsid w:val="00E94930"/>
    <w:rsid w:val="00E97452"/>
    <w:rsid w:val="00E97F07"/>
    <w:rsid w:val="00EA00A9"/>
    <w:rsid w:val="00EA01D4"/>
    <w:rsid w:val="00EA155B"/>
    <w:rsid w:val="00EA20CE"/>
    <w:rsid w:val="00EA3075"/>
    <w:rsid w:val="00EA3B4F"/>
    <w:rsid w:val="00EA3D42"/>
    <w:rsid w:val="00EA632F"/>
    <w:rsid w:val="00EA6960"/>
    <w:rsid w:val="00EA6B1B"/>
    <w:rsid w:val="00EB2C6B"/>
    <w:rsid w:val="00EB663F"/>
    <w:rsid w:val="00EB6EAE"/>
    <w:rsid w:val="00EC03D8"/>
    <w:rsid w:val="00EC04F1"/>
    <w:rsid w:val="00EC10FD"/>
    <w:rsid w:val="00EC3862"/>
    <w:rsid w:val="00EC5833"/>
    <w:rsid w:val="00EC7203"/>
    <w:rsid w:val="00ED2889"/>
    <w:rsid w:val="00ED2A57"/>
    <w:rsid w:val="00ED7323"/>
    <w:rsid w:val="00EE10F2"/>
    <w:rsid w:val="00EE15B9"/>
    <w:rsid w:val="00EE28F3"/>
    <w:rsid w:val="00EE506C"/>
    <w:rsid w:val="00EE50D1"/>
    <w:rsid w:val="00EE5360"/>
    <w:rsid w:val="00EE5661"/>
    <w:rsid w:val="00EE70B8"/>
    <w:rsid w:val="00EF131F"/>
    <w:rsid w:val="00EF2C34"/>
    <w:rsid w:val="00EF3C65"/>
    <w:rsid w:val="00EF3F74"/>
    <w:rsid w:val="00EF48B3"/>
    <w:rsid w:val="00EF5110"/>
    <w:rsid w:val="00EF6D51"/>
    <w:rsid w:val="00EF7CE3"/>
    <w:rsid w:val="00F01ED2"/>
    <w:rsid w:val="00F04214"/>
    <w:rsid w:val="00F053FC"/>
    <w:rsid w:val="00F06031"/>
    <w:rsid w:val="00F0689C"/>
    <w:rsid w:val="00F07C14"/>
    <w:rsid w:val="00F07D7C"/>
    <w:rsid w:val="00F10411"/>
    <w:rsid w:val="00F11681"/>
    <w:rsid w:val="00F11B54"/>
    <w:rsid w:val="00F1397D"/>
    <w:rsid w:val="00F14D46"/>
    <w:rsid w:val="00F15882"/>
    <w:rsid w:val="00F16C7A"/>
    <w:rsid w:val="00F171E0"/>
    <w:rsid w:val="00F179B9"/>
    <w:rsid w:val="00F17EB3"/>
    <w:rsid w:val="00F20BD3"/>
    <w:rsid w:val="00F2260D"/>
    <w:rsid w:val="00F23F3F"/>
    <w:rsid w:val="00F311B2"/>
    <w:rsid w:val="00F3255E"/>
    <w:rsid w:val="00F3278A"/>
    <w:rsid w:val="00F32E65"/>
    <w:rsid w:val="00F33D1C"/>
    <w:rsid w:val="00F34E7E"/>
    <w:rsid w:val="00F3702A"/>
    <w:rsid w:val="00F373A5"/>
    <w:rsid w:val="00F426D8"/>
    <w:rsid w:val="00F4298C"/>
    <w:rsid w:val="00F458E9"/>
    <w:rsid w:val="00F469D8"/>
    <w:rsid w:val="00F47559"/>
    <w:rsid w:val="00F54369"/>
    <w:rsid w:val="00F549C5"/>
    <w:rsid w:val="00F56847"/>
    <w:rsid w:val="00F62A38"/>
    <w:rsid w:val="00F62D7A"/>
    <w:rsid w:val="00F64C7B"/>
    <w:rsid w:val="00F65A1C"/>
    <w:rsid w:val="00F65C3B"/>
    <w:rsid w:val="00F676DD"/>
    <w:rsid w:val="00F7227B"/>
    <w:rsid w:val="00F73143"/>
    <w:rsid w:val="00F75512"/>
    <w:rsid w:val="00F75A26"/>
    <w:rsid w:val="00F76706"/>
    <w:rsid w:val="00F7725E"/>
    <w:rsid w:val="00F77F90"/>
    <w:rsid w:val="00F83FAD"/>
    <w:rsid w:val="00F84447"/>
    <w:rsid w:val="00F8561A"/>
    <w:rsid w:val="00F877A4"/>
    <w:rsid w:val="00F87D83"/>
    <w:rsid w:val="00F90257"/>
    <w:rsid w:val="00F952A0"/>
    <w:rsid w:val="00FA0354"/>
    <w:rsid w:val="00FA22CC"/>
    <w:rsid w:val="00FA3C7F"/>
    <w:rsid w:val="00FB571B"/>
    <w:rsid w:val="00FB57E3"/>
    <w:rsid w:val="00FB58FE"/>
    <w:rsid w:val="00FB5D41"/>
    <w:rsid w:val="00FB60FE"/>
    <w:rsid w:val="00FB6E64"/>
    <w:rsid w:val="00FB71AB"/>
    <w:rsid w:val="00FB74E2"/>
    <w:rsid w:val="00FB7EE4"/>
    <w:rsid w:val="00FC0B7B"/>
    <w:rsid w:val="00FC27E4"/>
    <w:rsid w:val="00FC2BB8"/>
    <w:rsid w:val="00FC43C9"/>
    <w:rsid w:val="00FC6495"/>
    <w:rsid w:val="00FD1633"/>
    <w:rsid w:val="00FD4060"/>
    <w:rsid w:val="00FD4627"/>
    <w:rsid w:val="00FD4A9E"/>
    <w:rsid w:val="00FD5614"/>
    <w:rsid w:val="00FD5DFE"/>
    <w:rsid w:val="00FD5E78"/>
    <w:rsid w:val="00FD655D"/>
    <w:rsid w:val="00FE0BE1"/>
    <w:rsid w:val="00FE10B8"/>
    <w:rsid w:val="00FE1567"/>
    <w:rsid w:val="00FE1DE9"/>
    <w:rsid w:val="00FE36AF"/>
    <w:rsid w:val="00FE39C2"/>
    <w:rsid w:val="00FE3C32"/>
    <w:rsid w:val="00FE435C"/>
    <w:rsid w:val="00FE51DA"/>
    <w:rsid w:val="00FE55BF"/>
    <w:rsid w:val="00FE64AE"/>
    <w:rsid w:val="00FE6698"/>
    <w:rsid w:val="00FE7973"/>
    <w:rsid w:val="00FF03E7"/>
    <w:rsid w:val="00FF1756"/>
    <w:rsid w:val="00FF2A3A"/>
    <w:rsid w:val="00FF2C4A"/>
    <w:rsid w:val="00FF6705"/>
    <w:rsid w:val="00FF74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94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467551681">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gif"/><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gif"/><Relationship Id="rId49" Type="http://schemas.openxmlformats.org/officeDocument/2006/relationships/footer" Target="footer6.xml"/><Relationship Id="rId10" Type="http://schemas.openxmlformats.org/officeDocument/2006/relationships/hyperlink" Target="mailto:AERInquiry@aer.gov.a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gif"/><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aofm.gov.au/ags/" TargetMode="External"/><Relationship Id="rId18" Type="http://schemas.openxmlformats.org/officeDocument/2006/relationships/hyperlink" Target="http://www.rba.gov.au/statistics/tables/xls/f03hist.xls" TargetMode="External"/><Relationship Id="rId26" Type="http://schemas.openxmlformats.org/officeDocument/2006/relationships/hyperlink" Target="https://www.moodys.com/research/Moodys-downgrades-Asciano-to-Baa3-following-acquisition-approvals-outlook-stable--PR_352423" TargetMode="External"/><Relationship Id="rId3" Type="http://schemas.openxmlformats.org/officeDocument/2006/relationships/hyperlink" Target="http://www.aer.gov.au/node/18859" TargetMode="External"/><Relationship Id="rId21" Type="http://schemas.openxmlformats.org/officeDocument/2006/relationships/hyperlink" Target="http://www.aemc.gov.au/Energy-Rules/National-gas-rules/Gas-scheme-register/WA-Pilbara-Pipeline-System" TargetMode="External"/><Relationship Id="rId34" Type="http://schemas.openxmlformats.org/officeDocument/2006/relationships/hyperlink" Target="https://www.treasurydirect.gov/govt/charts/principal/principal_debt.htm" TargetMode="External"/><Relationship Id="rId7" Type="http://schemas.openxmlformats.org/officeDocument/2006/relationships/hyperlink" Target="http://www.aer.gov.au/node/27616" TargetMode="External"/><Relationship Id="rId12" Type="http://schemas.openxmlformats.org/officeDocument/2006/relationships/hyperlink" Target="http://www.fitchratings.com/gws/en/esp/issr/80442187" TargetMode="External"/><Relationship Id="rId17" Type="http://schemas.openxmlformats.org/officeDocument/2006/relationships/hyperlink" Target="http://www.rba.gov.au/statistics/tables/index.html" TargetMode="External"/><Relationship Id="rId25" Type="http://schemas.openxmlformats.org/officeDocument/2006/relationships/hyperlink" Target="https://www.bbhub.io/solutions/sites/8/2015/10/BVAL-Score-fact-sheet.pdf" TargetMode="External"/><Relationship Id="rId33" Type="http://schemas.openxmlformats.org/officeDocument/2006/relationships/hyperlink" Target="http://www.dmo.gov.uk/index.aspx?page=gilts/about_gilts" TargetMode="External"/><Relationship Id="rId2" Type="http://schemas.openxmlformats.org/officeDocument/2006/relationships/hyperlink" Target="http://www.competitiontribunal.gov.au/current-matters/tribunal-documents/act-6-2016" TargetMode="External"/><Relationship Id="rId16" Type="http://schemas.openxmlformats.org/officeDocument/2006/relationships/hyperlink" Target="http://www.rba.gov.au/statistics/tables/" TargetMode="External"/><Relationship Id="rId20" Type="http://schemas.openxmlformats.org/officeDocument/2006/relationships/hyperlink" Target="http://www.asx.com.au/asx/statistics/announcements.do?by=asxCode&amp;asxCode=ENV&amp;timeframe=Y&amp;year=2014" TargetMode="External"/><Relationship Id="rId29" Type="http://schemas.openxmlformats.org/officeDocument/2006/relationships/hyperlink" Target="https://www.snb.ch/en/iabout/stat/statpub/zidea/id/current_interest_exchange_rates" TargetMode="External"/><Relationship Id="rId1" Type="http://schemas.openxmlformats.org/officeDocument/2006/relationships/hyperlink" Target="http://www.competitiontribunal.gov.au/current-matters/tribunal-documents/act-8-2016" TargetMode="External"/><Relationship Id="rId6" Type="http://schemas.openxmlformats.org/officeDocument/2006/relationships/hyperlink" Target="http://www.aer.gov.au/node/18859" TargetMode="External"/><Relationship Id="rId11" Type="http://schemas.openxmlformats.org/officeDocument/2006/relationships/hyperlink" Target="http://www.standardandpoors.com/prot/ratings/entityratings/" TargetMode="External"/><Relationship Id="rId24" Type="http://schemas.openxmlformats.org/officeDocument/2006/relationships/hyperlink" Target="https://infrastructure.gov.au/aviation/airport/airport_economic_regulation/economic_regulation.aspx" TargetMode="External"/><Relationship Id="rId32" Type="http://schemas.openxmlformats.org/officeDocument/2006/relationships/hyperlink" Target="https://en.wikipedia.org/wiki/Chancellor_of_the_Exchequer" TargetMode="External"/><Relationship Id="rId5" Type="http://schemas.openxmlformats.org/officeDocument/2006/relationships/hyperlink" Target="http://www.aer.gov.au/node/18859" TargetMode="External"/><Relationship Id="rId15" Type="http://schemas.openxmlformats.org/officeDocument/2006/relationships/hyperlink" Target="http://www.duet.net.au/getattachment/ASX-releases/2015/DUET-Completes-Acquisition-of-Energy-Developments/DUET-Completes-Acquistion-of-Energy-Developments-L/DUET-Completes-Acquistion-of-Energy-Developments-Limited.pdf.aspx" TargetMode="External"/><Relationship Id="rId23" Type="http://schemas.openxmlformats.org/officeDocument/2006/relationships/hyperlink" Target="http://www.aer.gov.au/node/5219" TargetMode="External"/><Relationship Id="rId28" Type="http://schemas.openxmlformats.org/officeDocument/2006/relationships/hyperlink" Target="http://www.ecb.europa.eu/stats/policy_and_exchange_rates/key_ecb_interest_rates/html/index.en.html" TargetMode="External"/><Relationship Id="rId10" Type="http://schemas.openxmlformats.org/officeDocument/2006/relationships/hyperlink" Target="http://www.competitiontribunal.gov.au/current-matters/tribunal-documents/act-7-2016" TargetMode="External"/><Relationship Id="rId19" Type="http://schemas.openxmlformats.org/officeDocument/2006/relationships/hyperlink" Target="http://pages.stern.nyu.edu/~adamodar/New_Home_Page/lectures/pe.html" TargetMode="External"/><Relationship Id="rId31" Type="http://schemas.openxmlformats.org/officeDocument/2006/relationships/hyperlink" Target="https://www.bloomberg.com/news/articles/2016-08-10/norway-inflation-surge-casts-doubt-over-more-interest-rate-cuts"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s://www.apa.com.au/about-apa/our-history/" TargetMode="External"/><Relationship Id="rId22" Type="http://schemas.openxmlformats.org/officeDocument/2006/relationships/hyperlink" Target="http://www.aer.gov.au/node/5453" TargetMode="External"/><Relationship Id="rId27" Type="http://schemas.openxmlformats.org/officeDocument/2006/relationships/hyperlink" Target="http://www.rba.gov.au/statistics/tables/xls/f03hist.xls" TargetMode="External"/><Relationship Id="rId30" Type="http://schemas.openxmlformats.org/officeDocument/2006/relationships/hyperlink" Target="https://www.ft.com/content/2bd40fd7-6c27-3f79-9759-d109425cab6d"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8C4593BC</Template>
  <TotalTime>0</TotalTime>
  <Pages>403</Pages>
  <Words>122810</Words>
  <Characters>700019</Characters>
  <Application>Microsoft Office Word</Application>
  <DocSecurity>0</DocSecurity>
  <Lines>5833</Lines>
  <Paragraphs>1642</Paragraphs>
  <ScaleCrop>false</ScaleCrop>
  <Company/>
  <LinksUpToDate>false</LinksUpToDate>
  <CharactersWithSpaces>821187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2017-04-27T22:23:00Z</dcterms:created>
  <dcterms:modified xsi:type="dcterms:W3CDTF">2017-04-27T22:23:00Z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