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47A1D1D" wp14:editId="4BBBC424">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604A74">
            <w:t>FINAL</w:t>
          </w:r>
          <w:r w:rsidR="00DA4752">
            <w:t xml:space="preserve"> DECISION</w:t>
          </w:r>
        </w:p>
        <w:p w:rsidR="00415F31" w:rsidRDefault="004523B2" w:rsidP="008F07A3">
          <w:pPr>
            <w:pStyle w:val="ReportSubtitle"/>
          </w:pPr>
          <w:r>
            <w:t>TasNetworks distribution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w:t>
          </w:r>
          <w:r w:rsidR="004523B2">
            <w:t>18</w:t>
          </w:r>
          <w:r>
            <w:rPr>
              <w:rFonts w:cs="Arial"/>
            </w:rPr>
            <w:t>−</w:t>
          </w:r>
          <w:r w:rsidR="004523B2">
            <w:t>19</w:t>
          </w:r>
        </w:p>
        <w:p w:rsidR="008F07A3" w:rsidRPr="000A6C7B" w:rsidRDefault="008F07A3" w:rsidP="008F07A3">
          <w:pPr>
            <w:pStyle w:val="ReportSubtitle"/>
          </w:pPr>
        </w:p>
        <w:p w:rsidR="000A6C7B" w:rsidRDefault="00B35352" w:rsidP="008F07A3">
          <w:pPr>
            <w:pStyle w:val="ReportSubtitle"/>
          </w:pPr>
          <w:r>
            <w:t>Overview</w:t>
          </w:r>
        </w:p>
        <w:p w:rsidR="000A6C7B" w:rsidRPr="00327A1E" w:rsidRDefault="000B4625" w:rsidP="00327A1E">
          <w:pPr>
            <w:pStyle w:val="ReportDate"/>
          </w:pPr>
          <w:r>
            <w:t>April 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1506EC">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A44A8B">
        <w:t>1300 585 165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1051858"/>
      <w:r>
        <w:lastRenderedPageBreak/>
        <w:t>Note</w:t>
      </w:r>
      <w:bookmarkEnd w:id="1"/>
      <w:bookmarkEnd w:id="2"/>
      <w:bookmarkEnd w:id="3"/>
    </w:p>
    <w:p w:rsidR="00761454" w:rsidRDefault="00761454" w:rsidP="00761454">
      <w:pPr>
        <w:numPr>
          <w:ilvl w:val="0"/>
          <w:numId w:val="24"/>
        </w:numPr>
      </w:pPr>
      <w:r>
        <w:t xml:space="preserve">This </w:t>
      </w:r>
      <w:r w:rsidR="00F238A0">
        <w:t xml:space="preserve">Overview </w:t>
      </w:r>
      <w:r>
        <w:t xml:space="preserve">forms part of the AER's </w:t>
      </w:r>
      <w:r w:rsidR="00604A74">
        <w:t>final</w:t>
      </w:r>
      <w:r w:rsidR="000474DF">
        <w:t xml:space="preserve"> </w:t>
      </w:r>
      <w:r>
        <w:t xml:space="preserve">decision on </w:t>
      </w:r>
      <w:r w:rsidR="004523B2">
        <w:t>TasNetworks' distribution</w:t>
      </w:r>
      <w:r>
        <w:t xml:space="preserve"> determination for 201</w:t>
      </w:r>
      <w:r w:rsidR="000474DF">
        <w:t>7</w:t>
      </w:r>
      <w:r w:rsidRPr="00F02D30">
        <w:t>–</w:t>
      </w:r>
      <w:r w:rsidR="004523B2">
        <w:t>19</w:t>
      </w:r>
      <w:r>
        <w:t xml:space="preserve">. It should be read with </w:t>
      </w:r>
      <w:r w:rsidR="000474DF">
        <w:t xml:space="preserve">all </w:t>
      </w:r>
      <w:r>
        <w:t xml:space="preserve">other parts of the </w:t>
      </w:r>
      <w:r w:rsidR="00604A74">
        <w:t>final</w:t>
      </w:r>
      <w:r>
        <w:t xml:space="preserve"> decision.</w:t>
      </w:r>
    </w:p>
    <w:p w:rsidR="00D8209E" w:rsidRDefault="00075113" w:rsidP="00F238A0">
      <w:r>
        <w:t xml:space="preserve">This final decision consists of </w:t>
      </w:r>
      <w:r w:rsidR="00F238A0">
        <w:t xml:space="preserve">an Overview </w:t>
      </w:r>
      <w:r w:rsidR="00F238A0" w:rsidRPr="00F238A0">
        <w:t xml:space="preserve">and </w:t>
      </w:r>
      <w:r w:rsidR="001C7026">
        <w:t>8</w:t>
      </w:r>
      <w:r w:rsidR="001C7026" w:rsidRPr="00F238A0">
        <w:t xml:space="preserve"> </w:t>
      </w:r>
      <w:r w:rsidR="00D8209E" w:rsidRPr="00F238A0">
        <w:t>attachments</w:t>
      </w:r>
      <w:r w:rsidRPr="00F238A0">
        <w:t xml:space="preserve">. </w:t>
      </w:r>
      <w:r w:rsidR="00D8209E" w:rsidRPr="00F238A0">
        <w:t>As</w:t>
      </w:r>
      <w:r w:rsidR="00D8209E">
        <w:t xml:space="preserve"> many issues were settled at the draft decision stage</w:t>
      </w:r>
      <w:r w:rsidR="006B3A35">
        <w:t xml:space="preserve"> or required</w:t>
      </w:r>
      <w:r w:rsidR="00670B51">
        <w:t xml:space="preserve"> only</w:t>
      </w:r>
      <w:r w:rsidR="006B3A35">
        <w:t xml:space="preserve"> minor updates</w:t>
      </w:r>
      <w:r w:rsidR="00D8209E">
        <w:t xml:space="preserve"> we have not prepared </w:t>
      </w:r>
      <w:r w:rsidR="00F238A0">
        <w:t xml:space="preserve">final decision </w:t>
      </w:r>
      <w:r w:rsidR="00D8209E">
        <w:t xml:space="preserve">attachments for: </w:t>
      </w:r>
    </w:p>
    <w:p w:rsidR="00F238A0" w:rsidRDefault="00F238A0" w:rsidP="00D8209E">
      <w:pPr>
        <w:pStyle w:val="AERbulletlistfirststyle"/>
      </w:pPr>
      <w:r>
        <w:t xml:space="preserve">Regulatory asset base </w:t>
      </w:r>
    </w:p>
    <w:p w:rsidR="00F238A0" w:rsidRDefault="00F238A0" w:rsidP="00D8209E">
      <w:pPr>
        <w:pStyle w:val="AERbulletlistfirststyle"/>
      </w:pPr>
      <w:r>
        <w:t>Regulatory depreciation</w:t>
      </w:r>
    </w:p>
    <w:p w:rsidR="00F238A0" w:rsidRDefault="00F238A0" w:rsidP="00D8209E">
      <w:pPr>
        <w:pStyle w:val="AERbulletlistfirststyle"/>
      </w:pPr>
      <w:r>
        <w:t>Capital expenditure</w:t>
      </w:r>
    </w:p>
    <w:p w:rsidR="00D8209E" w:rsidRDefault="00D8209E" w:rsidP="00D8209E">
      <w:pPr>
        <w:pStyle w:val="AERbulletlistfirststyle"/>
      </w:pPr>
      <w:r>
        <w:t>Operating expenditure</w:t>
      </w:r>
    </w:p>
    <w:p w:rsidR="006B3A35" w:rsidRDefault="006B3A35" w:rsidP="00D8209E">
      <w:pPr>
        <w:pStyle w:val="AERbulletlistfirststyle"/>
      </w:pPr>
      <w:r>
        <w:t>Corporate income tax</w:t>
      </w:r>
    </w:p>
    <w:p w:rsidR="00F238A0" w:rsidRDefault="00F238A0" w:rsidP="00D8209E">
      <w:pPr>
        <w:pStyle w:val="AERbulletlistfirststyle"/>
      </w:pPr>
      <w:r>
        <w:t>Capital expenditure sharing scheme</w:t>
      </w:r>
    </w:p>
    <w:p w:rsidR="00F238A0" w:rsidRDefault="00F238A0" w:rsidP="00D8209E">
      <w:pPr>
        <w:pStyle w:val="AERbulletlistfirststyle"/>
      </w:pPr>
      <w:r>
        <w:t>Service target performance incentive scheme</w:t>
      </w:r>
    </w:p>
    <w:p w:rsidR="00F238A0" w:rsidRDefault="00F238A0" w:rsidP="00F238A0">
      <w:pPr>
        <w:pStyle w:val="AERbulletlistfirststyle"/>
      </w:pPr>
      <w:r>
        <w:t>Demand management incentive scheme</w:t>
      </w:r>
    </w:p>
    <w:p w:rsidR="00FA41F6" w:rsidRDefault="00FA41F6" w:rsidP="00D8209E">
      <w:pPr>
        <w:pStyle w:val="AERbulletlistfirststyle"/>
      </w:pPr>
      <w:r>
        <w:t>Classification of services</w:t>
      </w:r>
    </w:p>
    <w:p w:rsidR="001C7026" w:rsidRDefault="00F238A0" w:rsidP="00D8209E">
      <w:pPr>
        <w:pStyle w:val="AERbulletlistfirststyle"/>
      </w:pPr>
      <w:r>
        <w:t>Pass through events</w:t>
      </w:r>
    </w:p>
    <w:p w:rsidR="00F238A0" w:rsidRDefault="001C7026" w:rsidP="00D8209E">
      <w:pPr>
        <w:pStyle w:val="AERbulletlistfirststyle"/>
      </w:pPr>
      <w:r>
        <w:t>Connection policy</w:t>
      </w:r>
      <w:r w:rsidR="00F238A0">
        <w:t xml:space="preserve">. </w:t>
      </w:r>
    </w:p>
    <w:p w:rsidR="00D8209E" w:rsidRDefault="00D8209E" w:rsidP="00761454">
      <w:pPr>
        <w:numPr>
          <w:ilvl w:val="0"/>
          <w:numId w:val="24"/>
        </w:numPr>
      </w:pPr>
      <w:r>
        <w:t xml:space="preserve">The AER's final decision on these matters is set out in this Overview. </w:t>
      </w:r>
      <w:r w:rsidR="00075113">
        <w:t xml:space="preserve">For ease of reference the </w:t>
      </w:r>
      <w:r>
        <w:t xml:space="preserve">remaining </w:t>
      </w:r>
      <w:r w:rsidR="00075113">
        <w:t xml:space="preserve">attachments </w:t>
      </w:r>
      <w:r>
        <w:t xml:space="preserve">have been numbered consistently with the attachment numbering in our draft decision. </w:t>
      </w:r>
    </w:p>
    <w:p w:rsidR="00761454" w:rsidRDefault="00761454" w:rsidP="00761454">
      <w:pPr>
        <w:numPr>
          <w:ilvl w:val="0"/>
          <w:numId w:val="24"/>
        </w:numPr>
      </w:pPr>
      <w:r>
        <w:t xml:space="preserve">The </w:t>
      </w:r>
      <w:r w:rsidR="00604A74">
        <w:t>final</w:t>
      </w:r>
      <w:r>
        <w:t xml:space="preserve"> decision </w:t>
      </w:r>
      <w:r w:rsidR="00D8209E">
        <w:t xml:space="preserve">therefore </w:t>
      </w:r>
      <w:r>
        <w:t>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0474DF" w:rsidP="00761454">
      <w:pPr>
        <w:numPr>
          <w:ilvl w:val="0"/>
          <w:numId w:val="24"/>
        </w:numPr>
      </w:pPr>
      <w:r>
        <w:t>Attachment 9 – E</w:t>
      </w:r>
      <w:r w:rsidR="00761454">
        <w:t>fficiency benefit sharing scheme</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A44A8B" w:rsidRDefault="00A44A8B" w:rsidP="00A44A8B">
      <w:pPr>
        <w:numPr>
          <w:ilvl w:val="0"/>
          <w:numId w:val="24"/>
        </w:numPr>
      </w:pPr>
      <w:r>
        <w:t>Attachment 19 – Tariff structure statement</w:t>
      </w:r>
    </w:p>
    <w:p w:rsidR="00CE2A23" w:rsidRPr="00CE2A23" w:rsidRDefault="00CE2A23" w:rsidP="00D8067B">
      <w:pPr>
        <w:numPr>
          <w:ilvl w:val="0"/>
          <w:numId w:val="24"/>
        </w:numPr>
      </w:pPr>
      <w:bookmarkStart w:id="4" w:name="_Toc404354899"/>
      <w:bookmarkStart w:id="5" w:name="_Toc404353070"/>
      <w:bookmarkStart w:id="6" w:name="_Toc404684201"/>
      <w:bookmarkStart w:id="7" w:name="_Toc404700923"/>
    </w:p>
    <w:bookmarkEnd w:id="4"/>
    <w:bookmarkEnd w:id="5"/>
    <w:bookmarkEnd w:id="6"/>
    <w:bookmarkEnd w:id="7"/>
    <w:p w:rsidR="00CE2A23" w:rsidRPr="008F07A3" w:rsidRDefault="00CE2A23" w:rsidP="00CE2A23">
      <w:pPr>
        <w:numPr>
          <w:ilvl w:val="0"/>
          <w:numId w:val="24"/>
        </w:numPr>
        <w:sectPr w:rsidR="00CE2A23" w:rsidRPr="008F07A3" w:rsidSect="00B35352">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CE2A23" w:rsidRPr="00A72B34" w:rsidRDefault="00CE2A23" w:rsidP="00CE2A23">
      <w:pPr>
        <w:pStyle w:val="UnnumberedHeading"/>
        <w:numPr>
          <w:ilvl w:val="0"/>
          <w:numId w:val="23"/>
        </w:numPr>
      </w:pPr>
      <w:bookmarkStart w:id="8" w:name="_Toc403144133"/>
      <w:bookmarkStart w:id="9" w:name="_Toc481051859"/>
      <w:r>
        <w:lastRenderedPageBreak/>
        <w:t>Contents</w:t>
      </w:r>
      <w:bookmarkEnd w:id="8"/>
      <w:bookmarkEnd w:id="9"/>
    </w:p>
    <w:p w:rsidR="00CE2A23" w:rsidRDefault="00CE2A23" w:rsidP="00CE2A23"/>
    <w:sdt>
      <w:sdtPr>
        <w:id w:val="1269200322"/>
        <w:docPartObj>
          <w:docPartGallery w:val="Table of Contents"/>
          <w:docPartUnique/>
        </w:docPartObj>
      </w:sdtPr>
      <w:sdtEndPr/>
      <w:sdtContent>
        <w:p w:rsidR="00036A24"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1051858" w:history="1">
            <w:r w:rsidR="00036A24" w:rsidRPr="00DB73D3">
              <w:rPr>
                <w:rStyle w:val="Hyperlink"/>
              </w:rPr>
              <w:t>Note</w:t>
            </w:r>
            <w:r w:rsidR="00036A24">
              <w:rPr>
                <w:webHidden/>
              </w:rPr>
              <w:tab/>
            </w:r>
            <w:r w:rsidR="00036A24">
              <w:rPr>
                <w:webHidden/>
              </w:rPr>
              <w:fldChar w:fldCharType="begin"/>
            </w:r>
            <w:r w:rsidR="00036A24">
              <w:rPr>
                <w:webHidden/>
              </w:rPr>
              <w:instrText xml:space="preserve"> PAGEREF _Toc481051858 \h </w:instrText>
            </w:r>
            <w:r w:rsidR="00036A24">
              <w:rPr>
                <w:webHidden/>
              </w:rPr>
            </w:r>
            <w:r w:rsidR="00036A24">
              <w:rPr>
                <w:webHidden/>
              </w:rPr>
              <w:fldChar w:fldCharType="separate"/>
            </w:r>
            <w:r w:rsidR="00036A24">
              <w:rPr>
                <w:webHidden/>
              </w:rPr>
              <w:t>2</w:t>
            </w:r>
            <w:r w:rsidR="00036A24">
              <w:rPr>
                <w:webHidden/>
              </w:rPr>
              <w:fldChar w:fldCharType="end"/>
            </w:r>
          </w:hyperlink>
        </w:p>
        <w:p w:rsidR="00036A24" w:rsidRDefault="00D96B78">
          <w:pPr>
            <w:pStyle w:val="TOC1"/>
            <w:rPr>
              <w:rFonts w:asciiTheme="minorHAnsi" w:eastAsiaTheme="minorEastAsia" w:hAnsiTheme="minorHAnsi"/>
              <w:b w:val="0"/>
              <w:color w:val="auto"/>
              <w:sz w:val="22"/>
              <w:lang w:val="en-AU" w:eastAsia="en-AU"/>
            </w:rPr>
          </w:pPr>
          <w:hyperlink w:anchor="_Toc481051859" w:history="1">
            <w:r w:rsidR="00036A24" w:rsidRPr="00DB73D3">
              <w:rPr>
                <w:rStyle w:val="Hyperlink"/>
              </w:rPr>
              <w:t>Contents</w:t>
            </w:r>
            <w:r w:rsidR="00036A24">
              <w:rPr>
                <w:webHidden/>
              </w:rPr>
              <w:tab/>
            </w:r>
            <w:r w:rsidR="00036A24">
              <w:rPr>
                <w:webHidden/>
              </w:rPr>
              <w:fldChar w:fldCharType="begin"/>
            </w:r>
            <w:r w:rsidR="00036A24">
              <w:rPr>
                <w:webHidden/>
              </w:rPr>
              <w:instrText xml:space="preserve"> PAGEREF _Toc481051859 \h </w:instrText>
            </w:r>
            <w:r w:rsidR="00036A24">
              <w:rPr>
                <w:webHidden/>
              </w:rPr>
            </w:r>
            <w:r w:rsidR="00036A24">
              <w:rPr>
                <w:webHidden/>
              </w:rPr>
              <w:fldChar w:fldCharType="separate"/>
            </w:r>
            <w:r w:rsidR="00036A24">
              <w:rPr>
                <w:webHidden/>
              </w:rPr>
              <w:t>3</w:t>
            </w:r>
            <w:r w:rsidR="00036A24">
              <w:rPr>
                <w:webHidden/>
              </w:rPr>
              <w:fldChar w:fldCharType="end"/>
            </w:r>
          </w:hyperlink>
        </w:p>
        <w:p w:rsidR="00036A24" w:rsidRDefault="00D96B78">
          <w:pPr>
            <w:pStyle w:val="TOC1"/>
            <w:rPr>
              <w:rFonts w:asciiTheme="minorHAnsi" w:eastAsiaTheme="minorEastAsia" w:hAnsiTheme="minorHAnsi"/>
              <w:b w:val="0"/>
              <w:color w:val="auto"/>
              <w:sz w:val="22"/>
              <w:lang w:val="en-AU" w:eastAsia="en-AU"/>
            </w:rPr>
          </w:pPr>
          <w:hyperlink w:anchor="_Toc481051860" w:history="1">
            <w:r w:rsidR="00036A24" w:rsidRPr="00DB73D3">
              <w:rPr>
                <w:rStyle w:val="Hyperlink"/>
              </w:rPr>
              <w:t>Shortened forms</w:t>
            </w:r>
            <w:r w:rsidR="00036A24">
              <w:rPr>
                <w:webHidden/>
              </w:rPr>
              <w:tab/>
            </w:r>
            <w:r w:rsidR="00036A24">
              <w:rPr>
                <w:webHidden/>
              </w:rPr>
              <w:fldChar w:fldCharType="begin"/>
            </w:r>
            <w:r w:rsidR="00036A24">
              <w:rPr>
                <w:webHidden/>
              </w:rPr>
              <w:instrText xml:space="preserve"> PAGEREF _Toc481051860 \h </w:instrText>
            </w:r>
            <w:r w:rsidR="00036A24">
              <w:rPr>
                <w:webHidden/>
              </w:rPr>
            </w:r>
            <w:r w:rsidR="00036A24">
              <w:rPr>
                <w:webHidden/>
              </w:rPr>
              <w:fldChar w:fldCharType="separate"/>
            </w:r>
            <w:r w:rsidR="00036A24">
              <w:rPr>
                <w:webHidden/>
              </w:rPr>
              <w:t>5</w:t>
            </w:r>
            <w:r w:rsidR="00036A24">
              <w:rPr>
                <w:webHidden/>
              </w:rPr>
              <w:fldChar w:fldCharType="end"/>
            </w:r>
          </w:hyperlink>
        </w:p>
        <w:p w:rsidR="00036A24" w:rsidRDefault="00D96B78">
          <w:pPr>
            <w:pStyle w:val="TOC1"/>
            <w:rPr>
              <w:rFonts w:asciiTheme="minorHAnsi" w:eastAsiaTheme="minorEastAsia" w:hAnsiTheme="minorHAnsi"/>
              <w:b w:val="0"/>
              <w:color w:val="auto"/>
              <w:sz w:val="22"/>
              <w:lang w:val="en-AU" w:eastAsia="en-AU"/>
            </w:rPr>
          </w:pPr>
          <w:hyperlink w:anchor="_Toc481051861" w:history="1">
            <w:r w:rsidR="00036A24" w:rsidRPr="00DB73D3">
              <w:rPr>
                <w:rStyle w:val="Hyperlink"/>
              </w:rPr>
              <w:t>1</w:t>
            </w:r>
            <w:r w:rsidR="00036A24">
              <w:rPr>
                <w:rFonts w:asciiTheme="minorHAnsi" w:eastAsiaTheme="minorEastAsia" w:hAnsiTheme="minorHAnsi"/>
                <w:b w:val="0"/>
                <w:color w:val="auto"/>
                <w:sz w:val="22"/>
                <w:lang w:val="en-AU" w:eastAsia="en-AU"/>
              </w:rPr>
              <w:tab/>
            </w:r>
            <w:r w:rsidR="00036A24" w:rsidRPr="00DB73D3">
              <w:rPr>
                <w:rStyle w:val="Hyperlink"/>
              </w:rPr>
              <w:t>Introduction</w:t>
            </w:r>
            <w:r w:rsidR="00036A24">
              <w:rPr>
                <w:webHidden/>
              </w:rPr>
              <w:tab/>
            </w:r>
            <w:r w:rsidR="00036A24">
              <w:rPr>
                <w:webHidden/>
              </w:rPr>
              <w:fldChar w:fldCharType="begin"/>
            </w:r>
            <w:r w:rsidR="00036A24">
              <w:rPr>
                <w:webHidden/>
              </w:rPr>
              <w:instrText xml:space="preserve"> PAGEREF _Toc481051861 \h </w:instrText>
            </w:r>
            <w:r w:rsidR="00036A24">
              <w:rPr>
                <w:webHidden/>
              </w:rPr>
            </w:r>
            <w:r w:rsidR="00036A24">
              <w:rPr>
                <w:webHidden/>
              </w:rPr>
              <w:fldChar w:fldCharType="separate"/>
            </w:r>
            <w:r w:rsidR="00036A24">
              <w:rPr>
                <w:webHidden/>
              </w:rPr>
              <w:t>7</w:t>
            </w:r>
            <w:r w:rsidR="00036A24">
              <w:rPr>
                <w:webHidden/>
              </w:rPr>
              <w:fldChar w:fldCharType="end"/>
            </w:r>
          </w:hyperlink>
        </w:p>
        <w:p w:rsidR="00036A24" w:rsidRDefault="00D96B78">
          <w:pPr>
            <w:pStyle w:val="TOC2"/>
            <w:rPr>
              <w:rFonts w:asciiTheme="minorHAnsi" w:eastAsiaTheme="minorEastAsia" w:hAnsiTheme="minorHAnsi"/>
              <w:b w:val="0"/>
              <w:color w:val="auto"/>
              <w:sz w:val="22"/>
              <w:lang w:eastAsia="en-AU"/>
            </w:rPr>
          </w:pPr>
          <w:hyperlink w:anchor="_Toc481051862" w:history="1">
            <w:r w:rsidR="00036A24" w:rsidRPr="00DB73D3">
              <w:rPr>
                <w:rStyle w:val="Hyperlink"/>
              </w:rPr>
              <w:t>1.1</w:t>
            </w:r>
            <w:r w:rsidR="00036A24">
              <w:rPr>
                <w:rFonts w:asciiTheme="minorHAnsi" w:eastAsiaTheme="minorEastAsia" w:hAnsiTheme="minorHAnsi"/>
                <w:b w:val="0"/>
                <w:color w:val="auto"/>
                <w:sz w:val="22"/>
                <w:lang w:eastAsia="en-AU"/>
              </w:rPr>
              <w:tab/>
            </w:r>
            <w:r w:rsidR="00036A24" w:rsidRPr="00DB73D3">
              <w:rPr>
                <w:rStyle w:val="Hyperlink"/>
              </w:rPr>
              <w:t>Structure of the Overview</w:t>
            </w:r>
            <w:r w:rsidR="00036A24">
              <w:rPr>
                <w:webHidden/>
              </w:rPr>
              <w:tab/>
            </w:r>
            <w:r w:rsidR="00036A24">
              <w:rPr>
                <w:webHidden/>
              </w:rPr>
              <w:fldChar w:fldCharType="begin"/>
            </w:r>
            <w:r w:rsidR="00036A24">
              <w:rPr>
                <w:webHidden/>
              </w:rPr>
              <w:instrText xml:space="preserve"> PAGEREF _Toc481051862 \h </w:instrText>
            </w:r>
            <w:r w:rsidR="00036A24">
              <w:rPr>
                <w:webHidden/>
              </w:rPr>
            </w:r>
            <w:r w:rsidR="00036A24">
              <w:rPr>
                <w:webHidden/>
              </w:rPr>
              <w:fldChar w:fldCharType="separate"/>
            </w:r>
            <w:r w:rsidR="00036A24">
              <w:rPr>
                <w:webHidden/>
              </w:rPr>
              <w:t>7</w:t>
            </w:r>
            <w:r w:rsidR="00036A24">
              <w:rPr>
                <w:webHidden/>
              </w:rPr>
              <w:fldChar w:fldCharType="end"/>
            </w:r>
          </w:hyperlink>
        </w:p>
        <w:p w:rsidR="00036A24" w:rsidRDefault="00D96B78">
          <w:pPr>
            <w:pStyle w:val="TOC1"/>
            <w:rPr>
              <w:rFonts w:asciiTheme="minorHAnsi" w:eastAsiaTheme="minorEastAsia" w:hAnsiTheme="minorHAnsi"/>
              <w:b w:val="0"/>
              <w:color w:val="auto"/>
              <w:sz w:val="22"/>
              <w:lang w:val="en-AU" w:eastAsia="en-AU"/>
            </w:rPr>
          </w:pPr>
          <w:hyperlink w:anchor="_Toc481051863" w:history="1">
            <w:r w:rsidR="00036A24" w:rsidRPr="00DB73D3">
              <w:rPr>
                <w:rStyle w:val="Hyperlink"/>
              </w:rPr>
              <w:t>2</w:t>
            </w:r>
            <w:r w:rsidR="00036A24">
              <w:rPr>
                <w:rFonts w:asciiTheme="minorHAnsi" w:eastAsiaTheme="minorEastAsia" w:hAnsiTheme="minorHAnsi"/>
                <w:b w:val="0"/>
                <w:color w:val="auto"/>
                <w:sz w:val="22"/>
                <w:lang w:val="en-AU" w:eastAsia="en-AU"/>
              </w:rPr>
              <w:tab/>
            </w:r>
            <w:r w:rsidR="00036A24" w:rsidRPr="00DB73D3">
              <w:rPr>
                <w:rStyle w:val="Hyperlink"/>
              </w:rPr>
              <w:t>Final decision</w:t>
            </w:r>
            <w:r w:rsidR="00036A24">
              <w:rPr>
                <w:webHidden/>
              </w:rPr>
              <w:tab/>
            </w:r>
            <w:r w:rsidR="00036A24">
              <w:rPr>
                <w:webHidden/>
              </w:rPr>
              <w:fldChar w:fldCharType="begin"/>
            </w:r>
            <w:r w:rsidR="00036A24">
              <w:rPr>
                <w:webHidden/>
              </w:rPr>
              <w:instrText xml:space="preserve"> PAGEREF _Toc481051863 \h </w:instrText>
            </w:r>
            <w:r w:rsidR="00036A24">
              <w:rPr>
                <w:webHidden/>
              </w:rPr>
            </w:r>
            <w:r w:rsidR="00036A24">
              <w:rPr>
                <w:webHidden/>
              </w:rPr>
              <w:fldChar w:fldCharType="separate"/>
            </w:r>
            <w:r w:rsidR="00036A24">
              <w:rPr>
                <w:webHidden/>
              </w:rPr>
              <w:t>9</w:t>
            </w:r>
            <w:r w:rsidR="00036A24">
              <w:rPr>
                <w:webHidden/>
              </w:rPr>
              <w:fldChar w:fldCharType="end"/>
            </w:r>
          </w:hyperlink>
        </w:p>
        <w:p w:rsidR="00036A24" w:rsidRDefault="00D96B78">
          <w:pPr>
            <w:pStyle w:val="TOC2"/>
            <w:rPr>
              <w:rFonts w:asciiTheme="minorHAnsi" w:eastAsiaTheme="minorEastAsia" w:hAnsiTheme="minorHAnsi"/>
              <w:b w:val="0"/>
              <w:color w:val="auto"/>
              <w:sz w:val="22"/>
              <w:lang w:eastAsia="en-AU"/>
            </w:rPr>
          </w:pPr>
          <w:hyperlink w:anchor="_Toc481051864" w:history="1">
            <w:r w:rsidR="00036A24" w:rsidRPr="00DB73D3">
              <w:rPr>
                <w:rStyle w:val="Hyperlink"/>
              </w:rPr>
              <w:t>2.1</w:t>
            </w:r>
            <w:r w:rsidR="00036A24">
              <w:rPr>
                <w:rFonts w:asciiTheme="minorHAnsi" w:eastAsiaTheme="minorEastAsia" w:hAnsiTheme="minorHAnsi"/>
                <w:b w:val="0"/>
                <w:color w:val="auto"/>
                <w:sz w:val="22"/>
                <w:lang w:eastAsia="en-AU"/>
              </w:rPr>
              <w:tab/>
            </w:r>
            <w:r w:rsidR="00036A24" w:rsidRPr="00DB73D3">
              <w:rPr>
                <w:rStyle w:val="Hyperlink"/>
              </w:rPr>
              <w:t>What is driving allowed revenue?</w:t>
            </w:r>
            <w:r w:rsidR="00036A24">
              <w:rPr>
                <w:webHidden/>
              </w:rPr>
              <w:tab/>
            </w:r>
            <w:r w:rsidR="00036A24">
              <w:rPr>
                <w:webHidden/>
              </w:rPr>
              <w:fldChar w:fldCharType="begin"/>
            </w:r>
            <w:r w:rsidR="00036A24">
              <w:rPr>
                <w:webHidden/>
              </w:rPr>
              <w:instrText xml:space="preserve"> PAGEREF _Toc481051864 \h </w:instrText>
            </w:r>
            <w:r w:rsidR="00036A24">
              <w:rPr>
                <w:webHidden/>
              </w:rPr>
            </w:r>
            <w:r w:rsidR="00036A24">
              <w:rPr>
                <w:webHidden/>
              </w:rPr>
              <w:fldChar w:fldCharType="separate"/>
            </w:r>
            <w:r w:rsidR="00036A24">
              <w:rPr>
                <w:webHidden/>
              </w:rPr>
              <w:t>10</w:t>
            </w:r>
            <w:r w:rsidR="00036A24">
              <w:rPr>
                <w:webHidden/>
              </w:rPr>
              <w:fldChar w:fldCharType="end"/>
            </w:r>
          </w:hyperlink>
        </w:p>
        <w:p w:rsidR="00036A24" w:rsidRDefault="00D96B78">
          <w:pPr>
            <w:pStyle w:val="TOC2"/>
            <w:rPr>
              <w:rFonts w:asciiTheme="minorHAnsi" w:eastAsiaTheme="minorEastAsia" w:hAnsiTheme="minorHAnsi"/>
              <w:b w:val="0"/>
              <w:color w:val="auto"/>
              <w:sz w:val="22"/>
              <w:lang w:eastAsia="en-AU"/>
            </w:rPr>
          </w:pPr>
          <w:hyperlink w:anchor="_Toc481051865" w:history="1">
            <w:r w:rsidR="00036A24" w:rsidRPr="00DB73D3">
              <w:rPr>
                <w:rStyle w:val="Hyperlink"/>
              </w:rPr>
              <w:t>2.2</w:t>
            </w:r>
            <w:r w:rsidR="00036A24">
              <w:rPr>
                <w:rFonts w:asciiTheme="minorHAnsi" w:eastAsiaTheme="minorEastAsia" w:hAnsiTheme="minorHAnsi"/>
                <w:b w:val="0"/>
                <w:color w:val="auto"/>
                <w:sz w:val="22"/>
                <w:lang w:eastAsia="en-AU"/>
              </w:rPr>
              <w:tab/>
            </w:r>
            <w:r w:rsidR="00036A24" w:rsidRPr="00DB73D3">
              <w:rPr>
                <w:rStyle w:val="Hyperlink"/>
              </w:rPr>
              <w:t>Key differences between our draft and final decisions</w:t>
            </w:r>
            <w:r w:rsidR="00036A24">
              <w:rPr>
                <w:webHidden/>
              </w:rPr>
              <w:tab/>
            </w:r>
            <w:r w:rsidR="00036A24">
              <w:rPr>
                <w:webHidden/>
              </w:rPr>
              <w:fldChar w:fldCharType="begin"/>
            </w:r>
            <w:r w:rsidR="00036A24">
              <w:rPr>
                <w:webHidden/>
              </w:rPr>
              <w:instrText xml:space="preserve"> PAGEREF _Toc481051865 \h </w:instrText>
            </w:r>
            <w:r w:rsidR="00036A24">
              <w:rPr>
                <w:webHidden/>
              </w:rPr>
            </w:r>
            <w:r w:rsidR="00036A24">
              <w:rPr>
                <w:webHidden/>
              </w:rPr>
              <w:fldChar w:fldCharType="separate"/>
            </w:r>
            <w:r w:rsidR="00036A24">
              <w:rPr>
                <w:webHidden/>
              </w:rPr>
              <w:t>11</w:t>
            </w:r>
            <w:r w:rsidR="00036A24">
              <w:rPr>
                <w:webHidden/>
              </w:rPr>
              <w:fldChar w:fldCharType="end"/>
            </w:r>
          </w:hyperlink>
        </w:p>
        <w:p w:rsidR="00036A24" w:rsidRDefault="00D96B78">
          <w:pPr>
            <w:pStyle w:val="TOC2"/>
            <w:rPr>
              <w:rFonts w:asciiTheme="minorHAnsi" w:eastAsiaTheme="minorEastAsia" w:hAnsiTheme="minorHAnsi"/>
              <w:b w:val="0"/>
              <w:color w:val="auto"/>
              <w:sz w:val="22"/>
              <w:lang w:eastAsia="en-AU"/>
            </w:rPr>
          </w:pPr>
          <w:hyperlink w:anchor="_Toc481051866" w:history="1">
            <w:r w:rsidR="00036A24" w:rsidRPr="00DB73D3">
              <w:rPr>
                <w:rStyle w:val="Hyperlink"/>
              </w:rPr>
              <w:t>2.3</w:t>
            </w:r>
            <w:r w:rsidR="00036A24">
              <w:rPr>
                <w:rFonts w:asciiTheme="minorHAnsi" w:eastAsiaTheme="minorEastAsia" w:hAnsiTheme="minorHAnsi"/>
                <w:b w:val="0"/>
                <w:color w:val="auto"/>
                <w:sz w:val="22"/>
                <w:lang w:eastAsia="en-AU"/>
              </w:rPr>
              <w:tab/>
            </w:r>
            <w:r w:rsidR="00036A24" w:rsidRPr="00DB73D3">
              <w:rPr>
                <w:rStyle w:val="Hyperlink"/>
              </w:rPr>
              <w:t>Expected impact of decision on residential electricity bills</w:t>
            </w:r>
            <w:r w:rsidR="00036A24">
              <w:rPr>
                <w:webHidden/>
              </w:rPr>
              <w:tab/>
            </w:r>
            <w:r w:rsidR="00036A24">
              <w:rPr>
                <w:webHidden/>
              </w:rPr>
              <w:fldChar w:fldCharType="begin"/>
            </w:r>
            <w:r w:rsidR="00036A24">
              <w:rPr>
                <w:webHidden/>
              </w:rPr>
              <w:instrText xml:space="preserve"> PAGEREF _Toc481051866 \h </w:instrText>
            </w:r>
            <w:r w:rsidR="00036A24">
              <w:rPr>
                <w:webHidden/>
              </w:rPr>
            </w:r>
            <w:r w:rsidR="00036A24">
              <w:rPr>
                <w:webHidden/>
              </w:rPr>
              <w:fldChar w:fldCharType="separate"/>
            </w:r>
            <w:r w:rsidR="00036A24">
              <w:rPr>
                <w:webHidden/>
              </w:rPr>
              <w:t>13</w:t>
            </w:r>
            <w:r w:rsidR="00036A24">
              <w:rPr>
                <w:webHidden/>
              </w:rPr>
              <w:fldChar w:fldCharType="end"/>
            </w:r>
          </w:hyperlink>
        </w:p>
        <w:p w:rsidR="00036A24" w:rsidRDefault="00D96B78">
          <w:pPr>
            <w:pStyle w:val="TOC1"/>
            <w:rPr>
              <w:rFonts w:asciiTheme="minorHAnsi" w:eastAsiaTheme="minorEastAsia" w:hAnsiTheme="minorHAnsi"/>
              <w:b w:val="0"/>
              <w:color w:val="auto"/>
              <w:sz w:val="22"/>
              <w:lang w:val="en-AU" w:eastAsia="en-AU"/>
            </w:rPr>
          </w:pPr>
          <w:hyperlink w:anchor="_Toc481051867" w:history="1">
            <w:r w:rsidR="00036A24" w:rsidRPr="00DB73D3">
              <w:rPr>
                <w:rStyle w:val="Hyperlink"/>
              </w:rPr>
              <w:t>3</w:t>
            </w:r>
            <w:r w:rsidR="00036A24">
              <w:rPr>
                <w:rFonts w:asciiTheme="minorHAnsi" w:eastAsiaTheme="minorEastAsia" w:hAnsiTheme="minorHAnsi"/>
                <w:b w:val="0"/>
                <w:color w:val="auto"/>
                <w:sz w:val="22"/>
                <w:lang w:val="en-AU" w:eastAsia="en-AU"/>
              </w:rPr>
              <w:tab/>
            </w:r>
            <w:r w:rsidR="00036A24" w:rsidRPr="00DB73D3">
              <w:rPr>
                <w:rStyle w:val="Hyperlink"/>
              </w:rPr>
              <w:t>Key elements of our final decision</w:t>
            </w:r>
            <w:r w:rsidR="00036A24">
              <w:rPr>
                <w:webHidden/>
              </w:rPr>
              <w:tab/>
            </w:r>
            <w:r w:rsidR="00036A24">
              <w:rPr>
                <w:webHidden/>
              </w:rPr>
              <w:fldChar w:fldCharType="begin"/>
            </w:r>
            <w:r w:rsidR="00036A24">
              <w:rPr>
                <w:webHidden/>
              </w:rPr>
              <w:instrText xml:space="preserve"> PAGEREF _Toc481051867 \h </w:instrText>
            </w:r>
            <w:r w:rsidR="00036A24">
              <w:rPr>
                <w:webHidden/>
              </w:rPr>
            </w:r>
            <w:r w:rsidR="00036A24">
              <w:rPr>
                <w:webHidden/>
              </w:rPr>
              <w:fldChar w:fldCharType="separate"/>
            </w:r>
            <w:r w:rsidR="00036A24">
              <w:rPr>
                <w:webHidden/>
              </w:rPr>
              <w:t>14</w:t>
            </w:r>
            <w:r w:rsidR="00036A24">
              <w:rPr>
                <w:webHidden/>
              </w:rPr>
              <w:fldChar w:fldCharType="end"/>
            </w:r>
          </w:hyperlink>
        </w:p>
        <w:p w:rsidR="00036A24" w:rsidRDefault="00D96B78">
          <w:pPr>
            <w:pStyle w:val="TOC2"/>
            <w:rPr>
              <w:rFonts w:asciiTheme="minorHAnsi" w:eastAsiaTheme="minorEastAsia" w:hAnsiTheme="minorHAnsi"/>
              <w:b w:val="0"/>
              <w:color w:val="auto"/>
              <w:sz w:val="22"/>
              <w:lang w:eastAsia="en-AU"/>
            </w:rPr>
          </w:pPr>
          <w:hyperlink w:anchor="_Toc481051868" w:history="1">
            <w:r w:rsidR="00036A24" w:rsidRPr="00DB73D3">
              <w:rPr>
                <w:rStyle w:val="Hyperlink"/>
              </w:rPr>
              <w:t>3.1</w:t>
            </w:r>
            <w:r w:rsidR="00036A24">
              <w:rPr>
                <w:rFonts w:asciiTheme="minorHAnsi" w:eastAsiaTheme="minorEastAsia" w:hAnsiTheme="minorHAnsi"/>
                <w:b w:val="0"/>
                <w:color w:val="auto"/>
                <w:sz w:val="22"/>
                <w:lang w:eastAsia="en-AU"/>
              </w:rPr>
              <w:tab/>
            </w:r>
            <w:r w:rsidR="00036A24" w:rsidRPr="00DB73D3">
              <w:rPr>
                <w:rStyle w:val="Hyperlink"/>
              </w:rPr>
              <w:t>Regulatory asset base</w:t>
            </w:r>
            <w:r w:rsidR="00036A24">
              <w:rPr>
                <w:webHidden/>
              </w:rPr>
              <w:tab/>
            </w:r>
            <w:r w:rsidR="00036A24">
              <w:rPr>
                <w:webHidden/>
              </w:rPr>
              <w:fldChar w:fldCharType="begin"/>
            </w:r>
            <w:r w:rsidR="00036A24">
              <w:rPr>
                <w:webHidden/>
              </w:rPr>
              <w:instrText xml:space="preserve"> PAGEREF _Toc481051868 \h </w:instrText>
            </w:r>
            <w:r w:rsidR="00036A24">
              <w:rPr>
                <w:webHidden/>
              </w:rPr>
            </w:r>
            <w:r w:rsidR="00036A24">
              <w:rPr>
                <w:webHidden/>
              </w:rPr>
              <w:fldChar w:fldCharType="separate"/>
            </w:r>
            <w:r w:rsidR="00036A24">
              <w:rPr>
                <w:webHidden/>
              </w:rPr>
              <w:t>16</w:t>
            </w:r>
            <w:r w:rsidR="00036A24">
              <w:rPr>
                <w:webHidden/>
              </w:rPr>
              <w:fldChar w:fldCharType="end"/>
            </w:r>
          </w:hyperlink>
        </w:p>
        <w:p w:rsidR="00036A24" w:rsidRDefault="00D96B78">
          <w:pPr>
            <w:pStyle w:val="TOC2"/>
            <w:rPr>
              <w:rFonts w:asciiTheme="minorHAnsi" w:eastAsiaTheme="minorEastAsia" w:hAnsiTheme="minorHAnsi"/>
              <w:b w:val="0"/>
              <w:color w:val="auto"/>
              <w:sz w:val="22"/>
              <w:lang w:eastAsia="en-AU"/>
            </w:rPr>
          </w:pPr>
          <w:hyperlink w:anchor="_Toc481051869" w:history="1">
            <w:r w:rsidR="00036A24" w:rsidRPr="00DB73D3">
              <w:rPr>
                <w:rStyle w:val="Hyperlink"/>
              </w:rPr>
              <w:t>3.2</w:t>
            </w:r>
            <w:r w:rsidR="00036A24">
              <w:rPr>
                <w:rFonts w:asciiTheme="minorHAnsi" w:eastAsiaTheme="minorEastAsia" w:hAnsiTheme="minorHAnsi"/>
                <w:b w:val="0"/>
                <w:color w:val="auto"/>
                <w:sz w:val="22"/>
                <w:lang w:eastAsia="en-AU"/>
              </w:rPr>
              <w:tab/>
            </w:r>
            <w:r w:rsidR="00036A24" w:rsidRPr="00DB73D3">
              <w:rPr>
                <w:rStyle w:val="Hyperlink"/>
              </w:rPr>
              <w:t>Rate of return (return on capital)</w:t>
            </w:r>
            <w:r w:rsidR="00036A24">
              <w:rPr>
                <w:webHidden/>
              </w:rPr>
              <w:tab/>
            </w:r>
            <w:r w:rsidR="00036A24">
              <w:rPr>
                <w:webHidden/>
              </w:rPr>
              <w:fldChar w:fldCharType="begin"/>
            </w:r>
            <w:r w:rsidR="00036A24">
              <w:rPr>
                <w:webHidden/>
              </w:rPr>
              <w:instrText xml:space="preserve"> PAGEREF _Toc481051869 \h </w:instrText>
            </w:r>
            <w:r w:rsidR="00036A24">
              <w:rPr>
                <w:webHidden/>
              </w:rPr>
            </w:r>
            <w:r w:rsidR="00036A24">
              <w:rPr>
                <w:webHidden/>
              </w:rPr>
              <w:fldChar w:fldCharType="separate"/>
            </w:r>
            <w:r w:rsidR="00036A24">
              <w:rPr>
                <w:webHidden/>
              </w:rPr>
              <w:t>20</w:t>
            </w:r>
            <w:r w:rsidR="00036A24">
              <w:rPr>
                <w:webHidden/>
              </w:rPr>
              <w:fldChar w:fldCharType="end"/>
            </w:r>
          </w:hyperlink>
        </w:p>
        <w:p w:rsidR="00036A24" w:rsidRDefault="00D96B78">
          <w:pPr>
            <w:pStyle w:val="TOC2"/>
            <w:rPr>
              <w:rFonts w:asciiTheme="minorHAnsi" w:eastAsiaTheme="minorEastAsia" w:hAnsiTheme="minorHAnsi"/>
              <w:b w:val="0"/>
              <w:color w:val="auto"/>
              <w:sz w:val="22"/>
              <w:lang w:eastAsia="en-AU"/>
            </w:rPr>
          </w:pPr>
          <w:hyperlink w:anchor="_Toc481051870" w:history="1">
            <w:r w:rsidR="00036A24" w:rsidRPr="00DB73D3">
              <w:rPr>
                <w:rStyle w:val="Hyperlink"/>
              </w:rPr>
              <w:t>3.3</w:t>
            </w:r>
            <w:r w:rsidR="00036A24">
              <w:rPr>
                <w:rFonts w:asciiTheme="minorHAnsi" w:eastAsiaTheme="minorEastAsia" w:hAnsiTheme="minorHAnsi"/>
                <w:b w:val="0"/>
                <w:color w:val="auto"/>
                <w:sz w:val="22"/>
                <w:lang w:eastAsia="en-AU"/>
              </w:rPr>
              <w:tab/>
            </w:r>
            <w:r w:rsidR="00036A24" w:rsidRPr="00DB73D3">
              <w:rPr>
                <w:rStyle w:val="Hyperlink"/>
              </w:rPr>
              <w:t>Value of imputation credits (gamma)</w:t>
            </w:r>
            <w:r w:rsidR="00036A24">
              <w:rPr>
                <w:webHidden/>
              </w:rPr>
              <w:tab/>
            </w:r>
            <w:r w:rsidR="00036A24">
              <w:rPr>
                <w:webHidden/>
              </w:rPr>
              <w:fldChar w:fldCharType="begin"/>
            </w:r>
            <w:r w:rsidR="00036A24">
              <w:rPr>
                <w:webHidden/>
              </w:rPr>
              <w:instrText xml:space="preserve"> PAGEREF _Toc481051870 \h </w:instrText>
            </w:r>
            <w:r w:rsidR="00036A24">
              <w:rPr>
                <w:webHidden/>
              </w:rPr>
            </w:r>
            <w:r w:rsidR="00036A24">
              <w:rPr>
                <w:webHidden/>
              </w:rPr>
              <w:fldChar w:fldCharType="separate"/>
            </w:r>
            <w:r w:rsidR="00036A24">
              <w:rPr>
                <w:webHidden/>
              </w:rPr>
              <w:t>21</w:t>
            </w:r>
            <w:r w:rsidR="00036A24">
              <w:rPr>
                <w:webHidden/>
              </w:rPr>
              <w:fldChar w:fldCharType="end"/>
            </w:r>
          </w:hyperlink>
        </w:p>
        <w:p w:rsidR="00036A24" w:rsidRDefault="00D96B78">
          <w:pPr>
            <w:pStyle w:val="TOC2"/>
            <w:rPr>
              <w:rFonts w:asciiTheme="minorHAnsi" w:eastAsiaTheme="minorEastAsia" w:hAnsiTheme="minorHAnsi"/>
              <w:b w:val="0"/>
              <w:color w:val="auto"/>
              <w:sz w:val="22"/>
              <w:lang w:eastAsia="en-AU"/>
            </w:rPr>
          </w:pPr>
          <w:hyperlink w:anchor="_Toc481051871" w:history="1">
            <w:r w:rsidR="00036A24" w:rsidRPr="00DB73D3">
              <w:rPr>
                <w:rStyle w:val="Hyperlink"/>
              </w:rPr>
              <w:t>3.4</w:t>
            </w:r>
            <w:r w:rsidR="00036A24">
              <w:rPr>
                <w:rFonts w:asciiTheme="minorHAnsi" w:eastAsiaTheme="minorEastAsia" w:hAnsiTheme="minorHAnsi"/>
                <w:b w:val="0"/>
                <w:color w:val="auto"/>
                <w:sz w:val="22"/>
                <w:lang w:eastAsia="en-AU"/>
              </w:rPr>
              <w:tab/>
            </w:r>
            <w:r w:rsidR="00036A24" w:rsidRPr="00DB73D3">
              <w:rPr>
                <w:rStyle w:val="Hyperlink"/>
              </w:rPr>
              <w:t>Regulatory depreciation (return of capital)</w:t>
            </w:r>
            <w:r w:rsidR="00036A24">
              <w:rPr>
                <w:webHidden/>
              </w:rPr>
              <w:tab/>
            </w:r>
            <w:r w:rsidR="00036A24">
              <w:rPr>
                <w:webHidden/>
              </w:rPr>
              <w:fldChar w:fldCharType="begin"/>
            </w:r>
            <w:r w:rsidR="00036A24">
              <w:rPr>
                <w:webHidden/>
              </w:rPr>
              <w:instrText xml:space="preserve"> PAGEREF _Toc481051871 \h </w:instrText>
            </w:r>
            <w:r w:rsidR="00036A24">
              <w:rPr>
                <w:webHidden/>
              </w:rPr>
            </w:r>
            <w:r w:rsidR="00036A24">
              <w:rPr>
                <w:webHidden/>
              </w:rPr>
              <w:fldChar w:fldCharType="separate"/>
            </w:r>
            <w:r w:rsidR="00036A24">
              <w:rPr>
                <w:webHidden/>
              </w:rPr>
              <w:t>22</w:t>
            </w:r>
            <w:r w:rsidR="00036A24">
              <w:rPr>
                <w:webHidden/>
              </w:rPr>
              <w:fldChar w:fldCharType="end"/>
            </w:r>
          </w:hyperlink>
        </w:p>
        <w:p w:rsidR="00036A24" w:rsidRDefault="00D96B78">
          <w:pPr>
            <w:pStyle w:val="TOC2"/>
            <w:rPr>
              <w:rFonts w:asciiTheme="minorHAnsi" w:eastAsiaTheme="minorEastAsia" w:hAnsiTheme="minorHAnsi"/>
              <w:b w:val="0"/>
              <w:color w:val="auto"/>
              <w:sz w:val="22"/>
              <w:lang w:eastAsia="en-AU"/>
            </w:rPr>
          </w:pPr>
          <w:hyperlink w:anchor="_Toc481051872" w:history="1">
            <w:r w:rsidR="00036A24" w:rsidRPr="00DB73D3">
              <w:rPr>
                <w:rStyle w:val="Hyperlink"/>
              </w:rPr>
              <w:t>3.5</w:t>
            </w:r>
            <w:r w:rsidR="00036A24">
              <w:rPr>
                <w:rFonts w:asciiTheme="minorHAnsi" w:eastAsiaTheme="minorEastAsia" w:hAnsiTheme="minorHAnsi"/>
                <w:b w:val="0"/>
                <w:color w:val="auto"/>
                <w:sz w:val="22"/>
                <w:lang w:eastAsia="en-AU"/>
              </w:rPr>
              <w:tab/>
            </w:r>
            <w:r w:rsidR="00036A24" w:rsidRPr="00DB73D3">
              <w:rPr>
                <w:rStyle w:val="Hyperlink"/>
              </w:rPr>
              <w:t>Capital expenditure</w:t>
            </w:r>
            <w:r w:rsidR="00036A24">
              <w:rPr>
                <w:webHidden/>
              </w:rPr>
              <w:tab/>
            </w:r>
            <w:r w:rsidR="00036A24">
              <w:rPr>
                <w:webHidden/>
              </w:rPr>
              <w:fldChar w:fldCharType="begin"/>
            </w:r>
            <w:r w:rsidR="00036A24">
              <w:rPr>
                <w:webHidden/>
              </w:rPr>
              <w:instrText xml:space="preserve"> PAGEREF _Toc481051872 \h </w:instrText>
            </w:r>
            <w:r w:rsidR="00036A24">
              <w:rPr>
                <w:webHidden/>
              </w:rPr>
            </w:r>
            <w:r w:rsidR="00036A24">
              <w:rPr>
                <w:webHidden/>
              </w:rPr>
              <w:fldChar w:fldCharType="separate"/>
            </w:r>
            <w:r w:rsidR="00036A24">
              <w:rPr>
                <w:webHidden/>
              </w:rPr>
              <w:t>27</w:t>
            </w:r>
            <w:r w:rsidR="00036A24">
              <w:rPr>
                <w:webHidden/>
              </w:rPr>
              <w:fldChar w:fldCharType="end"/>
            </w:r>
          </w:hyperlink>
        </w:p>
        <w:p w:rsidR="00036A24" w:rsidRDefault="00D96B78">
          <w:pPr>
            <w:pStyle w:val="TOC2"/>
            <w:rPr>
              <w:rFonts w:asciiTheme="minorHAnsi" w:eastAsiaTheme="minorEastAsia" w:hAnsiTheme="minorHAnsi"/>
              <w:b w:val="0"/>
              <w:color w:val="auto"/>
              <w:sz w:val="22"/>
              <w:lang w:eastAsia="en-AU"/>
            </w:rPr>
          </w:pPr>
          <w:hyperlink w:anchor="_Toc481051873" w:history="1">
            <w:r w:rsidR="00036A24" w:rsidRPr="00DB73D3">
              <w:rPr>
                <w:rStyle w:val="Hyperlink"/>
              </w:rPr>
              <w:t>3.6</w:t>
            </w:r>
            <w:r w:rsidR="00036A24">
              <w:rPr>
                <w:rFonts w:asciiTheme="minorHAnsi" w:eastAsiaTheme="minorEastAsia" w:hAnsiTheme="minorHAnsi"/>
                <w:b w:val="0"/>
                <w:color w:val="auto"/>
                <w:sz w:val="22"/>
                <w:lang w:eastAsia="en-AU"/>
              </w:rPr>
              <w:tab/>
            </w:r>
            <w:r w:rsidR="00036A24" w:rsidRPr="00DB73D3">
              <w:rPr>
                <w:rStyle w:val="Hyperlink"/>
              </w:rPr>
              <w:t>Operating expenditure</w:t>
            </w:r>
            <w:r w:rsidR="00036A24">
              <w:rPr>
                <w:webHidden/>
              </w:rPr>
              <w:tab/>
            </w:r>
            <w:r w:rsidR="00036A24">
              <w:rPr>
                <w:webHidden/>
              </w:rPr>
              <w:fldChar w:fldCharType="begin"/>
            </w:r>
            <w:r w:rsidR="00036A24">
              <w:rPr>
                <w:webHidden/>
              </w:rPr>
              <w:instrText xml:space="preserve"> PAGEREF _Toc481051873 \h </w:instrText>
            </w:r>
            <w:r w:rsidR="00036A24">
              <w:rPr>
                <w:webHidden/>
              </w:rPr>
            </w:r>
            <w:r w:rsidR="00036A24">
              <w:rPr>
                <w:webHidden/>
              </w:rPr>
              <w:fldChar w:fldCharType="separate"/>
            </w:r>
            <w:r w:rsidR="00036A24">
              <w:rPr>
                <w:webHidden/>
              </w:rPr>
              <w:t>28</w:t>
            </w:r>
            <w:r w:rsidR="00036A24">
              <w:rPr>
                <w:webHidden/>
              </w:rPr>
              <w:fldChar w:fldCharType="end"/>
            </w:r>
          </w:hyperlink>
        </w:p>
        <w:p w:rsidR="00036A24" w:rsidRDefault="00D96B78">
          <w:pPr>
            <w:pStyle w:val="TOC2"/>
            <w:rPr>
              <w:rFonts w:asciiTheme="minorHAnsi" w:eastAsiaTheme="minorEastAsia" w:hAnsiTheme="minorHAnsi"/>
              <w:b w:val="0"/>
              <w:color w:val="auto"/>
              <w:sz w:val="22"/>
              <w:lang w:eastAsia="en-AU"/>
            </w:rPr>
          </w:pPr>
          <w:hyperlink w:anchor="_Toc481051874" w:history="1">
            <w:r w:rsidR="00036A24" w:rsidRPr="00DB73D3">
              <w:rPr>
                <w:rStyle w:val="Hyperlink"/>
              </w:rPr>
              <w:t>3.7</w:t>
            </w:r>
            <w:r w:rsidR="00036A24">
              <w:rPr>
                <w:rFonts w:asciiTheme="minorHAnsi" w:eastAsiaTheme="minorEastAsia" w:hAnsiTheme="minorHAnsi"/>
                <w:b w:val="0"/>
                <w:color w:val="auto"/>
                <w:sz w:val="22"/>
                <w:lang w:eastAsia="en-AU"/>
              </w:rPr>
              <w:tab/>
            </w:r>
            <w:r w:rsidR="00036A24" w:rsidRPr="00DB73D3">
              <w:rPr>
                <w:rStyle w:val="Hyperlink"/>
              </w:rPr>
              <w:t>Corporate income tax</w:t>
            </w:r>
            <w:r w:rsidR="00036A24">
              <w:rPr>
                <w:webHidden/>
              </w:rPr>
              <w:tab/>
            </w:r>
            <w:r w:rsidR="00036A24">
              <w:rPr>
                <w:webHidden/>
              </w:rPr>
              <w:fldChar w:fldCharType="begin"/>
            </w:r>
            <w:r w:rsidR="00036A24">
              <w:rPr>
                <w:webHidden/>
              </w:rPr>
              <w:instrText xml:space="preserve"> PAGEREF _Toc481051874 \h </w:instrText>
            </w:r>
            <w:r w:rsidR="00036A24">
              <w:rPr>
                <w:webHidden/>
              </w:rPr>
            </w:r>
            <w:r w:rsidR="00036A24">
              <w:rPr>
                <w:webHidden/>
              </w:rPr>
              <w:fldChar w:fldCharType="separate"/>
            </w:r>
            <w:r w:rsidR="00036A24">
              <w:rPr>
                <w:webHidden/>
              </w:rPr>
              <w:t>32</w:t>
            </w:r>
            <w:r w:rsidR="00036A24">
              <w:rPr>
                <w:webHidden/>
              </w:rPr>
              <w:fldChar w:fldCharType="end"/>
            </w:r>
          </w:hyperlink>
        </w:p>
        <w:p w:rsidR="00036A24" w:rsidRDefault="00D96B78">
          <w:pPr>
            <w:pStyle w:val="TOC1"/>
            <w:rPr>
              <w:rFonts w:asciiTheme="minorHAnsi" w:eastAsiaTheme="minorEastAsia" w:hAnsiTheme="minorHAnsi"/>
              <w:b w:val="0"/>
              <w:color w:val="auto"/>
              <w:sz w:val="22"/>
              <w:lang w:val="en-AU" w:eastAsia="en-AU"/>
            </w:rPr>
          </w:pPr>
          <w:hyperlink w:anchor="_Toc481051875" w:history="1">
            <w:r w:rsidR="00036A24" w:rsidRPr="00DB73D3">
              <w:rPr>
                <w:rStyle w:val="Hyperlink"/>
              </w:rPr>
              <w:t>4</w:t>
            </w:r>
            <w:r w:rsidR="00036A24">
              <w:rPr>
                <w:rFonts w:asciiTheme="minorHAnsi" w:eastAsiaTheme="minorEastAsia" w:hAnsiTheme="minorHAnsi"/>
                <w:b w:val="0"/>
                <w:color w:val="auto"/>
                <w:sz w:val="22"/>
                <w:lang w:val="en-AU" w:eastAsia="en-AU"/>
              </w:rPr>
              <w:tab/>
            </w:r>
            <w:r w:rsidR="00036A24" w:rsidRPr="00DB73D3">
              <w:rPr>
                <w:rStyle w:val="Hyperlink"/>
              </w:rPr>
              <w:t>Service classification, control mechanisms and incentive schemes</w:t>
            </w:r>
            <w:r w:rsidR="00036A24">
              <w:rPr>
                <w:webHidden/>
              </w:rPr>
              <w:tab/>
            </w:r>
            <w:r w:rsidR="00036A24">
              <w:rPr>
                <w:webHidden/>
              </w:rPr>
              <w:fldChar w:fldCharType="begin"/>
            </w:r>
            <w:r w:rsidR="00036A24">
              <w:rPr>
                <w:webHidden/>
              </w:rPr>
              <w:instrText xml:space="preserve"> PAGEREF _Toc481051875 \h </w:instrText>
            </w:r>
            <w:r w:rsidR="00036A24">
              <w:rPr>
                <w:webHidden/>
              </w:rPr>
            </w:r>
            <w:r w:rsidR="00036A24">
              <w:rPr>
                <w:webHidden/>
              </w:rPr>
              <w:fldChar w:fldCharType="separate"/>
            </w:r>
            <w:r w:rsidR="00036A24">
              <w:rPr>
                <w:webHidden/>
              </w:rPr>
              <w:t>34</w:t>
            </w:r>
            <w:r w:rsidR="00036A24">
              <w:rPr>
                <w:webHidden/>
              </w:rPr>
              <w:fldChar w:fldCharType="end"/>
            </w:r>
          </w:hyperlink>
        </w:p>
        <w:p w:rsidR="00036A24" w:rsidRDefault="00D96B78">
          <w:pPr>
            <w:pStyle w:val="TOC2"/>
            <w:rPr>
              <w:rFonts w:asciiTheme="minorHAnsi" w:eastAsiaTheme="minorEastAsia" w:hAnsiTheme="minorHAnsi"/>
              <w:b w:val="0"/>
              <w:color w:val="auto"/>
              <w:sz w:val="22"/>
              <w:lang w:eastAsia="en-AU"/>
            </w:rPr>
          </w:pPr>
          <w:hyperlink w:anchor="_Toc481051876" w:history="1">
            <w:r w:rsidR="00036A24" w:rsidRPr="00DB73D3">
              <w:rPr>
                <w:rStyle w:val="Hyperlink"/>
              </w:rPr>
              <w:t>4.1</w:t>
            </w:r>
            <w:r w:rsidR="00036A24">
              <w:rPr>
                <w:rFonts w:asciiTheme="minorHAnsi" w:eastAsiaTheme="minorEastAsia" w:hAnsiTheme="minorHAnsi"/>
                <w:b w:val="0"/>
                <w:color w:val="auto"/>
                <w:sz w:val="22"/>
                <w:lang w:eastAsia="en-AU"/>
              </w:rPr>
              <w:tab/>
            </w:r>
            <w:r w:rsidR="00036A24" w:rsidRPr="00DB73D3">
              <w:rPr>
                <w:rStyle w:val="Hyperlink"/>
              </w:rPr>
              <w:t>Classification of services</w:t>
            </w:r>
            <w:r w:rsidR="00036A24">
              <w:rPr>
                <w:webHidden/>
              </w:rPr>
              <w:tab/>
            </w:r>
            <w:r w:rsidR="00036A24">
              <w:rPr>
                <w:webHidden/>
              </w:rPr>
              <w:fldChar w:fldCharType="begin"/>
            </w:r>
            <w:r w:rsidR="00036A24">
              <w:rPr>
                <w:webHidden/>
              </w:rPr>
              <w:instrText xml:space="preserve"> PAGEREF _Toc481051876 \h </w:instrText>
            </w:r>
            <w:r w:rsidR="00036A24">
              <w:rPr>
                <w:webHidden/>
              </w:rPr>
            </w:r>
            <w:r w:rsidR="00036A24">
              <w:rPr>
                <w:webHidden/>
              </w:rPr>
              <w:fldChar w:fldCharType="separate"/>
            </w:r>
            <w:r w:rsidR="00036A24">
              <w:rPr>
                <w:webHidden/>
              </w:rPr>
              <w:t>34</w:t>
            </w:r>
            <w:r w:rsidR="00036A24">
              <w:rPr>
                <w:webHidden/>
              </w:rPr>
              <w:fldChar w:fldCharType="end"/>
            </w:r>
          </w:hyperlink>
        </w:p>
        <w:p w:rsidR="00036A24" w:rsidRDefault="00D96B78">
          <w:pPr>
            <w:pStyle w:val="TOC2"/>
            <w:rPr>
              <w:rFonts w:asciiTheme="minorHAnsi" w:eastAsiaTheme="minorEastAsia" w:hAnsiTheme="minorHAnsi"/>
              <w:b w:val="0"/>
              <w:color w:val="auto"/>
              <w:sz w:val="22"/>
              <w:lang w:eastAsia="en-AU"/>
            </w:rPr>
          </w:pPr>
          <w:hyperlink w:anchor="_Toc481051877" w:history="1">
            <w:r w:rsidR="00036A24" w:rsidRPr="00DB73D3">
              <w:rPr>
                <w:rStyle w:val="Hyperlink"/>
              </w:rPr>
              <w:t>4.2</w:t>
            </w:r>
            <w:r w:rsidR="00036A24">
              <w:rPr>
                <w:rFonts w:asciiTheme="minorHAnsi" w:eastAsiaTheme="minorEastAsia" w:hAnsiTheme="minorHAnsi"/>
                <w:b w:val="0"/>
                <w:color w:val="auto"/>
                <w:sz w:val="22"/>
                <w:lang w:eastAsia="en-AU"/>
              </w:rPr>
              <w:tab/>
            </w:r>
            <w:r w:rsidR="00036A24" w:rsidRPr="00DB73D3">
              <w:rPr>
                <w:rStyle w:val="Hyperlink"/>
              </w:rPr>
              <w:t>Control mechanisms</w:t>
            </w:r>
            <w:r w:rsidR="00036A24">
              <w:rPr>
                <w:webHidden/>
              </w:rPr>
              <w:tab/>
            </w:r>
            <w:r w:rsidR="00036A24">
              <w:rPr>
                <w:webHidden/>
              </w:rPr>
              <w:fldChar w:fldCharType="begin"/>
            </w:r>
            <w:r w:rsidR="00036A24">
              <w:rPr>
                <w:webHidden/>
              </w:rPr>
              <w:instrText xml:space="preserve"> PAGEREF _Toc481051877 \h </w:instrText>
            </w:r>
            <w:r w:rsidR="00036A24">
              <w:rPr>
                <w:webHidden/>
              </w:rPr>
            </w:r>
            <w:r w:rsidR="00036A24">
              <w:rPr>
                <w:webHidden/>
              </w:rPr>
              <w:fldChar w:fldCharType="separate"/>
            </w:r>
            <w:r w:rsidR="00036A24">
              <w:rPr>
                <w:webHidden/>
              </w:rPr>
              <w:t>36</w:t>
            </w:r>
            <w:r w:rsidR="00036A24">
              <w:rPr>
                <w:webHidden/>
              </w:rPr>
              <w:fldChar w:fldCharType="end"/>
            </w:r>
          </w:hyperlink>
        </w:p>
        <w:p w:rsidR="00036A24" w:rsidRDefault="00D96B78">
          <w:pPr>
            <w:pStyle w:val="TOC3"/>
            <w:rPr>
              <w:rFonts w:asciiTheme="minorHAnsi" w:eastAsiaTheme="minorEastAsia" w:hAnsiTheme="minorHAnsi"/>
              <w:lang w:eastAsia="en-AU"/>
            </w:rPr>
          </w:pPr>
          <w:hyperlink w:anchor="_Toc481051878" w:history="1">
            <w:r w:rsidR="00036A24" w:rsidRPr="00DB73D3">
              <w:rPr>
                <w:rStyle w:val="Hyperlink"/>
              </w:rPr>
              <w:t>4.2.1</w:t>
            </w:r>
            <w:r w:rsidR="00036A24">
              <w:rPr>
                <w:rFonts w:asciiTheme="minorHAnsi" w:eastAsiaTheme="minorEastAsia" w:hAnsiTheme="minorHAnsi"/>
                <w:lang w:eastAsia="en-AU"/>
              </w:rPr>
              <w:tab/>
            </w:r>
            <w:r w:rsidR="00036A24" w:rsidRPr="00DB73D3">
              <w:rPr>
                <w:rStyle w:val="Hyperlink"/>
              </w:rPr>
              <w:t>Standard control services</w:t>
            </w:r>
            <w:r w:rsidR="00036A24">
              <w:rPr>
                <w:webHidden/>
              </w:rPr>
              <w:tab/>
            </w:r>
            <w:r w:rsidR="00036A24">
              <w:rPr>
                <w:webHidden/>
              </w:rPr>
              <w:fldChar w:fldCharType="begin"/>
            </w:r>
            <w:r w:rsidR="00036A24">
              <w:rPr>
                <w:webHidden/>
              </w:rPr>
              <w:instrText xml:space="preserve"> PAGEREF _Toc481051878 \h </w:instrText>
            </w:r>
            <w:r w:rsidR="00036A24">
              <w:rPr>
                <w:webHidden/>
              </w:rPr>
            </w:r>
            <w:r w:rsidR="00036A24">
              <w:rPr>
                <w:webHidden/>
              </w:rPr>
              <w:fldChar w:fldCharType="separate"/>
            </w:r>
            <w:r w:rsidR="00036A24">
              <w:rPr>
                <w:webHidden/>
              </w:rPr>
              <w:t>36</w:t>
            </w:r>
            <w:r w:rsidR="00036A24">
              <w:rPr>
                <w:webHidden/>
              </w:rPr>
              <w:fldChar w:fldCharType="end"/>
            </w:r>
          </w:hyperlink>
        </w:p>
        <w:p w:rsidR="00036A24" w:rsidRDefault="00D96B78">
          <w:pPr>
            <w:pStyle w:val="TOC3"/>
            <w:rPr>
              <w:rFonts w:asciiTheme="minorHAnsi" w:eastAsiaTheme="minorEastAsia" w:hAnsiTheme="minorHAnsi"/>
              <w:lang w:eastAsia="en-AU"/>
            </w:rPr>
          </w:pPr>
          <w:hyperlink w:anchor="_Toc481051879" w:history="1">
            <w:r w:rsidR="00036A24" w:rsidRPr="00DB73D3">
              <w:rPr>
                <w:rStyle w:val="Hyperlink"/>
              </w:rPr>
              <w:t>4.2.2</w:t>
            </w:r>
            <w:r w:rsidR="00036A24">
              <w:rPr>
                <w:rFonts w:asciiTheme="minorHAnsi" w:eastAsiaTheme="minorEastAsia" w:hAnsiTheme="minorHAnsi"/>
                <w:lang w:eastAsia="en-AU"/>
              </w:rPr>
              <w:tab/>
            </w:r>
            <w:r w:rsidR="00036A24" w:rsidRPr="00DB73D3">
              <w:rPr>
                <w:rStyle w:val="Hyperlink"/>
              </w:rPr>
              <w:t>Alternative control services</w:t>
            </w:r>
            <w:r w:rsidR="00036A24">
              <w:rPr>
                <w:webHidden/>
              </w:rPr>
              <w:tab/>
            </w:r>
            <w:r w:rsidR="00036A24">
              <w:rPr>
                <w:webHidden/>
              </w:rPr>
              <w:fldChar w:fldCharType="begin"/>
            </w:r>
            <w:r w:rsidR="00036A24">
              <w:rPr>
                <w:webHidden/>
              </w:rPr>
              <w:instrText xml:space="preserve"> PAGEREF _Toc481051879 \h </w:instrText>
            </w:r>
            <w:r w:rsidR="00036A24">
              <w:rPr>
                <w:webHidden/>
              </w:rPr>
            </w:r>
            <w:r w:rsidR="00036A24">
              <w:rPr>
                <w:webHidden/>
              </w:rPr>
              <w:fldChar w:fldCharType="separate"/>
            </w:r>
            <w:r w:rsidR="00036A24">
              <w:rPr>
                <w:webHidden/>
              </w:rPr>
              <w:t>37</w:t>
            </w:r>
            <w:r w:rsidR="00036A24">
              <w:rPr>
                <w:webHidden/>
              </w:rPr>
              <w:fldChar w:fldCharType="end"/>
            </w:r>
          </w:hyperlink>
        </w:p>
        <w:p w:rsidR="00036A24" w:rsidRDefault="00D96B78">
          <w:pPr>
            <w:pStyle w:val="TOC2"/>
            <w:rPr>
              <w:rFonts w:asciiTheme="minorHAnsi" w:eastAsiaTheme="minorEastAsia" w:hAnsiTheme="minorHAnsi"/>
              <w:b w:val="0"/>
              <w:color w:val="auto"/>
              <w:sz w:val="22"/>
              <w:lang w:eastAsia="en-AU"/>
            </w:rPr>
          </w:pPr>
          <w:hyperlink w:anchor="_Toc481051880" w:history="1">
            <w:r w:rsidR="00036A24" w:rsidRPr="00DB73D3">
              <w:rPr>
                <w:rStyle w:val="Hyperlink"/>
              </w:rPr>
              <w:t>4.3</w:t>
            </w:r>
            <w:r w:rsidR="00036A24">
              <w:rPr>
                <w:rFonts w:asciiTheme="minorHAnsi" w:eastAsiaTheme="minorEastAsia" w:hAnsiTheme="minorHAnsi"/>
                <w:b w:val="0"/>
                <w:color w:val="auto"/>
                <w:sz w:val="22"/>
                <w:lang w:eastAsia="en-AU"/>
              </w:rPr>
              <w:tab/>
            </w:r>
            <w:r w:rsidR="00036A24" w:rsidRPr="00DB73D3">
              <w:rPr>
                <w:rStyle w:val="Hyperlink"/>
              </w:rPr>
              <w:t>Incentive schemes</w:t>
            </w:r>
            <w:r w:rsidR="00036A24">
              <w:rPr>
                <w:webHidden/>
              </w:rPr>
              <w:tab/>
            </w:r>
            <w:r w:rsidR="00036A24">
              <w:rPr>
                <w:webHidden/>
              </w:rPr>
              <w:fldChar w:fldCharType="begin"/>
            </w:r>
            <w:r w:rsidR="00036A24">
              <w:rPr>
                <w:webHidden/>
              </w:rPr>
              <w:instrText xml:space="preserve"> PAGEREF _Toc481051880 \h </w:instrText>
            </w:r>
            <w:r w:rsidR="00036A24">
              <w:rPr>
                <w:webHidden/>
              </w:rPr>
            </w:r>
            <w:r w:rsidR="00036A24">
              <w:rPr>
                <w:webHidden/>
              </w:rPr>
              <w:fldChar w:fldCharType="separate"/>
            </w:r>
            <w:r w:rsidR="00036A24">
              <w:rPr>
                <w:webHidden/>
              </w:rPr>
              <w:t>38</w:t>
            </w:r>
            <w:r w:rsidR="00036A24">
              <w:rPr>
                <w:webHidden/>
              </w:rPr>
              <w:fldChar w:fldCharType="end"/>
            </w:r>
          </w:hyperlink>
        </w:p>
        <w:p w:rsidR="00036A24" w:rsidRDefault="00D96B78">
          <w:pPr>
            <w:pStyle w:val="TOC3"/>
            <w:rPr>
              <w:rFonts w:asciiTheme="minorHAnsi" w:eastAsiaTheme="minorEastAsia" w:hAnsiTheme="minorHAnsi"/>
              <w:lang w:eastAsia="en-AU"/>
            </w:rPr>
          </w:pPr>
          <w:hyperlink w:anchor="_Toc481051881" w:history="1">
            <w:r w:rsidR="00036A24" w:rsidRPr="00DB73D3">
              <w:rPr>
                <w:rStyle w:val="Hyperlink"/>
              </w:rPr>
              <w:t>4.3.1</w:t>
            </w:r>
            <w:r w:rsidR="00036A24">
              <w:rPr>
                <w:rFonts w:asciiTheme="minorHAnsi" w:eastAsiaTheme="minorEastAsia" w:hAnsiTheme="minorHAnsi"/>
                <w:lang w:eastAsia="en-AU"/>
              </w:rPr>
              <w:tab/>
            </w:r>
            <w:r w:rsidR="00036A24" w:rsidRPr="00DB73D3">
              <w:rPr>
                <w:rStyle w:val="Hyperlink"/>
              </w:rPr>
              <w:t>Efficiency benefit sharing scheme (EBSS)</w:t>
            </w:r>
            <w:r w:rsidR="00036A24">
              <w:rPr>
                <w:webHidden/>
              </w:rPr>
              <w:tab/>
            </w:r>
            <w:r w:rsidR="00036A24">
              <w:rPr>
                <w:webHidden/>
              </w:rPr>
              <w:fldChar w:fldCharType="begin"/>
            </w:r>
            <w:r w:rsidR="00036A24">
              <w:rPr>
                <w:webHidden/>
              </w:rPr>
              <w:instrText xml:space="preserve"> PAGEREF _Toc481051881 \h </w:instrText>
            </w:r>
            <w:r w:rsidR="00036A24">
              <w:rPr>
                <w:webHidden/>
              </w:rPr>
            </w:r>
            <w:r w:rsidR="00036A24">
              <w:rPr>
                <w:webHidden/>
              </w:rPr>
              <w:fldChar w:fldCharType="separate"/>
            </w:r>
            <w:r w:rsidR="00036A24">
              <w:rPr>
                <w:webHidden/>
              </w:rPr>
              <w:t>38</w:t>
            </w:r>
            <w:r w:rsidR="00036A24">
              <w:rPr>
                <w:webHidden/>
              </w:rPr>
              <w:fldChar w:fldCharType="end"/>
            </w:r>
          </w:hyperlink>
        </w:p>
        <w:p w:rsidR="00036A24" w:rsidRDefault="00D96B78">
          <w:pPr>
            <w:pStyle w:val="TOC3"/>
            <w:rPr>
              <w:rFonts w:asciiTheme="minorHAnsi" w:eastAsiaTheme="minorEastAsia" w:hAnsiTheme="minorHAnsi"/>
              <w:lang w:eastAsia="en-AU"/>
            </w:rPr>
          </w:pPr>
          <w:hyperlink w:anchor="_Toc481051882" w:history="1">
            <w:r w:rsidR="00036A24" w:rsidRPr="00DB73D3">
              <w:rPr>
                <w:rStyle w:val="Hyperlink"/>
              </w:rPr>
              <w:t>4.3.2</w:t>
            </w:r>
            <w:r w:rsidR="00036A24">
              <w:rPr>
                <w:rFonts w:asciiTheme="minorHAnsi" w:eastAsiaTheme="minorEastAsia" w:hAnsiTheme="minorHAnsi"/>
                <w:lang w:eastAsia="en-AU"/>
              </w:rPr>
              <w:tab/>
            </w:r>
            <w:r w:rsidR="00036A24" w:rsidRPr="00DB73D3">
              <w:rPr>
                <w:rStyle w:val="Hyperlink"/>
              </w:rPr>
              <w:t>Capital expenditure sharing scheme (CESS)</w:t>
            </w:r>
            <w:r w:rsidR="00036A24">
              <w:rPr>
                <w:webHidden/>
              </w:rPr>
              <w:tab/>
            </w:r>
            <w:r w:rsidR="00036A24">
              <w:rPr>
                <w:webHidden/>
              </w:rPr>
              <w:fldChar w:fldCharType="begin"/>
            </w:r>
            <w:r w:rsidR="00036A24">
              <w:rPr>
                <w:webHidden/>
              </w:rPr>
              <w:instrText xml:space="preserve"> PAGEREF _Toc481051882 \h </w:instrText>
            </w:r>
            <w:r w:rsidR="00036A24">
              <w:rPr>
                <w:webHidden/>
              </w:rPr>
            </w:r>
            <w:r w:rsidR="00036A24">
              <w:rPr>
                <w:webHidden/>
              </w:rPr>
              <w:fldChar w:fldCharType="separate"/>
            </w:r>
            <w:r w:rsidR="00036A24">
              <w:rPr>
                <w:webHidden/>
              </w:rPr>
              <w:t>39</w:t>
            </w:r>
            <w:r w:rsidR="00036A24">
              <w:rPr>
                <w:webHidden/>
              </w:rPr>
              <w:fldChar w:fldCharType="end"/>
            </w:r>
          </w:hyperlink>
        </w:p>
        <w:p w:rsidR="00036A24" w:rsidRDefault="00D96B78">
          <w:pPr>
            <w:pStyle w:val="TOC3"/>
            <w:rPr>
              <w:rFonts w:asciiTheme="minorHAnsi" w:eastAsiaTheme="minorEastAsia" w:hAnsiTheme="minorHAnsi"/>
              <w:lang w:eastAsia="en-AU"/>
            </w:rPr>
          </w:pPr>
          <w:hyperlink w:anchor="_Toc481051883" w:history="1">
            <w:r w:rsidR="00036A24" w:rsidRPr="00DB73D3">
              <w:rPr>
                <w:rStyle w:val="Hyperlink"/>
              </w:rPr>
              <w:t>4.3.3</w:t>
            </w:r>
            <w:r w:rsidR="00036A24">
              <w:rPr>
                <w:rFonts w:asciiTheme="minorHAnsi" w:eastAsiaTheme="minorEastAsia" w:hAnsiTheme="minorHAnsi"/>
                <w:lang w:eastAsia="en-AU"/>
              </w:rPr>
              <w:tab/>
            </w:r>
            <w:r w:rsidR="00036A24" w:rsidRPr="00DB73D3">
              <w:rPr>
                <w:rStyle w:val="Hyperlink"/>
              </w:rPr>
              <w:t>Service target performance incentive scheme (STPIS)</w:t>
            </w:r>
            <w:r w:rsidR="00036A24">
              <w:rPr>
                <w:webHidden/>
              </w:rPr>
              <w:tab/>
            </w:r>
            <w:r w:rsidR="00036A24">
              <w:rPr>
                <w:webHidden/>
              </w:rPr>
              <w:fldChar w:fldCharType="begin"/>
            </w:r>
            <w:r w:rsidR="00036A24">
              <w:rPr>
                <w:webHidden/>
              </w:rPr>
              <w:instrText xml:space="preserve"> PAGEREF _Toc481051883 \h </w:instrText>
            </w:r>
            <w:r w:rsidR="00036A24">
              <w:rPr>
                <w:webHidden/>
              </w:rPr>
            </w:r>
            <w:r w:rsidR="00036A24">
              <w:rPr>
                <w:webHidden/>
              </w:rPr>
              <w:fldChar w:fldCharType="separate"/>
            </w:r>
            <w:r w:rsidR="00036A24">
              <w:rPr>
                <w:webHidden/>
              </w:rPr>
              <w:t>40</w:t>
            </w:r>
            <w:r w:rsidR="00036A24">
              <w:rPr>
                <w:webHidden/>
              </w:rPr>
              <w:fldChar w:fldCharType="end"/>
            </w:r>
          </w:hyperlink>
        </w:p>
        <w:p w:rsidR="00036A24" w:rsidRDefault="00D96B78">
          <w:pPr>
            <w:pStyle w:val="TOC3"/>
            <w:rPr>
              <w:rFonts w:asciiTheme="minorHAnsi" w:eastAsiaTheme="minorEastAsia" w:hAnsiTheme="minorHAnsi"/>
              <w:lang w:eastAsia="en-AU"/>
            </w:rPr>
          </w:pPr>
          <w:hyperlink w:anchor="_Toc481051884" w:history="1">
            <w:r w:rsidR="00036A24" w:rsidRPr="00DB73D3">
              <w:rPr>
                <w:rStyle w:val="Hyperlink"/>
              </w:rPr>
              <w:t>4.3.4</w:t>
            </w:r>
            <w:r w:rsidR="00036A24">
              <w:rPr>
                <w:rFonts w:asciiTheme="minorHAnsi" w:eastAsiaTheme="minorEastAsia" w:hAnsiTheme="minorHAnsi"/>
                <w:lang w:eastAsia="en-AU"/>
              </w:rPr>
              <w:tab/>
            </w:r>
            <w:r w:rsidR="00036A24" w:rsidRPr="00DB73D3">
              <w:rPr>
                <w:rStyle w:val="Hyperlink"/>
              </w:rPr>
              <w:t>Demand management incentive scheme</w:t>
            </w:r>
            <w:r w:rsidR="00036A24">
              <w:rPr>
                <w:webHidden/>
              </w:rPr>
              <w:tab/>
            </w:r>
            <w:r w:rsidR="00036A24">
              <w:rPr>
                <w:webHidden/>
              </w:rPr>
              <w:fldChar w:fldCharType="begin"/>
            </w:r>
            <w:r w:rsidR="00036A24">
              <w:rPr>
                <w:webHidden/>
              </w:rPr>
              <w:instrText xml:space="preserve"> PAGEREF _Toc481051884 \h </w:instrText>
            </w:r>
            <w:r w:rsidR="00036A24">
              <w:rPr>
                <w:webHidden/>
              </w:rPr>
            </w:r>
            <w:r w:rsidR="00036A24">
              <w:rPr>
                <w:webHidden/>
              </w:rPr>
              <w:fldChar w:fldCharType="separate"/>
            </w:r>
            <w:r w:rsidR="00036A24">
              <w:rPr>
                <w:webHidden/>
              </w:rPr>
              <w:t>42</w:t>
            </w:r>
            <w:r w:rsidR="00036A24">
              <w:rPr>
                <w:webHidden/>
              </w:rPr>
              <w:fldChar w:fldCharType="end"/>
            </w:r>
          </w:hyperlink>
        </w:p>
        <w:p w:rsidR="00036A24" w:rsidRDefault="00D96B78">
          <w:pPr>
            <w:pStyle w:val="TOC1"/>
            <w:rPr>
              <w:rFonts w:asciiTheme="minorHAnsi" w:eastAsiaTheme="minorEastAsia" w:hAnsiTheme="minorHAnsi"/>
              <w:b w:val="0"/>
              <w:color w:val="auto"/>
              <w:sz w:val="22"/>
              <w:lang w:val="en-AU" w:eastAsia="en-AU"/>
            </w:rPr>
          </w:pPr>
          <w:hyperlink w:anchor="_Toc481051885" w:history="1">
            <w:r w:rsidR="00036A24" w:rsidRPr="00DB73D3">
              <w:rPr>
                <w:rStyle w:val="Hyperlink"/>
              </w:rPr>
              <w:t>5</w:t>
            </w:r>
            <w:r w:rsidR="00036A24">
              <w:rPr>
                <w:rFonts w:asciiTheme="minorHAnsi" w:eastAsiaTheme="minorEastAsia" w:hAnsiTheme="minorHAnsi"/>
                <w:b w:val="0"/>
                <w:color w:val="auto"/>
                <w:sz w:val="22"/>
                <w:lang w:val="en-AU" w:eastAsia="en-AU"/>
              </w:rPr>
              <w:tab/>
            </w:r>
            <w:r w:rsidR="00036A24" w:rsidRPr="00DB73D3">
              <w:rPr>
                <w:rStyle w:val="Hyperlink"/>
              </w:rPr>
              <w:t>Tariff structure statement</w:t>
            </w:r>
            <w:r w:rsidR="00036A24">
              <w:rPr>
                <w:webHidden/>
              </w:rPr>
              <w:tab/>
            </w:r>
            <w:r w:rsidR="00036A24">
              <w:rPr>
                <w:webHidden/>
              </w:rPr>
              <w:fldChar w:fldCharType="begin"/>
            </w:r>
            <w:r w:rsidR="00036A24">
              <w:rPr>
                <w:webHidden/>
              </w:rPr>
              <w:instrText xml:space="preserve"> PAGEREF _Toc481051885 \h </w:instrText>
            </w:r>
            <w:r w:rsidR="00036A24">
              <w:rPr>
                <w:webHidden/>
              </w:rPr>
            </w:r>
            <w:r w:rsidR="00036A24">
              <w:rPr>
                <w:webHidden/>
              </w:rPr>
              <w:fldChar w:fldCharType="separate"/>
            </w:r>
            <w:r w:rsidR="00036A24">
              <w:rPr>
                <w:webHidden/>
              </w:rPr>
              <w:t>44</w:t>
            </w:r>
            <w:r w:rsidR="00036A24">
              <w:rPr>
                <w:webHidden/>
              </w:rPr>
              <w:fldChar w:fldCharType="end"/>
            </w:r>
          </w:hyperlink>
        </w:p>
        <w:p w:rsidR="00036A24" w:rsidRDefault="00D96B78">
          <w:pPr>
            <w:pStyle w:val="TOC1"/>
            <w:rPr>
              <w:rFonts w:asciiTheme="minorHAnsi" w:eastAsiaTheme="minorEastAsia" w:hAnsiTheme="minorHAnsi"/>
              <w:b w:val="0"/>
              <w:color w:val="auto"/>
              <w:sz w:val="22"/>
              <w:lang w:val="en-AU" w:eastAsia="en-AU"/>
            </w:rPr>
          </w:pPr>
          <w:hyperlink w:anchor="_Toc481051886" w:history="1">
            <w:r w:rsidR="00036A24" w:rsidRPr="00DB73D3">
              <w:rPr>
                <w:rStyle w:val="Hyperlink"/>
              </w:rPr>
              <w:t>6</w:t>
            </w:r>
            <w:r w:rsidR="00036A24">
              <w:rPr>
                <w:rFonts w:asciiTheme="minorHAnsi" w:eastAsiaTheme="minorEastAsia" w:hAnsiTheme="minorHAnsi"/>
                <w:b w:val="0"/>
                <w:color w:val="auto"/>
                <w:sz w:val="22"/>
                <w:lang w:val="en-AU" w:eastAsia="en-AU"/>
              </w:rPr>
              <w:tab/>
            </w:r>
            <w:r w:rsidR="00036A24" w:rsidRPr="00DB73D3">
              <w:rPr>
                <w:rStyle w:val="Hyperlink"/>
              </w:rPr>
              <w:t>The regulatory framework</w:t>
            </w:r>
            <w:r w:rsidR="00036A24">
              <w:rPr>
                <w:webHidden/>
              </w:rPr>
              <w:tab/>
            </w:r>
            <w:r w:rsidR="00036A24">
              <w:rPr>
                <w:webHidden/>
              </w:rPr>
              <w:fldChar w:fldCharType="begin"/>
            </w:r>
            <w:r w:rsidR="00036A24">
              <w:rPr>
                <w:webHidden/>
              </w:rPr>
              <w:instrText xml:space="preserve"> PAGEREF _Toc481051886 \h </w:instrText>
            </w:r>
            <w:r w:rsidR="00036A24">
              <w:rPr>
                <w:webHidden/>
              </w:rPr>
            </w:r>
            <w:r w:rsidR="00036A24">
              <w:rPr>
                <w:webHidden/>
              </w:rPr>
              <w:fldChar w:fldCharType="separate"/>
            </w:r>
            <w:r w:rsidR="00036A24">
              <w:rPr>
                <w:webHidden/>
              </w:rPr>
              <w:t>46</w:t>
            </w:r>
            <w:r w:rsidR="00036A24">
              <w:rPr>
                <w:webHidden/>
              </w:rPr>
              <w:fldChar w:fldCharType="end"/>
            </w:r>
          </w:hyperlink>
        </w:p>
        <w:p w:rsidR="00036A24" w:rsidRDefault="00D96B78">
          <w:pPr>
            <w:pStyle w:val="TOC2"/>
            <w:rPr>
              <w:rFonts w:asciiTheme="minorHAnsi" w:eastAsiaTheme="minorEastAsia" w:hAnsiTheme="minorHAnsi"/>
              <w:b w:val="0"/>
              <w:color w:val="auto"/>
              <w:sz w:val="22"/>
              <w:lang w:eastAsia="en-AU"/>
            </w:rPr>
          </w:pPr>
          <w:hyperlink w:anchor="_Toc481051887" w:history="1">
            <w:r w:rsidR="00036A24" w:rsidRPr="00DB73D3">
              <w:rPr>
                <w:rStyle w:val="Hyperlink"/>
              </w:rPr>
              <w:t>6.1</w:t>
            </w:r>
            <w:r w:rsidR="00036A24">
              <w:rPr>
                <w:rFonts w:asciiTheme="minorHAnsi" w:eastAsiaTheme="minorEastAsia" w:hAnsiTheme="minorHAnsi"/>
                <w:b w:val="0"/>
                <w:color w:val="auto"/>
                <w:sz w:val="22"/>
                <w:lang w:eastAsia="en-AU"/>
              </w:rPr>
              <w:tab/>
            </w:r>
            <w:r w:rsidR="00036A24" w:rsidRPr="00DB73D3">
              <w:rPr>
                <w:rStyle w:val="Hyperlink"/>
              </w:rPr>
              <w:t>Achieving the NEO to the greatest degree</w:t>
            </w:r>
            <w:r w:rsidR="00036A24">
              <w:rPr>
                <w:webHidden/>
              </w:rPr>
              <w:tab/>
            </w:r>
            <w:r w:rsidR="00036A24">
              <w:rPr>
                <w:webHidden/>
              </w:rPr>
              <w:fldChar w:fldCharType="begin"/>
            </w:r>
            <w:r w:rsidR="00036A24">
              <w:rPr>
                <w:webHidden/>
              </w:rPr>
              <w:instrText xml:space="preserve"> PAGEREF _Toc481051887 \h </w:instrText>
            </w:r>
            <w:r w:rsidR="00036A24">
              <w:rPr>
                <w:webHidden/>
              </w:rPr>
            </w:r>
            <w:r w:rsidR="00036A24">
              <w:rPr>
                <w:webHidden/>
              </w:rPr>
              <w:fldChar w:fldCharType="separate"/>
            </w:r>
            <w:r w:rsidR="00036A24">
              <w:rPr>
                <w:webHidden/>
              </w:rPr>
              <w:t>49</w:t>
            </w:r>
            <w:r w:rsidR="00036A24">
              <w:rPr>
                <w:webHidden/>
              </w:rPr>
              <w:fldChar w:fldCharType="end"/>
            </w:r>
          </w:hyperlink>
        </w:p>
        <w:p w:rsidR="00036A24" w:rsidRDefault="00D96B78">
          <w:pPr>
            <w:pStyle w:val="TOC2"/>
            <w:rPr>
              <w:rFonts w:asciiTheme="minorHAnsi" w:eastAsiaTheme="minorEastAsia" w:hAnsiTheme="minorHAnsi"/>
              <w:b w:val="0"/>
              <w:color w:val="auto"/>
              <w:sz w:val="22"/>
              <w:lang w:eastAsia="en-AU"/>
            </w:rPr>
          </w:pPr>
          <w:hyperlink w:anchor="_Toc481051888" w:history="1">
            <w:r w:rsidR="00036A24" w:rsidRPr="00DB73D3">
              <w:rPr>
                <w:rStyle w:val="Hyperlink"/>
              </w:rPr>
              <w:t>6.2</w:t>
            </w:r>
            <w:r w:rsidR="00036A24">
              <w:rPr>
                <w:rFonts w:asciiTheme="minorHAnsi" w:eastAsiaTheme="minorEastAsia" w:hAnsiTheme="minorHAnsi"/>
                <w:b w:val="0"/>
                <w:color w:val="auto"/>
                <w:sz w:val="22"/>
                <w:lang w:eastAsia="en-AU"/>
              </w:rPr>
              <w:tab/>
            </w:r>
            <w:r w:rsidR="00036A24" w:rsidRPr="00DB73D3">
              <w:rPr>
                <w:rStyle w:val="Hyperlink"/>
              </w:rPr>
              <w:t>Interrelationships between constituent components</w:t>
            </w:r>
            <w:r w:rsidR="00036A24">
              <w:rPr>
                <w:webHidden/>
              </w:rPr>
              <w:tab/>
            </w:r>
            <w:r w:rsidR="00036A24">
              <w:rPr>
                <w:webHidden/>
              </w:rPr>
              <w:fldChar w:fldCharType="begin"/>
            </w:r>
            <w:r w:rsidR="00036A24">
              <w:rPr>
                <w:webHidden/>
              </w:rPr>
              <w:instrText xml:space="preserve"> PAGEREF _Toc481051888 \h </w:instrText>
            </w:r>
            <w:r w:rsidR="00036A24">
              <w:rPr>
                <w:webHidden/>
              </w:rPr>
            </w:r>
            <w:r w:rsidR="00036A24">
              <w:rPr>
                <w:webHidden/>
              </w:rPr>
              <w:fldChar w:fldCharType="separate"/>
            </w:r>
            <w:r w:rsidR="00036A24">
              <w:rPr>
                <w:webHidden/>
              </w:rPr>
              <w:t>50</w:t>
            </w:r>
            <w:r w:rsidR="00036A24">
              <w:rPr>
                <w:webHidden/>
              </w:rPr>
              <w:fldChar w:fldCharType="end"/>
            </w:r>
          </w:hyperlink>
        </w:p>
        <w:p w:rsidR="00036A24" w:rsidRDefault="00D96B78">
          <w:pPr>
            <w:pStyle w:val="TOC1"/>
            <w:rPr>
              <w:rFonts w:asciiTheme="minorHAnsi" w:eastAsiaTheme="minorEastAsia" w:hAnsiTheme="minorHAnsi"/>
              <w:b w:val="0"/>
              <w:color w:val="auto"/>
              <w:sz w:val="22"/>
              <w:lang w:val="en-AU" w:eastAsia="en-AU"/>
            </w:rPr>
          </w:pPr>
          <w:hyperlink w:anchor="_Toc481051889" w:history="1">
            <w:r w:rsidR="00036A24" w:rsidRPr="00DB73D3">
              <w:rPr>
                <w:rStyle w:val="Hyperlink"/>
              </w:rPr>
              <w:t>7</w:t>
            </w:r>
            <w:r w:rsidR="00036A24">
              <w:rPr>
                <w:rFonts w:asciiTheme="minorHAnsi" w:eastAsiaTheme="minorEastAsia" w:hAnsiTheme="minorHAnsi"/>
                <w:b w:val="0"/>
                <w:color w:val="auto"/>
                <w:sz w:val="22"/>
                <w:lang w:val="en-AU" w:eastAsia="en-AU"/>
              </w:rPr>
              <w:tab/>
            </w:r>
            <w:r w:rsidR="00036A24" w:rsidRPr="00DB73D3">
              <w:rPr>
                <w:rStyle w:val="Hyperlink"/>
              </w:rPr>
              <w:t>Consultation</w:t>
            </w:r>
            <w:r w:rsidR="00036A24">
              <w:rPr>
                <w:webHidden/>
              </w:rPr>
              <w:tab/>
            </w:r>
            <w:r w:rsidR="00036A24">
              <w:rPr>
                <w:webHidden/>
              </w:rPr>
              <w:fldChar w:fldCharType="begin"/>
            </w:r>
            <w:r w:rsidR="00036A24">
              <w:rPr>
                <w:webHidden/>
              </w:rPr>
              <w:instrText xml:space="preserve"> PAGEREF _Toc481051889 \h </w:instrText>
            </w:r>
            <w:r w:rsidR="00036A24">
              <w:rPr>
                <w:webHidden/>
              </w:rPr>
            </w:r>
            <w:r w:rsidR="00036A24">
              <w:rPr>
                <w:webHidden/>
              </w:rPr>
              <w:fldChar w:fldCharType="separate"/>
            </w:r>
            <w:r w:rsidR="00036A24">
              <w:rPr>
                <w:webHidden/>
              </w:rPr>
              <w:t>52</w:t>
            </w:r>
            <w:r w:rsidR="00036A24">
              <w:rPr>
                <w:webHidden/>
              </w:rPr>
              <w:fldChar w:fldCharType="end"/>
            </w:r>
          </w:hyperlink>
        </w:p>
        <w:p w:rsidR="00036A24" w:rsidRDefault="00D96B78">
          <w:pPr>
            <w:pStyle w:val="TOC2"/>
            <w:rPr>
              <w:rFonts w:asciiTheme="minorHAnsi" w:eastAsiaTheme="minorEastAsia" w:hAnsiTheme="minorHAnsi"/>
              <w:b w:val="0"/>
              <w:color w:val="auto"/>
              <w:sz w:val="22"/>
              <w:lang w:eastAsia="en-AU"/>
            </w:rPr>
          </w:pPr>
          <w:hyperlink w:anchor="_Toc481051890" w:history="1">
            <w:r w:rsidR="00036A24" w:rsidRPr="00DB73D3">
              <w:rPr>
                <w:rStyle w:val="Hyperlink"/>
              </w:rPr>
              <w:t>7.1</w:t>
            </w:r>
            <w:r w:rsidR="00036A24">
              <w:rPr>
                <w:rFonts w:asciiTheme="minorHAnsi" w:eastAsiaTheme="minorEastAsia" w:hAnsiTheme="minorHAnsi"/>
                <w:b w:val="0"/>
                <w:color w:val="auto"/>
                <w:sz w:val="22"/>
                <w:lang w:eastAsia="en-AU"/>
              </w:rPr>
              <w:tab/>
            </w:r>
            <w:r w:rsidR="00036A24" w:rsidRPr="00DB73D3">
              <w:rPr>
                <w:rStyle w:val="Hyperlink"/>
              </w:rPr>
              <w:t>Consumer engagement</w:t>
            </w:r>
            <w:r w:rsidR="00036A24">
              <w:rPr>
                <w:webHidden/>
              </w:rPr>
              <w:tab/>
            </w:r>
            <w:r w:rsidR="00036A24">
              <w:rPr>
                <w:webHidden/>
              </w:rPr>
              <w:fldChar w:fldCharType="begin"/>
            </w:r>
            <w:r w:rsidR="00036A24">
              <w:rPr>
                <w:webHidden/>
              </w:rPr>
              <w:instrText xml:space="preserve"> PAGEREF _Toc481051890 \h </w:instrText>
            </w:r>
            <w:r w:rsidR="00036A24">
              <w:rPr>
                <w:webHidden/>
              </w:rPr>
            </w:r>
            <w:r w:rsidR="00036A24">
              <w:rPr>
                <w:webHidden/>
              </w:rPr>
              <w:fldChar w:fldCharType="separate"/>
            </w:r>
            <w:r w:rsidR="00036A24">
              <w:rPr>
                <w:webHidden/>
              </w:rPr>
              <w:t>53</w:t>
            </w:r>
            <w:r w:rsidR="00036A24">
              <w:rPr>
                <w:webHidden/>
              </w:rPr>
              <w:fldChar w:fldCharType="end"/>
            </w:r>
          </w:hyperlink>
        </w:p>
        <w:p w:rsidR="00036A24" w:rsidRDefault="00D96B78">
          <w:pPr>
            <w:pStyle w:val="TOC2"/>
            <w:rPr>
              <w:rFonts w:asciiTheme="minorHAnsi" w:eastAsiaTheme="minorEastAsia" w:hAnsiTheme="minorHAnsi"/>
              <w:b w:val="0"/>
              <w:color w:val="auto"/>
              <w:sz w:val="22"/>
              <w:lang w:eastAsia="en-AU"/>
            </w:rPr>
          </w:pPr>
          <w:hyperlink w:anchor="_Toc481051891" w:history="1">
            <w:r w:rsidR="00036A24" w:rsidRPr="00DB73D3">
              <w:rPr>
                <w:rStyle w:val="Hyperlink"/>
              </w:rPr>
              <w:t>7.2</w:t>
            </w:r>
            <w:r w:rsidR="00036A24">
              <w:rPr>
                <w:rFonts w:asciiTheme="minorHAnsi" w:eastAsiaTheme="minorEastAsia" w:hAnsiTheme="minorHAnsi"/>
                <w:b w:val="0"/>
                <w:color w:val="auto"/>
                <w:sz w:val="22"/>
                <w:lang w:eastAsia="en-AU"/>
              </w:rPr>
              <w:tab/>
            </w:r>
            <w:r w:rsidR="00036A24" w:rsidRPr="00DB73D3">
              <w:rPr>
                <w:rStyle w:val="Hyperlink"/>
              </w:rPr>
              <w:t>TasNetworks' consumer engagement activities</w:t>
            </w:r>
            <w:r w:rsidR="00036A24">
              <w:rPr>
                <w:webHidden/>
              </w:rPr>
              <w:tab/>
            </w:r>
            <w:r w:rsidR="00036A24">
              <w:rPr>
                <w:webHidden/>
              </w:rPr>
              <w:fldChar w:fldCharType="begin"/>
            </w:r>
            <w:r w:rsidR="00036A24">
              <w:rPr>
                <w:webHidden/>
              </w:rPr>
              <w:instrText xml:space="preserve"> PAGEREF _Toc481051891 \h </w:instrText>
            </w:r>
            <w:r w:rsidR="00036A24">
              <w:rPr>
                <w:webHidden/>
              </w:rPr>
            </w:r>
            <w:r w:rsidR="00036A24">
              <w:rPr>
                <w:webHidden/>
              </w:rPr>
              <w:fldChar w:fldCharType="separate"/>
            </w:r>
            <w:r w:rsidR="00036A24">
              <w:rPr>
                <w:webHidden/>
              </w:rPr>
              <w:t>54</w:t>
            </w:r>
            <w:r w:rsidR="00036A24">
              <w:rPr>
                <w:webHidden/>
              </w:rPr>
              <w:fldChar w:fldCharType="end"/>
            </w:r>
          </w:hyperlink>
        </w:p>
        <w:p w:rsidR="00036A24" w:rsidRDefault="00D96B78">
          <w:pPr>
            <w:pStyle w:val="TOC2"/>
            <w:rPr>
              <w:rFonts w:asciiTheme="minorHAnsi" w:eastAsiaTheme="minorEastAsia" w:hAnsiTheme="minorHAnsi"/>
              <w:b w:val="0"/>
              <w:color w:val="auto"/>
              <w:sz w:val="22"/>
              <w:lang w:eastAsia="en-AU"/>
            </w:rPr>
          </w:pPr>
          <w:hyperlink w:anchor="_Toc481051892" w:history="1">
            <w:r w:rsidR="00036A24" w:rsidRPr="00DB73D3">
              <w:rPr>
                <w:rStyle w:val="Hyperlink"/>
              </w:rPr>
              <w:t>7.3</w:t>
            </w:r>
            <w:r w:rsidR="00036A24">
              <w:rPr>
                <w:rFonts w:asciiTheme="minorHAnsi" w:eastAsiaTheme="minorEastAsia" w:hAnsiTheme="minorHAnsi"/>
                <w:b w:val="0"/>
                <w:color w:val="auto"/>
                <w:sz w:val="22"/>
                <w:lang w:eastAsia="en-AU"/>
              </w:rPr>
              <w:tab/>
            </w:r>
            <w:r w:rsidR="00036A24" w:rsidRPr="00DB73D3">
              <w:rPr>
                <w:rStyle w:val="Hyperlink"/>
              </w:rPr>
              <w:t>Consumer submissions</w:t>
            </w:r>
            <w:r w:rsidR="00036A24">
              <w:rPr>
                <w:webHidden/>
              </w:rPr>
              <w:tab/>
            </w:r>
            <w:r w:rsidR="00036A24">
              <w:rPr>
                <w:webHidden/>
              </w:rPr>
              <w:fldChar w:fldCharType="begin"/>
            </w:r>
            <w:r w:rsidR="00036A24">
              <w:rPr>
                <w:webHidden/>
              </w:rPr>
              <w:instrText xml:space="preserve"> PAGEREF _Toc481051892 \h </w:instrText>
            </w:r>
            <w:r w:rsidR="00036A24">
              <w:rPr>
                <w:webHidden/>
              </w:rPr>
            </w:r>
            <w:r w:rsidR="00036A24">
              <w:rPr>
                <w:webHidden/>
              </w:rPr>
              <w:fldChar w:fldCharType="separate"/>
            </w:r>
            <w:r w:rsidR="00036A24">
              <w:rPr>
                <w:webHidden/>
              </w:rPr>
              <w:t>54</w:t>
            </w:r>
            <w:r w:rsidR="00036A24">
              <w:rPr>
                <w:webHidden/>
              </w:rPr>
              <w:fldChar w:fldCharType="end"/>
            </w:r>
          </w:hyperlink>
        </w:p>
        <w:p w:rsidR="00036A24" w:rsidRDefault="00D96B78">
          <w:pPr>
            <w:pStyle w:val="TOC2"/>
            <w:rPr>
              <w:rFonts w:asciiTheme="minorHAnsi" w:eastAsiaTheme="minorEastAsia" w:hAnsiTheme="minorHAnsi"/>
              <w:b w:val="0"/>
              <w:color w:val="auto"/>
              <w:sz w:val="22"/>
              <w:lang w:eastAsia="en-AU"/>
            </w:rPr>
          </w:pPr>
          <w:hyperlink w:anchor="_Toc481051893" w:history="1">
            <w:r w:rsidR="00036A24" w:rsidRPr="00DB73D3">
              <w:rPr>
                <w:rStyle w:val="Hyperlink"/>
              </w:rPr>
              <w:t>7.4</w:t>
            </w:r>
            <w:r w:rsidR="00036A24">
              <w:rPr>
                <w:rFonts w:asciiTheme="minorHAnsi" w:eastAsiaTheme="minorEastAsia" w:hAnsiTheme="minorHAnsi"/>
                <w:b w:val="0"/>
                <w:color w:val="auto"/>
                <w:sz w:val="22"/>
                <w:lang w:eastAsia="en-AU"/>
              </w:rPr>
              <w:tab/>
            </w:r>
            <w:r w:rsidR="00036A24" w:rsidRPr="00DB73D3">
              <w:rPr>
                <w:rStyle w:val="Hyperlink"/>
              </w:rPr>
              <w:t>Our view of TasNetworks' consumer engagement</w:t>
            </w:r>
            <w:r w:rsidR="00036A24">
              <w:rPr>
                <w:webHidden/>
              </w:rPr>
              <w:tab/>
            </w:r>
            <w:r w:rsidR="00036A24">
              <w:rPr>
                <w:webHidden/>
              </w:rPr>
              <w:fldChar w:fldCharType="begin"/>
            </w:r>
            <w:r w:rsidR="00036A24">
              <w:rPr>
                <w:webHidden/>
              </w:rPr>
              <w:instrText xml:space="preserve"> PAGEREF _Toc481051893 \h </w:instrText>
            </w:r>
            <w:r w:rsidR="00036A24">
              <w:rPr>
                <w:webHidden/>
              </w:rPr>
            </w:r>
            <w:r w:rsidR="00036A24">
              <w:rPr>
                <w:webHidden/>
              </w:rPr>
              <w:fldChar w:fldCharType="separate"/>
            </w:r>
            <w:r w:rsidR="00036A24">
              <w:rPr>
                <w:webHidden/>
              </w:rPr>
              <w:t>55</w:t>
            </w:r>
            <w:r w:rsidR="00036A24">
              <w:rPr>
                <w:webHidden/>
              </w:rPr>
              <w:fldChar w:fldCharType="end"/>
            </w:r>
          </w:hyperlink>
        </w:p>
        <w:p w:rsidR="00036A24" w:rsidRDefault="00D96B78">
          <w:pPr>
            <w:pStyle w:val="TOC1"/>
            <w:rPr>
              <w:rFonts w:asciiTheme="minorHAnsi" w:eastAsiaTheme="minorEastAsia" w:hAnsiTheme="minorHAnsi"/>
              <w:b w:val="0"/>
              <w:color w:val="auto"/>
              <w:sz w:val="22"/>
              <w:lang w:val="en-AU" w:eastAsia="en-AU"/>
            </w:rPr>
          </w:pPr>
          <w:hyperlink w:anchor="_Toc481051894" w:history="1">
            <w:r w:rsidR="00036A24" w:rsidRPr="00DB73D3">
              <w:rPr>
                <w:rStyle w:val="Hyperlink"/>
              </w:rPr>
              <w:t>A</w:t>
            </w:r>
            <w:r w:rsidR="00036A24">
              <w:rPr>
                <w:rFonts w:asciiTheme="minorHAnsi" w:eastAsiaTheme="minorEastAsia" w:hAnsiTheme="minorHAnsi"/>
                <w:b w:val="0"/>
                <w:color w:val="auto"/>
                <w:sz w:val="22"/>
                <w:lang w:val="en-AU" w:eastAsia="en-AU"/>
              </w:rPr>
              <w:tab/>
            </w:r>
            <w:r w:rsidR="00036A24" w:rsidRPr="00DB73D3">
              <w:rPr>
                <w:rStyle w:val="Hyperlink"/>
              </w:rPr>
              <w:t>Constituent decisions</w:t>
            </w:r>
            <w:r w:rsidR="00036A24">
              <w:rPr>
                <w:webHidden/>
              </w:rPr>
              <w:tab/>
            </w:r>
            <w:r w:rsidR="00036A24">
              <w:rPr>
                <w:webHidden/>
              </w:rPr>
              <w:fldChar w:fldCharType="begin"/>
            </w:r>
            <w:r w:rsidR="00036A24">
              <w:rPr>
                <w:webHidden/>
              </w:rPr>
              <w:instrText xml:space="preserve"> PAGEREF _Toc481051894 \h </w:instrText>
            </w:r>
            <w:r w:rsidR="00036A24">
              <w:rPr>
                <w:webHidden/>
              </w:rPr>
            </w:r>
            <w:r w:rsidR="00036A24">
              <w:rPr>
                <w:webHidden/>
              </w:rPr>
              <w:fldChar w:fldCharType="separate"/>
            </w:r>
            <w:r w:rsidR="00036A24">
              <w:rPr>
                <w:webHidden/>
              </w:rPr>
              <w:t>56</w:t>
            </w:r>
            <w:r w:rsidR="00036A24">
              <w:rPr>
                <w:webHidden/>
              </w:rPr>
              <w:fldChar w:fldCharType="end"/>
            </w:r>
          </w:hyperlink>
        </w:p>
        <w:p w:rsidR="00036A24" w:rsidRDefault="00D96B78">
          <w:pPr>
            <w:pStyle w:val="TOC1"/>
            <w:rPr>
              <w:rFonts w:asciiTheme="minorHAnsi" w:eastAsiaTheme="minorEastAsia" w:hAnsiTheme="minorHAnsi"/>
              <w:b w:val="0"/>
              <w:color w:val="auto"/>
              <w:sz w:val="22"/>
              <w:lang w:val="en-AU" w:eastAsia="en-AU"/>
            </w:rPr>
          </w:pPr>
          <w:hyperlink w:anchor="_Toc481051895" w:history="1">
            <w:r w:rsidR="00036A24" w:rsidRPr="00DB73D3">
              <w:rPr>
                <w:rStyle w:val="Hyperlink"/>
              </w:rPr>
              <w:t>B</w:t>
            </w:r>
            <w:r w:rsidR="00036A24">
              <w:rPr>
                <w:rFonts w:asciiTheme="minorHAnsi" w:eastAsiaTheme="minorEastAsia" w:hAnsiTheme="minorHAnsi"/>
                <w:b w:val="0"/>
                <w:color w:val="auto"/>
                <w:sz w:val="22"/>
                <w:lang w:val="en-AU" w:eastAsia="en-AU"/>
              </w:rPr>
              <w:tab/>
            </w:r>
            <w:r w:rsidR="00036A24" w:rsidRPr="00DB73D3">
              <w:rPr>
                <w:rStyle w:val="Hyperlink"/>
              </w:rPr>
              <w:t>List of submissions</w:t>
            </w:r>
            <w:r w:rsidR="00036A24">
              <w:rPr>
                <w:webHidden/>
              </w:rPr>
              <w:tab/>
            </w:r>
            <w:r w:rsidR="00036A24">
              <w:rPr>
                <w:webHidden/>
              </w:rPr>
              <w:fldChar w:fldCharType="begin"/>
            </w:r>
            <w:r w:rsidR="00036A24">
              <w:rPr>
                <w:webHidden/>
              </w:rPr>
              <w:instrText xml:space="preserve"> PAGEREF _Toc481051895 \h </w:instrText>
            </w:r>
            <w:r w:rsidR="00036A24">
              <w:rPr>
                <w:webHidden/>
              </w:rPr>
            </w:r>
            <w:r w:rsidR="00036A24">
              <w:rPr>
                <w:webHidden/>
              </w:rPr>
              <w:fldChar w:fldCharType="separate"/>
            </w:r>
            <w:r w:rsidR="00036A24">
              <w:rPr>
                <w:webHidden/>
              </w:rPr>
              <w:t>60</w:t>
            </w:r>
            <w:r w:rsidR="00036A24">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0" w:name="_Toc404700925"/>
      <w:bookmarkStart w:id="11" w:name="_Toc481051860"/>
      <w:r>
        <w:lastRenderedPageBreak/>
        <w:t>Shortened forms</w:t>
      </w:r>
      <w:bookmarkEnd w:id="10"/>
      <w:bookmarkEnd w:id="11"/>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583169" w:rsidRDefault="00583169" w:rsidP="00583169">
      <w:pPr>
        <w:rPr>
          <w:rFonts w:eastAsiaTheme="majorEastAsia" w:cstheme="majorBidi"/>
          <w:color w:val="70635A"/>
          <w:sz w:val="36"/>
          <w:szCs w:val="28"/>
        </w:rPr>
      </w:pPr>
      <w:bookmarkStart w:id="12" w:name="_Toc416278154"/>
      <w:bookmarkStart w:id="13" w:name="_Toc416346517"/>
      <w:bookmarkStart w:id="14" w:name="_Toc416278157"/>
      <w:bookmarkStart w:id="15" w:name="_Toc416346520"/>
      <w:bookmarkStart w:id="16" w:name="_Toc416278160"/>
      <w:bookmarkStart w:id="17" w:name="_Toc416346523"/>
      <w:bookmarkStart w:id="18" w:name="_Toc416278163"/>
      <w:bookmarkStart w:id="19" w:name="_Toc416346526"/>
      <w:bookmarkStart w:id="20" w:name="_Toc416278166"/>
      <w:bookmarkStart w:id="21" w:name="_Toc416346529"/>
      <w:bookmarkStart w:id="22" w:name="_Toc416278169"/>
      <w:bookmarkStart w:id="23" w:name="_Toc416346532"/>
      <w:bookmarkStart w:id="24" w:name="_Toc416278172"/>
      <w:bookmarkStart w:id="25" w:name="_Toc416346535"/>
      <w:bookmarkStart w:id="26" w:name="_Toc416278175"/>
      <w:bookmarkStart w:id="27" w:name="_Toc416346538"/>
      <w:bookmarkStart w:id="28" w:name="_Toc416278178"/>
      <w:bookmarkStart w:id="29" w:name="_Toc416346541"/>
      <w:bookmarkStart w:id="30" w:name="_Toc416278181"/>
      <w:bookmarkStart w:id="31" w:name="_Toc416346544"/>
      <w:bookmarkStart w:id="32" w:name="_Toc416278184"/>
      <w:bookmarkStart w:id="33" w:name="_Toc416346547"/>
      <w:bookmarkStart w:id="34" w:name="_Toc416278187"/>
      <w:bookmarkStart w:id="35" w:name="_Toc416346550"/>
      <w:bookmarkStart w:id="36" w:name="_Toc416278190"/>
      <w:bookmarkStart w:id="37" w:name="_Toc416346553"/>
      <w:bookmarkStart w:id="38" w:name="_Toc416278193"/>
      <w:bookmarkStart w:id="39" w:name="_Toc416346556"/>
      <w:bookmarkStart w:id="40" w:name="_Toc416278196"/>
      <w:bookmarkStart w:id="41" w:name="_Toc416346559"/>
      <w:bookmarkStart w:id="42" w:name="_Toc416278199"/>
      <w:bookmarkStart w:id="43" w:name="_Toc416346562"/>
      <w:bookmarkStart w:id="44" w:name="_Toc416278202"/>
      <w:bookmarkStart w:id="45" w:name="_Toc416346565"/>
      <w:bookmarkStart w:id="46" w:name="_Toc416278205"/>
      <w:bookmarkStart w:id="47" w:name="_Toc416346568"/>
      <w:bookmarkStart w:id="48" w:name="_Toc416278208"/>
      <w:bookmarkStart w:id="49" w:name="_Toc416346571"/>
      <w:bookmarkStart w:id="50" w:name="_Toc416278211"/>
      <w:bookmarkStart w:id="51" w:name="_Toc416346574"/>
      <w:bookmarkStart w:id="52" w:name="_Toc416278214"/>
      <w:bookmarkStart w:id="53" w:name="_Toc416346577"/>
      <w:bookmarkStart w:id="54" w:name="_Toc416278217"/>
      <w:bookmarkStart w:id="55" w:name="_Toc416346580"/>
      <w:bookmarkStart w:id="56" w:name="_Toc416278220"/>
      <w:bookmarkStart w:id="57" w:name="_Toc416346583"/>
      <w:bookmarkStart w:id="58" w:name="_Toc416278223"/>
      <w:bookmarkStart w:id="59" w:name="_Toc416346586"/>
      <w:bookmarkStart w:id="60" w:name="_Toc416278226"/>
      <w:bookmarkStart w:id="61" w:name="_Toc416346589"/>
      <w:bookmarkStart w:id="62" w:name="_Toc416278229"/>
      <w:bookmarkStart w:id="63" w:name="_Toc416346592"/>
      <w:bookmarkStart w:id="64" w:name="_Toc416278232"/>
      <w:bookmarkStart w:id="65" w:name="_Toc416346595"/>
      <w:bookmarkStart w:id="66" w:name="_Toc416278235"/>
      <w:bookmarkStart w:id="67" w:name="_Toc416346598"/>
      <w:bookmarkStart w:id="68" w:name="_Toc416278238"/>
      <w:bookmarkStart w:id="69" w:name="_Toc416346601"/>
      <w:bookmarkEnd w:id="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DE563D" w:rsidRDefault="00B35352" w:rsidP="00770064">
      <w:pPr>
        <w:pStyle w:val="Heading1"/>
      </w:pPr>
      <w:bookmarkStart w:id="70" w:name="_Toc481051861"/>
      <w:r>
        <w:lastRenderedPageBreak/>
        <w:t>Introduction</w:t>
      </w:r>
      <w:bookmarkEnd w:id="70"/>
    </w:p>
    <w:p w:rsidR="00D43975" w:rsidRDefault="008C5A21" w:rsidP="00D43975">
      <w:r w:rsidRPr="008C5A21">
        <w:t>We, the Australian Energy Regulator (AER), are responsible for the economic regulation of electricity transmission and distribution systems in all Australian states and territories, with the exception of Western Australia. TasNetworks owns and operates Tasmania's electricity distribution network. We regulate the revenues that TasNetworks can recover from its customers.</w:t>
      </w:r>
    </w:p>
    <w:p w:rsidR="001C34E9" w:rsidRDefault="001C34E9" w:rsidP="001C34E9">
      <w:r>
        <w:t>TasNetworks submitted a revised regulatory proposal for its electricity distribution network on 2 December 2016. TasNetworks' revised proposal sets out the revenue that TasNetworks proposes to recover from electricity consumers through distribution charges for the period 2017–19. The revised proposal was in response to our draft decision which was published on 29 September 2016. This overview, together with its attachments, constitutes our final decision on TasNetworks' regulatory proposal.</w:t>
      </w:r>
    </w:p>
    <w:p w:rsidR="008C5A21" w:rsidRDefault="008C5A21" w:rsidP="008C5A21">
      <w:r>
        <w:t>TasNetworks'</w:t>
      </w:r>
      <w:r w:rsidRPr="008D21C0">
        <w:t xml:space="preserve"> </w:t>
      </w:r>
      <w:r>
        <w:t>2017–19</w:t>
      </w:r>
      <w:r w:rsidRPr="008D21C0">
        <w:t xml:space="preserve"> regulatory control period </w:t>
      </w:r>
      <w:r>
        <w:t xml:space="preserve">is shorter than the </w:t>
      </w:r>
      <w:r w:rsidRPr="008D21C0">
        <w:t xml:space="preserve">usual </w:t>
      </w:r>
      <w:r>
        <w:t>five</w:t>
      </w:r>
      <w:r w:rsidRPr="008D21C0">
        <w:t xml:space="preserve"> year</w:t>
      </w:r>
      <w:r>
        <w:t xml:space="preserve"> period</w:t>
      </w:r>
      <w:r w:rsidRPr="008D21C0">
        <w:t xml:space="preserve">. The two year regulatory control period will allow TasNetworks to align the regulatory control periods of its distribution and transmission businesses. The AEMC approved TasNetworks' proposed change </w:t>
      </w:r>
      <w:r>
        <w:t>in</w:t>
      </w:r>
      <w:r w:rsidRPr="008D21C0">
        <w:t xml:space="preserve"> the length of the regulatory control period in its final rule determination issued on 9</w:t>
      </w:r>
      <w:r>
        <w:t> </w:t>
      </w:r>
      <w:r w:rsidRPr="008D21C0">
        <w:t>April 2015.</w:t>
      </w:r>
      <w:r>
        <w:rPr>
          <w:rStyle w:val="FootnoteReference"/>
        </w:rPr>
        <w:footnoteReference w:id="1"/>
      </w:r>
    </w:p>
    <w:p w:rsidR="008C5A21" w:rsidRDefault="008C5A21" w:rsidP="008C5A21">
      <w:r>
        <w:t>The National Electricity Law (NEL) and National Electricity Rules (NER) provide the regulatory framework governing electricity networks. In regulating TasNetworks, we are guided by the National Electricity Objective (NEO), as set out in the NEL. The NEO is:</w:t>
      </w:r>
      <w:r>
        <w:rPr>
          <w:rStyle w:val="FootnoteReference"/>
        </w:rPr>
        <w:footnoteReference w:id="2"/>
      </w:r>
    </w:p>
    <w:p w:rsidR="008C5A21" w:rsidRDefault="008C5A21" w:rsidP="008C5A21">
      <w:pPr>
        <w:pStyle w:val="AERquote"/>
      </w:pPr>
      <w:r>
        <w:t>to promote efficient investment in, and efficient operation and use of, electricity services for the long term interests of consumers of electricity with respect to</w:t>
      </w:r>
      <w:r w:rsidRPr="00F87780">
        <w:t>—</w:t>
      </w:r>
    </w:p>
    <w:p w:rsidR="008C5A21" w:rsidRDefault="008C5A21" w:rsidP="008C5A21">
      <w:pPr>
        <w:pStyle w:val="AERquote"/>
      </w:pPr>
      <w:r>
        <w:t xml:space="preserve">(a) </w:t>
      </w:r>
      <w:r>
        <w:tab/>
      </w:r>
      <w:r>
        <w:tab/>
        <w:t>p</w:t>
      </w:r>
      <w:r w:rsidRPr="009B0726">
        <w:t xml:space="preserve">rice, quality, safety, reliability and security of supply of electricity; and </w:t>
      </w:r>
    </w:p>
    <w:p w:rsidR="008C5A21" w:rsidRDefault="008C5A21" w:rsidP="008C5A21">
      <w:pPr>
        <w:pStyle w:val="AERquote"/>
      </w:pPr>
      <w:r>
        <w:t xml:space="preserve">(b) </w:t>
      </w:r>
      <w:r>
        <w:tab/>
      </w:r>
      <w:r>
        <w:tab/>
      </w:r>
      <w:r w:rsidRPr="009B0726">
        <w:t>the reliability, safety and security of the national electricity system.</w:t>
      </w:r>
    </w:p>
    <w:p w:rsidR="008C5A21" w:rsidRDefault="00D8209E" w:rsidP="00D8209E">
      <w:pPr>
        <w:pStyle w:val="Heading2"/>
      </w:pPr>
      <w:bookmarkStart w:id="71" w:name="_Toc481051862"/>
      <w:r>
        <w:t>Structure of the Overview</w:t>
      </w:r>
      <w:bookmarkEnd w:id="71"/>
    </w:p>
    <w:p w:rsidR="00D8209E" w:rsidRDefault="00D8209E" w:rsidP="00D8209E">
      <w:bookmarkStart w:id="72" w:name="_Toc403144137"/>
      <w:r w:rsidRPr="00186391">
        <w:t>This over</w:t>
      </w:r>
      <w:r>
        <w:t xml:space="preserve">view provides a summary of our </w:t>
      </w:r>
      <w:r w:rsidR="00555C5C">
        <w:t>final</w:t>
      </w:r>
      <w:r>
        <w:t xml:space="preserve"> decision and its individual components. The remainder is structured as follows: </w:t>
      </w:r>
    </w:p>
    <w:p w:rsidR="00D8209E" w:rsidRDefault="00D8209E" w:rsidP="00D8209E">
      <w:pPr>
        <w:pStyle w:val="AERbulletlistfirststyle"/>
      </w:pPr>
      <w:r>
        <w:t xml:space="preserve">Section </w:t>
      </w:r>
      <w:r w:rsidR="00583169">
        <w:fldChar w:fldCharType="begin"/>
      </w:r>
      <w:r w:rsidR="00583169">
        <w:instrText xml:space="preserve"> REF _Ref478472356 \r \h </w:instrText>
      </w:r>
      <w:r w:rsidR="00583169">
        <w:fldChar w:fldCharType="separate"/>
      </w:r>
      <w:r w:rsidR="008B40D8">
        <w:t>2</w:t>
      </w:r>
      <w:r w:rsidR="00583169">
        <w:fldChar w:fldCharType="end"/>
      </w:r>
      <w:r w:rsidR="00583169">
        <w:t xml:space="preserve"> </w:t>
      </w:r>
      <w:r>
        <w:t xml:space="preserve">provides a high level summary of our </w:t>
      </w:r>
      <w:r w:rsidR="00555C5C">
        <w:t>final</w:t>
      </w:r>
      <w:r>
        <w:t xml:space="preserve"> decision</w:t>
      </w:r>
      <w:r w:rsidR="009F188C">
        <w:t>.</w:t>
      </w:r>
    </w:p>
    <w:p w:rsidR="00D8209E" w:rsidRDefault="00D8209E" w:rsidP="00D8209E">
      <w:pPr>
        <w:pStyle w:val="AERbulletlistfirststyle"/>
      </w:pPr>
      <w:r>
        <w:t xml:space="preserve">Section </w:t>
      </w:r>
      <w:r w:rsidR="00583169">
        <w:fldChar w:fldCharType="begin"/>
      </w:r>
      <w:r w:rsidR="00583169">
        <w:instrText xml:space="preserve"> REF _Ref478472365 \r \h </w:instrText>
      </w:r>
      <w:r w:rsidR="00583169">
        <w:fldChar w:fldCharType="separate"/>
      </w:r>
      <w:r w:rsidR="008B40D8">
        <w:t>3</w:t>
      </w:r>
      <w:r w:rsidR="00583169">
        <w:fldChar w:fldCharType="end"/>
      </w:r>
      <w:r w:rsidR="00583169">
        <w:t xml:space="preserve"> </w:t>
      </w:r>
      <w:r>
        <w:t xml:space="preserve">provides a breakdown of our </w:t>
      </w:r>
      <w:r w:rsidR="00555C5C">
        <w:t>final</w:t>
      </w:r>
      <w:r>
        <w:t xml:space="preserve"> decision into its key components</w:t>
      </w:r>
      <w:r w:rsidR="009F188C">
        <w:t>.</w:t>
      </w:r>
    </w:p>
    <w:p w:rsidR="00D8209E" w:rsidRDefault="00D8209E" w:rsidP="00D8209E">
      <w:pPr>
        <w:pStyle w:val="AERbulletlistfirststyle"/>
      </w:pPr>
      <w:r>
        <w:t xml:space="preserve">Section </w:t>
      </w:r>
      <w:r w:rsidR="00583169">
        <w:fldChar w:fldCharType="begin"/>
      </w:r>
      <w:r w:rsidR="00583169">
        <w:instrText xml:space="preserve"> REF _Ref478472377 \r \h </w:instrText>
      </w:r>
      <w:r w:rsidR="00583169">
        <w:fldChar w:fldCharType="separate"/>
      </w:r>
      <w:r w:rsidR="008B40D8">
        <w:t>4</w:t>
      </w:r>
      <w:r w:rsidR="00583169">
        <w:fldChar w:fldCharType="end"/>
      </w:r>
      <w:r w:rsidR="00583169">
        <w:t xml:space="preserve"> </w:t>
      </w:r>
      <w:r>
        <w:t xml:space="preserve">sets out our </w:t>
      </w:r>
      <w:r w:rsidR="00555C5C">
        <w:t>final</w:t>
      </w:r>
      <w:r>
        <w:t xml:space="preserve"> decision on the classification of services, control mechanisms and incentive schemes that will apply to TasNetworks for the 2017–19 </w:t>
      </w:r>
      <w:r>
        <w:lastRenderedPageBreak/>
        <w:t xml:space="preserve">regulatory control </w:t>
      </w:r>
      <w:proofErr w:type="gramStart"/>
      <w:r>
        <w:t>period</w:t>
      </w:r>
      <w:proofErr w:type="gramEnd"/>
      <w:r>
        <w:t xml:space="preserve">. These are decisions that we make in addition to the building block revenue determination. </w:t>
      </w:r>
    </w:p>
    <w:p w:rsidR="00D8209E" w:rsidRDefault="00D8209E" w:rsidP="00D8209E">
      <w:pPr>
        <w:pStyle w:val="AERbulletlistfirststyle"/>
      </w:pPr>
      <w:r>
        <w:t xml:space="preserve">Section </w:t>
      </w:r>
      <w:r w:rsidR="00583169">
        <w:fldChar w:fldCharType="begin"/>
      </w:r>
      <w:r w:rsidR="00583169">
        <w:instrText xml:space="preserve"> REF _Ref478472390 \r \h </w:instrText>
      </w:r>
      <w:r w:rsidR="00583169">
        <w:fldChar w:fldCharType="separate"/>
      </w:r>
      <w:r w:rsidR="008B40D8">
        <w:t>5</w:t>
      </w:r>
      <w:r w:rsidR="00583169">
        <w:fldChar w:fldCharType="end"/>
      </w:r>
      <w:r w:rsidR="00583169">
        <w:t xml:space="preserve"> </w:t>
      </w:r>
      <w:r>
        <w:t>sets out our decision on TasNetworks' tariff structure statement</w:t>
      </w:r>
      <w:r w:rsidR="009F188C">
        <w:t>.</w:t>
      </w:r>
    </w:p>
    <w:p w:rsidR="00D8209E" w:rsidRDefault="00D8209E" w:rsidP="00D8209E">
      <w:pPr>
        <w:pStyle w:val="AERbulletlistfirststyle"/>
      </w:pPr>
      <w:r>
        <w:t xml:space="preserve">Section </w:t>
      </w:r>
      <w:r w:rsidR="00583169">
        <w:fldChar w:fldCharType="begin"/>
      </w:r>
      <w:r w:rsidR="00583169">
        <w:instrText xml:space="preserve"> REF _Ref478472401 \r \h </w:instrText>
      </w:r>
      <w:r w:rsidR="00583169">
        <w:fldChar w:fldCharType="separate"/>
      </w:r>
      <w:r w:rsidR="008B40D8">
        <w:t>6</w:t>
      </w:r>
      <w:r w:rsidR="00583169">
        <w:fldChar w:fldCharType="end"/>
      </w:r>
      <w:r w:rsidR="00583169">
        <w:t xml:space="preserve"> </w:t>
      </w:r>
      <w:r>
        <w:t>explains how we apply the regulatory framework, in particular the NEO, the RPPs and the interrelationships between the constituent components</w:t>
      </w:r>
      <w:r w:rsidR="009F188C">
        <w:t>.</w:t>
      </w:r>
    </w:p>
    <w:p w:rsidR="00D8209E" w:rsidRDefault="00D8209E" w:rsidP="00D8209E">
      <w:pPr>
        <w:pStyle w:val="AERbulletlistfirststyle"/>
      </w:pPr>
      <w:r>
        <w:t xml:space="preserve">Section </w:t>
      </w:r>
      <w:r w:rsidR="00583169">
        <w:fldChar w:fldCharType="begin"/>
      </w:r>
      <w:r w:rsidR="00583169">
        <w:instrText xml:space="preserve"> REF _Ref478472414 \r \h </w:instrText>
      </w:r>
      <w:r w:rsidR="00583169">
        <w:fldChar w:fldCharType="separate"/>
      </w:r>
      <w:r w:rsidR="008B40D8">
        <w:t>7</w:t>
      </w:r>
      <w:r w:rsidR="00583169">
        <w:fldChar w:fldCharType="end"/>
      </w:r>
      <w:r w:rsidR="00583169">
        <w:t xml:space="preserve"> </w:t>
      </w:r>
      <w:r>
        <w:t xml:space="preserve">outlines our consultation process in reaching this </w:t>
      </w:r>
      <w:r w:rsidR="00555C5C">
        <w:t>final</w:t>
      </w:r>
      <w:r>
        <w:t xml:space="preserve"> decision and our view of TasNetworks' consumer engagement undertaken in developing its regulatory proposal</w:t>
      </w:r>
      <w:r w:rsidR="009F188C">
        <w:t>.</w:t>
      </w:r>
    </w:p>
    <w:p w:rsidR="00D8209E" w:rsidRDefault="00D8209E" w:rsidP="00D8209E">
      <w:pPr>
        <w:pStyle w:val="AERbulletlistfirststyle"/>
      </w:pPr>
      <w:r>
        <w:t xml:space="preserve">Appendix </w:t>
      </w:r>
      <w:r w:rsidR="00583169">
        <w:fldChar w:fldCharType="begin"/>
      </w:r>
      <w:r w:rsidR="00583169">
        <w:instrText xml:space="preserve"> REF _Ref478472425 \r \h </w:instrText>
      </w:r>
      <w:r w:rsidR="00583169">
        <w:fldChar w:fldCharType="separate"/>
      </w:r>
      <w:r w:rsidR="008B40D8">
        <w:t>A</w:t>
      </w:r>
      <w:r w:rsidR="00583169">
        <w:fldChar w:fldCharType="end"/>
      </w:r>
      <w:r w:rsidR="00583169">
        <w:t xml:space="preserve"> </w:t>
      </w:r>
      <w:r>
        <w:t xml:space="preserve">contains the full list of constituent components that make up TasNetworks' proposal and our </w:t>
      </w:r>
      <w:r w:rsidR="00555C5C">
        <w:t>final</w:t>
      </w:r>
      <w:r>
        <w:t xml:space="preserve"> decision on each of them (constituent decisions)</w:t>
      </w:r>
      <w:r w:rsidR="009F188C">
        <w:t>.</w:t>
      </w:r>
    </w:p>
    <w:p w:rsidR="00D8209E" w:rsidRDefault="00D8209E" w:rsidP="00D8209E">
      <w:pPr>
        <w:pStyle w:val="AERbulletlistfirststyle"/>
      </w:pPr>
      <w:r>
        <w:t xml:space="preserve">Appendix </w:t>
      </w:r>
      <w:r w:rsidR="00583169">
        <w:fldChar w:fldCharType="begin"/>
      </w:r>
      <w:r w:rsidR="00583169">
        <w:instrText xml:space="preserve"> REF _Ref478472434 \r \h </w:instrText>
      </w:r>
      <w:r w:rsidR="00583169">
        <w:fldChar w:fldCharType="separate"/>
      </w:r>
      <w:r w:rsidR="008B40D8">
        <w:t>B</w:t>
      </w:r>
      <w:r w:rsidR="00583169">
        <w:fldChar w:fldCharType="end"/>
      </w:r>
      <w:r w:rsidR="00583169">
        <w:t xml:space="preserve"> </w:t>
      </w:r>
      <w:r>
        <w:t xml:space="preserve">lists the stakeholder submissions received on </w:t>
      </w:r>
      <w:r w:rsidR="009F188C">
        <w:t xml:space="preserve">our draft decision and </w:t>
      </w:r>
      <w:r>
        <w:t xml:space="preserve">TasNetworks' </w:t>
      </w:r>
      <w:r w:rsidR="009F188C">
        <w:t xml:space="preserve">revised </w:t>
      </w:r>
      <w:r>
        <w:t xml:space="preserve">regulatory proposal. </w:t>
      </w:r>
    </w:p>
    <w:p w:rsidR="00D8209E" w:rsidRPr="00186391" w:rsidRDefault="00D8209E" w:rsidP="00D8209E"/>
    <w:p w:rsidR="00555C5C" w:rsidRDefault="00CF7D3D" w:rsidP="00CF7D3D">
      <w:pPr>
        <w:pStyle w:val="Heading1"/>
      </w:pPr>
      <w:bookmarkStart w:id="73" w:name="_Ref478472356"/>
      <w:bookmarkStart w:id="74" w:name="_Toc481051863"/>
      <w:bookmarkEnd w:id="72"/>
      <w:r>
        <w:lastRenderedPageBreak/>
        <w:t>Final decision</w:t>
      </w:r>
      <w:bookmarkEnd w:id="73"/>
      <w:bookmarkEnd w:id="74"/>
    </w:p>
    <w:p w:rsidR="00383056" w:rsidRPr="001D1371" w:rsidRDefault="00CF7D3D" w:rsidP="00CF7D3D">
      <w:pPr>
        <w:rPr>
          <w:rStyle w:val="AERbody"/>
        </w:rPr>
      </w:pPr>
      <w:r w:rsidRPr="001D1371">
        <w:rPr>
          <w:rStyle w:val="AERbody"/>
        </w:rPr>
        <w:t>Our final decision is that TasNetworks can recover $</w:t>
      </w:r>
      <w:r w:rsidR="00967C7F" w:rsidRPr="001D1371">
        <w:rPr>
          <w:rStyle w:val="AERbody"/>
        </w:rPr>
        <w:t>47</w:t>
      </w:r>
      <w:r w:rsidR="00F03B48" w:rsidRPr="001D1371">
        <w:rPr>
          <w:rStyle w:val="AERbody"/>
        </w:rPr>
        <w:t>7</w:t>
      </w:r>
      <w:r w:rsidR="00967C7F" w:rsidRPr="001D1371">
        <w:rPr>
          <w:rStyle w:val="AERbody"/>
        </w:rPr>
        <w:t>.</w:t>
      </w:r>
      <w:r w:rsidR="00F03B48" w:rsidRPr="001D1371">
        <w:rPr>
          <w:rStyle w:val="AERbody"/>
        </w:rPr>
        <w:t>3</w:t>
      </w:r>
      <w:r w:rsidRPr="001D1371">
        <w:rPr>
          <w:rStyle w:val="AERbody"/>
        </w:rPr>
        <w:t xml:space="preserve"> million ($ nominal, smoothed) from consumers over the 2017–19 regulatory control period. This is a </w:t>
      </w:r>
      <w:r w:rsidR="005D3B1E" w:rsidRPr="001D1371">
        <w:rPr>
          <w:rStyle w:val="AERbody"/>
        </w:rPr>
        <w:t>4.</w:t>
      </w:r>
      <w:r w:rsidR="00F03B48" w:rsidRPr="001D1371">
        <w:rPr>
          <w:rStyle w:val="AERbody"/>
        </w:rPr>
        <w:t>2</w:t>
      </w:r>
      <w:r w:rsidR="00216315" w:rsidRPr="001D1371">
        <w:rPr>
          <w:rStyle w:val="AERbody"/>
        </w:rPr>
        <w:t xml:space="preserve"> </w:t>
      </w:r>
      <w:r w:rsidRPr="001D1371">
        <w:rPr>
          <w:rStyle w:val="AERbody"/>
        </w:rPr>
        <w:t xml:space="preserve">per cent </w:t>
      </w:r>
      <w:r w:rsidR="00B2123A" w:rsidRPr="001D1371">
        <w:rPr>
          <w:rStyle w:val="AERbody"/>
        </w:rPr>
        <w:t>increase</w:t>
      </w:r>
      <w:r w:rsidRPr="001D1371">
        <w:rPr>
          <w:rStyle w:val="AERbody"/>
        </w:rPr>
        <w:t xml:space="preserve"> from TasNetworks' </w:t>
      </w:r>
      <w:r w:rsidR="00216315" w:rsidRPr="001D1371">
        <w:rPr>
          <w:rStyle w:val="AERbody"/>
        </w:rPr>
        <w:t xml:space="preserve">revised </w:t>
      </w:r>
      <w:r w:rsidRPr="001D1371">
        <w:rPr>
          <w:rStyle w:val="AERbody"/>
        </w:rPr>
        <w:t>proposed revenue allowance of $</w:t>
      </w:r>
      <w:r w:rsidR="00967C7F" w:rsidRPr="001D1371">
        <w:rPr>
          <w:rStyle w:val="AERbody"/>
        </w:rPr>
        <w:t>458.2</w:t>
      </w:r>
      <w:r w:rsidRPr="001D1371">
        <w:rPr>
          <w:rStyle w:val="AERbody"/>
        </w:rPr>
        <w:t xml:space="preserve"> million ($ nominal). </w:t>
      </w:r>
      <w:r w:rsidR="00216315" w:rsidRPr="001D1371">
        <w:rPr>
          <w:rStyle w:val="AERbody"/>
        </w:rPr>
        <w:t xml:space="preserve">Our final decision allows TasNetworks to recover </w:t>
      </w:r>
      <w:r w:rsidR="00F03B48" w:rsidRPr="001D1371">
        <w:rPr>
          <w:rStyle w:val="AERbody"/>
        </w:rPr>
        <w:t>6.9</w:t>
      </w:r>
      <w:r w:rsidR="00216315" w:rsidRPr="001D1371">
        <w:rPr>
          <w:rStyle w:val="AERbody"/>
        </w:rPr>
        <w:t xml:space="preserve"> per cent more from its customers than our September 2016 draft decision of $446.6 million ($nominal). </w:t>
      </w:r>
    </w:p>
    <w:p w:rsidR="00383056" w:rsidRDefault="00383056" w:rsidP="00CF7D3D">
      <w:pPr>
        <w:rPr>
          <w:rStyle w:val="AERbody"/>
        </w:rPr>
      </w:pPr>
      <w:r w:rsidRPr="00383056">
        <w:rPr>
          <w:rStyle w:val="AERbody"/>
        </w:rPr>
        <w:t xml:space="preserve">Our draft and final decisions accepted large parts of TasNetworks' regulatory proposal, including its opex and capex forecasts. The key item of difference between TasNetworks' revised proposal and our final decision is </w:t>
      </w:r>
      <w:r>
        <w:rPr>
          <w:rStyle w:val="AERbody"/>
        </w:rPr>
        <w:t xml:space="preserve">an increase in </w:t>
      </w:r>
      <w:r w:rsidRPr="00383056">
        <w:rPr>
          <w:rStyle w:val="AERbody"/>
        </w:rPr>
        <w:t>the allowed rate of</w:t>
      </w:r>
      <w:r>
        <w:rPr>
          <w:rStyle w:val="AERbody"/>
        </w:rPr>
        <w:t xml:space="preserve"> return. This increase is reflective of a rise in government bond rates since TasNetworks' submitted its revised proposal</w:t>
      </w:r>
      <w:r w:rsidR="00AD2A77">
        <w:rPr>
          <w:rStyle w:val="AERbody"/>
        </w:rPr>
        <w:t xml:space="preserve"> to ensure the rate of return reflects prevailing market conditions</w:t>
      </w:r>
      <w:r>
        <w:rPr>
          <w:rStyle w:val="AERbody"/>
        </w:rPr>
        <w:t>.</w:t>
      </w:r>
    </w:p>
    <w:p w:rsidR="00CF7D3D" w:rsidRDefault="00CF7D3D" w:rsidP="00CF7D3D">
      <w:pPr>
        <w:rPr>
          <w:rStyle w:val="AERbody"/>
        </w:rPr>
      </w:pPr>
      <w:r w:rsidRPr="00B25C32">
        <w:rPr>
          <w:rStyle w:val="AERbody"/>
        </w:rPr>
        <w:fldChar w:fldCharType="begin"/>
      </w:r>
      <w:r w:rsidRPr="00B25C32">
        <w:rPr>
          <w:rStyle w:val="AERbody"/>
        </w:rPr>
        <w:instrText xml:space="preserve"> REF _Ref453146830 \h </w:instrText>
      </w:r>
      <w:r>
        <w:rPr>
          <w:rStyle w:val="AERbody"/>
        </w:rPr>
        <w:instrText xml:space="preserve"> \* MERGEFORMAT </w:instrText>
      </w:r>
      <w:r w:rsidRPr="00B25C32">
        <w:rPr>
          <w:rStyle w:val="AERbody"/>
        </w:rPr>
      </w:r>
      <w:r w:rsidRPr="00B25C32">
        <w:rPr>
          <w:rStyle w:val="AERbody"/>
        </w:rPr>
        <w:fldChar w:fldCharType="separate"/>
      </w:r>
      <w:r w:rsidR="008B40D8" w:rsidRPr="008B40D8">
        <w:rPr>
          <w:rStyle w:val="AERbody"/>
        </w:rPr>
        <w:t>Figure 2.1</w:t>
      </w:r>
      <w:r w:rsidRPr="00B25C32">
        <w:rPr>
          <w:rStyle w:val="AERbody"/>
        </w:rPr>
        <w:fldChar w:fldCharType="end"/>
      </w:r>
      <w:r w:rsidRPr="00B25C32">
        <w:rPr>
          <w:rStyle w:val="AERbody"/>
        </w:rPr>
        <w:t xml:space="preserve"> compares our </w:t>
      </w:r>
      <w:r w:rsidR="00216315">
        <w:rPr>
          <w:rStyle w:val="AERbody"/>
        </w:rPr>
        <w:t>final</w:t>
      </w:r>
      <w:r w:rsidRPr="00B25C32">
        <w:rPr>
          <w:rStyle w:val="AERbody"/>
        </w:rPr>
        <w:t xml:space="preserve"> decision on </w:t>
      </w:r>
      <w:r>
        <w:rPr>
          <w:rStyle w:val="AERbody"/>
        </w:rPr>
        <w:t>TasNetworks'</w:t>
      </w:r>
      <w:r w:rsidRPr="00B25C32">
        <w:rPr>
          <w:rStyle w:val="AERbody"/>
        </w:rPr>
        <w:t xml:space="preserve"> revenue for 2017–</w:t>
      </w:r>
      <w:r>
        <w:rPr>
          <w:rStyle w:val="AERbody"/>
        </w:rPr>
        <w:t>19</w:t>
      </w:r>
      <w:r w:rsidRPr="00B25C32">
        <w:rPr>
          <w:rStyle w:val="AERbody"/>
        </w:rPr>
        <w:t xml:space="preserve"> to its proposed revenue and to the revenue allowed and recovered during the </w:t>
      </w:r>
      <w:r w:rsidR="001D4284">
        <w:rPr>
          <w:rStyle w:val="AERbody"/>
        </w:rPr>
        <w:t xml:space="preserve">2012–17 </w:t>
      </w:r>
      <w:r w:rsidRPr="00B25C32">
        <w:rPr>
          <w:rStyle w:val="AERbody"/>
        </w:rPr>
        <w:t xml:space="preserve">regulatory control period. </w:t>
      </w:r>
    </w:p>
    <w:p w:rsidR="00CF7D3D" w:rsidRDefault="00CF7D3D" w:rsidP="00CF7D3D">
      <w:pPr>
        <w:pStyle w:val="Caption"/>
      </w:pPr>
      <w:bookmarkStart w:id="75" w:name="_Ref453146830"/>
      <w:r w:rsidRPr="00462117">
        <w:t xml:space="preserve">Figure </w:t>
      </w:r>
      <w:r w:rsidR="00D96B78">
        <w:fldChar w:fldCharType="begin"/>
      </w:r>
      <w:r w:rsidR="00D96B78">
        <w:instrText xml:space="preserve"> STYLEREF 1 \s </w:instrText>
      </w:r>
      <w:r w:rsidR="00D96B78">
        <w:fldChar w:fldCharType="separate"/>
      </w:r>
      <w:r w:rsidR="008B40D8">
        <w:rPr>
          <w:noProof/>
        </w:rPr>
        <w:t>2</w:t>
      </w:r>
      <w:r w:rsidR="00D96B78">
        <w:rPr>
          <w:noProof/>
        </w:rPr>
        <w:fldChar w:fldCharType="end"/>
      </w:r>
      <w:r w:rsidR="00DA4620">
        <w:t>.</w:t>
      </w:r>
      <w:r w:rsidR="00D96B78">
        <w:fldChar w:fldCharType="begin"/>
      </w:r>
      <w:r w:rsidR="00D96B78">
        <w:instrText xml:space="preserve"> SEQ Figure \* ARABIC \s 1 </w:instrText>
      </w:r>
      <w:r w:rsidR="00D96B78">
        <w:fldChar w:fldCharType="separate"/>
      </w:r>
      <w:r w:rsidR="008B40D8">
        <w:rPr>
          <w:noProof/>
        </w:rPr>
        <w:t>1</w:t>
      </w:r>
      <w:r w:rsidR="00D96B78">
        <w:rPr>
          <w:noProof/>
        </w:rPr>
        <w:fldChar w:fldCharType="end"/>
      </w:r>
      <w:bookmarkEnd w:id="75"/>
      <w:r>
        <w:tab/>
        <w:t xml:space="preserve">TasNetworks' past total revenue, proposed total revenue and AER </w:t>
      </w:r>
      <w:r w:rsidR="00B847F4">
        <w:t>final</w:t>
      </w:r>
      <w:r>
        <w:t xml:space="preserve"> decision total revenue allowance ($million, 2016–17)</w:t>
      </w:r>
      <w:r>
        <w:tab/>
      </w:r>
    </w:p>
    <w:p w:rsidR="00CF7D3D" w:rsidRPr="000B510D" w:rsidRDefault="00F03B48" w:rsidP="00CF7D3D">
      <w:r>
        <w:rPr>
          <w:noProof/>
          <w:lang w:eastAsia="en-AU"/>
        </w:rPr>
        <w:drawing>
          <wp:inline distT="0" distB="0" distL="0" distR="0" wp14:anchorId="0CA99B9D" wp14:editId="61C38D8E">
            <wp:extent cx="5442509" cy="337297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1921" cy="3378810"/>
                    </a:xfrm>
                    <a:prstGeom prst="rect">
                      <a:avLst/>
                    </a:prstGeom>
                    <a:noFill/>
                  </pic:spPr>
                </pic:pic>
              </a:graphicData>
            </a:graphic>
          </wp:inline>
        </w:drawing>
      </w:r>
    </w:p>
    <w:p w:rsidR="00CF7D3D" w:rsidRDefault="00CF7D3D" w:rsidP="00CF7D3D">
      <w:pPr>
        <w:pStyle w:val="AERtablesource"/>
      </w:pPr>
      <w:r>
        <w:t>Source:</w:t>
      </w:r>
      <w:r>
        <w:tab/>
        <w:t>AER analysis.</w:t>
      </w:r>
    </w:p>
    <w:p w:rsidR="00CF7D3D" w:rsidRPr="00923E34" w:rsidRDefault="00CF7D3D" w:rsidP="009F188C">
      <w:pPr>
        <w:pStyle w:val="Heading2"/>
        <w:keepNext/>
      </w:pPr>
      <w:bookmarkStart w:id="76" w:name="_Toc456687641"/>
      <w:bookmarkStart w:id="77" w:name="_Toc462823948"/>
      <w:bookmarkStart w:id="78" w:name="_Toc481051864"/>
      <w:r>
        <w:lastRenderedPageBreak/>
        <w:t>What is driving allowed revenue?</w:t>
      </w:r>
      <w:bookmarkEnd w:id="76"/>
      <w:bookmarkEnd w:id="77"/>
      <w:bookmarkEnd w:id="78"/>
    </w:p>
    <w:p w:rsidR="00CF7D3D" w:rsidRPr="00F87780" w:rsidRDefault="00CF7D3D" w:rsidP="009F188C">
      <w:pPr>
        <w:keepNext/>
      </w:pPr>
      <w:r>
        <w:t>O</w:t>
      </w:r>
      <w:r w:rsidRPr="00F87780">
        <w:t xml:space="preserve">ur </w:t>
      </w:r>
      <w:r w:rsidR="00216315">
        <w:t>final</w:t>
      </w:r>
      <w:r w:rsidRPr="00F87780">
        <w:t xml:space="preserve"> decision</w:t>
      </w:r>
      <w:r>
        <w:t xml:space="preserve"> </w:t>
      </w:r>
      <w:r w:rsidRPr="00F87780">
        <w:t>approve</w:t>
      </w:r>
      <w:r>
        <w:t>s</w:t>
      </w:r>
      <w:r w:rsidRPr="00F87780">
        <w:t xml:space="preserve"> </w:t>
      </w:r>
      <w:r>
        <w:rPr>
          <w:rStyle w:val="AERbody"/>
        </w:rPr>
        <w:t>average annual revenues</w:t>
      </w:r>
      <w:r w:rsidRPr="00DD61AB">
        <w:t xml:space="preserve"> </w:t>
      </w:r>
      <w:r w:rsidRPr="00DD61AB">
        <w:rPr>
          <w:rStyle w:val="AERbody"/>
        </w:rPr>
        <w:t>for the 2017–19 regulatory control period</w:t>
      </w:r>
      <w:r>
        <w:rPr>
          <w:rStyle w:val="AERbody"/>
        </w:rPr>
        <w:t xml:space="preserve"> that are </w:t>
      </w:r>
      <w:r w:rsidRPr="001D1371">
        <w:rPr>
          <w:rStyle w:val="AERbody"/>
        </w:rPr>
        <w:t>$</w:t>
      </w:r>
      <w:r w:rsidR="000A1641" w:rsidRPr="001D1371">
        <w:rPr>
          <w:rStyle w:val="AERbody"/>
        </w:rPr>
        <w:t>63</w:t>
      </w:r>
      <w:r w:rsidR="0024314F" w:rsidRPr="001D1371">
        <w:rPr>
          <w:rStyle w:val="AERbody"/>
        </w:rPr>
        <w:t>.</w:t>
      </w:r>
      <w:r w:rsidR="00354F7C" w:rsidRPr="001D1371">
        <w:rPr>
          <w:rStyle w:val="AERbody"/>
        </w:rPr>
        <w:t xml:space="preserve">0 </w:t>
      </w:r>
      <w:r w:rsidRPr="001D1371">
        <w:rPr>
          <w:rStyle w:val="AERbody"/>
        </w:rPr>
        <w:t xml:space="preserve">million ($2016–17)—or </w:t>
      </w:r>
      <w:r w:rsidR="004E3DEC" w:rsidRPr="001D1371">
        <w:rPr>
          <w:rStyle w:val="AERbody"/>
        </w:rPr>
        <w:t>21.</w:t>
      </w:r>
      <w:r w:rsidR="000A1641" w:rsidRPr="001D1371">
        <w:rPr>
          <w:rStyle w:val="AERbody"/>
        </w:rPr>
        <w:t>5</w:t>
      </w:r>
      <w:r w:rsidRPr="001D1371">
        <w:rPr>
          <w:rStyle w:val="AERbody"/>
        </w:rPr>
        <w:t xml:space="preserve"> per</w:t>
      </w:r>
      <w:r w:rsidRPr="00F87780">
        <w:t xml:space="preserve"> cent—</w:t>
      </w:r>
      <w:r>
        <w:t>lower</w:t>
      </w:r>
      <w:r w:rsidRPr="00F87780">
        <w:t xml:space="preserve"> tha</w:t>
      </w:r>
      <w:r>
        <w:t xml:space="preserve">n </w:t>
      </w:r>
      <w:r w:rsidRPr="00F87780">
        <w:t xml:space="preserve">our </w:t>
      </w:r>
      <w:r w:rsidR="00B242D0">
        <w:t xml:space="preserve">previous regulatory </w:t>
      </w:r>
      <w:r w:rsidRPr="00F87780">
        <w:t xml:space="preserve">decision for </w:t>
      </w:r>
      <w:r w:rsidR="00B242D0">
        <w:t xml:space="preserve">Aurora Energy (as the distribution business was then called) for the </w:t>
      </w:r>
      <w:r w:rsidRPr="00F87780">
        <w:t>201</w:t>
      </w:r>
      <w:r>
        <w:t>2</w:t>
      </w:r>
      <w:r w:rsidRPr="00F87780">
        <w:t>–1</w:t>
      </w:r>
      <w:r>
        <w:t>7</w:t>
      </w:r>
      <w:r w:rsidR="00B242D0">
        <w:t xml:space="preserve"> period</w:t>
      </w:r>
      <w:r w:rsidR="009F188C">
        <w:t>,</w:t>
      </w:r>
      <w:r>
        <w:t xml:space="preserve"> in real dollar terms</w:t>
      </w:r>
      <w:r w:rsidRPr="00F87780">
        <w:t>.</w:t>
      </w:r>
      <w:r>
        <w:rPr>
          <w:rStyle w:val="FootnoteReference"/>
        </w:rPr>
        <w:footnoteReference w:id="3"/>
      </w:r>
      <w:r>
        <w:t xml:space="preserve"> Our </w:t>
      </w:r>
      <w:r w:rsidR="00216315">
        <w:t>final</w:t>
      </w:r>
      <w:r>
        <w:t xml:space="preserve"> decision </w:t>
      </w:r>
      <w:r w:rsidRPr="001D1371">
        <w:rPr>
          <w:rStyle w:val="AERbody"/>
        </w:rPr>
        <w:t xml:space="preserve">provides </w:t>
      </w:r>
      <w:r w:rsidR="0024314F" w:rsidRPr="001D1371">
        <w:rPr>
          <w:rStyle w:val="AERbody"/>
        </w:rPr>
        <w:t>4.</w:t>
      </w:r>
      <w:r w:rsidR="000A1641" w:rsidRPr="001D1371">
        <w:rPr>
          <w:rStyle w:val="AERbody"/>
        </w:rPr>
        <w:t>2</w:t>
      </w:r>
      <w:r w:rsidRPr="00B25C32">
        <w:rPr>
          <w:rStyle w:val="AERbody"/>
        </w:rPr>
        <w:t xml:space="preserve"> per</w:t>
      </w:r>
      <w:r w:rsidRPr="00F87780">
        <w:t xml:space="preserve"> cent</w:t>
      </w:r>
      <w:r>
        <w:t xml:space="preserve"> ($2016–17) </w:t>
      </w:r>
      <w:r w:rsidR="0024314F">
        <w:t>more</w:t>
      </w:r>
      <w:r w:rsidRPr="00F87780">
        <w:t xml:space="preserve"> </w:t>
      </w:r>
      <w:r>
        <w:t xml:space="preserve">revenue </w:t>
      </w:r>
      <w:r w:rsidRPr="00F87780">
        <w:t xml:space="preserve">than </w:t>
      </w:r>
      <w:r>
        <w:t xml:space="preserve">TasNetworks </w:t>
      </w:r>
      <w:r w:rsidR="0028222B">
        <w:t>set out in</w:t>
      </w:r>
      <w:r w:rsidRPr="00F87780">
        <w:t xml:space="preserve"> its </w:t>
      </w:r>
      <w:r w:rsidR="00216315">
        <w:t xml:space="preserve">revised </w:t>
      </w:r>
      <w:r>
        <w:t>regulatory proposal</w:t>
      </w:r>
      <w:r w:rsidR="00AD2A77">
        <w:t>, given some recent modest increases in financing costs</w:t>
      </w:r>
      <w:r>
        <w:t>.</w:t>
      </w:r>
    </w:p>
    <w:p w:rsidR="00CF7D3D" w:rsidRPr="00E527BE" w:rsidRDefault="00CF7D3D" w:rsidP="00CF7D3D">
      <w:r w:rsidRPr="001D1371">
        <w:rPr>
          <w:rStyle w:val="AERbody"/>
        </w:rPr>
        <w:fldChar w:fldCharType="begin"/>
      </w:r>
      <w:r w:rsidRPr="001D1371">
        <w:rPr>
          <w:rStyle w:val="AERbody"/>
        </w:rPr>
        <w:instrText xml:space="preserve"> REF _Ref453232390 \h </w:instrText>
      </w:r>
      <w:r w:rsidR="001D1371">
        <w:rPr>
          <w:rStyle w:val="AERbody"/>
        </w:rPr>
        <w:instrText xml:space="preserve"> \* MERGEFORMAT </w:instrText>
      </w:r>
      <w:r w:rsidRPr="001D1371">
        <w:rPr>
          <w:rStyle w:val="AERbody"/>
        </w:rPr>
      </w:r>
      <w:r w:rsidRPr="001D1371">
        <w:rPr>
          <w:rStyle w:val="AERbody"/>
        </w:rPr>
        <w:fldChar w:fldCharType="separate"/>
      </w:r>
      <w:r w:rsidR="008B40D8" w:rsidRPr="008B40D8">
        <w:rPr>
          <w:rStyle w:val="AERbody"/>
        </w:rPr>
        <w:t>Figure 2.2</w:t>
      </w:r>
      <w:r w:rsidRPr="001D1371">
        <w:rPr>
          <w:rStyle w:val="AERbody"/>
        </w:rPr>
        <w:fldChar w:fldCharType="end"/>
      </w:r>
      <w:r w:rsidRPr="001D1371">
        <w:rPr>
          <w:rStyle w:val="AERbody"/>
        </w:rPr>
        <w:t xml:space="preserve"> compa</w:t>
      </w:r>
      <w:r>
        <w:t xml:space="preserve">res the average annual building block revenue from our </w:t>
      </w:r>
      <w:r w:rsidR="00216315">
        <w:t>final</w:t>
      </w:r>
      <w:r>
        <w:t xml:space="preserve"> decision to that proposed by TasNetworks for the 2017–19 regulatory control </w:t>
      </w:r>
      <w:proofErr w:type="gramStart"/>
      <w:r>
        <w:t>period</w:t>
      </w:r>
      <w:proofErr w:type="gramEnd"/>
      <w:r>
        <w:t xml:space="preserve">, and to the allowed average amount for the 2012–17 regulatory control period. </w:t>
      </w:r>
    </w:p>
    <w:p w:rsidR="00CF7D3D" w:rsidRDefault="00CF7D3D" w:rsidP="001D1371">
      <w:pPr>
        <w:pStyle w:val="Caption"/>
      </w:pPr>
      <w:bookmarkStart w:id="79" w:name="_Ref453232390"/>
      <w:r w:rsidRPr="001D1371">
        <w:rPr>
          <w:rStyle w:val="AERtexthighlight"/>
          <w:shd w:val="clear" w:color="auto" w:fill="auto"/>
        </w:rPr>
        <w:t xml:space="preserve">Figure </w:t>
      </w:r>
      <w:r w:rsidR="00DA4620" w:rsidRPr="001D1371">
        <w:rPr>
          <w:rStyle w:val="AERtexthighlight"/>
          <w:shd w:val="clear" w:color="auto" w:fill="auto"/>
        </w:rPr>
        <w:fldChar w:fldCharType="begin"/>
      </w:r>
      <w:r w:rsidR="00DA4620" w:rsidRPr="001D1371">
        <w:rPr>
          <w:rStyle w:val="AERtexthighlight"/>
          <w:shd w:val="clear" w:color="auto" w:fill="auto"/>
        </w:rPr>
        <w:instrText xml:space="preserve"> STYLEREF 1 \s </w:instrText>
      </w:r>
      <w:r w:rsidR="00DA4620" w:rsidRPr="001D1371">
        <w:rPr>
          <w:rStyle w:val="AERtexthighlight"/>
          <w:shd w:val="clear" w:color="auto" w:fill="auto"/>
        </w:rPr>
        <w:fldChar w:fldCharType="separate"/>
      </w:r>
      <w:r w:rsidR="008B40D8">
        <w:rPr>
          <w:rStyle w:val="AERtexthighlight"/>
          <w:noProof/>
          <w:shd w:val="clear" w:color="auto" w:fill="auto"/>
        </w:rPr>
        <w:t>2</w:t>
      </w:r>
      <w:r w:rsidR="00DA4620" w:rsidRPr="001D1371">
        <w:rPr>
          <w:rStyle w:val="AERtexthighlight"/>
          <w:shd w:val="clear" w:color="auto" w:fill="auto"/>
        </w:rPr>
        <w:fldChar w:fldCharType="end"/>
      </w:r>
      <w:r w:rsidR="00DA4620" w:rsidRPr="001D1371">
        <w:rPr>
          <w:rStyle w:val="AERtexthighlight"/>
          <w:shd w:val="clear" w:color="auto" w:fill="auto"/>
        </w:rPr>
        <w:t>.</w:t>
      </w:r>
      <w:r w:rsidR="00DA4620" w:rsidRPr="001D1371">
        <w:rPr>
          <w:rStyle w:val="AERtexthighlight"/>
          <w:shd w:val="clear" w:color="auto" w:fill="auto"/>
        </w:rPr>
        <w:fldChar w:fldCharType="begin"/>
      </w:r>
      <w:r w:rsidR="00DA4620" w:rsidRPr="001D1371">
        <w:rPr>
          <w:rStyle w:val="AERtexthighlight"/>
          <w:shd w:val="clear" w:color="auto" w:fill="auto"/>
        </w:rPr>
        <w:instrText xml:space="preserve"> SEQ Figure \* ARABIC \s 1 </w:instrText>
      </w:r>
      <w:r w:rsidR="00DA4620" w:rsidRPr="001D1371">
        <w:rPr>
          <w:rStyle w:val="AERtexthighlight"/>
          <w:shd w:val="clear" w:color="auto" w:fill="auto"/>
        </w:rPr>
        <w:fldChar w:fldCharType="separate"/>
      </w:r>
      <w:r w:rsidR="008B40D8">
        <w:rPr>
          <w:rStyle w:val="AERtexthighlight"/>
          <w:noProof/>
          <w:shd w:val="clear" w:color="auto" w:fill="auto"/>
        </w:rPr>
        <w:t>2</w:t>
      </w:r>
      <w:r w:rsidR="00DA4620" w:rsidRPr="001D1371">
        <w:rPr>
          <w:rStyle w:val="AERtexthighlight"/>
          <w:shd w:val="clear" w:color="auto" w:fill="auto"/>
        </w:rPr>
        <w:fldChar w:fldCharType="end"/>
      </w:r>
      <w:bookmarkEnd w:id="79"/>
      <w:r w:rsidRPr="00A94085">
        <w:tab/>
        <w:t xml:space="preserve">AER's </w:t>
      </w:r>
      <w:r w:rsidR="00756C70">
        <w:t>final</w:t>
      </w:r>
      <w:r w:rsidR="00756C70" w:rsidRPr="00A94085">
        <w:t xml:space="preserve"> </w:t>
      </w:r>
      <w:r w:rsidRPr="00A94085">
        <w:t>decision on constituent components of total</w:t>
      </w:r>
      <w:r>
        <w:t xml:space="preserve"> revenue ($million, 2016–17)</w:t>
      </w:r>
    </w:p>
    <w:p w:rsidR="00CF7D3D" w:rsidRDefault="000A1641" w:rsidP="00CF7D3D">
      <w:pPr>
        <w:pStyle w:val="AERtablesource"/>
      </w:pPr>
      <w:r>
        <w:rPr>
          <w:noProof/>
          <w:lang w:eastAsia="en-AU"/>
        </w:rPr>
        <w:drawing>
          <wp:inline distT="0" distB="0" distL="0" distR="0" wp14:anchorId="261A7148" wp14:editId="5F7891D3">
            <wp:extent cx="5471770" cy="33001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6573" cy="3303023"/>
                    </a:xfrm>
                    <a:prstGeom prst="rect">
                      <a:avLst/>
                    </a:prstGeom>
                    <a:noFill/>
                  </pic:spPr>
                </pic:pic>
              </a:graphicData>
            </a:graphic>
          </wp:inline>
        </w:drawing>
      </w:r>
    </w:p>
    <w:p w:rsidR="00CF7D3D" w:rsidRPr="001B4D9B" w:rsidRDefault="00CF7D3D" w:rsidP="00CF7D3D">
      <w:pPr>
        <w:pStyle w:val="AERtablesource"/>
      </w:pPr>
      <w:r>
        <w:t>Source:</w:t>
      </w:r>
      <w:r>
        <w:tab/>
        <w:t>AER analysis.</w:t>
      </w:r>
    </w:p>
    <w:p w:rsidR="00CF7D3D" w:rsidRDefault="00CF7D3D" w:rsidP="00CF7D3D">
      <w:r w:rsidRPr="001D1371">
        <w:rPr>
          <w:rStyle w:val="AERbody"/>
        </w:rPr>
        <w:fldChar w:fldCharType="begin"/>
      </w:r>
      <w:r w:rsidRPr="001D1371">
        <w:rPr>
          <w:rStyle w:val="AERbody"/>
        </w:rPr>
        <w:instrText xml:space="preserve"> REF _Ref453232866 \h </w:instrText>
      </w:r>
      <w:r w:rsidR="001D1371">
        <w:rPr>
          <w:rStyle w:val="AERbody"/>
        </w:rPr>
        <w:instrText xml:space="preserve"> \* MERGEFORMAT </w:instrText>
      </w:r>
      <w:r w:rsidRPr="001D1371">
        <w:rPr>
          <w:rStyle w:val="AERbody"/>
        </w:rPr>
      </w:r>
      <w:r w:rsidRPr="001D1371">
        <w:rPr>
          <w:rStyle w:val="AERbody"/>
        </w:rPr>
        <w:fldChar w:fldCharType="separate"/>
      </w:r>
      <w:r w:rsidR="008B40D8" w:rsidRPr="008B40D8">
        <w:rPr>
          <w:rStyle w:val="AERbody"/>
        </w:rPr>
        <w:t>Figure 2.3</w:t>
      </w:r>
      <w:r w:rsidRPr="001D1371">
        <w:rPr>
          <w:rStyle w:val="AERbody"/>
        </w:rPr>
        <w:fldChar w:fldCharType="end"/>
      </w:r>
      <w:r w:rsidRPr="001D1371">
        <w:rPr>
          <w:rStyle w:val="AERbody"/>
        </w:rPr>
        <w:t xml:space="preserve"> compares</w:t>
      </w:r>
      <w:r>
        <w:t xml:space="preserve"> our </w:t>
      </w:r>
      <w:r w:rsidR="00216315">
        <w:t>final</w:t>
      </w:r>
      <w:r>
        <w:t xml:space="preserve"> decision </w:t>
      </w:r>
      <w:r w:rsidR="00E6218F">
        <w:t>for the 201</w:t>
      </w:r>
      <w:r w:rsidR="00132466">
        <w:t>7</w:t>
      </w:r>
      <w:r w:rsidR="00E6218F">
        <w:t>–</w:t>
      </w:r>
      <w:r w:rsidR="00132466">
        <w:t>19</w:t>
      </w:r>
      <w:r w:rsidR="00E6218F">
        <w:t xml:space="preserve"> regulatory control </w:t>
      </w:r>
      <w:proofErr w:type="gramStart"/>
      <w:r w:rsidR="00E6218F">
        <w:t>period</w:t>
      </w:r>
      <w:proofErr w:type="gramEnd"/>
      <w:r w:rsidR="00E6218F">
        <w:t xml:space="preserve"> </w:t>
      </w:r>
      <w:r>
        <w:t>with TasNetworks'</w:t>
      </w:r>
      <w:r w:rsidR="00E6218F">
        <w:t xml:space="preserve"> allowed revenue for the 2012–17 regulatory control period</w:t>
      </w:r>
      <w:r>
        <w:t xml:space="preserve">, broken down by the various building block components that make up the forecast revenue allowance. </w:t>
      </w:r>
      <w:r w:rsidRPr="00DD61AB">
        <w:t xml:space="preserve">These are annual amounts based on average </w:t>
      </w:r>
      <w:r w:rsidR="000D51AC">
        <w:t xml:space="preserve">unsmoothed building block costs </w:t>
      </w:r>
      <w:r w:rsidRPr="00DD61AB">
        <w:t xml:space="preserve">over the </w:t>
      </w:r>
      <w:r>
        <w:t>two</w:t>
      </w:r>
      <w:r w:rsidR="00ED1152">
        <w:t xml:space="preserve"> </w:t>
      </w:r>
      <w:r w:rsidR="00E6218F">
        <w:t>relevant</w:t>
      </w:r>
      <w:r w:rsidRPr="00DD61AB">
        <w:t xml:space="preserve"> regulatory control period</w:t>
      </w:r>
      <w:r w:rsidR="00E128EA">
        <w:t>s</w:t>
      </w:r>
      <w:r w:rsidRPr="00DD61AB">
        <w:t>.</w:t>
      </w:r>
    </w:p>
    <w:p w:rsidR="00CF7D3D" w:rsidRDefault="00CF7D3D" w:rsidP="0022005C">
      <w:pPr>
        <w:pStyle w:val="Caption"/>
      </w:pPr>
      <w:bookmarkStart w:id="80" w:name="_Ref453232866"/>
      <w:r w:rsidRPr="0022005C">
        <w:rPr>
          <w:rStyle w:val="AERtexthighlight"/>
          <w:shd w:val="clear" w:color="auto" w:fill="auto"/>
        </w:rPr>
        <w:lastRenderedPageBreak/>
        <w:t xml:space="preserve">Figure </w:t>
      </w:r>
      <w:r w:rsidR="00DA4620" w:rsidRPr="0022005C">
        <w:rPr>
          <w:rStyle w:val="AERtexthighlight"/>
          <w:shd w:val="clear" w:color="auto" w:fill="auto"/>
        </w:rPr>
        <w:fldChar w:fldCharType="begin"/>
      </w:r>
      <w:r w:rsidR="00DA4620" w:rsidRPr="0022005C">
        <w:rPr>
          <w:rStyle w:val="AERtexthighlight"/>
          <w:shd w:val="clear" w:color="auto" w:fill="auto"/>
        </w:rPr>
        <w:instrText xml:space="preserve"> STYLEREF 1 \s </w:instrText>
      </w:r>
      <w:r w:rsidR="00DA4620" w:rsidRPr="0022005C">
        <w:rPr>
          <w:rStyle w:val="AERtexthighlight"/>
          <w:shd w:val="clear" w:color="auto" w:fill="auto"/>
        </w:rPr>
        <w:fldChar w:fldCharType="separate"/>
      </w:r>
      <w:r w:rsidR="008B40D8">
        <w:rPr>
          <w:rStyle w:val="AERtexthighlight"/>
          <w:noProof/>
          <w:shd w:val="clear" w:color="auto" w:fill="auto"/>
        </w:rPr>
        <w:t>2</w:t>
      </w:r>
      <w:r w:rsidR="00DA4620" w:rsidRPr="0022005C">
        <w:rPr>
          <w:rStyle w:val="AERtexthighlight"/>
          <w:shd w:val="clear" w:color="auto" w:fill="auto"/>
        </w:rPr>
        <w:fldChar w:fldCharType="end"/>
      </w:r>
      <w:r w:rsidR="00DA4620" w:rsidRPr="0022005C">
        <w:rPr>
          <w:rStyle w:val="AERtexthighlight"/>
          <w:shd w:val="clear" w:color="auto" w:fill="auto"/>
        </w:rPr>
        <w:t>.</w:t>
      </w:r>
      <w:r w:rsidR="00DA4620" w:rsidRPr="0022005C">
        <w:rPr>
          <w:rStyle w:val="AERtexthighlight"/>
          <w:shd w:val="clear" w:color="auto" w:fill="auto"/>
        </w:rPr>
        <w:fldChar w:fldCharType="begin"/>
      </w:r>
      <w:r w:rsidR="00DA4620" w:rsidRPr="0022005C">
        <w:rPr>
          <w:rStyle w:val="AERtexthighlight"/>
          <w:shd w:val="clear" w:color="auto" w:fill="auto"/>
        </w:rPr>
        <w:instrText xml:space="preserve"> SEQ Figure \* ARABIC \s 1 </w:instrText>
      </w:r>
      <w:r w:rsidR="00DA4620" w:rsidRPr="0022005C">
        <w:rPr>
          <w:rStyle w:val="AERtexthighlight"/>
          <w:shd w:val="clear" w:color="auto" w:fill="auto"/>
        </w:rPr>
        <w:fldChar w:fldCharType="separate"/>
      </w:r>
      <w:r w:rsidR="008B40D8">
        <w:rPr>
          <w:rStyle w:val="AERtexthighlight"/>
          <w:noProof/>
          <w:shd w:val="clear" w:color="auto" w:fill="auto"/>
        </w:rPr>
        <w:t>3</w:t>
      </w:r>
      <w:r w:rsidR="00DA4620" w:rsidRPr="0022005C">
        <w:rPr>
          <w:rStyle w:val="AERtexthighlight"/>
          <w:shd w:val="clear" w:color="auto" w:fill="auto"/>
        </w:rPr>
        <w:fldChar w:fldCharType="end"/>
      </w:r>
      <w:bookmarkEnd w:id="80"/>
      <w:r w:rsidRPr="0022005C">
        <w:tab/>
        <w:t xml:space="preserve">AER's </w:t>
      </w:r>
      <w:r w:rsidR="00C13FD2" w:rsidRPr="0022005C">
        <w:t>final</w:t>
      </w:r>
      <w:r w:rsidRPr="0022005C">
        <w:t xml:space="preserve"> decision </w:t>
      </w:r>
      <w:r w:rsidR="00ED1152" w:rsidRPr="0022005C">
        <w:t>for</w:t>
      </w:r>
      <w:r w:rsidR="00ED1152">
        <w:t xml:space="preserve"> 2017–19 </w:t>
      </w:r>
      <w:r w:rsidRPr="006F5C59">
        <w:t>and TasNetworks'</w:t>
      </w:r>
      <w:r w:rsidR="00ED1152">
        <w:t xml:space="preserve"> 2012–17 </w:t>
      </w:r>
      <w:r w:rsidR="00E6218F">
        <w:t xml:space="preserve">allowed </w:t>
      </w:r>
      <w:r w:rsidRPr="006F5C59">
        <w:t>average</w:t>
      </w:r>
      <w:r>
        <w:t xml:space="preserve"> annual building block costs ($million, 2016–17)</w:t>
      </w:r>
    </w:p>
    <w:p w:rsidR="00CF7D3D" w:rsidRPr="00FA28B2" w:rsidRDefault="00271DF2" w:rsidP="00CF7D3D">
      <w:pPr>
        <w:pStyle w:val="AERtablesource"/>
      </w:pPr>
      <w:r>
        <w:rPr>
          <w:noProof/>
          <w:lang w:eastAsia="en-AU"/>
        </w:rPr>
        <w:drawing>
          <wp:inline distT="0" distB="0" distL="0" distR="0" wp14:anchorId="430FB4AA" wp14:editId="4C92C250">
            <wp:extent cx="5442336" cy="3372307"/>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47149" cy="3375289"/>
                    </a:xfrm>
                    <a:prstGeom prst="rect">
                      <a:avLst/>
                    </a:prstGeom>
                    <a:noFill/>
                  </pic:spPr>
                </pic:pic>
              </a:graphicData>
            </a:graphic>
          </wp:inline>
        </w:drawing>
      </w:r>
    </w:p>
    <w:p w:rsidR="00CF7D3D" w:rsidRPr="001B4D9B" w:rsidRDefault="00CF7D3D" w:rsidP="00CF7D3D">
      <w:pPr>
        <w:pStyle w:val="AERtablesource"/>
      </w:pPr>
      <w:r>
        <w:t>Source:</w:t>
      </w:r>
      <w:r>
        <w:tab/>
        <w:t>AER analysis.</w:t>
      </w:r>
    </w:p>
    <w:p w:rsidR="00583169" w:rsidRDefault="00CF7D3D" w:rsidP="00CF7D3D">
      <w:pPr>
        <w:rPr>
          <w:rStyle w:val="AERbody"/>
        </w:rPr>
      </w:pPr>
      <w:r w:rsidRPr="00D2459D">
        <w:t xml:space="preserve">These figures </w:t>
      </w:r>
      <w:r w:rsidRPr="00327560">
        <w:rPr>
          <w:rStyle w:val="AERbody"/>
        </w:rPr>
        <w:t xml:space="preserve">highlight that the </w:t>
      </w:r>
      <w:r>
        <w:rPr>
          <w:rStyle w:val="AERbody"/>
        </w:rPr>
        <w:t>return on capital</w:t>
      </w:r>
      <w:r w:rsidR="00E25C61">
        <w:rPr>
          <w:rStyle w:val="AERbody"/>
        </w:rPr>
        <w:t xml:space="preserve"> and </w:t>
      </w:r>
      <w:r w:rsidR="00FB4E7E">
        <w:rPr>
          <w:rStyle w:val="AERbody"/>
        </w:rPr>
        <w:t>opex</w:t>
      </w:r>
      <w:r w:rsidR="004F2D17">
        <w:rPr>
          <w:rStyle w:val="AERbody"/>
        </w:rPr>
        <w:t xml:space="preserve"> </w:t>
      </w:r>
      <w:r w:rsidR="00E128EA">
        <w:rPr>
          <w:rStyle w:val="AERbody"/>
        </w:rPr>
        <w:t>allowances are</w:t>
      </w:r>
      <w:r>
        <w:rPr>
          <w:rStyle w:val="AERbody"/>
        </w:rPr>
        <w:t xml:space="preserve"> the key difference</w:t>
      </w:r>
      <w:r w:rsidR="00B24B39">
        <w:rPr>
          <w:rStyle w:val="AERbody"/>
        </w:rPr>
        <w:t>s</w:t>
      </w:r>
      <w:r>
        <w:rPr>
          <w:rStyle w:val="AERbody"/>
        </w:rPr>
        <w:t xml:space="preserve"> between our </w:t>
      </w:r>
      <w:r w:rsidR="00C13FD2">
        <w:rPr>
          <w:rStyle w:val="AERbody"/>
        </w:rPr>
        <w:t>fi</w:t>
      </w:r>
      <w:r w:rsidR="006B3A35">
        <w:rPr>
          <w:rStyle w:val="AERbody"/>
        </w:rPr>
        <w:t>n</w:t>
      </w:r>
      <w:r w:rsidR="00C13FD2">
        <w:rPr>
          <w:rStyle w:val="AERbody"/>
        </w:rPr>
        <w:t>al</w:t>
      </w:r>
      <w:r>
        <w:rPr>
          <w:rStyle w:val="AERbody"/>
        </w:rPr>
        <w:t xml:space="preserve"> decision </w:t>
      </w:r>
      <w:r w:rsidR="00B24B39">
        <w:rPr>
          <w:rStyle w:val="AERbody"/>
        </w:rPr>
        <w:t xml:space="preserve">for the 2017–19 regulatory control period </w:t>
      </w:r>
      <w:r>
        <w:rPr>
          <w:rStyle w:val="AERbody"/>
        </w:rPr>
        <w:t xml:space="preserve">and TasNetworks' </w:t>
      </w:r>
      <w:r w:rsidR="009335B3">
        <w:rPr>
          <w:rStyle w:val="AERbody"/>
        </w:rPr>
        <w:t xml:space="preserve">allowed </w:t>
      </w:r>
      <w:r w:rsidR="00C13FD2">
        <w:rPr>
          <w:rStyle w:val="AERbody"/>
        </w:rPr>
        <w:t>rev</w:t>
      </w:r>
      <w:r w:rsidR="00B24B39">
        <w:rPr>
          <w:rStyle w:val="AERbody"/>
        </w:rPr>
        <w:t>enue for the 2012–17 regulatory control period</w:t>
      </w:r>
      <w:r>
        <w:rPr>
          <w:rStyle w:val="AERbody"/>
        </w:rPr>
        <w:t>.</w:t>
      </w:r>
    </w:p>
    <w:p w:rsidR="00EF2A82" w:rsidRDefault="00781828" w:rsidP="00CF7D3D">
      <w:r w:rsidRPr="00AD3240">
        <w:t xml:space="preserve">The reduction in the return on capital </w:t>
      </w:r>
      <w:r>
        <w:t>is driven by</w:t>
      </w:r>
      <w:r w:rsidRPr="00AD3240">
        <w:t xml:space="preserve"> change</w:t>
      </w:r>
      <w:r>
        <w:t>s in the estimated</w:t>
      </w:r>
      <w:r w:rsidRPr="00AD3240">
        <w:t xml:space="preserve"> rate</w:t>
      </w:r>
      <w:r>
        <w:t>s</w:t>
      </w:r>
      <w:r w:rsidRPr="00AD3240">
        <w:t xml:space="preserve"> of return</w:t>
      </w:r>
      <w:r>
        <w:t xml:space="preserve"> on debt and equity</w:t>
      </w:r>
      <w:r w:rsidRPr="00AD3240">
        <w:t>. The estimated return on debt and return on equity fell b</w:t>
      </w:r>
      <w:r>
        <w:t>etween regulatory periods by 2.9 and 1.3</w:t>
      </w:r>
      <w:r w:rsidRPr="00AD3240">
        <w:t xml:space="preserve"> percentage points respectively. The falls were </w:t>
      </w:r>
      <w:r>
        <w:t xml:space="preserve">largely </w:t>
      </w:r>
      <w:r w:rsidRPr="00AD3240">
        <w:t xml:space="preserve">caused by a reduction in the risk free rate and the debt risk premium. </w:t>
      </w:r>
      <w:r>
        <w:t>However, t</w:t>
      </w:r>
      <w:r w:rsidRPr="00AD3240">
        <w:t>he equity beta used also fell from 0.8 for the 2012–17 regulatory contr</w:t>
      </w:r>
      <w:r>
        <w:t>ol period to 0.7 for the 2017–19</w:t>
      </w:r>
      <w:r w:rsidRPr="00AD3240">
        <w:t xml:space="preserve"> regulatory control period</w:t>
      </w:r>
      <w:r>
        <w:t xml:space="preserve"> reducing the estimated equity risk premium. </w:t>
      </w:r>
    </w:p>
    <w:p w:rsidR="00080D06" w:rsidRDefault="00080D06" w:rsidP="00CF7D3D">
      <w:pPr>
        <w:rPr>
          <w:rStyle w:val="AERtexthighlight"/>
        </w:rPr>
      </w:pPr>
      <w:r w:rsidRPr="0053038A">
        <w:t xml:space="preserve">TasNetworks' lower opex for </w:t>
      </w:r>
      <w:r w:rsidR="009F188C">
        <w:t xml:space="preserve">the </w:t>
      </w:r>
      <w:r w:rsidRPr="0053038A">
        <w:t xml:space="preserve">2017–19 </w:t>
      </w:r>
      <w:r>
        <w:t xml:space="preserve">regulatory control period </w:t>
      </w:r>
      <w:r w:rsidRPr="0053038A">
        <w:t xml:space="preserve">reflects efficiency gains made over </w:t>
      </w:r>
      <w:r w:rsidR="007B6131">
        <w:t xml:space="preserve">the </w:t>
      </w:r>
      <w:r w:rsidRPr="0053038A">
        <w:t>2012–17</w:t>
      </w:r>
      <w:r>
        <w:t xml:space="preserve"> regulatory control period</w:t>
      </w:r>
      <w:r w:rsidRPr="0053038A">
        <w:t>.</w:t>
      </w:r>
      <w:r>
        <w:t xml:space="preserve"> </w:t>
      </w:r>
      <w:r w:rsidRPr="005B7D31">
        <w:t xml:space="preserve">TasNetworks proposed significant reductions in its opex, largely as a result of the synergies associated with the merger of its transmission and distribution </w:t>
      </w:r>
      <w:r w:rsidR="007B6131">
        <w:t>networks</w:t>
      </w:r>
      <w:r w:rsidR="00BF5F7B">
        <w:t xml:space="preserve"> in 2014</w:t>
      </w:r>
      <w:r w:rsidRPr="005B7D31">
        <w:t>.</w:t>
      </w:r>
      <w:r w:rsidR="007B6131">
        <w:t xml:space="preserve"> </w:t>
      </w:r>
    </w:p>
    <w:p w:rsidR="003A5175" w:rsidRDefault="003A5175" w:rsidP="003A5175">
      <w:pPr>
        <w:pStyle w:val="Heading2"/>
      </w:pPr>
      <w:bookmarkStart w:id="81" w:name="_Toc480989594"/>
      <w:bookmarkStart w:id="82" w:name="_Toc480989595"/>
      <w:bookmarkStart w:id="83" w:name="_Toc481051865"/>
      <w:bookmarkEnd w:id="81"/>
      <w:bookmarkEnd w:id="82"/>
      <w:r>
        <w:t>Key differences between our draft and final decisions</w:t>
      </w:r>
      <w:bookmarkEnd w:id="83"/>
    </w:p>
    <w:p w:rsidR="003A5175" w:rsidRPr="003A5175" w:rsidRDefault="001D4284" w:rsidP="00D2369C">
      <w:r>
        <w:rPr>
          <w:rStyle w:val="AERbody"/>
        </w:rPr>
        <w:t xml:space="preserve">Our final decision allows TasNetworks to </w:t>
      </w:r>
      <w:r w:rsidRPr="00F25C7F">
        <w:rPr>
          <w:rStyle w:val="AERbody"/>
        </w:rPr>
        <w:t xml:space="preserve">recover </w:t>
      </w:r>
      <w:r w:rsidR="00271DF2" w:rsidRPr="00F25C7F">
        <w:rPr>
          <w:rStyle w:val="AERbody"/>
        </w:rPr>
        <w:t>6.9</w:t>
      </w:r>
      <w:r w:rsidRPr="00F25C7F">
        <w:rPr>
          <w:rStyle w:val="AERbody"/>
        </w:rPr>
        <w:t xml:space="preserve"> per cent more from its customers than our September 2016 draft decision of $446.6</w:t>
      </w:r>
      <w:r w:rsidRPr="001D4284">
        <w:rPr>
          <w:rStyle w:val="AERbody"/>
        </w:rPr>
        <w:t xml:space="preserve"> million ($nominal).</w:t>
      </w:r>
      <w:r w:rsidR="003A5175">
        <w:t xml:space="preserve"> </w:t>
      </w:r>
      <w:r w:rsidR="00DA4620">
        <w:fldChar w:fldCharType="begin"/>
      </w:r>
      <w:r w:rsidR="00DA4620">
        <w:instrText xml:space="preserve"> REF _Ref479773742 \h </w:instrText>
      </w:r>
      <w:r w:rsidR="00DA4620">
        <w:fldChar w:fldCharType="separate"/>
      </w:r>
      <w:r w:rsidR="008B40D8">
        <w:t xml:space="preserve">Figure </w:t>
      </w:r>
      <w:r w:rsidR="008B40D8">
        <w:rPr>
          <w:noProof/>
        </w:rPr>
        <w:t>2</w:t>
      </w:r>
      <w:r w:rsidR="008B40D8">
        <w:t>.</w:t>
      </w:r>
      <w:r w:rsidR="008B40D8">
        <w:rPr>
          <w:noProof/>
        </w:rPr>
        <w:t>4</w:t>
      </w:r>
      <w:r w:rsidR="00DA4620">
        <w:fldChar w:fldCharType="end"/>
      </w:r>
      <w:r w:rsidR="003A5175">
        <w:t xml:space="preserve"> s</w:t>
      </w:r>
      <w:r w:rsidR="003A5175">
        <w:rPr>
          <w:rStyle w:val="AERbody"/>
        </w:rPr>
        <w:t>ho</w:t>
      </w:r>
      <w:r w:rsidR="003A5175" w:rsidRPr="003A5175">
        <w:rPr>
          <w:rStyle w:val="AERbody"/>
        </w:rPr>
        <w:t xml:space="preserve">ws the building block components from our final determination that make up the annual </w:t>
      </w:r>
      <w:r w:rsidR="003A5175" w:rsidRPr="003A5175">
        <w:rPr>
          <w:rStyle w:val="AERbody"/>
        </w:rPr>
        <w:lastRenderedPageBreak/>
        <w:t xml:space="preserve">building block revenue requirement for </w:t>
      </w:r>
      <w:r w:rsidR="003A5175">
        <w:rPr>
          <w:rStyle w:val="AERbody"/>
        </w:rPr>
        <w:t>TasNetworks</w:t>
      </w:r>
      <w:r w:rsidR="003A5175" w:rsidRPr="003A5175">
        <w:rPr>
          <w:rStyle w:val="AERbody"/>
        </w:rPr>
        <w:t>, and the corresponding components from its revised proposal and our draft decision.</w:t>
      </w:r>
    </w:p>
    <w:p w:rsidR="00E25C61" w:rsidRPr="00FF51FD" w:rsidRDefault="00DA4620" w:rsidP="00DA4620">
      <w:pPr>
        <w:pStyle w:val="Caption"/>
        <w:rPr>
          <w:rStyle w:val="AERbody"/>
          <w:color w:val="076A92" w:themeColor="text1"/>
          <w:sz w:val="24"/>
        </w:rPr>
      </w:pPr>
      <w:bookmarkStart w:id="84" w:name="_Ref479773742"/>
      <w:r>
        <w:t xml:space="preserve">Figure </w:t>
      </w:r>
      <w:r w:rsidR="00D96B78">
        <w:fldChar w:fldCharType="begin"/>
      </w:r>
      <w:r w:rsidR="00D96B78">
        <w:instrText xml:space="preserve"> STYLEREF 1 \s </w:instrText>
      </w:r>
      <w:r w:rsidR="00D96B78">
        <w:fldChar w:fldCharType="separate"/>
      </w:r>
      <w:r w:rsidR="008B40D8">
        <w:rPr>
          <w:noProof/>
        </w:rPr>
        <w:t>2</w:t>
      </w:r>
      <w:r w:rsidR="00D96B78">
        <w:rPr>
          <w:noProof/>
        </w:rPr>
        <w:fldChar w:fldCharType="end"/>
      </w:r>
      <w:r>
        <w:t>.</w:t>
      </w:r>
      <w:r w:rsidR="00D96B78">
        <w:fldChar w:fldCharType="begin"/>
      </w:r>
      <w:r w:rsidR="00D96B78">
        <w:instrText xml:space="preserve"> SEQ Figure \* ARABIC \s 1 </w:instrText>
      </w:r>
      <w:r w:rsidR="00D96B78">
        <w:fldChar w:fldCharType="separate"/>
      </w:r>
      <w:r w:rsidR="008B40D8">
        <w:rPr>
          <w:noProof/>
        </w:rPr>
        <w:t>4</w:t>
      </w:r>
      <w:r w:rsidR="00D96B78">
        <w:rPr>
          <w:noProof/>
        </w:rPr>
        <w:fldChar w:fldCharType="end"/>
      </w:r>
      <w:bookmarkEnd w:id="84"/>
      <w:r w:rsidR="00FF51FD">
        <w:t xml:space="preserve"> </w:t>
      </w:r>
      <w:r w:rsidR="00FF51FD" w:rsidRPr="00FC471A">
        <w:t xml:space="preserve">AER's </w:t>
      </w:r>
      <w:r w:rsidR="00FF51FD">
        <w:t>draft</w:t>
      </w:r>
      <w:r w:rsidR="00FF51FD" w:rsidRPr="00FC471A">
        <w:t xml:space="preserve"> </w:t>
      </w:r>
      <w:r w:rsidR="00FF51FD">
        <w:t>and final decisions, and</w:t>
      </w:r>
      <w:r w:rsidR="00FF51FD" w:rsidRPr="00FC471A">
        <w:t xml:space="preserve"> </w:t>
      </w:r>
      <w:r w:rsidR="00FF51FD">
        <w:t xml:space="preserve">TasNetworks' initial and revised </w:t>
      </w:r>
      <w:r w:rsidR="00FF51FD" w:rsidRPr="00FC471A">
        <w:t xml:space="preserve">proposed </w:t>
      </w:r>
      <w:r w:rsidR="00FF51FD">
        <w:t>annual revenue requirement</w:t>
      </w:r>
      <w:r w:rsidR="00FF51FD" w:rsidRPr="00FC471A">
        <w:t xml:space="preserve"> ($million, nominal)</w:t>
      </w:r>
    </w:p>
    <w:p w:rsidR="00DA4620" w:rsidRDefault="00271DF2" w:rsidP="00CF7D3D">
      <w:pPr>
        <w:rPr>
          <w:rStyle w:val="AERbody"/>
        </w:rPr>
      </w:pPr>
      <w:r>
        <w:rPr>
          <w:noProof/>
          <w:lang w:eastAsia="en-AU"/>
        </w:rPr>
        <w:drawing>
          <wp:inline distT="0" distB="0" distL="0" distR="0" wp14:anchorId="353547C3" wp14:editId="580ECF5E">
            <wp:extent cx="5464454" cy="35870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1551" cy="3598313"/>
                    </a:xfrm>
                    <a:prstGeom prst="rect">
                      <a:avLst/>
                    </a:prstGeom>
                    <a:noFill/>
                  </pic:spPr>
                </pic:pic>
              </a:graphicData>
            </a:graphic>
          </wp:inline>
        </w:drawing>
      </w:r>
    </w:p>
    <w:p w:rsidR="00DA4620" w:rsidRPr="00DA4620" w:rsidRDefault="00DA4620" w:rsidP="00DA4620">
      <w:pPr>
        <w:pStyle w:val="AERtablesource"/>
        <w:rPr>
          <w:rStyle w:val="AERbody"/>
          <w:sz w:val="16"/>
        </w:rPr>
      </w:pPr>
      <w:r w:rsidRPr="00DA4620">
        <w:rPr>
          <w:rStyle w:val="AERbody"/>
          <w:sz w:val="16"/>
        </w:rPr>
        <w:t>Source: AER analysis</w:t>
      </w:r>
    </w:p>
    <w:p w:rsidR="001D4284" w:rsidRPr="00465A73" w:rsidRDefault="00DA4620" w:rsidP="00465A73">
      <w:r>
        <w:fldChar w:fldCharType="begin"/>
      </w:r>
      <w:r>
        <w:instrText xml:space="preserve"> REF _Ref479773742 \h </w:instrText>
      </w:r>
      <w:r>
        <w:fldChar w:fldCharType="separate"/>
      </w:r>
      <w:proofErr w:type="gramStart"/>
      <w:r w:rsidR="008B40D8">
        <w:t xml:space="preserve">Figure </w:t>
      </w:r>
      <w:r w:rsidR="008B40D8">
        <w:rPr>
          <w:noProof/>
        </w:rPr>
        <w:t>2</w:t>
      </w:r>
      <w:r w:rsidR="008B40D8">
        <w:t>.</w:t>
      </w:r>
      <w:r w:rsidR="008B40D8">
        <w:rPr>
          <w:noProof/>
        </w:rPr>
        <w:t>4</w:t>
      </w:r>
      <w:r>
        <w:fldChar w:fldCharType="end"/>
      </w:r>
      <w:r>
        <w:t xml:space="preserve"> shows that the main factor driving the increase in revenue between our draft and final decisions is the return on capital.</w:t>
      </w:r>
      <w:proofErr w:type="gramEnd"/>
      <w:r w:rsidR="001D4284">
        <w:t xml:space="preserve"> Our final decision includes a return on </w:t>
      </w:r>
      <w:r w:rsidR="001D4284" w:rsidRPr="00465A73">
        <w:t>capital of $199.</w:t>
      </w:r>
      <w:r w:rsidR="00963761" w:rsidRPr="00465A73">
        <w:t>1</w:t>
      </w:r>
      <w:r w:rsidR="001D4284" w:rsidRPr="00465A73">
        <w:t> million ($nominal) which is $</w:t>
      </w:r>
      <w:r w:rsidR="00963761" w:rsidRPr="00465A73">
        <w:t>16.5</w:t>
      </w:r>
      <w:r w:rsidR="001D4284" w:rsidRPr="00465A73">
        <w:t> million higher than our draft decision.</w:t>
      </w:r>
      <w:r w:rsidRPr="00465A73">
        <w:t xml:space="preserve"> </w:t>
      </w:r>
    </w:p>
    <w:p w:rsidR="00CF7D3D" w:rsidRPr="00465A73" w:rsidRDefault="00DA4620" w:rsidP="00465A73">
      <w:r w:rsidRPr="00465A73">
        <w:t xml:space="preserve">In our draft decision we applied a rate of return of 5.48 per cent. While our approach to calculating the rate of return has not changed, our final decision updates the rate of return to reflect </w:t>
      </w:r>
      <w:r w:rsidR="00781828" w:rsidRPr="00465A73">
        <w:t>data from approved averaging periods for the return on equity and debt.</w:t>
      </w:r>
      <w:r w:rsidRPr="00465A73">
        <w:t xml:space="preserve"> </w:t>
      </w:r>
      <w:r w:rsidR="00781828" w:rsidRPr="00465A73">
        <w:t>T</w:t>
      </w:r>
      <w:r w:rsidRPr="00465A73">
        <w:t xml:space="preserve">he rate of return of </w:t>
      </w:r>
      <w:bookmarkStart w:id="85" w:name="_GoBack"/>
      <w:r w:rsidR="00080D06" w:rsidRPr="00465A73">
        <w:t>6.0</w:t>
      </w:r>
      <w:bookmarkEnd w:id="85"/>
      <w:r w:rsidR="00D96B78">
        <w:t>2</w:t>
      </w:r>
      <w:r w:rsidR="00080D06" w:rsidRPr="00465A73">
        <w:t> </w:t>
      </w:r>
      <w:r w:rsidRPr="00465A73">
        <w:t xml:space="preserve">per cent approved in this final decision is higher than our draft decision of 5.48 per cent. This is discussed further in section </w:t>
      </w:r>
      <w:r w:rsidRPr="00465A73">
        <w:fldChar w:fldCharType="begin"/>
      </w:r>
      <w:r w:rsidRPr="00465A73">
        <w:instrText xml:space="preserve"> REF _Ref451759101 \r \h </w:instrText>
      </w:r>
      <w:r w:rsidR="00465A73">
        <w:instrText xml:space="preserve"> \* MERGEFORMAT </w:instrText>
      </w:r>
      <w:r w:rsidRPr="00465A73">
        <w:fldChar w:fldCharType="separate"/>
      </w:r>
      <w:r w:rsidR="008B40D8">
        <w:t>3.2</w:t>
      </w:r>
      <w:r w:rsidRPr="00465A73">
        <w:fldChar w:fldCharType="end"/>
      </w:r>
      <w:r w:rsidRPr="00465A73">
        <w:t>.</w:t>
      </w:r>
    </w:p>
    <w:p w:rsidR="00E665AA" w:rsidRPr="00465A73" w:rsidRDefault="001D4284" w:rsidP="00465A73">
      <w:r w:rsidRPr="00465A73">
        <w:t xml:space="preserve">Forecast opex is also a driver of the increase in revenue between our draft and final decisions. Our final decision includes a forecast opex allowance of $136.7 million ($nominal) which is $9.1 million higher than our draft decision opex allowance of $127.6 million ($nominal). </w:t>
      </w:r>
      <w:r w:rsidR="006A759F" w:rsidRPr="00465A73">
        <w:t>We have accepted TasNetworks' revised opex forecast, which takes into account interrelationships between the EBSS and opex</w:t>
      </w:r>
      <w:r w:rsidR="00080D06" w:rsidRPr="00465A73">
        <w:t xml:space="preserve">. This is discussed further in section </w:t>
      </w:r>
      <w:r w:rsidR="00080D06" w:rsidRPr="00465A73">
        <w:fldChar w:fldCharType="begin"/>
      </w:r>
      <w:r w:rsidR="00080D06" w:rsidRPr="00465A73">
        <w:instrText xml:space="preserve"> REF _Ref451759140 \r \h </w:instrText>
      </w:r>
      <w:r w:rsidR="00465A73">
        <w:instrText xml:space="preserve"> \* MERGEFORMAT </w:instrText>
      </w:r>
      <w:r w:rsidR="00080D06" w:rsidRPr="00465A73">
        <w:fldChar w:fldCharType="separate"/>
      </w:r>
      <w:r w:rsidR="008B40D8">
        <w:t>3.6</w:t>
      </w:r>
      <w:r w:rsidR="00080D06" w:rsidRPr="00465A73">
        <w:fldChar w:fldCharType="end"/>
      </w:r>
      <w:r w:rsidR="006A759F" w:rsidRPr="00465A73">
        <w:t>.</w:t>
      </w:r>
    </w:p>
    <w:p w:rsidR="00CF7D3D" w:rsidRPr="00923E34" w:rsidRDefault="00CF7D3D" w:rsidP="00CF7D3D">
      <w:pPr>
        <w:pStyle w:val="Heading2"/>
      </w:pPr>
      <w:bookmarkStart w:id="86" w:name="_Toc456687645"/>
      <w:bookmarkStart w:id="87" w:name="_Toc462823952"/>
      <w:bookmarkStart w:id="88" w:name="_Toc481051866"/>
      <w:r>
        <w:lastRenderedPageBreak/>
        <w:t xml:space="preserve">Expected impact of decision on </w:t>
      </w:r>
      <w:r w:rsidR="00410E95">
        <w:t xml:space="preserve">residential </w:t>
      </w:r>
      <w:r>
        <w:t>electricity bills</w:t>
      </w:r>
      <w:bookmarkEnd w:id="86"/>
      <w:bookmarkEnd w:id="87"/>
      <w:bookmarkEnd w:id="88"/>
    </w:p>
    <w:p w:rsidR="00E6218F" w:rsidRDefault="00E6218F" w:rsidP="00E6218F">
      <w:pPr>
        <w:numPr>
          <w:ilvl w:val="0"/>
          <w:numId w:val="24"/>
        </w:numPr>
        <w:rPr>
          <w:rStyle w:val="AERbody"/>
        </w:rPr>
      </w:pPr>
      <w:r w:rsidRPr="00D0734D">
        <w:t xml:space="preserve">The annual electricity bill for customers in </w:t>
      </w:r>
      <w:r w:rsidR="00A336A8">
        <w:t>Tasmania</w:t>
      </w:r>
      <w:r w:rsidRPr="00D0734D">
        <w:t xml:space="preserve"> will reflect the combined cost of all </w:t>
      </w:r>
      <w:r w:rsidR="003A5175">
        <w:t xml:space="preserve">of </w:t>
      </w:r>
      <w:r w:rsidRPr="00D0734D">
        <w:t>the electricity supply chain components</w:t>
      </w:r>
      <w:r>
        <w:t xml:space="preserve">. </w:t>
      </w:r>
      <w:r w:rsidRPr="003B64AE">
        <w:rPr>
          <w:rStyle w:val="AERbody"/>
        </w:rPr>
        <w:t xml:space="preserve">These components are: </w:t>
      </w:r>
    </w:p>
    <w:p w:rsidR="00E6218F" w:rsidRPr="00E6218F" w:rsidRDefault="00E6218F" w:rsidP="00190D47">
      <w:pPr>
        <w:pStyle w:val="AERbulletlistfirststyle"/>
        <w:rPr>
          <w:rStyle w:val="AERbody"/>
        </w:rPr>
      </w:pPr>
      <w:r w:rsidRPr="003B64AE">
        <w:rPr>
          <w:rStyle w:val="AERbody"/>
        </w:rPr>
        <w:t xml:space="preserve">the cost of purchasing electricity (the wholesale </w:t>
      </w:r>
      <w:r w:rsidRPr="00E6218F">
        <w:rPr>
          <w:rStyle w:val="AERbody"/>
        </w:rPr>
        <w:t xml:space="preserve">energy generation cost); </w:t>
      </w:r>
    </w:p>
    <w:p w:rsidR="00E6218F" w:rsidRPr="00E6218F" w:rsidRDefault="00E6218F" w:rsidP="00190D47">
      <w:pPr>
        <w:pStyle w:val="AERbulletlistfirststyle"/>
        <w:rPr>
          <w:rStyle w:val="AERbody"/>
        </w:rPr>
      </w:pPr>
      <w:r w:rsidRPr="003B64AE">
        <w:rPr>
          <w:rStyle w:val="AERbody"/>
        </w:rPr>
        <w:t>the cost of the poles</w:t>
      </w:r>
      <w:r w:rsidRPr="00E6218F">
        <w:rPr>
          <w:rStyle w:val="AERbody"/>
        </w:rPr>
        <w:t xml:space="preserve">/towers and wires used to transport the electricity (the transmission and distribution networks), and other infrastructure such as metering cost; </w:t>
      </w:r>
    </w:p>
    <w:p w:rsidR="00E6218F" w:rsidRPr="00E6218F" w:rsidRDefault="00E6218F" w:rsidP="00190D47">
      <w:pPr>
        <w:pStyle w:val="AERbulletlistfirststyle"/>
        <w:rPr>
          <w:rStyle w:val="AERbody"/>
        </w:rPr>
      </w:pPr>
      <w:r w:rsidRPr="003B64AE">
        <w:rPr>
          <w:rStyle w:val="AERbody"/>
        </w:rPr>
        <w:t xml:space="preserve">the cost of environmental policies, </w:t>
      </w:r>
      <w:r w:rsidRPr="00E6218F">
        <w:rPr>
          <w:rStyle w:val="AERbody"/>
        </w:rPr>
        <w:t>including subsidies for renewable energy</w:t>
      </w:r>
      <w:r w:rsidR="00CE73C6">
        <w:rPr>
          <w:rStyle w:val="AERbody"/>
        </w:rPr>
        <w:t xml:space="preserve"> target</w:t>
      </w:r>
      <w:r w:rsidRPr="00E6218F">
        <w:rPr>
          <w:rStyle w:val="AERbody"/>
        </w:rPr>
        <w:t xml:space="preserve">; and </w:t>
      </w:r>
    </w:p>
    <w:p w:rsidR="00E6218F" w:rsidRPr="00E6218F" w:rsidRDefault="00E6218F" w:rsidP="00190D47">
      <w:pPr>
        <w:pStyle w:val="AERbulletlistfirststyle"/>
        <w:rPr>
          <w:rStyle w:val="AERbody"/>
        </w:rPr>
      </w:pPr>
      <w:r w:rsidRPr="003B64AE">
        <w:rPr>
          <w:rStyle w:val="AERbody"/>
        </w:rPr>
        <w:t xml:space="preserve">the retailer’s costs and profit margin. </w:t>
      </w:r>
    </w:p>
    <w:p w:rsidR="00E6218F" w:rsidRDefault="00E6218F" w:rsidP="00E6218F">
      <w:pPr>
        <w:numPr>
          <w:ilvl w:val="0"/>
          <w:numId w:val="24"/>
        </w:numPr>
      </w:pPr>
      <w:r>
        <w:rPr>
          <w:rStyle w:val="AERbody"/>
        </w:rPr>
        <w:t>Therefore, the e</w:t>
      </w:r>
      <w:r w:rsidRPr="00086B69">
        <w:rPr>
          <w:rStyle w:val="AERbody"/>
        </w:rPr>
        <w:t xml:space="preserve">lectricity </w:t>
      </w:r>
      <w:r>
        <w:rPr>
          <w:rStyle w:val="AERbody"/>
        </w:rPr>
        <w:t>bill</w:t>
      </w:r>
      <w:r w:rsidRPr="00086B69">
        <w:rPr>
          <w:rStyle w:val="AERbody"/>
        </w:rPr>
        <w:t xml:space="preserve"> changes </w:t>
      </w:r>
      <w:r>
        <w:rPr>
          <w:rStyle w:val="AERbody"/>
        </w:rPr>
        <w:t xml:space="preserve">to </w:t>
      </w:r>
      <w:r w:rsidRPr="00086B69">
        <w:rPr>
          <w:rStyle w:val="AERbody"/>
        </w:rPr>
        <w:t xml:space="preserve">reflect </w:t>
      </w:r>
      <w:r>
        <w:rPr>
          <w:rStyle w:val="AERbody"/>
        </w:rPr>
        <w:t>movements</w:t>
      </w:r>
      <w:r w:rsidRPr="00086B69">
        <w:rPr>
          <w:rStyle w:val="AERbody"/>
        </w:rPr>
        <w:t xml:space="preserve"> in one or more of the components in </w:t>
      </w:r>
      <w:r>
        <w:rPr>
          <w:rStyle w:val="AERbody"/>
        </w:rPr>
        <w:t>the</w:t>
      </w:r>
      <w:r w:rsidRPr="00086B69">
        <w:rPr>
          <w:rStyle w:val="AERbody"/>
        </w:rPr>
        <w:t xml:space="preserve"> bill. </w:t>
      </w:r>
      <w:r w:rsidRPr="003B64AE">
        <w:rPr>
          <w:rStyle w:val="AERbody"/>
        </w:rPr>
        <w:t xml:space="preserve">Our </w:t>
      </w:r>
      <w:r>
        <w:rPr>
          <w:rStyle w:val="AERbody"/>
        </w:rPr>
        <w:t xml:space="preserve">final </w:t>
      </w:r>
      <w:r w:rsidRPr="003B64AE">
        <w:rPr>
          <w:rStyle w:val="AERbody"/>
        </w:rPr>
        <w:t>decision</w:t>
      </w:r>
      <w:r>
        <w:rPr>
          <w:rStyle w:val="AERbody"/>
        </w:rPr>
        <w:t xml:space="preserve"> on </w:t>
      </w:r>
      <w:r w:rsidR="00A336A8">
        <w:rPr>
          <w:rStyle w:val="AERbody"/>
        </w:rPr>
        <w:t>TasNetworks</w:t>
      </w:r>
      <w:r w:rsidRPr="003B64AE">
        <w:rPr>
          <w:rStyle w:val="AERbody"/>
        </w:rPr>
        <w:t xml:space="preserve"> affects the poles and wires </w:t>
      </w:r>
      <w:r>
        <w:rPr>
          <w:rStyle w:val="AERbody"/>
        </w:rPr>
        <w:t xml:space="preserve">(distribution network charges) </w:t>
      </w:r>
      <w:r w:rsidRPr="003B64AE">
        <w:rPr>
          <w:rStyle w:val="AERbody"/>
        </w:rPr>
        <w:t xml:space="preserve">component of the </w:t>
      </w:r>
      <w:r>
        <w:rPr>
          <w:rStyle w:val="AERbody"/>
        </w:rPr>
        <w:t xml:space="preserve">electricity </w:t>
      </w:r>
      <w:r w:rsidRPr="003B64AE">
        <w:rPr>
          <w:rStyle w:val="AERbody"/>
        </w:rPr>
        <w:t>bill</w:t>
      </w:r>
      <w:r>
        <w:rPr>
          <w:rStyle w:val="AERbody"/>
        </w:rPr>
        <w:t xml:space="preserve"> for Tasmanian customers</w:t>
      </w:r>
      <w:r>
        <w:t xml:space="preserve">, </w:t>
      </w:r>
      <w:r w:rsidRPr="00D0734D">
        <w:t xml:space="preserve">which represent approximately </w:t>
      </w:r>
      <w:r>
        <w:t>41</w:t>
      </w:r>
      <w:r w:rsidRPr="00D0734D">
        <w:t xml:space="preserve"> per cent </w:t>
      </w:r>
      <w:r>
        <w:t>of</w:t>
      </w:r>
      <w:r w:rsidRPr="00D0734D">
        <w:t xml:space="preserve"> </w:t>
      </w:r>
      <w:r>
        <w:t xml:space="preserve">an </w:t>
      </w:r>
      <w:r w:rsidRPr="00D0734D">
        <w:t xml:space="preserve">average </w:t>
      </w:r>
      <w:r>
        <w:t>customer's annual electricity bill</w:t>
      </w:r>
      <w:r w:rsidRPr="00D0734D">
        <w:t>.</w:t>
      </w:r>
      <w:r w:rsidRPr="00D0734D">
        <w:rPr>
          <w:rStyle w:val="FootnoteReference"/>
        </w:rPr>
        <w:footnoteReference w:id="4"/>
      </w:r>
      <w:r w:rsidRPr="00E6218F">
        <w:t xml:space="preserve"> </w:t>
      </w:r>
      <w:r w:rsidRPr="006348B5">
        <w:t xml:space="preserve">We estimate the expected bill impact by varying the </w:t>
      </w:r>
      <w:r>
        <w:t>distribution</w:t>
      </w:r>
      <w:r w:rsidRPr="006348B5">
        <w:t xml:space="preserve"> charges in accordance with our </w:t>
      </w:r>
      <w:r>
        <w:t xml:space="preserve">final </w:t>
      </w:r>
      <w:r w:rsidRPr="006348B5">
        <w:t>decision, while holding other component</w:t>
      </w:r>
      <w:r>
        <w:t xml:space="preserve">s </w:t>
      </w:r>
      <w:r w:rsidRPr="006348B5">
        <w:t>of the bill constant.</w:t>
      </w:r>
      <w:r w:rsidRPr="00444AB3">
        <w:t xml:space="preserve"> </w:t>
      </w:r>
    </w:p>
    <w:p w:rsidR="00E6218F" w:rsidRPr="00E6218F" w:rsidRDefault="00E6218F" w:rsidP="00A336A8">
      <w:r w:rsidRPr="00D0734D">
        <w:t xml:space="preserve">Based on this approach, we expect that our </w:t>
      </w:r>
      <w:r w:rsidRPr="00E6218F">
        <w:t>final decision will result in the distribution component of the average annual electricity bills for residential customers in Tasmania decreas</w:t>
      </w:r>
      <w:r w:rsidR="0039387B">
        <w:t>ing</w:t>
      </w:r>
      <w:r w:rsidRPr="00E6218F">
        <w:t xml:space="preserve"> over the 2017–19 regulatory control period. The distribution component of </w:t>
      </w:r>
      <w:r w:rsidRPr="00AB0B78">
        <w:rPr>
          <w:rStyle w:val="AERbody"/>
        </w:rPr>
        <w:t>the average annual residential electricity bill in 2018–19 is expected to reduce by about</w:t>
      </w:r>
      <w:r w:rsidR="00AB0B78">
        <w:rPr>
          <w:rStyle w:val="AERbody"/>
        </w:rPr>
        <w:t xml:space="preserve"> $110 </w:t>
      </w:r>
      <w:r w:rsidRPr="00AB0B78">
        <w:rPr>
          <w:rStyle w:val="AERbody"/>
        </w:rPr>
        <w:t>($ nominal) below the current, 2016–17 level. We note that this bill impact estimate is indicative only, and individual customers’ actual bills will also depend on their usage patterns</w:t>
      </w:r>
      <w:r w:rsidRPr="00E6218F">
        <w:t xml:space="preserve"> and the structure of their chosen retail tariff offering. </w:t>
      </w:r>
    </w:p>
    <w:p w:rsidR="00E6218F" w:rsidRDefault="00E6218F" w:rsidP="00A336A8">
      <w:pPr>
        <w:pStyle w:val="ListParagraph"/>
        <w:numPr>
          <w:ilvl w:val="0"/>
          <w:numId w:val="24"/>
        </w:numPr>
      </w:pPr>
      <w:r>
        <w:t>While our</w:t>
      </w:r>
      <w:r w:rsidRPr="006348B5">
        <w:t xml:space="preserve"> approach isolates the effect of our decision on electricity prices, </w:t>
      </w:r>
      <w:r>
        <w:t xml:space="preserve">it </w:t>
      </w:r>
      <w:r w:rsidRPr="006348B5">
        <w:t>does not imply that other components will remain unchanged across the regulatory control period.</w:t>
      </w:r>
      <w:r>
        <w:rPr>
          <w:rStyle w:val="FootnoteReference"/>
        </w:rPr>
        <w:footnoteReference w:id="5"/>
      </w:r>
      <w:r>
        <w:t xml:space="preserve"> We note that</w:t>
      </w:r>
      <w:r w:rsidRPr="00E6218F">
        <w:t> </w:t>
      </w:r>
      <w:r w:rsidRPr="003B64AE">
        <w:t xml:space="preserve">in </w:t>
      </w:r>
      <w:r w:rsidRPr="003B64AE">
        <w:rPr>
          <w:rStyle w:val="AERbody"/>
        </w:rPr>
        <w:t xml:space="preserve">its recent </w:t>
      </w:r>
      <w:r>
        <w:rPr>
          <w:rStyle w:val="AERbody"/>
        </w:rPr>
        <w:t xml:space="preserve">electricity </w:t>
      </w:r>
      <w:r w:rsidRPr="003B64AE">
        <w:rPr>
          <w:rStyle w:val="AERbody"/>
        </w:rPr>
        <w:t xml:space="preserve">price trends report for </w:t>
      </w:r>
      <w:r w:rsidR="00A336A8">
        <w:rPr>
          <w:rStyle w:val="AERbody"/>
        </w:rPr>
        <w:t>Tasmania</w:t>
      </w:r>
      <w:r w:rsidRPr="003B64AE">
        <w:rPr>
          <w:rStyle w:val="AERbody"/>
        </w:rPr>
        <w:t xml:space="preserve">, the AEMC has indicated that wholesale costs are expected to rise, based on the </w:t>
      </w:r>
      <w:r w:rsidR="00B24B39">
        <w:rPr>
          <w:rStyle w:val="AERbody"/>
        </w:rPr>
        <w:t>expected trend</w:t>
      </w:r>
      <w:r w:rsidRPr="003B64AE">
        <w:rPr>
          <w:rStyle w:val="AERbody"/>
        </w:rPr>
        <w:t xml:space="preserve"> in Victoria following the closure of Hazelwood power station.</w:t>
      </w:r>
      <w:r>
        <w:rPr>
          <w:rStyle w:val="FootnoteReference"/>
        </w:rPr>
        <w:footnoteReference w:id="6"/>
      </w:r>
      <w:r w:rsidRPr="003B64AE">
        <w:rPr>
          <w:rStyle w:val="AERbody"/>
        </w:rPr>
        <w:t xml:space="preserve"> </w:t>
      </w:r>
      <w:r>
        <w:rPr>
          <w:rStyle w:val="AERbody"/>
        </w:rPr>
        <w:t>However, we expect</w:t>
      </w:r>
      <w:r w:rsidRPr="003B64AE">
        <w:rPr>
          <w:rStyle w:val="AERbody"/>
        </w:rPr>
        <w:t xml:space="preserve"> the decreasing </w:t>
      </w:r>
      <w:r>
        <w:rPr>
          <w:rStyle w:val="AERbody"/>
        </w:rPr>
        <w:t xml:space="preserve">distribution </w:t>
      </w:r>
      <w:r w:rsidRPr="003B64AE">
        <w:rPr>
          <w:rStyle w:val="AERbody"/>
        </w:rPr>
        <w:t>network c</w:t>
      </w:r>
      <w:r>
        <w:rPr>
          <w:rStyle w:val="AERbody"/>
        </w:rPr>
        <w:t>harges</w:t>
      </w:r>
      <w:r w:rsidRPr="003B64AE">
        <w:rPr>
          <w:rStyle w:val="AERbody"/>
        </w:rPr>
        <w:t xml:space="preserve"> flow</w:t>
      </w:r>
      <w:r>
        <w:rPr>
          <w:rStyle w:val="AERbody"/>
        </w:rPr>
        <w:t>ing</w:t>
      </w:r>
      <w:r w:rsidRPr="003B64AE">
        <w:rPr>
          <w:rStyle w:val="AERbody"/>
        </w:rPr>
        <w:t xml:space="preserve"> from this </w:t>
      </w:r>
      <w:r>
        <w:rPr>
          <w:rStyle w:val="AERbody"/>
        </w:rPr>
        <w:t xml:space="preserve">final </w:t>
      </w:r>
      <w:r w:rsidRPr="003B64AE">
        <w:rPr>
          <w:rStyle w:val="AERbody"/>
        </w:rPr>
        <w:t>decision</w:t>
      </w:r>
      <w:r>
        <w:rPr>
          <w:rStyle w:val="AERbody"/>
        </w:rPr>
        <w:t xml:space="preserve"> will offset some of the increases from other components of the overall bill</w:t>
      </w:r>
      <w:r w:rsidRPr="003B64AE">
        <w:rPr>
          <w:rStyle w:val="AERbody"/>
        </w:rPr>
        <w:t xml:space="preserve">. </w:t>
      </w:r>
      <w:r w:rsidRPr="002F4F3D">
        <w:rPr>
          <w:rStyle w:val="AERbody"/>
        </w:rPr>
        <w:t>Further</w:t>
      </w:r>
      <w:r>
        <w:rPr>
          <w:rStyle w:val="AERbody"/>
        </w:rPr>
        <w:t xml:space="preserve"> detail on our final decision impact on overall bills </w:t>
      </w:r>
      <w:r w:rsidRPr="002F4F3D">
        <w:rPr>
          <w:rStyle w:val="AERbody"/>
        </w:rPr>
        <w:t xml:space="preserve">is set out in attachment </w:t>
      </w:r>
      <w:r>
        <w:rPr>
          <w:rStyle w:val="AERbody"/>
        </w:rPr>
        <w:t>1</w:t>
      </w:r>
      <w:r w:rsidRPr="002F4F3D">
        <w:rPr>
          <w:rStyle w:val="AERbody"/>
        </w:rPr>
        <w:t>.</w:t>
      </w:r>
      <w:r w:rsidRPr="003B64AE">
        <w:rPr>
          <w:rStyle w:val="AERbody"/>
        </w:rPr>
        <w:t> </w:t>
      </w:r>
      <w:r w:rsidRPr="003B3FCC" w:rsidDel="003B3FCC">
        <w:rPr>
          <w:rStyle w:val="AERbody"/>
        </w:rPr>
        <w:t xml:space="preserve"> </w:t>
      </w:r>
    </w:p>
    <w:p w:rsidR="00216315" w:rsidRDefault="00216315" w:rsidP="00216315">
      <w:pPr>
        <w:pStyle w:val="Heading1"/>
      </w:pPr>
      <w:bookmarkStart w:id="89" w:name="_Ref478472365"/>
      <w:bookmarkStart w:id="90" w:name="_Toc481051867"/>
      <w:r>
        <w:lastRenderedPageBreak/>
        <w:t xml:space="preserve">Key elements of our </w:t>
      </w:r>
      <w:r w:rsidR="00CC6473">
        <w:t>final</w:t>
      </w:r>
      <w:r>
        <w:t xml:space="preserve"> decision</w:t>
      </w:r>
      <w:bookmarkEnd w:id="89"/>
      <w:bookmarkEnd w:id="90"/>
    </w:p>
    <w:p w:rsidR="00CC6473" w:rsidRDefault="00CC6473" w:rsidP="00CC6473">
      <w:r>
        <w:t xml:space="preserve">We use the building block approach to determine TasNetworks' </w:t>
      </w:r>
      <w:r w:rsidR="00F9005F">
        <w:t>annual revenue requirement</w:t>
      </w:r>
      <w:r>
        <w:t xml:space="preserve">. The building block approach consists of five costs that a business is allowed to recover through its revenue allowance. </w:t>
      </w:r>
    </w:p>
    <w:p w:rsidR="00CC6473" w:rsidRDefault="00CC6473" w:rsidP="00CC6473">
      <w:r>
        <w:t xml:space="preserve">The building block costs are illustrated in </w:t>
      </w:r>
      <w:r>
        <w:fldChar w:fldCharType="begin"/>
      </w:r>
      <w:r>
        <w:instrText xml:space="preserve"> REF _Ref451518423 \h </w:instrText>
      </w:r>
      <w:r>
        <w:fldChar w:fldCharType="separate"/>
      </w:r>
      <w:r w:rsidR="008B40D8">
        <w:t xml:space="preserve">Figure </w:t>
      </w:r>
      <w:r w:rsidR="008B40D8">
        <w:rPr>
          <w:noProof/>
        </w:rPr>
        <w:t>3</w:t>
      </w:r>
      <w:r w:rsidR="008B40D8">
        <w:t>.</w:t>
      </w:r>
      <w:r w:rsidR="008B40D8">
        <w:rPr>
          <w:noProof/>
        </w:rPr>
        <w:t>1</w:t>
      </w:r>
      <w:r>
        <w:fldChar w:fldCharType="end"/>
      </w:r>
      <w:r>
        <w:t xml:space="preserve"> and include: </w:t>
      </w:r>
    </w:p>
    <w:p w:rsidR="00CC6473" w:rsidRDefault="00CC6473" w:rsidP="00CC6473">
      <w:pPr>
        <w:pStyle w:val="AERbulletlistfirststyle"/>
      </w:pPr>
      <w:r>
        <w:t>a return on the regulatory asset base (RAB) (or return on capital)</w:t>
      </w:r>
    </w:p>
    <w:p w:rsidR="00CC6473" w:rsidRDefault="00CC6473" w:rsidP="00CC6473">
      <w:pPr>
        <w:pStyle w:val="AERbulletlistfirststyle"/>
      </w:pPr>
      <w:r>
        <w:t>depreciation of the RAB (or return of capital)</w:t>
      </w:r>
    </w:p>
    <w:p w:rsidR="00CC6473" w:rsidRDefault="00CC6473" w:rsidP="00CC6473">
      <w:pPr>
        <w:pStyle w:val="AERbulletlistfirststyle"/>
      </w:pPr>
      <w:r>
        <w:t>forecast opex</w:t>
      </w:r>
    </w:p>
    <w:p w:rsidR="00CC6473" w:rsidRDefault="00CC6473" w:rsidP="00CC6473">
      <w:pPr>
        <w:pStyle w:val="AERbulletlistfirststyle"/>
      </w:pPr>
      <w:r>
        <w:t>revenue increments or decrements resulting from incentive schemes such as the efficiency benefit sharing scheme (EBSS)</w:t>
      </w:r>
    </w:p>
    <w:p w:rsidR="00CC6473" w:rsidRDefault="00CC6473" w:rsidP="00CC6473">
      <w:pPr>
        <w:pStyle w:val="AERbulletlistfirststyle"/>
      </w:pPr>
      <w:r>
        <w:t xml:space="preserve">the estimated cost of corporate income tax. </w:t>
      </w:r>
    </w:p>
    <w:p w:rsidR="00CC6473" w:rsidRDefault="00CC6473" w:rsidP="00CC6473">
      <w:pPr>
        <w:pStyle w:val="Caption"/>
      </w:pPr>
      <w:bookmarkStart w:id="91" w:name="_Ref451518423"/>
      <w:r>
        <w:t xml:space="preserve">Figure </w:t>
      </w:r>
      <w:r w:rsidR="00D96B78">
        <w:fldChar w:fldCharType="begin"/>
      </w:r>
      <w:r w:rsidR="00D96B78">
        <w:instrText xml:space="preserve"> STYLEREF 1 \s </w:instrText>
      </w:r>
      <w:r w:rsidR="00D96B78">
        <w:fldChar w:fldCharType="separate"/>
      </w:r>
      <w:r w:rsidR="008B40D8">
        <w:rPr>
          <w:noProof/>
        </w:rPr>
        <w:t>3</w:t>
      </w:r>
      <w:r w:rsidR="00D96B78">
        <w:rPr>
          <w:noProof/>
        </w:rPr>
        <w:fldChar w:fldCharType="end"/>
      </w:r>
      <w:r w:rsidR="00DA4620">
        <w:t>.</w:t>
      </w:r>
      <w:r w:rsidR="00D96B78">
        <w:fldChar w:fldCharType="begin"/>
      </w:r>
      <w:r w:rsidR="00D96B78">
        <w:instrText xml:space="preserve"> SEQ Figure \* ARABIC \s 1 </w:instrText>
      </w:r>
      <w:r w:rsidR="00D96B78">
        <w:fldChar w:fldCharType="separate"/>
      </w:r>
      <w:r w:rsidR="008B40D8">
        <w:rPr>
          <w:noProof/>
        </w:rPr>
        <w:t>1</w:t>
      </w:r>
      <w:r w:rsidR="00D96B78">
        <w:rPr>
          <w:noProof/>
        </w:rPr>
        <w:fldChar w:fldCharType="end"/>
      </w:r>
      <w:bookmarkEnd w:id="91"/>
      <w:r>
        <w:tab/>
        <w:t>The building block approach for determining total revenue</w:t>
      </w:r>
    </w:p>
    <w:p w:rsidR="00CC6473" w:rsidRDefault="00CC6473" w:rsidP="00CC6473">
      <w:r w:rsidRPr="00CC6473">
        <w:rPr>
          <w:noProof/>
          <w:lang w:eastAsia="en-AU"/>
        </w:rPr>
        <mc:AlternateContent>
          <mc:Choice Requires="wpc">
            <w:drawing>
              <wp:inline distT="0" distB="0" distL="0" distR="0" wp14:anchorId="4B362695" wp14:editId="77730F5F">
                <wp:extent cx="5382895" cy="4037171"/>
                <wp:effectExtent l="0" t="0" r="122555" b="230505"/>
                <wp:docPr id="81" name="Canvas 81"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Text Box 4"/>
                        <wps:cNvSpPr txBox="1">
                          <a:spLocks noChangeArrowheads="1"/>
                        </wps:cNvSpPr>
                        <wps:spPr bwMode="auto">
                          <a:xfrm>
                            <a:off x="1504964" y="0"/>
                            <a:ext cx="2470150" cy="720000"/>
                          </a:xfrm>
                          <a:prstGeom prst="rect">
                            <a:avLst/>
                          </a:prstGeom>
                          <a:solidFill>
                            <a:schemeClr val="accent2"/>
                          </a:soli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8B40D8" w:rsidRPr="009C151E" w:rsidRDefault="008B40D8" w:rsidP="00CC6473">
                              <w:pPr>
                                <w:pStyle w:val="TableHeading-centred"/>
                              </w:pPr>
                              <w:r w:rsidRPr="009C151E">
                                <w:t>Return on capital</w:t>
                              </w:r>
                              <w:r w:rsidRPr="009C151E">
                                <w:br/>
                                <w:t>(RAB × rate of return on capital)</w:t>
                              </w:r>
                            </w:p>
                          </w:txbxContent>
                        </wps:txbx>
                        <wps:bodyPr rot="0" vert="horz" wrap="square" lIns="91440" tIns="45720" rIns="91440" bIns="45720" anchor="t" anchorCtr="0" upright="1">
                          <a:noAutofit/>
                        </wps:bodyPr>
                      </wps:wsp>
                      <wps:wsp>
                        <wps:cNvPr id="56" name="Text Box 5"/>
                        <wps:cNvSpPr txBox="1">
                          <a:spLocks noChangeArrowheads="1"/>
                        </wps:cNvSpPr>
                        <wps:spPr bwMode="auto">
                          <a:xfrm>
                            <a:off x="1505629" y="778267"/>
                            <a:ext cx="2470500" cy="900000"/>
                          </a:xfrm>
                          <a:prstGeom prst="rect">
                            <a:avLst/>
                          </a:prstGeom>
                          <a:gradFill rotWithShape="0">
                            <a:gsLst>
                              <a:gs pos="0">
                                <a:srgbClr val="C0504D"/>
                              </a:gs>
                              <a:gs pos="50000">
                                <a:srgbClr val="C0504D">
                                  <a:gamma/>
                                  <a:tint val="97647"/>
                                  <a:invGamma/>
                                </a:srgbClr>
                              </a:gs>
                              <a:gs pos="100000">
                                <a:srgbClr val="C0504D"/>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8B40D8" w:rsidRPr="009C151E" w:rsidRDefault="008B40D8" w:rsidP="00CC6473">
                              <w:pPr>
                                <w:pStyle w:val="TableHeading-centred"/>
                              </w:pPr>
                              <w:r w:rsidRPr="009C151E">
                                <w:t>R</w:t>
                              </w:r>
                              <w:r>
                                <w:t>egulatory depreciation</w:t>
                              </w:r>
                              <w:r>
                                <w:br/>
                                <w:t>(depreciation net of indexation</w:t>
                              </w:r>
                              <w:r>
                                <w:br/>
                              </w:r>
                              <w:r w:rsidRPr="009C151E">
                                <w:t>applied to RAB)</w:t>
                              </w:r>
                            </w:p>
                          </w:txbxContent>
                        </wps:txbx>
                        <wps:bodyPr rot="0" vert="horz" wrap="square" lIns="91440" tIns="45720" rIns="91440" bIns="45720" anchor="t" anchorCtr="0" upright="1">
                          <a:noAutofit/>
                        </wps:bodyPr>
                      </wps:wsp>
                      <wps:wsp>
                        <wps:cNvPr id="57" name="Text Box 57"/>
                        <wps:cNvSpPr txBox="1">
                          <a:spLocks noChangeArrowheads="1"/>
                        </wps:cNvSpPr>
                        <wps:spPr bwMode="auto">
                          <a:xfrm>
                            <a:off x="1504964" y="3302112"/>
                            <a:ext cx="2470150" cy="900000"/>
                          </a:xfrm>
                          <a:prstGeom prst="rect">
                            <a:avLst/>
                          </a:prstGeom>
                          <a:gradFill rotWithShape="0">
                            <a:gsLst>
                              <a:gs pos="0">
                                <a:srgbClr val="76923C"/>
                              </a:gs>
                              <a:gs pos="100000">
                                <a:srgbClr val="76923C">
                                  <a:gamma/>
                                  <a:shade val="97647"/>
                                  <a:invGamma/>
                                </a:srgbClr>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8B40D8" w:rsidRPr="009C151E" w:rsidRDefault="008B40D8" w:rsidP="00CC6473">
                              <w:pPr>
                                <w:pStyle w:val="TableHeading-centred"/>
                              </w:pPr>
                              <w:r w:rsidRPr="009C151E">
                                <w:t>Corporate income tax</w:t>
                              </w:r>
                              <w:r w:rsidRPr="009C151E">
                                <w:br/>
                                <w:t>(net of value of imputation credits)</w:t>
                              </w:r>
                            </w:p>
                            <w:p w:rsidR="008B40D8" w:rsidRPr="007F7192" w:rsidRDefault="008B40D8" w:rsidP="00CC6473">
                              <w:pPr>
                                <w:spacing w:after="200"/>
                                <w:rPr>
                                  <w:color w:val="FFFFFF"/>
                                </w:rPr>
                              </w:pPr>
                              <w:r w:rsidRPr="007F7192">
                                <w:rPr>
                                  <w:color w:val="FFFFFF"/>
                                </w:rPr>
                                <w:br/>
                              </w:r>
                            </w:p>
                          </w:txbxContent>
                        </wps:txbx>
                        <wps:bodyPr rot="0" vert="horz" wrap="square" lIns="91440" tIns="45720" rIns="91440" bIns="45720" anchor="t" anchorCtr="0" upright="1">
                          <a:noAutofit/>
                        </wps:bodyPr>
                      </wps:wsp>
                      <wps:wsp>
                        <wps:cNvPr id="58" name="Line 7"/>
                        <wps:cNvCnPr/>
                        <wps:spPr bwMode="auto">
                          <a:xfrm>
                            <a:off x="406528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8"/>
                        <wps:cNvCnPr/>
                        <wps:spPr bwMode="auto">
                          <a:xfrm>
                            <a:off x="4065284" y="4200562"/>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9"/>
                        <wps:cNvCnPr/>
                        <wps:spPr bwMode="auto">
                          <a:xfrm>
                            <a:off x="4409313" y="0"/>
                            <a:ext cx="0" cy="42008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10"/>
                        <wps:cNvCnPr/>
                        <wps:spPr bwMode="auto">
                          <a:xfrm flipH="1">
                            <a:off x="107697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Line 11"/>
                        <wps:cNvCnPr/>
                        <wps:spPr bwMode="auto">
                          <a:xfrm flipH="1">
                            <a:off x="1076974" y="1677611"/>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12"/>
                        <wps:cNvCnPr/>
                        <wps:spPr bwMode="auto">
                          <a:xfrm>
                            <a:off x="1076898" y="0"/>
                            <a:ext cx="0" cy="16774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13"/>
                        <wps:cNvSpPr txBox="1">
                          <a:spLocks noChangeArrowheads="1"/>
                        </wps:cNvSpPr>
                        <wps:spPr bwMode="auto">
                          <a:xfrm>
                            <a:off x="8021" y="471179"/>
                            <a:ext cx="1181023" cy="678815"/>
                          </a:xfrm>
                          <a:prstGeom prst="rect">
                            <a:avLst/>
                          </a:prstGeom>
                          <a:noFill/>
                          <a:ln w="9525">
                            <a:noFill/>
                            <a:miter lim="800000"/>
                            <a:headEnd/>
                            <a:tailEnd/>
                          </a:ln>
                        </wps:spPr>
                        <wps:txbx>
                          <w:txbxContent>
                            <w:p w:rsidR="008B40D8" w:rsidRPr="007F4BC8" w:rsidRDefault="008B40D8" w:rsidP="00CC6473">
                              <w:pPr>
                                <w:rPr>
                                  <w:rStyle w:val="Strong"/>
                                </w:rPr>
                              </w:pPr>
                              <w:r w:rsidRPr="007F4BC8">
                                <w:rPr>
                                  <w:rStyle w:val="Strong"/>
                                </w:rPr>
                                <w:t>Capital costs</w:t>
                              </w:r>
                            </w:p>
                          </w:txbxContent>
                        </wps:txbx>
                        <wps:bodyPr rot="0" vert="horz" wrap="square" lIns="91440" tIns="45720" rIns="91440" bIns="45720" anchor="t" anchorCtr="0" upright="1">
                          <a:noAutofit/>
                        </wps:bodyPr>
                      </wps:wsp>
                      <wps:wsp>
                        <wps:cNvPr id="65" name="Text Box 14"/>
                        <wps:cNvSpPr txBox="1">
                          <a:spLocks noChangeArrowheads="1"/>
                        </wps:cNvSpPr>
                        <wps:spPr bwMode="auto">
                          <a:xfrm>
                            <a:off x="1506250" y="1736510"/>
                            <a:ext cx="2470150" cy="720000"/>
                          </a:xfrm>
                          <a:prstGeom prst="rect">
                            <a:avLst/>
                          </a:prstGeom>
                          <a:gradFill rotWithShape="0">
                            <a:gsLst>
                              <a:gs pos="0">
                                <a:srgbClr val="365F91"/>
                              </a:gs>
                              <a:gs pos="100000">
                                <a:srgbClr val="365F91"/>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8B40D8" w:rsidRPr="009C151E" w:rsidRDefault="008B40D8" w:rsidP="00CC6473">
                              <w:pPr>
                                <w:pStyle w:val="TableHeading-centred"/>
                              </w:pPr>
                              <w:r w:rsidRPr="009C151E">
                                <w:t>Operating expenditure</w:t>
                              </w:r>
                              <w:r w:rsidRPr="009C151E">
                                <w:br/>
                                <w:t xml:space="preserve">(opex) </w:t>
                              </w:r>
                            </w:p>
                            <w:p w:rsidR="008B40D8" w:rsidRPr="004414F4" w:rsidRDefault="008B40D8" w:rsidP="00CC6473">
                              <w:pPr>
                                <w:rPr>
                                  <w:color w:val="FFFFFF"/>
                                </w:rPr>
                              </w:pPr>
                            </w:p>
                          </w:txbxContent>
                        </wps:txbx>
                        <wps:bodyPr rot="0" vert="horz" wrap="square" lIns="91440" tIns="45720" rIns="91440" bIns="45720" anchor="t" anchorCtr="0" upright="1">
                          <a:noAutofit/>
                        </wps:bodyPr>
                      </wps:wsp>
                      <wps:wsp>
                        <wps:cNvPr id="66" name="Text Box 15"/>
                        <wps:cNvSpPr txBox="1">
                          <a:spLocks noChangeArrowheads="1"/>
                        </wps:cNvSpPr>
                        <wps:spPr bwMode="auto">
                          <a:xfrm>
                            <a:off x="1506251" y="2517190"/>
                            <a:ext cx="2470150" cy="720000"/>
                          </a:xfrm>
                          <a:prstGeom prst="rect">
                            <a:avLst/>
                          </a:prstGeom>
                          <a:gradFill rotWithShape="0">
                            <a:gsLst>
                              <a:gs pos="0">
                                <a:srgbClr val="548DD4"/>
                              </a:gs>
                              <a:gs pos="100000">
                                <a:srgbClr val="548DD4"/>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8B40D8" w:rsidRPr="009C151E" w:rsidRDefault="008B40D8" w:rsidP="00CC6473">
                              <w:pPr>
                                <w:pStyle w:val="TableHeading-centred"/>
                              </w:pPr>
                              <w:r w:rsidRPr="009C151E">
                                <w:t>Revenue adjustments</w:t>
                              </w:r>
                              <w:r w:rsidRPr="009C151E">
                                <w:br/>
                                <w:t>(increment or decrement)</w:t>
                              </w:r>
                            </w:p>
                          </w:txbxContent>
                        </wps:txbx>
                        <wps:bodyPr rot="0" vert="horz" wrap="square" lIns="91440" tIns="45720" rIns="91440" bIns="45720" anchor="t" anchorCtr="0" upright="1">
                          <a:noAutofit/>
                        </wps:bodyPr>
                      </wps:wsp>
                      <wps:wsp>
                        <wps:cNvPr id="67" name="Text Box 16"/>
                        <wps:cNvSpPr txBox="1">
                          <a:spLocks noChangeArrowheads="1"/>
                        </wps:cNvSpPr>
                        <wps:spPr bwMode="auto">
                          <a:xfrm>
                            <a:off x="4440055" y="1757042"/>
                            <a:ext cx="1102493" cy="567516"/>
                          </a:xfrm>
                          <a:prstGeom prst="rect">
                            <a:avLst/>
                          </a:prstGeom>
                          <a:noFill/>
                          <a:ln w="9525">
                            <a:noFill/>
                            <a:miter lim="800000"/>
                            <a:headEnd/>
                            <a:tailEnd/>
                          </a:ln>
                        </wps:spPr>
                        <wps:txbx>
                          <w:txbxContent>
                            <w:p w:rsidR="008B40D8" w:rsidRPr="007F4BC8" w:rsidRDefault="008B40D8" w:rsidP="00CC6473">
                              <w:pPr>
                                <w:rPr>
                                  <w:rStyle w:val="Strong"/>
                                </w:rPr>
                              </w:pPr>
                              <w:r w:rsidRPr="007F4BC8">
                                <w:rPr>
                                  <w:rStyle w:val="Strong"/>
                                </w:rPr>
                                <w:t>Total revenue</w:t>
                              </w:r>
                            </w:p>
                          </w:txbxContent>
                        </wps:txbx>
                        <wps:bodyPr rot="0" vert="horz" wrap="square" lIns="91440" tIns="45720" rIns="91440" bIns="45720" anchor="t" anchorCtr="0" upright="1">
                          <a:noAutofit/>
                        </wps:bodyPr>
                      </wps:wsp>
                    </wpc:wpc>
                  </a:graphicData>
                </a:graphic>
              </wp:inline>
            </w:drawing>
          </mc:Choice>
          <mc:Fallback>
            <w:pict>
              <v:group id="Canvas 81" o:spid="_x0000_s1026" editas="canvas" alt="Image outlining the bulding block model. The table's contents were described in the previous paragraph." style="width:423.85pt;height:317.9pt;mso-position-horizontal-relative:char;mso-position-vertical-relative:line" coordsize="53828,40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3828;height:4036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049;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2UMcA&#10;AADbAAAADwAAAGRycy9kb3ducmV2LnhtbESPzWvCQBTE74L/w/KEXkQ3tvhBdJW2UKr14OfB4yP7&#10;TGKzb9Psqmn/+q4geBxm5jfMZFabQlyocrllBb1uBII4sTrnVMF+99EZgXAeWWNhmRT8koPZtNmY&#10;YKztlTd02fpUBAi7GBVk3pexlC7JyKDr2pI4eEdbGfRBVqnUFV4D3BTyOYoG0mDOYSHDkt4zSr63&#10;Z6PgtOotvvTycxgdBpv1X5vwRb/9KPXUql/HIDzV/hG+t+daQb8Pty/hB8j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EdlDHAAAA2wAAAA8AAAAAAAAAAAAAAAAAmAIAAGRy&#10;cy9kb3ducmV2LnhtbFBLBQYAAAAABAAEAPUAAACMAwAAAAA=&#10;" fillcolor="#c14e00 [3205]" strokecolor="#404040 [2424]">
                  <v:shadow on="t" color="#7f7f7f [1612]" offset="1pt"/>
                  <v:textbox>
                    <w:txbxContent>
                      <w:p w:rsidR="008B40D8" w:rsidRPr="009C151E" w:rsidRDefault="008B40D8" w:rsidP="00CC6473">
                        <w:pPr>
                          <w:pStyle w:val="TableHeading-centred"/>
                        </w:pPr>
                        <w:r w:rsidRPr="009C151E">
                          <w:t>Return on capital</w:t>
                        </w:r>
                        <w:r w:rsidRPr="009C151E">
                          <w:br/>
                          <w:t>(RAB × rate of return on capital)</w:t>
                        </w:r>
                      </w:p>
                    </w:txbxContent>
                  </v:textbox>
                </v:shape>
                <v:shape id="Text Box 5" o:spid="_x0000_s1029" type="#_x0000_t202" style="position:absolute;left:15056;top:7782;width:24705;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ZDMQA&#10;AADbAAAADwAAAGRycy9kb3ducmV2LnhtbESPQYvCMBSE78L+h/AWvGmqrOJWoyziguBBrevB26N5&#10;tmWbl9JEW/31RhA8DjPzDTNbtKYUV6pdYVnBoB+BIE6tLjhT8Hf47U1AOI+ssbRMCm7kYDH/6Mww&#10;1rbhPV0Tn4kAYRejgtz7KpbSpTkZdH1bEQfvbGuDPsg6k7rGJsBNKYdRNJYGCw4LOVa0zCn9Ty5G&#10;QTMwJ2kObrNdRd/6+LW73e2uUKr72f5MQXhq/Tv8aq+1gtEYnl/C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6mQzEAAAA2wAAAA8AAAAAAAAAAAAAAAAAmAIAAGRycy9k&#10;b3ducmV2LnhtbFBLBQYAAAAABAAEAPUAAACJAwAAAAA=&#10;" fillcolor="#c0504d" strokecolor="#404040 [2424]">
                  <v:fill color2="#c15451" focus="50%" type="gradient"/>
                  <v:shadow on="t" color="#7f7f7f [1612]" offset="1pt"/>
                  <v:textbox>
                    <w:txbxContent>
                      <w:p w:rsidR="008B40D8" w:rsidRPr="009C151E" w:rsidRDefault="008B40D8" w:rsidP="00CC6473">
                        <w:pPr>
                          <w:pStyle w:val="TableHeading-centred"/>
                        </w:pPr>
                        <w:r w:rsidRPr="009C151E">
                          <w:t>R</w:t>
                        </w:r>
                        <w:r>
                          <w:t>egulatory depreciation</w:t>
                        </w:r>
                        <w:r>
                          <w:br/>
                          <w:t>(depreciation net of indexation</w:t>
                        </w:r>
                        <w:r>
                          <w:br/>
                        </w:r>
                        <w:r w:rsidRPr="009C151E">
                          <w:t>applied to RAB)</w:t>
                        </w:r>
                      </w:p>
                    </w:txbxContent>
                  </v:textbox>
                </v:shape>
                <v:shape id="Text Box 57" o:spid="_x0000_s1030" type="#_x0000_t202" style="position:absolute;left:15049;top:33021;width:24702;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76sYA&#10;AADbAAAADwAAAGRycy9kb3ducmV2LnhtbESPQWvCQBSE70L/w/IKvdVNC601uglFbCnqoWrA6yP7&#10;moRk34bsaqK/3hUKHoeZ+YaZp4NpxIk6V1lW8DKOQBDnVldcKMj2X88fIJxH1thYJgVncpAmD6M5&#10;xtr2vKXTzhciQNjFqKD0vo2ldHlJBt3YtsTB+7OdQR9kV0jdYR/gppGvUfQuDVYcFkpsaVFSXu+O&#10;RsEqyn7Xk+nyssjqw6bnw/JYf9dKPT0OnzMQngZ/D/+3f7SCtw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k76sYAAADbAAAADwAAAAAAAAAAAAAAAACYAgAAZHJz&#10;L2Rvd25yZXYueG1sUEsFBgAAAAAEAAQA9QAAAIsDAAAAAA==&#10;" fillcolor="#76923c" strokecolor="#404040 [2424]">
                  <v:fill color2="#738f3b" focus="100%" type="gradient"/>
                  <v:shadow on="t" color="#7f7f7f [1612]" offset="1pt"/>
                  <v:textbox>
                    <w:txbxContent>
                      <w:p w:rsidR="008B40D8" w:rsidRPr="009C151E" w:rsidRDefault="008B40D8" w:rsidP="00CC6473">
                        <w:pPr>
                          <w:pStyle w:val="TableHeading-centred"/>
                        </w:pPr>
                        <w:r w:rsidRPr="009C151E">
                          <w:t>Corporate income tax</w:t>
                        </w:r>
                        <w:r w:rsidRPr="009C151E">
                          <w:br/>
                          <w:t>(net of value of imputation credits)</w:t>
                        </w:r>
                      </w:p>
                      <w:p w:rsidR="008B40D8" w:rsidRPr="007F7192" w:rsidRDefault="008B40D8" w:rsidP="00CC6473">
                        <w:pPr>
                          <w:spacing w:after="200"/>
                          <w:rPr>
                            <w:color w:val="FFFFFF"/>
                          </w:rPr>
                        </w:pPr>
                        <w:r w:rsidRPr="007F7192">
                          <w:rPr>
                            <w:color w:val="FFFFFF"/>
                          </w:rPr>
                          <w:br/>
                        </w:r>
                      </w:p>
                    </w:txbxContent>
                  </v:textbox>
                </v:shape>
                <v:line id="Line 7" o:spid="_x0000_s1031" style="position:absolute;visibility:visible;mso-wrap-style:square" from="40652,0" to="44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TjsEAAADbAAAADwAAAGRycy9kb3ducmV2LnhtbERPy2oCMRTdF/yHcIXuakah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lOOwQAAANsAAAAPAAAAAAAAAAAAAAAA&#10;AKECAABkcnMvZG93bnJldi54bWxQSwUGAAAAAAQABAD5AAAAjwMAAAAA&#10;" strokeweight="1pt"/>
                <v:line id="Line 8" o:spid="_x0000_s1032" style="position:absolute;visibility:visible;mso-wrap-style:square" from="40652,42005" to="44100,42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72FcMAAADbAAAADwAAAGRycy9kb3ducmV2LnhtbESP3WoCMRSE7wXfIRyhd5q1U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9hXDAAAA2wAAAA8AAAAAAAAAAAAA&#10;AAAAoQIAAGRycy9kb3ducmV2LnhtbFBLBQYAAAAABAAEAPkAAACRAwAAAAA=&#10;" strokeweight="1pt"/>
                <v:line id="Line 9" o:spid="_x0000_s1033" style="position:absolute;visibility:visible;mso-wrap-style:square" from="44093,0" to="44093,4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VNcAAAADbAAAADwAAAGRycy9kb3ducmV2LnhtbERPy4rCMBTdC/5DuII7TXUh2jHKoA4o&#10;LsTHB1ybO03H5qYkGe3M15uF4PJw3vNla2txJx8qxwpGwwwEceF0xaWCy/lrMAURIrLG2jEp+KMA&#10;y0W3M8dcuwcf6X6KpUghHHJUYGJscilDYchiGLqGOHHfzluMCfpSao+PFG5rOc6yibRYcWow2NDK&#10;UHE7/VoFO3/d30b/pZFX3vlNfVjPgv1Rqt9rPz9ARGrjW/xyb7WCSVqf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YlTXAAAAA2wAAAA8AAAAAAAAAAAAAAAAA&#10;oQIAAGRycy9kb3ducmV2LnhtbFBLBQYAAAAABAAEAPkAAACOAwAAAAA=&#10;" strokeweight="1pt"/>
                <v:line id="Line 10" o:spid="_x0000_s1034" style="position:absolute;flip:x;visibility:visible;mso-wrap-style:square" from="10769,0" to="14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tc8MAAADbAAAADwAAAGRycy9kb3ducmV2LnhtbESPzYrCMBSF9wO+Q7iCm0HTuihjNYoI&#10;ggguxhHU3aW5ttXmpjTR1rc3A4LLw/n5OLNFZyrxoMaVlhXEowgEcWZ1ybmCw996+APCeWSNlWVS&#10;8CQHi3nva4apti3/0mPvcxFG2KWooPC+TqV0WUEG3cjWxMG72MagD7LJpW6wDeOmkuMoSqTBkgOh&#10;wJpWBWW3/d0EyHWVn3dXyo6TY71tk/i7PZ3uSg363XIKwlPnP+F3e6MVJDH8fw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LXPDAAAA2wAAAA8AAAAAAAAAAAAA&#10;AAAAoQIAAGRycy9kb3ducmV2LnhtbFBLBQYAAAAABAAEAPkAAACRAwAAAAA=&#10;" strokeweight="1pt"/>
                <v:line id="Line 11" o:spid="_x0000_s1035" style="position:absolute;flip:x;visibility:visible;mso-wrap-style:square" from="10769,16776" to="14217,16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zBMMAAADbAAAADwAAAGRycy9kb3ducmV2LnhtbESPS4vCMBSF94L/IVzBjYypLop2jCKC&#10;IIILH6DuLs2dtk5zU5po6783guDycB4fZ7ZoTSkeVLvCsoLRMAJBnFpdcKbgdFz/TEA4j6yxtEwK&#10;nuRgMe92Zpho2/CeHgefiTDCLkEFufdVIqVLczLohrYiDt6frQ36IOtM6hqbMG5KOY6iWBosOBBy&#10;rGiVU/p/uJsAua2y6+5G6Xl6rrZNPBo0l8tdqX6vXf6C8NT6b/jT3mgF8Rje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TswTDAAAA2wAAAA8AAAAAAAAAAAAA&#10;AAAAoQIAAGRycy9kb3ducmV2LnhtbFBLBQYAAAAABAAEAPkAAACRAwAAAAA=&#10;" strokeweight="1pt"/>
                <v:line id="Line 12" o:spid="_x0000_s1036" style="position:absolute;visibility:visible;mso-wrap-style:square" from="10768,0" to="10768,16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LQsQAAADbAAAADwAAAGRycy9kb3ducmV2LnhtbESP0WoCMRRE3wX/IVyhbzVrC2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gtCxAAAANsAAAAPAAAAAAAAAAAA&#10;AAAAAKECAABkcnMvZG93bnJldi54bWxQSwUGAAAAAAQABAD5AAAAkgMAAAAA&#10;" strokeweight="1pt"/>
                <v:shape id="Text Box 13" o:spid="_x0000_s1037" type="#_x0000_t202" style="position:absolute;left:80;top:4711;width:11810;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8B40D8" w:rsidRPr="007F4BC8" w:rsidRDefault="008B40D8" w:rsidP="00CC6473">
                        <w:pPr>
                          <w:rPr>
                            <w:rStyle w:val="Strong"/>
                          </w:rPr>
                        </w:pPr>
                        <w:r w:rsidRPr="007F4BC8">
                          <w:rPr>
                            <w:rStyle w:val="Strong"/>
                          </w:rPr>
                          <w:t>Capital costs</w:t>
                        </w:r>
                      </w:p>
                    </w:txbxContent>
                  </v:textbox>
                </v:shape>
                <v:shape id="Text Box 14" o:spid="_x0000_s1038" type="#_x0000_t202" style="position:absolute;left:15062;top:17365;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GtcMA&#10;AADbAAAADwAAAGRycy9kb3ducmV2LnhtbESPQWsCMRSE70L/Q3gFb5q1RduuRrEFoQc9aP0Br5vX&#10;zeLmZcmLuv77plDwOMx8M8xi1ftWXShKE9jAZFyAIq6Cbbg2cPzajF5BSUK22AYmAzcSWC0fBgss&#10;bbjyni6HVKtcwlKiAZdSV2otlSOPMg4dcfZ+QvSYsoy1thGvudy3+qkoZtpjw3nBYUcfjqrT4ewN&#10;zOTl/Dx938k2ueP3Zi1FfNuejBk+9us5qER9uof/6U+buSn8fc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GtcMAAADbAAAADwAAAAAAAAAAAAAAAACYAgAAZHJzL2Rv&#10;d25yZXYueG1sUEsFBgAAAAAEAAQA9QAAAIgDAAAAAA==&#10;" fillcolor="#365f91" strokecolor="#404040 [2424]">
                  <v:fill color2="#365f91" focus="100%" type="gradient"/>
                  <v:shadow on="t" color="#7f7f7f [1612]" offset="1pt"/>
                  <v:textbox>
                    <w:txbxContent>
                      <w:p w:rsidR="008B40D8" w:rsidRPr="009C151E" w:rsidRDefault="008B40D8" w:rsidP="00CC6473">
                        <w:pPr>
                          <w:pStyle w:val="TableHeading-centred"/>
                        </w:pPr>
                        <w:r w:rsidRPr="009C151E">
                          <w:t>Operating expenditure</w:t>
                        </w:r>
                        <w:r w:rsidRPr="009C151E">
                          <w:br/>
                          <w:t xml:space="preserve">(opex) </w:t>
                        </w:r>
                      </w:p>
                      <w:p w:rsidR="008B40D8" w:rsidRPr="004414F4" w:rsidRDefault="008B40D8" w:rsidP="00CC6473">
                        <w:pPr>
                          <w:rPr>
                            <w:color w:val="FFFFFF"/>
                          </w:rPr>
                        </w:pPr>
                      </w:p>
                    </w:txbxContent>
                  </v:textbox>
                </v:shape>
                <v:shape id="Text Box 15" o:spid="_x0000_s1039" type="#_x0000_t202" style="position:absolute;left:15062;top:25171;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fbsIA&#10;AADbAAAADwAAAGRycy9kb3ducmV2LnhtbESPQWsCMRSE74X+h/AK3mp2Bdd2axQpKF7VHurtsXlN&#10;lm5etkmq6783guBxmJlvmPlycJ04UYitZwXluABB3HjdslHwdVi/voGICVlj55kUXCjCcvH8NMda&#10;+zPv6LRPRmQIxxoV2JT6WsrYWHIYx74nzt6PDw5TlsFIHfCc4a6Tk6KopMOW84LFnj4tNb/7f6fg&#10;25RT25TtMdBmUvwdjmb2nlZKjV6G1QeIREN6hO/trVZQVXD7kn+A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d9uwgAAANsAAAAPAAAAAAAAAAAAAAAAAJgCAABkcnMvZG93&#10;bnJldi54bWxQSwUGAAAAAAQABAD1AAAAhwMAAAAA&#10;" fillcolor="#548dd4" strokecolor="#404040 [2424]">
                  <v:fill color2="#548dd4" focus="100%" type="gradient"/>
                  <v:shadow on="t" color="#7f7f7f [1612]" offset="1pt"/>
                  <v:textbox>
                    <w:txbxContent>
                      <w:p w:rsidR="008B40D8" w:rsidRPr="009C151E" w:rsidRDefault="008B40D8" w:rsidP="00CC6473">
                        <w:pPr>
                          <w:pStyle w:val="TableHeading-centred"/>
                        </w:pPr>
                        <w:r w:rsidRPr="009C151E">
                          <w:t>Revenue adjustments</w:t>
                        </w:r>
                        <w:r w:rsidRPr="009C151E">
                          <w:br/>
                          <w:t>(increment or decrement)</w:t>
                        </w:r>
                      </w:p>
                    </w:txbxContent>
                  </v:textbox>
                </v:shape>
                <v:shape id="Text Box 16" o:spid="_x0000_s1040" type="#_x0000_t202" style="position:absolute;left:44400;top:17570;width:11025;height:5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8B40D8" w:rsidRPr="007F4BC8" w:rsidRDefault="008B40D8" w:rsidP="00CC6473">
                        <w:pPr>
                          <w:rPr>
                            <w:rStyle w:val="Strong"/>
                          </w:rPr>
                        </w:pPr>
                        <w:r w:rsidRPr="007F4BC8">
                          <w:rPr>
                            <w:rStyle w:val="Strong"/>
                          </w:rPr>
                          <w:t>Total revenue</w:t>
                        </w:r>
                      </w:p>
                    </w:txbxContent>
                  </v:textbox>
                </v:shape>
                <w10:anchorlock/>
              </v:group>
            </w:pict>
          </mc:Fallback>
        </mc:AlternateContent>
      </w:r>
    </w:p>
    <w:p w:rsidR="00CC6473" w:rsidRDefault="00CC6473" w:rsidP="00CC6473">
      <w:r>
        <w:t>The building block costs are comprised of key elements that we determine through our assessment process. For example, the size of the RAB</w:t>
      </w:r>
      <w:r w:rsidRPr="007D4CC1">
        <w:t>—</w:t>
      </w:r>
      <w:r>
        <w:t>and therefore the revenue generated from the return on capital and regulatory depreciation building blocks</w:t>
      </w:r>
      <w:r w:rsidRPr="007D4CC1">
        <w:t>—</w:t>
      </w:r>
      <w:r>
        <w:t xml:space="preserve">is directly affected by our assessment of forecast capex. </w:t>
      </w:r>
    </w:p>
    <w:p w:rsidR="00CC6473" w:rsidRDefault="00CC6473" w:rsidP="00CC6473">
      <w:r>
        <w:lastRenderedPageBreak/>
        <w:t xml:space="preserve">This section summarises our final decision on key elements of the building blocks including: </w:t>
      </w:r>
    </w:p>
    <w:p w:rsidR="00CC6473" w:rsidRDefault="00CC6473" w:rsidP="00CC6473">
      <w:pPr>
        <w:pStyle w:val="AERbulletlistfirststyle"/>
      </w:pPr>
      <w:r>
        <w:t xml:space="preserve">RAB (section </w:t>
      </w:r>
      <w:r>
        <w:fldChar w:fldCharType="begin"/>
      </w:r>
      <w:r>
        <w:instrText xml:space="preserve"> REF _Ref451519510 \r \h </w:instrText>
      </w:r>
      <w:r>
        <w:fldChar w:fldCharType="separate"/>
      </w:r>
      <w:r w:rsidR="008B40D8">
        <w:t>3.1</w:t>
      </w:r>
      <w:r>
        <w:fldChar w:fldCharType="end"/>
      </w:r>
      <w:r>
        <w:t>)</w:t>
      </w:r>
    </w:p>
    <w:p w:rsidR="00CC6473" w:rsidRDefault="00CC6473" w:rsidP="00CC6473">
      <w:pPr>
        <w:pStyle w:val="AERbulletlistfirststyle"/>
      </w:pPr>
      <w:r>
        <w:t xml:space="preserve">Rate of return (section </w:t>
      </w:r>
      <w:r>
        <w:fldChar w:fldCharType="begin"/>
      </w:r>
      <w:r>
        <w:instrText xml:space="preserve"> REF _Ref451759101 \r \h </w:instrText>
      </w:r>
      <w:r>
        <w:fldChar w:fldCharType="separate"/>
      </w:r>
      <w:r w:rsidR="008B40D8">
        <w:t>3.2</w:t>
      </w:r>
      <w:r>
        <w:fldChar w:fldCharType="end"/>
      </w:r>
      <w:r>
        <w:t>)</w:t>
      </w:r>
    </w:p>
    <w:p w:rsidR="00CC6473" w:rsidRDefault="00CC6473" w:rsidP="00CC6473">
      <w:pPr>
        <w:pStyle w:val="AERbulletlistfirststyle"/>
      </w:pPr>
      <w:r>
        <w:t xml:space="preserve">Imputation credits (section </w:t>
      </w:r>
      <w:r>
        <w:fldChar w:fldCharType="begin"/>
      </w:r>
      <w:r>
        <w:instrText xml:space="preserve"> REF _Ref451759113 \r \h </w:instrText>
      </w:r>
      <w:r>
        <w:fldChar w:fldCharType="separate"/>
      </w:r>
      <w:r w:rsidR="008B40D8">
        <w:t>3.3</w:t>
      </w:r>
      <w:r>
        <w:fldChar w:fldCharType="end"/>
      </w:r>
      <w:r>
        <w:t>)</w:t>
      </w:r>
    </w:p>
    <w:p w:rsidR="00CC6473" w:rsidRDefault="00CC6473" w:rsidP="00CC6473">
      <w:pPr>
        <w:pStyle w:val="AERbulletlistfirststyle"/>
      </w:pPr>
      <w:r>
        <w:t xml:space="preserve">Depreciation allowance (section </w:t>
      </w:r>
      <w:r>
        <w:fldChar w:fldCharType="begin"/>
      </w:r>
      <w:r>
        <w:instrText xml:space="preserve"> REF _Ref451759122 \r \h </w:instrText>
      </w:r>
      <w:r>
        <w:fldChar w:fldCharType="separate"/>
      </w:r>
      <w:r w:rsidR="008B40D8">
        <w:t>3.4</w:t>
      </w:r>
      <w:r>
        <w:fldChar w:fldCharType="end"/>
      </w:r>
      <w:r>
        <w:t>)</w:t>
      </w:r>
    </w:p>
    <w:p w:rsidR="00CC6473" w:rsidRDefault="00CC6473" w:rsidP="00CC6473">
      <w:pPr>
        <w:pStyle w:val="AERbulletlistfirststyle"/>
      </w:pPr>
      <w:r>
        <w:t xml:space="preserve">Efficient level of capex (section </w:t>
      </w:r>
      <w:r>
        <w:fldChar w:fldCharType="begin"/>
      </w:r>
      <w:r>
        <w:instrText xml:space="preserve"> REF _Ref451759130 \r \h </w:instrText>
      </w:r>
      <w:r>
        <w:fldChar w:fldCharType="separate"/>
      </w:r>
      <w:r w:rsidR="008B40D8">
        <w:t>3.5</w:t>
      </w:r>
      <w:r>
        <w:fldChar w:fldCharType="end"/>
      </w:r>
      <w:r>
        <w:t>)</w:t>
      </w:r>
    </w:p>
    <w:p w:rsidR="00CC6473" w:rsidRDefault="00CC6473" w:rsidP="00CC6473">
      <w:pPr>
        <w:pStyle w:val="AERbulletlistfirststyle"/>
      </w:pPr>
      <w:r>
        <w:t xml:space="preserve">Efficient level of opex (section </w:t>
      </w:r>
      <w:r>
        <w:fldChar w:fldCharType="begin"/>
      </w:r>
      <w:r>
        <w:instrText xml:space="preserve"> REF _Ref451759140 \r \h </w:instrText>
      </w:r>
      <w:r>
        <w:fldChar w:fldCharType="separate"/>
      </w:r>
      <w:r w:rsidR="008B40D8">
        <w:t>3.6</w:t>
      </w:r>
      <w:r>
        <w:fldChar w:fldCharType="end"/>
      </w:r>
      <w:r>
        <w:t>)</w:t>
      </w:r>
    </w:p>
    <w:p w:rsidR="00CC6473" w:rsidRDefault="00CC6473" w:rsidP="00CC6473">
      <w:pPr>
        <w:pStyle w:val="AERbulletlistfirststyle"/>
      </w:pPr>
      <w:r>
        <w:t xml:space="preserve">Forecast level of corporate income tax (section </w:t>
      </w:r>
      <w:r>
        <w:fldChar w:fldCharType="begin"/>
      </w:r>
      <w:r>
        <w:instrText xml:space="preserve"> REF _Ref451759154 \r \h </w:instrText>
      </w:r>
      <w:r>
        <w:fldChar w:fldCharType="separate"/>
      </w:r>
      <w:r w:rsidR="008B40D8">
        <w:t>3.6</w:t>
      </w:r>
      <w:r>
        <w:fldChar w:fldCharType="end"/>
      </w:r>
      <w:r>
        <w:t xml:space="preserve">). </w:t>
      </w:r>
    </w:p>
    <w:p w:rsidR="00CC6473" w:rsidRDefault="00CC6473" w:rsidP="00CC6473">
      <w:r>
        <w:t>Incentive schemes including the EBSS and CESS are covered in section</w:t>
      </w:r>
      <w:r w:rsidR="001D4284">
        <w:t xml:space="preserve"> </w:t>
      </w:r>
      <w:r w:rsidR="00BF4768">
        <w:fldChar w:fldCharType="begin"/>
      </w:r>
      <w:r w:rsidR="00BF4768">
        <w:instrText xml:space="preserve"> REF _Ref475353582 \r \h </w:instrText>
      </w:r>
      <w:r w:rsidR="00BF4768">
        <w:fldChar w:fldCharType="separate"/>
      </w:r>
      <w:r w:rsidR="008B40D8">
        <w:t>4.3</w:t>
      </w:r>
      <w:r w:rsidR="00BF4768">
        <w:fldChar w:fldCharType="end"/>
      </w:r>
      <w:r>
        <w:t xml:space="preserve">. </w:t>
      </w:r>
    </w:p>
    <w:p w:rsidR="00CC6473" w:rsidRDefault="00CC6473" w:rsidP="00CC6473">
      <w:r w:rsidRPr="005571D4">
        <w:rPr>
          <w:rStyle w:val="AERbody"/>
        </w:rPr>
        <w:fldChar w:fldCharType="begin"/>
      </w:r>
      <w:r w:rsidRPr="005571D4">
        <w:rPr>
          <w:rStyle w:val="AERbody"/>
        </w:rPr>
        <w:instrText xml:space="preserve"> REF _Ref451759322 \h </w:instrText>
      </w:r>
      <w:r w:rsidR="005571D4">
        <w:rPr>
          <w:rStyle w:val="AERbody"/>
        </w:rPr>
        <w:instrText xml:space="preserve"> \* MERGEFORMAT </w:instrText>
      </w:r>
      <w:r w:rsidRPr="005571D4">
        <w:rPr>
          <w:rStyle w:val="AERbody"/>
        </w:rPr>
      </w:r>
      <w:r w:rsidRPr="005571D4">
        <w:rPr>
          <w:rStyle w:val="AERbody"/>
        </w:rPr>
        <w:fldChar w:fldCharType="separate"/>
      </w:r>
      <w:r w:rsidR="008B40D8" w:rsidRPr="008B40D8">
        <w:rPr>
          <w:rStyle w:val="AERbody"/>
        </w:rPr>
        <w:t>Table 3.1</w:t>
      </w:r>
      <w:r w:rsidRPr="005571D4">
        <w:rPr>
          <w:rStyle w:val="AERbody"/>
        </w:rPr>
        <w:fldChar w:fldCharType="end"/>
      </w:r>
      <w:r>
        <w:t xml:space="preserve"> shows our final decision on TasNetworks' revenues including the building block components. </w:t>
      </w:r>
    </w:p>
    <w:p w:rsidR="00CC6473" w:rsidRDefault="00CC6473" w:rsidP="005571D4">
      <w:pPr>
        <w:pStyle w:val="Caption"/>
      </w:pPr>
      <w:bookmarkStart w:id="92" w:name="_Ref451759322"/>
      <w:r w:rsidRPr="005571D4">
        <w:rPr>
          <w:rStyle w:val="AERtexthighlight"/>
          <w:shd w:val="clear" w:color="auto" w:fill="auto"/>
        </w:rPr>
        <w:t xml:space="preserve">Table </w:t>
      </w:r>
      <w:r w:rsidR="00465A73">
        <w:rPr>
          <w:rStyle w:val="AERtexthighlight"/>
          <w:shd w:val="clear" w:color="auto" w:fill="auto"/>
        </w:rPr>
        <w:fldChar w:fldCharType="begin"/>
      </w:r>
      <w:r w:rsidR="00465A73">
        <w:rPr>
          <w:rStyle w:val="AERtexthighlight"/>
          <w:shd w:val="clear" w:color="auto" w:fill="auto"/>
        </w:rPr>
        <w:instrText xml:space="preserve"> STYLEREF 1 \s </w:instrText>
      </w:r>
      <w:r w:rsidR="00465A73">
        <w:rPr>
          <w:rStyle w:val="AERtexthighlight"/>
          <w:shd w:val="clear" w:color="auto" w:fill="auto"/>
        </w:rPr>
        <w:fldChar w:fldCharType="separate"/>
      </w:r>
      <w:r w:rsidR="008B40D8">
        <w:rPr>
          <w:rStyle w:val="AERtexthighlight"/>
          <w:noProof/>
          <w:shd w:val="clear" w:color="auto" w:fill="auto"/>
        </w:rPr>
        <w:t>3</w:t>
      </w:r>
      <w:r w:rsidR="00465A73">
        <w:rPr>
          <w:rStyle w:val="AERtexthighlight"/>
          <w:shd w:val="clear" w:color="auto" w:fill="auto"/>
        </w:rPr>
        <w:fldChar w:fldCharType="end"/>
      </w:r>
      <w:r w:rsidR="00465A73">
        <w:rPr>
          <w:rStyle w:val="AERtexthighlight"/>
          <w:shd w:val="clear" w:color="auto" w:fill="auto"/>
        </w:rPr>
        <w:t>.</w:t>
      </w:r>
      <w:r w:rsidR="00465A73">
        <w:rPr>
          <w:rStyle w:val="AERtexthighlight"/>
          <w:shd w:val="clear" w:color="auto" w:fill="auto"/>
        </w:rPr>
        <w:fldChar w:fldCharType="begin"/>
      </w:r>
      <w:r w:rsidR="00465A73">
        <w:rPr>
          <w:rStyle w:val="AERtexthighlight"/>
          <w:shd w:val="clear" w:color="auto" w:fill="auto"/>
        </w:rPr>
        <w:instrText xml:space="preserve"> SEQ Table \* ARABIC \s 1 </w:instrText>
      </w:r>
      <w:r w:rsidR="00465A73">
        <w:rPr>
          <w:rStyle w:val="AERtexthighlight"/>
          <w:shd w:val="clear" w:color="auto" w:fill="auto"/>
        </w:rPr>
        <w:fldChar w:fldCharType="separate"/>
      </w:r>
      <w:r w:rsidR="008B40D8">
        <w:rPr>
          <w:rStyle w:val="AERtexthighlight"/>
          <w:noProof/>
          <w:shd w:val="clear" w:color="auto" w:fill="auto"/>
        </w:rPr>
        <w:t>1</w:t>
      </w:r>
      <w:r w:rsidR="00465A73">
        <w:rPr>
          <w:rStyle w:val="AERtexthighlight"/>
          <w:shd w:val="clear" w:color="auto" w:fill="auto"/>
        </w:rPr>
        <w:fldChar w:fldCharType="end"/>
      </w:r>
      <w:bookmarkEnd w:id="92"/>
      <w:r w:rsidRPr="00B65772">
        <w:tab/>
        <w:t xml:space="preserve">AER's </w:t>
      </w:r>
      <w:r w:rsidR="00880B6E">
        <w:t>final</w:t>
      </w:r>
      <w:r w:rsidRPr="00B65772">
        <w:t xml:space="preserve"> decision on TasNetworks' revenues ($</w:t>
      </w:r>
      <w:r w:rsidR="00A3436F">
        <w:t xml:space="preserve"> </w:t>
      </w:r>
      <w:r w:rsidRPr="00B65772">
        <w:t>million,</w:t>
      </w:r>
      <w:r>
        <w:t xml:space="preserve"> nominal)</w:t>
      </w:r>
    </w:p>
    <w:tbl>
      <w:tblPr>
        <w:tblStyle w:val="AERtable-numbers"/>
        <w:tblW w:w="8771" w:type="dxa"/>
        <w:tblLook w:val="04A0" w:firstRow="1" w:lastRow="0" w:firstColumn="1" w:lastColumn="0" w:noHBand="0" w:noVBand="1"/>
      </w:tblPr>
      <w:tblGrid>
        <w:gridCol w:w="4684"/>
        <w:gridCol w:w="669"/>
        <w:gridCol w:w="1134"/>
        <w:gridCol w:w="1134"/>
        <w:gridCol w:w="1150"/>
      </w:tblGrid>
      <w:tr w:rsidR="00CC6473" w:rsidRPr="00F77B4A" w:rsidTr="00A00E9F">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684" w:type="dxa"/>
            <w:noWrap/>
            <w:hideMark/>
          </w:tcPr>
          <w:p w:rsidR="00CC6473" w:rsidRPr="00CC6473" w:rsidRDefault="00CC6473" w:rsidP="00CC6473">
            <w:r w:rsidRPr="00F77B4A">
              <w:t> </w:t>
            </w:r>
          </w:p>
        </w:tc>
        <w:tc>
          <w:tcPr>
            <w:tcW w:w="669" w:type="dxa"/>
            <w:noWrap/>
            <w:hideMark/>
          </w:tcPr>
          <w:p w:rsidR="00CC6473" w:rsidRPr="00CC6473" w:rsidRDefault="00CC6473" w:rsidP="00CC6473">
            <w:pPr>
              <w:cnfStyle w:val="100000000000" w:firstRow="1" w:lastRow="0" w:firstColumn="0" w:lastColumn="0" w:oddVBand="0" w:evenVBand="0" w:oddHBand="0" w:evenHBand="0" w:firstRowFirstColumn="0" w:firstRowLastColumn="0" w:lastRowFirstColumn="0" w:lastRowLastColumn="0"/>
            </w:pPr>
            <w:r w:rsidRPr="00F77B4A">
              <w:t> </w:t>
            </w:r>
          </w:p>
        </w:tc>
        <w:tc>
          <w:tcPr>
            <w:tcW w:w="1134" w:type="dxa"/>
            <w:noWrap/>
            <w:hideMark/>
          </w:tcPr>
          <w:p w:rsidR="00CC6473" w:rsidRPr="00CC6473" w:rsidRDefault="00CC6473" w:rsidP="00CC6473">
            <w:pPr>
              <w:cnfStyle w:val="100000000000" w:firstRow="1" w:lastRow="0" w:firstColumn="0" w:lastColumn="0" w:oddVBand="0" w:evenVBand="0" w:oddHBand="0" w:evenHBand="0" w:firstRowFirstColumn="0" w:firstRowLastColumn="0" w:lastRowFirstColumn="0" w:lastRowLastColumn="0"/>
            </w:pPr>
            <w:r w:rsidRPr="00F77B4A">
              <w:t>2017–18</w:t>
            </w:r>
          </w:p>
        </w:tc>
        <w:tc>
          <w:tcPr>
            <w:tcW w:w="1134" w:type="dxa"/>
            <w:noWrap/>
            <w:hideMark/>
          </w:tcPr>
          <w:p w:rsidR="00CC6473" w:rsidRPr="00CC6473" w:rsidRDefault="00CC6473" w:rsidP="00CC6473">
            <w:pPr>
              <w:cnfStyle w:val="100000000000" w:firstRow="1" w:lastRow="0" w:firstColumn="0" w:lastColumn="0" w:oddVBand="0" w:evenVBand="0" w:oddHBand="0" w:evenHBand="0" w:firstRowFirstColumn="0" w:firstRowLastColumn="0" w:lastRowFirstColumn="0" w:lastRowLastColumn="0"/>
            </w:pPr>
            <w:r w:rsidRPr="00F77B4A">
              <w:t>2018–19</w:t>
            </w:r>
          </w:p>
        </w:tc>
        <w:tc>
          <w:tcPr>
            <w:tcW w:w="1150" w:type="dxa"/>
            <w:noWrap/>
            <w:hideMark/>
          </w:tcPr>
          <w:p w:rsidR="00CC6473" w:rsidRPr="00CC6473" w:rsidRDefault="00CC6473" w:rsidP="00CC6473">
            <w:pPr>
              <w:cnfStyle w:val="100000000000" w:firstRow="1" w:lastRow="0" w:firstColumn="0" w:lastColumn="0" w:oddVBand="0" w:evenVBand="0" w:oddHBand="0" w:evenHBand="0" w:firstRowFirstColumn="0" w:firstRowLastColumn="0" w:lastRowFirstColumn="0" w:lastRowLastColumn="0"/>
            </w:pPr>
            <w:r w:rsidRPr="00F77B4A">
              <w:t>Total</w:t>
            </w:r>
          </w:p>
        </w:tc>
      </w:tr>
      <w:tr w:rsidR="007E767B" w:rsidRPr="00F77B4A" w:rsidTr="008213B3">
        <w:trPr>
          <w:trHeight w:val="287"/>
        </w:trPr>
        <w:tc>
          <w:tcPr>
            <w:cnfStyle w:val="001000000000" w:firstRow="0" w:lastRow="0" w:firstColumn="1" w:lastColumn="0" w:oddVBand="0" w:evenVBand="0" w:oddHBand="0" w:evenHBand="0" w:firstRowFirstColumn="0" w:firstRowLastColumn="0" w:lastRowFirstColumn="0" w:lastRowLastColumn="0"/>
            <w:tcW w:w="4684" w:type="dxa"/>
            <w:hideMark/>
          </w:tcPr>
          <w:p w:rsidR="007E767B" w:rsidRPr="007E767B" w:rsidRDefault="007E767B" w:rsidP="007E767B">
            <w:r w:rsidRPr="007E767B">
              <w:t>Return on capital</w:t>
            </w:r>
          </w:p>
        </w:tc>
        <w:tc>
          <w:tcPr>
            <w:tcW w:w="669" w:type="dxa"/>
            <w:hideMark/>
          </w:tcPr>
          <w:p w:rsidR="007E767B" w:rsidRPr="007E767B" w:rsidRDefault="007E767B" w:rsidP="007E767B">
            <w:pPr>
              <w:cnfStyle w:val="000000000000" w:firstRow="0" w:lastRow="0" w:firstColumn="0" w:lastColumn="0" w:oddVBand="0" w:evenVBand="0" w:oddHBand="0" w:evenHBand="0" w:firstRowFirstColumn="0" w:firstRowLastColumn="0" w:lastRowFirstColumn="0" w:lastRowLastColumn="0"/>
            </w:pPr>
          </w:p>
        </w:tc>
        <w:tc>
          <w:tcPr>
            <w:tcW w:w="1134" w:type="dxa"/>
            <w:noWrap/>
            <w:vAlign w:val="top"/>
          </w:tcPr>
          <w:p w:rsidR="007E767B" w:rsidRPr="007E767B" w:rsidRDefault="007E767B" w:rsidP="0022005C">
            <w:pPr>
              <w:cnfStyle w:val="000000000000" w:firstRow="0" w:lastRow="0" w:firstColumn="0" w:lastColumn="0" w:oddVBand="0" w:evenVBand="0" w:oddHBand="0" w:evenHBand="0" w:firstRowFirstColumn="0" w:firstRowLastColumn="0" w:lastRowFirstColumn="0" w:lastRowLastColumn="0"/>
            </w:pPr>
            <w:r w:rsidRPr="007E767B">
              <w:t>97.2</w:t>
            </w:r>
          </w:p>
        </w:tc>
        <w:tc>
          <w:tcPr>
            <w:tcW w:w="1134" w:type="dxa"/>
            <w:noWrap/>
            <w:vAlign w:val="top"/>
          </w:tcPr>
          <w:p w:rsidR="007E767B" w:rsidRPr="007E767B" w:rsidRDefault="007E767B" w:rsidP="0022005C">
            <w:pPr>
              <w:cnfStyle w:val="000000000000" w:firstRow="0" w:lastRow="0" w:firstColumn="0" w:lastColumn="0" w:oddVBand="0" w:evenVBand="0" w:oddHBand="0" w:evenHBand="0" w:firstRowFirstColumn="0" w:firstRowLastColumn="0" w:lastRowFirstColumn="0" w:lastRowLastColumn="0"/>
            </w:pPr>
            <w:r w:rsidRPr="007E767B">
              <w:t>101.9</w:t>
            </w:r>
          </w:p>
        </w:tc>
        <w:tc>
          <w:tcPr>
            <w:tcW w:w="1150" w:type="dxa"/>
            <w:noWrap/>
            <w:vAlign w:val="top"/>
          </w:tcPr>
          <w:p w:rsidR="007E767B" w:rsidRPr="007E767B" w:rsidRDefault="007E767B" w:rsidP="0022005C">
            <w:pPr>
              <w:cnfStyle w:val="000000000000" w:firstRow="0" w:lastRow="0" w:firstColumn="0" w:lastColumn="0" w:oddVBand="0" w:evenVBand="0" w:oddHBand="0" w:evenHBand="0" w:firstRowFirstColumn="0" w:firstRowLastColumn="0" w:lastRowFirstColumn="0" w:lastRowLastColumn="0"/>
            </w:pPr>
            <w:r w:rsidRPr="007E767B">
              <w:t>199.1</w:t>
            </w:r>
          </w:p>
        </w:tc>
      </w:tr>
      <w:tr w:rsidR="007E767B" w:rsidRPr="00F77B4A" w:rsidTr="008213B3">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684" w:type="dxa"/>
            <w:hideMark/>
          </w:tcPr>
          <w:p w:rsidR="007E767B" w:rsidRPr="007E767B" w:rsidRDefault="007E767B" w:rsidP="007E767B">
            <w:pPr>
              <w:rPr>
                <w:rStyle w:val="AERsuperscript"/>
              </w:rPr>
            </w:pPr>
            <w:r w:rsidRPr="007E767B">
              <w:t>Regulatory depreciation</w:t>
            </w:r>
            <w:r w:rsidRPr="007E767B">
              <w:rPr>
                <w:rStyle w:val="AERsuperscript"/>
              </w:rPr>
              <w:t>a</w:t>
            </w:r>
          </w:p>
        </w:tc>
        <w:tc>
          <w:tcPr>
            <w:tcW w:w="669" w:type="dxa"/>
            <w:hideMark/>
          </w:tcPr>
          <w:p w:rsidR="007E767B" w:rsidRPr="007E767B" w:rsidRDefault="007E767B" w:rsidP="007E767B">
            <w:pPr>
              <w:cnfStyle w:val="000000010000" w:firstRow="0" w:lastRow="0" w:firstColumn="0" w:lastColumn="0" w:oddVBand="0" w:evenVBand="0" w:oddHBand="0" w:evenHBand="1" w:firstRowFirstColumn="0" w:firstRowLastColumn="0" w:lastRowFirstColumn="0" w:lastRowLastColumn="0"/>
            </w:pPr>
            <w:r w:rsidRPr="007E767B">
              <w:t> </w:t>
            </w:r>
          </w:p>
        </w:tc>
        <w:tc>
          <w:tcPr>
            <w:tcW w:w="1134" w:type="dxa"/>
            <w:noWrap/>
            <w:vAlign w:val="top"/>
          </w:tcPr>
          <w:p w:rsidR="007E767B" w:rsidRPr="007E767B" w:rsidRDefault="007E767B" w:rsidP="0022005C">
            <w:pPr>
              <w:cnfStyle w:val="000000010000" w:firstRow="0" w:lastRow="0" w:firstColumn="0" w:lastColumn="0" w:oddVBand="0" w:evenVBand="0" w:oddHBand="0" w:evenHBand="1" w:firstRowFirstColumn="0" w:firstRowLastColumn="0" w:lastRowFirstColumn="0" w:lastRowLastColumn="0"/>
            </w:pPr>
            <w:r w:rsidRPr="007E767B">
              <w:t>38.2</w:t>
            </w:r>
          </w:p>
        </w:tc>
        <w:tc>
          <w:tcPr>
            <w:tcW w:w="1134" w:type="dxa"/>
            <w:noWrap/>
            <w:vAlign w:val="top"/>
          </w:tcPr>
          <w:p w:rsidR="007E767B" w:rsidRPr="007E767B" w:rsidRDefault="007E767B" w:rsidP="0022005C">
            <w:pPr>
              <w:cnfStyle w:val="000000010000" w:firstRow="0" w:lastRow="0" w:firstColumn="0" w:lastColumn="0" w:oddVBand="0" w:evenVBand="0" w:oddHBand="0" w:evenHBand="1" w:firstRowFirstColumn="0" w:firstRowLastColumn="0" w:lastRowFirstColumn="0" w:lastRowLastColumn="0"/>
            </w:pPr>
            <w:r w:rsidRPr="007E767B">
              <w:t>57.6</w:t>
            </w:r>
          </w:p>
        </w:tc>
        <w:tc>
          <w:tcPr>
            <w:tcW w:w="1150" w:type="dxa"/>
            <w:noWrap/>
            <w:vAlign w:val="top"/>
          </w:tcPr>
          <w:p w:rsidR="007E767B" w:rsidRPr="007E767B" w:rsidRDefault="007E767B" w:rsidP="0022005C">
            <w:pPr>
              <w:cnfStyle w:val="000000010000" w:firstRow="0" w:lastRow="0" w:firstColumn="0" w:lastColumn="0" w:oddVBand="0" w:evenVBand="0" w:oddHBand="0" w:evenHBand="1" w:firstRowFirstColumn="0" w:firstRowLastColumn="0" w:lastRowFirstColumn="0" w:lastRowLastColumn="0"/>
            </w:pPr>
            <w:r w:rsidRPr="007E767B">
              <w:t>95.8</w:t>
            </w:r>
          </w:p>
        </w:tc>
      </w:tr>
      <w:tr w:rsidR="007E767B" w:rsidRPr="00F77B4A" w:rsidTr="008213B3">
        <w:trPr>
          <w:trHeight w:val="287"/>
        </w:trPr>
        <w:tc>
          <w:tcPr>
            <w:cnfStyle w:val="001000000000" w:firstRow="0" w:lastRow="0" w:firstColumn="1" w:lastColumn="0" w:oddVBand="0" w:evenVBand="0" w:oddHBand="0" w:evenHBand="0" w:firstRowFirstColumn="0" w:firstRowLastColumn="0" w:lastRowFirstColumn="0" w:lastRowLastColumn="0"/>
            <w:tcW w:w="4684" w:type="dxa"/>
            <w:hideMark/>
          </w:tcPr>
          <w:p w:rsidR="007E767B" w:rsidRPr="007E767B" w:rsidRDefault="007E767B" w:rsidP="007E767B">
            <w:pPr>
              <w:rPr>
                <w:rStyle w:val="AERsuperscript"/>
              </w:rPr>
            </w:pPr>
            <w:r w:rsidRPr="007E767B">
              <w:t>Operating expenditure</w:t>
            </w:r>
            <w:r w:rsidRPr="007E767B">
              <w:rPr>
                <w:rStyle w:val="AERsuperscript"/>
              </w:rPr>
              <w:t>b</w:t>
            </w:r>
          </w:p>
        </w:tc>
        <w:tc>
          <w:tcPr>
            <w:tcW w:w="669" w:type="dxa"/>
            <w:hideMark/>
          </w:tcPr>
          <w:p w:rsidR="007E767B" w:rsidRPr="007E767B" w:rsidRDefault="007E767B" w:rsidP="007E767B">
            <w:pPr>
              <w:cnfStyle w:val="000000000000" w:firstRow="0" w:lastRow="0" w:firstColumn="0" w:lastColumn="0" w:oddVBand="0" w:evenVBand="0" w:oddHBand="0" w:evenHBand="0" w:firstRowFirstColumn="0" w:firstRowLastColumn="0" w:lastRowFirstColumn="0" w:lastRowLastColumn="0"/>
            </w:pPr>
          </w:p>
        </w:tc>
        <w:tc>
          <w:tcPr>
            <w:tcW w:w="1134" w:type="dxa"/>
            <w:noWrap/>
            <w:vAlign w:val="top"/>
          </w:tcPr>
          <w:p w:rsidR="007E767B" w:rsidRPr="007E767B" w:rsidRDefault="007E767B" w:rsidP="0022005C">
            <w:pPr>
              <w:cnfStyle w:val="000000000000" w:firstRow="0" w:lastRow="0" w:firstColumn="0" w:lastColumn="0" w:oddVBand="0" w:evenVBand="0" w:oddHBand="0" w:evenHBand="0" w:firstRowFirstColumn="0" w:firstRowLastColumn="0" w:lastRowFirstColumn="0" w:lastRowLastColumn="0"/>
            </w:pPr>
            <w:r w:rsidRPr="007E767B">
              <w:t>68.3</w:t>
            </w:r>
          </w:p>
        </w:tc>
        <w:tc>
          <w:tcPr>
            <w:tcW w:w="1134" w:type="dxa"/>
            <w:noWrap/>
            <w:vAlign w:val="top"/>
          </w:tcPr>
          <w:p w:rsidR="007E767B" w:rsidRPr="007E767B" w:rsidRDefault="007E767B" w:rsidP="0022005C">
            <w:pPr>
              <w:cnfStyle w:val="000000000000" w:firstRow="0" w:lastRow="0" w:firstColumn="0" w:lastColumn="0" w:oddVBand="0" w:evenVBand="0" w:oddHBand="0" w:evenHBand="0" w:firstRowFirstColumn="0" w:firstRowLastColumn="0" w:lastRowFirstColumn="0" w:lastRowLastColumn="0"/>
            </w:pPr>
            <w:r w:rsidRPr="007E767B">
              <w:t>68.4</w:t>
            </w:r>
          </w:p>
        </w:tc>
        <w:tc>
          <w:tcPr>
            <w:tcW w:w="1150" w:type="dxa"/>
            <w:noWrap/>
            <w:vAlign w:val="top"/>
          </w:tcPr>
          <w:p w:rsidR="007E767B" w:rsidRPr="007E767B" w:rsidRDefault="007E767B" w:rsidP="0022005C">
            <w:pPr>
              <w:cnfStyle w:val="000000000000" w:firstRow="0" w:lastRow="0" w:firstColumn="0" w:lastColumn="0" w:oddVBand="0" w:evenVBand="0" w:oddHBand="0" w:evenHBand="0" w:firstRowFirstColumn="0" w:firstRowLastColumn="0" w:lastRowFirstColumn="0" w:lastRowLastColumn="0"/>
            </w:pPr>
            <w:r w:rsidRPr="007E767B">
              <w:t>136.7</w:t>
            </w:r>
          </w:p>
        </w:tc>
      </w:tr>
      <w:tr w:rsidR="007E767B" w:rsidRPr="00F77B4A" w:rsidTr="008213B3">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684" w:type="dxa"/>
            <w:hideMark/>
          </w:tcPr>
          <w:p w:rsidR="007E767B" w:rsidRPr="007E767B" w:rsidRDefault="007E767B" w:rsidP="007E767B">
            <w:pPr>
              <w:rPr>
                <w:rStyle w:val="AERsuperscript"/>
              </w:rPr>
            </w:pPr>
            <w:r w:rsidRPr="007E767B">
              <w:t>Revenue adjustments</w:t>
            </w:r>
            <w:r w:rsidRPr="007E767B">
              <w:rPr>
                <w:rStyle w:val="AERsuperscript"/>
              </w:rPr>
              <w:t>c</w:t>
            </w:r>
          </w:p>
        </w:tc>
        <w:tc>
          <w:tcPr>
            <w:tcW w:w="669" w:type="dxa"/>
            <w:hideMark/>
          </w:tcPr>
          <w:p w:rsidR="007E767B" w:rsidRPr="007E767B" w:rsidRDefault="007E767B" w:rsidP="007E767B">
            <w:pPr>
              <w:cnfStyle w:val="000000010000" w:firstRow="0" w:lastRow="0" w:firstColumn="0" w:lastColumn="0" w:oddVBand="0" w:evenVBand="0" w:oddHBand="0" w:evenHBand="1" w:firstRowFirstColumn="0" w:firstRowLastColumn="0" w:lastRowFirstColumn="0" w:lastRowLastColumn="0"/>
            </w:pPr>
            <w:r w:rsidRPr="007E767B">
              <w:t> </w:t>
            </w:r>
          </w:p>
        </w:tc>
        <w:tc>
          <w:tcPr>
            <w:tcW w:w="1134" w:type="dxa"/>
            <w:noWrap/>
            <w:vAlign w:val="top"/>
          </w:tcPr>
          <w:p w:rsidR="007E767B" w:rsidRPr="007E767B" w:rsidRDefault="007E767B" w:rsidP="0022005C">
            <w:pPr>
              <w:cnfStyle w:val="000000010000" w:firstRow="0" w:lastRow="0" w:firstColumn="0" w:lastColumn="0" w:oddVBand="0" w:evenVBand="0" w:oddHBand="0" w:evenHBand="1" w:firstRowFirstColumn="0" w:firstRowLastColumn="0" w:lastRowFirstColumn="0" w:lastRowLastColumn="0"/>
            </w:pPr>
            <w:r w:rsidRPr="007E767B">
              <w:t>12.5</w:t>
            </w:r>
          </w:p>
        </w:tc>
        <w:tc>
          <w:tcPr>
            <w:tcW w:w="1134" w:type="dxa"/>
            <w:noWrap/>
            <w:vAlign w:val="top"/>
          </w:tcPr>
          <w:p w:rsidR="007E767B" w:rsidRPr="007E767B" w:rsidRDefault="007E767B" w:rsidP="0022005C">
            <w:pPr>
              <w:cnfStyle w:val="000000010000" w:firstRow="0" w:lastRow="0" w:firstColumn="0" w:lastColumn="0" w:oddVBand="0" w:evenVBand="0" w:oddHBand="0" w:evenHBand="1" w:firstRowFirstColumn="0" w:firstRowLastColumn="0" w:lastRowFirstColumn="0" w:lastRowLastColumn="0"/>
            </w:pPr>
            <w:r w:rsidRPr="007E767B">
              <w:t>12.8</w:t>
            </w:r>
          </w:p>
        </w:tc>
        <w:tc>
          <w:tcPr>
            <w:tcW w:w="1150" w:type="dxa"/>
            <w:noWrap/>
            <w:vAlign w:val="top"/>
          </w:tcPr>
          <w:p w:rsidR="007E767B" w:rsidRPr="007E767B" w:rsidRDefault="007E767B" w:rsidP="0022005C">
            <w:pPr>
              <w:cnfStyle w:val="000000010000" w:firstRow="0" w:lastRow="0" w:firstColumn="0" w:lastColumn="0" w:oddVBand="0" w:evenVBand="0" w:oddHBand="0" w:evenHBand="1" w:firstRowFirstColumn="0" w:firstRowLastColumn="0" w:lastRowFirstColumn="0" w:lastRowLastColumn="0"/>
            </w:pPr>
            <w:r w:rsidRPr="007E767B">
              <w:t>25.4</w:t>
            </w:r>
          </w:p>
        </w:tc>
      </w:tr>
      <w:tr w:rsidR="007E767B" w:rsidRPr="00F77B4A" w:rsidTr="008213B3">
        <w:trPr>
          <w:trHeight w:val="287"/>
        </w:trPr>
        <w:tc>
          <w:tcPr>
            <w:cnfStyle w:val="001000000000" w:firstRow="0" w:lastRow="0" w:firstColumn="1" w:lastColumn="0" w:oddVBand="0" w:evenVBand="0" w:oddHBand="0" w:evenHBand="0" w:firstRowFirstColumn="0" w:firstRowLastColumn="0" w:lastRowFirstColumn="0" w:lastRowLastColumn="0"/>
            <w:tcW w:w="4684" w:type="dxa"/>
            <w:hideMark/>
          </w:tcPr>
          <w:p w:rsidR="007E767B" w:rsidRPr="007E767B" w:rsidRDefault="007E767B" w:rsidP="007E767B">
            <w:r w:rsidRPr="007E767B">
              <w:t>Net tax allowance</w:t>
            </w:r>
          </w:p>
        </w:tc>
        <w:tc>
          <w:tcPr>
            <w:tcW w:w="669" w:type="dxa"/>
            <w:hideMark/>
          </w:tcPr>
          <w:p w:rsidR="007E767B" w:rsidRPr="007E767B" w:rsidRDefault="007E767B" w:rsidP="007E767B">
            <w:pPr>
              <w:cnfStyle w:val="000000000000" w:firstRow="0" w:lastRow="0" w:firstColumn="0" w:lastColumn="0" w:oddVBand="0" w:evenVBand="0" w:oddHBand="0" w:evenHBand="0" w:firstRowFirstColumn="0" w:firstRowLastColumn="0" w:lastRowFirstColumn="0" w:lastRowLastColumn="0"/>
            </w:pPr>
          </w:p>
        </w:tc>
        <w:tc>
          <w:tcPr>
            <w:tcW w:w="1134" w:type="dxa"/>
            <w:noWrap/>
            <w:vAlign w:val="top"/>
          </w:tcPr>
          <w:p w:rsidR="007E767B" w:rsidRPr="007E767B" w:rsidRDefault="007E767B" w:rsidP="0022005C">
            <w:pPr>
              <w:cnfStyle w:val="000000000000" w:firstRow="0" w:lastRow="0" w:firstColumn="0" w:lastColumn="0" w:oddVBand="0" w:evenVBand="0" w:oddHBand="0" w:evenHBand="0" w:firstRowFirstColumn="0" w:firstRowLastColumn="0" w:lastRowFirstColumn="0" w:lastRowLastColumn="0"/>
            </w:pPr>
            <w:r w:rsidRPr="007E767B">
              <w:t>8.9</w:t>
            </w:r>
          </w:p>
        </w:tc>
        <w:tc>
          <w:tcPr>
            <w:tcW w:w="1134" w:type="dxa"/>
            <w:noWrap/>
            <w:vAlign w:val="top"/>
          </w:tcPr>
          <w:p w:rsidR="007E767B" w:rsidRPr="007E767B" w:rsidRDefault="007E767B" w:rsidP="0022005C">
            <w:pPr>
              <w:cnfStyle w:val="000000000000" w:firstRow="0" w:lastRow="0" w:firstColumn="0" w:lastColumn="0" w:oddVBand="0" w:evenVBand="0" w:oddHBand="0" w:evenHBand="0" w:firstRowFirstColumn="0" w:firstRowLastColumn="0" w:lastRowFirstColumn="0" w:lastRowLastColumn="0"/>
            </w:pPr>
            <w:r w:rsidRPr="007E767B">
              <w:t>12.2</w:t>
            </w:r>
          </w:p>
        </w:tc>
        <w:tc>
          <w:tcPr>
            <w:tcW w:w="1150" w:type="dxa"/>
            <w:noWrap/>
            <w:vAlign w:val="top"/>
          </w:tcPr>
          <w:p w:rsidR="007E767B" w:rsidRPr="007E767B" w:rsidRDefault="007E767B" w:rsidP="0022005C">
            <w:pPr>
              <w:cnfStyle w:val="000000000000" w:firstRow="0" w:lastRow="0" w:firstColumn="0" w:lastColumn="0" w:oddVBand="0" w:evenVBand="0" w:oddHBand="0" w:evenHBand="0" w:firstRowFirstColumn="0" w:firstRowLastColumn="0" w:lastRowFirstColumn="0" w:lastRowLastColumn="0"/>
            </w:pPr>
            <w:r w:rsidRPr="007E767B">
              <w:t>21.0</w:t>
            </w:r>
          </w:p>
        </w:tc>
      </w:tr>
      <w:tr w:rsidR="007E767B" w:rsidRPr="00F77B4A" w:rsidTr="008213B3">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684" w:type="dxa"/>
            <w:hideMark/>
          </w:tcPr>
          <w:p w:rsidR="007E767B" w:rsidRPr="007E767B" w:rsidRDefault="007E767B" w:rsidP="007E767B">
            <w:r w:rsidRPr="007E767B">
              <w:t>Annual revenue requirement (unsmoothed)</w:t>
            </w:r>
          </w:p>
        </w:tc>
        <w:tc>
          <w:tcPr>
            <w:tcW w:w="669" w:type="dxa"/>
            <w:hideMark/>
          </w:tcPr>
          <w:p w:rsidR="007E767B" w:rsidRPr="007E767B" w:rsidRDefault="007E767B" w:rsidP="007E767B">
            <w:pPr>
              <w:cnfStyle w:val="000000010000" w:firstRow="0" w:lastRow="0" w:firstColumn="0" w:lastColumn="0" w:oddVBand="0" w:evenVBand="0" w:oddHBand="0" w:evenHBand="1" w:firstRowFirstColumn="0" w:firstRowLastColumn="0" w:lastRowFirstColumn="0" w:lastRowLastColumn="0"/>
            </w:pPr>
            <w:r w:rsidRPr="007E767B">
              <w:t> </w:t>
            </w:r>
          </w:p>
        </w:tc>
        <w:tc>
          <w:tcPr>
            <w:tcW w:w="1134" w:type="dxa"/>
            <w:noWrap/>
            <w:vAlign w:val="top"/>
          </w:tcPr>
          <w:p w:rsidR="007E767B" w:rsidRPr="007E767B" w:rsidRDefault="007E767B" w:rsidP="0022005C">
            <w:pPr>
              <w:cnfStyle w:val="000000010000" w:firstRow="0" w:lastRow="0" w:firstColumn="0" w:lastColumn="0" w:oddVBand="0" w:evenVBand="0" w:oddHBand="0" w:evenHBand="1" w:firstRowFirstColumn="0" w:firstRowLastColumn="0" w:lastRowFirstColumn="0" w:lastRowLastColumn="0"/>
            </w:pPr>
            <w:r w:rsidRPr="007E767B">
              <w:t>225.0</w:t>
            </w:r>
          </w:p>
        </w:tc>
        <w:tc>
          <w:tcPr>
            <w:tcW w:w="1134" w:type="dxa"/>
            <w:noWrap/>
            <w:vAlign w:val="top"/>
          </w:tcPr>
          <w:p w:rsidR="007E767B" w:rsidRPr="007E767B" w:rsidRDefault="007E767B" w:rsidP="0022005C">
            <w:pPr>
              <w:cnfStyle w:val="000000010000" w:firstRow="0" w:lastRow="0" w:firstColumn="0" w:lastColumn="0" w:oddVBand="0" w:evenVBand="0" w:oddHBand="0" w:evenHBand="1" w:firstRowFirstColumn="0" w:firstRowLastColumn="0" w:lastRowFirstColumn="0" w:lastRowLastColumn="0"/>
            </w:pPr>
            <w:r w:rsidRPr="007E767B">
              <w:t>252.9</w:t>
            </w:r>
          </w:p>
        </w:tc>
        <w:tc>
          <w:tcPr>
            <w:tcW w:w="1150" w:type="dxa"/>
            <w:noWrap/>
            <w:vAlign w:val="top"/>
          </w:tcPr>
          <w:p w:rsidR="007E767B" w:rsidRPr="007E767B" w:rsidRDefault="007E767B" w:rsidP="0022005C">
            <w:pPr>
              <w:cnfStyle w:val="000000010000" w:firstRow="0" w:lastRow="0" w:firstColumn="0" w:lastColumn="0" w:oddVBand="0" w:evenVBand="0" w:oddHBand="0" w:evenHBand="1" w:firstRowFirstColumn="0" w:firstRowLastColumn="0" w:lastRowFirstColumn="0" w:lastRowLastColumn="0"/>
            </w:pPr>
            <w:r w:rsidRPr="007E767B">
              <w:t>478.0</w:t>
            </w:r>
          </w:p>
        </w:tc>
      </w:tr>
      <w:tr w:rsidR="007E767B" w:rsidRPr="00F77B4A" w:rsidTr="008213B3">
        <w:trPr>
          <w:trHeight w:val="287"/>
        </w:trPr>
        <w:tc>
          <w:tcPr>
            <w:cnfStyle w:val="001000000000" w:firstRow="0" w:lastRow="0" w:firstColumn="1" w:lastColumn="0" w:oddVBand="0" w:evenVBand="0" w:oddHBand="0" w:evenHBand="0" w:firstRowFirstColumn="0" w:firstRowLastColumn="0" w:lastRowFirstColumn="0" w:lastRowLastColumn="0"/>
            <w:tcW w:w="4684" w:type="dxa"/>
            <w:hideMark/>
          </w:tcPr>
          <w:p w:rsidR="007E767B" w:rsidRPr="007E767B" w:rsidRDefault="007E767B" w:rsidP="007E767B">
            <w:pPr>
              <w:rPr>
                <w:rStyle w:val="Strong"/>
              </w:rPr>
            </w:pPr>
            <w:r w:rsidRPr="007E767B">
              <w:rPr>
                <w:rStyle w:val="Strong"/>
              </w:rPr>
              <w:t>Annual expected revenue (smoothed)</w:t>
            </w:r>
          </w:p>
        </w:tc>
        <w:tc>
          <w:tcPr>
            <w:tcW w:w="669" w:type="dxa"/>
            <w:hideMark/>
          </w:tcPr>
          <w:p w:rsidR="007E767B" w:rsidRPr="007E767B" w:rsidRDefault="007E767B" w:rsidP="007E767B">
            <w:pPr>
              <w:cnfStyle w:val="000000000000" w:firstRow="0" w:lastRow="0" w:firstColumn="0" w:lastColumn="0" w:oddVBand="0" w:evenVBand="0" w:oddHBand="0" w:evenHBand="0" w:firstRowFirstColumn="0" w:firstRowLastColumn="0" w:lastRowFirstColumn="0" w:lastRowLastColumn="0"/>
            </w:pPr>
          </w:p>
        </w:tc>
        <w:tc>
          <w:tcPr>
            <w:tcW w:w="1134" w:type="dxa"/>
            <w:noWrap/>
            <w:vAlign w:val="top"/>
          </w:tcPr>
          <w:p w:rsidR="007E767B" w:rsidRPr="007E767B" w:rsidRDefault="007E767B" w:rsidP="0022005C">
            <w:pPr>
              <w:cnfStyle w:val="000000000000" w:firstRow="0" w:lastRow="0" w:firstColumn="0" w:lastColumn="0" w:oddVBand="0" w:evenVBand="0" w:oddHBand="0" w:evenHBand="0" w:firstRowFirstColumn="0" w:firstRowLastColumn="0" w:lastRowFirstColumn="0" w:lastRowLastColumn="0"/>
              <w:rPr>
                <w:rStyle w:val="Strong"/>
              </w:rPr>
            </w:pPr>
            <w:r w:rsidRPr="007E767B">
              <w:rPr>
                <w:rStyle w:val="Strong"/>
              </w:rPr>
              <w:t>235.8</w:t>
            </w:r>
          </w:p>
        </w:tc>
        <w:tc>
          <w:tcPr>
            <w:tcW w:w="1134" w:type="dxa"/>
            <w:noWrap/>
            <w:vAlign w:val="top"/>
          </w:tcPr>
          <w:p w:rsidR="007E767B" w:rsidRPr="007E767B" w:rsidRDefault="007E767B" w:rsidP="0022005C">
            <w:pPr>
              <w:cnfStyle w:val="000000000000" w:firstRow="0" w:lastRow="0" w:firstColumn="0" w:lastColumn="0" w:oddVBand="0" w:evenVBand="0" w:oddHBand="0" w:evenHBand="0" w:firstRowFirstColumn="0" w:firstRowLastColumn="0" w:lastRowFirstColumn="0" w:lastRowLastColumn="0"/>
              <w:rPr>
                <w:rStyle w:val="Strong"/>
              </w:rPr>
            </w:pPr>
            <w:r w:rsidRPr="007E767B">
              <w:rPr>
                <w:rStyle w:val="Strong"/>
              </w:rPr>
              <w:t>241.6</w:t>
            </w:r>
          </w:p>
        </w:tc>
        <w:tc>
          <w:tcPr>
            <w:tcW w:w="1150" w:type="dxa"/>
            <w:noWrap/>
            <w:vAlign w:val="top"/>
          </w:tcPr>
          <w:p w:rsidR="007E767B" w:rsidRPr="007E767B" w:rsidRDefault="007E767B" w:rsidP="0022005C">
            <w:pPr>
              <w:cnfStyle w:val="000000000000" w:firstRow="0" w:lastRow="0" w:firstColumn="0" w:lastColumn="0" w:oddVBand="0" w:evenVBand="0" w:oddHBand="0" w:evenHBand="0" w:firstRowFirstColumn="0" w:firstRowLastColumn="0" w:lastRowFirstColumn="0" w:lastRowLastColumn="0"/>
              <w:rPr>
                <w:rStyle w:val="Strong"/>
              </w:rPr>
            </w:pPr>
            <w:r w:rsidRPr="007E767B">
              <w:rPr>
                <w:rStyle w:val="Strong"/>
              </w:rPr>
              <w:t>477.3</w:t>
            </w:r>
          </w:p>
        </w:tc>
      </w:tr>
      <w:tr w:rsidR="00F71B06" w:rsidRPr="00F77B4A" w:rsidTr="008213B3">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684" w:type="dxa"/>
            <w:hideMark/>
          </w:tcPr>
          <w:p w:rsidR="00F71B06" w:rsidRPr="00F71B06" w:rsidRDefault="00F71B06" w:rsidP="00D964B9">
            <w:pPr>
              <w:rPr>
                <w:rStyle w:val="AERsuperscript"/>
              </w:rPr>
            </w:pPr>
            <w:r w:rsidRPr="00F71B06">
              <w:t>X factor</w:t>
            </w:r>
          </w:p>
        </w:tc>
        <w:tc>
          <w:tcPr>
            <w:tcW w:w="669" w:type="dxa"/>
            <w:hideMark/>
          </w:tcPr>
          <w:p w:rsidR="00F71B06" w:rsidRPr="00F71B06" w:rsidRDefault="00F71B06" w:rsidP="00F71B06">
            <w:pPr>
              <w:cnfStyle w:val="000000010000" w:firstRow="0" w:lastRow="0" w:firstColumn="0" w:lastColumn="0" w:oddVBand="0" w:evenVBand="0" w:oddHBand="0" w:evenHBand="1" w:firstRowFirstColumn="0" w:firstRowLastColumn="0" w:lastRowFirstColumn="0" w:lastRowLastColumn="0"/>
            </w:pPr>
            <w:r w:rsidRPr="00F71B06">
              <w:t> </w:t>
            </w:r>
          </w:p>
        </w:tc>
        <w:tc>
          <w:tcPr>
            <w:tcW w:w="1134" w:type="dxa"/>
            <w:noWrap/>
            <w:vAlign w:val="top"/>
          </w:tcPr>
          <w:p w:rsidR="00F71B06" w:rsidRPr="00F71B06" w:rsidRDefault="00D42FB7" w:rsidP="008213B3">
            <w:pPr>
              <w:cnfStyle w:val="000000010000" w:firstRow="0" w:lastRow="0" w:firstColumn="0" w:lastColumn="0" w:oddVBand="0" w:evenVBand="0" w:oddHBand="0" w:evenHBand="1" w:firstRowFirstColumn="0" w:firstRowLastColumn="0" w:lastRowFirstColumn="0" w:lastRowLastColumn="0"/>
            </w:pPr>
            <w:r>
              <w:t>n/a</w:t>
            </w:r>
            <w:r w:rsidR="00414A8C">
              <w:rPr>
                <w:rStyle w:val="AERsuperscript"/>
              </w:rPr>
              <w:t>d</w:t>
            </w:r>
          </w:p>
        </w:tc>
        <w:tc>
          <w:tcPr>
            <w:tcW w:w="1134" w:type="dxa"/>
            <w:noWrap/>
            <w:vAlign w:val="top"/>
          </w:tcPr>
          <w:p w:rsidR="00F71B06" w:rsidRPr="00F71B06" w:rsidRDefault="00F71B06" w:rsidP="00414A8C">
            <w:pPr>
              <w:cnfStyle w:val="000000010000" w:firstRow="0" w:lastRow="0" w:firstColumn="0" w:lastColumn="0" w:oddVBand="0" w:evenVBand="0" w:oddHBand="0" w:evenHBand="1" w:firstRowFirstColumn="0" w:firstRowLastColumn="0" w:lastRowFirstColumn="0" w:lastRowLastColumn="0"/>
            </w:pPr>
            <w:r w:rsidRPr="00F71B06">
              <w:t>0.00%</w:t>
            </w:r>
            <w:r w:rsidR="00414A8C">
              <w:rPr>
                <w:rStyle w:val="AERsuperscript"/>
              </w:rPr>
              <w:t>e</w:t>
            </w:r>
          </w:p>
        </w:tc>
        <w:tc>
          <w:tcPr>
            <w:tcW w:w="1150" w:type="dxa"/>
            <w:noWrap/>
            <w:vAlign w:val="top"/>
          </w:tcPr>
          <w:p w:rsidR="00F71B06" w:rsidRPr="00F71B06" w:rsidRDefault="00F71B06" w:rsidP="008213B3">
            <w:pPr>
              <w:cnfStyle w:val="000000010000" w:firstRow="0" w:lastRow="0" w:firstColumn="0" w:lastColumn="0" w:oddVBand="0" w:evenVBand="0" w:oddHBand="0" w:evenHBand="1" w:firstRowFirstColumn="0" w:firstRowLastColumn="0" w:lastRowFirstColumn="0" w:lastRowLastColumn="0"/>
            </w:pPr>
            <w:r w:rsidRPr="00F71B06">
              <w:t>n/a</w:t>
            </w:r>
          </w:p>
        </w:tc>
      </w:tr>
    </w:tbl>
    <w:p w:rsidR="00CC6473" w:rsidRPr="0060249C" w:rsidRDefault="00CC6473" w:rsidP="00CC6473">
      <w:pPr>
        <w:pStyle w:val="AERtablesource"/>
      </w:pPr>
      <w:r w:rsidRPr="0060249C">
        <w:t>Source:</w:t>
      </w:r>
      <w:r w:rsidRPr="0060249C">
        <w:tab/>
        <w:t>AER analysis.</w:t>
      </w:r>
    </w:p>
    <w:p w:rsidR="00CC6473" w:rsidRDefault="00CC6473" w:rsidP="00CC6473">
      <w:pPr>
        <w:pStyle w:val="AERtablesource"/>
      </w:pPr>
      <w:r>
        <w:t>(a)</w:t>
      </w:r>
      <w:r>
        <w:tab/>
        <w:t>Regulatory depreciation is straight-line depreciation net of the inflation indexation on the opening RAB.</w:t>
      </w:r>
    </w:p>
    <w:p w:rsidR="00CC6473" w:rsidRPr="0060249C" w:rsidRDefault="00CC6473" w:rsidP="00CC6473">
      <w:pPr>
        <w:pStyle w:val="AERtablesource"/>
      </w:pPr>
      <w:r>
        <w:t>(b</w:t>
      </w:r>
      <w:r w:rsidRPr="0060249C">
        <w:t>)</w:t>
      </w:r>
      <w:r w:rsidRPr="0060249C">
        <w:tab/>
        <w:t>Operating expenditure includes debt raising costs.</w:t>
      </w:r>
    </w:p>
    <w:p w:rsidR="00CC6473" w:rsidRDefault="00CC6473" w:rsidP="00CC6473">
      <w:pPr>
        <w:pStyle w:val="AERtablesource"/>
      </w:pPr>
      <w:r>
        <w:t>(c</w:t>
      </w:r>
      <w:r w:rsidRPr="0060249C">
        <w:t>)</w:t>
      </w:r>
      <w:r w:rsidRPr="0060249C">
        <w:tab/>
        <w:t>Revenue adjustments include the efficiency benefit sharing scheme (EBSS) car</w:t>
      </w:r>
      <w:r>
        <w:t>ry-overs and demand management innovation</w:t>
      </w:r>
      <w:r w:rsidRPr="0060249C">
        <w:t xml:space="preserve"> allowance. </w:t>
      </w:r>
    </w:p>
    <w:p w:rsidR="001315F4" w:rsidRPr="00F45398" w:rsidRDefault="001315F4" w:rsidP="001315F4">
      <w:pPr>
        <w:pStyle w:val="AERtablesource"/>
      </w:pPr>
      <w:r>
        <w:t>(d)</w:t>
      </w:r>
      <w:r>
        <w:tab/>
      </w:r>
      <w:r w:rsidRPr="00F45398">
        <w:t xml:space="preserve">TasNetworks is not required to apply an X factor for 2017–18 because we set the </w:t>
      </w:r>
      <w:r>
        <w:t xml:space="preserve">expected revenue for </w:t>
      </w:r>
      <w:r w:rsidRPr="00F45398">
        <w:t xml:space="preserve">2017–18 in this decision. The </w:t>
      </w:r>
      <w:r>
        <w:t>expected revenue</w:t>
      </w:r>
      <w:r w:rsidRPr="00F45398">
        <w:t xml:space="preserve"> for 2017–18</w:t>
      </w:r>
      <w:r>
        <w:t xml:space="preserve"> is $2</w:t>
      </w:r>
      <w:r w:rsidR="007E767B">
        <w:t>35.8</w:t>
      </w:r>
      <w:r>
        <w:t xml:space="preserve"> million ($nominal). This</w:t>
      </w:r>
      <w:r w:rsidRPr="00F45398">
        <w:t xml:space="preserve"> is around 1</w:t>
      </w:r>
      <w:r w:rsidR="007E767B">
        <w:t>9.5</w:t>
      </w:r>
      <w:r w:rsidRPr="00F45398">
        <w:t xml:space="preserve"> per cent lower than the </w:t>
      </w:r>
      <w:r>
        <w:t>estimated revenue</w:t>
      </w:r>
      <w:r w:rsidRPr="00F45398">
        <w:t xml:space="preserve"> for 2016–17 in real terms, or around 17.</w:t>
      </w:r>
      <w:r w:rsidR="007E767B">
        <w:t>6</w:t>
      </w:r>
      <w:r w:rsidRPr="00F45398">
        <w:t xml:space="preserve"> per cent </w:t>
      </w:r>
      <w:r>
        <w:t xml:space="preserve">lower </w:t>
      </w:r>
      <w:r w:rsidRPr="00F45398">
        <w:t>in nominal terms.</w:t>
      </w:r>
    </w:p>
    <w:p w:rsidR="00CC6473" w:rsidRDefault="001315F4" w:rsidP="00CC6473">
      <w:pPr>
        <w:pStyle w:val="AERtablesource"/>
      </w:pPr>
      <w:r w:rsidDel="001315F4">
        <w:t xml:space="preserve"> </w:t>
      </w:r>
      <w:r w:rsidR="00CC6473">
        <w:t>(</w:t>
      </w:r>
      <w:r w:rsidR="00414A8C">
        <w:t>e</w:t>
      </w:r>
      <w:r w:rsidR="00CC6473" w:rsidRPr="0060249C">
        <w:t>)</w:t>
      </w:r>
      <w:r w:rsidR="00CC6473" w:rsidRPr="0060249C">
        <w:tab/>
        <w:t>The X factor for 2018–19 will be revised to reflect the annual return on debt update. Under the CPI–X framework, the X factor measures the real rate of change in annual expected revenue from one year to the next. A negative X factor represents a real increase in revenue. Conversely, a positive X factor represents a real decrease in revenue.</w:t>
      </w:r>
    </w:p>
    <w:p w:rsidR="00CC6473" w:rsidRDefault="00CC6473" w:rsidP="006332DA">
      <w:pPr>
        <w:pStyle w:val="Heading2"/>
        <w:keepNext/>
      </w:pPr>
      <w:bookmarkStart w:id="93" w:name="_Ref451519510"/>
      <w:bookmarkStart w:id="94" w:name="_Toc456687647"/>
      <w:bookmarkStart w:id="95" w:name="_Toc462823954"/>
      <w:bookmarkStart w:id="96" w:name="_Toc481051868"/>
      <w:r>
        <w:lastRenderedPageBreak/>
        <w:t>Regulatory asset base</w:t>
      </w:r>
      <w:bookmarkEnd w:id="93"/>
      <w:bookmarkEnd w:id="94"/>
      <w:bookmarkEnd w:id="95"/>
      <w:bookmarkEnd w:id="96"/>
    </w:p>
    <w:p w:rsidR="00EF21AC" w:rsidRPr="007D4CC1" w:rsidRDefault="00EF21AC" w:rsidP="006332DA">
      <w:pPr>
        <w:keepNext/>
      </w:pPr>
      <w:r w:rsidRPr="007D4CC1">
        <w:t xml:space="preserve">The </w:t>
      </w:r>
      <w:r w:rsidRPr="00C54940">
        <w:t>regulat</w:t>
      </w:r>
      <w:r>
        <w:t>ory</w:t>
      </w:r>
      <w:r w:rsidRPr="00C54940">
        <w:t xml:space="preserve"> asset base (RAB) </w:t>
      </w:r>
      <w:r w:rsidRPr="007D4CC1">
        <w:t xml:space="preserve">is the value of the assets </w:t>
      </w:r>
      <w:r>
        <w:t xml:space="preserve">owned by TasNetworks </w:t>
      </w:r>
      <w:r w:rsidRPr="007D4CC1">
        <w:t>to provide distribution network services. We use the RAB to determine the return on capital and depreciation (retu</w:t>
      </w:r>
      <w:r>
        <w:t>rn of capital) building blocks.</w:t>
      </w:r>
    </w:p>
    <w:p w:rsidR="00FD3D76" w:rsidRDefault="00FD3D76" w:rsidP="00FD3D76">
      <w:r>
        <w:t xml:space="preserve">We make a decision on </w:t>
      </w:r>
      <w:r w:rsidR="007B51DC">
        <w:t>TasNetworks'</w:t>
      </w:r>
      <w:r w:rsidR="00EF21AC">
        <w:t xml:space="preserve"> </w:t>
      </w:r>
      <w:r>
        <w:t xml:space="preserve">opening </w:t>
      </w:r>
      <w:r w:rsidR="00F9005F">
        <w:t xml:space="preserve">RAB </w:t>
      </w:r>
      <w:r w:rsidR="00EF21AC">
        <w:t xml:space="preserve">value </w:t>
      </w:r>
      <w:r>
        <w:t>at 1 July 2017</w:t>
      </w:r>
      <w:r w:rsidR="007B51DC">
        <w:t xml:space="preserve"> as part of our distribution determination</w:t>
      </w:r>
      <w:r>
        <w:t xml:space="preserve">. We </w:t>
      </w:r>
      <w:r w:rsidR="007B51DC">
        <w:t xml:space="preserve">also make a decision on TasNetworks' projected </w:t>
      </w:r>
      <w:r w:rsidR="00EF21AC">
        <w:t xml:space="preserve">RAB </w:t>
      </w:r>
      <w:r w:rsidR="007B51DC">
        <w:t>for</w:t>
      </w:r>
      <w:r w:rsidR="00EF21AC">
        <w:t xml:space="preserve"> the</w:t>
      </w:r>
      <w:r>
        <w:t xml:space="preserve"> 2017–19 regulatory control period.</w:t>
      </w:r>
      <w:r>
        <w:rPr>
          <w:rStyle w:val="FootnoteReference"/>
        </w:rPr>
        <w:footnoteReference w:id="7"/>
      </w:r>
      <w:r>
        <w:t xml:space="preserve"> </w:t>
      </w:r>
    </w:p>
    <w:p w:rsidR="00575942" w:rsidRPr="00F44840" w:rsidRDefault="00C04C3C" w:rsidP="0039387B">
      <w:pPr>
        <w:pStyle w:val="HeadingBoldBlue"/>
      </w:pPr>
      <w:bookmarkStart w:id="97" w:name="_Toc451875539"/>
      <w:r>
        <w:t>O</w:t>
      </w:r>
      <w:r w:rsidR="00575942" w:rsidRPr="00F44840">
        <w:t>pening RAB</w:t>
      </w:r>
      <w:bookmarkEnd w:id="97"/>
      <w:r>
        <w:t xml:space="preserve"> at 1 July 2017</w:t>
      </w:r>
    </w:p>
    <w:p w:rsidR="00EF21AC" w:rsidRPr="00DB7432" w:rsidRDefault="00EF21AC" w:rsidP="00DB7432">
      <w:pPr>
        <w:rPr>
          <w:rStyle w:val="AERbody"/>
        </w:rPr>
      </w:pPr>
      <w:r w:rsidRPr="00DB7432">
        <w:rPr>
          <w:rStyle w:val="AERbody"/>
        </w:rPr>
        <w:t xml:space="preserve">Our </w:t>
      </w:r>
      <w:r w:rsidR="00F4207D" w:rsidRPr="00DB7432">
        <w:rPr>
          <w:rStyle w:val="AERbody"/>
        </w:rPr>
        <w:t xml:space="preserve">final </w:t>
      </w:r>
      <w:r w:rsidRPr="00DB7432">
        <w:rPr>
          <w:rStyle w:val="AERbody"/>
        </w:rPr>
        <w:t>decision is to set TasNetworks' opening RAB at $</w:t>
      </w:r>
      <w:r w:rsidR="00225175" w:rsidRPr="00DB7432">
        <w:rPr>
          <w:rStyle w:val="AERbody"/>
        </w:rPr>
        <w:t>16</w:t>
      </w:r>
      <w:r w:rsidR="002E2924" w:rsidRPr="00DB7432">
        <w:rPr>
          <w:rStyle w:val="AERbody"/>
        </w:rPr>
        <w:t>15</w:t>
      </w:r>
      <w:r w:rsidR="00225175" w:rsidRPr="00DB7432">
        <w:rPr>
          <w:rStyle w:val="AERbody"/>
        </w:rPr>
        <w:t>.2</w:t>
      </w:r>
      <w:r w:rsidRPr="00DB7432">
        <w:rPr>
          <w:rStyle w:val="AERbody"/>
        </w:rPr>
        <w:t xml:space="preserve"> million ($ nomina</w:t>
      </w:r>
      <w:r w:rsidR="00425233" w:rsidRPr="00DB7432">
        <w:rPr>
          <w:rStyle w:val="AERbody"/>
        </w:rPr>
        <w:t xml:space="preserve">l), as at 1 July 2017. This is </w:t>
      </w:r>
      <w:r w:rsidR="002E2924" w:rsidRPr="00DB7432">
        <w:rPr>
          <w:rStyle w:val="AERbody"/>
        </w:rPr>
        <w:t>0.4 per cent ($6</w:t>
      </w:r>
      <w:r w:rsidRPr="00DB7432">
        <w:rPr>
          <w:rStyle w:val="AERbody"/>
        </w:rPr>
        <w:t xml:space="preserve"> million) lower than TasNetworks' revised propos</w:t>
      </w:r>
      <w:r w:rsidR="00F4207D" w:rsidRPr="00DB7432">
        <w:rPr>
          <w:rStyle w:val="AERbody"/>
        </w:rPr>
        <w:t>al</w:t>
      </w:r>
      <w:r w:rsidRPr="00DB7432">
        <w:rPr>
          <w:rStyle w:val="AERbody"/>
        </w:rPr>
        <w:t xml:space="preserve"> of $</w:t>
      </w:r>
      <w:r w:rsidR="00134073" w:rsidRPr="00DB7432">
        <w:rPr>
          <w:rStyle w:val="AERbody"/>
        </w:rPr>
        <w:t>1621.2</w:t>
      </w:r>
      <w:r w:rsidRPr="00DB7432">
        <w:rPr>
          <w:rStyle w:val="AERbody"/>
        </w:rPr>
        <w:t xml:space="preserve"> million ($ nominal). Our final decision is </w:t>
      </w:r>
      <w:r w:rsidR="00425233" w:rsidRPr="00DB7432">
        <w:rPr>
          <w:rStyle w:val="AERbody"/>
        </w:rPr>
        <w:t>0.</w:t>
      </w:r>
      <w:r w:rsidR="002E2924" w:rsidRPr="00DB7432">
        <w:rPr>
          <w:rStyle w:val="AERbody"/>
        </w:rPr>
        <w:t>9</w:t>
      </w:r>
      <w:r w:rsidRPr="00DB7432">
        <w:rPr>
          <w:rStyle w:val="AERbody"/>
        </w:rPr>
        <w:t xml:space="preserve"> per cent ($</w:t>
      </w:r>
      <w:r w:rsidR="002E2924" w:rsidRPr="00DB7432">
        <w:rPr>
          <w:rStyle w:val="AERbody"/>
        </w:rPr>
        <w:t>14</w:t>
      </w:r>
      <w:r w:rsidR="00425233" w:rsidRPr="00DB7432">
        <w:rPr>
          <w:rStyle w:val="AERbody"/>
        </w:rPr>
        <w:t>.2</w:t>
      </w:r>
      <w:r w:rsidRPr="00DB7432">
        <w:rPr>
          <w:rStyle w:val="AERbody"/>
        </w:rPr>
        <w:t xml:space="preserve"> million) lower than our draft decision value for TasNetworks' opening RAB of $1629.4 million </w:t>
      </w:r>
      <w:r w:rsidR="00F63F7E" w:rsidRPr="00DB7432">
        <w:rPr>
          <w:rStyle w:val="AERbody"/>
        </w:rPr>
        <w:t>($ </w:t>
      </w:r>
      <w:r w:rsidRPr="00DB7432">
        <w:rPr>
          <w:rStyle w:val="AERbody"/>
        </w:rPr>
        <w:t>nominal).</w:t>
      </w:r>
    </w:p>
    <w:p w:rsidR="00FD3D76" w:rsidRDefault="00FD3D76" w:rsidP="00FD3D76">
      <w:pPr>
        <w:numPr>
          <w:ilvl w:val="0"/>
          <w:numId w:val="24"/>
        </w:numPr>
      </w:pPr>
      <w:r w:rsidRPr="00A449A3">
        <w:t xml:space="preserve">To determine the opening RAB as at </w:t>
      </w:r>
      <w:r>
        <w:t>1 July 2017</w:t>
      </w:r>
      <w:r w:rsidRPr="00A449A3">
        <w:t xml:space="preserve">, we have rolled forward the RAB over the </w:t>
      </w:r>
      <w:r>
        <w:t>2012–17</w:t>
      </w:r>
      <w:r w:rsidRPr="00A449A3">
        <w:t xml:space="preserve"> regulatory control period to determine a closing RAB value at </w:t>
      </w:r>
      <w:r>
        <w:t>30 June 2017</w:t>
      </w:r>
      <w:r w:rsidRPr="00A449A3">
        <w:t xml:space="preserve">. This roll forward includes an adjustment at the end of the </w:t>
      </w:r>
      <w:r>
        <w:t>2012–17</w:t>
      </w:r>
      <w:r w:rsidRPr="00A449A3">
        <w:t xml:space="preserve"> regulatory control period to account for the difference between actual 201</w:t>
      </w:r>
      <w:r>
        <w:t>1–12</w:t>
      </w:r>
      <w:r w:rsidRPr="00A449A3">
        <w:t xml:space="preserve"> capex and the estimate approved at the </w:t>
      </w:r>
      <w:r>
        <w:t>2012–17</w:t>
      </w:r>
      <w:r w:rsidRPr="00A449A3">
        <w:t xml:space="preserve"> determination.</w:t>
      </w:r>
      <w:r w:rsidRPr="00A449A3">
        <w:rPr>
          <w:rStyle w:val="FootnoteReference"/>
        </w:rPr>
        <w:footnoteReference w:id="8"/>
      </w:r>
      <w:r w:rsidRPr="00A449A3">
        <w:t xml:space="preserve"> </w:t>
      </w:r>
    </w:p>
    <w:p w:rsidR="009A7997" w:rsidRDefault="009F4910" w:rsidP="00FD3D76">
      <w:pPr>
        <w:numPr>
          <w:ilvl w:val="0"/>
          <w:numId w:val="24"/>
        </w:numPr>
      </w:pPr>
      <w:r>
        <w:t xml:space="preserve">In </w:t>
      </w:r>
      <w:r w:rsidR="001B37D2">
        <w:t xml:space="preserve">our </w:t>
      </w:r>
      <w:r>
        <w:t xml:space="preserve">draft decision, we accepted TasNetworks' proposed RAB roll forward approach and updated the 2015–16 inflation value with </w:t>
      </w:r>
      <w:r w:rsidR="00A570A3">
        <w:t>actual</w:t>
      </w:r>
      <w:r>
        <w:t xml:space="preserve"> CPI. </w:t>
      </w:r>
      <w:r w:rsidR="009A7997">
        <w:t>We noted that we w</w:t>
      </w:r>
      <w:r w:rsidR="00F4207D">
        <w:t>ould</w:t>
      </w:r>
      <w:r w:rsidR="009A7997">
        <w:t xml:space="preserve"> update the inflation</w:t>
      </w:r>
      <w:r w:rsidR="00F4207D">
        <w:t xml:space="preserve"> value</w:t>
      </w:r>
      <w:r w:rsidR="009A7997">
        <w:t xml:space="preserve"> for 2016–17 at the final decision. </w:t>
      </w:r>
      <w:r w:rsidR="005A2793">
        <w:t xml:space="preserve">We </w:t>
      </w:r>
      <w:r w:rsidR="00C7148A">
        <w:t xml:space="preserve">accepted </w:t>
      </w:r>
      <w:r w:rsidR="006C1E7A">
        <w:t>that TasNetworks'</w:t>
      </w:r>
      <w:r w:rsidR="00C7148A">
        <w:t xml:space="preserve"> actual capex incurred in 2014–15 is prudent and efficient</w:t>
      </w:r>
      <w:r w:rsidR="00F4207D">
        <w:t>,</w:t>
      </w:r>
      <w:r w:rsidR="00C7148A">
        <w:t xml:space="preserve"> and included it in the RAB. We</w:t>
      </w:r>
      <w:r w:rsidR="009A7997">
        <w:t xml:space="preserve"> </w:t>
      </w:r>
      <w:r w:rsidR="005A2793">
        <w:t xml:space="preserve">noted that </w:t>
      </w:r>
      <w:r w:rsidR="00C7148A">
        <w:t>we w</w:t>
      </w:r>
      <w:r w:rsidR="00F4207D">
        <w:t>ould</w:t>
      </w:r>
      <w:r w:rsidR="00C7148A">
        <w:t xml:space="preserve"> update </w:t>
      </w:r>
      <w:r w:rsidR="005A2793">
        <w:t>the 2015–16 estimated capex with actual</w:t>
      </w:r>
      <w:r w:rsidR="00C7148A">
        <w:t>s</w:t>
      </w:r>
      <w:r w:rsidR="005A2793">
        <w:t xml:space="preserve"> </w:t>
      </w:r>
      <w:r w:rsidR="00C7148A">
        <w:t>and may also update the 2016–17 estimated capex with a revised estimate in the final decision</w:t>
      </w:r>
      <w:r w:rsidR="009A7997">
        <w:t xml:space="preserve">. </w:t>
      </w:r>
      <w:r w:rsidR="00575942">
        <w:t xml:space="preserve">TasNetworks' revised proposal </w:t>
      </w:r>
      <w:r w:rsidR="001B37D2">
        <w:t xml:space="preserve">updates the approach </w:t>
      </w:r>
      <w:r w:rsidR="00FE47F5">
        <w:t>accepted in our draft decision</w:t>
      </w:r>
      <w:r>
        <w:t xml:space="preserve"> </w:t>
      </w:r>
      <w:r w:rsidR="00FE47F5">
        <w:t>with updates for</w:t>
      </w:r>
      <w:r>
        <w:t xml:space="preserve"> 2015–16 c</w:t>
      </w:r>
      <w:r w:rsidR="00575942">
        <w:t>a</w:t>
      </w:r>
      <w:r>
        <w:t>p</w:t>
      </w:r>
      <w:r w:rsidR="00575942">
        <w:t xml:space="preserve">ex </w:t>
      </w:r>
      <w:r w:rsidR="00FE47F5">
        <w:t xml:space="preserve">to reflect </w:t>
      </w:r>
      <w:r w:rsidR="00C7148A">
        <w:t>its</w:t>
      </w:r>
      <w:r w:rsidR="00575942">
        <w:t xml:space="preserve"> actual </w:t>
      </w:r>
      <w:r w:rsidR="00C7148A">
        <w:t>incurred capex for th</w:t>
      </w:r>
      <w:r w:rsidR="00F4207D">
        <w:t>at</w:t>
      </w:r>
      <w:r w:rsidR="00C7148A">
        <w:t xml:space="preserve"> year</w:t>
      </w:r>
      <w:r w:rsidR="00575942">
        <w:t xml:space="preserve">. </w:t>
      </w:r>
      <w:r w:rsidR="005A2793">
        <w:t>TasNetworks did not provide a</w:t>
      </w:r>
      <w:r w:rsidR="00F4207D">
        <w:t xml:space="preserve"> revised</w:t>
      </w:r>
      <w:r w:rsidR="005A2793">
        <w:t xml:space="preserve"> estimate</w:t>
      </w:r>
      <w:r w:rsidR="00F4207D">
        <w:t xml:space="preserve"> of</w:t>
      </w:r>
      <w:r w:rsidR="005A2793">
        <w:t xml:space="preserve"> capex for 2016–17 in its revised proposal. </w:t>
      </w:r>
    </w:p>
    <w:p w:rsidR="009A7997" w:rsidRDefault="00F4207D" w:rsidP="00FD3D76">
      <w:pPr>
        <w:numPr>
          <w:ilvl w:val="0"/>
          <w:numId w:val="24"/>
        </w:numPr>
      </w:pPr>
      <w:r>
        <w:t>For this final decision, w</w:t>
      </w:r>
      <w:r w:rsidR="009A7997">
        <w:t xml:space="preserve">e have updated the inflation </w:t>
      </w:r>
      <w:r>
        <w:t xml:space="preserve">value </w:t>
      </w:r>
      <w:r w:rsidR="009A7997">
        <w:t>for 2016–17 using the actual March 2017 CPI published by the ABS</w:t>
      </w:r>
      <w:r w:rsidR="00C7148A">
        <w:t xml:space="preserve"> as it has become available</w:t>
      </w:r>
      <w:r w:rsidR="009A7997">
        <w:t xml:space="preserve">. </w:t>
      </w:r>
      <w:r w:rsidR="00575942">
        <w:t>We have</w:t>
      </w:r>
      <w:r w:rsidR="00003D9C">
        <w:t xml:space="preserve"> also</w:t>
      </w:r>
      <w:r w:rsidR="00575942">
        <w:t xml:space="preserve"> </w:t>
      </w:r>
      <w:r w:rsidR="00C7148A">
        <w:t>found that</w:t>
      </w:r>
      <w:r w:rsidR="009A7997">
        <w:t xml:space="preserve"> </w:t>
      </w:r>
      <w:r w:rsidR="00575942">
        <w:t xml:space="preserve">the 2015–16 actual capex in the revised proposal </w:t>
      </w:r>
      <w:r w:rsidR="00C7148A">
        <w:t>reconcile with the values presented in</w:t>
      </w:r>
      <w:r w:rsidR="00575942">
        <w:t xml:space="preserve"> TasNetworks' annual reporting </w:t>
      </w:r>
      <w:r w:rsidR="003C6A8C">
        <w:t>regulatory information notice (</w:t>
      </w:r>
      <w:r w:rsidR="00575942">
        <w:t>RIN</w:t>
      </w:r>
      <w:r w:rsidR="003C6A8C">
        <w:t>)</w:t>
      </w:r>
      <w:r w:rsidR="00FE47F5">
        <w:t xml:space="preserve">. </w:t>
      </w:r>
      <w:r w:rsidR="001B37D2">
        <w:t>T</w:t>
      </w:r>
      <w:r w:rsidR="00FE47F5">
        <w:t xml:space="preserve">he </w:t>
      </w:r>
      <w:r w:rsidR="005A2793">
        <w:t>financial</w:t>
      </w:r>
      <w:r w:rsidR="00FE47F5">
        <w:t xml:space="preserve"> impact of any </w:t>
      </w:r>
      <w:r w:rsidR="005A2793">
        <w:t>difference</w:t>
      </w:r>
      <w:r w:rsidR="00FE47F5">
        <w:t xml:space="preserve"> between actual and estimated capex for 2016–17 will be accounted for at the next reset.</w:t>
      </w:r>
      <w:r w:rsidR="00FE47F5">
        <w:rPr>
          <w:rStyle w:val="FootnoteReference"/>
        </w:rPr>
        <w:footnoteReference w:id="9"/>
      </w:r>
      <w:r w:rsidR="00FE47F5">
        <w:t xml:space="preserve"> </w:t>
      </w:r>
    </w:p>
    <w:p w:rsidR="00C04C3C" w:rsidRDefault="00CC5C26" w:rsidP="00F67500">
      <w:pPr>
        <w:pStyle w:val="ListParagraph"/>
        <w:numPr>
          <w:ilvl w:val="0"/>
          <w:numId w:val="24"/>
        </w:numPr>
      </w:pPr>
      <w:r w:rsidRPr="00CC5C26">
        <w:lastRenderedPageBreak/>
        <w:t xml:space="preserve">We also consider the </w:t>
      </w:r>
      <w:r w:rsidRPr="00CC5C26">
        <w:rPr>
          <w:rStyle w:val="AERbody"/>
        </w:rPr>
        <w:t>extent to which our roll forward of the RAB to 1 July 2017 contributes to the achievement of the capital expenditure incentive objective.</w:t>
      </w:r>
      <w:r w:rsidRPr="00CC5C26">
        <w:rPr>
          <w:rStyle w:val="FootnoteReference"/>
        </w:rPr>
        <w:footnoteReference w:id="10"/>
      </w:r>
      <w:r w:rsidRPr="00CC5C26">
        <w:rPr>
          <w:rStyle w:val="AERbody"/>
        </w:rPr>
        <w:t xml:space="preserve"> </w:t>
      </w:r>
      <w:r>
        <w:rPr>
          <w:rStyle w:val="AERbody"/>
        </w:rPr>
        <w:t>As discussed in the draft decision</w:t>
      </w:r>
      <w:r w:rsidRPr="00CC5C26">
        <w:rPr>
          <w:rStyle w:val="AERbody"/>
        </w:rPr>
        <w:t xml:space="preserve">, </w:t>
      </w:r>
      <w:r w:rsidRPr="00CC5C26">
        <w:t>the review period for this distribution determination is limited to 2014–15 capex.</w:t>
      </w:r>
      <w:r w:rsidRPr="00CC5C26">
        <w:rPr>
          <w:rStyle w:val="FootnoteReference"/>
        </w:rPr>
        <w:footnoteReference w:id="11"/>
      </w:r>
      <w:r w:rsidRPr="00CC5C26">
        <w:t xml:space="preserve"> </w:t>
      </w:r>
      <w:r w:rsidR="00C04C3C">
        <w:t>Consistent with our draft decision,</w:t>
      </w:r>
      <w:r w:rsidRPr="00CC5C26">
        <w:t xml:space="preserve"> the overspending requirement for an efficiency review of past capex is not satisfied.</w:t>
      </w:r>
      <w:r w:rsidRPr="00CC5C26">
        <w:rPr>
          <w:rStyle w:val="FootnoteReference"/>
        </w:rPr>
        <w:footnoteReference w:id="12"/>
      </w:r>
      <w:r w:rsidRPr="00CC5C26">
        <w:t xml:space="preserve"> Accordingly, the capex incurred in that year is regarded as prudent and efficient, and included in the RAB—this is discussed further in appendix D of capex attachment 6</w:t>
      </w:r>
      <w:r w:rsidR="00C04C3C">
        <w:t xml:space="preserve"> of the draft decision</w:t>
      </w:r>
      <w:r w:rsidRPr="00CC5C26">
        <w:t>.</w:t>
      </w:r>
      <w:r w:rsidR="00C04C3C">
        <w:t xml:space="preserve"> </w:t>
      </w:r>
    </w:p>
    <w:p w:rsidR="009A7997" w:rsidRPr="00A449A3" w:rsidRDefault="00003D9C" w:rsidP="00F67500">
      <w:pPr>
        <w:pStyle w:val="ListParagraph"/>
        <w:numPr>
          <w:ilvl w:val="0"/>
          <w:numId w:val="24"/>
        </w:numPr>
      </w:pPr>
      <w:r>
        <w:rPr>
          <w:rStyle w:val="AERbody"/>
        </w:rPr>
        <w:t>F</w:t>
      </w:r>
      <w:r w:rsidR="009A7997">
        <w:rPr>
          <w:rStyle w:val="AERbody"/>
        </w:rPr>
        <w:t xml:space="preserve">or the purposes of this final decision, we have included TasNetworks' actual capex </w:t>
      </w:r>
      <w:r w:rsidR="00AD5255">
        <w:rPr>
          <w:rStyle w:val="AERbody"/>
        </w:rPr>
        <w:t>incurred in</w:t>
      </w:r>
      <w:r w:rsidR="009A7997">
        <w:rPr>
          <w:rStyle w:val="AERbody"/>
        </w:rPr>
        <w:t xml:space="preserve"> 2015–16 and estimated </w:t>
      </w:r>
      <w:r w:rsidR="00FE03AE">
        <w:rPr>
          <w:rStyle w:val="AERbody"/>
        </w:rPr>
        <w:t xml:space="preserve">capex for </w:t>
      </w:r>
      <w:r w:rsidR="009A7997">
        <w:rPr>
          <w:rStyle w:val="AERbody"/>
        </w:rPr>
        <w:t xml:space="preserve">2016–17 in the RAB </w:t>
      </w:r>
      <w:r w:rsidR="00C04C3C">
        <w:rPr>
          <w:rStyle w:val="AERbody"/>
        </w:rPr>
        <w:t>roll forward to</w:t>
      </w:r>
      <w:r w:rsidR="009A7997">
        <w:rPr>
          <w:rStyle w:val="AERbody"/>
        </w:rPr>
        <w:t xml:space="preserve"> 1 July 2017.</w:t>
      </w:r>
      <w:r w:rsidR="009A7997">
        <w:rPr>
          <w:rStyle w:val="FootnoteReference"/>
        </w:rPr>
        <w:footnoteReference w:id="13"/>
      </w:r>
      <w:r w:rsidR="009A7997">
        <w:rPr>
          <w:rStyle w:val="AERbody"/>
        </w:rPr>
        <w:t xml:space="preserve"> At the next reset, the 2015–16 and 2016–17 capex will form part of the review period for whether past capex should be excluded</w:t>
      </w:r>
      <w:r w:rsidR="00FE03AE">
        <w:rPr>
          <w:rStyle w:val="AERbody"/>
        </w:rPr>
        <w:t xml:space="preserve"> from the RAB</w:t>
      </w:r>
      <w:r w:rsidR="009A7997">
        <w:rPr>
          <w:rStyle w:val="AERbody"/>
        </w:rPr>
        <w:t xml:space="preserve"> for inefficiency reasons.</w:t>
      </w:r>
      <w:r w:rsidR="009A7997">
        <w:rPr>
          <w:rStyle w:val="FootnoteReference"/>
        </w:rPr>
        <w:footnoteReference w:id="14"/>
      </w:r>
      <w:r w:rsidR="00C04C3C">
        <w:rPr>
          <w:rStyle w:val="AERbody"/>
        </w:rPr>
        <w:t xml:space="preserve"> Our RAB roll forward applies the incentive framework approved in the previous distribution determination, which included the use of an actual depreciation approach.</w:t>
      </w:r>
      <w:r w:rsidR="00C04C3C">
        <w:rPr>
          <w:rStyle w:val="FootnoteReference"/>
        </w:rPr>
        <w:footnoteReference w:id="15"/>
      </w:r>
      <w:r w:rsidR="00C04C3C">
        <w:rPr>
          <w:rStyle w:val="AERbody"/>
        </w:rPr>
        <w:t xml:space="preserve"> As such, we consider that the 2012–17 RAB roll forward contributes to an opening RAB (as at 1 July 2017) that includes capex that reflects prudent and efficient costs, in accordance with the capital expenditure criteria.</w:t>
      </w:r>
      <w:r w:rsidR="00C04C3C">
        <w:rPr>
          <w:rStyle w:val="FootnoteReference"/>
        </w:rPr>
        <w:footnoteReference w:id="16"/>
      </w:r>
    </w:p>
    <w:p w:rsidR="00FD3D76" w:rsidRDefault="00FD3D76" w:rsidP="00754E0A">
      <w:r w:rsidRPr="00754E0A">
        <w:fldChar w:fldCharType="begin"/>
      </w:r>
      <w:r w:rsidRPr="00754E0A">
        <w:instrText xml:space="preserve"> REF _Ref453315250 \h </w:instrText>
      </w:r>
      <w:r w:rsidR="00754E0A">
        <w:instrText xml:space="preserve"> \* MERGEFORMAT </w:instrText>
      </w:r>
      <w:r w:rsidRPr="00754E0A">
        <w:fldChar w:fldCharType="separate"/>
      </w:r>
      <w:r w:rsidR="008B40D8" w:rsidRPr="008B40D8">
        <w:t>Table 3.2</w:t>
      </w:r>
      <w:r w:rsidRPr="00754E0A">
        <w:fldChar w:fldCharType="end"/>
      </w:r>
      <w:r w:rsidRPr="00754E0A">
        <w:t xml:space="preserve"> </w:t>
      </w:r>
      <w:r w:rsidR="00F44840" w:rsidRPr="00754E0A">
        <w:t>sets out</w:t>
      </w:r>
      <w:r w:rsidRPr="00754E0A">
        <w:t xml:space="preserve"> our </w:t>
      </w:r>
      <w:r w:rsidR="00F44840" w:rsidRPr="00754E0A">
        <w:t>final</w:t>
      </w:r>
      <w:r w:rsidRPr="00754E0A">
        <w:t xml:space="preserve"> decision on the roll forward of TasNetworks</w:t>
      </w:r>
      <w:r w:rsidR="00F44840" w:rsidRPr="00754E0A">
        <w:t>' RAB</w:t>
      </w:r>
      <w:r w:rsidRPr="00754E0A">
        <w:t xml:space="preserve"> </w:t>
      </w:r>
      <w:r w:rsidR="00F44840" w:rsidRPr="00754E0A">
        <w:t>for</w:t>
      </w:r>
      <w:r w:rsidRPr="00754E0A">
        <w:t xml:space="preserve"> the</w:t>
      </w:r>
      <w:r>
        <w:t xml:space="preserve"> 2012–17 regulatory control period. </w:t>
      </w:r>
    </w:p>
    <w:p w:rsidR="00FD3D76" w:rsidRDefault="00FD3D76" w:rsidP="0039387B">
      <w:pPr>
        <w:pStyle w:val="Caption"/>
      </w:pPr>
      <w:bookmarkStart w:id="98" w:name="_Ref453315250"/>
      <w:r w:rsidRPr="00A97FE5">
        <w:rPr>
          <w:rStyle w:val="AERtexthighlight"/>
          <w:shd w:val="clear" w:color="auto" w:fill="auto"/>
        </w:rPr>
        <w:lastRenderedPageBreak/>
        <w:t xml:space="preserve">Table </w:t>
      </w:r>
      <w:r w:rsidR="00465A73">
        <w:rPr>
          <w:rStyle w:val="AERtexthighlight"/>
          <w:shd w:val="clear" w:color="auto" w:fill="auto"/>
        </w:rPr>
        <w:fldChar w:fldCharType="begin"/>
      </w:r>
      <w:r w:rsidR="00465A73">
        <w:rPr>
          <w:rStyle w:val="AERtexthighlight"/>
          <w:shd w:val="clear" w:color="auto" w:fill="auto"/>
        </w:rPr>
        <w:instrText xml:space="preserve"> STYLEREF 1 \s </w:instrText>
      </w:r>
      <w:r w:rsidR="00465A73">
        <w:rPr>
          <w:rStyle w:val="AERtexthighlight"/>
          <w:shd w:val="clear" w:color="auto" w:fill="auto"/>
        </w:rPr>
        <w:fldChar w:fldCharType="separate"/>
      </w:r>
      <w:r w:rsidR="008B40D8">
        <w:rPr>
          <w:rStyle w:val="AERtexthighlight"/>
          <w:noProof/>
          <w:shd w:val="clear" w:color="auto" w:fill="auto"/>
        </w:rPr>
        <w:t>3</w:t>
      </w:r>
      <w:r w:rsidR="00465A73">
        <w:rPr>
          <w:rStyle w:val="AERtexthighlight"/>
          <w:shd w:val="clear" w:color="auto" w:fill="auto"/>
        </w:rPr>
        <w:fldChar w:fldCharType="end"/>
      </w:r>
      <w:r w:rsidR="00465A73">
        <w:rPr>
          <w:rStyle w:val="AERtexthighlight"/>
          <w:shd w:val="clear" w:color="auto" w:fill="auto"/>
        </w:rPr>
        <w:t>.</w:t>
      </w:r>
      <w:r w:rsidR="00465A73">
        <w:rPr>
          <w:rStyle w:val="AERtexthighlight"/>
          <w:shd w:val="clear" w:color="auto" w:fill="auto"/>
        </w:rPr>
        <w:fldChar w:fldCharType="begin"/>
      </w:r>
      <w:r w:rsidR="00465A73">
        <w:rPr>
          <w:rStyle w:val="AERtexthighlight"/>
          <w:shd w:val="clear" w:color="auto" w:fill="auto"/>
        </w:rPr>
        <w:instrText xml:space="preserve"> SEQ Table \* ARABIC \s 1 </w:instrText>
      </w:r>
      <w:r w:rsidR="00465A73">
        <w:rPr>
          <w:rStyle w:val="AERtexthighlight"/>
          <w:shd w:val="clear" w:color="auto" w:fill="auto"/>
        </w:rPr>
        <w:fldChar w:fldCharType="separate"/>
      </w:r>
      <w:r w:rsidR="008B40D8">
        <w:rPr>
          <w:rStyle w:val="AERtexthighlight"/>
          <w:noProof/>
          <w:shd w:val="clear" w:color="auto" w:fill="auto"/>
        </w:rPr>
        <w:t>2</w:t>
      </w:r>
      <w:r w:rsidR="00465A73">
        <w:rPr>
          <w:rStyle w:val="AERtexthighlight"/>
          <w:shd w:val="clear" w:color="auto" w:fill="auto"/>
        </w:rPr>
        <w:fldChar w:fldCharType="end"/>
      </w:r>
      <w:bookmarkEnd w:id="98"/>
      <w:r w:rsidRPr="00757D1F">
        <w:tab/>
        <w:t xml:space="preserve">AER's </w:t>
      </w:r>
      <w:r w:rsidR="00F44840">
        <w:t>final</w:t>
      </w:r>
      <w:r w:rsidRPr="00757D1F">
        <w:t xml:space="preserve"> decision on TasNetworks' RAB for the 2012–17</w:t>
      </w:r>
      <w:r>
        <w:t xml:space="preserve"> regulatory control period ($ million, nominal)</w:t>
      </w:r>
    </w:p>
    <w:tbl>
      <w:tblPr>
        <w:tblStyle w:val="AERtable-numbers"/>
        <w:tblW w:w="8693" w:type="dxa"/>
        <w:tblLayout w:type="fixed"/>
        <w:tblLook w:val="04A0" w:firstRow="1" w:lastRow="0" w:firstColumn="1" w:lastColumn="0" w:noHBand="0" w:noVBand="1"/>
      </w:tblPr>
      <w:tblGrid>
        <w:gridCol w:w="3472"/>
        <w:gridCol w:w="1044"/>
        <w:gridCol w:w="1044"/>
        <w:gridCol w:w="1044"/>
        <w:gridCol w:w="1044"/>
        <w:gridCol w:w="1045"/>
      </w:tblGrid>
      <w:tr w:rsidR="00FD3D76" w:rsidRPr="00486DA6" w:rsidTr="00FE47F5">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472" w:type="dxa"/>
            <w:noWrap/>
            <w:hideMark/>
          </w:tcPr>
          <w:p w:rsidR="00FD3D76" w:rsidRPr="00FD3D76" w:rsidRDefault="00FD3D76" w:rsidP="0039387B">
            <w:pPr>
              <w:keepNext/>
            </w:pPr>
            <w:r w:rsidRPr="00486DA6">
              <w:t> </w:t>
            </w:r>
          </w:p>
        </w:tc>
        <w:tc>
          <w:tcPr>
            <w:tcW w:w="1044" w:type="dxa"/>
          </w:tcPr>
          <w:p w:rsidR="00FD3D76" w:rsidRPr="00FD3D76" w:rsidRDefault="00FD3D76" w:rsidP="0039387B">
            <w:pPr>
              <w:keepNext/>
              <w:cnfStyle w:val="100000000000" w:firstRow="1" w:lastRow="0" w:firstColumn="0" w:lastColumn="0" w:oddVBand="0" w:evenVBand="0" w:oddHBand="0" w:evenHBand="0" w:firstRowFirstColumn="0" w:firstRowLastColumn="0" w:lastRowFirstColumn="0" w:lastRowLastColumn="0"/>
            </w:pPr>
            <w:r w:rsidRPr="00486DA6">
              <w:t>201</w:t>
            </w:r>
            <w:r w:rsidRPr="00FD3D76">
              <w:t>2–13</w:t>
            </w:r>
          </w:p>
        </w:tc>
        <w:tc>
          <w:tcPr>
            <w:tcW w:w="1044" w:type="dxa"/>
          </w:tcPr>
          <w:p w:rsidR="00FD3D76" w:rsidRPr="00FD3D76" w:rsidRDefault="00FD3D76" w:rsidP="0039387B">
            <w:pPr>
              <w:keepNext/>
              <w:cnfStyle w:val="100000000000" w:firstRow="1" w:lastRow="0" w:firstColumn="0" w:lastColumn="0" w:oddVBand="0" w:evenVBand="0" w:oddHBand="0" w:evenHBand="0" w:firstRowFirstColumn="0" w:firstRowLastColumn="0" w:lastRowFirstColumn="0" w:lastRowLastColumn="0"/>
            </w:pPr>
            <w:r w:rsidRPr="00486DA6">
              <w:t>201</w:t>
            </w:r>
            <w:r w:rsidRPr="00FD3D76">
              <w:t>3–14</w:t>
            </w:r>
          </w:p>
        </w:tc>
        <w:tc>
          <w:tcPr>
            <w:tcW w:w="1044" w:type="dxa"/>
            <w:noWrap/>
            <w:hideMark/>
          </w:tcPr>
          <w:p w:rsidR="00FD3D76" w:rsidRPr="00FD3D76" w:rsidRDefault="00FD3D76" w:rsidP="0039387B">
            <w:pPr>
              <w:keepNext/>
              <w:cnfStyle w:val="100000000000" w:firstRow="1" w:lastRow="0" w:firstColumn="0" w:lastColumn="0" w:oddVBand="0" w:evenVBand="0" w:oddHBand="0" w:evenHBand="0" w:firstRowFirstColumn="0" w:firstRowLastColumn="0" w:lastRowFirstColumn="0" w:lastRowLastColumn="0"/>
            </w:pPr>
            <w:r w:rsidRPr="00486DA6">
              <w:t>2014–15</w:t>
            </w:r>
          </w:p>
        </w:tc>
        <w:tc>
          <w:tcPr>
            <w:tcW w:w="1044" w:type="dxa"/>
            <w:noWrap/>
            <w:hideMark/>
          </w:tcPr>
          <w:p w:rsidR="00FD3D76" w:rsidRPr="00FD3D76" w:rsidRDefault="00FD3D76" w:rsidP="0039387B">
            <w:pPr>
              <w:keepNext/>
              <w:cnfStyle w:val="100000000000" w:firstRow="1" w:lastRow="0" w:firstColumn="0" w:lastColumn="0" w:oddVBand="0" w:evenVBand="0" w:oddHBand="0" w:evenHBand="0" w:firstRowFirstColumn="0" w:firstRowLastColumn="0" w:lastRowFirstColumn="0" w:lastRowLastColumn="0"/>
            </w:pPr>
            <w:r w:rsidRPr="00486DA6">
              <w:t>2015–16</w:t>
            </w:r>
          </w:p>
        </w:tc>
        <w:tc>
          <w:tcPr>
            <w:tcW w:w="1045" w:type="dxa"/>
            <w:noWrap/>
            <w:hideMark/>
          </w:tcPr>
          <w:p w:rsidR="00FD3D76" w:rsidRPr="00FD3D76" w:rsidRDefault="00FD3D76" w:rsidP="0039387B">
            <w:pPr>
              <w:keepNext/>
              <w:cnfStyle w:val="100000000000" w:firstRow="1" w:lastRow="0" w:firstColumn="0" w:lastColumn="0" w:oddVBand="0" w:evenVBand="0" w:oddHBand="0" w:evenHBand="0" w:firstRowFirstColumn="0" w:firstRowLastColumn="0" w:lastRowFirstColumn="0" w:lastRowLastColumn="0"/>
            </w:pPr>
            <w:r w:rsidRPr="00486DA6">
              <w:t>2016–17</w:t>
            </w:r>
            <w:r w:rsidR="00C04C3C">
              <w:rPr>
                <w:rStyle w:val="AERsuperscript"/>
              </w:rPr>
              <w:t>a</w:t>
            </w:r>
          </w:p>
        </w:tc>
      </w:tr>
      <w:tr w:rsidR="002E2924" w:rsidRPr="00486DA6" w:rsidTr="0022005C">
        <w:trPr>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2E2924" w:rsidRPr="002E2924" w:rsidRDefault="002E2924" w:rsidP="0039387B">
            <w:pPr>
              <w:keepNext/>
            </w:pPr>
            <w:r w:rsidRPr="002E2924">
              <w:t>Opening RAB</w:t>
            </w:r>
          </w:p>
        </w:tc>
        <w:tc>
          <w:tcPr>
            <w:tcW w:w="1044" w:type="dxa"/>
            <w:vAlign w:val="top"/>
          </w:tcPr>
          <w:p w:rsidR="002E2924" w:rsidRPr="002E2924" w:rsidRDefault="002E2924" w:rsidP="0039387B">
            <w:pPr>
              <w:keepNext/>
              <w:cnfStyle w:val="000000000000" w:firstRow="0" w:lastRow="0" w:firstColumn="0" w:lastColumn="0" w:oddVBand="0" w:evenVBand="0" w:oddHBand="0" w:evenHBand="0" w:firstRowFirstColumn="0" w:firstRowLastColumn="0" w:lastRowFirstColumn="0" w:lastRowLastColumn="0"/>
            </w:pPr>
            <w:r w:rsidRPr="002E2924">
              <w:t>1445.2</w:t>
            </w:r>
          </w:p>
        </w:tc>
        <w:tc>
          <w:tcPr>
            <w:tcW w:w="1044" w:type="dxa"/>
            <w:vAlign w:val="top"/>
          </w:tcPr>
          <w:p w:rsidR="002E2924" w:rsidRPr="002E2924" w:rsidRDefault="002E2924" w:rsidP="0039387B">
            <w:pPr>
              <w:keepNext/>
              <w:cnfStyle w:val="000000000000" w:firstRow="0" w:lastRow="0" w:firstColumn="0" w:lastColumn="0" w:oddVBand="0" w:evenVBand="0" w:oddHBand="0" w:evenHBand="0" w:firstRowFirstColumn="0" w:firstRowLastColumn="0" w:lastRowFirstColumn="0" w:lastRowLastColumn="0"/>
            </w:pPr>
            <w:r w:rsidRPr="002E2924">
              <w:t>1486.9</w:t>
            </w:r>
          </w:p>
        </w:tc>
        <w:tc>
          <w:tcPr>
            <w:tcW w:w="1044" w:type="dxa"/>
            <w:noWrap/>
            <w:vAlign w:val="top"/>
          </w:tcPr>
          <w:p w:rsidR="002E2924" w:rsidRPr="002E2924" w:rsidRDefault="002E2924" w:rsidP="0039387B">
            <w:pPr>
              <w:keepNext/>
              <w:cnfStyle w:val="000000000000" w:firstRow="0" w:lastRow="0" w:firstColumn="0" w:lastColumn="0" w:oddVBand="0" w:evenVBand="0" w:oddHBand="0" w:evenHBand="0" w:firstRowFirstColumn="0" w:firstRowLastColumn="0" w:lastRowFirstColumn="0" w:lastRowLastColumn="0"/>
            </w:pPr>
            <w:r w:rsidRPr="002E2924">
              <w:t>1539.3</w:t>
            </w:r>
          </w:p>
        </w:tc>
        <w:tc>
          <w:tcPr>
            <w:tcW w:w="1044" w:type="dxa"/>
            <w:noWrap/>
            <w:vAlign w:val="top"/>
          </w:tcPr>
          <w:p w:rsidR="002E2924" w:rsidRPr="002E2924" w:rsidRDefault="002E2924" w:rsidP="0039387B">
            <w:pPr>
              <w:keepNext/>
              <w:cnfStyle w:val="000000000000" w:firstRow="0" w:lastRow="0" w:firstColumn="0" w:lastColumn="0" w:oddVBand="0" w:evenVBand="0" w:oddHBand="0" w:evenHBand="0" w:firstRowFirstColumn="0" w:firstRowLastColumn="0" w:lastRowFirstColumn="0" w:lastRowLastColumn="0"/>
            </w:pPr>
            <w:r w:rsidRPr="002E2924">
              <w:t>1557.0</w:t>
            </w:r>
          </w:p>
        </w:tc>
        <w:tc>
          <w:tcPr>
            <w:tcW w:w="1045" w:type="dxa"/>
            <w:noWrap/>
            <w:vAlign w:val="top"/>
          </w:tcPr>
          <w:p w:rsidR="002E2924" w:rsidRPr="002E2924" w:rsidRDefault="002E2924" w:rsidP="0039387B">
            <w:pPr>
              <w:keepNext/>
              <w:cnfStyle w:val="000000000000" w:firstRow="0" w:lastRow="0" w:firstColumn="0" w:lastColumn="0" w:oddVBand="0" w:evenVBand="0" w:oddHBand="0" w:evenHBand="0" w:firstRowFirstColumn="0" w:firstRowLastColumn="0" w:lastRowFirstColumn="0" w:lastRowLastColumn="0"/>
            </w:pPr>
            <w:r w:rsidRPr="002E2924">
              <w:t>1597.0</w:t>
            </w:r>
          </w:p>
        </w:tc>
      </w:tr>
      <w:tr w:rsidR="002E2924" w:rsidRPr="00486DA6" w:rsidTr="0022005C">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2E2924" w:rsidRPr="002E2924" w:rsidRDefault="002E2924" w:rsidP="0039387B">
            <w:pPr>
              <w:keepNext/>
            </w:pPr>
            <w:r w:rsidRPr="002E2924">
              <w:t>Capital expenditure</w:t>
            </w:r>
            <w:r w:rsidRPr="002E2924">
              <w:rPr>
                <w:rStyle w:val="AERsuperscript"/>
              </w:rPr>
              <w:t>b</w:t>
            </w:r>
          </w:p>
        </w:tc>
        <w:tc>
          <w:tcPr>
            <w:tcW w:w="1044" w:type="dxa"/>
            <w:vAlign w:val="top"/>
          </w:tcPr>
          <w:p w:rsidR="002E2924" w:rsidRPr="002E2924" w:rsidRDefault="002E2924" w:rsidP="0039387B">
            <w:pPr>
              <w:keepNext/>
              <w:cnfStyle w:val="000000010000" w:firstRow="0" w:lastRow="0" w:firstColumn="0" w:lastColumn="0" w:oddVBand="0" w:evenVBand="0" w:oddHBand="0" w:evenHBand="1" w:firstRowFirstColumn="0" w:firstRowLastColumn="0" w:lastRowFirstColumn="0" w:lastRowLastColumn="0"/>
            </w:pPr>
            <w:r w:rsidRPr="002E2924">
              <w:t>89.3</w:t>
            </w:r>
          </w:p>
        </w:tc>
        <w:tc>
          <w:tcPr>
            <w:tcW w:w="1044" w:type="dxa"/>
            <w:vAlign w:val="top"/>
          </w:tcPr>
          <w:p w:rsidR="002E2924" w:rsidRPr="002E2924" w:rsidRDefault="002E2924" w:rsidP="0039387B">
            <w:pPr>
              <w:keepNext/>
              <w:cnfStyle w:val="000000010000" w:firstRow="0" w:lastRow="0" w:firstColumn="0" w:lastColumn="0" w:oddVBand="0" w:evenVBand="0" w:oddHBand="0" w:evenHBand="1" w:firstRowFirstColumn="0" w:firstRowLastColumn="0" w:lastRowFirstColumn="0" w:lastRowLastColumn="0"/>
            </w:pPr>
            <w:r w:rsidRPr="002E2924">
              <w:t>99.8</w:t>
            </w:r>
          </w:p>
        </w:tc>
        <w:tc>
          <w:tcPr>
            <w:tcW w:w="1044" w:type="dxa"/>
            <w:noWrap/>
            <w:vAlign w:val="top"/>
          </w:tcPr>
          <w:p w:rsidR="002E2924" w:rsidRPr="002E2924" w:rsidRDefault="002E2924" w:rsidP="0039387B">
            <w:pPr>
              <w:keepNext/>
              <w:cnfStyle w:val="000000010000" w:firstRow="0" w:lastRow="0" w:firstColumn="0" w:lastColumn="0" w:oddVBand="0" w:evenVBand="0" w:oddHBand="0" w:evenHBand="1" w:firstRowFirstColumn="0" w:firstRowLastColumn="0" w:lastRowFirstColumn="0" w:lastRowLastColumn="0"/>
            </w:pPr>
            <w:r w:rsidRPr="002E2924">
              <w:t>89.2</w:t>
            </w:r>
          </w:p>
        </w:tc>
        <w:tc>
          <w:tcPr>
            <w:tcW w:w="1044" w:type="dxa"/>
            <w:noWrap/>
            <w:vAlign w:val="top"/>
          </w:tcPr>
          <w:p w:rsidR="002E2924" w:rsidRPr="002E2924" w:rsidRDefault="002E2924" w:rsidP="0039387B">
            <w:pPr>
              <w:keepNext/>
              <w:cnfStyle w:val="000000010000" w:firstRow="0" w:lastRow="0" w:firstColumn="0" w:lastColumn="0" w:oddVBand="0" w:evenVBand="0" w:oddHBand="0" w:evenHBand="1" w:firstRowFirstColumn="0" w:firstRowLastColumn="0" w:lastRowFirstColumn="0" w:lastRowLastColumn="0"/>
            </w:pPr>
            <w:r w:rsidRPr="002E2924">
              <w:t>104.9</w:t>
            </w:r>
          </w:p>
        </w:tc>
        <w:tc>
          <w:tcPr>
            <w:tcW w:w="1045" w:type="dxa"/>
            <w:noWrap/>
            <w:vAlign w:val="top"/>
          </w:tcPr>
          <w:p w:rsidR="002E2924" w:rsidRPr="002E2924" w:rsidRDefault="002E2924" w:rsidP="0039387B">
            <w:pPr>
              <w:keepNext/>
              <w:cnfStyle w:val="000000010000" w:firstRow="0" w:lastRow="0" w:firstColumn="0" w:lastColumn="0" w:oddVBand="0" w:evenVBand="0" w:oddHBand="0" w:evenHBand="1" w:firstRowFirstColumn="0" w:firstRowLastColumn="0" w:lastRowFirstColumn="0" w:lastRowLastColumn="0"/>
            </w:pPr>
            <w:r w:rsidRPr="002E2924">
              <w:t>125.4</w:t>
            </w:r>
          </w:p>
        </w:tc>
      </w:tr>
      <w:tr w:rsidR="002E2924" w:rsidRPr="00486DA6" w:rsidTr="0022005C">
        <w:trPr>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2E2924" w:rsidRPr="002E2924" w:rsidRDefault="002E2924" w:rsidP="0039387B">
            <w:pPr>
              <w:keepNext/>
              <w:rPr>
                <w:rStyle w:val="AERsuperscript"/>
              </w:rPr>
            </w:pPr>
            <w:r w:rsidRPr="002E2924">
              <w:t>Inflation indexation on opening RAB</w:t>
            </w:r>
          </w:p>
        </w:tc>
        <w:tc>
          <w:tcPr>
            <w:tcW w:w="1044" w:type="dxa"/>
            <w:vAlign w:val="top"/>
          </w:tcPr>
          <w:p w:rsidR="002E2924" w:rsidRPr="002E2924" w:rsidRDefault="002E2924" w:rsidP="0039387B">
            <w:pPr>
              <w:keepNext/>
              <w:cnfStyle w:val="000000000000" w:firstRow="0" w:lastRow="0" w:firstColumn="0" w:lastColumn="0" w:oddVBand="0" w:evenVBand="0" w:oddHBand="0" w:evenHBand="0" w:firstRowFirstColumn="0" w:firstRowLastColumn="0" w:lastRowFirstColumn="0" w:lastRowLastColumn="0"/>
            </w:pPr>
            <w:r w:rsidRPr="002E2924">
              <w:t>36.2</w:t>
            </w:r>
          </w:p>
        </w:tc>
        <w:tc>
          <w:tcPr>
            <w:tcW w:w="1044" w:type="dxa"/>
            <w:vAlign w:val="top"/>
          </w:tcPr>
          <w:p w:rsidR="002E2924" w:rsidRPr="002E2924" w:rsidRDefault="002E2924" w:rsidP="0039387B">
            <w:pPr>
              <w:keepNext/>
              <w:cnfStyle w:val="000000000000" w:firstRow="0" w:lastRow="0" w:firstColumn="0" w:lastColumn="0" w:oddVBand="0" w:evenVBand="0" w:oddHBand="0" w:evenHBand="0" w:firstRowFirstColumn="0" w:firstRowLastColumn="0" w:lastRowFirstColumn="0" w:lastRowLastColumn="0"/>
            </w:pPr>
            <w:r w:rsidRPr="002E2924">
              <w:t>43.6</w:t>
            </w:r>
          </w:p>
        </w:tc>
        <w:tc>
          <w:tcPr>
            <w:tcW w:w="1044" w:type="dxa"/>
            <w:noWrap/>
            <w:vAlign w:val="top"/>
          </w:tcPr>
          <w:p w:rsidR="002E2924" w:rsidRPr="002E2924" w:rsidRDefault="002E2924" w:rsidP="0039387B">
            <w:pPr>
              <w:keepNext/>
              <w:cnfStyle w:val="000000000000" w:firstRow="0" w:lastRow="0" w:firstColumn="0" w:lastColumn="0" w:oddVBand="0" w:evenVBand="0" w:oddHBand="0" w:evenHBand="0" w:firstRowFirstColumn="0" w:firstRowLastColumn="0" w:lastRowFirstColumn="0" w:lastRowLastColumn="0"/>
            </w:pPr>
            <w:r w:rsidRPr="002E2924">
              <w:t>20.4</w:t>
            </w:r>
          </w:p>
        </w:tc>
        <w:tc>
          <w:tcPr>
            <w:tcW w:w="1044" w:type="dxa"/>
            <w:noWrap/>
            <w:vAlign w:val="top"/>
          </w:tcPr>
          <w:p w:rsidR="002E2924" w:rsidRPr="002E2924" w:rsidRDefault="002E2924" w:rsidP="0039387B">
            <w:pPr>
              <w:keepNext/>
              <w:cnfStyle w:val="000000000000" w:firstRow="0" w:lastRow="0" w:firstColumn="0" w:lastColumn="0" w:oddVBand="0" w:evenVBand="0" w:oddHBand="0" w:evenHBand="0" w:firstRowFirstColumn="0" w:firstRowLastColumn="0" w:lastRowFirstColumn="0" w:lastRowLastColumn="0"/>
            </w:pPr>
            <w:r w:rsidRPr="002E2924">
              <w:t>20.4</w:t>
            </w:r>
          </w:p>
        </w:tc>
        <w:tc>
          <w:tcPr>
            <w:tcW w:w="1045" w:type="dxa"/>
            <w:noWrap/>
            <w:vAlign w:val="top"/>
          </w:tcPr>
          <w:p w:rsidR="002E2924" w:rsidRPr="002E2924" w:rsidRDefault="002E2924" w:rsidP="0039387B">
            <w:pPr>
              <w:keepNext/>
              <w:cnfStyle w:val="000000000000" w:firstRow="0" w:lastRow="0" w:firstColumn="0" w:lastColumn="0" w:oddVBand="0" w:evenVBand="0" w:oddHBand="0" w:evenHBand="0" w:firstRowFirstColumn="0" w:firstRowLastColumn="0" w:lastRowFirstColumn="0" w:lastRowLastColumn="0"/>
            </w:pPr>
            <w:r w:rsidRPr="002E2924">
              <w:t>33.9</w:t>
            </w:r>
          </w:p>
        </w:tc>
      </w:tr>
      <w:tr w:rsidR="002E2924" w:rsidRPr="00486DA6" w:rsidTr="0022005C">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2E2924" w:rsidRPr="002E2924" w:rsidRDefault="002E2924" w:rsidP="0039387B">
            <w:pPr>
              <w:keepNext/>
            </w:pPr>
            <w:r w:rsidRPr="002E2924">
              <w:rPr>
                <w:rStyle w:val="AERtextitalic"/>
              </w:rPr>
              <w:t>Less:</w:t>
            </w:r>
            <w:r w:rsidRPr="002E2924">
              <w:t xml:space="preserve"> straight-line depreciation</w:t>
            </w:r>
            <w:r w:rsidRPr="002E2924">
              <w:rPr>
                <w:rStyle w:val="AERsuperscript"/>
              </w:rPr>
              <w:t>c</w:t>
            </w:r>
          </w:p>
        </w:tc>
        <w:tc>
          <w:tcPr>
            <w:tcW w:w="1044" w:type="dxa"/>
            <w:vAlign w:val="top"/>
          </w:tcPr>
          <w:p w:rsidR="002E2924" w:rsidRPr="002E2924" w:rsidRDefault="002E2924" w:rsidP="0039387B">
            <w:pPr>
              <w:keepNext/>
              <w:cnfStyle w:val="000000010000" w:firstRow="0" w:lastRow="0" w:firstColumn="0" w:lastColumn="0" w:oddVBand="0" w:evenVBand="0" w:oddHBand="0" w:evenHBand="1" w:firstRowFirstColumn="0" w:firstRowLastColumn="0" w:lastRowFirstColumn="0" w:lastRowLastColumn="0"/>
            </w:pPr>
            <w:r w:rsidRPr="002E2924">
              <w:t>83.8</w:t>
            </w:r>
          </w:p>
        </w:tc>
        <w:tc>
          <w:tcPr>
            <w:tcW w:w="1044" w:type="dxa"/>
            <w:vAlign w:val="top"/>
          </w:tcPr>
          <w:p w:rsidR="002E2924" w:rsidRPr="002E2924" w:rsidRDefault="002E2924" w:rsidP="0039387B">
            <w:pPr>
              <w:keepNext/>
              <w:cnfStyle w:val="000000010000" w:firstRow="0" w:lastRow="0" w:firstColumn="0" w:lastColumn="0" w:oddVBand="0" w:evenVBand="0" w:oddHBand="0" w:evenHBand="1" w:firstRowFirstColumn="0" w:firstRowLastColumn="0" w:lastRowFirstColumn="0" w:lastRowLastColumn="0"/>
            </w:pPr>
            <w:r w:rsidRPr="002E2924">
              <w:t>90.9</w:t>
            </w:r>
          </w:p>
        </w:tc>
        <w:tc>
          <w:tcPr>
            <w:tcW w:w="1044" w:type="dxa"/>
            <w:noWrap/>
            <w:vAlign w:val="top"/>
          </w:tcPr>
          <w:p w:rsidR="002E2924" w:rsidRPr="002E2924" w:rsidRDefault="002E2924" w:rsidP="0039387B">
            <w:pPr>
              <w:keepNext/>
              <w:cnfStyle w:val="000000010000" w:firstRow="0" w:lastRow="0" w:firstColumn="0" w:lastColumn="0" w:oddVBand="0" w:evenVBand="0" w:oddHBand="0" w:evenHBand="1" w:firstRowFirstColumn="0" w:firstRowLastColumn="0" w:lastRowFirstColumn="0" w:lastRowLastColumn="0"/>
            </w:pPr>
            <w:r w:rsidRPr="002E2924">
              <w:t>91.9</w:t>
            </w:r>
          </w:p>
        </w:tc>
        <w:tc>
          <w:tcPr>
            <w:tcW w:w="1044" w:type="dxa"/>
            <w:noWrap/>
            <w:vAlign w:val="top"/>
          </w:tcPr>
          <w:p w:rsidR="002E2924" w:rsidRPr="002E2924" w:rsidRDefault="002E2924" w:rsidP="0039387B">
            <w:pPr>
              <w:keepNext/>
              <w:cnfStyle w:val="000000010000" w:firstRow="0" w:lastRow="0" w:firstColumn="0" w:lastColumn="0" w:oddVBand="0" w:evenVBand="0" w:oddHBand="0" w:evenHBand="1" w:firstRowFirstColumn="0" w:firstRowLastColumn="0" w:lastRowFirstColumn="0" w:lastRowLastColumn="0"/>
            </w:pPr>
            <w:r w:rsidRPr="002E2924">
              <w:t>85.4</w:t>
            </w:r>
          </w:p>
        </w:tc>
        <w:tc>
          <w:tcPr>
            <w:tcW w:w="1045" w:type="dxa"/>
            <w:noWrap/>
            <w:vAlign w:val="top"/>
          </w:tcPr>
          <w:p w:rsidR="002E2924" w:rsidRPr="002E2924" w:rsidRDefault="002E2924" w:rsidP="0039387B">
            <w:pPr>
              <w:keepNext/>
              <w:cnfStyle w:val="000000010000" w:firstRow="0" w:lastRow="0" w:firstColumn="0" w:lastColumn="0" w:oddVBand="0" w:evenVBand="0" w:oddHBand="0" w:evenHBand="1" w:firstRowFirstColumn="0" w:firstRowLastColumn="0" w:lastRowFirstColumn="0" w:lastRowLastColumn="0"/>
            </w:pPr>
            <w:r w:rsidRPr="002E2924">
              <w:t>86.2</w:t>
            </w:r>
          </w:p>
        </w:tc>
      </w:tr>
      <w:tr w:rsidR="002E2924" w:rsidRPr="0014090A" w:rsidTr="0022005C">
        <w:trPr>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2E2924" w:rsidRPr="002E2924" w:rsidRDefault="002E2924" w:rsidP="0039387B">
            <w:pPr>
              <w:keepNext/>
            </w:pPr>
            <w:r w:rsidRPr="002E2924">
              <w:t>Closing RAB</w:t>
            </w:r>
          </w:p>
        </w:tc>
        <w:tc>
          <w:tcPr>
            <w:tcW w:w="1044" w:type="dxa"/>
            <w:vAlign w:val="top"/>
          </w:tcPr>
          <w:p w:rsidR="002E2924" w:rsidRPr="002E2924" w:rsidRDefault="002E2924" w:rsidP="0039387B">
            <w:pPr>
              <w:keepNext/>
              <w:cnfStyle w:val="000000000000" w:firstRow="0" w:lastRow="0" w:firstColumn="0" w:lastColumn="0" w:oddVBand="0" w:evenVBand="0" w:oddHBand="0" w:evenHBand="0" w:firstRowFirstColumn="0" w:firstRowLastColumn="0" w:lastRowFirstColumn="0" w:lastRowLastColumn="0"/>
            </w:pPr>
            <w:r w:rsidRPr="002E2924">
              <w:t>1486.9</w:t>
            </w:r>
          </w:p>
        </w:tc>
        <w:tc>
          <w:tcPr>
            <w:tcW w:w="1044" w:type="dxa"/>
            <w:vAlign w:val="top"/>
          </w:tcPr>
          <w:p w:rsidR="002E2924" w:rsidRPr="002E2924" w:rsidRDefault="002E2924" w:rsidP="0039387B">
            <w:pPr>
              <w:keepNext/>
              <w:cnfStyle w:val="000000000000" w:firstRow="0" w:lastRow="0" w:firstColumn="0" w:lastColumn="0" w:oddVBand="0" w:evenVBand="0" w:oddHBand="0" w:evenHBand="0" w:firstRowFirstColumn="0" w:firstRowLastColumn="0" w:lastRowFirstColumn="0" w:lastRowLastColumn="0"/>
            </w:pPr>
            <w:r w:rsidRPr="002E2924">
              <w:t>1539.3</w:t>
            </w:r>
          </w:p>
        </w:tc>
        <w:tc>
          <w:tcPr>
            <w:tcW w:w="1044" w:type="dxa"/>
            <w:noWrap/>
            <w:vAlign w:val="top"/>
          </w:tcPr>
          <w:p w:rsidR="002E2924" w:rsidRPr="002E2924" w:rsidRDefault="002E2924" w:rsidP="0039387B">
            <w:pPr>
              <w:keepNext/>
              <w:cnfStyle w:val="000000000000" w:firstRow="0" w:lastRow="0" w:firstColumn="0" w:lastColumn="0" w:oddVBand="0" w:evenVBand="0" w:oddHBand="0" w:evenHBand="0" w:firstRowFirstColumn="0" w:firstRowLastColumn="0" w:lastRowFirstColumn="0" w:lastRowLastColumn="0"/>
            </w:pPr>
            <w:r w:rsidRPr="002E2924">
              <w:t>1557.0</w:t>
            </w:r>
          </w:p>
        </w:tc>
        <w:tc>
          <w:tcPr>
            <w:tcW w:w="1044" w:type="dxa"/>
            <w:noWrap/>
            <w:vAlign w:val="top"/>
          </w:tcPr>
          <w:p w:rsidR="002E2924" w:rsidRPr="002E2924" w:rsidRDefault="002E2924" w:rsidP="0039387B">
            <w:pPr>
              <w:keepNext/>
              <w:cnfStyle w:val="000000000000" w:firstRow="0" w:lastRow="0" w:firstColumn="0" w:lastColumn="0" w:oddVBand="0" w:evenVBand="0" w:oddHBand="0" w:evenHBand="0" w:firstRowFirstColumn="0" w:firstRowLastColumn="0" w:lastRowFirstColumn="0" w:lastRowLastColumn="0"/>
            </w:pPr>
            <w:r w:rsidRPr="002E2924">
              <w:t>1597.0</w:t>
            </w:r>
          </w:p>
        </w:tc>
        <w:tc>
          <w:tcPr>
            <w:tcW w:w="1045" w:type="dxa"/>
            <w:noWrap/>
            <w:vAlign w:val="top"/>
          </w:tcPr>
          <w:p w:rsidR="002E2924" w:rsidRPr="002E2924" w:rsidRDefault="002E2924" w:rsidP="0039387B">
            <w:pPr>
              <w:keepNext/>
              <w:cnfStyle w:val="000000000000" w:firstRow="0" w:lastRow="0" w:firstColumn="0" w:lastColumn="0" w:oddVBand="0" w:evenVBand="0" w:oddHBand="0" w:evenHBand="0" w:firstRowFirstColumn="0" w:firstRowLastColumn="0" w:lastRowFirstColumn="0" w:lastRowLastColumn="0"/>
            </w:pPr>
            <w:r w:rsidRPr="002E2924">
              <w:t>1670.1</w:t>
            </w:r>
          </w:p>
        </w:tc>
      </w:tr>
      <w:tr w:rsidR="002E2924" w:rsidRPr="00486DA6" w:rsidTr="0022005C">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2E2924" w:rsidRPr="002E2924" w:rsidRDefault="002E2924" w:rsidP="0039387B">
            <w:pPr>
              <w:keepNext/>
            </w:pPr>
            <w:r w:rsidRPr="002E2924">
              <w:t>Difference between estimated and actual 2011</w:t>
            </w:r>
            <w:r w:rsidRPr="002E2924">
              <w:softHyphen/>
            </w:r>
            <w:r w:rsidRPr="002E2924">
              <w:softHyphen/>
              <w:t>-12 capex (1 July 2011 to 30 June 2012)</w:t>
            </w:r>
          </w:p>
        </w:tc>
        <w:tc>
          <w:tcPr>
            <w:tcW w:w="1044" w:type="dxa"/>
            <w:vAlign w:val="top"/>
          </w:tcPr>
          <w:p w:rsidR="002E2924" w:rsidRPr="002E2924" w:rsidRDefault="002E2924" w:rsidP="0039387B">
            <w:pPr>
              <w:keepNext/>
              <w:cnfStyle w:val="000000010000" w:firstRow="0" w:lastRow="0" w:firstColumn="0" w:lastColumn="0" w:oddVBand="0" w:evenVBand="0" w:oddHBand="0" w:evenHBand="1" w:firstRowFirstColumn="0" w:firstRowLastColumn="0" w:lastRowFirstColumn="0" w:lastRowLastColumn="0"/>
            </w:pPr>
          </w:p>
        </w:tc>
        <w:tc>
          <w:tcPr>
            <w:tcW w:w="1044" w:type="dxa"/>
            <w:vAlign w:val="top"/>
          </w:tcPr>
          <w:p w:rsidR="002E2924" w:rsidRPr="002E2924" w:rsidRDefault="002E2924" w:rsidP="0039387B">
            <w:pPr>
              <w:keepNext/>
              <w:cnfStyle w:val="000000010000" w:firstRow="0" w:lastRow="0" w:firstColumn="0" w:lastColumn="0" w:oddVBand="0" w:evenVBand="0" w:oddHBand="0" w:evenHBand="1" w:firstRowFirstColumn="0" w:firstRowLastColumn="0" w:lastRowFirstColumn="0" w:lastRowLastColumn="0"/>
            </w:pPr>
          </w:p>
        </w:tc>
        <w:tc>
          <w:tcPr>
            <w:tcW w:w="1044" w:type="dxa"/>
            <w:noWrap/>
            <w:vAlign w:val="top"/>
          </w:tcPr>
          <w:p w:rsidR="002E2924" w:rsidRPr="002E2924" w:rsidRDefault="002E2924" w:rsidP="0039387B">
            <w:pPr>
              <w:keepNext/>
              <w:cnfStyle w:val="000000010000" w:firstRow="0" w:lastRow="0" w:firstColumn="0" w:lastColumn="0" w:oddVBand="0" w:evenVBand="0" w:oddHBand="0" w:evenHBand="1" w:firstRowFirstColumn="0" w:firstRowLastColumn="0" w:lastRowFirstColumn="0" w:lastRowLastColumn="0"/>
            </w:pPr>
          </w:p>
        </w:tc>
        <w:tc>
          <w:tcPr>
            <w:tcW w:w="1044" w:type="dxa"/>
            <w:noWrap/>
            <w:vAlign w:val="top"/>
          </w:tcPr>
          <w:p w:rsidR="002E2924" w:rsidRPr="002E2924" w:rsidRDefault="002E2924" w:rsidP="0039387B">
            <w:pPr>
              <w:keepNext/>
              <w:cnfStyle w:val="000000010000" w:firstRow="0" w:lastRow="0" w:firstColumn="0" w:lastColumn="0" w:oddVBand="0" w:evenVBand="0" w:oddHBand="0" w:evenHBand="1" w:firstRowFirstColumn="0" w:firstRowLastColumn="0" w:lastRowFirstColumn="0" w:lastRowLastColumn="0"/>
            </w:pPr>
          </w:p>
        </w:tc>
        <w:tc>
          <w:tcPr>
            <w:tcW w:w="1045" w:type="dxa"/>
            <w:noWrap/>
            <w:vAlign w:val="top"/>
          </w:tcPr>
          <w:p w:rsidR="002E2924" w:rsidRPr="002E2924" w:rsidRDefault="002E2924" w:rsidP="0039387B">
            <w:pPr>
              <w:keepNext/>
              <w:cnfStyle w:val="000000010000" w:firstRow="0" w:lastRow="0" w:firstColumn="0" w:lastColumn="0" w:oddVBand="0" w:evenVBand="0" w:oddHBand="0" w:evenHBand="1" w:firstRowFirstColumn="0" w:firstRowLastColumn="0" w:lastRowFirstColumn="0" w:lastRowLastColumn="0"/>
            </w:pPr>
            <w:r w:rsidRPr="002E2924">
              <w:t>–38.0</w:t>
            </w:r>
          </w:p>
        </w:tc>
      </w:tr>
      <w:tr w:rsidR="002E2924" w:rsidRPr="00486DA6" w:rsidTr="0022005C">
        <w:trPr>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2E2924" w:rsidRPr="002E2924" w:rsidRDefault="002E2924" w:rsidP="0039387B">
            <w:pPr>
              <w:keepNext/>
            </w:pPr>
            <w:r w:rsidRPr="002E2924">
              <w:t>Return on difference for 2011–12 capex</w:t>
            </w:r>
          </w:p>
        </w:tc>
        <w:tc>
          <w:tcPr>
            <w:tcW w:w="1044" w:type="dxa"/>
            <w:vAlign w:val="top"/>
          </w:tcPr>
          <w:p w:rsidR="002E2924" w:rsidRPr="002E2924" w:rsidRDefault="002E2924" w:rsidP="0039387B">
            <w:pPr>
              <w:keepNext/>
              <w:cnfStyle w:val="000000000000" w:firstRow="0" w:lastRow="0" w:firstColumn="0" w:lastColumn="0" w:oddVBand="0" w:evenVBand="0" w:oddHBand="0" w:evenHBand="0" w:firstRowFirstColumn="0" w:firstRowLastColumn="0" w:lastRowFirstColumn="0" w:lastRowLastColumn="0"/>
            </w:pPr>
          </w:p>
        </w:tc>
        <w:tc>
          <w:tcPr>
            <w:tcW w:w="1044" w:type="dxa"/>
            <w:vAlign w:val="top"/>
          </w:tcPr>
          <w:p w:rsidR="002E2924" w:rsidRPr="002E2924" w:rsidRDefault="002E2924" w:rsidP="0039387B">
            <w:pPr>
              <w:keepNext/>
              <w:cnfStyle w:val="000000000000" w:firstRow="0" w:lastRow="0" w:firstColumn="0" w:lastColumn="0" w:oddVBand="0" w:evenVBand="0" w:oddHBand="0" w:evenHBand="0" w:firstRowFirstColumn="0" w:firstRowLastColumn="0" w:lastRowFirstColumn="0" w:lastRowLastColumn="0"/>
            </w:pPr>
          </w:p>
        </w:tc>
        <w:tc>
          <w:tcPr>
            <w:tcW w:w="1044" w:type="dxa"/>
            <w:noWrap/>
            <w:vAlign w:val="top"/>
          </w:tcPr>
          <w:p w:rsidR="002E2924" w:rsidRPr="002E2924" w:rsidRDefault="002E2924" w:rsidP="0039387B">
            <w:pPr>
              <w:keepNext/>
              <w:cnfStyle w:val="000000000000" w:firstRow="0" w:lastRow="0" w:firstColumn="0" w:lastColumn="0" w:oddVBand="0" w:evenVBand="0" w:oddHBand="0" w:evenHBand="0" w:firstRowFirstColumn="0" w:firstRowLastColumn="0" w:lastRowFirstColumn="0" w:lastRowLastColumn="0"/>
            </w:pPr>
          </w:p>
        </w:tc>
        <w:tc>
          <w:tcPr>
            <w:tcW w:w="1044" w:type="dxa"/>
            <w:noWrap/>
            <w:vAlign w:val="top"/>
          </w:tcPr>
          <w:p w:rsidR="002E2924" w:rsidRPr="002E2924" w:rsidRDefault="002E2924" w:rsidP="0039387B">
            <w:pPr>
              <w:keepNext/>
              <w:cnfStyle w:val="000000000000" w:firstRow="0" w:lastRow="0" w:firstColumn="0" w:lastColumn="0" w:oddVBand="0" w:evenVBand="0" w:oddHBand="0" w:evenHBand="0" w:firstRowFirstColumn="0" w:firstRowLastColumn="0" w:lastRowFirstColumn="0" w:lastRowLastColumn="0"/>
            </w:pPr>
          </w:p>
        </w:tc>
        <w:tc>
          <w:tcPr>
            <w:tcW w:w="1045" w:type="dxa"/>
            <w:noWrap/>
            <w:vAlign w:val="top"/>
          </w:tcPr>
          <w:p w:rsidR="002E2924" w:rsidRPr="002E2924" w:rsidRDefault="002E2924" w:rsidP="0039387B">
            <w:pPr>
              <w:keepNext/>
              <w:cnfStyle w:val="000000000000" w:firstRow="0" w:lastRow="0" w:firstColumn="0" w:lastColumn="0" w:oddVBand="0" w:evenVBand="0" w:oddHBand="0" w:evenHBand="0" w:firstRowFirstColumn="0" w:firstRowLastColumn="0" w:lastRowFirstColumn="0" w:lastRowLastColumn="0"/>
            </w:pPr>
            <w:r w:rsidRPr="002E2924">
              <w:t>–17.0</w:t>
            </w:r>
          </w:p>
        </w:tc>
      </w:tr>
      <w:tr w:rsidR="002E2924" w:rsidRPr="006629BA" w:rsidTr="0022005C">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472" w:type="dxa"/>
            <w:noWrap/>
          </w:tcPr>
          <w:p w:rsidR="002E2924" w:rsidRPr="002E2924" w:rsidRDefault="002E2924" w:rsidP="0039387B">
            <w:pPr>
              <w:keepNext/>
              <w:rPr>
                <w:rStyle w:val="Strong"/>
              </w:rPr>
            </w:pPr>
            <w:r w:rsidRPr="002E2924">
              <w:rPr>
                <w:rStyle w:val="Strong"/>
              </w:rPr>
              <w:t>Closing RAB as at 30 June 2017</w:t>
            </w:r>
          </w:p>
        </w:tc>
        <w:tc>
          <w:tcPr>
            <w:tcW w:w="1044" w:type="dxa"/>
            <w:vAlign w:val="top"/>
          </w:tcPr>
          <w:p w:rsidR="002E2924" w:rsidRPr="002E2924" w:rsidRDefault="002E2924" w:rsidP="0039387B">
            <w:pPr>
              <w:keepNext/>
              <w:cnfStyle w:val="000000010000" w:firstRow="0" w:lastRow="0" w:firstColumn="0" w:lastColumn="0" w:oddVBand="0" w:evenVBand="0" w:oddHBand="0" w:evenHBand="1" w:firstRowFirstColumn="0" w:firstRowLastColumn="0" w:lastRowFirstColumn="0" w:lastRowLastColumn="0"/>
            </w:pPr>
          </w:p>
        </w:tc>
        <w:tc>
          <w:tcPr>
            <w:tcW w:w="1044" w:type="dxa"/>
            <w:vAlign w:val="top"/>
          </w:tcPr>
          <w:p w:rsidR="002E2924" w:rsidRPr="002E2924" w:rsidRDefault="002E2924" w:rsidP="0039387B">
            <w:pPr>
              <w:keepNext/>
              <w:cnfStyle w:val="000000010000" w:firstRow="0" w:lastRow="0" w:firstColumn="0" w:lastColumn="0" w:oddVBand="0" w:evenVBand="0" w:oddHBand="0" w:evenHBand="1" w:firstRowFirstColumn="0" w:firstRowLastColumn="0" w:lastRowFirstColumn="0" w:lastRowLastColumn="0"/>
            </w:pPr>
          </w:p>
        </w:tc>
        <w:tc>
          <w:tcPr>
            <w:tcW w:w="1044" w:type="dxa"/>
            <w:noWrap/>
            <w:vAlign w:val="top"/>
          </w:tcPr>
          <w:p w:rsidR="002E2924" w:rsidRPr="002E2924" w:rsidRDefault="002E2924" w:rsidP="0039387B">
            <w:pPr>
              <w:keepNext/>
              <w:cnfStyle w:val="000000010000" w:firstRow="0" w:lastRow="0" w:firstColumn="0" w:lastColumn="0" w:oddVBand="0" w:evenVBand="0" w:oddHBand="0" w:evenHBand="1" w:firstRowFirstColumn="0" w:firstRowLastColumn="0" w:lastRowFirstColumn="0" w:lastRowLastColumn="0"/>
            </w:pPr>
          </w:p>
        </w:tc>
        <w:tc>
          <w:tcPr>
            <w:tcW w:w="1044" w:type="dxa"/>
            <w:noWrap/>
            <w:vAlign w:val="top"/>
          </w:tcPr>
          <w:p w:rsidR="002E2924" w:rsidRPr="002E2924" w:rsidRDefault="002E2924" w:rsidP="0039387B">
            <w:pPr>
              <w:keepNext/>
              <w:cnfStyle w:val="000000010000" w:firstRow="0" w:lastRow="0" w:firstColumn="0" w:lastColumn="0" w:oddVBand="0" w:evenVBand="0" w:oddHBand="0" w:evenHBand="1" w:firstRowFirstColumn="0" w:firstRowLastColumn="0" w:lastRowFirstColumn="0" w:lastRowLastColumn="0"/>
            </w:pPr>
          </w:p>
        </w:tc>
        <w:tc>
          <w:tcPr>
            <w:tcW w:w="1045" w:type="dxa"/>
            <w:noWrap/>
            <w:vAlign w:val="top"/>
          </w:tcPr>
          <w:p w:rsidR="002E2924" w:rsidRPr="002E2924" w:rsidRDefault="002E2924" w:rsidP="0039387B">
            <w:pPr>
              <w:keepNext/>
              <w:cnfStyle w:val="000000010000" w:firstRow="0" w:lastRow="0" w:firstColumn="0" w:lastColumn="0" w:oddVBand="0" w:evenVBand="0" w:oddHBand="0" w:evenHBand="1" w:firstRowFirstColumn="0" w:firstRowLastColumn="0" w:lastRowFirstColumn="0" w:lastRowLastColumn="0"/>
              <w:rPr>
                <w:rStyle w:val="Strong"/>
              </w:rPr>
            </w:pPr>
            <w:r w:rsidRPr="002E2924">
              <w:rPr>
                <w:rStyle w:val="Strong"/>
              </w:rPr>
              <w:t>1615.2</w:t>
            </w:r>
          </w:p>
        </w:tc>
      </w:tr>
    </w:tbl>
    <w:p w:rsidR="00FD3D76" w:rsidRPr="00EF21AC" w:rsidRDefault="00FD3D76" w:rsidP="0039387B">
      <w:pPr>
        <w:pStyle w:val="AERtablesource"/>
        <w:keepNext/>
        <w:rPr>
          <w:rStyle w:val="AERbody"/>
          <w:rFonts w:eastAsia="Calibri"/>
          <w:sz w:val="16"/>
          <w:szCs w:val="20"/>
          <w:lang w:eastAsia="en-AU"/>
        </w:rPr>
      </w:pPr>
      <w:r w:rsidRPr="00EF21AC">
        <w:rPr>
          <w:rStyle w:val="AERbody"/>
          <w:sz w:val="16"/>
        </w:rPr>
        <w:t>Source:</w:t>
      </w:r>
      <w:r w:rsidRPr="00EF21AC">
        <w:rPr>
          <w:rStyle w:val="AERbody"/>
          <w:sz w:val="16"/>
        </w:rPr>
        <w:tab/>
        <w:t>AER analysis.</w:t>
      </w:r>
    </w:p>
    <w:p w:rsidR="00FD3D76" w:rsidRPr="00A9635D" w:rsidRDefault="00FD3D76" w:rsidP="0039387B">
      <w:pPr>
        <w:pStyle w:val="AERtablesource"/>
        <w:keepNext/>
      </w:pPr>
      <w:r w:rsidRPr="0014090A">
        <w:t xml:space="preserve">(a) </w:t>
      </w:r>
      <w:r w:rsidRPr="00A9635D">
        <w:tab/>
        <w:t>Based on estimated capex</w:t>
      </w:r>
      <w:r>
        <w:t xml:space="preserve"> </w:t>
      </w:r>
      <w:r w:rsidRPr="00757D1F">
        <w:t>provided by TasNetworks</w:t>
      </w:r>
      <w:r w:rsidRPr="00A9635D">
        <w:t xml:space="preserve">. </w:t>
      </w:r>
    </w:p>
    <w:p w:rsidR="00FD3D76" w:rsidRPr="00A9635D" w:rsidRDefault="00FD3D76" w:rsidP="0039387B">
      <w:pPr>
        <w:pStyle w:val="AERtablesource"/>
        <w:keepNext/>
      </w:pPr>
      <w:r>
        <w:t>(</w:t>
      </w:r>
      <w:r w:rsidR="00655661">
        <w:t>b</w:t>
      </w:r>
      <w:r>
        <w:t>)</w:t>
      </w:r>
      <w:r>
        <w:tab/>
        <w:t>N</w:t>
      </w:r>
      <w:r w:rsidRPr="00A9635D">
        <w:t>et of disposals</w:t>
      </w:r>
      <w:r>
        <w:t xml:space="preserve"> and capital contributions</w:t>
      </w:r>
      <w:r w:rsidRPr="00A9635D">
        <w:t>, and adjusted for actual CPI.</w:t>
      </w:r>
    </w:p>
    <w:p w:rsidR="00FD3D76" w:rsidRPr="00A9635D" w:rsidRDefault="00FD3D76" w:rsidP="0039387B">
      <w:pPr>
        <w:pStyle w:val="AERtablesource"/>
        <w:keepNext/>
      </w:pPr>
      <w:r w:rsidRPr="0014090A">
        <w:t>(</w:t>
      </w:r>
      <w:r w:rsidR="00655661">
        <w:t>c</w:t>
      </w:r>
      <w:r w:rsidRPr="00A9635D">
        <w:t xml:space="preserve">) </w:t>
      </w:r>
      <w:r w:rsidRPr="00A9635D">
        <w:tab/>
        <w:t>Adjusted for actual CPI. Based on as-</w:t>
      </w:r>
      <w:r>
        <w:t>incurred</w:t>
      </w:r>
      <w:r w:rsidRPr="00A9635D">
        <w:t xml:space="preserve"> capex.</w:t>
      </w:r>
    </w:p>
    <w:p w:rsidR="00F44840" w:rsidRPr="0044634C" w:rsidRDefault="00C04C3C" w:rsidP="0039387B">
      <w:pPr>
        <w:pStyle w:val="HeadingBoldBlue"/>
      </w:pPr>
      <w:bookmarkStart w:id="99" w:name="_Toc451875540"/>
      <w:r>
        <w:t>Forecast</w:t>
      </w:r>
      <w:r w:rsidR="00F4207D">
        <w:t xml:space="preserve"> </w:t>
      </w:r>
      <w:r>
        <w:t>closing</w:t>
      </w:r>
      <w:r w:rsidR="00F44840" w:rsidRPr="0044634C">
        <w:t xml:space="preserve"> RAB </w:t>
      </w:r>
      <w:r>
        <w:t>at 30 June 2019</w:t>
      </w:r>
      <w:bookmarkEnd w:id="99"/>
    </w:p>
    <w:p w:rsidR="00FD3D76" w:rsidRPr="006F66F0" w:rsidRDefault="00F44840" w:rsidP="00FD3D76">
      <w:r>
        <w:t xml:space="preserve">Once we have determined the opening RAB as at 1 July 2017, we roll forward that RAB over 2017–19 with forecast capex, inflation and depreciation to arrive at a forecast </w:t>
      </w:r>
      <w:r w:rsidR="00655661">
        <w:t xml:space="preserve">closing </w:t>
      </w:r>
      <w:r>
        <w:t>value for the RAB at the end of the regulatory</w:t>
      </w:r>
      <w:r w:rsidR="00F4207D">
        <w:t xml:space="preserve"> control</w:t>
      </w:r>
      <w:r>
        <w:t xml:space="preserve"> period. </w:t>
      </w:r>
    </w:p>
    <w:p w:rsidR="00870397" w:rsidRDefault="00870397" w:rsidP="00870397">
      <w:pPr>
        <w:numPr>
          <w:ilvl w:val="0"/>
          <w:numId w:val="24"/>
        </w:numPr>
      </w:pPr>
      <w:bookmarkStart w:id="100" w:name="_Ref453317066"/>
      <w:r w:rsidRPr="00A52DAF">
        <w:rPr>
          <w:rStyle w:val="AERbody"/>
        </w:rPr>
        <w:t>We determine a forecast closing RAB value as at 30 June 2019 of $</w:t>
      </w:r>
      <w:r w:rsidR="00F0734D" w:rsidRPr="00A52DAF">
        <w:rPr>
          <w:rStyle w:val="AERbody"/>
        </w:rPr>
        <w:t>174</w:t>
      </w:r>
      <w:r w:rsidR="002E2924" w:rsidRPr="00A52DAF">
        <w:rPr>
          <w:rStyle w:val="AERbody"/>
        </w:rPr>
        <w:t>3.0</w:t>
      </w:r>
      <w:r w:rsidRPr="00A52DAF">
        <w:rPr>
          <w:rStyle w:val="AERbody"/>
        </w:rPr>
        <w:t xml:space="preserve"> million </w:t>
      </w:r>
      <w:r w:rsidR="00D42FB7" w:rsidRPr="00A52DAF">
        <w:rPr>
          <w:rStyle w:val="AERbody"/>
        </w:rPr>
        <w:t>($ </w:t>
      </w:r>
      <w:r w:rsidRPr="00A52DAF">
        <w:rPr>
          <w:rStyle w:val="AERbody"/>
        </w:rPr>
        <w:t>nominal). This is $</w:t>
      </w:r>
      <w:r w:rsidR="002E2924" w:rsidRPr="00A52DAF">
        <w:rPr>
          <w:rStyle w:val="AERbody"/>
        </w:rPr>
        <w:t>5.2</w:t>
      </w:r>
      <w:r w:rsidRPr="00A52DAF">
        <w:rPr>
          <w:rStyle w:val="AERbody"/>
        </w:rPr>
        <w:t xml:space="preserve"> million (or </w:t>
      </w:r>
      <w:r w:rsidR="009055EE" w:rsidRPr="00A52DAF">
        <w:rPr>
          <w:rStyle w:val="AERbody"/>
        </w:rPr>
        <w:t>0.</w:t>
      </w:r>
      <w:r w:rsidR="002E2924" w:rsidRPr="00A52DAF">
        <w:rPr>
          <w:rStyle w:val="AERbody"/>
        </w:rPr>
        <w:t>3</w:t>
      </w:r>
      <w:r w:rsidRPr="00A52DAF">
        <w:rPr>
          <w:rStyle w:val="AERbody"/>
        </w:rPr>
        <w:t xml:space="preserve"> per cent) </w:t>
      </w:r>
      <w:r w:rsidR="002E2924" w:rsidRPr="00A52DAF">
        <w:rPr>
          <w:rStyle w:val="AERbody"/>
        </w:rPr>
        <w:t xml:space="preserve">lower </w:t>
      </w:r>
      <w:r w:rsidRPr="00A52DAF">
        <w:rPr>
          <w:rStyle w:val="AERbody"/>
        </w:rPr>
        <w:t>than the amount of $</w:t>
      </w:r>
      <w:r w:rsidR="00F0734D" w:rsidRPr="00A52DAF">
        <w:rPr>
          <w:rStyle w:val="AERbody"/>
        </w:rPr>
        <w:t>1748.2</w:t>
      </w:r>
      <w:r w:rsidRPr="00A52DAF">
        <w:rPr>
          <w:rStyle w:val="AERbody"/>
        </w:rPr>
        <w:t> million</w:t>
      </w:r>
      <w:r w:rsidRPr="00311434">
        <w:t xml:space="preserve"> ($ nominal) </w:t>
      </w:r>
      <w:r>
        <w:t>in TasNetworks' revised proposal</w:t>
      </w:r>
      <w:r w:rsidRPr="00311434">
        <w:t xml:space="preserve">. Our </w:t>
      </w:r>
      <w:r w:rsidR="00CF09D8">
        <w:t xml:space="preserve">final </w:t>
      </w:r>
      <w:r w:rsidRPr="00311434">
        <w:t xml:space="preserve">decision on the forecast closing RAB reflects the amended opening RAB as at 1 </w:t>
      </w:r>
      <w:r>
        <w:t>July</w:t>
      </w:r>
      <w:r w:rsidRPr="00311434">
        <w:t xml:space="preserve"> 201</w:t>
      </w:r>
      <w:r>
        <w:t>7</w:t>
      </w:r>
      <w:r w:rsidRPr="00311434">
        <w:t xml:space="preserve"> and </w:t>
      </w:r>
      <w:r w:rsidR="00DA458C">
        <w:t>rate of return</w:t>
      </w:r>
      <w:r>
        <w:t xml:space="preserve"> (attachment 3)</w:t>
      </w:r>
      <w:r w:rsidRPr="00311434">
        <w:t>.</w:t>
      </w:r>
      <w:r w:rsidRPr="00870397">
        <w:t xml:space="preserve"> </w:t>
      </w:r>
    </w:p>
    <w:p w:rsidR="00870397" w:rsidRDefault="00583169" w:rsidP="00583169">
      <w:r w:rsidRPr="00583169">
        <w:fldChar w:fldCharType="begin"/>
      </w:r>
      <w:r w:rsidRPr="00583169">
        <w:instrText xml:space="preserve"> REF _Ref478473031 \h </w:instrText>
      </w:r>
      <w:r>
        <w:instrText xml:space="preserve"> \* MERGEFORMAT </w:instrText>
      </w:r>
      <w:r w:rsidRPr="00583169">
        <w:fldChar w:fldCharType="separate"/>
      </w:r>
      <w:r w:rsidR="008B40D8" w:rsidRPr="008B40D8">
        <w:t>Table 3.3</w:t>
      </w:r>
      <w:r w:rsidRPr="00583169">
        <w:fldChar w:fldCharType="end"/>
      </w:r>
      <w:r w:rsidR="00870397" w:rsidRPr="00583169">
        <w:t xml:space="preserve"> sets out our forecast RAB for TasNetworks in the 2017–19 regulatory control</w:t>
      </w:r>
      <w:r w:rsidR="00870397" w:rsidRPr="00780D19">
        <w:t xml:space="preserve"> </w:t>
      </w:r>
      <w:proofErr w:type="gramStart"/>
      <w:r w:rsidR="00870397" w:rsidRPr="00780D19">
        <w:t>period</w:t>
      </w:r>
      <w:proofErr w:type="gramEnd"/>
      <w:r w:rsidR="00870397" w:rsidRPr="006F66F0">
        <w:t>.</w:t>
      </w:r>
    </w:p>
    <w:p w:rsidR="00FD3D76" w:rsidRDefault="00FD3D76" w:rsidP="0039387B">
      <w:pPr>
        <w:pStyle w:val="Caption"/>
      </w:pPr>
      <w:bookmarkStart w:id="101" w:name="_Ref478473031"/>
      <w:r w:rsidRPr="00A97FE5">
        <w:rPr>
          <w:rStyle w:val="AERtexthighlight"/>
          <w:shd w:val="clear" w:color="auto" w:fill="auto"/>
        </w:rPr>
        <w:lastRenderedPageBreak/>
        <w:t xml:space="preserve">Table </w:t>
      </w:r>
      <w:r w:rsidR="00465A73">
        <w:rPr>
          <w:rStyle w:val="AERtexthighlight"/>
          <w:shd w:val="clear" w:color="auto" w:fill="auto"/>
        </w:rPr>
        <w:fldChar w:fldCharType="begin"/>
      </w:r>
      <w:r w:rsidR="00465A73">
        <w:rPr>
          <w:rStyle w:val="AERtexthighlight"/>
          <w:shd w:val="clear" w:color="auto" w:fill="auto"/>
        </w:rPr>
        <w:instrText xml:space="preserve"> STYLEREF 1 \s </w:instrText>
      </w:r>
      <w:r w:rsidR="00465A73">
        <w:rPr>
          <w:rStyle w:val="AERtexthighlight"/>
          <w:shd w:val="clear" w:color="auto" w:fill="auto"/>
        </w:rPr>
        <w:fldChar w:fldCharType="separate"/>
      </w:r>
      <w:r w:rsidR="008B40D8">
        <w:rPr>
          <w:rStyle w:val="AERtexthighlight"/>
          <w:noProof/>
          <w:shd w:val="clear" w:color="auto" w:fill="auto"/>
        </w:rPr>
        <w:t>3</w:t>
      </w:r>
      <w:r w:rsidR="00465A73">
        <w:rPr>
          <w:rStyle w:val="AERtexthighlight"/>
          <w:shd w:val="clear" w:color="auto" w:fill="auto"/>
        </w:rPr>
        <w:fldChar w:fldCharType="end"/>
      </w:r>
      <w:r w:rsidR="00465A73">
        <w:rPr>
          <w:rStyle w:val="AERtexthighlight"/>
          <w:shd w:val="clear" w:color="auto" w:fill="auto"/>
        </w:rPr>
        <w:t>.</w:t>
      </w:r>
      <w:r w:rsidR="00465A73">
        <w:rPr>
          <w:rStyle w:val="AERtexthighlight"/>
          <w:shd w:val="clear" w:color="auto" w:fill="auto"/>
        </w:rPr>
        <w:fldChar w:fldCharType="begin"/>
      </w:r>
      <w:r w:rsidR="00465A73">
        <w:rPr>
          <w:rStyle w:val="AERtexthighlight"/>
          <w:shd w:val="clear" w:color="auto" w:fill="auto"/>
        </w:rPr>
        <w:instrText xml:space="preserve"> SEQ Table \* ARABIC \s 1 </w:instrText>
      </w:r>
      <w:r w:rsidR="00465A73">
        <w:rPr>
          <w:rStyle w:val="AERtexthighlight"/>
          <w:shd w:val="clear" w:color="auto" w:fill="auto"/>
        </w:rPr>
        <w:fldChar w:fldCharType="separate"/>
      </w:r>
      <w:r w:rsidR="008B40D8">
        <w:rPr>
          <w:rStyle w:val="AERtexthighlight"/>
          <w:noProof/>
          <w:shd w:val="clear" w:color="auto" w:fill="auto"/>
        </w:rPr>
        <w:t>3</w:t>
      </w:r>
      <w:r w:rsidR="00465A73">
        <w:rPr>
          <w:rStyle w:val="AERtexthighlight"/>
          <w:shd w:val="clear" w:color="auto" w:fill="auto"/>
        </w:rPr>
        <w:fldChar w:fldCharType="end"/>
      </w:r>
      <w:bookmarkEnd w:id="100"/>
      <w:bookmarkEnd w:id="101"/>
      <w:r w:rsidRPr="00502B42">
        <w:tab/>
        <w:t xml:space="preserve">AER's </w:t>
      </w:r>
      <w:r w:rsidR="00F44840">
        <w:t>final</w:t>
      </w:r>
      <w:r w:rsidRPr="00502B42">
        <w:t xml:space="preserve"> decision on TasNetworks' RAB for 2017–19</w:t>
      </w:r>
      <w:r>
        <w:t xml:space="preserve"> regulatory control period ($million, nominal)</w:t>
      </w:r>
    </w:p>
    <w:tbl>
      <w:tblPr>
        <w:tblStyle w:val="AERtable-numbers"/>
        <w:tblW w:w="5000" w:type="pct"/>
        <w:tblLook w:val="04A0" w:firstRow="1" w:lastRow="0" w:firstColumn="1" w:lastColumn="0" w:noHBand="0" w:noVBand="1"/>
      </w:tblPr>
      <w:tblGrid>
        <w:gridCol w:w="4958"/>
        <w:gridCol w:w="1716"/>
        <w:gridCol w:w="2019"/>
      </w:tblGrid>
      <w:tr w:rsidR="00FD3D76" w:rsidRPr="00BC6954" w:rsidTr="0039387B">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852" w:type="pct"/>
            <w:noWrap/>
            <w:hideMark/>
          </w:tcPr>
          <w:p w:rsidR="00FD3D76" w:rsidRPr="00FD3D76" w:rsidRDefault="00FD3D76" w:rsidP="0039387B">
            <w:pPr>
              <w:keepNext/>
            </w:pPr>
            <w:r w:rsidRPr="00BC6954">
              <w:t> </w:t>
            </w:r>
          </w:p>
        </w:tc>
        <w:tc>
          <w:tcPr>
            <w:tcW w:w="987" w:type="pct"/>
            <w:noWrap/>
            <w:hideMark/>
          </w:tcPr>
          <w:p w:rsidR="00FD3D76" w:rsidRPr="00FD3D76" w:rsidRDefault="00FD3D76" w:rsidP="0039387B">
            <w:pPr>
              <w:keepNext/>
              <w:cnfStyle w:val="100000000000" w:firstRow="1" w:lastRow="0" w:firstColumn="0" w:lastColumn="0" w:oddVBand="0" w:evenVBand="0" w:oddHBand="0" w:evenHBand="0" w:firstRowFirstColumn="0" w:firstRowLastColumn="0" w:lastRowFirstColumn="0" w:lastRowLastColumn="0"/>
            </w:pPr>
            <w:r w:rsidRPr="00BC6954">
              <w:t>2017–18</w:t>
            </w:r>
          </w:p>
        </w:tc>
        <w:tc>
          <w:tcPr>
            <w:tcW w:w="1161" w:type="pct"/>
            <w:noWrap/>
            <w:hideMark/>
          </w:tcPr>
          <w:p w:rsidR="00FD3D76" w:rsidRPr="00FD3D76" w:rsidRDefault="00FD3D76" w:rsidP="0039387B">
            <w:pPr>
              <w:keepNext/>
              <w:cnfStyle w:val="100000000000" w:firstRow="1" w:lastRow="0" w:firstColumn="0" w:lastColumn="0" w:oddVBand="0" w:evenVBand="0" w:oddHBand="0" w:evenHBand="0" w:firstRowFirstColumn="0" w:firstRowLastColumn="0" w:lastRowFirstColumn="0" w:lastRowLastColumn="0"/>
            </w:pPr>
            <w:r w:rsidRPr="00BC6954">
              <w:t>2018–19</w:t>
            </w:r>
          </w:p>
        </w:tc>
      </w:tr>
      <w:tr w:rsidR="0011590C" w:rsidRPr="00BC6954" w:rsidTr="0039387B">
        <w:trPr>
          <w:trHeight w:val="273"/>
        </w:trPr>
        <w:tc>
          <w:tcPr>
            <w:cnfStyle w:val="001000000000" w:firstRow="0" w:lastRow="0" w:firstColumn="1" w:lastColumn="0" w:oddVBand="0" w:evenVBand="0" w:oddHBand="0" w:evenHBand="0" w:firstRowFirstColumn="0" w:firstRowLastColumn="0" w:lastRowFirstColumn="0" w:lastRowLastColumn="0"/>
            <w:tcW w:w="2852" w:type="pct"/>
            <w:noWrap/>
            <w:hideMark/>
          </w:tcPr>
          <w:p w:rsidR="0011590C" w:rsidRPr="0011590C" w:rsidRDefault="0011590C" w:rsidP="0039387B">
            <w:pPr>
              <w:keepNext/>
            </w:pPr>
            <w:r w:rsidRPr="0011590C">
              <w:t>Opening RAB</w:t>
            </w:r>
          </w:p>
        </w:tc>
        <w:tc>
          <w:tcPr>
            <w:tcW w:w="987" w:type="pct"/>
            <w:noWrap/>
            <w:vAlign w:val="top"/>
          </w:tcPr>
          <w:p w:rsidR="0011590C" w:rsidRPr="0011590C" w:rsidRDefault="0011590C" w:rsidP="0039387B">
            <w:pPr>
              <w:keepNext/>
              <w:cnfStyle w:val="000000000000" w:firstRow="0" w:lastRow="0" w:firstColumn="0" w:lastColumn="0" w:oddVBand="0" w:evenVBand="0" w:oddHBand="0" w:evenHBand="0" w:firstRowFirstColumn="0" w:firstRowLastColumn="0" w:lastRowFirstColumn="0" w:lastRowLastColumn="0"/>
            </w:pPr>
            <w:r w:rsidRPr="0011590C">
              <w:t>1615.2</w:t>
            </w:r>
          </w:p>
        </w:tc>
        <w:tc>
          <w:tcPr>
            <w:tcW w:w="1161" w:type="pct"/>
            <w:noWrap/>
            <w:vAlign w:val="top"/>
          </w:tcPr>
          <w:p w:rsidR="0011590C" w:rsidRPr="0011590C" w:rsidRDefault="0011590C" w:rsidP="0039387B">
            <w:pPr>
              <w:keepNext/>
              <w:cnfStyle w:val="000000000000" w:firstRow="0" w:lastRow="0" w:firstColumn="0" w:lastColumn="0" w:oddVBand="0" w:evenVBand="0" w:oddHBand="0" w:evenHBand="0" w:firstRowFirstColumn="0" w:firstRowLastColumn="0" w:lastRowFirstColumn="0" w:lastRowLastColumn="0"/>
            </w:pPr>
            <w:r w:rsidRPr="0011590C">
              <w:t>1693.1</w:t>
            </w:r>
          </w:p>
        </w:tc>
      </w:tr>
      <w:tr w:rsidR="0011590C" w:rsidRPr="00BC6954" w:rsidTr="0039387B">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852" w:type="pct"/>
            <w:noWrap/>
            <w:hideMark/>
          </w:tcPr>
          <w:p w:rsidR="0011590C" w:rsidRPr="0011590C" w:rsidRDefault="0011590C" w:rsidP="0039387B">
            <w:pPr>
              <w:keepNext/>
            </w:pPr>
            <w:r w:rsidRPr="0011590C">
              <w:t>Capital expenditure</w:t>
            </w:r>
            <w:r w:rsidRPr="0011590C">
              <w:rPr>
                <w:rStyle w:val="AERsuperscript"/>
              </w:rPr>
              <w:t>a</w:t>
            </w:r>
          </w:p>
        </w:tc>
        <w:tc>
          <w:tcPr>
            <w:tcW w:w="987" w:type="pct"/>
            <w:noWrap/>
            <w:vAlign w:val="top"/>
          </w:tcPr>
          <w:p w:rsidR="0011590C" w:rsidRPr="0011590C" w:rsidRDefault="0011590C" w:rsidP="0039387B">
            <w:pPr>
              <w:keepNext/>
              <w:cnfStyle w:val="000000010000" w:firstRow="0" w:lastRow="0" w:firstColumn="0" w:lastColumn="0" w:oddVBand="0" w:evenVBand="0" w:oddHBand="0" w:evenHBand="1" w:firstRowFirstColumn="0" w:firstRowLastColumn="0" w:lastRowFirstColumn="0" w:lastRowLastColumn="0"/>
            </w:pPr>
            <w:r w:rsidRPr="0011590C">
              <w:t>116.1</w:t>
            </w:r>
          </w:p>
        </w:tc>
        <w:tc>
          <w:tcPr>
            <w:tcW w:w="1161" w:type="pct"/>
            <w:noWrap/>
            <w:vAlign w:val="top"/>
          </w:tcPr>
          <w:p w:rsidR="0011590C" w:rsidRPr="0011590C" w:rsidRDefault="0011590C" w:rsidP="0039387B">
            <w:pPr>
              <w:keepNext/>
              <w:cnfStyle w:val="000000010000" w:firstRow="0" w:lastRow="0" w:firstColumn="0" w:lastColumn="0" w:oddVBand="0" w:evenVBand="0" w:oddHBand="0" w:evenHBand="1" w:firstRowFirstColumn="0" w:firstRowLastColumn="0" w:lastRowFirstColumn="0" w:lastRowLastColumn="0"/>
            </w:pPr>
            <w:r w:rsidRPr="0011590C">
              <w:t>107.5</w:t>
            </w:r>
          </w:p>
        </w:tc>
      </w:tr>
      <w:tr w:rsidR="0011590C" w:rsidRPr="00BC6954" w:rsidTr="0039387B">
        <w:trPr>
          <w:trHeight w:val="273"/>
        </w:trPr>
        <w:tc>
          <w:tcPr>
            <w:cnfStyle w:val="001000000000" w:firstRow="0" w:lastRow="0" w:firstColumn="1" w:lastColumn="0" w:oddVBand="0" w:evenVBand="0" w:oddHBand="0" w:evenHBand="0" w:firstRowFirstColumn="0" w:firstRowLastColumn="0" w:lastRowFirstColumn="0" w:lastRowLastColumn="0"/>
            <w:tcW w:w="2852" w:type="pct"/>
            <w:noWrap/>
            <w:hideMark/>
          </w:tcPr>
          <w:p w:rsidR="0011590C" w:rsidRPr="0011590C" w:rsidRDefault="0011590C" w:rsidP="0039387B">
            <w:pPr>
              <w:keepNext/>
            </w:pPr>
            <w:r w:rsidRPr="0011590C">
              <w:t>Inflation indexation on opening RAB</w:t>
            </w:r>
          </w:p>
        </w:tc>
        <w:tc>
          <w:tcPr>
            <w:tcW w:w="987" w:type="pct"/>
            <w:noWrap/>
            <w:vAlign w:val="top"/>
          </w:tcPr>
          <w:p w:rsidR="0011590C" w:rsidRPr="0011590C" w:rsidRDefault="0011590C" w:rsidP="0039387B">
            <w:pPr>
              <w:keepNext/>
              <w:cnfStyle w:val="000000000000" w:firstRow="0" w:lastRow="0" w:firstColumn="0" w:lastColumn="0" w:oddVBand="0" w:evenVBand="0" w:oddHBand="0" w:evenHBand="0" w:firstRowFirstColumn="0" w:firstRowLastColumn="0" w:lastRowFirstColumn="0" w:lastRowLastColumn="0"/>
            </w:pPr>
            <w:r w:rsidRPr="0011590C">
              <w:t>39.6</w:t>
            </w:r>
          </w:p>
        </w:tc>
        <w:tc>
          <w:tcPr>
            <w:tcW w:w="1161" w:type="pct"/>
            <w:noWrap/>
            <w:vAlign w:val="top"/>
          </w:tcPr>
          <w:p w:rsidR="0011590C" w:rsidRPr="0011590C" w:rsidRDefault="0011590C" w:rsidP="0039387B">
            <w:pPr>
              <w:keepNext/>
              <w:cnfStyle w:val="000000000000" w:firstRow="0" w:lastRow="0" w:firstColumn="0" w:lastColumn="0" w:oddVBand="0" w:evenVBand="0" w:oddHBand="0" w:evenHBand="0" w:firstRowFirstColumn="0" w:firstRowLastColumn="0" w:lastRowFirstColumn="0" w:lastRowLastColumn="0"/>
            </w:pPr>
            <w:r w:rsidRPr="0011590C">
              <w:t>41.5</w:t>
            </w:r>
          </w:p>
        </w:tc>
      </w:tr>
      <w:tr w:rsidR="0011590C" w:rsidRPr="00BC6954" w:rsidTr="0039387B">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852" w:type="pct"/>
            <w:noWrap/>
            <w:hideMark/>
          </w:tcPr>
          <w:p w:rsidR="0011590C" w:rsidRPr="0011590C" w:rsidRDefault="0011590C" w:rsidP="0039387B">
            <w:pPr>
              <w:keepNext/>
            </w:pPr>
            <w:r w:rsidRPr="0011590C">
              <w:rPr>
                <w:rStyle w:val="AERtextitalic"/>
              </w:rPr>
              <w:t>Less:</w:t>
            </w:r>
            <w:r w:rsidRPr="0011590C">
              <w:t xml:space="preserve"> straight-line depreciation</w:t>
            </w:r>
          </w:p>
        </w:tc>
        <w:tc>
          <w:tcPr>
            <w:tcW w:w="987" w:type="pct"/>
            <w:noWrap/>
            <w:vAlign w:val="top"/>
          </w:tcPr>
          <w:p w:rsidR="0011590C" w:rsidRPr="0011590C" w:rsidRDefault="0011590C" w:rsidP="0039387B">
            <w:pPr>
              <w:keepNext/>
              <w:cnfStyle w:val="000000010000" w:firstRow="0" w:lastRow="0" w:firstColumn="0" w:lastColumn="0" w:oddVBand="0" w:evenVBand="0" w:oddHBand="0" w:evenHBand="1" w:firstRowFirstColumn="0" w:firstRowLastColumn="0" w:lastRowFirstColumn="0" w:lastRowLastColumn="0"/>
            </w:pPr>
            <w:r w:rsidRPr="0011590C">
              <w:t>77.7</w:t>
            </w:r>
          </w:p>
        </w:tc>
        <w:tc>
          <w:tcPr>
            <w:tcW w:w="1161" w:type="pct"/>
            <w:noWrap/>
            <w:vAlign w:val="top"/>
          </w:tcPr>
          <w:p w:rsidR="0011590C" w:rsidRPr="0011590C" w:rsidRDefault="0011590C" w:rsidP="0039387B">
            <w:pPr>
              <w:keepNext/>
              <w:cnfStyle w:val="000000010000" w:firstRow="0" w:lastRow="0" w:firstColumn="0" w:lastColumn="0" w:oddVBand="0" w:evenVBand="0" w:oddHBand="0" w:evenHBand="1" w:firstRowFirstColumn="0" w:firstRowLastColumn="0" w:lastRowFirstColumn="0" w:lastRowLastColumn="0"/>
            </w:pPr>
            <w:r w:rsidRPr="0011590C">
              <w:t>99.1</w:t>
            </w:r>
          </w:p>
        </w:tc>
      </w:tr>
      <w:tr w:rsidR="0011590C" w:rsidRPr="0089090F" w:rsidTr="0039387B">
        <w:trPr>
          <w:trHeight w:val="273"/>
        </w:trPr>
        <w:tc>
          <w:tcPr>
            <w:cnfStyle w:val="001000000000" w:firstRow="0" w:lastRow="0" w:firstColumn="1" w:lastColumn="0" w:oddVBand="0" w:evenVBand="0" w:oddHBand="0" w:evenHBand="0" w:firstRowFirstColumn="0" w:firstRowLastColumn="0" w:lastRowFirstColumn="0" w:lastRowLastColumn="0"/>
            <w:tcW w:w="2852" w:type="pct"/>
            <w:noWrap/>
            <w:hideMark/>
          </w:tcPr>
          <w:p w:rsidR="0011590C" w:rsidRPr="0011590C" w:rsidRDefault="0011590C" w:rsidP="0039387B">
            <w:pPr>
              <w:keepNext/>
              <w:rPr>
                <w:rStyle w:val="Strong"/>
              </w:rPr>
            </w:pPr>
            <w:r w:rsidRPr="0011590C">
              <w:rPr>
                <w:rStyle w:val="Strong"/>
              </w:rPr>
              <w:t>Closing RAB</w:t>
            </w:r>
          </w:p>
        </w:tc>
        <w:tc>
          <w:tcPr>
            <w:tcW w:w="987" w:type="pct"/>
            <w:noWrap/>
            <w:vAlign w:val="top"/>
          </w:tcPr>
          <w:p w:rsidR="0011590C" w:rsidRPr="0011590C" w:rsidRDefault="0011590C" w:rsidP="0039387B">
            <w:pPr>
              <w:keepNext/>
              <w:cnfStyle w:val="000000000000" w:firstRow="0" w:lastRow="0" w:firstColumn="0" w:lastColumn="0" w:oddVBand="0" w:evenVBand="0" w:oddHBand="0" w:evenHBand="0" w:firstRowFirstColumn="0" w:firstRowLastColumn="0" w:lastRowFirstColumn="0" w:lastRowLastColumn="0"/>
              <w:rPr>
                <w:rStyle w:val="Strong"/>
              </w:rPr>
            </w:pPr>
            <w:r w:rsidRPr="0011590C">
              <w:rPr>
                <w:rStyle w:val="Strong"/>
              </w:rPr>
              <w:t>1693.1</w:t>
            </w:r>
          </w:p>
        </w:tc>
        <w:tc>
          <w:tcPr>
            <w:tcW w:w="1161" w:type="pct"/>
            <w:noWrap/>
            <w:vAlign w:val="top"/>
          </w:tcPr>
          <w:p w:rsidR="0011590C" w:rsidRPr="0011590C" w:rsidRDefault="0011590C" w:rsidP="0039387B">
            <w:pPr>
              <w:keepNext/>
              <w:cnfStyle w:val="000000000000" w:firstRow="0" w:lastRow="0" w:firstColumn="0" w:lastColumn="0" w:oddVBand="0" w:evenVBand="0" w:oddHBand="0" w:evenHBand="0" w:firstRowFirstColumn="0" w:firstRowLastColumn="0" w:lastRowFirstColumn="0" w:lastRowLastColumn="0"/>
              <w:rPr>
                <w:rStyle w:val="Strong"/>
              </w:rPr>
            </w:pPr>
            <w:r w:rsidRPr="0011590C">
              <w:rPr>
                <w:rStyle w:val="Strong"/>
              </w:rPr>
              <w:t>1743.0</w:t>
            </w:r>
          </w:p>
        </w:tc>
      </w:tr>
    </w:tbl>
    <w:p w:rsidR="00FD3D76" w:rsidRPr="0031793E" w:rsidRDefault="00FD3D76" w:rsidP="0039387B">
      <w:pPr>
        <w:pStyle w:val="AERtablesource"/>
        <w:keepNext/>
      </w:pPr>
      <w:r>
        <w:t xml:space="preserve">Source: </w:t>
      </w:r>
      <w:r>
        <w:tab/>
        <w:t>AER analysis.</w:t>
      </w:r>
    </w:p>
    <w:p w:rsidR="00FD3D76" w:rsidRPr="0031793E" w:rsidRDefault="00FD3D76" w:rsidP="0039387B">
      <w:pPr>
        <w:pStyle w:val="AERtablesource"/>
        <w:keepNext/>
      </w:pPr>
      <w:r>
        <w:t xml:space="preserve">(a) </w:t>
      </w:r>
      <w:r>
        <w:tab/>
        <w:t xml:space="preserve">Net of forecast disposals and capital contributions. In accordance with the timing assumptions of the post-tax revenue model (PTRM), </w:t>
      </w:r>
      <w:r w:rsidRPr="0031793E">
        <w:t xml:space="preserve">the </w:t>
      </w:r>
      <w:r>
        <w:t xml:space="preserve">capex includes a </w:t>
      </w:r>
      <w:r w:rsidRPr="0031793E">
        <w:t xml:space="preserve">half-WACC </w:t>
      </w:r>
      <w:r>
        <w:t xml:space="preserve">allowance </w:t>
      </w:r>
      <w:r w:rsidRPr="0031793E">
        <w:t xml:space="preserve">to </w:t>
      </w:r>
      <w:r>
        <w:t>compensate for the six month period before capex is added to the RAB for revenue modelling</w:t>
      </w:r>
      <w:r w:rsidRPr="0031793E">
        <w:t>.</w:t>
      </w:r>
    </w:p>
    <w:p w:rsidR="00FD3D76" w:rsidRDefault="00FD3D76" w:rsidP="00CC771C">
      <w:r w:rsidRPr="00CC771C">
        <w:fldChar w:fldCharType="begin"/>
      </w:r>
      <w:r w:rsidRPr="00CC771C">
        <w:instrText xml:space="preserve"> REF _Ref454193258 \h </w:instrText>
      </w:r>
      <w:r w:rsidR="00CC771C">
        <w:instrText xml:space="preserve"> \* MERGEFORMAT </w:instrText>
      </w:r>
      <w:r w:rsidRPr="00CC771C">
        <w:fldChar w:fldCharType="separate"/>
      </w:r>
      <w:r w:rsidR="008B40D8" w:rsidRPr="008B40D8">
        <w:t>Figure 3.2</w:t>
      </w:r>
      <w:r w:rsidRPr="00CC771C">
        <w:fldChar w:fldCharType="end"/>
      </w:r>
      <w:r w:rsidRPr="00CC771C">
        <w:t xml:space="preserve"> compares our </w:t>
      </w:r>
      <w:r w:rsidR="001B38D9" w:rsidRPr="00CC771C">
        <w:t>final</w:t>
      </w:r>
      <w:r w:rsidRPr="00CC771C">
        <w:t xml:space="preserve"> decision on TasNetworks' forecast RAB to TasNetworks'</w:t>
      </w:r>
      <w:r w:rsidRPr="008E38F3">
        <w:t xml:space="preserve"> </w:t>
      </w:r>
      <w:r w:rsidR="00655661">
        <w:t xml:space="preserve">revised </w:t>
      </w:r>
      <w:r w:rsidRPr="008E38F3">
        <w:t>proposal and actual RAB in real dollar terms.</w:t>
      </w:r>
      <w:r>
        <w:t xml:space="preserve"> </w:t>
      </w:r>
    </w:p>
    <w:p w:rsidR="00FD3D76" w:rsidRDefault="00FD3D76" w:rsidP="00A97FE5">
      <w:pPr>
        <w:pStyle w:val="Caption"/>
      </w:pPr>
      <w:bookmarkStart w:id="102" w:name="_Ref454193258"/>
      <w:r w:rsidRPr="00A97FE5">
        <w:rPr>
          <w:rStyle w:val="AERtexthighlight"/>
          <w:shd w:val="clear" w:color="auto" w:fill="auto"/>
        </w:rPr>
        <w:t xml:space="preserve">Figure </w:t>
      </w:r>
      <w:r w:rsidR="00DA4620" w:rsidRPr="00A97FE5">
        <w:rPr>
          <w:rStyle w:val="AERtexthighlight"/>
          <w:shd w:val="clear" w:color="auto" w:fill="auto"/>
        </w:rPr>
        <w:fldChar w:fldCharType="begin"/>
      </w:r>
      <w:r w:rsidR="00DA4620" w:rsidRPr="00A97FE5">
        <w:rPr>
          <w:rStyle w:val="AERtexthighlight"/>
          <w:shd w:val="clear" w:color="auto" w:fill="auto"/>
        </w:rPr>
        <w:instrText xml:space="preserve"> STYLEREF 1 \s </w:instrText>
      </w:r>
      <w:r w:rsidR="00DA4620" w:rsidRPr="00A97FE5">
        <w:rPr>
          <w:rStyle w:val="AERtexthighlight"/>
          <w:shd w:val="clear" w:color="auto" w:fill="auto"/>
        </w:rPr>
        <w:fldChar w:fldCharType="separate"/>
      </w:r>
      <w:r w:rsidR="008B40D8">
        <w:rPr>
          <w:rStyle w:val="AERtexthighlight"/>
          <w:noProof/>
          <w:shd w:val="clear" w:color="auto" w:fill="auto"/>
        </w:rPr>
        <w:t>3</w:t>
      </w:r>
      <w:r w:rsidR="00DA4620" w:rsidRPr="00A97FE5">
        <w:rPr>
          <w:rStyle w:val="AERtexthighlight"/>
          <w:shd w:val="clear" w:color="auto" w:fill="auto"/>
        </w:rPr>
        <w:fldChar w:fldCharType="end"/>
      </w:r>
      <w:r w:rsidR="00DA4620" w:rsidRPr="00A97FE5">
        <w:rPr>
          <w:rStyle w:val="AERtexthighlight"/>
          <w:shd w:val="clear" w:color="auto" w:fill="auto"/>
        </w:rPr>
        <w:t>.</w:t>
      </w:r>
      <w:r w:rsidR="00DA4620" w:rsidRPr="00A97FE5">
        <w:rPr>
          <w:rStyle w:val="AERtexthighlight"/>
          <w:shd w:val="clear" w:color="auto" w:fill="auto"/>
        </w:rPr>
        <w:fldChar w:fldCharType="begin"/>
      </w:r>
      <w:r w:rsidR="00DA4620" w:rsidRPr="00A97FE5">
        <w:rPr>
          <w:rStyle w:val="AERtexthighlight"/>
          <w:shd w:val="clear" w:color="auto" w:fill="auto"/>
        </w:rPr>
        <w:instrText xml:space="preserve"> SEQ Figure \* ARABIC \s 1 </w:instrText>
      </w:r>
      <w:r w:rsidR="00DA4620" w:rsidRPr="00A97FE5">
        <w:rPr>
          <w:rStyle w:val="AERtexthighlight"/>
          <w:shd w:val="clear" w:color="auto" w:fill="auto"/>
        </w:rPr>
        <w:fldChar w:fldCharType="separate"/>
      </w:r>
      <w:r w:rsidR="008B40D8">
        <w:rPr>
          <w:rStyle w:val="AERtexthighlight"/>
          <w:noProof/>
          <w:shd w:val="clear" w:color="auto" w:fill="auto"/>
        </w:rPr>
        <w:t>2</w:t>
      </w:r>
      <w:r w:rsidR="00DA4620" w:rsidRPr="00A97FE5">
        <w:rPr>
          <w:rStyle w:val="AERtexthighlight"/>
          <w:shd w:val="clear" w:color="auto" w:fill="auto"/>
        </w:rPr>
        <w:fldChar w:fldCharType="end"/>
      </w:r>
      <w:bookmarkEnd w:id="102"/>
      <w:r w:rsidRPr="00A97FE5">
        <w:tab/>
      </w:r>
      <w:r w:rsidRPr="00702B30">
        <w:t>TasNetworks' actual RAB, proposed forecast RAB and AER</w:t>
      </w:r>
      <w:r w:rsidRPr="008E38F3">
        <w:t xml:space="preserve"> </w:t>
      </w:r>
      <w:r w:rsidR="00575942">
        <w:t>final</w:t>
      </w:r>
      <w:r w:rsidRPr="008E38F3">
        <w:t xml:space="preserve"> decision forecast RAB ($ million, 201</w:t>
      </w:r>
      <w:r>
        <w:t>6–17</w:t>
      </w:r>
      <w:r w:rsidRPr="008E38F3">
        <w:t>)</w:t>
      </w:r>
    </w:p>
    <w:p w:rsidR="00FD3D76" w:rsidRDefault="0011590C" w:rsidP="00FD3D76">
      <w:r>
        <w:rPr>
          <w:noProof/>
          <w:lang w:eastAsia="en-AU"/>
        </w:rPr>
        <w:drawing>
          <wp:inline distT="0" distB="0" distL="0" distR="0" wp14:anchorId="1A9B95F7" wp14:editId="5DD4E7A4">
            <wp:extent cx="5435194" cy="39069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45892" cy="3914660"/>
                    </a:xfrm>
                    <a:prstGeom prst="rect">
                      <a:avLst/>
                    </a:prstGeom>
                    <a:noFill/>
                  </pic:spPr>
                </pic:pic>
              </a:graphicData>
            </a:graphic>
          </wp:inline>
        </w:drawing>
      </w:r>
    </w:p>
    <w:p w:rsidR="00FD3D76" w:rsidRPr="001B4D9B" w:rsidRDefault="00FD3D76" w:rsidP="00FD3D76">
      <w:pPr>
        <w:pStyle w:val="AERtablesource"/>
      </w:pPr>
      <w:r>
        <w:t>Source:</w:t>
      </w:r>
      <w:r>
        <w:tab/>
        <w:t>AER analysis.</w:t>
      </w:r>
    </w:p>
    <w:p w:rsidR="00BF6029" w:rsidRPr="00BA416F" w:rsidRDefault="00BF6029" w:rsidP="0039387B">
      <w:pPr>
        <w:pStyle w:val="HeadingBoldBlue"/>
      </w:pPr>
      <w:bookmarkStart w:id="103" w:name="_Toc427241676"/>
      <w:bookmarkStart w:id="104" w:name="_Toc433171834"/>
      <w:bookmarkStart w:id="105" w:name="_Toc462753587"/>
      <w:r w:rsidRPr="0024782E">
        <w:lastRenderedPageBreak/>
        <w:t>Application of depreciation approach in RAB roll forward for next reset</w:t>
      </w:r>
      <w:bookmarkEnd w:id="103"/>
      <w:bookmarkEnd w:id="104"/>
      <w:bookmarkEnd w:id="105"/>
    </w:p>
    <w:p w:rsidR="00BF6029" w:rsidRDefault="00BF6029" w:rsidP="006332DA">
      <w:pPr>
        <w:keepNext/>
      </w:pPr>
      <w:r>
        <w:t xml:space="preserve">When we roll forward TasNetworks’ RAB for the 2017–19 regulatory control period </w:t>
      </w:r>
      <w:r w:rsidR="00C67BD8">
        <w:t xml:space="preserve">at the next reset </w:t>
      </w:r>
      <w:r>
        <w:t xml:space="preserve">we must adjust for depreciation. </w:t>
      </w:r>
      <w:r w:rsidR="00655661">
        <w:t>O</w:t>
      </w:r>
      <w:r>
        <w:t xml:space="preserve">ur </w:t>
      </w:r>
      <w:r w:rsidR="00655661">
        <w:t xml:space="preserve">final </w:t>
      </w:r>
      <w:r>
        <w:t xml:space="preserve">decision is to </w:t>
      </w:r>
      <w:r w:rsidR="00655661" w:rsidRPr="003C057D">
        <w:t>roll forward the RAB for the comme</w:t>
      </w:r>
      <w:r w:rsidR="00655661">
        <w:t>ncement of TasNetworks' 2019</w:t>
      </w:r>
      <w:r w:rsidR="00655661" w:rsidRPr="003C057D">
        <w:t>–</w:t>
      </w:r>
      <w:r w:rsidR="00655661">
        <w:t>24</w:t>
      </w:r>
      <w:r w:rsidR="00655661" w:rsidRPr="003C057D">
        <w:t xml:space="preserve"> regulatory control period using depreciation based on forecast capex (updated for actual inflation). This approach is consistent with our </w:t>
      </w:r>
      <w:r w:rsidR="00655661">
        <w:t>draft</w:t>
      </w:r>
      <w:r w:rsidR="00655661" w:rsidRPr="003C057D">
        <w:t xml:space="preserve"> decision</w:t>
      </w:r>
      <w:r w:rsidR="00655661">
        <w:t>, TasNetworks' initial proposal</w:t>
      </w:r>
      <w:r w:rsidR="00655661" w:rsidRPr="003C057D">
        <w:t xml:space="preserve"> and the framework and approach.</w:t>
      </w:r>
      <w:r w:rsidR="00655661">
        <w:rPr>
          <w:rStyle w:val="FootnoteReference"/>
        </w:rPr>
        <w:footnoteReference w:id="17"/>
      </w:r>
      <w:r>
        <w:t xml:space="preserve"> </w:t>
      </w:r>
    </w:p>
    <w:p w:rsidR="00CC6473" w:rsidRPr="00923E34" w:rsidRDefault="00CC6473" w:rsidP="00CC6473">
      <w:pPr>
        <w:pStyle w:val="Heading2"/>
      </w:pPr>
      <w:bookmarkStart w:id="106" w:name="_Ref451759101"/>
      <w:bookmarkStart w:id="107" w:name="_Toc456687648"/>
      <w:bookmarkStart w:id="108" w:name="_Toc462823955"/>
      <w:bookmarkStart w:id="109" w:name="_Toc481051869"/>
      <w:r>
        <w:t xml:space="preserve">Rate of return (return on </w:t>
      </w:r>
      <w:r w:rsidRPr="00923E34">
        <w:t>capital)</w:t>
      </w:r>
      <w:bookmarkEnd w:id="106"/>
      <w:bookmarkEnd w:id="107"/>
      <w:bookmarkEnd w:id="108"/>
      <w:bookmarkEnd w:id="109"/>
    </w:p>
    <w:p w:rsidR="00781828" w:rsidRPr="00781828" w:rsidRDefault="00781828" w:rsidP="00781828">
      <w:r w:rsidRPr="00781828">
        <w:t>The return on capital is the key difference between ou</w:t>
      </w:r>
      <w:r>
        <w:t>r final decision for the 2017–19</w:t>
      </w:r>
      <w:r w:rsidRPr="00781828">
        <w:t xml:space="preserve"> regulatory con</w:t>
      </w:r>
      <w:r>
        <w:t>trol period and TasNetworks</w:t>
      </w:r>
      <w:r w:rsidR="00465A73">
        <w:t>'</w:t>
      </w:r>
      <w:r w:rsidR="00FA7210">
        <w:t xml:space="preserve"> allowed revenue for the 2012</w:t>
      </w:r>
      <w:r w:rsidRPr="00781828">
        <w:t>–17 regulatory control period. Both the estimated return on equity and estimated return on debt fell across the periods.</w:t>
      </w:r>
    </w:p>
    <w:p w:rsidR="00781828" w:rsidRDefault="00781828" w:rsidP="00781828">
      <w:r w:rsidRPr="00781828">
        <w:t xml:space="preserve">The estimated return on equity </w:t>
      </w:r>
      <w:r>
        <w:t>fell from 8.7</w:t>
      </w:r>
      <w:r w:rsidR="00FA7210">
        <w:t> per cent in the 2012</w:t>
      </w:r>
      <w:r w:rsidRPr="00781828">
        <w:t>–17 regulatory control period</w:t>
      </w:r>
      <w:r>
        <w:t xml:space="preserve"> to 7.4</w:t>
      </w:r>
      <w:r w:rsidRPr="00781828">
        <w:t> per ce</w:t>
      </w:r>
      <w:r>
        <w:t>nt in the 2017–19</w:t>
      </w:r>
      <w:r w:rsidRPr="00781828">
        <w:t xml:space="preserve"> regulatory control period. The estimated return on debt </w:t>
      </w:r>
      <w:r>
        <w:t>fell from 8.0 per cent</w:t>
      </w:r>
      <w:r w:rsidR="00FA7210">
        <w:t xml:space="preserve"> in the 2012</w:t>
      </w:r>
      <w:r w:rsidRPr="00781828">
        <w:t xml:space="preserve">–17 regulatory control period </w:t>
      </w:r>
      <w:r>
        <w:t>to 5.1</w:t>
      </w:r>
      <w:r w:rsidRPr="00781828">
        <w:t xml:space="preserve"> per cent in the 2017</w:t>
      </w:r>
      <w:r>
        <w:t>–19</w:t>
      </w:r>
      <w:r w:rsidRPr="00781828">
        <w:t xml:space="preserve"> regulatory control period. </w:t>
      </w:r>
    </w:p>
    <w:p w:rsidR="00781828" w:rsidRDefault="00781828" w:rsidP="00465A73">
      <w:pPr>
        <w:pStyle w:val="Caption"/>
        <w:numPr>
          <w:ilvl w:val="0"/>
          <w:numId w:val="24"/>
        </w:numPr>
      </w:pPr>
      <w:r w:rsidRPr="00781828">
        <w:t xml:space="preserve">Table </w:t>
      </w:r>
      <w:r w:rsidR="00D96B78">
        <w:fldChar w:fldCharType="begin"/>
      </w:r>
      <w:r w:rsidR="00D96B78">
        <w:instrText xml:space="preserve"> STYLEREF 1 \s </w:instrText>
      </w:r>
      <w:r w:rsidR="00D96B78">
        <w:fldChar w:fldCharType="separate"/>
      </w:r>
      <w:r w:rsidR="008B40D8">
        <w:rPr>
          <w:noProof/>
        </w:rPr>
        <w:t>3</w:t>
      </w:r>
      <w:r w:rsidR="00D96B78">
        <w:rPr>
          <w:noProof/>
        </w:rPr>
        <w:fldChar w:fldCharType="end"/>
      </w:r>
      <w:r w:rsidR="00465A73">
        <w:t>.</w:t>
      </w:r>
      <w:r w:rsidR="00D96B78">
        <w:fldChar w:fldCharType="begin"/>
      </w:r>
      <w:r w:rsidR="00D96B78">
        <w:instrText xml:space="preserve"> SEQ Table \* ARABIC \s 1 </w:instrText>
      </w:r>
      <w:r w:rsidR="00D96B78">
        <w:fldChar w:fldCharType="separate"/>
      </w:r>
      <w:r w:rsidR="008B40D8">
        <w:rPr>
          <w:noProof/>
        </w:rPr>
        <w:t>4</w:t>
      </w:r>
      <w:r w:rsidR="00D96B78">
        <w:rPr>
          <w:noProof/>
        </w:rPr>
        <w:fldChar w:fldCharType="end"/>
      </w:r>
      <w:r w:rsidRPr="00781828">
        <w:tab/>
        <w:t>Final decision on TasNetworks' rate of return (% nominal)</w:t>
      </w:r>
    </w:p>
    <w:tbl>
      <w:tblPr>
        <w:tblStyle w:val="AERtable-text0"/>
        <w:tblW w:w="5000" w:type="pct"/>
        <w:tblLook w:val="04A0" w:firstRow="1" w:lastRow="0" w:firstColumn="1" w:lastColumn="0" w:noHBand="0" w:noVBand="1"/>
      </w:tblPr>
      <w:tblGrid>
        <w:gridCol w:w="1953"/>
        <w:gridCol w:w="1686"/>
        <w:gridCol w:w="1855"/>
        <w:gridCol w:w="1280"/>
        <w:gridCol w:w="1919"/>
      </w:tblGrid>
      <w:tr w:rsidR="00781828" w:rsidRPr="0036067E" w:rsidTr="00781828">
        <w:trPr>
          <w:cnfStyle w:val="100000000000" w:firstRow="1" w:lastRow="0" w:firstColumn="0" w:lastColumn="0" w:oddVBand="0" w:evenVBand="0" w:oddHBand="0" w:evenHBand="0" w:firstRowFirstColumn="0" w:firstRowLastColumn="0" w:lastRowFirstColumn="0" w:lastRowLastColumn="0"/>
        </w:trPr>
        <w:tc>
          <w:tcPr>
            <w:tcW w:w="1123" w:type="pct"/>
          </w:tcPr>
          <w:p w:rsidR="00781828" w:rsidRPr="00781828" w:rsidRDefault="00781828" w:rsidP="00781828"/>
        </w:tc>
        <w:tc>
          <w:tcPr>
            <w:tcW w:w="970" w:type="pct"/>
          </w:tcPr>
          <w:p w:rsidR="00781828" w:rsidRPr="00781828" w:rsidRDefault="00781828" w:rsidP="00781828">
            <w:r w:rsidRPr="00781828">
              <w:t>Previous allowed return (2012–17)</w:t>
            </w:r>
          </w:p>
        </w:tc>
        <w:tc>
          <w:tcPr>
            <w:tcW w:w="1067" w:type="pct"/>
          </w:tcPr>
          <w:p w:rsidR="00781828" w:rsidRPr="00781828" w:rsidRDefault="00781828" w:rsidP="00781828">
            <w:r w:rsidRPr="00781828">
              <w:t>AER draft decision (2017–18)</w:t>
            </w:r>
          </w:p>
        </w:tc>
        <w:tc>
          <w:tcPr>
            <w:tcW w:w="736" w:type="pct"/>
          </w:tcPr>
          <w:p w:rsidR="00781828" w:rsidRPr="00781828" w:rsidRDefault="00781828" w:rsidP="00781828">
            <w:r w:rsidRPr="00781828">
              <w:t>AER final decision (2017–18)</w:t>
            </w:r>
          </w:p>
        </w:tc>
        <w:tc>
          <w:tcPr>
            <w:tcW w:w="1104" w:type="pct"/>
          </w:tcPr>
          <w:p w:rsidR="00781828" w:rsidRPr="00781828" w:rsidRDefault="00781828" w:rsidP="00781828">
            <w:r w:rsidRPr="00781828">
              <w:t>Allowed return over 2017–19 regulatory  control period</w:t>
            </w:r>
          </w:p>
        </w:tc>
      </w:tr>
      <w:tr w:rsidR="00781828" w:rsidRPr="00BD56F3" w:rsidTr="00781828">
        <w:tc>
          <w:tcPr>
            <w:tcW w:w="1123" w:type="pct"/>
          </w:tcPr>
          <w:p w:rsidR="00781828" w:rsidRPr="00781828" w:rsidRDefault="00781828" w:rsidP="00781828">
            <w:r w:rsidRPr="00781828">
              <w:t xml:space="preserve">Return on equity    (nominal post–tax) </w:t>
            </w:r>
          </w:p>
        </w:tc>
        <w:tc>
          <w:tcPr>
            <w:tcW w:w="970" w:type="pct"/>
          </w:tcPr>
          <w:p w:rsidR="00781828" w:rsidRPr="00781828" w:rsidRDefault="00781828" w:rsidP="00781828">
            <w:r w:rsidRPr="00781828">
              <w:t>8.69</w:t>
            </w:r>
          </w:p>
        </w:tc>
        <w:tc>
          <w:tcPr>
            <w:tcW w:w="1067" w:type="pct"/>
          </w:tcPr>
          <w:p w:rsidR="00781828" w:rsidRPr="00781828" w:rsidRDefault="00781828" w:rsidP="00781828">
            <w:r w:rsidRPr="00781828">
              <w:t>6.5</w:t>
            </w:r>
          </w:p>
        </w:tc>
        <w:tc>
          <w:tcPr>
            <w:tcW w:w="736" w:type="pct"/>
          </w:tcPr>
          <w:p w:rsidR="00781828" w:rsidRPr="00781828" w:rsidRDefault="00781828" w:rsidP="00781828">
            <w:r w:rsidRPr="00781828">
              <w:t>7.4</w:t>
            </w:r>
          </w:p>
        </w:tc>
        <w:tc>
          <w:tcPr>
            <w:tcW w:w="1104" w:type="pct"/>
          </w:tcPr>
          <w:p w:rsidR="00781828" w:rsidRPr="00781828" w:rsidRDefault="00781828" w:rsidP="00781828">
            <w:r w:rsidRPr="00781828">
              <w:t>Constant   (7.4%)</w:t>
            </w:r>
          </w:p>
        </w:tc>
      </w:tr>
      <w:tr w:rsidR="00781828" w:rsidRPr="00BD56F3" w:rsidTr="00781828">
        <w:trPr>
          <w:cnfStyle w:val="000000010000" w:firstRow="0" w:lastRow="0" w:firstColumn="0" w:lastColumn="0" w:oddVBand="0" w:evenVBand="0" w:oddHBand="0" w:evenHBand="1" w:firstRowFirstColumn="0" w:firstRowLastColumn="0" w:lastRowFirstColumn="0" w:lastRowLastColumn="0"/>
        </w:trPr>
        <w:tc>
          <w:tcPr>
            <w:tcW w:w="1123" w:type="pct"/>
          </w:tcPr>
          <w:p w:rsidR="00781828" w:rsidRPr="00781828" w:rsidRDefault="00781828" w:rsidP="00781828">
            <w:r w:rsidRPr="00781828">
              <w:t>Return on debt      (nominal pre–tax)</w:t>
            </w:r>
          </w:p>
        </w:tc>
        <w:tc>
          <w:tcPr>
            <w:tcW w:w="970" w:type="pct"/>
          </w:tcPr>
          <w:p w:rsidR="00781828" w:rsidRPr="00781828" w:rsidRDefault="00781828" w:rsidP="00781828">
            <w:r w:rsidRPr="00781828">
              <w:t>8.00</w:t>
            </w:r>
          </w:p>
        </w:tc>
        <w:tc>
          <w:tcPr>
            <w:tcW w:w="1067" w:type="pct"/>
          </w:tcPr>
          <w:p w:rsidR="00781828" w:rsidRPr="00781828" w:rsidRDefault="00781828" w:rsidP="00781828">
            <w:r w:rsidRPr="00781828">
              <w:t>4.79</w:t>
            </w:r>
          </w:p>
        </w:tc>
        <w:tc>
          <w:tcPr>
            <w:tcW w:w="736" w:type="pct"/>
          </w:tcPr>
          <w:p w:rsidR="00781828" w:rsidRPr="00781828" w:rsidRDefault="00781828" w:rsidP="00781828">
            <w:r w:rsidRPr="00781828">
              <w:t>5.1</w:t>
            </w:r>
          </w:p>
        </w:tc>
        <w:tc>
          <w:tcPr>
            <w:tcW w:w="1104" w:type="pct"/>
          </w:tcPr>
          <w:p w:rsidR="00781828" w:rsidRPr="00781828" w:rsidRDefault="00781828" w:rsidP="00781828">
            <w:r w:rsidRPr="00781828">
              <w:t>Updated annually</w:t>
            </w:r>
          </w:p>
        </w:tc>
      </w:tr>
      <w:tr w:rsidR="00781828" w:rsidRPr="00BD56F3" w:rsidTr="00781828">
        <w:tc>
          <w:tcPr>
            <w:tcW w:w="1123" w:type="pct"/>
          </w:tcPr>
          <w:p w:rsidR="00781828" w:rsidRPr="00781828" w:rsidRDefault="00781828" w:rsidP="00781828">
            <w:r w:rsidRPr="00781828">
              <w:t>Gearing</w:t>
            </w:r>
          </w:p>
        </w:tc>
        <w:tc>
          <w:tcPr>
            <w:tcW w:w="970" w:type="pct"/>
          </w:tcPr>
          <w:p w:rsidR="00781828" w:rsidRPr="00781828" w:rsidRDefault="00781828" w:rsidP="00781828">
            <w:r w:rsidRPr="00781828">
              <w:t>60</w:t>
            </w:r>
          </w:p>
        </w:tc>
        <w:tc>
          <w:tcPr>
            <w:tcW w:w="1067" w:type="pct"/>
          </w:tcPr>
          <w:p w:rsidR="00781828" w:rsidRPr="00781828" w:rsidRDefault="00781828" w:rsidP="00781828">
            <w:r w:rsidRPr="00781828">
              <w:t>60</w:t>
            </w:r>
          </w:p>
        </w:tc>
        <w:tc>
          <w:tcPr>
            <w:tcW w:w="736" w:type="pct"/>
          </w:tcPr>
          <w:p w:rsidR="00781828" w:rsidRPr="00781828" w:rsidRDefault="00781828" w:rsidP="00781828">
            <w:r w:rsidRPr="00781828">
              <w:t>60</w:t>
            </w:r>
          </w:p>
        </w:tc>
        <w:tc>
          <w:tcPr>
            <w:tcW w:w="1104" w:type="pct"/>
          </w:tcPr>
          <w:p w:rsidR="00781828" w:rsidRPr="00781828" w:rsidRDefault="00781828" w:rsidP="00781828">
            <w:r w:rsidRPr="00781828">
              <w:t>Constant   (60%)</w:t>
            </w:r>
          </w:p>
        </w:tc>
      </w:tr>
      <w:tr w:rsidR="00781828" w:rsidRPr="00BD56F3" w:rsidTr="00781828">
        <w:trPr>
          <w:cnfStyle w:val="000000010000" w:firstRow="0" w:lastRow="0" w:firstColumn="0" w:lastColumn="0" w:oddVBand="0" w:evenVBand="0" w:oddHBand="0" w:evenHBand="1" w:firstRowFirstColumn="0" w:firstRowLastColumn="0" w:lastRowFirstColumn="0" w:lastRowLastColumn="0"/>
        </w:trPr>
        <w:tc>
          <w:tcPr>
            <w:tcW w:w="1123" w:type="pct"/>
          </w:tcPr>
          <w:p w:rsidR="00781828" w:rsidRPr="00781828" w:rsidRDefault="00781828" w:rsidP="00781828">
            <w:r w:rsidRPr="00781828">
              <w:t>Nominal vanilla WACC</w:t>
            </w:r>
          </w:p>
        </w:tc>
        <w:tc>
          <w:tcPr>
            <w:tcW w:w="970" w:type="pct"/>
          </w:tcPr>
          <w:p w:rsidR="00781828" w:rsidRPr="00781828" w:rsidRDefault="00781828" w:rsidP="00781828">
            <w:r w:rsidRPr="00781828">
              <w:t>8.28</w:t>
            </w:r>
          </w:p>
        </w:tc>
        <w:tc>
          <w:tcPr>
            <w:tcW w:w="1067" w:type="pct"/>
          </w:tcPr>
          <w:p w:rsidR="00781828" w:rsidRPr="00781828" w:rsidRDefault="00781828" w:rsidP="00781828">
            <w:r w:rsidRPr="00781828">
              <w:t>5.48</w:t>
            </w:r>
          </w:p>
        </w:tc>
        <w:tc>
          <w:tcPr>
            <w:tcW w:w="736" w:type="pct"/>
          </w:tcPr>
          <w:p w:rsidR="00781828" w:rsidRPr="00781828" w:rsidRDefault="00781828" w:rsidP="00781828">
            <w:r w:rsidRPr="00781828">
              <w:t>6.0</w:t>
            </w:r>
            <w:r w:rsidR="00036A24">
              <w:t>2</w:t>
            </w:r>
          </w:p>
        </w:tc>
        <w:tc>
          <w:tcPr>
            <w:tcW w:w="1104" w:type="pct"/>
          </w:tcPr>
          <w:p w:rsidR="00781828" w:rsidRPr="00781828" w:rsidRDefault="00781828" w:rsidP="00781828">
            <w:r w:rsidRPr="00781828">
              <w:t>Updated annually for return on debt</w:t>
            </w:r>
          </w:p>
        </w:tc>
      </w:tr>
      <w:tr w:rsidR="00781828" w:rsidRPr="00BD56F3" w:rsidTr="00781828">
        <w:tc>
          <w:tcPr>
            <w:tcW w:w="1123" w:type="pct"/>
          </w:tcPr>
          <w:p w:rsidR="00781828" w:rsidRPr="00781828" w:rsidRDefault="00781828" w:rsidP="00781828">
            <w:r w:rsidRPr="00781828">
              <w:t>Forecast inflation</w:t>
            </w:r>
          </w:p>
        </w:tc>
        <w:tc>
          <w:tcPr>
            <w:tcW w:w="970" w:type="pct"/>
          </w:tcPr>
          <w:p w:rsidR="00781828" w:rsidRPr="00781828" w:rsidRDefault="00781828" w:rsidP="00781828">
            <w:r w:rsidRPr="00781828">
              <w:t>2.6</w:t>
            </w:r>
          </w:p>
        </w:tc>
        <w:tc>
          <w:tcPr>
            <w:tcW w:w="1067" w:type="pct"/>
          </w:tcPr>
          <w:p w:rsidR="00781828" w:rsidRPr="00781828" w:rsidRDefault="00781828" w:rsidP="00781828">
            <w:r w:rsidRPr="00781828">
              <w:t>2.45</w:t>
            </w:r>
          </w:p>
        </w:tc>
        <w:tc>
          <w:tcPr>
            <w:tcW w:w="736" w:type="pct"/>
          </w:tcPr>
          <w:p w:rsidR="00781828" w:rsidRPr="00781828" w:rsidRDefault="00781828" w:rsidP="00781828">
            <w:r w:rsidRPr="00781828">
              <w:t>2.45</w:t>
            </w:r>
          </w:p>
        </w:tc>
        <w:tc>
          <w:tcPr>
            <w:tcW w:w="1104" w:type="pct"/>
          </w:tcPr>
          <w:p w:rsidR="00781828" w:rsidRPr="00781828" w:rsidRDefault="00781828" w:rsidP="00781828">
            <w:r w:rsidRPr="00781828">
              <w:t>Constant   (%)</w:t>
            </w:r>
          </w:p>
        </w:tc>
      </w:tr>
    </w:tbl>
    <w:p w:rsidR="00FF440F" w:rsidRDefault="00FF440F" w:rsidP="00FF440F">
      <w:pPr>
        <w:pStyle w:val="AERtablesource"/>
      </w:pPr>
      <w:r>
        <w:t>Source:</w:t>
      </w:r>
      <w:r>
        <w:tab/>
        <w:t xml:space="preserve">AER analysis; </w:t>
      </w:r>
      <w:r w:rsidRPr="009F0978">
        <w:t xml:space="preserve">TasNetworks, </w:t>
      </w:r>
      <w:r w:rsidRPr="006E5878">
        <w:rPr>
          <w:rStyle w:val="AERtextitalic"/>
        </w:rPr>
        <w:t>Tasmanian Distribution Regulatory Proposal Regulatory Control Period 1 July 2017 to 30 June 2019</w:t>
      </w:r>
      <w:r w:rsidRPr="009F0978">
        <w:t>, 29 January 2016, p. 117</w:t>
      </w:r>
      <w:r>
        <w:t xml:space="preserve">; </w:t>
      </w:r>
      <w:r w:rsidRPr="009F0978">
        <w:t xml:space="preserve">AER, </w:t>
      </w:r>
      <w:r w:rsidRPr="006E5878">
        <w:rPr>
          <w:rStyle w:val="AERtextitalic"/>
        </w:rPr>
        <w:t>Final Distribution Determination: Aurora Energy Pty Ltd 2012-13 to 2016-17</w:t>
      </w:r>
      <w:r w:rsidRPr="009F0978">
        <w:t>, April 2012, p. 29</w:t>
      </w:r>
      <w:r>
        <w:t xml:space="preserve">; AER, </w:t>
      </w:r>
      <w:r w:rsidRPr="006E5878">
        <w:rPr>
          <w:rStyle w:val="AERtextitalic"/>
        </w:rPr>
        <w:t>Draft Decision TasNetworks distribution determination 2017–18 to 2018–19 Attachment 3 – Rate of return</w:t>
      </w:r>
      <w:r>
        <w:t>, September 2016; TasNetworks</w:t>
      </w:r>
      <w:r w:rsidRPr="00E91B81">
        <w:rPr>
          <w:rStyle w:val="AERtextitalic"/>
        </w:rPr>
        <w:t xml:space="preserve">, </w:t>
      </w:r>
      <w:r>
        <w:rPr>
          <w:rStyle w:val="AERtextitalic"/>
        </w:rPr>
        <w:t>Tasmanian Distribution Revised Regulatory Proposal Regulatory Control Period 1 July 2017 to 30 June 2019</w:t>
      </w:r>
      <w:r>
        <w:t>, December 2016, p. 7.</w:t>
      </w:r>
    </w:p>
    <w:p w:rsidR="00336223" w:rsidRPr="00336223" w:rsidRDefault="00336223" w:rsidP="00336223">
      <w:r w:rsidRPr="00336223">
        <w:lastRenderedPageBreak/>
        <w:t>The falls were primarily caused by a reduction in the risk free rate</w:t>
      </w:r>
      <w:r w:rsidR="00EF2A82">
        <w:t xml:space="preserve"> and debt risk premium</w:t>
      </w:r>
      <w:r w:rsidRPr="00336223">
        <w:t xml:space="preserve">, which flowed through to the estimated return on debt and return on equity. However, the equity beta used for return on equity estimation also fell </w:t>
      </w:r>
      <w:r w:rsidR="00FA7210">
        <w:t>from a value of 0.8 for the 2012</w:t>
      </w:r>
      <w:r w:rsidRPr="00336223">
        <w:t xml:space="preserve">–17 regulatory control period to 0.7 </w:t>
      </w:r>
      <w:r>
        <w:t>for the 2017–19</w:t>
      </w:r>
      <w:r w:rsidRPr="00336223">
        <w:t xml:space="preserve"> regulatory control period reducing the estimated equity risk premium. </w:t>
      </w:r>
    </w:p>
    <w:p w:rsidR="006033F7" w:rsidRPr="00781828" w:rsidRDefault="00336223" w:rsidP="00336223">
      <w:r w:rsidRPr="00336223">
        <w:t xml:space="preserve">Differences between the draft and final decisions </w:t>
      </w:r>
      <w:r>
        <w:t>for the 2017–19</w:t>
      </w:r>
      <w:r w:rsidRPr="00336223">
        <w:t xml:space="preserve"> regulatory control period were much smaller. The rate of return of </w:t>
      </w:r>
      <w:r>
        <w:t>6.0</w:t>
      </w:r>
      <w:r w:rsidR="00D96B78">
        <w:t>2</w:t>
      </w:r>
      <w:r w:rsidRPr="00336223">
        <w:t xml:space="preserve"> per cent approved in this final decision is </w:t>
      </w:r>
      <w:r>
        <w:t>higher</w:t>
      </w:r>
      <w:r w:rsidRPr="00336223">
        <w:t xml:space="preserve"> than our draft decision of </w:t>
      </w:r>
      <w:r>
        <w:t>5.5</w:t>
      </w:r>
      <w:r w:rsidRPr="00336223">
        <w:t> per cent. Our approach to calculating the rate of return did not change, but our final decision updates the rate of return to reflect data from approved averaging periods used for estimating the return on equity and return on debt</w:t>
      </w:r>
      <w:r w:rsidR="006033F7">
        <w:t>.</w:t>
      </w:r>
    </w:p>
    <w:p w:rsidR="00CC6473" w:rsidRPr="00D27F57" w:rsidRDefault="00CC6473" w:rsidP="00CC6473">
      <w:pPr>
        <w:pStyle w:val="ListParagraph"/>
        <w:numPr>
          <w:ilvl w:val="0"/>
          <w:numId w:val="24"/>
        </w:numPr>
        <w:rPr>
          <w:rStyle w:val="AERbody"/>
        </w:rPr>
      </w:pPr>
      <w:r w:rsidRPr="00D27F57">
        <w:t xml:space="preserve">Further detail on our draft decision in regards to </w:t>
      </w:r>
      <w:r>
        <w:t>TasNetworks'</w:t>
      </w:r>
      <w:r w:rsidRPr="00D27F57">
        <w:t xml:space="preserve"> </w:t>
      </w:r>
      <w:r>
        <w:t>allowed rate of return</w:t>
      </w:r>
      <w:r w:rsidRPr="00D27F57">
        <w:t xml:space="preserve"> is set out in attachment </w:t>
      </w:r>
      <w:r>
        <w:t>3</w:t>
      </w:r>
      <w:r w:rsidRPr="00D27F57">
        <w:t xml:space="preserve">. </w:t>
      </w:r>
    </w:p>
    <w:p w:rsidR="00CC6473" w:rsidRPr="00923E34" w:rsidRDefault="00CC6473" w:rsidP="00CC6473">
      <w:pPr>
        <w:pStyle w:val="Heading2"/>
      </w:pPr>
      <w:bookmarkStart w:id="110" w:name="_Ref451759113"/>
      <w:bookmarkStart w:id="111" w:name="_Toc456687649"/>
      <w:bookmarkStart w:id="112" w:name="_Toc462823956"/>
      <w:bookmarkStart w:id="113" w:name="_Toc481051870"/>
      <w:r>
        <w:t xml:space="preserve">Value of </w:t>
      </w:r>
      <w:r w:rsidRPr="00923E34">
        <w:t>imputation credits (gamma)</w:t>
      </w:r>
      <w:bookmarkEnd w:id="110"/>
      <w:bookmarkEnd w:id="111"/>
      <w:bookmarkEnd w:id="112"/>
      <w:bookmarkEnd w:id="113"/>
    </w:p>
    <w:p w:rsidR="00835249" w:rsidRPr="00835249" w:rsidRDefault="00835249" w:rsidP="00835249">
      <w:pPr>
        <w:pStyle w:val="ListParagraph"/>
        <w:numPr>
          <w:ilvl w:val="0"/>
          <w:numId w:val="24"/>
        </w:numPr>
      </w:pPr>
      <w:r w:rsidRPr="00835249">
        <w:t>We accept TasNetworks' proposed value of imputation credits (or gamma) of 0.4. We consider that a value for imputation credits of 0.4 will result in equity investors in the benchmark efficient entity receiving an ex ante total return (inclusive of the value of imputation credits) commensurate with the efficient equity financing costs of a benchmark efficient entity.</w:t>
      </w:r>
    </w:p>
    <w:p w:rsidR="00835249" w:rsidRPr="00835249" w:rsidRDefault="00835249" w:rsidP="00835249">
      <w:pPr>
        <w:pStyle w:val="ListParagraph"/>
        <w:numPr>
          <w:ilvl w:val="0"/>
          <w:numId w:val="24"/>
        </w:numPr>
      </w:pPr>
      <w:r w:rsidRPr="00835249">
        <w:t>We note TasNetworks' submission that the X-factor definition should be changed to allow for any changes in gamma, following the conclusion of the court proceedings relating to the merit review sought by ActewAGL Distribution, Ausgrid, Endeavour Energy, Essential Energy and Jemena Gas Networks.</w:t>
      </w:r>
      <w:r>
        <w:rPr>
          <w:rStyle w:val="FootnoteReference"/>
        </w:rPr>
        <w:footnoteReference w:id="18"/>
      </w:r>
      <w:r w:rsidRPr="009B20EA">
        <w:rPr>
          <w:rStyle w:val="FootnoteReference"/>
        </w:rPr>
        <w:t xml:space="preserve"> </w:t>
      </w:r>
      <w:r w:rsidRPr="00835249">
        <w:t xml:space="preserve">However, as discussed in </w:t>
      </w:r>
      <w:r>
        <w:t>attachment 4</w:t>
      </w:r>
      <w:r w:rsidRPr="00835249">
        <w:t>, we do not consider such an approach is appropriate.</w:t>
      </w:r>
    </w:p>
    <w:p w:rsidR="00835249" w:rsidRPr="00835249" w:rsidRDefault="00835249" w:rsidP="00835249">
      <w:pPr>
        <w:pStyle w:val="ListParagraph"/>
        <w:numPr>
          <w:ilvl w:val="0"/>
          <w:numId w:val="24"/>
        </w:numPr>
      </w:pPr>
      <w:r w:rsidRPr="00835249">
        <w:t>In coming to a value of imputation credits of 0.4:</w:t>
      </w:r>
    </w:p>
    <w:p w:rsidR="00835249" w:rsidRPr="00835249" w:rsidRDefault="00835249" w:rsidP="00835249">
      <w:pPr>
        <w:pStyle w:val="AERbulletlistfirststyle"/>
      </w:pPr>
      <w:r w:rsidRPr="00835249">
        <w:t>We adopt a conceptual approach consistent with the Officer framework,</w:t>
      </w:r>
      <w:r w:rsidRPr="00247000">
        <w:rPr>
          <w:rStyle w:val="FootnoteReference"/>
        </w:rPr>
        <w:footnoteReference w:id="19"/>
      </w:r>
      <w:r w:rsidRPr="00835249">
        <w:t xml:space="preserve"> which we consider best promotes the objectives and requirements of the NER/NGR. This approach considers the value of imputation credits is a post-tax value before the impact of personal taxes and transaction costs.</w:t>
      </w:r>
      <w:r>
        <w:rPr>
          <w:rStyle w:val="FootnoteReference"/>
        </w:rPr>
        <w:footnoteReference w:id="20"/>
      </w:r>
      <w:r w:rsidRPr="00835249">
        <w:t xml:space="preserve"> As such, we view the value of imputation credits as the proportion of company tax returned to investors through the utilisation of imputation credits.</w:t>
      </w:r>
      <w:r w:rsidRPr="001D37D5">
        <w:rPr>
          <w:rStyle w:val="FootnoteReference"/>
        </w:rPr>
        <w:footnoteReference w:id="21"/>
      </w:r>
    </w:p>
    <w:p w:rsidR="00835249" w:rsidRPr="00835249" w:rsidRDefault="00835249" w:rsidP="00835249">
      <w:pPr>
        <w:pStyle w:val="AERbulletlistfirststyle"/>
      </w:pPr>
      <w:r w:rsidRPr="00835249">
        <w:t>We consider our conceptual approach allows for the value of imputation credits to be estimated on a consistent basis with the allowed rate of return and allowed revenues under the post-tax framework in the NER/NGR.</w:t>
      </w:r>
      <w:r w:rsidRPr="001D37D5">
        <w:rPr>
          <w:rStyle w:val="FootnoteReference"/>
        </w:rPr>
        <w:footnoteReference w:id="22"/>
      </w:r>
    </w:p>
    <w:p w:rsidR="00835249" w:rsidRDefault="00835249" w:rsidP="00835249">
      <w:pPr>
        <w:pStyle w:val="AERbulletlistfirststyle"/>
      </w:pPr>
      <w:r w:rsidRPr="00835249">
        <w:lastRenderedPageBreak/>
        <w:t>We use the widely accepted approach of estimating the value of imputation credits as the product of two sub-parameters: the 'distribution rate' and the 'utilisation rate'.</w:t>
      </w:r>
      <w:r w:rsidRPr="001D37D5">
        <w:rPr>
          <w:rStyle w:val="FootnoteReference"/>
        </w:rPr>
        <w:footnoteReference w:id="23"/>
      </w:r>
      <w:r w:rsidRPr="00835249">
        <w:t xml:space="preserve"> Our definition of, and estimation approach for, these sub-parameters is set out in </w:t>
      </w:r>
      <w:r>
        <w:fldChar w:fldCharType="begin"/>
      </w:r>
      <w:r>
        <w:instrText xml:space="preserve"> REF _Ref480534829 \h </w:instrText>
      </w:r>
      <w:r>
        <w:fldChar w:fldCharType="separate"/>
      </w:r>
      <w:r w:rsidR="008B40D8">
        <w:t xml:space="preserve">Table </w:t>
      </w:r>
      <w:r w:rsidR="008B40D8">
        <w:rPr>
          <w:noProof/>
        </w:rPr>
        <w:t>3</w:t>
      </w:r>
      <w:r w:rsidR="008B40D8">
        <w:t>.</w:t>
      </w:r>
      <w:r w:rsidR="008B40D8">
        <w:rPr>
          <w:noProof/>
        </w:rPr>
        <w:t>5</w:t>
      </w:r>
      <w:r>
        <w:fldChar w:fldCharType="end"/>
      </w:r>
      <w:r w:rsidRPr="00835249">
        <w:t>.</w:t>
      </w:r>
    </w:p>
    <w:p w:rsidR="00835249" w:rsidRDefault="00835249" w:rsidP="00835249">
      <w:pPr>
        <w:pStyle w:val="Caption"/>
      </w:pPr>
      <w:bookmarkStart w:id="114" w:name="_Ref480534829"/>
      <w:r>
        <w:t xml:space="preserve">Table </w:t>
      </w:r>
      <w:r w:rsidR="00D96B78">
        <w:fldChar w:fldCharType="begin"/>
      </w:r>
      <w:r w:rsidR="00D96B78">
        <w:instrText xml:space="preserve"> STYLEREF 1 \s </w:instrText>
      </w:r>
      <w:r w:rsidR="00D96B78">
        <w:fldChar w:fldCharType="separate"/>
      </w:r>
      <w:r w:rsidR="008B40D8">
        <w:rPr>
          <w:noProof/>
        </w:rPr>
        <w:t>3</w:t>
      </w:r>
      <w:r w:rsidR="00D96B78">
        <w:rPr>
          <w:noProof/>
        </w:rPr>
        <w:fldChar w:fldCharType="end"/>
      </w:r>
      <w:r w:rsidR="00465A73">
        <w:t>.</w:t>
      </w:r>
      <w:r w:rsidR="00D96B78">
        <w:fldChar w:fldCharType="begin"/>
      </w:r>
      <w:r w:rsidR="00D96B78">
        <w:instrText xml:space="preserve"> SEQ Table \* ARABIC \s 1 </w:instrText>
      </w:r>
      <w:r w:rsidR="00D96B78">
        <w:fldChar w:fldCharType="separate"/>
      </w:r>
      <w:r w:rsidR="008B40D8">
        <w:rPr>
          <w:noProof/>
        </w:rPr>
        <w:t>5</w:t>
      </w:r>
      <w:r w:rsidR="00D96B78">
        <w:rPr>
          <w:noProof/>
        </w:rPr>
        <w:fldChar w:fldCharType="end"/>
      </w:r>
      <w:bookmarkEnd w:id="114"/>
      <w:r>
        <w:tab/>
        <w:t>Gamma sub-parameters: definition and estimation approach</w:t>
      </w:r>
    </w:p>
    <w:tbl>
      <w:tblPr>
        <w:tblStyle w:val="AERtable-text0"/>
        <w:tblW w:w="8775" w:type="dxa"/>
        <w:tblLook w:val="04A0" w:firstRow="1" w:lastRow="0" w:firstColumn="1" w:lastColumn="0" w:noHBand="0" w:noVBand="1"/>
      </w:tblPr>
      <w:tblGrid>
        <w:gridCol w:w="2987"/>
        <w:gridCol w:w="2894"/>
        <w:gridCol w:w="2894"/>
      </w:tblGrid>
      <w:tr w:rsidR="00835249" w:rsidTr="004E3DEC">
        <w:trPr>
          <w:cnfStyle w:val="100000000000" w:firstRow="1" w:lastRow="0" w:firstColumn="0" w:lastColumn="0" w:oddVBand="0" w:evenVBand="0" w:oddHBand="0" w:evenHBand="0" w:firstRowFirstColumn="0" w:firstRowLastColumn="0" w:lastRowFirstColumn="0" w:lastRowLastColumn="0"/>
          <w:trHeight w:val="254"/>
          <w:tblHeader/>
        </w:trPr>
        <w:tc>
          <w:tcPr>
            <w:tcW w:w="2987" w:type="dxa"/>
          </w:tcPr>
          <w:p w:rsidR="00835249" w:rsidRDefault="00835249" w:rsidP="00835249">
            <w:pPr>
              <w:numPr>
                <w:ilvl w:val="0"/>
                <w:numId w:val="24"/>
              </w:numPr>
            </w:pPr>
            <w:r>
              <w:t>Sub-parameter</w:t>
            </w:r>
          </w:p>
        </w:tc>
        <w:tc>
          <w:tcPr>
            <w:tcW w:w="2894" w:type="dxa"/>
          </w:tcPr>
          <w:p w:rsidR="00835249" w:rsidRDefault="00835249" w:rsidP="00835249">
            <w:pPr>
              <w:numPr>
                <w:ilvl w:val="0"/>
                <w:numId w:val="24"/>
              </w:numPr>
            </w:pPr>
            <w:r>
              <w:t>Definition</w:t>
            </w:r>
          </w:p>
        </w:tc>
        <w:tc>
          <w:tcPr>
            <w:tcW w:w="2894" w:type="dxa"/>
          </w:tcPr>
          <w:p w:rsidR="00835249" w:rsidRDefault="00835249" w:rsidP="00835249">
            <w:pPr>
              <w:numPr>
                <w:ilvl w:val="0"/>
                <w:numId w:val="24"/>
              </w:numPr>
            </w:pPr>
            <w:r>
              <w:t>Estimation approach</w:t>
            </w:r>
          </w:p>
        </w:tc>
      </w:tr>
      <w:tr w:rsidR="00835249" w:rsidRPr="007B651F" w:rsidTr="004E3DEC">
        <w:trPr>
          <w:trHeight w:val="630"/>
        </w:trPr>
        <w:tc>
          <w:tcPr>
            <w:tcW w:w="2987" w:type="dxa"/>
          </w:tcPr>
          <w:p w:rsidR="00835249" w:rsidRPr="00835249" w:rsidRDefault="00835249" w:rsidP="00835249">
            <w:r>
              <w:t>Distribution rate (or payout ratio)</w:t>
            </w:r>
          </w:p>
        </w:tc>
        <w:tc>
          <w:tcPr>
            <w:tcW w:w="2894" w:type="dxa"/>
          </w:tcPr>
          <w:p w:rsidR="00835249" w:rsidRPr="00835249" w:rsidRDefault="00835249" w:rsidP="00835249">
            <w:r>
              <w:t>The proportion of imputation credits generated that is distributed to investors</w:t>
            </w:r>
            <w:r w:rsidRPr="00835249">
              <w:t>.</w:t>
            </w:r>
          </w:p>
        </w:tc>
        <w:tc>
          <w:tcPr>
            <w:tcW w:w="2894" w:type="dxa"/>
          </w:tcPr>
          <w:p w:rsidR="00835249" w:rsidRPr="00835249" w:rsidRDefault="00835249" w:rsidP="00835249">
            <w:r>
              <w:t xml:space="preserve">Primary reliance placed on the widely accepted cumulative payout ratio approach. Some regard is also given to Lally's estimate for listed equity from financial reports of the 20 largest listed firms. </w:t>
            </w:r>
          </w:p>
        </w:tc>
      </w:tr>
      <w:tr w:rsidR="00835249" w:rsidRPr="00C170F0" w:rsidTr="004E3DEC">
        <w:trPr>
          <w:cnfStyle w:val="000000010000" w:firstRow="0" w:lastRow="0" w:firstColumn="0" w:lastColumn="0" w:oddVBand="0" w:evenVBand="0" w:oddHBand="0" w:evenHBand="1" w:firstRowFirstColumn="0" w:firstRowLastColumn="0" w:lastRowFirstColumn="0" w:lastRowLastColumn="0"/>
          <w:trHeight w:val="638"/>
        </w:trPr>
        <w:tc>
          <w:tcPr>
            <w:tcW w:w="2987" w:type="dxa"/>
          </w:tcPr>
          <w:p w:rsidR="00835249" w:rsidRPr="00835249" w:rsidRDefault="00835249" w:rsidP="00835249">
            <w:r>
              <w:t>Utilisation rate (or theta)</w:t>
            </w:r>
          </w:p>
        </w:tc>
        <w:tc>
          <w:tcPr>
            <w:tcW w:w="2894" w:type="dxa"/>
          </w:tcPr>
          <w:p w:rsidR="00835249" w:rsidRPr="00835249" w:rsidRDefault="00835249" w:rsidP="00835249">
            <w:r>
              <w:t>The utilisation value to investors in the market per dollar of imputation credits distributed</w:t>
            </w:r>
            <w:r w:rsidRPr="00835249">
              <w:t>.</w:t>
            </w:r>
          </w:p>
        </w:tc>
        <w:tc>
          <w:tcPr>
            <w:tcW w:w="2894" w:type="dxa"/>
          </w:tcPr>
          <w:p w:rsidR="00835249" w:rsidRPr="00835249" w:rsidRDefault="00835249" w:rsidP="00835249">
            <w:r>
              <w:t xml:space="preserve">A range of approaches, with due regard to the merit of each approach: </w:t>
            </w:r>
          </w:p>
          <w:p w:rsidR="00835249" w:rsidRPr="00835249" w:rsidRDefault="00835249" w:rsidP="00835249">
            <w:pPr>
              <w:pStyle w:val="AERbulletlistfirststyle"/>
            </w:pPr>
            <w:r>
              <w:t>equity ownership approach</w:t>
            </w:r>
          </w:p>
          <w:p w:rsidR="00835249" w:rsidRPr="00835249" w:rsidRDefault="00835249" w:rsidP="00835249">
            <w:pPr>
              <w:pStyle w:val="AERbulletlistfirststyle"/>
            </w:pPr>
            <w:r>
              <w:t>tax statistics</w:t>
            </w:r>
          </w:p>
          <w:p w:rsidR="00835249" w:rsidRPr="00835249" w:rsidRDefault="00835249" w:rsidP="00835249">
            <w:pPr>
              <w:pStyle w:val="AERbulletlistfirststyle"/>
            </w:pPr>
            <w:r>
              <w:t xml:space="preserve">implied market value studies. </w:t>
            </w:r>
          </w:p>
        </w:tc>
      </w:tr>
    </w:tbl>
    <w:p w:rsidR="00835249" w:rsidRDefault="00835249" w:rsidP="00835249">
      <w:pPr>
        <w:pStyle w:val="AERtablesource"/>
      </w:pPr>
      <w:r>
        <w:t xml:space="preserve">Source: </w:t>
      </w:r>
      <w:r>
        <w:tab/>
        <w:t xml:space="preserve">AER analysis. </w:t>
      </w:r>
    </w:p>
    <w:p w:rsidR="00835249" w:rsidRPr="00835249" w:rsidRDefault="00835249" w:rsidP="00835249">
      <w:pPr>
        <w:pStyle w:val="ListParagraph"/>
        <w:numPr>
          <w:ilvl w:val="0"/>
          <w:numId w:val="24"/>
        </w:numPr>
      </w:pPr>
      <w:r w:rsidRPr="00835249">
        <w:t>Overall, the evidence suggests a range of estimates for the value of imputation credits might be reasonable. With regard to the merits of the evidence before us, we choose a value of imputation credits of 0.4 from within a range of 0.3 to 0.5.</w:t>
      </w:r>
    </w:p>
    <w:p w:rsidR="00835249" w:rsidRPr="00835249" w:rsidRDefault="00835249" w:rsidP="00835249">
      <w:pPr>
        <w:pStyle w:val="ListParagraph"/>
        <w:numPr>
          <w:ilvl w:val="0"/>
          <w:numId w:val="24"/>
        </w:numPr>
      </w:pPr>
      <w:r w:rsidRPr="00835249">
        <w:t xml:space="preserve">In considering the evidence on the distribution and utilisation rates, we have broadly maintained the approach set out in the Rate of Return Guideline, but have re-examined the relevant evidence and estimates. This re-examination, and new evidence and advice considered since the Guideline, led us to depart from the 0.5 value of imputation credits we proposed in the Guideline. </w:t>
      </w:r>
    </w:p>
    <w:p w:rsidR="0055327E" w:rsidRPr="00923E34" w:rsidRDefault="00CC6473" w:rsidP="00CC6473">
      <w:pPr>
        <w:pStyle w:val="ListParagraph"/>
        <w:numPr>
          <w:ilvl w:val="0"/>
          <w:numId w:val="24"/>
        </w:numPr>
      </w:pPr>
      <w:r w:rsidRPr="00D27F57">
        <w:t>Further detail on our draft decision in regards to</w:t>
      </w:r>
      <w:r>
        <w:t xml:space="preserve"> the value of</w:t>
      </w:r>
      <w:r w:rsidRPr="00D27F57">
        <w:t xml:space="preserve"> </w:t>
      </w:r>
      <w:r>
        <w:t>TasNetworks'</w:t>
      </w:r>
      <w:r w:rsidRPr="00D27F57">
        <w:t xml:space="preserve"> </w:t>
      </w:r>
      <w:r>
        <w:t>imputation credits</w:t>
      </w:r>
      <w:r w:rsidRPr="00D27F57">
        <w:t xml:space="preserve"> is set out in attachment </w:t>
      </w:r>
      <w:r>
        <w:t>4</w:t>
      </w:r>
      <w:r w:rsidRPr="00D27F57">
        <w:t xml:space="preserve">. </w:t>
      </w:r>
    </w:p>
    <w:p w:rsidR="00CC6473" w:rsidRDefault="00CC6473" w:rsidP="00CC6473">
      <w:pPr>
        <w:pStyle w:val="Heading2"/>
      </w:pPr>
      <w:bookmarkStart w:id="115" w:name="_Ref451759122"/>
      <w:bookmarkStart w:id="116" w:name="_Toc456687650"/>
      <w:bookmarkStart w:id="117" w:name="_Toc462823957"/>
      <w:bookmarkStart w:id="118" w:name="_Toc481051871"/>
      <w:r>
        <w:t>Regulatory depreciation (return of capital)</w:t>
      </w:r>
      <w:bookmarkEnd w:id="115"/>
      <w:bookmarkEnd w:id="116"/>
      <w:bookmarkEnd w:id="117"/>
      <w:bookmarkEnd w:id="118"/>
    </w:p>
    <w:p w:rsidR="003A37B6" w:rsidRDefault="00FD3D76" w:rsidP="00FD3D76">
      <w:r w:rsidRPr="00B518A1">
        <w:t xml:space="preserve">Depreciation is the allowance provided so capital investors recover their investment over the economic life of the asset (return of capital). </w:t>
      </w:r>
      <w:r w:rsidR="007B51DC">
        <w:t>In deciding</w:t>
      </w:r>
      <w:r w:rsidR="003A37B6" w:rsidRPr="00F93895">
        <w:t xml:space="preserve"> whether to approve the depreciation schedu</w:t>
      </w:r>
      <w:r w:rsidR="003A37B6">
        <w:t xml:space="preserve">les submitted by </w:t>
      </w:r>
      <w:r w:rsidR="002377DB">
        <w:t>TasNetworks</w:t>
      </w:r>
      <w:r w:rsidR="003A37B6">
        <w:t xml:space="preserve">, </w:t>
      </w:r>
      <w:r w:rsidRPr="00B518A1">
        <w:t>we make determinations on the indexation of the RAB and depreciation</w:t>
      </w:r>
      <w:r>
        <w:t xml:space="preserve"> </w:t>
      </w:r>
      <w:r w:rsidRPr="00B518A1">
        <w:t xml:space="preserve">building blocks for </w:t>
      </w:r>
      <w:r>
        <w:t xml:space="preserve">TasNetworks' </w:t>
      </w:r>
      <w:r w:rsidRPr="00B518A1">
        <w:t>201</w:t>
      </w:r>
      <w:r>
        <w:t>7</w:t>
      </w:r>
      <w:r w:rsidRPr="00B518A1">
        <w:t>–</w:t>
      </w:r>
      <w:r>
        <w:t>19</w:t>
      </w:r>
      <w:r w:rsidRPr="00B518A1">
        <w:t xml:space="preserve"> </w:t>
      </w:r>
      <w:r>
        <w:lastRenderedPageBreak/>
        <w:t xml:space="preserve">regulatory control </w:t>
      </w:r>
      <w:r w:rsidRPr="00B518A1">
        <w:t>period.</w:t>
      </w:r>
      <w:r>
        <w:rPr>
          <w:rStyle w:val="FootnoteReference"/>
        </w:rPr>
        <w:footnoteReference w:id="24"/>
      </w:r>
      <w:r w:rsidR="007B51DC">
        <w:t xml:space="preserve"> </w:t>
      </w:r>
      <w:r w:rsidR="007B51DC" w:rsidRPr="00B518A1">
        <w:t xml:space="preserve">The regulatory depreciation allowance is the net total of the </w:t>
      </w:r>
      <w:r w:rsidR="00EE141C">
        <w:t>straigh</w:t>
      </w:r>
      <w:r w:rsidR="004A0866">
        <w:t>t</w:t>
      </w:r>
      <w:r w:rsidR="00EE141C">
        <w:t>-line</w:t>
      </w:r>
      <w:r w:rsidR="007B51DC" w:rsidRPr="00B518A1">
        <w:t xml:space="preserve"> depreciation </w:t>
      </w:r>
      <w:r w:rsidR="007B51DC">
        <w:t>less</w:t>
      </w:r>
      <w:r w:rsidR="007B51DC" w:rsidRPr="00B518A1">
        <w:t xml:space="preserve"> the i</w:t>
      </w:r>
      <w:r w:rsidR="007B51DC">
        <w:t>nflation</w:t>
      </w:r>
      <w:r w:rsidR="007B51DC" w:rsidRPr="00B518A1">
        <w:t xml:space="preserve"> </w:t>
      </w:r>
      <w:r w:rsidR="007B51DC">
        <w:t xml:space="preserve">indexation adjustment </w:t>
      </w:r>
      <w:r w:rsidR="007B51DC" w:rsidRPr="00B518A1">
        <w:t>of the RAB</w:t>
      </w:r>
      <w:r w:rsidR="007B51DC">
        <w:t>.</w:t>
      </w:r>
    </w:p>
    <w:p w:rsidR="000463A2" w:rsidRDefault="008E362E" w:rsidP="00FD3D76">
      <w:r w:rsidRPr="0055327E">
        <w:rPr>
          <w:rStyle w:val="AERbody"/>
        </w:rPr>
        <w:t xml:space="preserve">Our </w:t>
      </w:r>
      <w:r w:rsidR="007B51DC" w:rsidRPr="0055327E">
        <w:rPr>
          <w:rStyle w:val="AERbody"/>
        </w:rPr>
        <w:t xml:space="preserve">final </w:t>
      </w:r>
      <w:r w:rsidRPr="0055327E">
        <w:rPr>
          <w:rStyle w:val="AERbody"/>
        </w:rPr>
        <w:t>decision is to determine a regulatory</w:t>
      </w:r>
      <w:r w:rsidR="00FD3D76" w:rsidRPr="0055327E">
        <w:rPr>
          <w:rStyle w:val="AERbody"/>
        </w:rPr>
        <w:t xml:space="preserve"> </w:t>
      </w:r>
      <w:r w:rsidRPr="0055327E">
        <w:rPr>
          <w:rStyle w:val="AERbody"/>
        </w:rPr>
        <w:t xml:space="preserve">depreciation allowance of </w:t>
      </w:r>
      <w:r w:rsidR="00FD3D76" w:rsidRPr="0055327E">
        <w:rPr>
          <w:rStyle w:val="AERbody"/>
        </w:rPr>
        <w:t>$</w:t>
      </w:r>
      <w:r w:rsidR="0083124C" w:rsidRPr="0055327E">
        <w:rPr>
          <w:rStyle w:val="AERbody"/>
        </w:rPr>
        <w:t>95.8</w:t>
      </w:r>
      <w:r w:rsidR="00FD3D76" w:rsidRPr="0055327E">
        <w:rPr>
          <w:rStyle w:val="AERbody"/>
        </w:rPr>
        <w:t xml:space="preserve"> million ($ nominal) </w:t>
      </w:r>
      <w:r w:rsidRPr="0055327E">
        <w:rPr>
          <w:rStyle w:val="AERbody"/>
        </w:rPr>
        <w:t>for TasNetworks</w:t>
      </w:r>
      <w:r w:rsidR="00AB65D7" w:rsidRPr="0055327E">
        <w:rPr>
          <w:rStyle w:val="AERbody"/>
        </w:rPr>
        <w:t xml:space="preserve"> over the 2017–19 regulatory control period</w:t>
      </w:r>
      <w:r w:rsidR="00FD3D76" w:rsidRPr="0055327E">
        <w:rPr>
          <w:rStyle w:val="AERbody"/>
        </w:rPr>
        <w:t>. This amount represents a reduction of $</w:t>
      </w:r>
      <w:r w:rsidR="0083124C" w:rsidRPr="0055327E">
        <w:rPr>
          <w:rStyle w:val="AERbody"/>
        </w:rPr>
        <w:t>0.4</w:t>
      </w:r>
      <w:r w:rsidR="00FD3D76" w:rsidRPr="0055327E">
        <w:rPr>
          <w:rStyle w:val="AERbody"/>
        </w:rPr>
        <w:t xml:space="preserve"> million (or </w:t>
      </w:r>
      <w:r w:rsidR="0083124C" w:rsidRPr="0055327E">
        <w:rPr>
          <w:rStyle w:val="AERbody"/>
        </w:rPr>
        <w:t>0.4</w:t>
      </w:r>
      <w:r w:rsidR="00FD3D76" w:rsidRPr="0055327E">
        <w:rPr>
          <w:rStyle w:val="AERbody"/>
        </w:rPr>
        <w:t xml:space="preserve"> per cent) on the </w:t>
      </w:r>
      <w:r w:rsidRPr="0055327E">
        <w:rPr>
          <w:rStyle w:val="AERbody"/>
        </w:rPr>
        <w:t>$9</w:t>
      </w:r>
      <w:r w:rsidR="00E560BE" w:rsidRPr="0055327E">
        <w:rPr>
          <w:rStyle w:val="AERbody"/>
        </w:rPr>
        <w:t>6</w:t>
      </w:r>
      <w:r w:rsidRPr="0055327E">
        <w:rPr>
          <w:rStyle w:val="AERbody"/>
        </w:rPr>
        <w:t>.2 million</w:t>
      </w:r>
      <w:r>
        <w:t xml:space="preserve"> ($ nominal) in TasNetworks' revised proposal</w:t>
      </w:r>
      <w:r w:rsidR="00FD3D76">
        <w:t>.</w:t>
      </w:r>
      <w:r>
        <w:rPr>
          <w:rStyle w:val="FootnoteReference"/>
        </w:rPr>
        <w:footnoteReference w:id="25"/>
      </w:r>
      <w:r w:rsidR="00FD3D76">
        <w:t xml:space="preserve"> </w:t>
      </w:r>
      <w:r w:rsidR="000463A2">
        <w:t xml:space="preserve">It represents a reduction </w:t>
      </w:r>
      <w:r w:rsidR="000463A2" w:rsidRPr="0055327E">
        <w:rPr>
          <w:rStyle w:val="AERbody"/>
        </w:rPr>
        <w:t>of $</w:t>
      </w:r>
      <w:r w:rsidR="0015050F" w:rsidRPr="0055327E">
        <w:rPr>
          <w:rStyle w:val="AERbody"/>
        </w:rPr>
        <w:t>2.</w:t>
      </w:r>
      <w:r w:rsidR="0083124C" w:rsidRPr="0055327E">
        <w:rPr>
          <w:rStyle w:val="AERbody"/>
        </w:rPr>
        <w:t>8</w:t>
      </w:r>
      <w:r w:rsidR="000463A2" w:rsidRPr="0055327E">
        <w:rPr>
          <w:rStyle w:val="AERbody"/>
        </w:rPr>
        <w:t xml:space="preserve"> million or </w:t>
      </w:r>
      <w:r w:rsidR="0015050F" w:rsidRPr="0055327E">
        <w:rPr>
          <w:rStyle w:val="AERbody"/>
        </w:rPr>
        <w:t>2.</w:t>
      </w:r>
      <w:r w:rsidR="0083124C" w:rsidRPr="0055327E">
        <w:rPr>
          <w:rStyle w:val="AERbody"/>
        </w:rPr>
        <w:t>9</w:t>
      </w:r>
      <w:r w:rsidR="000463A2" w:rsidRPr="0055327E">
        <w:rPr>
          <w:rStyle w:val="AERbody"/>
        </w:rPr>
        <w:t xml:space="preserve"> per cent from the $98.6 million ($ nominal) in our draft decision.</w:t>
      </w:r>
      <w:r w:rsidR="00D875F5" w:rsidRPr="0055327E">
        <w:rPr>
          <w:rStyle w:val="AERbody"/>
        </w:rPr>
        <w:t xml:space="preserve"> In coming</w:t>
      </w:r>
      <w:r w:rsidR="00D875F5">
        <w:t xml:space="preserve"> to our final decision:</w:t>
      </w:r>
    </w:p>
    <w:p w:rsidR="00D875F5" w:rsidRDefault="00D875F5" w:rsidP="00CC771C">
      <w:pPr>
        <w:pStyle w:val="AERbulletlistfirststyle"/>
      </w:pPr>
      <w:r>
        <w:t xml:space="preserve">We </w:t>
      </w:r>
      <w:r w:rsidR="00EA25BA">
        <w:t xml:space="preserve">confirm our </w:t>
      </w:r>
      <w:r>
        <w:t>accept</w:t>
      </w:r>
      <w:r w:rsidR="00EA25BA">
        <w:t>ance of</w:t>
      </w:r>
      <w:r>
        <w:t xml:space="preserve"> TasNetworks'</w:t>
      </w:r>
      <w:r w:rsidRPr="0077702E">
        <w:t xml:space="preserve"> proposed </w:t>
      </w:r>
      <w:r>
        <w:t xml:space="preserve">asset classes and its </w:t>
      </w:r>
      <w:r w:rsidRPr="0077702E">
        <w:t>straight-line depreciation method used to calculate the regulatory depreciation allowance</w:t>
      </w:r>
      <w:r>
        <w:t>.</w:t>
      </w:r>
      <w:r w:rsidRPr="00D91B01">
        <w:t xml:space="preserve"> </w:t>
      </w:r>
    </w:p>
    <w:p w:rsidR="00474B41" w:rsidRDefault="00D875F5" w:rsidP="00CC771C">
      <w:pPr>
        <w:pStyle w:val="AERbulletlistfirststyle"/>
      </w:pPr>
      <w:r>
        <w:t>We</w:t>
      </w:r>
      <w:r w:rsidR="000463A2" w:rsidRPr="00D91B01">
        <w:t xml:space="preserve"> implement straight-line depreciation using the </w:t>
      </w:r>
      <w:r w:rsidR="00AB65D7">
        <w:t>'</w:t>
      </w:r>
      <w:r w:rsidR="000463A2" w:rsidRPr="00D91B01">
        <w:t>year-by-year tracking</w:t>
      </w:r>
      <w:r w:rsidR="00AB65D7">
        <w:t>'</w:t>
      </w:r>
      <w:r w:rsidR="000463A2" w:rsidRPr="00D91B01">
        <w:t xml:space="preserve"> approach, which is the same approach used in </w:t>
      </w:r>
      <w:r w:rsidR="000463A2">
        <w:t xml:space="preserve">TasNetworks' revised proposal and </w:t>
      </w:r>
      <w:r w:rsidR="000463A2" w:rsidRPr="00D91B01">
        <w:t xml:space="preserve">our </w:t>
      </w:r>
      <w:r w:rsidR="000463A2">
        <w:t>draft</w:t>
      </w:r>
      <w:r w:rsidR="000463A2" w:rsidRPr="00D91B01">
        <w:t xml:space="preserve"> decision. </w:t>
      </w:r>
      <w:r w:rsidR="00771F5E">
        <w:t>In the draft decision, w</w:t>
      </w:r>
      <w:r w:rsidR="00771F5E" w:rsidRPr="0093194B">
        <w:t xml:space="preserve">e </w:t>
      </w:r>
      <w:r w:rsidR="00771F5E">
        <w:t>accepted TasNetworks' proposal to use the year-by-year tracking method for depreciating its existing assets. However, we did not accept</w:t>
      </w:r>
      <w:r w:rsidR="00771F5E" w:rsidRPr="0093194B">
        <w:t xml:space="preserve"> </w:t>
      </w:r>
      <w:r w:rsidR="00771F5E">
        <w:t>TasNetworks'</w:t>
      </w:r>
      <w:r w:rsidR="00771F5E" w:rsidRPr="0093194B">
        <w:t xml:space="preserve"> </w:t>
      </w:r>
      <w:r w:rsidR="00771F5E">
        <w:t>implementation of the approach in its proposed RFM</w:t>
      </w:r>
      <w:r w:rsidR="00771F5E" w:rsidRPr="0077702E">
        <w:t xml:space="preserve">. </w:t>
      </w:r>
      <w:r w:rsidR="00771F5E">
        <w:t xml:space="preserve">We established a separate depreciation model for TasNetworks to correctly implement the year-by-year tracking method. </w:t>
      </w:r>
      <w:r w:rsidR="004F0B8A">
        <w:t xml:space="preserve">In its revised proposal, </w:t>
      </w:r>
      <w:r w:rsidR="00771F5E">
        <w:t xml:space="preserve">TasNetworks has adopted the depreciation model we established </w:t>
      </w:r>
      <w:r w:rsidR="004F0B8A">
        <w:t>in the draft decision</w:t>
      </w:r>
      <w:r w:rsidR="00771F5E">
        <w:t xml:space="preserve">. </w:t>
      </w:r>
      <w:r w:rsidR="00474B41">
        <w:t xml:space="preserve">We are satisfied the application of the year-by-year tracking method for depreciation purposes meets the requirements of the NER </w:t>
      </w:r>
      <w:r w:rsidR="00474B41" w:rsidRPr="00B00BB3">
        <w:t>in that it</w:t>
      </w:r>
      <w:r w:rsidR="00474B41">
        <w:t>:</w:t>
      </w:r>
    </w:p>
    <w:p w:rsidR="00474B41" w:rsidRDefault="00474B41" w:rsidP="00CC771C">
      <w:pPr>
        <w:pStyle w:val="AERbulletlistsecondstyle"/>
      </w:pPr>
      <w:r>
        <w:t>produces depreciation schedules that reflect the nature of the assets and their economic life</w:t>
      </w:r>
      <w:r>
        <w:rPr>
          <w:rStyle w:val="FootnoteReference"/>
        </w:rPr>
        <w:footnoteReference w:id="26"/>
      </w:r>
    </w:p>
    <w:p w:rsidR="00474B41" w:rsidRDefault="00474B41" w:rsidP="00CC771C">
      <w:pPr>
        <w:pStyle w:val="AERbulletlistsecondstyle"/>
      </w:pPr>
      <w:r>
        <w:t>ensures that total depreciation (in real terms) equals the initial value of the assets</w:t>
      </w:r>
      <w:r>
        <w:rPr>
          <w:rStyle w:val="FootnoteReference"/>
        </w:rPr>
        <w:footnoteReference w:id="27"/>
      </w:r>
    </w:p>
    <w:p w:rsidR="00771F5E" w:rsidRDefault="00474B41" w:rsidP="00CC771C">
      <w:pPr>
        <w:pStyle w:val="AERbulletlistsecondstyle"/>
      </w:pPr>
      <w:r>
        <w:t xml:space="preserve">allows </w:t>
      </w:r>
      <w:r w:rsidRPr="00DC4AD9">
        <w:t xml:space="preserve">the economic lives of existing assets </w:t>
      </w:r>
      <w:r>
        <w:t>to be</w:t>
      </w:r>
      <w:r w:rsidRPr="00DC4AD9">
        <w:t xml:space="preserve"> consistent with </w:t>
      </w:r>
      <w:r>
        <w:t xml:space="preserve">those determined in </w:t>
      </w:r>
      <w:r w:rsidRPr="00DC4AD9">
        <w:t>previous decisions</w:t>
      </w:r>
      <w:r>
        <w:t>.</w:t>
      </w:r>
      <w:r>
        <w:rPr>
          <w:rStyle w:val="FootnoteReference"/>
        </w:rPr>
        <w:footnoteReference w:id="28"/>
      </w:r>
      <w:r>
        <w:t xml:space="preserve"> </w:t>
      </w:r>
    </w:p>
    <w:p w:rsidR="00EA25BA" w:rsidRDefault="00D905B8" w:rsidP="00EA25BA">
      <w:pPr>
        <w:pStyle w:val="AERbulletlistfirststyle"/>
      </w:pPr>
      <w:r w:rsidRPr="00D91B01">
        <w:t xml:space="preserve">The adoption of year-by-year tracking means it is no longer necessary to explicitly calculate remaining asset lives as at 1 </w:t>
      </w:r>
      <w:r>
        <w:t>July</w:t>
      </w:r>
      <w:r w:rsidRPr="00D91B01">
        <w:t xml:space="preserve"> 201</w:t>
      </w:r>
      <w:r>
        <w:t>7</w:t>
      </w:r>
      <w:r w:rsidRPr="00D91B01">
        <w:t>.</w:t>
      </w:r>
      <w:r w:rsidR="00D875F5">
        <w:t xml:space="preserve"> However, we do need to decide on the standard asset lives for depreciating new assets.</w:t>
      </w:r>
      <w:r w:rsidR="00774EAA">
        <w:t xml:space="preserve"> Consistent with the draft decision, we accept</w:t>
      </w:r>
      <w:r w:rsidR="00774EAA" w:rsidRPr="0077702E">
        <w:t xml:space="preserve"> </w:t>
      </w:r>
      <w:r w:rsidR="00774EAA">
        <w:t>TasNetworks'</w:t>
      </w:r>
      <w:r w:rsidR="00774EAA" w:rsidRPr="0077702E">
        <w:t xml:space="preserve"> proposed </w:t>
      </w:r>
      <w:r w:rsidR="00774EAA">
        <w:t xml:space="preserve">standard </w:t>
      </w:r>
      <w:r w:rsidR="00774EAA" w:rsidRPr="0077702E">
        <w:t xml:space="preserve">asset </w:t>
      </w:r>
      <w:r w:rsidR="00774EAA">
        <w:t>lives</w:t>
      </w:r>
      <w:r w:rsidR="00774EAA" w:rsidRPr="0077702E">
        <w:t xml:space="preserve"> </w:t>
      </w:r>
      <w:r w:rsidR="00774EAA">
        <w:t xml:space="preserve">for its existing asset classes. These asset lives </w:t>
      </w:r>
      <w:r w:rsidR="00774EAA" w:rsidRPr="0077702E">
        <w:t xml:space="preserve">are consistent with those approved at the </w:t>
      </w:r>
      <w:r w:rsidR="00774EAA">
        <w:t>2012–17</w:t>
      </w:r>
      <w:r w:rsidR="00774EAA" w:rsidRPr="0077702E">
        <w:t xml:space="preserve"> distribution determination</w:t>
      </w:r>
      <w:r w:rsidR="00774EAA">
        <w:t xml:space="preserve"> and comparable to the standard asset lives used for other distributors</w:t>
      </w:r>
      <w:r w:rsidR="00774EAA" w:rsidRPr="0077702E">
        <w:t>.</w:t>
      </w:r>
    </w:p>
    <w:p w:rsidR="00EA25BA" w:rsidRPr="00F93895" w:rsidRDefault="00EA25BA" w:rsidP="00EA25BA">
      <w:pPr>
        <w:pStyle w:val="AERbulletlistfirststyle"/>
        <w:numPr>
          <w:ilvl w:val="0"/>
          <w:numId w:val="0"/>
        </w:numPr>
        <w:ind w:left="357"/>
      </w:pPr>
      <w:r>
        <w:t>We confirm our acceptance of TasNetworks' propos</w:t>
      </w:r>
      <w:r w:rsidRPr="00EA25BA">
        <w:t xml:space="preserve">al to create a new 'Business management systems' asset class with a standard asset life of 10 years. This asset </w:t>
      </w:r>
      <w:r w:rsidRPr="00EA25BA">
        <w:lastRenderedPageBreak/>
        <w:t xml:space="preserve">class will contain asset management IT systems capex incurred from 1 July 2017. </w:t>
      </w:r>
      <w:r>
        <w:t>Consistent with our draft decision, w</w:t>
      </w:r>
      <w:r w:rsidRPr="00EA25BA">
        <w:t xml:space="preserve">e consider the proposed standard asset life of 10 years reflects the nature of the assets in this asset class and is comparable with the standard asset life used by other distributors for a similar asset class. </w:t>
      </w:r>
    </w:p>
    <w:p w:rsidR="00EA25BA" w:rsidRPr="00F93895" w:rsidRDefault="00774EAA" w:rsidP="00EA25BA">
      <w:pPr>
        <w:pStyle w:val="AERbulletlistfirststyle"/>
        <w:numPr>
          <w:ilvl w:val="0"/>
          <w:numId w:val="0"/>
        </w:numPr>
        <w:ind w:left="357"/>
      </w:pPr>
      <w:r w:rsidRPr="00774EAA">
        <w:t xml:space="preserve">We are </w:t>
      </w:r>
      <w:r>
        <w:t xml:space="preserve">therefore </w:t>
      </w:r>
      <w:r w:rsidRPr="00774EAA">
        <w:t xml:space="preserve">satisfied the </w:t>
      </w:r>
      <w:r>
        <w:t xml:space="preserve">approved </w:t>
      </w:r>
      <w:r w:rsidRPr="00774EAA">
        <w:t xml:space="preserve">standard asset lives </w:t>
      </w:r>
      <w:r>
        <w:t xml:space="preserve">(as set out in table 5.3 of our draft decision regulatory depreciation attachment 5) </w:t>
      </w:r>
      <w:r w:rsidRPr="00774EAA">
        <w:t>would lead to a depreciation schedule that reflects the nature of the assets over the economic lives of the asset classes, and that the sum of the real value of the depreciation attributable to the assets is equivalent to the value at which the assets was first included in the RAB for TasNetworks.</w:t>
      </w:r>
      <w:r w:rsidRPr="00774EAA">
        <w:rPr>
          <w:rStyle w:val="FootnoteReference"/>
        </w:rPr>
        <w:footnoteReference w:id="29"/>
      </w:r>
    </w:p>
    <w:p w:rsidR="00FD3D76" w:rsidRPr="0077702E" w:rsidRDefault="00E97139" w:rsidP="00EA25BA">
      <w:pPr>
        <w:pStyle w:val="AERbulletlistfirststyle"/>
      </w:pPr>
      <w:r>
        <w:t>Our final decision</w:t>
      </w:r>
      <w:r w:rsidR="00FD3D76">
        <w:t xml:space="preserve"> on </w:t>
      </w:r>
      <w:r>
        <w:t>the</w:t>
      </w:r>
      <w:r w:rsidR="00FD3D76">
        <w:t xml:space="preserve"> </w:t>
      </w:r>
      <w:r w:rsidRPr="0077702E">
        <w:t xml:space="preserve">opening RAB </w:t>
      </w:r>
      <w:r>
        <w:t>at 1 July 2017</w:t>
      </w:r>
      <w:r w:rsidRPr="0077702E">
        <w:t xml:space="preserve"> </w:t>
      </w:r>
      <w:r>
        <w:t xml:space="preserve">(section </w:t>
      </w:r>
      <w:r>
        <w:fldChar w:fldCharType="begin"/>
      </w:r>
      <w:r>
        <w:instrText xml:space="preserve"> REF _Ref451519510 \r \h </w:instrText>
      </w:r>
      <w:r>
        <w:fldChar w:fldCharType="separate"/>
      </w:r>
      <w:r w:rsidR="008B40D8">
        <w:t>3.1</w:t>
      </w:r>
      <w:r>
        <w:fldChar w:fldCharType="end"/>
      </w:r>
      <w:r>
        <w:t>)</w:t>
      </w:r>
      <w:r w:rsidR="007D564A">
        <w:t xml:space="preserve"> </w:t>
      </w:r>
      <w:r w:rsidR="00FD3D76" w:rsidRPr="0077702E">
        <w:t>also affect</w:t>
      </w:r>
      <w:r w:rsidR="007D564A">
        <w:t>s</w:t>
      </w:r>
      <w:r w:rsidR="00FD3D76" w:rsidRPr="0077702E">
        <w:t xml:space="preserve"> the forecast regulatory depreciation allowance</w:t>
      </w:r>
      <w:r w:rsidR="007D564A">
        <w:t>.</w:t>
      </w:r>
      <w:r w:rsidR="00D905B8">
        <w:rPr>
          <w:rStyle w:val="FootnoteReference"/>
        </w:rPr>
        <w:footnoteReference w:id="30"/>
      </w:r>
    </w:p>
    <w:p w:rsidR="00FD3D76" w:rsidRDefault="00FD3D76" w:rsidP="008F6188">
      <w:r w:rsidRPr="008F6188">
        <w:fldChar w:fldCharType="begin"/>
      </w:r>
      <w:r w:rsidRPr="008F6188">
        <w:instrText xml:space="preserve"> REF _Ref462056807 \h </w:instrText>
      </w:r>
      <w:r w:rsidR="008F6188">
        <w:instrText xml:space="preserve"> \* MERGEFORMAT </w:instrText>
      </w:r>
      <w:r w:rsidRPr="008F6188">
        <w:fldChar w:fldCharType="separate"/>
      </w:r>
      <w:r w:rsidR="008B40D8">
        <w:t xml:space="preserve">Table </w:t>
      </w:r>
      <w:r w:rsidR="008B40D8">
        <w:rPr>
          <w:noProof/>
        </w:rPr>
        <w:t>3</w:t>
      </w:r>
      <w:r w:rsidR="008B40D8">
        <w:t>.</w:t>
      </w:r>
      <w:r w:rsidR="008B40D8">
        <w:rPr>
          <w:noProof/>
        </w:rPr>
        <w:t>6</w:t>
      </w:r>
      <w:r w:rsidR="008B40D8">
        <w:tab/>
      </w:r>
      <w:r w:rsidRPr="008F6188">
        <w:fldChar w:fldCharType="end"/>
      </w:r>
      <w:r w:rsidR="00465A73">
        <w:fldChar w:fldCharType="begin"/>
      </w:r>
      <w:r w:rsidR="00465A73">
        <w:instrText xml:space="preserve"> REF _Ref480989984 \h </w:instrText>
      </w:r>
      <w:r w:rsidR="00465A73">
        <w:fldChar w:fldCharType="separate"/>
      </w:r>
      <w:r w:rsidR="008B40D8">
        <w:t xml:space="preserve">Table </w:t>
      </w:r>
      <w:r w:rsidR="008B40D8">
        <w:rPr>
          <w:noProof/>
        </w:rPr>
        <w:t>3</w:t>
      </w:r>
      <w:r w:rsidR="008B40D8">
        <w:t>.</w:t>
      </w:r>
      <w:r w:rsidR="008B40D8">
        <w:rPr>
          <w:noProof/>
        </w:rPr>
        <w:t>6</w:t>
      </w:r>
      <w:r w:rsidR="00465A73">
        <w:fldChar w:fldCharType="end"/>
      </w:r>
      <w:r w:rsidR="00465A73">
        <w:t xml:space="preserve"> </w:t>
      </w:r>
      <w:r>
        <w:t xml:space="preserve">sets out our </w:t>
      </w:r>
      <w:r w:rsidR="00EC2A8D">
        <w:t>final</w:t>
      </w:r>
      <w:r>
        <w:t xml:space="preserve"> decision on </w:t>
      </w:r>
      <w:r w:rsidR="00EC2A8D">
        <w:t>TasNetworks'</w:t>
      </w:r>
      <w:r>
        <w:t xml:space="preserve"> regulatory depreciation allowance for 2017–19 regulatory control </w:t>
      </w:r>
      <w:proofErr w:type="gramStart"/>
      <w:r>
        <w:t>period</w:t>
      </w:r>
      <w:proofErr w:type="gramEnd"/>
      <w:r>
        <w:t>.</w:t>
      </w:r>
    </w:p>
    <w:p w:rsidR="00FD3D76" w:rsidRPr="004C248B" w:rsidRDefault="00465A73" w:rsidP="00465A73">
      <w:pPr>
        <w:pStyle w:val="Caption"/>
      </w:pPr>
      <w:bookmarkStart w:id="119" w:name="_Ref480989984"/>
      <w:bookmarkStart w:id="120" w:name="_Ref462056807"/>
      <w:r>
        <w:t xml:space="preserve">Table </w:t>
      </w:r>
      <w:r w:rsidR="00D96B78">
        <w:fldChar w:fldCharType="begin"/>
      </w:r>
      <w:r w:rsidR="00D96B78">
        <w:instrText xml:space="preserve"> STYLEREF 1 \s </w:instrText>
      </w:r>
      <w:r w:rsidR="00D96B78">
        <w:fldChar w:fldCharType="separate"/>
      </w:r>
      <w:r w:rsidR="008B40D8">
        <w:rPr>
          <w:noProof/>
        </w:rPr>
        <w:t>3</w:t>
      </w:r>
      <w:r w:rsidR="00D96B78">
        <w:rPr>
          <w:noProof/>
        </w:rPr>
        <w:fldChar w:fldCharType="end"/>
      </w:r>
      <w:r>
        <w:t>.</w:t>
      </w:r>
      <w:r w:rsidR="00D96B78">
        <w:fldChar w:fldCharType="begin"/>
      </w:r>
      <w:r w:rsidR="00D96B78">
        <w:instrText xml:space="preserve"> SEQ Table \* ARABIC \s 1 </w:instrText>
      </w:r>
      <w:r w:rsidR="00D96B78">
        <w:fldChar w:fldCharType="separate"/>
      </w:r>
      <w:r w:rsidR="008B40D8">
        <w:rPr>
          <w:noProof/>
        </w:rPr>
        <w:t>6</w:t>
      </w:r>
      <w:r w:rsidR="00D96B78">
        <w:rPr>
          <w:noProof/>
        </w:rPr>
        <w:fldChar w:fldCharType="end"/>
      </w:r>
      <w:bookmarkEnd w:id="119"/>
      <w:r>
        <w:tab/>
      </w:r>
      <w:bookmarkEnd w:id="120"/>
      <w:r w:rsidR="00FD3D76" w:rsidRPr="004C248B">
        <w:t xml:space="preserve">AER's </w:t>
      </w:r>
      <w:r w:rsidR="00EC2A8D">
        <w:t>final</w:t>
      </w:r>
      <w:r w:rsidR="00FD3D76" w:rsidRPr="004C248B">
        <w:t xml:space="preserve"> decision on TasNetworks' depreciation allowance for 2017–19 period ($million, nominal)</w:t>
      </w:r>
    </w:p>
    <w:tbl>
      <w:tblPr>
        <w:tblStyle w:val="AERtable-numbers"/>
        <w:tblW w:w="5000" w:type="pct"/>
        <w:tblLook w:val="04A0" w:firstRow="1" w:lastRow="0" w:firstColumn="1" w:lastColumn="0" w:noHBand="0" w:noVBand="1"/>
      </w:tblPr>
      <w:tblGrid>
        <w:gridCol w:w="4682"/>
        <w:gridCol w:w="1337"/>
        <w:gridCol w:w="1337"/>
        <w:gridCol w:w="1337"/>
      </w:tblGrid>
      <w:tr w:rsidR="00FD3D76" w:rsidRPr="00B518A1" w:rsidTr="00295603">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693" w:type="pct"/>
            <w:noWrap/>
            <w:hideMark/>
          </w:tcPr>
          <w:p w:rsidR="00FD3D76" w:rsidRPr="00FD3D76" w:rsidRDefault="00FD3D76" w:rsidP="00FD3D76">
            <w:r w:rsidRPr="00B518A1">
              <w:t> </w:t>
            </w:r>
          </w:p>
        </w:tc>
        <w:tc>
          <w:tcPr>
            <w:tcW w:w="769" w:type="pct"/>
            <w:noWrap/>
            <w:hideMark/>
          </w:tcPr>
          <w:p w:rsidR="00FD3D76" w:rsidRPr="00FD3D76" w:rsidRDefault="00FD3D76" w:rsidP="00FD3D76">
            <w:pPr>
              <w:cnfStyle w:val="100000000000" w:firstRow="1" w:lastRow="0" w:firstColumn="0" w:lastColumn="0" w:oddVBand="0" w:evenVBand="0" w:oddHBand="0" w:evenHBand="0" w:firstRowFirstColumn="0" w:firstRowLastColumn="0" w:lastRowFirstColumn="0" w:lastRowLastColumn="0"/>
            </w:pPr>
            <w:r w:rsidRPr="00B518A1">
              <w:t>2017–18</w:t>
            </w:r>
          </w:p>
        </w:tc>
        <w:tc>
          <w:tcPr>
            <w:tcW w:w="769" w:type="pct"/>
            <w:noWrap/>
            <w:hideMark/>
          </w:tcPr>
          <w:p w:rsidR="00FD3D76" w:rsidRPr="00FD3D76" w:rsidRDefault="00FD3D76" w:rsidP="00FD3D76">
            <w:pPr>
              <w:cnfStyle w:val="100000000000" w:firstRow="1" w:lastRow="0" w:firstColumn="0" w:lastColumn="0" w:oddVBand="0" w:evenVBand="0" w:oddHBand="0" w:evenHBand="0" w:firstRowFirstColumn="0" w:firstRowLastColumn="0" w:lastRowFirstColumn="0" w:lastRowLastColumn="0"/>
            </w:pPr>
            <w:r w:rsidRPr="00B518A1">
              <w:t>2018–19</w:t>
            </w:r>
          </w:p>
        </w:tc>
        <w:tc>
          <w:tcPr>
            <w:tcW w:w="769" w:type="pct"/>
            <w:noWrap/>
            <w:hideMark/>
          </w:tcPr>
          <w:p w:rsidR="00FD3D76" w:rsidRPr="00FD3D76" w:rsidRDefault="00FD3D76" w:rsidP="00FD3D76">
            <w:pPr>
              <w:cnfStyle w:val="100000000000" w:firstRow="1" w:lastRow="0" w:firstColumn="0" w:lastColumn="0" w:oddVBand="0" w:evenVBand="0" w:oddHBand="0" w:evenHBand="0" w:firstRowFirstColumn="0" w:firstRowLastColumn="0" w:lastRowFirstColumn="0" w:lastRowLastColumn="0"/>
            </w:pPr>
            <w:r w:rsidRPr="00B518A1">
              <w:t>Total</w:t>
            </w:r>
          </w:p>
        </w:tc>
      </w:tr>
      <w:tr w:rsidR="00771863" w:rsidRPr="00B518A1" w:rsidTr="00295603">
        <w:trPr>
          <w:trHeight w:val="277"/>
        </w:trPr>
        <w:tc>
          <w:tcPr>
            <w:cnfStyle w:val="001000000000" w:firstRow="0" w:lastRow="0" w:firstColumn="1" w:lastColumn="0" w:oddVBand="0" w:evenVBand="0" w:oddHBand="0" w:evenHBand="0" w:firstRowFirstColumn="0" w:firstRowLastColumn="0" w:lastRowFirstColumn="0" w:lastRowLastColumn="0"/>
            <w:tcW w:w="2693" w:type="pct"/>
            <w:noWrap/>
            <w:hideMark/>
          </w:tcPr>
          <w:p w:rsidR="00771863" w:rsidRPr="00771863" w:rsidRDefault="00771863" w:rsidP="00771863">
            <w:r w:rsidRPr="00771863">
              <w:t>Straight-line depreciation</w:t>
            </w:r>
          </w:p>
        </w:tc>
        <w:tc>
          <w:tcPr>
            <w:tcW w:w="769" w:type="pct"/>
            <w:noWrap/>
            <w:vAlign w:val="top"/>
          </w:tcPr>
          <w:p w:rsidR="00771863" w:rsidRPr="00771863" w:rsidRDefault="00771863" w:rsidP="0022005C">
            <w:pPr>
              <w:cnfStyle w:val="000000000000" w:firstRow="0" w:lastRow="0" w:firstColumn="0" w:lastColumn="0" w:oddVBand="0" w:evenVBand="0" w:oddHBand="0" w:evenHBand="0" w:firstRowFirstColumn="0" w:firstRowLastColumn="0" w:lastRowFirstColumn="0" w:lastRowLastColumn="0"/>
            </w:pPr>
            <w:r w:rsidRPr="00771863">
              <w:t>77.7</w:t>
            </w:r>
          </w:p>
        </w:tc>
        <w:tc>
          <w:tcPr>
            <w:tcW w:w="769" w:type="pct"/>
            <w:noWrap/>
            <w:vAlign w:val="top"/>
          </w:tcPr>
          <w:p w:rsidR="00771863" w:rsidRPr="00771863" w:rsidRDefault="00771863" w:rsidP="0022005C">
            <w:pPr>
              <w:cnfStyle w:val="000000000000" w:firstRow="0" w:lastRow="0" w:firstColumn="0" w:lastColumn="0" w:oddVBand="0" w:evenVBand="0" w:oddHBand="0" w:evenHBand="0" w:firstRowFirstColumn="0" w:firstRowLastColumn="0" w:lastRowFirstColumn="0" w:lastRowLastColumn="0"/>
            </w:pPr>
            <w:r w:rsidRPr="00771863">
              <w:t>99.1</w:t>
            </w:r>
          </w:p>
        </w:tc>
        <w:tc>
          <w:tcPr>
            <w:tcW w:w="769" w:type="pct"/>
            <w:noWrap/>
            <w:vAlign w:val="top"/>
          </w:tcPr>
          <w:p w:rsidR="00771863" w:rsidRPr="00771863" w:rsidRDefault="00771863" w:rsidP="0022005C">
            <w:pPr>
              <w:cnfStyle w:val="000000000000" w:firstRow="0" w:lastRow="0" w:firstColumn="0" w:lastColumn="0" w:oddVBand="0" w:evenVBand="0" w:oddHBand="0" w:evenHBand="0" w:firstRowFirstColumn="0" w:firstRowLastColumn="0" w:lastRowFirstColumn="0" w:lastRowLastColumn="0"/>
            </w:pPr>
            <w:r w:rsidRPr="00771863">
              <w:t>176.9</w:t>
            </w:r>
          </w:p>
        </w:tc>
      </w:tr>
      <w:tr w:rsidR="00771863" w:rsidRPr="00B518A1" w:rsidTr="00295603">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693" w:type="pct"/>
            <w:noWrap/>
            <w:hideMark/>
          </w:tcPr>
          <w:p w:rsidR="00771863" w:rsidRPr="00771863" w:rsidRDefault="00771863" w:rsidP="00771863">
            <w:r w:rsidRPr="00771863">
              <w:rPr>
                <w:rStyle w:val="AERtextitalic"/>
              </w:rPr>
              <w:t>Less:</w:t>
            </w:r>
            <w:r w:rsidRPr="00771863">
              <w:t xml:space="preserve"> inflation indexation on opening RAB</w:t>
            </w:r>
          </w:p>
        </w:tc>
        <w:tc>
          <w:tcPr>
            <w:tcW w:w="769" w:type="pct"/>
            <w:noWrap/>
            <w:vAlign w:val="top"/>
          </w:tcPr>
          <w:p w:rsidR="00771863" w:rsidRPr="00771863" w:rsidRDefault="00771863" w:rsidP="0022005C">
            <w:pPr>
              <w:cnfStyle w:val="000000010000" w:firstRow="0" w:lastRow="0" w:firstColumn="0" w:lastColumn="0" w:oddVBand="0" w:evenVBand="0" w:oddHBand="0" w:evenHBand="1" w:firstRowFirstColumn="0" w:firstRowLastColumn="0" w:lastRowFirstColumn="0" w:lastRowLastColumn="0"/>
            </w:pPr>
            <w:r w:rsidRPr="00771863">
              <w:t>39.6</w:t>
            </w:r>
          </w:p>
        </w:tc>
        <w:tc>
          <w:tcPr>
            <w:tcW w:w="769" w:type="pct"/>
            <w:noWrap/>
            <w:vAlign w:val="top"/>
          </w:tcPr>
          <w:p w:rsidR="00771863" w:rsidRPr="00771863" w:rsidRDefault="00771863" w:rsidP="0022005C">
            <w:pPr>
              <w:cnfStyle w:val="000000010000" w:firstRow="0" w:lastRow="0" w:firstColumn="0" w:lastColumn="0" w:oddVBand="0" w:evenVBand="0" w:oddHBand="0" w:evenHBand="1" w:firstRowFirstColumn="0" w:firstRowLastColumn="0" w:lastRowFirstColumn="0" w:lastRowLastColumn="0"/>
            </w:pPr>
            <w:r w:rsidRPr="00771863">
              <w:t>41.5</w:t>
            </w:r>
          </w:p>
        </w:tc>
        <w:tc>
          <w:tcPr>
            <w:tcW w:w="769" w:type="pct"/>
            <w:noWrap/>
            <w:vAlign w:val="top"/>
          </w:tcPr>
          <w:p w:rsidR="00771863" w:rsidRPr="00771863" w:rsidRDefault="00771863" w:rsidP="0022005C">
            <w:pPr>
              <w:cnfStyle w:val="000000010000" w:firstRow="0" w:lastRow="0" w:firstColumn="0" w:lastColumn="0" w:oddVBand="0" w:evenVBand="0" w:oddHBand="0" w:evenHBand="1" w:firstRowFirstColumn="0" w:firstRowLastColumn="0" w:lastRowFirstColumn="0" w:lastRowLastColumn="0"/>
            </w:pPr>
            <w:r w:rsidRPr="00771863">
              <w:t>81.0</w:t>
            </w:r>
          </w:p>
        </w:tc>
      </w:tr>
      <w:tr w:rsidR="00771863" w:rsidRPr="006629BA" w:rsidTr="00295603">
        <w:trPr>
          <w:trHeight w:val="277"/>
        </w:trPr>
        <w:tc>
          <w:tcPr>
            <w:cnfStyle w:val="001000000000" w:firstRow="0" w:lastRow="0" w:firstColumn="1" w:lastColumn="0" w:oddVBand="0" w:evenVBand="0" w:oddHBand="0" w:evenHBand="0" w:firstRowFirstColumn="0" w:firstRowLastColumn="0" w:lastRowFirstColumn="0" w:lastRowLastColumn="0"/>
            <w:tcW w:w="2693" w:type="pct"/>
            <w:noWrap/>
            <w:hideMark/>
          </w:tcPr>
          <w:p w:rsidR="00771863" w:rsidRPr="00771863" w:rsidRDefault="00771863" w:rsidP="00771863">
            <w:pPr>
              <w:rPr>
                <w:rStyle w:val="Strong"/>
              </w:rPr>
            </w:pPr>
            <w:r w:rsidRPr="00771863">
              <w:rPr>
                <w:rStyle w:val="Strong"/>
              </w:rPr>
              <w:t>Regulatory depreciation</w:t>
            </w:r>
          </w:p>
        </w:tc>
        <w:tc>
          <w:tcPr>
            <w:tcW w:w="769" w:type="pct"/>
            <w:noWrap/>
            <w:vAlign w:val="top"/>
          </w:tcPr>
          <w:p w:rsidR="00771863" w:rsidRPr="00771863" w:rsidRDefault="00771863" w:rsidP="0022005C">
            <w:pPr>
              <w:cnfStyle w:val="000000000000" w:firstRow="0" w:lastRow="0" w:firstColumn="0" w:lastColumn="0" w:oddVBand="0" w:evenVBand="0" w:oddHBand="0" w:evenHBand="0" w:firstRowFirstColumn="0" w:firstRowLastColumn="0" w:lastRowFirstColumn="0" w:lastRowLastColumn="0"/>
              <w:rPr>
                <w:rStyle w:val="Strong"/>
              </w:rPr>
            </w:pPr>
            <w:r w:rsidRPr="00771863">
              <w:rPr>
                <w:rStyle w:val="Strong"/>
              </w:rPr>
              <w:t>38.2</w:t>
            </w:r>
          </w:p>
        </w:tc>
        <w:tc>
          <w:tcPr>
            <w:tcW w:w="769" w:type="pct"/>
            <w:noWrap/>
            <w:vAlign w:val="top"/>
          </w:tcPr>
          <w:p w:rsidR="00771863" w:rsidRPr="00771863" w:rsidRDefault="00771863" w:rsidP="0022005C">
            <w:pPr>
              <w:cnfStyle w:val="000000000000" w:firstRow="0" w:lastRow="0" w:firstColumn="0" w:lastColumn="0" w:oddVBand="0" w:evenVBand="0" w:oddHBand="0" w:evenHBand="0" w:firstRowFirstColumn="0" w:firstRowLastColumn="0" w:lastRowFirstColumn="0" w:lastRowLastColumn="0"/>
              <w:rPr>
                <w:rStyle w:val="Strong"/>
              </w:rPr>
            </w:pPr>
            <w:r w:rsidRPr="00771863">
              <w:rPr>
                <w:rStyle w:val="Strong"/>
              </w:rPr>
              <w:t>57.6</w:t>
            </w:r>
          </w:p>
        </w:tc>
        <w:tc>
          <w:tcPr>
            <w:tcW w:w="769" w:type="pct"/>
            <w:noWrap/>
            <w:vAlign w:val="top"/>
          </w:tcPr>
          <w:p w:rsidR="00771863" w:rsidRPr="00771863" w:rsidRDefault="00771863" w:rsidP="0022005C">
            <w:pPr>
              <w:cnfStyle w:val="000000000000" w:firstRow="0" w:lastRow="0" w:firstColumn="0" w:lastColumn="0" w:oddVBand="0" w:evenVBand="0" w:oddHBand="0" w:evenHBand="0" w:firstRowFirstColumn="0" w:firstRowLastColumn="0" w:lastRowFirstColumn="0" w:lastRowLastColumn="0"/>
              <w:rPr>
                <w:rStyle w:val="Strong"/>
              </w:rPr>
            </w:pPr>
            <w:r w:rsidRPr="00771863">
              <w:rPr>
                <w:rStyle w:val="Strong"/>
              </w:rPr>
              <w:t>95.8</w:t>
            </w:r>
          </w:p>
        </w:tc>
      </w:tr>
    </w:tbl>
    <w:p w:rsidR="00FD3D76" w:rsidRDefault="00FD3D76" w:rsidP="00FD3D76">
      <w:pPr>
        <w:pStyle w:val="AERtablesource"/>
      </w:pPr>
      <w:r>
        <w:t>Source:</w:t>
      </w:r>
      <w:r>
        <w:tab/>
        <w:t>AER analysis.</w:t>
      </w:r>
    </w:p>
    <w:p w:rsidR="00BF77EE" w:rsidRDefault="00BF77EE" w:rsidP="00BF77EE">
      <w:r w:rsidRPr="006820E2">
        <w:t xml:space="preserve">We received a submission from CCP member David Headberry on our draft decision approving TasNetworks’ standard asset life for the new ‘Business management systems’ asset class and the standard asset lives for existing asset classes </w:t>
      </w:r>
      <w:r w:rsidR="001C663B">
        <w:t>in general. Our consideration o</w:t>
      </w:r>
      <w:r w:rsidR="00EA25BA">
        <w:t>f</w:t>
      </w:r>
      <w:r w:rsidR="001C663B">
        <w:t xml:space="preserve"> these issues are</w:t>
      </w:r>
      <w:r w:rsidRPr="006820E2">
        <w:t xml:space="preserve"> discussed in t</w:t>
      </w:r>
      <w:r>
        <w:t>urn</w:t>
      </w:r>
      <w:r w:rsidRPr="006820E2">
        <w:t xml:space="preserve"> below.</w:t>
      </w:r>
    </w:p>
    <w:p w:rsidR="00BF77EE" w:rsidRPr="006820E2" w:rsidRDefault="00BF77EE" w:rsidP="00295603">
      <w:pPr>
        <w:pStyle w:val="HeadingBoldBlue"/>
      </w:pPr>
      <w:r w:rsidRPr="006820E2">
        <w:t xml:space="preserve">'Business management systems' asset class </w:t>
      </w:r>
    </w:p>
    <w:p w:rsidR="00BF77EE" w:rsidRPr="006820E2" w:rsidRDefault="00BF77EE" w:rsidP="00BF77EE">
      <w:r w:rsidRPr="006820E2">
        <w:t xml:space="preserve">The ‘Business management systems’ asset class relates to capex associated with TasNetworks’ business transformation project (the ‘Ajilis’ project) which involves the replacement of a range of legacy systems. This includes key asset management, financial and human resources systems. </w:t>
      </w:r>
    </w:p>
    <w:p w:rsidR="00BF77EE" w:rsidRPr="006820E2" w:rsidRDefault="00BF77EE" w:rsidP="00BF77EE">
      <w:r w:rsidRPr="006820E2">
        <w:t xml:space="preserve">In </w:t>
      </w:r>
      <w:r w:rsidR="003C6A8C">
        <w:t>a</w:t>
      </w:r>
      <w:r w:rsidRPr="006820E2">
        <w:t xml:space="preserve"> submission on TasNetworks’ initial proposal, CCP member David Headberry submitted that the proposed standard asset life of 10 years is too short for this asset class. In our draft decision, we accepted the proposed standard asset life</w:t>
      </w:r>
      <w:r w:rsidR="003C6A8C">
        <w:t xml:space="preserve"> of </w:t>
      </w:r>
      <w:r w:rsidR="003C6A8C" w:rsidRPr="006820E2">
        <w:t>10 years</w:t>
      </w:r>
      <w:r w:rsidRPr="006820E2">
        <w:t xml:space="preserve">. </w:t>
      </w:r>
      <w:r w:rsidRPr="006820E2">
        <w:lastRenderedPageBreak/>
        <w:t xml:space="preserve">We noted that the standard asset life for IT systems assets approved for other </w:t>
      </w:r>
      <w:r w:rsidR="001C663B">
        <w:t>distributors</w:t>
      </w:r>
      <w:r w:rsidRPr="006820E2">
        <w:t xml:space="preserve"> for regulatory depreciation purposes is between 5 to 7 years. We considered the nature of the ‘Ajilis’ project and its associated costs mean</w:t>
      </w:r>
      <w:r w:rsidR="001B37D2">
        <w:t>t</w:t>
      </w:r>
      <w:r w:rsidRPr="006820E2">
        <w:t xml:space="preserve"> that the assets will continue to be used by TasNetworks for a longer life than would normally be associated with such type of assets. However, we considered a standard asset life of more than 10 years may not be justified given the short-lived nature of IT assets. </w:t>
      </w:r>
    </w:p>
    <w:p w:rsidR="00BF77EE" w:rsidRPr="006820E2" w:rsidRDefault="00BF77EE" w:rsidP="00BF77EE">
      <w:r w:rsidRPr="006820E2">
        <w:t xml:space="preserve">In </w:t>
      </w:r>
      <w:r w:rsidR="001B37D2">
        <w:t>his</w:t>
      </w:r>
      <w:r w:rsidR="001B37D2" w:rsidRPr="006820E2">
        <w:t xml:space="preserve"> </w:t>
      </w:r>
      <w:r w:rsidRPr="006820E2">
        <w:t xml:space="preserve">submission on the draft decision, </w:t>
      </w:r>
      <w:r w:rsidR="001B37D2">
        <w:t>Mr</w:t>
      </w:r>
      <w:r w:rsidR="001B37D2" w:rsidRPr="006820E2">
        <w:t xml:space="preserve"> </w:t>
      </w:r>
      <w:r w:rsidRPr="006820E2">
        <w:t>Headberry stated that the draft decision to allow TasNetworks’ proposed standard asset life of 10 years is not in consumers’ best interests. He expressed concerns that with the ever increasing amounts of capex across the NEM being committed to upgrade or replace IT systems, consumers see little benefit from the investment.</w:t>
      </w:r>
      <w:r w:rsidR="001C663B">
        <w:rPr>
          <w:rStyle w:val="FootnoteReference"/>
        </w:rPr>
        <w:footnoteReference w:id="31"/>
      </w:r>
      <w:r w:rsidRPr="006820E2">
        <w:t xml:space="preserve"> However, he did not provide any evidence that IT systems in the NEM have an economic life of greater than 10 years.</w:t>
      </w:r>
    </w:p>
    <w:p w:rsidR="00BF77EE" w:rsidRDefault="00BF77EE" w:rsidP="00BF77EE">
      <w:r w:rsidRPr="006820E2">
        <w:t>For th</w:t>
      </w:r>
      <w:r w:rsidR="003C6A8C">
        <w:t>is</w:t>
      </w:r>
      <w:r w:rsidRPr="006820E2">
        <w:t xml:space="preserve"> final decision, </w:t>
      </w:r>
      <w:r>
        <w:t>we</w:t>
      </w:r>
      <w:r w:rsidRPr="006820E2">
        <w:t xml:space="preserve"> maintain our </w:t>
      </w:r>
      <w:r>
        <w:t>view</w:t>
      </w:r>
      <w:r w:rsidRPr="006820E2">
        <w:t xml:space="preserve"> that the standard asset life </w:t>
      </w:r>
      <w:r>
        <w:t xml:space="preserve">of </w:t>
      </w:r>
      <w:r w:rsidRPr="006820E2">
        <w:t xml:space="preserve">10 years for the ‘Business management systems’ asset class is </w:t>
      </w:r>
      <w:r w:rsidR="006E25BB">
        <w:t>reasonable</w:t>
      </w:r>
      <w:r w:rsidRPr="006820E2">
        <w:t>. We note that our draft decision approved TasNetworks’ proposed replacement capex associated with the ‘Ajilis’ project because the proposal was well supported by a positive business case. We also note that the proposed</w:t>
      </w:r>
      <w:r w:rsidR="003C6A8C">
        <w:t xml:space="preserve"> asset</w:t>
      </w:r>
      <w:r w:rsidRPr="006820E2">
        <w:t xml:space="preserve"> </w:t>
      </w:r>
      <w:r>
        <w:t xml:space="preserve">life of </w:t>
      </w:r>
      <w:r w:rsidRPr="006820E2">
        <w:t>10 years is consistent with the benefits realisation analysis for this project as presented in the project business case.</w:t>
      </w:r>
      <w:r w:rsidR="00F31477">
        <w:rPr>
          <w:rStyle w:val="FootnoteReference"/>
        </w:rPr>
        <w:footnoteReference w:id="32"/>
      </w:r>
      <w:r w:rsidRPr="006820E2">
        <w:t xml:space="preserve"> Therefore, consistent with our draft decision, we consider the proposed standard asset life of 10 years reflects the nature of the assets in this asset class consistent with clause 6.5.5(b)(1) of the NER.</w:t>
      </w:r>
    </w:p>
    <w:p w:rsidR="00BF77EE" w:rsidRPr="006820E2" w:rsidRDefault="00BF77EE" w:rsidP="00295603">
      <w:pPr>
        <w:pStyle w:val="HeadingBoldBlue"/>
      </w:pPr>
      <w:r w:rsidRPr="006820E2">
        <w:t>Existing asset classes</w:t>
      </w:r>
    </w:p>
    <w:p w:rsidR="00BF77EE" w:rsidRDefault="00FE69E8" w:rsidP="00BF77EE">
      <w:r>
        <w:t>Also i</w:t>
      </w:r>
      <w:r w:rsidR="00BF77EE" w:rsidRPr="006820E2">
        <w:t xml:space="preserve">n his submission on the draft decision, </w:t>
      </w:r>
      <w:r>
        <w:t>Mr</w:t>
      </w:r>
      <w:r w:rsidRPr="006820E2">
        <w:t xml:space="preserve"> </w:t>
      </w:r>
      <w:r w:rsidR="00BF77EE" w:rsidRPr="006820E2">
        <w:t>Headberry:</w:t>
      </w:r>
      <w:r w:rsidR="00F31477">
        <w:rPr>
          <w:rStyle w:val="FootnoteReference"/>
        </w:rPr>
        <w:footnoteReference w:id="33"/>
      </w:r>
    </w:p>
    <w:p w:rsidR="00F31477" w:rsidRDefault="00BF77EE" w:rsidP="00F31477">
      <w:pPr>
        <w:pStyle w:val="AERbulletlistfirststyle"/>
      </w:pPr>
      <w:r w:rsidRPr="006820E2">
        <w:t xml:space="preserve">considered that it is important that the depreciation of the RAB should reflect the actual asset lives rather than a notional expected life of the assets </w:t>
      </w:r>
    </w:p>
    <w:p w:rsidR="00BF77EE" w:rsidRPr="00BF77EE" w:rsidRDefault="00F31477" w:rsidP="00BF77EE">
      <w:pPr>
        <w:pStyle w:val="AERbulletlistfirststyle"/>
      </w:pPr>
      <w:r w:rsidRPr="006820E2">
        <w:t xml:space="preserve">expressed concerns with the inconsistency between the asset lives identified in the PTRM depreciation schedule, the </w:t>
      </w:r>
      <w:r w:rsidR="003C6A8C">
        <w:t>C</w:t>
      </w:r>
      <w:r w:rsidRPr="006820E2">
        <w:t>ategory analysis RIN and th</w:t>
      </w:r>
      <w:r>
        <w:t xml:space="preserve">e </w:t>
      </w:r>
      <w:r w:rsidR="003C6A8C">
        <w:t>E</w:t>
      </w:r>
      <w:r>
        <w:t>conomic benchmarking RIN</w:t>
      </w:r>
    </w:p>
    <w:p w:rsidR="00BF77EE" w:rsidRPr="00BF77EE" w:rsidRDefault="00BF77EE" w:rsidP="00BF77EE">
      <w:pPr>
        <w:pStyle w:val="AERbulletlistfirststyle"/>
      </w:pPr>
      <w:r w:rsidRPr="006820E2">
        <w:t xml:space="preserve">considered there needs to be better benchmarking of assets between the </w:t>
      </w:r>
      <w:r w:rsidR="00F31477">
        <w:t>distributors</w:t>
      </w:r>
      <w:r w:rsidRPr="006820E2">
        <w:t xml:space="preserve"> in the NEM to ensure consumers of some networks are not being disadvantaged.</w:t>
      </w:r>
    </w:p>
    <w:p w:rsidR="00BF77EE" w:rsidRPr="006820E2" w:rsidRDefault="003C6A8C" w:rsidP="00BF77EE">
      <w:r>
        <w:t>For this final</w:t>
      </w:r>
      <w:r w:rsidR="00BF77EE" w:rsidRPr="006820E2">
        <w:t xml:space="preserve"> decision, </w:t>
      </w:r>
      <w:r w:rsidR="00BF77EE">
        <w:t>we will</w:t>
      </w:r>
      <w:r w:rsidR="00BF77EE" w:rsidRPr="006820E2">
        <w:t xml:space="preserve"> not make any further changes to the proposed standard asset lives for TasNetworks' </w:t>
      </w:r>
      <w:r w:rsidR="00BD6539">
        <w:t xml:space="preserve">existing </w:t>
      </w:r>
      <w:r w:rsidR="00BF77EE" w:rsidRPr="006820E2">
        <w:t>asset classes.</w:t>
      </w:r>
      <w:r>
        <w:t xml:space="preserve"> Consistent with </w:t>
      </w:r>
      <w:r w:rsidR="00BF77EE" w:rsidRPr="006820E2">
        <w:t xml:space="preserve">our draft decision, </w:t>
      </w:r>
      <w:r w:rsidR="00BF77EE" w:rsidRPr="006820E2">
        <w:lastRenderedPageBreak/>
        <w:t>we consider that the standard asset lives for depreciation purposes should reflect the expected economic life of the assets. While the standard asset lives for depreciation purposes should be generally close to the actual asset life at replacement, it does not necessarily mean that any discrepancy between the two would require changes. This is because the depreciation schedule is a forward looking assumption necessary for new investment. The distributor may adopt the manufacturer's design life or the expected economic life of the assets for depreciation purposes to determine the optimal timing and form of investment. The design life or the expected economic life of the asset may reflect the minimum life that most of the assets are expected to last and therefore are generally shorter than the actual asset lives at replacement.</w:t>
      </w:r>
    </w:p>
    <w:p w:rsidR="00BF77EE" w:rsidRPr="006820E2" w:rsidRDefault="00BF77EE" w:rsidP="00BF77EE">
      <w:r w:rsidRPr="006820E2">
        <w:t xml:space="preserve">We note the asset lives in the </w:t>
      </w:r>
      <w:r w:rsidR="003C6A8C">
        <w:t>C</w:t>
      </w:r>
      <w:r w:rsidRPr="006820E2">
        <w:t xml:space="preserve">ategory analysis RIN and </w:t>
      </w:r>
      <w:r w:rsidR="003C6A8C">
        <w:t>E</w:t>
      </w:r>
      <w:r w:rsidRPr="006820E2">
        <w:t xml:space="preserve">conomic benchmarking RIN are not directly aligned with the standard asset lives </w:t>
      </w:r>
      <w:r w:rsidR="003C6A8C">
        <w:t xml:space="preserve">employed </w:t>
      </w:r>
      <w:r w:rsidRPr="006820E2">
        <w:t xml:space="preserve">in TasNetworks’ PTRM due to different asset classifications </w:t>
      </w:r>
      <w:r>
        <w:t xml:space="preserve">used </w:t>
      </w:r>
      <w:r w:rsidRPr="006820E2">
        <w:t xml:space="preserve">between the three. We </w:t>
      </w:r>
      <w:r w:rsidR="00AA0B82">
        <w:t xml:space="preserve">also </w:t>
      </w:r>
      <w:r w:rsidRPr="006820E2">
        <w:t xml:space="preserve">note that the asset categories in the </w:t>
      </w:r>
      <w:r w:rsidR="003C6A8C">
        <w:t>E</w:t>
      </w:r>
      <w:r w:rsidRPr="006820E2">
        <w:t xml:space="preserve">conomic benchmarking RIN is at a much higher level compared to those in the PTRM and the </w:t>
      </w:r>
      <w:r w:rsidR="003C6A8C">
        <w:t>C</w:t>
      </w:r>
      <w:r w:rsidRPr="006820E2">
        <w:t xml:space="preserve">ategory analysis RIN. </w:t>
      </w:r>
      <w:r w:rsidR="00111D49">
        <w:t>Given the similarity</w:t>
      </w:r>
      <w:r w:rsidR="00AA0B82">
        <w:t xml:space="preserve"> of asset categories in the PTRM and Category analysis RIN</w:t>
      </w:r>
      <w:r w:rsidRPr="006820E2">
        <w:t xml:space="preserve">, in the draft decision we attempted to map the asset age profile in the </w:t>
      </w:r>
      <w:r w:rsidR="003C6A8C">
        <w:t>C</w:t>
      </w:r>
      <w:r w:rsidRPr="006820E2">
        <w:t xml:space="preserve">ategory analysis RIN with the standard asset lives in the PTRM. We found that TasNetworks' standard asset lives in the PTRM broadly align with the average economic lives provided in its </w:t>
      </w:r>
      <w:r w:rsidR="00111D49">
        <w:t>C</w:t>
      </w:r>
      <w:r w:rsidRPr="006820E2">
        <w:t>ategory analysis RIN for similar asset types.</w:t>
      </w:r>
    </w:p>
    <w:p w:rsidR="00BF77EE" w:rsidRDefault="00BF77EE" w:rsidP="00BF77EE">
      <w:r w:rsidRPr="006820E2">
        <w:t>Further, as shown in the draft decision, TasNetworks' weighted average standard asset life is broadly comparable with that of the other distributors, although towards the bottom of the range. However, we do not consider the difference is material, particularly in terms of their impact on overall depreciation.</w:t>
      </w:r>
      <w:r>
        <w:t xml:space="preserve"> </w:t>
      </w:r>
      <w:r w:rsidR="00AA0B82">
        <w:fldChar w:fldCharType="begin"/>
      </w:r>
      <w:r w:rsidR="00AA0B82">
        <w:instrText xml:space="preserve"> REF _Ref475696562 \h </w:instrText>
      </w:r>
      <w:r w:rsidR="00AA0B82">
        <w:fldChar w:fldCharType="separate"/>
      </w:r>
      <w:r w:rsidR="008B40D8" w:rsidRPr="00042EFF">
        <w:t xml:space="preserve">Figure </w:t>
      </w:r>
      <w:r w:rsidR="008B40D8">
        <w:rPr>
          <w:noProof/>
        </w:rPr>
        <w:t>3</w:t>
      </w:r>
      <w:r w:rsidR="008B40D8">
        <w:t>.</w:t>
      </w:r>
      <w:r w:rsidR="008B40D8">
        <w:rPr>
          <w:noProof/>
        </w:rPr>
        <w:t>3</w:t>
      </w:r>
      <w:r w:rsidR="00AA0B82">
        <w:fldChar w:fldCharType="end"/>
      </w:r>
      <w:r>
        <w:t xml:space="preserve"> shows a comparison of the weighted average standard asset lives of the distributors.</w:t>
      </w:r>
    </w:p>
    <w:p w:rsidR="00BF77EE" w:rsidRPr="00042EFF" w:rsidRDefault="00BF77EE" w:rsidP="00295603">
      <w:pPr>
        <w:pStyle w:val="Caption"/>
      </w:pPr>
      <w:bookmarkStart w:id="121" w:name="_Ref475696562"/>
      <w:bookmarkStart w:id="122" w:name="_Ref475696554"/>
      <w:r w:rsidRPr="00042EFF">
        <w:lastRenderedPageBreak/>
        <w:t xml:space="preserve">Figure </w:t>
      </w:r>
      <w:r w:rsidR="00D96B78">
        <w:fldChar w:fldCharType="begin"/>
      </w:r>
      <w:r w:rsidR="00D96B78">
        <w:instrText xml:space="preserve"> STYLEREF 1 \s </w:instrText>
      </w:r>
      <w:r w:rsidR="00D96B78">
        <w:fldChar w:fldCharType="separate"/>
      </w:r>
      <w:r w:rsidR="008B40D8">
        <w:rPr>
          <w:noProof/>
        </w:rPr>
        <w:t>3</w:t>
      </w:r>
      <w:r w:rsidR="00D96B78">
        <w:rPr>
          <w:noProof/>
        </w:rPr>
        <w:fldChar w:fldCharType="end"/>
      </w:r>
      <w:r w:rsidR="00DA4620">
        <w:t>.</w:t>
      </w:r>
      <w:r w:rsidR="00D96B78">
        <w:fldChar w:fldCharType="begin"/>
      </w:r>
      <w:r w:rsidR="00D96B78">
        <w:instrText xml:space="preserve"> SEQ Figure \* ARABIC \s 1 </w:instrText>
      </w:r>
      <w:r w:rsidR="00D96B78">
        <w:fldChar w:fldCharType="separate"/>
      </w:r>
      <w:r w:rsidR="008B40D8">
        <w:rPr>
          <w:noProof/>
        </w:rPr>
        <w:t>3</w:t>
      </w:r>
      <w:r w:rsidR="00D96B78">
        <w:rPr>
          <w:noProof/>
        </w:rPr>
        <w:fldChar w:fldCharType="end"/>
      </w:r>
      <w:bookmarkEnd w:id="121"/>
      <w:r w:rsidRPr="00042EFF">
        <w:tab/>
        <w:t>TasNetworks' weighted average standard asset lives compared to other distribution service providers' weighted average standard asset lives (years)</w:t>
      </w:r>
      <w:bookmarkEnd w:id="122"/>
    </w:p>
    <w:p w:rsidR="00BF77EE" w:rsidRPr="00BF77EE" w:rsidRDefault="00BF77EE" w:rsidP="00BF77EE">
      <w:r w:rsidRPr="00BF77EE">
        <w:rPr>
          <w:noProof/>
          <w:lang w:eastAsia="en-AU"/>
        </w:rPr>
        <w:drawing>
          <wp:inline distT="0" distB="0" distL="0" distR="0" wp14:anchorId="4BC76049" wp14:editId="3AC5A4F7">
            <wp:extent cx="4840605" cy="32677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40605" cy="3267710"/>
                    </a:xfrm>
                    <a:prstGeom prst="rect">
                      <a:avLst/>
                    </a:prstGeom>
                    <a:noFill/>
                  </pic:spPr>
                </pic:pic>
              </a:graphicData>
            </a:graphic>
          </wp:inline>
        </w:drawing>
      </w:r>
    </w:p>
    <w:p w:rsidR="00BF77EE" w:rsidRPr="00042EFF" w:rsidRDefault="00BF77EE" w:rsidP="00295603">
      <w:pPr>
        <w:pStyle w:val="AERtablesource"/>
      </w:pPr>
      <w:r w:rsidRPr="00042EFF">
        <w:t>Source:</w:t>
      </w:r>
      <w:r w:rsidRPr="00042EFF">
        <w:tab/>
        <w:t xml:space="preserve">AER analysis. </w:t>
      </w:r>
    </w:p>
    <w:p w:rsidR="00BF77EE" w:rsidRPr="00AA0B82" w:rsidRDefault="00BF77EE" w:rsidP="00295603">
      <w:pPr>
        <w:pStyle w:val="AERtablesource"/>
      </w:pPr>
      <w:r w:rsidRPr="00AA0B82">
        <w:t>Note:</w:t>
      </w:r>
      <w:r w:rsidRPr="00AA0B82">
        <w:tab/>
        <w:t>The opening RAB values for each asset class as set out in the approved PTRMs are used as the weights. Non-depreciable assets such as 'Land' and 'Easements' are excluded from the calculation.</w:t>
      </w:r>
    </w:p>
    <w:p w:rsidR="00CC6473" w:rsidRPr="00923E34" w:rsidRDefault="00CC6473" w:rsidP="00CC6473">
      <w:pPr>
        <w:pStyle w:val="Heading2"/>
      </w:pPr>
      <w:bookmarkStart w:id="123" w:name="_Ref451759130"/>
      <w:bookmarkStart w:id="124" w:name="_Toc456687651"/>
      <w:bookmarkStart w:id="125" w:name="_Toc462823958"/>
      <w:bookmarkStart w:id="126" w:name="_Toc481051872"/>
      <w:r>
        <w:t>Capital expenditure</w:t>
      </w:r>
      <w:bookmarkEnd w:id="123"/>
      <w:bookmarkEnd w:id="124"/>
      <w:bookmarkEnd w:id="125"/>
      <w:bookmarkEnd w:id="126"/>
    </w:p>
    <w:p w:rsidR="00CC6473" w:rsidRPr="00E04E6D" w:rsidRDefault="00CC6473" w:rsidP="00CC6473">
      <w:r w:rsidRPr="00E04E6D">
        <w:t xml:space="preserve">Capital expenditure (capex) refers to the capital expenses incurred in the provision of network services. </w:t>
      </w:r>
      <w:r>
        <w:t>F</w:t>
      </w:r>
      <w:r w:rsidRPr="00E04E6D">
        <w:t xml:space="preserve">orecast capex </w:t>
      </w:r>
      <w:r>
        <w:t xml:space="preserve">feeds into the estimates of </w:t>
      </w:r>
      <w:r w:rsidRPr="00E04E6D">
        <w:t xml:space="preserve">the </w:t>
      </w:r>
      <w:r>
        <w:t xml:space="preserve">return on capital and regulatory depreciation </w:t>
      </w:r>
      <w:r w:rsidRPr="00E04E6D">
        <w:t>building blocks we use to determine a DNSP</w:t>
      </w:r>
      <w:r>
        <w:t>'</w:t>
      </w:r>
      <w:r w:rsidRPr="00E04E6D">
        <w:t xml:space="preserve">s total revenue requirement. </w:t>
      </w:r>
    </w:p>
    <w:p w:rsidR="00CC6473" w:rsidRDefault="000D0DB8" w:rsidP="00CC6473">
      <w:r>
        <w:t xml:space="preserve">We are satisfied that TasNetworks' proposed total forecast capex of $213.4 million ($2016–17) for the 2017–19 regulatory control period reasonably reflects the capex criteria. </w:t>
      </w:r>
      <w:r w:rsidR="006D79B0">
        <w:t xml:space="preserve">This maintains our position from the draft decision. </w:t>
      </w:r>
      <w:r>
        <w:t>Our reasons for this are set out in attachment 6 to the draft decision.</w:t>
      </w:r>
    </w:p>
    <w:p w:rsidR="00CC6473" w:rsidRDefault="00CC6473" w:rsidP="00CC6473">
      <w:r>
        <w:fldChar w:fldCharType="begin"/>
      </w:r>
      <w:r>
        <w:instrText xml:space="preserve"> REF _Ref453663086 \h </w:instrText>
      </w:r>
      <w:r>
        <w:fldChar w:fldCharType="separate"/>
      </w:r>
      <w:r w:rsidR="008B40D8">
        <w:t xml:space="preserve">Table </w:t>
      </w:r>
      <w:r w:rsidR="008B40D8">
        <w:rPr>
          <w:noProof/>
        </w:rPr>
        <w:t>3</w:t>
      </w:r>
      <w:r w:rsidR="008B40D8">
        <w:t>.</w:t>
      </w:r>
      <w:r w:rsidR="008B40D8">
        <w:rPr>
          <w:noProof/>
        </w:rPr>
        <w:t>7</w:t>
      </w:r>
      <w:r>
        <w:fldChar w:fldCharType="end"/>
      </w:r>
      <w:r>
        <w:t xml:space="preserve"> shows our decision compared to TasNetworks' forecast. </w:t>
      </w:r>
    </w:p>
    <w:p w:rsidR="00CC6473" w:rsidRDefault="00CC6473" w:rsidP="007478FA">
      <w:pPr>
        <w:pStyle w:val="Caption"/>
      </w:pPr>
      <w:bookmarkStart w:id="127" w:name="_Ref453663086"/>
      <w:r>
        <w:lastRenderedPageBreak/>
        <w:t xml:space="preserve">Table </w:t>
      </w:r>
      <w:r w:rsidR="00D96B78">
        <w:fldChar w:fldCharType="begin"/>
      </w:r>
      <w:r w:rsidR="00D96B78">
        <w:instrText xml:space="preserve"> STYLEREF 1 \s </w:instrText>
      </w:r>
      <w:r w:rsidR="00D96B78">
        <w:fldChar w:fldCharType="separate"/>
      </w:r>
      <w:r w:rsidR="008B40D8">
        <w:rPr>
          <w:noProof/>
        </w:rPr>
        <w:t>3</w:t>
      </w:r>
      <w:r w:rsidR="00D96B78">
        <w:rPr>
          <w:noProof/>
        </w:rPr>
        <w:fldChar w:fldCharType="end"/>
      </w:r>
      <w:r w:rsidR="00465A73">
        <w:t>.</w:t>
      </w:r>
      <w:r w:rsidR="00D96B78">
        <w:fldChar w:fldCharType="begin"/>
      </w:r>
      <w:r w:rsidR="00D96B78">
        <w:instrText xml:space="preserve"> SEQ Table \* ARABIC \s 1 </w:instrText>
      </w:r>
      <w:r w:rsidR="00D96B78">
        <w:fldChar w:fldCharType="separate"/>
      </w:r>
      <w:r w:rsidR="008B40D8">
        <w:rPr>
          <w:noProof/>
        </w:rPr>
        <w:t>7</w:t>
      </w:r>
      <w:r w:rsidR="00D96B78">
        <w:rPr>
          <w:noProof/>
        </w:rPr>
        <w:fldChar w:fldCharType="end"/>
      </w:r>
      <w:bookmarkEnd w:id="127"/>
      <w:r>
        <w:tab/>
        <w:t>AER draft decision on total net capex ($million, 2016–17)</w:t>
      </w:r>
    </w:p>
    <w:tbl>
      <w:tblPr>
        <w:tblStyle w:val="AERtable-numbers"/>
        <w:tblW w:w="5000" w:type="pct"/>
        <w:tblLook w:val="04A0" w:firstRow="1" w:lastRow="0" w:firstColumn="1" w:lastColumn="0" w:noHBand="0" w:noVBand="1"/>
      </w:tblPr>
      <w:tblGrid>
        <w:gridCol w:w="3021"/>
        <w:gridCol w:w="1906"/>
        <w:gridCol w:w="1907"/>
        <w:gridCol w:w="1859"/>
      </w:tblGrid>
      <w:tr w:rsidR="00CC6473" w:rsidRPr="005667CE" w:rsidTr="00295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pct"/>
          </w:tcPr>
          <w:p w:rsidR="00CC6473" w:rsidRPr="005667CE" w:rsidRDefault="00CC6473" w:rsidP="007478FA">
            <w:pPr>
              <w:keepNext/>
            </w:pPr>
          </w:p>
        </w:tc>
        <w:tc>
          <w:tcPr>
            <w:tcW w:w="1096" w:type="pct"/>
          </w:tcPr>
          <w:p w:rsidR="00CC6473" w:rsidRPr="00CC6473" w:rsidRDefault="00CC6473" w:rsidP="007478FA">
            <w:pPr>
              <w:keepNext/>
              <w:cnfStyle w:val="100000000000" w:firstRow="1" w:lastRow="0" w:firstColumn="0" w:lastColumn="0" w:oddVBand="0" w:evenVBand="0" w:oddHBand="0" w:evenHBand="0" w:firstRowFirstColumn="0" w:firstRowLastColumn="0" w:lastRowFirstColumn="0" w:lastRowLastColumn="0"/>
            </w:pPr>
            <w:r w:rsidRPr="005667CE">
              <w:t>2017–18</w:t>
            </w:r>
          </w:p>
        </w:tc>
        <w:tc>
          <w:tcPr>
            <w:tcW w:w="1097" w:type="pct"/>
          </w:tcPr>
          <w:p w:rsidR="00CC6473" w:rsidRPr="00CC6473" w:rsidRDefault="00CC6473" w:rsidP="007478FA">
            <w:pPr>
              <w:keepNext/>
              <w:cnfStyle w:val="100000000000" w:firstRow="1" w:lastRow="0" w:firstColumn="0" w:lastColumn="0" w:oddVBand="0" w:evenVBand="0" w:oddHBand="0" w:evenHBand="0" w:firstRowFirstColumn="0" w:firstRowLastColumn="0" w:lastRowFirstColumn="0" w:lastRowLastColumn="0"/>
            </w:pPr>
            <w:r w:rsidRPr="005667CE">
              <w:t>2018–19</w:t>
            </w:r>
          </w:p>
        </w:tc>
        <w:tc>
          <w:tcPr>
            <w:tcW w:w="1070" w:type="pct"/>
          </w:tcPr>
          <w:p w:rsidR="00CC6473" w:rsidRPr="00CC6473" w:rsidRDefault="00CC6473" w:rsidP="007478FA">
            <w:pPr>
              <w:keepNext/>
              <w:cnfStyle w:val="100000000000" w:firstRow="1" w:lastRow="0" w:firstColumn="0" w:lastColumn="0" w:oddVBand="0" w:evenVBand="0" w:oddHBand="0" w:evenHBand="0" w:firstRowFirstColumn="0" w:firstRowLastColumn="0" w:lastRowFirstColumn="0" w:lastRowLastColumn="0"/>
            </w:pPr>
            <w:r w:rsidRPr="005667CE">
              <w:t>Total</w:t>
            </w:r>
          </w:p>
        </w:tc>
      </w:tr>
      <w:tr w:rsidR="00CC6473" w:rsidRPr="005667CE" w:rsidTr="00295603">
        <w:tc>
          <w:tcPr>
            <w:cnfStyle w:val="001000000000" w:firstRow="0" w:lastRow="0" w:firstColumn="1" w:lastColumn="0" w:oddVBand="0" w:evenVBand="0" w:oddHBand="0" w:evenHBand="0" w:firstRowFirstColumn="0" w:firstRowLastColumn="0" w:lastRowFirstColumn="0" w:lastRowLastColumn="0"/>
            <w:tcW w:w="1738" w:type="pct"/>
          </w:tcPr>
          <w:p w:rsidR="00CC6473" w:rsidRPr="00CC6473" w:rsidRDefault="00CC6473" w:rsidP="007478FA">
            <w:pPr>
              <w:keepNext/>
            </w:pPr>
            <w:r>
              <w:t>TasNetworks'</w:t>
            </w:r>
            <w:r w:rsidRPr="00CC6473">
              <w:t xml:space="preserve"> proposal</w:t>
            </w:r>
          </w:p>
        </w:tc>
        <w:tc>
          <w:tcPr>
            <w:tcW w:w="1096" w:type="pct"/>
          </w:tcPr>
          <w:p w:rsidR="00CC6473" w:rsidRPr="00CC6473" w:rsidRDefault="00CC6473" w:rsidP="007478FA">
            <w:pPr>
              <w:keepNext/>
              <w:cnfStyle w:val="000000000000" w:firstRow="0" w:lastRow="0" w:firstColumn="0" w:lastColumn="0" w:oddVBand="0" w:evenVBand="0" w:oddHBand="0" w:evenHBand="0" w:firstRowFirstColumn="0" w:firstRowLastColumn="0" w:lastRowFirstColumn="0" w:lastRowLastColumn="0"/>
            </w:pPr>
            <w:r>
              <w:t>112.0</w:t>
            </w:r>
          </w:p>
        </w:tc>
        <w:tc>
          <w:tcPr>
            <w:tcW w:w="1097" w:type="pct"/>
          </w:tcPr>
          <w:p w:rsidR="00CC6473" w:rsidRPr="00CC6473" w:rsidRDefault="00CC6473" w:rsidP="007478FA">
            <w:pPr>
              <w:keepNext/>
              <w:cnfStyle w:val="000000000000" w:firstRow="0" w:lastRow="0" w:firstColumn="0" w:lastColumn="0" w:oddVBand="0" w:evenVBand="0" w:oddHBand="0" w:evenHBand="0" w:firstRowFirstColumn="0" w:firstRowLastColumn="0" w:lastRowFirstColumn="0" w:lastRowLastColumn="0"/>
            </w:pPr>
            <w:r>
              <w:t>101.4</w:t>
            </w:r>
          </w:p>
        </w:tc>
        <w:tc>
          <w:tcPr>
            <w:tcW w:w="1070" w:type="pct"/>
          </w:tcPr>
          <w:p w:rsidR="00CC6473" w:rsidRPr="00CC6473" w:rsidRDefault="00CC6473" w:rsidP="007478FA">
            <w:pPr>
              <w:keepNext/>
              <w:cnfStyle w:val="000000000000" w:firstRow="0" w:lastRow="0" w:firstColumn="0" w:lastColumn="0" w:oddVBand="0" w:evenVBand="0" w:oddHBand="0" w:evenHBand="0" w:firstRowFirstColumn="0" w:firstRowLastColumn="0" w:lastRowFirstColumn="0" w:lastRowLastColumn="0"/>
            </w:pPr>
            <w:r>
              <w:t>213.4</w:t>
            </w:r>
          </w:p>
        </w:tc>
      </w:tr>
      <w:tr w:rsidR="00CC6473" w:rsidRPr="005667CE" w:rsidTr="002956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pct"/>
          </w:tcPr>
          <w:p w:rsidR="00CC6473" w:rsidRPr="00CC6473" w:rsidRDefault="00CC6473" w:rsidP="007478FA">
            <w:pPr>
              <w:keepNext/>
            </w:pPr>
            <w:r w:rsidRPr="005667CE">
              <w:t>AER draft decision</w:t>
            </w:r>
          </w:p>
        </w:tc>
        <w:tc>
          <w:tcPr>
            <w:tcW w:w="1096" w:type="pct"/>
          </w:tcPr>
          <w:p w:rsidR="00CC6473" w:rsidRPr="00CC6473" w:rsidRDefault="00CC6473" w:rsidP="007478FA">
            <w:pPr>
              <w:keepNext/>
              <w:cnfStyle w:val="000000010000" w:firstRow="0" w:lastRow="0" w:firstColumn="0" w:lastColumn="0" w:oddVBand="0" w:evenVBand="0" w:oddHBand="0" w:evenHBand="1" w:firstRowFirstColumn="0" w:firstRowLastColumn="0" w:lastRowFirstColumn="0" w:lastRowLastColumn="0"/>
            </w:pPr>
            <w:r>
              <w:t>112.0</w:t>
            </w:r>
          </w:p>
        </w:tc>
        <w:tc>
          <w:tcPr>
            <w:tcW w:w="1097" w:type="pct"/>
          </w:tcPr>
          <w:p w:rsidR="00CC6473" w:rsidRPr="00CC6473" w:rsidRDefault="00CC6473" w:rsidP="007478FA">
            <w:pPr>
              <w:keepNext/>
              <w:cnfStyle w:val="000000010000" w:firstRow="0" w:lastRow="0" w:firstColumn="0" w:lastColumn="0" w:oddVBand="0" w:evenVBand="0" w:oddHBand="0" w:evenHBand="1" w:firstRowFirstColumn="0" w:firstRowLastColumn="0" w:lastRowFirstColumn="0" w:lastRowLastColumn="0"/>
            </w:pPr>
            <w:r>
              <w:t>101.4</w:t>
            </w:r>
          </w:p>
        </w:tc>
        <w:tc>
          <w:tcPr>
            <w:tcW w:w="1070" w:type="pct"/>
          </w:tcPr>
          <w:p w:rsidR="00CC6473" w:rsidRPr="00CC6473" w:rsidRDefault="00CC6473" w:rsidP="007478FA">
            <w:pPr>
              <w:keepNext/>
              <w:cnfStyle w:val="000000010000" w:firstRow="0" w:lastRow="0" w:firstColumn="0" w:lastColumn="0" w:oddVBand="0" w:evenVBand="0" w:oddHBand="0" w:evenHBand="1" w:firstRowFirstColumn="0" w:firstRowLastColumn="0" w:lastRowFirstColumn="0" w:lastRowLastColumn="0"/>
            </w:pPr>
            <w:r>
              <w:t>213.4</w:t>
            </w:r>
          </w:p>
        </w:tc>
      </w:tr>
      <w:tr w:rsidR="00CC6473" w:rsidRPr="005667CE" w:rsidTr="00295603">
        <w:trPr>
          <w:trHeight w:val="80"/>
        </w:trPr>
        <w:tc>
          <w:tcPr>
            <w:cnfStyle w:val="001000000000" w:firstRow="0" w:lastRow="0" w:firstColumn="1" w:lastColumn="0" w:oddVBand="0" w:evenVBand="0" w:oddHBand="0" w:evenHBand="0" w:firstRowFirstColumn="0" w:firstRowLastColumn="0" w:lastRowFirstColumn="0" w:lastRowLastColumn="0"/>
            <w:tcW w:w="1738" w:type="pct"/>
          </w:tcPr>
          <w:p w:rsidR="00CC6473" w:rsidRPr="00CC6473" w:rsidRDefault="00CC6473" w:rsidP="007478FA">
            <w:pPr>
              <w:keepNext/>
            </w:pPr>
            <w:r w:rsidRPr="005667CE">
              <w:t>Difference</w:t>
            </w:r>
          </w:p>
        </w:tc>
        <w:tc>
          <w:tcPr>
            <w:tcW w:w="1096" w:type="pct"/>
          </w:tcPr>
          <w:p w:rsidR="00CC6473" w:rsidRPr="00CC6473" w:rsidRDefault="00CC6473" w:rsidP="007478FA">
            <w:pPr>
              <w:keepNext/>
              <w:cnfStyle w:val="000000000000" w:firstRow="0" w:lastRow="0" w:firstColumn="0" w:lastColumn="0" w:oddVBand="0" w:evenVBand="0" w:oddHBand="0" w:evenHBand="0" w:firstRowFirstColumn="0" w:firstRowLastColumn="0" w:lastRowFirstColumn="0" w:lastRowLastColumn="0"/>
            </w:pPr>
            <w:r>
              <w:t>0</w:t>
            </w:r>
          </w:p>
        </w:tc>
        <w:tc>
          <w:tcPr>
            <w:tcW w:w="1097" w:type="pct"/>
          </w:tcPr>
          <w:p w:rsidR="00CC6473" w:rsidRPr="00CC6473" w:rsidRDefault="00CC6473" w:rsidP="007478FA">
            <w:pPr>
              <w:keepNext/>
              <w:cnfStyle w:val="000000000000" w:firstRow="0" w:lastRow="0" w:firstColumn="0" w:lastColumn="0" w:oddVBand="0" w:evenVBand="0" w:oddHBand="0" w:evenHBand="0" w:firstRowFirstColumn="0" w:firstRowLastColumn="0" w:lastRowFirstColumn="0" w:lastRowLastColumn="0"/>
            </w:pPr>
            <w:r>
              <w:t>0</w:t>
            </w:r>
          </w:p>
        </w:tc>
        <w:tc>
          <w:tcPr>
            <w:tcW w:w="1070" w:type="pct"/>
          </w:tcPr>
          <w:p w:rsidR="00CC6473" w:rsidRPr="00CC6473" w:rsidRDefault="00CC6473" w:rsidP="007478FA">
            <w:pPr>
              <w:keepNext/>
              <w:cnfStyle w:val="000000000000" w:firstRow="0" w:lastRow="0" w:firstColumn="0" w:lastColumn="0" w:oddVBand="0" w:evenVBand="0" w:oddHBand="0" w:evenHBand="0" w:firstRowFirstColumn="0" w:firstRowLastColumn="0" w:lastRowFirstColumn="0" w:lastRowLastColumn="0"/>
            </w:pPr>
            <w:r>
              <w:t>0</w:t>
            </w:r>
          </w:p>
        </w:tc>
      </w:tr>
      <w:tr w:rsidR="00CC6473" w:rsidRPr="005667CE" w:rsidTr="00295603">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738" w:type="pct"/>
          </w:tcPr>
          <w:p w:rsidR="00CC6473" w:rsidRPr="00CC6473" w:rsidRDefault="00CC6473" w:rsidP="007478FA">
            <w:pPr>
              <w:keepNext/>
            </w:pPr>
            <w:r w:rsidRPr="005667CE">
              <w:t>Percentage difference (%)</w:t>
            </w:r>
          </w:p>
        </w:tc>
        <w:tc>
          <w:tcPr>
            <w:tcW w:w="1096" w:type="pct"/>
          </w:tcPr>
          <w:p w:rsidR="00CC6473" w:rsidRPr="00CC6473" w:rsidRDefault="00CC6473" w:rsidP="007478FA">
            <w:pPr>
              <w:keepNext/>
              <w:cnfStyle w:val="000000010000" w:firstRow="0" w:lastRow="0" w:firstColumn="0" w:lastColumn="0" w:oddVBand="0" w:evenVBand="0" w:oddHBand="0" w:evenHBand="1" w:firstRowFirstColumn="0" w:firstRowLastColumn="0" w:lastRowFirstColumn="0" w:lastRowLastColumn="0"/>
            </w:pPr>
            <w:r>
              <w:t>0</w:t>
            </w:r>
          </w:p>
        </w:tc>
        <w:tc>
          <w:tcPr>
            <w:tcW w:w="1097" w:type="pct"/>
          </w:tcPr>
          <w:p w:rsidR="00CC6473" w:rsidRPr="00CC6473" w:rsidRDefault="00CC6473" w:rsidP="007478FA">
            <w:pPr>
              <w:keepNext/>
              <w:cnfStyle w:val="000000010000" w:firstRow="0" w:lastRow="0" w:firstColumn="0" w:lastColumn="0" w:oddVBand="0" w:evenVBand="0" w:oddHBand="0" w:evenHBand="1" w:firstRowFirstColumn="0" w:firstRowLastColumn="0" w:lastRowFirstColumn="0" w:lastRowLastColumn="0"/>
            </w:pPr>
            <w:r>
              <w:t>0</w:t>
            </w:r>
          </w:p>
        </w:tc>
        <w:tc>
          <w:tcPr>
            <w:tcW w:w="1070" w:type="pct"/>
          </w:tcPr>
          <w:p w:rsidR="00CC6473" w:rsidRPr="00CC6473" w:rsidRDefault="00CC6473" w:rsidP="007478FA">
            <w:pPr>
              <w:keepNext/>
              <w:cnfStyle w:val="000000010000" w:firstRow="0" w:lastRow="0" w:firstColumn="0" w:lastColumn="0" w:oddVBand="0" w:evenVBand="0" w:oddHBand="0" w:evenHBand="1" w:firstRowFirstColumn="0" w:firstRowLastColumn="0" w:lastRowFirstColumn="0" w:lastRowLastColumn="0"/>
            </w:pPr>
            <w:r>
              <w:t>0</w:t>
            </w:r>
          </w:p>
        </w:tc>
      </w:tr>
    </w:tbl>
    <w:p w:rsidR="00CC6473" w:rsidRPr="008E18E7" w:rsidRDefault="00CC6473" w:rsidP="007478FA">
      <w:pPr>
        <w:pStyle w:val="AERtablesource"/>
        <w:keepNext/>
        <w:numPr>
          <w:ilvl w:val="0"/>
          <w:numId w:val="24"/>
        </w:numPr>
        <w:rPr>
          <w:rStyle w:val="AERtextsize8"/>
        </w:rPr>
      </w:pPr>
      <w:r w:rsidRPr="008E18E7">
        <w:rPr>
          <w:rStyle w:val="AERtextsize8"/>
        </w:rPr>
        <w:t>Source:</w:t>
      </w:r>
      <w:r w:rsidRPr="008E18E7">
        <w:rPr>
          <w:rStyle w:val="AERtextsize8"/>
        </w:rPr>
        <w:tab/>
      </w:r>
      <w:r>
        <w:rPr>
          <w:rStyle w:val="AERtextsize8"/>
        </w:rPr>
        <w:t>A</w:t>
      </w:r>
      <w:r w:rsidRPr="008E18E7">
        <w:rPr>
          <w:rStyle w:val="AERtextsize8"/>
        </w:rPr>
        <w:t>ER analysis</w:t>
      </w:r>
    </w:p>
    <w:p w:rsidR="00CC6473" w:rsidRDefault="00CC6473" w:rsidP="007478FA">
      <w:pPr>
        <w:pStyle w:val="AERtablesource"/>
        <w:keepNext/>
      </w:pPr>
      <w:r w:rsidRPr="00CC6473">
        <w:rPr>
          <w:rFonts w:eastAsia="Calibri"/>
        </w:rPr>
        <w:t>Note:</w:t>
      </w:r>
      <w:r w:rsidRPr="00CC6473">
        <w:rPr>
          <w:rFonts w:eastAsia="Calibri"/>
        </w:rPr>
        <w:tab/>
        <w:t>Numbers may not total due to rounding.</w:t>
      </w:r>
    </w:p>
    <w:p w:rsidR="00CC6473" w:rsidRDefault="00CC6473" w:rsidP="00CC6473">
      <w:r>
        <w:fldChar w:fldCharType="begin"/>
      </w:r>
      <w:r>
        <w:instrText xml:space="preserve"> REF _Ref453663257 \h </w:instrText>
      </w:r>
      <w:r>
        <w:fldChar w:fldCharType="separate"/>
      </w:r>
      <w:r w:rsidR="008B40D8">
        <w:t xml:space="preserve">Figure </w:t>
      </w:r>
      <w:r w:rsidR="008B40D8">
        <w:rPr>
          <w:noProof/>
        </w:rPr>
        <w:t>3</w:t>
      </w:r>
      <w:r w:rsidR="008B40D8">
        <w:t>.</w:t>
      </w:r>
      <w:r w:rsidR="008B40D8">
        <w:rPr>
          <w:noProof/>
        </w:rPr>
        <w:t>4</w:t>
      </w:r>
      <w:r>
        <w:fldChar w:fldCharType="end"/>
      </w:r>
      <w:r>
        <w:t xml:space="preserve"> shows our capex decision compared to TasNetworks' proposal, its past allowances and past actual expenditure. </w:t>
      </w:r>
    </w:p>
    <w:p w:rsidR="00CC6473" w:rsidRDefault="00CC6473" w:rsidP="00CC6473">
      <w:pPr>
        <w:pStyle w:val="Caption"/>
      </w:pPr>
      <w:bookmarkStart w:id="128" w:name="_Ref453663257"/>
      <w:r>
        <w:t xml:space="preserve">Figure </w:t>
      </w:r>
      <w:r w:rsidR="00D96B78">
        <w:fldChar w:fldCharType="begin"/>
      </w:r>
      <w:r w:rsidR="00D96B78">
        <w:instrText xml:space="preserve"> STYLEREF 1 \s </w:instrText>
      </w:r>
      <w:r w:rsidR="00D96B78">
        <w:fldChar w:fldCharType="separate"/>
      </w:r>
      <w:r w:rsidR="008B40D8">
        <w:rPr>
          <w:noProof/>
        </w:rPr>
        <w:t>3</w:t>
      </w:r>
      <w:r w:rsidR="00D96B78">
        <w:rPr>
          <w:noProof/>
        </w:rPr>
        <w:fldChar w:fldCharType="end"/>
      </w:r>
      <w:r w:rsidR="00DA4620">
        <w:t>.</w:t>
      </w:r>
      <w:r w:rsidR="00D96B78">
        <w:fldChar w:fldCharType="begin"/>
      </w:r>
      <w:r w:rsidR="00D96B78">
        <w:instrText xml:space="preserve"> SEQ Figure \* ARABIC \s 1 </w:instrText>
      </w:r>
      <w:r w:rsidR="00D96B78">
        <w:fldChar w:fldCharType="separate"/>
      </w:r>
      <w:r w:rsidR="008B40D8">
        <w:rPr>
          <w:noProof/>
        </w:rPr>
        <w:t>4</w:t>
      </w:r>
      <w:r w:rsidR="00D96B78">
        <w:rPr>
          <w:noProof/>
        </w:rPr>
        <w:fldChar w:fldCharType="end"/>
      </w:r>
      <w:bookmarkEnd w:id="128"/>
      <w:r>
        <w:tab/>
        <w:t>TasNetworks total actual and forecast capex 2008–2019</w:t>
      </w:r>
    </w:p>
    <w:p w:rsidR="00CC6473" w:rsidRDefault="00CC6473" w:rsidP="00CC6473">
      <w:r w:rsidRPr="00CC6473">
        <w:rPr>
          <w:noProof/>
          <w:lang w:eastAsia="en-AU"/>
        </w:rPr>
        <w:drawing>
          <wp:inline distT="0" distB="0" distL="0" distR="0" wp14:anchorId="4B566668" wp14:editId="4CA372FB">
            <wp:extent cx="5382895" cy="3234727"/>
            <wp:effectExtent l="0" t="0" r="825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2895" cy="3234727"/>
                    </a:xfrm>
                    <a:prstGeom prst="rect">
                      <a:avLst/>
                    </a:prstGeom>
                    <a:noFill/>
                  </pic:spPr>
                </pic:pic>
              </a:graphicData>
            </a:graphic>
          </wp:inline>
        </w:drawing>
      </w:r>
    </w:p>
    <w:p w:rsidR="00CC6473" w:rsidRDefault="00CC6473" w:rsidP="00CC6473">
      <w:pPr>
        <w:pStyle w:val="Heading2"/>
      </w:pPr>
      <w:bookmarkStart w:id="129" w:name="_Ref451759140"/>
      <w:bookmarkStart w:id="130" w:name="_Toc456687652"/>
      <w:bookmarkStart w:id="131" w:name="_Toc462823959"/>
      <w:bookmarkStart w:id="132" w:name="_Toc481051873"/>
      <w:r>
        <w:t>Operating expenditure</w:t>
      </w:r>
      <w:bookmarkStart w:id="133" w:name="_Ref451759154"/>
      <w:bookmarkStart w:id="134" w:name="_Toc456687653"/>
      <w:bookmarkStart w:id="135" w:name="_Toc462823960"/>
      <w:bookmarkEnd w:id="129"/>
      <w:bookmarkEnd w:id="130"/>
      <w:bookmarkEnd w:id="131"/>
      <w:bookmarkEnd w:id="132"/>
    </w:p>
    <w:p w:rsidR="00132712" w:rsidRDefault="00AD6B37" w:rsidP="00AD6B37">
      <w:r w:rsidRPr="00AD6B37">
        <w:t>Our final decision is to accept TasNetworks</w:t>
      </w:r>
      <w:r w:rsidR="00D304CB">
        <w:t>'</w:t>
      </w:r>
      <w:r w:rsidRPr="00AD6B37">
        <w:t xml:space="preserve"> revised opex proposal of $131.8 million ($201</w:t>
      </w:r>
      <w:r w:rsidR="00D304CB">
        <w:t>6–17</w:t>
      </w:r>
      <w:r w:rsidRPr="00AD6B37">
        <w:t>)</w:t>
      </w:r>
      <w:r w:rsidR="00894D32">
        <w:t xml:space="preserve">, including debt raising costs. Our final decision is set out in </w:t>
      </w:r>
      <w:r w:rsidR="00894D32">
        <w:fldChar w:fldCharType="begin"/>
      </w:r>
      <w:r w:rsidR="00894D32">
        <w:instrText xml:space="preserve"> REF _Ref479781206 \h </w:instrText>
      </w:r>
      <w:r w:rsidR="00894D32">
        <w:fldChar w:fldCharType="separate"/>
      </w:r>
      <w:r w:rsidR="008B40D8">
        <w:t xml:space="preserve">Table </w:t>
      </w:r>
      <w:r w:rsidR="008B40D8">
        <w:rPr>
          <w:noProof/>
        </w:rPr>
        <w:t>3</w:t>
      </w:r>
      <w:r w:rsidR="008B40D8">
        <w:t>.</w:t>
      </w:r>
      <w:r w:rsidR="008B40D8">
        <w:rPr>
          <w:noProof/>
        </w:rPr>
        <w:t>8</w:t>
      </w:r>
      <w:r w:rsidR="00894D32">
        <w:fldChar w:fldCharType="end"/>
      </w:r>
      <w:r w:rsidR="00764464">
        <w:t>.</w:t>
      </w:r>
    </w:p>
    <w:p w:rsidR="00132712" w:rsidRDefault="00132712" w:rsidP="007478FA">
      <w:pPr>
        <w:pStyle w:val="Caption"/>
      </w:pPr>
      <w:bookmarkStart w:id="136" w:name="_Ref479781206"/>
      <w:r>
        <w:lastRenderedPageBreak/>
        <w:t xml:space="preserve">Table </w:t>
      </w:r>
      <w:r w:rsidR="00D96B78">
        <w:fldChar w:fldCharType="begin"/>
      </w:r>
      <w:r w:rsidR="00D96B78">
        <w:instrText xml:space="preserve"> STYLEREF 1 \s </w:instrText>
      </w:r>
      <w:r w:rsidR="00D96B78">
        <w:fldChar w:fldCharType="separate"/>
      </w:r>
      <w:r w:rsidR="008B40D8">
        <w:rPr>
          <w:noProof/>
        </w:rPr>
        <w:t>3</w:t>
      </w:r>
      <w:r w:rsidR="00D96B78">
        <w:rPr>
          <w:noProof/>
        </w:rPr>
        <w:fldChar w:fldCharType="end"/>
      </w:r>
      <w:r w:rsidR="00465A73">
        <w:t>.</w:t>
      </w:r>
      <w:r w:rsidR="00D96B78">
        <w:fldChar w:fldCharType="begin"/>
      </w:r>
      <w:r w:rsidR="00D96B78">
        <w:instrText xml:space="preserve"> SEQ Table \* ARABIC \s 1 </w:instrText>
      </w:r>
      <w:r w:rsidR="00D96B78">
        <w:fldChar w:fldCharType="separate"/>
      </w:r>
      <w:r w:rsidR="008B40D8">
        <w:rPr>
          <w:noProof/>
        </w:rPr>
        <w:t>8</w:t>
      </w:r>
      <w:r w:rsidR="00D96B78">
        <w:rPr>
          <w:noProof/>
        </w:rPr>
        <w:fldChar w:fldCharType="end"/>
      </w:r>
      <w:bookmarkEnd w:id="136"/>
      <w:r>
        <w:tab/>
        <w:t>Our final decision on total opex ($million, 2016–17)</w:t>
      </w:r>
    </w:p>
    <w:tbl>
      <w:tblPr>
        <w:tblStyle w:val="AERtable-numbers"/>
        <w:tblW w:w="0" w:type="auto"/>
        <w:tblLook w:val="04A0" w:firstRow="1" w:lastRow="0" w:firstColumn="1" w:lastColumn="0" w:noHBand="0" w:noVBand="1"/>
      </w:tblPr>
      <w:tblGrid>
        <w:gridCol w:w="3085"/>
        <w:gridCol w:w="1559"/>
        <w:gridCol w:w="1560"/>
        <w:gridCol w:w="1559"/>
      </w:tblGrid>
      <w:tr w:rsidR="00132712" w:rsidTr="001327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32712" w:rsidRDefault="00132712" w:rsidP="007478FA">
            <w:pPr>
              <w:keepNext/>
            </w:pPr>
          </w:p>
        </w:tc>
        <w:tc>
          <w:tcPr>
            <w:tcW w:w="1559" w:type="dxa"/>
          </w:tcPr>
          <w:p w:rsidR="00132712" w:rsidRPr="00132712" w:rsidRDefault="00132712" w:rsidP="007478FA">
            <w:pPr>
              <w:keepNext/>
              <w:cnfStyle w:val="100000000000" w:firstRow="1" w:lastRow="0" w:firstColumn="0" w:lastColumn="0" w:oddVBand="0" w:evenVBand="0" w:oddHBand="0" w:evenHBand="0" w:firstRowFirstColumn="0" w:firstRowLastColumn="0" w:lastRowFirstColumn="0" w:lastRowLastColumn="0"/>
            </w:pPr>
            <w:r>
              <w:t>201</w:t>
            </w:r>
            <w:r w:rsidRPr="00132712">
              <w:t>7–18</w:t>
            </w:r>
          </w:p>
        </w:tc>
        <w:tc>
          <w:tcPr>
            <w:tcW w:w="1560" w:type="dxa"/>
          </w:tcPr>
          <w:p w:rsidR="00132712" w:rsidRPr="00132712" w:rsidRDefault="00132712" w:rsidP="007478FA">
            <w:pPr>
              <w:keepNext/>
              <w:cnfStyle w:val="100000000000" w:firstRow="1" w:lastRow="0" w:firstColumn="0" w:lastColumn="0" w:oddVBand="0" w:evenVBand="0" w:oddHBand="0" w:evenHBand="0" w:firstRowFirstColumn="0" w:firstRowLastColumn="0" w:lastRowFirstColumn="0" w:lastRowLastColumn="0"/>
            </w:pPr>
            <w:r w:rsidRPr="00521143">
              <w:t>201</w:t>
            </w:r>
            <w:r w:rsidRPr="00132712">
              <w:t>8–19</w:t>
            </w:r>
          </w:p>
        </w:tc>
        <w:tc>
          <w:tcPr>
            <w:tcW w:w="1559" w:type="dxa"/>
          </w:tcPr>
          <w:p w:rsidR="00132712" w:rsidRPr="00132712" w:rsidRDefault="00132712" w:rsidP="007478FA">
            <w:pPr>
              <w:keepNext/>
              <w:cnfStyle w:val="100000000000" w:firstRow="1" w:lastRow="0" w:firstColumn="0" w:lastColumn="0" w:oddVBand="0" w:evenVBand="0" w:oddHBand="0" w:evenHBand="0" w:firstRowFirstColumn="0" w:firstRowLastColumn="0" w:lastRowFirstColumn="0" w:lastRowLastColumn="0"/>
            </w:pPr>
            <w:r w:rsidRPr="00521143">
              <w:t>Total</w:t>
            </w:r>
          </w:p>
        </w:tc>
      </w:tr>
      <w:tr w:rsidR="00132712" w:rsidTr="00132712">
        <w:tc>
          <w:tcPr>
            <w:cnfStyle w:val="001000000000" w:firstRow="0" w:lastRow="0" w:firstColumn="1" w:lastColumn="0" w:oddVBand="0" w:evenVBand="0" w:oddHBand="0" w:evenHBand="0" w:firstRowFirstColumn="0" w:firstRowLastColumn="0" w:lastRowFirstColumn="0" w:lastRowLastColumn="0"/>
            <w:tcW w:w="3085" w:type="dxa"/>
          </w:tcPr>
          <w:p w:rsidR="00132712" w:rsidRDefault="00132712" w:rsidP="007478FA">
            <w:pPr>
              <w:keepNext/>
            </w:pPr>
            <w:r>
              <w:t>TasNetworks' initial proposal</w:t>
            </w:r>
          </w:p>
        </w:tc>
        <w:tc>
          <w:tcPr>
            <w:tcW w:w="1559" w:type="dxa"/>
          </w:tcPr>
          <w:p w:rsidR="00132712" w:rsidRDefault="00CA1A8A" w:rsidP="007478FA">
            <w:pPr>
              <w:keepNext/>
              <w:cnfStyle w:val="000000000000" w:firstRow="0" w:lastRow="0" w:firstColumn="0" w:lastColumn="0" w:oddVBand="0" w:evenVBand="0" w:oddHBand="0" w:evenHBand="0" w:firstRowFirstColumn="0" w:firstRowLastColumn="0" w:lastRowFirstColumn="0" w:lastRowLastColumn="0"/>
            </w:pPr>
            <w:r>
              <w:t>62.3</w:t>
            </w:r>
          </w:p>
        </w:tc>
        <w:tc>
          <w:tcPr>
            <w:tcW w:w="1560" w:type="dxa"/>
          </w:tcPr>
          <w:p w:rsidR="00132712" w:rsidRDefault="00CA1A8A" w:rsidP="007478FA">
            <w:pPr>
              <w:keepNext/>
              <w:cnfStyle w:val="000000000000" w:firstRow="0" w:lastRow="0" w:firstColumn="0" w:lastColumn="0" w:oddVBand="0" w:evenVBand="0" w:oddHBand="0" w:evenHBand="0" w:firstRowFirstColumn="0" w:firstRowLastColumn="0" w:lastRowFirstColumn="0" w:lastRowLastColumn="0"/>
            </w:pPr>
            <w:r>
              <w:t>60.8</w:t>
            </w:r>
          </w:p>
        </w:tc>
        <w:tc>
          <w:tcPr>
            <w:tcW w:w="1559" w:type="dxa"/>
          </w:tcPr>
          <w:p w:rsidR="00132712" w:rsidRDefault="00CA1A8A" w:rsidP="007478FA">
            <w:pPr>
              <w:keepNext/>
              <w:cnfStyle w:val="000000000000" w:firstRow="0" w:lastRow="0" w:firstColumn="0" w:lastColumn="0" w:oddVBand="0" w:evenVBand="0" w:oddHBand="0" w:evenHBand="0" w:firstRowFirstColumn="0" w:firstRowLastColumn="0" w:lastRowFirstColumn="0" w:lastRowLastColumn="0"/>
            </w:pPr>
            <w:r>
              <w:t>123.1</w:t>
            </w:r>
          </w:p>
        </w:tc>
      </w:tr>
      <w:tr w:rsidR="00132712" w:rsidTr="001327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32712" w:rsidRDefault="00132712" w:rsidP="007478FA">
            <w:pPr>
              <w:keepNext/>
            </w:pPr>
            <w:r>
              <w:t>AER draft decision</w:t>
            </w:r>
          </w:p>
        </w:tc>
        <w:tc>
          <w:tcPr>
            <w:tcW w:w="1559" w:type="dxa"/>
          </w:tcPr>
          <w:p w:rsidR="00132712" w:rsidRDefault="00A05185" w:rsidP="007478FA">
            <w:pPr>
              <w:keepNext/>
              <w:cnfStyle w:val="000000010000" w:firstRow="0" w:lastRow="0" w:firstColumn="0" w:lastColumn="0" w:oddVBand="0" w:evenVBand="0" w:oddHBand="0" w:evenHBand="1" w:firstRowFirstColumn="0" w:firstRowLastColumn="0" w:lastRowFirstColumn="0" w:lastRowLastColumn="0"/>
            </w:pPr>
            <w:r>
              <w:t>62.3</w:t>
            </w:r>
          </w:p>
        </w:tc>
        <w:tc>
          <w:tcPr>
            <w:tcW w:w="1560" w:type="dxa"/>
          </w:tcPr>
          <w:p w:rsidR="00132712" w:rsidRDefault="00A05185" w:rsidP="007478FA">
            <w:pPr>
              <w:keepNext/>
              <w:cnfStyle w:val="000000010000" w:firstRow="0" w:lastRow="0" w:firstColumn="0" w:lastColumn="0" w:oddVBand="0" w:evenVBand="0" w:oddHBand="0" w:evenHBand="1" w:firstRowFirstColumn="0" w:firstRowLastColumn="0" w:lastRowFirstColumn="0" w:lastRowLastColumn="0"/>
            </w:pPr>
            <w:r>
              <w:t>60.8</w:t>
            </w:r>
          </w:p>
        </w:tc>
        <w:tc>
          <w:tcPr>
            <w:tcW w:w="1559" w:type="dxa"/>
          </w:tcPr>
          <w:p w:rsidR="00132712" w:rsidRDefault="00A05185" w:rsidP="007478FA">
            <w:pPr>
              <w:keepNext/>
              <w:cnfStyle w:val="000000010000" w:firstRow="0" w:lastRow="0" w:firstColumn="0" w:lastColumn="0" w:oddVBand="0" w:evenVBand="0" w:oddHBand="0" w:evenHBand="1" w:firstRowFirstColumn="0" w:firstRowLastColumn="0" w:lastRowFirstColumn="0" w:lastRowLastColumn="0"/>
            </w:pPr>
            <w:r>
              <w:t>123.1</w:t>
            </w:r>
          </w:p>
        </w:tc>
      </w:tr>
      <w:tr w:rsidR="00132712" w:rsidTr="00132712">
        <w:tc>
          <w:tcPr>
            <w:cnfStyle w:val="001000000000" w:firstRow="0" w:lastRow="0" w:firstColumn="1" w:lastColumn="0" w:oddVBand="0" w:evenVBand="0" w:oddHBand="0" w:evenHBand="0" w:firstRowFirstColumn="0" w:firstRowLastColumn="0" w:lastRowFirstColumn="0" w:lastRowLastColumn="0"/>
            <w:tcW w:w="3085" w:type="dxa"/>
          </w:tcPr>
          <w:p w:rsidR="00132712" w:rsidRDefault="00132712" w:rsidP="007478FA">
            <w:pPr>
              <w:keepNext/>
            </w:pPr>
            <w:r>
              <w:t>TasNetworks' revised proposal</w:t>
            </w:r>
          </w:p>
        </w:tc>
        <w:tc>
          <w:tcPr>
            <w:tcW w:w="1559" w:type="dxa"/>
          </w:tcPr>
          <w:p w:rsidR="00132712" w:rsidRDefault="00A05185" w:rsidP="007478FA">
            <w:pPr>
              <w:keepNext/>
              <w:cnfStyle w:val="000000000000" w:firstRow="0" w:lastRow="0" w:firstColumn="0" w:lastColumn="0" w:oddVBand="0" w:evenVBand="0" w:oddHBand="0" w:evenHBand="0" w:firstRowFirstColumn="0" w:firstRowLastColumn="0" w:lastRowFirstColumn="0" w:lastRowLastColumn="0"/>
            </w:pPr>
            <w:r>
              <w:t>66.6</w:t>
            </w:r>
          </w:p>
        </w:tc>
        <w:tc>
          <w:tcPr>
            <w:tcW w:w="1560" w:type="dxa"/>
          </w:tcPr>
          <w:p w:rsidR="00132712" w:rsidRDefault="00A05185" w:rsidP="007478FA">
            <w:pPr>
              <w:keepNext/>
              <w:cnfStyle w:val="000000000000" w:firstRow="0" w:lastRow="0" w:firstColumn="0" w:lastColumn="0" w:oddVBand="0" w:evenVBand="0" w:oddHBand="0" w:evenHBand="0" w:firstRowFirstColumn="0" w:firstRowLastColumn="0" w:lastRowFirstColumn="0" w:lastRowLastColumn="0"/>
            </w:pPr>
            <w:r>
              <w:t>65.2</w:t>
            </w:r>
          </w:p>
        </w:tc>
        <w:tc>
          <w:tcPr>
            <w:tcW w:w="1559" w:type="dxa"/>
          </w:tcPr>
          <w:p w:rsidR="00132712" w:rsidRDefault="00A05185" w:rsidP="007478FA">
            <w:pPr>
              <w:keepNext/>
              <w:cnfStyle w:val="000000000000" w:firstRow="0" w:lastRow="0" w:firstColumn="0" w:lastColumn="0" w:oddVBand="0" w:evenVBand="0" w:oddHBand="0" w:evenHBand="0" w:firstRowFirstColumn="0" w:firstRowLastColumn="0" w:lastRowFirstColumn="0" w:lastRowLastColumn="0"/>
            </w:pPr>
            <w:r>
              <w:t>131.8</w:t>
            </w:r>
          </w:p>
        </w:tc>
      </w:tr>
      <w:tr w:rsidR="00132712" w:rsidTr="001327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132712" w:rsidRDefault="00132712" w:rsidP="007478FA">
            <w:pPr>
              <w:keepNext/>
            </w:pPr>
            <w:r>
              <w:t>AER final decision</w:t>
            </w:r>
          </w:p>
        </w:tc>
        <w:tc>
          <w:tcPr>
            <w:tcW w:w="1559" w:type="dxa"/>
          </w:tcPr>
          <w:p w:rsidR="00132712" w:rsidRDefault="00132712" w:rsidP="007478FA">
            <w:pPr>
              <w:keepNext/>
              <w:cnfStyle w:val="000000010000" w:firstRow="0" w:lastRow="0" w:firstColumn="0" w:lastColumn="0" w:oddVBand="0" w:evenVBand="0" w:oddHBand="0" w:evenHBand="1" w:firstRowFirstColumn="0" w:firstRowLastColumn="0" w:lastRowFirstColumn="0" w:lastRowLastColumn="0"/>
            </w:pPr>
            <w:r>
              <w:t>66.6</w:t>
            </w:r>
          </w:p>
        </w:tc>
        <w:tc>
          <w:tcPr>
            <w:tcW w:w="1560" w:type="dxa"/>
          </w:tcPr>
          <w:p w:rsidR="00132712" w:rsidRDefault="00132712" w:rsidP="007478FA">
            <w:pPr>
              <w:keepNext/>
              <w:cnfStyle w:val="000000010000" w:firstRow="0" w:lastRow="0" w:firstColumn="0" w:lastColumn="0" w:oddVBand="0" w:evenVBand="0" w:oddHBand="0" w:evenHBand="1" w:firstRowFirstColumn="0" w:firstRowLastColumn="0" w:lastRowFirstColumn="0" w:lastRowLastColumn="0"/>
            </w:pPr>
            <w:r>
              <w:t>65.2</w:t>
            </w:r>
          </w:p>
        </w:tc>
        <w:tc>
          <w:tcPr>
            <w:tcW w:w="1559" w:type="dxa"/>
          </w:tcPr>
          <w:p w:rsidR="00132712" w:rsidRDefault="00132712" w:rsidP="007478FA">
            <w:pPr>
              <w:keepNext/>
              <w:cnfStyle w:val="000000010000" w:firstRow="0" w:lastRow="0" w:firstColumn="0" w:lastColumn="0" w:oddVBand="0" w:evenVBand="0" w:oddHBand="0" w:evenHBand="1" w:firstRowFirstColumn="0" w:firstRowLastColumn="0" w:lastRowFirstColumn="0" w:lastRowLastColumn="0"/>
            </w:pPr>
            <w:r>
              <w:t>131.8</w:t>
            </w:r>
          </w:p>
        </w:tc>
      </w:tr>
    </w:tbl>
    <w:p w:rsidR="00CA1A8A" w:rsidRDefault="00132712" w:rsidP="007478FA">
      <w:pPr>
        <w:pStyle w:val="AERtablesource"/>
      </w:pPr>
      <w:r>
        <w:t>Source:</w:t>
      </w:r>
      <w:r w:rsidR="00CA1A8A">
        <w:tab/>
        <w:t>TasNetworks, Initial and revised PTRMs. AER</w:t>
      </w:r>
      <w:r w:rsidR="008B40D8">
        <w:t>, Draft</w:t>
      </w:r>
      <w:r w:rsidR="00CA1A8A">
        <w:t xml:space="preserve"> and final decision PTRMs.</w:t>
      </w:r>
    </w:p>
    <w:p w:rsidR="00132712" w:rsidRDefault="00CA1A8A" w:rsidP="007478FA">
      <w:pPr>
        <w:pStyle w:val="AERtablesource"/>
      </w:pPr>
      <w:r>
        <w:t>Note:</w:t>
      </w:r>
      <w:r>
        <w:tab/>
        <w:t xml:space="preserve">Includes debt raising costs. </w:t>
      </w:r>
    </w:p>
    <w:p w:rsidR="00AD6B37" w:rsidRPr="00AD6B37" w:rsidRDefault="00AD6B37" w:rsidP="00AD6B37">
      <w:r w:rsidRPr="00AD6B37">
        <w:t>TasNetworks made two key changes to its initial opex forecast:</w:t>
      </w:r>
      <w:r w:rsidR="006B4CD9">
        <w:rPr>
          <w:rStyle w:val="FootnoteReference"/>
        </w:rPr>
        <w:footnoteReference w:id="34"/>
      </w:r>
      <w:r w:rsidRPr="00AD6B37">
        <w:t xml:space="preserve"> </w:t>
      </w:r>
    </w:p>
    <w:p w:rsidR="00AD6B37" w:rsidRPr="00AD6B37" w:rsidRDefault="00AD6B37" w:rsidP="006B4CD9">
      <w:pPr>
        <w:pStyle w:val="AERbulletlistfirststyle"/>
      </w:pPr>
      <w:r w:rsidRPr="00AD6B37">
        <w:t xml:space="preserve">it reduced its productivity growth forecast </w:t>
      </w:r>
    </w:p>
    <w:p w:rsidR="00AD6B37" w:rsidRPr="00AD6B37" w:rsidRDefault="00AD6B37" w:rsidP="006B4CD9">
      <w:pPr>
        <w:pStyle w:val="AERbulletlistfirststyle"/>
      </w:pPr>
      <w:r w:rsidRPr="00AD6B37">
        <w:t xml:space="preserve">it increased its forecast GSL payments to match those we included in </w:t>
      </w:r>
      <w:r w:rsidR="00FE69E8">
        <w:t>the</w:t>
      </w:r>
      <w:r w:rsidR="00FE69E8" w:rsidRPr="00AD6B37">
        <w:t xml:space="preserve"> </w:t>
      </w:r>
      <w:r w:rsidRPr="00AD6B37">
        <w:t xml:space="preserve">alternative estimate in our draft decision. </w:t>
      </w:r>
    </w:p>
    <w:p w:rsidR="007538D0" w:rsidRPr="00AD6B37" w:rsidRDefault="00AD6B37" w:rsidP="007538D0">
      <w:r w:rsidRPr="00AD6B37">
        <w:t xml:space="preserve">The effect of these changes </w:t>
      </w:r>
      <w:r w:rsidR="00D304CB">
        <w:t>is</w:t>
      </w:r>
      <w:r w:rsidRPr="00AD6B37">
        <w:t xml:space="preserve"> to increase TasNetworks' total opex forecast by $</w:t>
      </w:r>
      <w:r w:rsidR="009F3DD3">
        <w:t>8.7 </w:t>
      </w:r>
      <w:r w:rsidRPr="00AD6B37">
        <w:t>million ($201</w:t>
      </w:r>
      <w:r w:rsidR="00D304CB">
        <w:t>6</w:t>
      </w:r>
      <w:r w:rsidR="00782BDD">
        <w:t>–</w:t>
      </w:r>
      <w:r w:rsidRPr="00AD6B37">
        <w:t>1</w:t>
      </w:r>
      <w:r w:rsidR="00D304CB">
        <w:t>7</w:t>
      </w:r>
      <w:r w:rsidRPr="00AD6B37">
        <w:t>), or 7.</w:t>
      </w:r>
      <w:r w:rsidR="002D3096">
        <w:t>1</w:t>
      </w:r>
      <w:r w:rsidRPr="00AD6B37">
        <w:t xml:space="preserve"> per cent.</w:t>
      </w:r>
      <w:r w:rsidR="007538D0">
        <w:t xml:space="preserve"> We accept this increased proposal because it is still lower than our alternative estimate of efficient costs.</w:t>
      </w:r>
    </w:p>
    <w:p w:rsidR="00AD6B37" w:rsidRPr="00AD6B37" w:rsidRDefault="007538D0" w:rsidP="00AD6B37">
      <w:r>
        <w:t xml:space="preserve">TasNetworks initially proposed total </w:t>
      </w:r>
      <w:r w:rsidRPr="00AD6B37">
        <w:t>opex of $</w:t>
      </w:r>
      <w:r>
        <w:t>123.1</w:t>
      </w:r>
      <w:r w:rsidRPr="00AD6B37">
        <w:t xml:space="preserve"> million ($201</w:t>
      </w:r>
      <w:r>
        <w:t>6–17</w:t>
      </w:r>
      <w:r w:rsidR="00BF47DF">
        <w:t>)</w:t>
      </w:r>
      <w:r>
        <w:t xml:space="preserve">. </w:t>
      </w:r>
      <w:r w:rsidR="00AD6B37" w:rsidRPr="00AD6B37">
        <w:t>Our draft decision accepted TasNetworks</w:t>
      </w:r>
      <w:r w:rsidR="009F3DD3">
        <w:t>'</w:t>
      </w:r>
      <w:r w:rsidR="00AD6B37" w:rsidRPr="00AD6B37">
        <w:t xml:space="preserve"> initial opex forecast on the basis that it was $17.5</w:t>
      </w:r>
      <w:r w:rsidR="009F3DD3">
        <w:t> </w:t>
      </w:r>
      <w:r w:rsidR="00AD6B37" w:rsidRPr="00AD6B37">
        <w:t>million lower than our alternative estimate of efficient costs.</w:t>
      </w:r>
      <w:r w:rsidR="006B4CD9">
        <w:rPr>
          <w:rStyle w:val="FootnoteReference"/>
        </w:rPr>
        <w:footnoteReference w:id="35"/>
      </w:r>
    </w:p>
    <w:p w:rsidR="00AD6B37" w:rsidRPr="00AD6B37" w:rsidRDefault="00AD6B37" w:rsidP="00AD6B37">
      <w:r w:rsidRPr="00AD6B37">
        <w:t xml:space="preserve">In its revised proposal, TasNetworks highlighted the </w:t>
      </w:r>
      <w:r w:rsidR="00D304CB">
        <w:t>interrelationship</w:t>
      </w:r>
      <w:r w:rsidRPr="00AD6B37">
        <w:t xml:space="preserve"> between </w:t>
      </w:r>
      <w:r w:rsidR="00782BDD">
        <w:t>forecast</w:t>
      </w:r>
      <w:r w:rsidR="00782BDD" w:rsidRPr="00AD6B37">
        <w:t xml:space="preserve"> </w:t>
      </w:r>
      <w:r w:rsidRPr="00AD6B37">
        <w:t xml:space="preserve">opex and </w:t>
      </w:r>
      <w:r w:rsidR="00782BDD">
        <w:t xml:space="preserve">the </w:t>
      </w:r>
      <w:r w:rsidRPr="00AD6B37">
        <w:t>EBSS. TasNetworks explained our draft decision accepted its opex forecast but reduced its EBSS carryover amount by $</w:t>
      </w:r>
      <w:r w:rsidR="00782BDD">
        <w:t>23.0</w:t>
      </w:r>
      <w:r w:rsidRPr="00AD6B37">
        <w:t xml:space="preserve"> million. As a result, TasNetworks revised its opex forecast.</w:t>
      </w:r>
      <w:r w:rsidR="006B4CD9">
        <w:rPr>
          <w:rStyle w:val="FootnoteReference"/>
        </w:rPr>
        <w:footnoteReference w:id="36"/>
      </w:r>
    </w:p>
    <w:p w:rsidR="00804C91" w:rsidRPr="00804C91" w:rsidRDefault="00AD6B37" w:rsidP="00804C91">
      <w:pPr>
        <w:rPr>
          <w:lang w:eastAsia="en-AU"/>
        </w:rPr>
      </w:pPr>
      <w:r w:rsidRPr="00AD6B37">
        <w:t xml:space="preserve">In making our final decision, we considered </w:t>
      </w:r>
      <w:r w:rsidR="00A30BE7">
        <w:t>submissions</w:t>
      </w:r>
      <w:r w:rsidR="00A30BE7" w:rsidRPr="00AD6B37">
        <w:t xml:space="preserve"> </w:t>
      </w:r>
      <w:r w:rsidRPr="00AD6B37">
        <w:t xml:space="preserve">from </w:t>
      </w:r>
      <w:r w:rsidR="007478FA">
        <w:t xml:space="preserve">David Headberry of </w:t>
      </w:r>
      <w:r w:rsidR="006332DA">
        <w:t xml:space="preserve">the </w:t>
      </w:r>
      <w:r w:rsidRPr="00AD6B37">
        <w:t xml:space="preserve">CCP and </w:t>
      </w:r>
      <w:r w:rsidR="00A30BE7">
        <w:t xml:space="preserve">other </w:t>
      </w:r>
      <w:r w:rsidRPr="00AD6B37">
        <w:t>stakeholder</w:t>
      </w:r>
      <w:r w:rsidR="00A30BE7">
        <w:t>s</w:t>
      </w:r>
      <w:r w:rsidRPr="00AD6B37">
        <w:t xml:space="preserve">. In </w:t>
      </w:r>
      <w:r w:rsidR="007478FA">
        <w:t>his</w:t>
      </w:r>
      <w:r w:rsidRPr="00AD6B37">
        <w:t xml:space="preserve"> </w:t>
      </w:r>
      <w:r w:rsidR="00A30BE7">
        <w:t>submission</w:t>
      </w:r>
      <w:r w:rsidRPr="00AD6B37">
        <w:t xml:space="preserve">, </w:t>
      </w:r>
      <w:r w:rsidR="007478FA">
        <w:t>Mr Headberry</w:t>
      </w:r>
      <w:r w:rsidRPr="00AD6B37">
        <w:t xml:space="preserve"> questioned the extent to which the EBSS incentivises a network to maximise efficiency and whether the base year opex is efficient. First, </w:t>
      </w:r>
      <w:r w:rsidR="007478FA">
        <w:t>he</w:t>
      </w:r>
      <w:r w:rsidRPr="00AD6B37">
        <w:t xml:space="preserve"> considers TasNetworks’ proposal to make significant opex reductions from current levels, which are ‘even less than the opex the AER would probably have accepted based on its base–step–trend approach’, undermines </w:t>
      </w:r>
      <w:r w:rsidR="00782BDD">
        <w:t>our</w:t>
      </w:r>
      <w:r w:rsidRPr="00AD6B37">
        <w:t xml:space="preserve"> assumption that the EBSS drives a network to efficient opex.</w:t>
      </w:r>
      <w:r w:rsidR="006B4CD9">
        <w:rPr>
          <w:rStyle w:val="FootnoteReference"/>
        </w:rPr>
        <w:footnoteReference w:id="37"/>
      </w:r>
      <w:r w:rsidR="00804C91">
        <w:t xml:space="preserve"> </w:t>
      </w:r>
      <w:r w:rsidR="00804C91" w:rsidRPr="00804C91">
        <w:t xml:space="preserve">Second, given </w:t>
      </w:r>
      <w:r w:rsidR="00782BDD">
        <w:t>we</w:t>
      </w:r>
      <w:r w:rsidR="00804C91" w:rsidRPr="00804C91">
        <w:t xml:space="preserve"> relied on TasNetworks' reported opex in 2014</w:t>
      </w:r>
      <w:r w:rsidR="00782BDD">
        <w:t>–</w:t>
      </w:r>
      <w:r w:rsidR="00804C91" w:rsidRPr="00804C91">
        <w:t>15 to forecast its opex over the 2017–19 regulatory control period, and that total opex in 2015</w:t>
      </w:r>
      <w:r w:rsidR="00782BDD">
        <w:t>–</w:t>
      </w:r>
      <w:r w:rsidR="00804C91" w:rsidRPr="00804C91">
        <w:t xml:space="preserve">16 </w:t>
      </w:r>
      <w:r w:rsidR="00782BDD">
        <w:t>was</w:t>
      </w:r>
      <w:r w:rsidR="00782BDD" w:rsidRPr="00804C91">
        <w:t xml:space="preserve"> </w:t>
      </w:r>
      <w:r w:rsidR="00804C91" w:rsidRPr="00804C91">
        <w:t>lower than 2014</w:t>
      </w:r>
      <w:r w:rsidR="00782BDD">
        <w:t>–</w:t>
      </w:r>
      <w:r w:rsidR="00804C91" w:rsidRPr="00804C91">
        <w:t xml:space="preserve">15, </w:t>
      </w:r>
      <w:r w:rsidR="007478FA">
        <w:t xml:space="preserve">Mr </w:t>
      </w:r>
      <w:r w:rsidR="007478FA">
        <w:lastRenderedPageBreak/>
        <w:t>Headberry</w:t>
      </w:r>
      <w:r w:rsidR="00804C91" w:rsidRPr="00804C91">
        <w:t xml:space="preserve"> considers this implies the base year opex </w:t>
      </w:r>
      <w:r w:rsidR="00782BDD">
        <w:t xml:space="preserve">we </w:t>
      </w:r>
      <w:r w:rsidR="00804C91" w:rsidRPr="00804C91">
        <w:t>used is not the efficient base year.</w:t>
      </w:r>
      <w:r w:rsidR="00804C91" w:rsidRPr="00804C91">
        <w:rPr>
          <w:rStyle w:val="FootnoteReference"/>
        </w:rPr>
        <w:footnoteReference w:id="38"/>
      </w:r>
      <w:r w:rsidR="00804C91" w:rsidRPr="00804C91">
        <w:t xml:space="preserve"> </w:t>
      </w:r>
    </w:p>
    <w:p w:rsidR="00AD6B37" w:rsidRDefault="00D304CB" w:rsidP="00AD6B37">
      <w:r>
        <w:t>Consistent with</w:t>
      </w:r>
      <w:r w:rsidR="00AD6B37" w:rsidRPr="00AD6B37">
        <w:t xml:space="preserve"> our </w:t>
      </w:r>
      <w:r w:rsidR="00AD6B37" w:rsidRPr="00605C66">
        <w:rPr>
          <w:rStyle w:val="AERtextitalic"/>
        </w:rPr>
        <w:t>Expenditure forecast assessment guideline</w:t>
      </w:r>
      <w:r w:rsidR="00AD6B37" w:rsidRPr="00AD6B37">
        <w:t>, we prefer to use a revealed cost approach as the starting point for assessing and determining efficient opex forecasts. The ex-ante incentive regime provides an incentive to improve efficiency because network businesses can retain cost savings made during the regulatory control period. However, we also recognise that we must test whether network businesses have responded to the incentive framework in place. That is, we must determine whether or not the network businesse</w:t>
      </w:r>
      <w:r w:rsidR="006B4CD9">
        <w:t>s</w:t>
      </w:r>
      <w:r>
        <w:t>'</w:t>
      </w:r>
      <w:r w:rsidR="006B4CD9">
        <w:t xml:space="preserve"> revealed costs are efficient.</w:t>
      </w:r>
      <w:r w:rsidR="006B4CD9">
        <w:rPr>
          <w:rStyle w:val="FootnoteReference"/>
        </w:rPr>
        <w:footnoteReference w:id="39"/>
      </w:r>
      <w:r w:rsidR="00AD6B37" w:rsidRPr="00AD6B37">
        <w:t xml:space="preserve"> For this reason, we assessed the efficiency of TasNetworks’ base year expenditures. </w:t>
      </w:r>
      <w:r>
        <w:t>W</w:t>
      </w:r>
      <w:r w:rsidR="00AD6B37" w:rsidRPr="00AD6B37">
        <w:t>e determined it was appropriate for us to rely on its revealed costs.</w:t>
      </w:r>
      <w:r w:rsidR="006B4CD9">
        <w:rPr>
          <w:rStyle w:val="FootnoteReference"/>
        </w:rPr>
        <w:footnoteReference w:id="40"/>
      </w:r>
      <w:r w:rsidR="00AD6B37" w:rsidRPr="00AD6B37">
        <w:t xml:space="preserve"> </w:t>
      </w:r>
    </w:p>
    <w:p w:rsidR="00804C91" w:rsidRDefault="00804C91" w:rsidP="00AD6B37">
      <w:r>
        <w:t>A</w:t>
      </w:r>
      <w:r w:rsidRPr="00804C91">
        <w:t xml:space="preserve">s shown in </w:t>
      </w:r>
      <w:r w:rsidR="00086688">
        <w:fldChar w:fldCharType="begin"/>
      </w:r>
      <w:r w:rsidR="00086688">
        <w:instrText xml:space="preserve"> REF  _Ref477361050 \* Lower \h </w:instrText>
      </w:r>
      <w:r w:rsidR="00086688">
        <w:fldChar w:fldCharType="separate"/>
      </w:r>
      <w:r w:rsidR="008B40D8">
        <w:t xml:space="preserve">figure </w:t>
      </w:r>
      <w:r w:rsidR="008B40D8">
        <w:rPr>
          <w:noProof/>
        </w:rPr>
        <w:t>3</w:t>
      </w:r>
      <w:r w:rsidR="008B40D8">
        <w:t>.</w:t>
      </w:r>
      <w:r w:rsidR="008B40D8">
        <w:rPr>
          <w:noProof/>
        </w:rPr>
        <w:t>5</w:t>
      </w:r>
      <w:r w:rsidR="00086688">
        <w:fldChar w:fldCharType="end"/>
      </w:r>
      <w:r w:rsidR="00086688">
        <w:t xml:space="preserve"> </w:t>
      </w:r>
      <w:r w:rsidRPr="00804C91">
        <w:t>below, TasNetworks</w:t>
      </w:r>
      <w:r w:rsidR="00D304CB">
        <w:t>'</w:t>
      </w:r>
      <w:r w:rsidRPr="00804C91">
        <w:t xml:space="preserve"> actual opex in 2015–16 was </w:t>
      </w:r>
      <w:r w:rsidR="00D304CB">
        <w:t xml:space="preserve">in fact </w:t>
      </w:r>
      <w:r w:rsidRPr="00804C91">
        <w:t>higher than its opex in 2014–15.</w:t>
      </w:r>
      <w:r>
        <w:t xml:space="preserve"> </w:t>
      </w:r>
      <w:r w:rsidR="007478FA">
        <w:t>Mr Headberry’s</w:t>
      </w:r>
      <w:r>
        <w:t xml:space="preserve"> submission relied on an estimate of opex in 2015–16.</w:t>
      </w:r>
      <w:r w:rsidR="00DB4639">
        <w:t xml:space="preserve"> </w:t>
      </w:r>
      <w:r>
        <w:t xml:space="preserve">Nevertheless, </w:t>
      </w:r>
      <w:r w:rsidRPr="00804C91">
        <w:t>the selection of the base year to forecast total opex has little impact on the business' revenue allowance, given its interaction with the EBSS. Any increase or decrease in opex in one year relative to the forecast will trigger an EBSS penalty or reward paid to the business over the next five years, removing the incentive for the business to inflate its opex in the expected base year. Although using a base year with ‘higher opex’ would typically result in an increased opex forecast, this would be offset by a lower EBSS reward (or a greater penalty).</w:t>
      </w:r>
    </w:p>
    <w:p w:rsidR="00AD6B37" w:rsidRPr="00AD6B37" w:rsidRDefault="00AD6B37" w:rsidP="00AD6B37">
      <w:r w:rsidRPr="00AD6B37">
        <w:t xml:space="preserve">Additionally, </w:t>
      </w:r>
      <w:r w:rsidR="007478FA">
        <w:t>Mr Headberry</w:t>
      </w:r>
      <w:r w:rsidRPr="00AD6B37">
        <w:t xml:space="preserve"> is concerned that </w:t>
      </w:r>
      <w:r w:rsidR="00782BDD">
        <w:t>our</w:t>
      </w:r>
      <w:r w:rsidRPr="00AD6B37">
        <w:t xml:space="preserve"> estimate (based on </w:t>
      </w:r>
      <w:r w:rsidR="00782BDD">
        <w:t>our</w:t>
      </w:r>
      <w:r w:rsidR="00782BDD" w:rsidRPr="00AD6B37">
        <w:t xml:space="preserve"> </w:t>
      </w:r>
      <w:r w:rsidRPr="00AD6B37">
        <w:t xml:space="preserve">base–step–trend analysis) has, at least in part, been a significant influence on TasNetworks deciding to increase its opex allowance in its revised proposal, in that </w:t>
      </w:r>
      <w:r w:rsidR="00782BDD">
        <w:t>our</w:t>
      </w:r>
      <w:r w:rsidRPr="00AD6B37">
        <w:t xml:space="preserve"> approach highlighted that TasNetworks’ initial opex forecast was significantly lower than the amount </w:t>
      </w:r>
      <w:r w:rsidR="00782BDD">
        <w:t xml:space="preserve">we </w:t>
      </w:r>
      <w:r w:rsidRPr="00AD6B37">
        <w:t>considered to be acceptable.</w:t>
      </w:r>
      <w:r>
        <w:rPr>
          <w:rStyle w:val="FootnoteReference"/>
        </w:rPr>
        <w:footnoteReference w:id="41"/>
      </w:r>
      <w:r w:rsidRPr="00AD6B37">
        <w:t xml:space="preserve"> </w:t>
      </w:r>
    </w:p>
    <w:p w:rsidR="00AD6B37" w:rsidRPr="00AD6B37" w:rsidRDefault="004130CF" w:rsidP="00AD6B37">
      <w:r>
        <w:t xml:space="preserve">We consider </w:t>
      </w:r>
      <w:r w:rsidRPr="00AD6B37">
        <w:t xml:space="preserve">that when the EBSS and opex forecast are considered together, </w:t>
      </w:r>
      <w:r w:rsidR="005F2823" w:rsidRPr="00AD6B37">
        <w:t xml:space="preserve">in its </w:t>
      </w:r>
      <w:r w:rsidR="005F2823">
        <w:t xml:space="preserve">initial </w:t>
      </w:r>
      <w:r w:rsidR="005F2823" w:rsidRPr="00AD6B37">
        <w:t>regulatory proposal</w:t>
      </w:r>
      <w:r w:rsidR="005F2823">
        <w:t>,</w:t>
      </w:r>
      <w:r w:rsidR="005F2823" w:rsidRPr="00AD6B37">
        <w:t xml:space="preserve"> </w:t>
      </w:r>
      <w:r w:rsidRPr="00AD6B37">
        <w:t xml:space="preserve">TasNetworks may have underestimated the </w:t>
      </w:r>
      <w:r w:rsidR="00922E11">
        <w:t>revenue</w:t>
      </w:r>
      <w:r w:rsidR="00922E11" w:rsidRPr="00AD6B37">
        <w:t xml:space="preserve"> </w:t>
      </w:r>
      <w:r w:rsidRPr="00AD6B37">
        <w:t xml:space="preserve">it requires </w:t>
      </w:r>
      <w:r w:rsidR="00922E11">
        <w:t xml:space="preserve">to cover </w:t>
      </w:r>
      <w:r w:rsidR="001C289E">
        <w:t xml:space="preserve">its </w:t>
      </w:r>
      <w:r w:rsidR="00922E11">
        <w:t>costs</w:t>
      </w:r>
      <w:r w:rsidRPr="00AD6B37">
        <w:t>.</w:t>
      </w:r>
      <w:r>
        <w:rPr>
          <w:rStyle w:val="FootnoteReference"/>
        </w:rPr>
        <w:footnoteReference w:id="42"/>
      </w:r>
      <w:r w:rsidRPr="00AD6B37">
        <w:t xml:space="preserve"> In effect, TasNetworks chose to pass efficiency gains back to its customers earlier than it is required to under the EBSS. </w:t>
      </w:r>
      <w:r>
        <w:t>I</w:t>
      </w:r>
      <w:r w:rsidRPr="00AD6B37">
        <w:t xml:space="preserve">t </w:t>
      </w:r>
      <w:r w:rsidR="002D3096">
        <w:t xml:space="preserve">also </w:t>
      </w:r>
      <w:r>
        <w:t>miscalculated</w:t>
      </w:r>
      <w:r w:rsidRPr="00AD6B37">
        <w:t xml:space="preserve"> the EBSS carry</w:t>
      </w:r>
      <w:r>
        <w:t xml:space="preserve">overs to which it was entitled. </w:t>
      </w:r>
      <w:r w:rsidR="00AD6B37" w:rsidRPr="00AD6B37">
        <w:t xml:space="preserve">We note that </w:t>
      </w:r>
      <w:r w:rsidR="001373BB">
        <w:t>although</w:t>
      </w:r>
      <w:r w:rsidR="00AD6B37" w:rsidRPr="00AD6B37">
        <w:t xml:space="preserve"> TasNetworks’ revised opex forecast is higher than its initial forecast, when the opex forecast and proposed EBSS carryover are considered together</w:t>
      </w:r>
      <w:r w:rsidR="001373BB">
        <w:t>,</w:t>
      </w:r>
      <w:r w:rsidR="00AD6B37" w:rsidRPr="00AD6B37">
        <w:t xml:space="preserve"> TasNetworks’ revised proposal is lower than its initial proposal.</w:t>
      </w:r>
    </w:p>
    <w:p w:rsidR="0040283A" w:rsidRDefault="0040283A" w:rsidP="0040283A">
      <w:r>
        <w:t>In its submission, t</w:t>
      </w:r>
      <w:r w:rsidRPr="00AD6B37">
        <w:t xml:space="preserve">he Tasmanian Small Business Council raised </w:t>
      </w:r>
      <w:r>
        <w:t>the concern</w:t>
      </w:r>
      <w:r w:rsidRPr="00AD6B37">
        <w:t xml:space="preserve"> that </w:t>
      </w:r>
      <w:r w:rsidR="005375DB">
        <w:t>'</w:t>
      </w:r>
      <w:r w:rsidR="005375DB" w:rsidRPr="005375DB">
        <w:t xml:space="preserve">the AER’s broad ranging and somewhat asymmetric use of the </w:t>
      </w:r>
      <w:r w:rsidR="005375DB">
        <w:t xml:space="preserve">OEP </w:t>
      </w:r>
      <w:r w:rsidR="005375DB" w:rsidRPr="005375DB">
        <w:t xml:space="preserve">approach could be </w:t>
      </w:r>
      <w:r w:rsidR="005375DB" w:rsidRPr="005375DB">
        <w:lastRenderedPageBreak/>
        <w:t>limiting the ability of benchmarking to help determine efficient costs</w:t>
      </w:r>
      <w:r w:rsidR="005375DB">
        <w:t>.'</w:t>
      </w:r>
      <w:r w:rsidR="005375DB">
        <w:rPr>
          <w:rStyle w:val="FootnoteReference"/>
        </w:rPr>
        <w:footnoteReference w:id="43"/>
      </w:r>
      <w:r w:rsidR="005375DB">
        <w:t xml:space="preserve"> </w:t>
      </w:r>
      <w:r w:rsidRPr="00AD6B37">
        <w:t>The Council also raised concerns that our static productivity forecast may reflect inefficiencies such that our ‘alternative estimate’ of efficient opex m</w:t>
      </w:r>
      <w:r>
        <w:t>ay be higher than it should be.</w:t>
      </w:r>
      <w:r>
        <w:rPr>
          <w:rStyle w:val="FootnoteReference"/>
        </w:rPr>
        <w:footnoteReference w:id="44"/>
      </w:r>
      <w:r w:rsidRPr="00AD6B37">
        <w:t xml:space="preserve"> </w:t>
      </w:r>
    </w:p>
    <w:p w:rsidR="0040283A" w:rsidRPr="00AD6B37" w:rsidRDefault="002D3096" w:rsidP="0040283A">
      <w:r>
        <w:t>D</w:t>
      </w:r>
      <w:r w:rsidR="0040283A" w:rsidRPr="00AD6B37">
        <w:t>ifferences in the operating environment for different network businesses make it difficult to use benchmarking to determine an efficient base year opex amount. This is a key reason why we prefer to rely on revealed costs unless benchmarking ident</w:t>
      </w:r>
      <w:r w:rsidR="0040283A">
        <w:t xml:space="preserve">ifies a material inefficiency. </w:t>
      </w:r>
      <w:r w:rsidR="0040283A" w:rsidRPr="00AD6B37">
        <w:t>As we stated in our draft decision, we do not expect negative industry productivity trends to continue for the forecast period and we consider zero productivity growth remains the best forecast in the circumstances.</w:t>
      </w:r>
      <w:r w:rsidR="0040283A">
        <w:rPr>
          <w:rStyle w:val="FootnoteReference"/>
        </w:rPr>
        <w:footnoteReference w:id="45"/>
      </w:r>
      <w:r w:rsidR="0040283A" w:rsidRPr="00AD6B37">
        <w:t xml:space="preserve"> </w:t>
      </w:r>
    </w:p>
    <w:p w:rsidR="00AD6B37" w:rsidRPr="00AD6B37" w:rsidRDefault="005014C2" w:rsidP="00AD6B37">
      <w:r>
        <w:fldChar w:fldCharType="begin"/>
      </w:r>
      <w:r>
        <w:instrText xml:space="preserve"> REF _Ref477361050 \h </w:instrText>
      </w:r>
      <w:r>
        <w:fldChar w:fldCharType="separate"/>
      </w:r>
      <w:r w:rsidR="008B40D8">
        <w:t xml:space="preserve">Figure </w:t>
      </w:r>
      <w:r w:rsidR="008B40D8">
        <w:rPr>
          <w:noProof/>
        </w:rPr>
        <w:t>3</w:t>
      </w:r>
      <w:r w:rsidR="008B40D8">
        <w:t>.</w:t>
      </w:r>
      <w:r w:rsidR="008B40D8">
        <w:rPr>
          <w:noProof/>
        </w:rPr>
        <w:t>5</w:t>
      </w:r>
      <w:r>
        <w:fldChar w:fldCharType="end"/>
      </w:r>
      <w:r>
        <w:t xml:space="preserve"> </w:t>
      </w:r>
      <w:r w:rsidR="00AD6B37" w:rsidRPr="00AD6B37">
        <w:t>compares TasNetworks' forecast opex with its historical opex, historical allowance and our alternative opex forecast.</w:t>
      </w:r>
    </w:p>
    <w:p w:rsidR="00CC6473" w:rsidRDefault="005014C2" w:rsidP="005014C2">
      <w:pPr>
        <w:pStyle w:val="Caption"/>
      </w:pPr>
      <w:bookmarkStart w:id="137" w:name="_Ref477361050"/>
      <w:r>
        <w:t xml:space="preserve">Figure </w:t>
      </w:r>
      <w:r w:rsidR="00D96B78">
        <w:fldChar w:fldCharType="begin"/>
      </w:r>
      <w:r w:rsidR="00D96B78">
        <w:instrText xml:space="preserve"> STYLEREF 1 \s </w:instrText>
      </w:r>
      <w:r w:rsidR="00D96B78">
        <w:fldChar w:fldCharType="separate"/>
      </w:r>
      <w:r w:rsidR="008B40D8">
        <w:rPr>
          <w:noProof/>
        </w:rPr>
        <w:t>3</w:t>
      </w:r>
      <w:r w:rsidR="00D96B78">
        <w:rPr>
          <w:noProof/>
        </w:rPr>
        <w:fldChar w:fldCharType="end"/>
      </w:r>
      <w:r w:rsidR="00DA4620">
        <w:t>.</w:t>
      </w:r>
      <w:r w:rsidR="00D96B78">
        <w:fldChar w:fldCharType="begin"/>
      </w:r>
      <w:r w:rsidR="00D96B78">
        <w:instrText xml:space="preserve"> SEQ Figure \* ARABIC \s 1 </w:instrText>
      </w:r>
      <w:r w:rsidR="00D96B78">
        <w:fldChar w:fldCharType="separate"/>
      </w:r>
      <w:r w:rsidR="008B40D8">
        <w:rPr>
          <w:noProof/>
        </w:rPr>
        <w:t>5</w:t>
      </w:r>
      <w:r w:rsidR="00D96B78">
        <w:rPr>
          <w:noProof/>
        </w:rPr>
        <w:fldChar w:fldCharType="end"/>
      </w:r>
      <w:bookmarkEnd w:id="137"/>
      <w:r w:rsidR="00AD6B37" w:rsidRPr="00AD6B37">
        <w:tab/>
        <w:t>TasNetworks’ actual and forecast opex ($ million, 2016–17)</w:t>
      </w:r>
    </w:p>
    <w:p w:rsidR="00AD6B37" w:rsidRDefault="00380EE0" w:rsidP="00AD6B37">
      <w:r w:rsidRPr="00380EE0">
        <w:rPr>
          <w:noProof/>
          <w:lang w:eastAsia="en-AU"/>
        </w:rPr>
        <w:drawing>
          <wp:inline distT="0" distB="0" distL="0" distR="0" wp14:anchorId="357EE0CC" wp14:editId="5F82D53D">
            <wp:extent cx="5382895" cy="3579322"/>
            <wp:effectExtent l="0" t="0" r="825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3579322"/>
                    </a:xfrm>
                    <a:prstGeom prst="rect">
                      <a:avLst/>
                    </a:prstGeom>
                    <a:noFill/>
                    <a:ln>
                      <a:noFill/>
                    </a:ln>
                  </pic:spPr>
                </pic:pic>
              </a:graphicData>
            </a:graphic>
          </wp:inline>
        </w:drawing>
      </w:r>
    </w:p>
    <w:p w:rsidR="00AD6B37" w:rsidRPr="00AD6B37" w:rsidRDefault="00AD6B37" w:rsidP="00AD6B37">
      <w:pPr>
        <w:pStyle w:val="AERtablesource"/>
      </w:pPr>
      <w:r w:rsidRPr="00AD6B37">
        <w:t>Source:</w:t>
      </w:r>
      <w:r w:rsidRPr="00AD6B37">
        <w:tab/>
        <w:t>Aurora 2012</w:t>
      </w:r>
      <w:r w:rsidR="00484536">
        <w:t>–</w:t>
      </w:r>
      <w:r w:rsidRPr="00AD6B37">
        <w:t>17 - PTRM - Final decision; TasNetworks, Initial revenue proposal, PTRM, TasNetworks, Revised revenue proposal PTRM; TasNetworks (D) RIN responses - Economic Benchmarking -3.2 Operating expenditure and provisions, 2007</w:t>
      </w:r>
      <w:r w:rsidR="00484536">
        <w:t>–</w:t>
      </w:r>
      <w:r w:rsidRPr="00AD6B37">
        <w:t>08 to 2015</w:t>
      </w:r>
      <w:r w:rsidR="00484536">
        <w:t>–</w:t>
      </w:r>
      <w:r w:rsidRPr="00AD6B37">
        <w:t>16.</w:t>
      </w:r>
    </w:p>
    <w:p w:rsidR="00AD6B37" w:rsidRDefault="00AD6B37" w:rsidP="00AD6B37">
      <w:pPr>
        <w:pStyle w:val="AERtablesource"/>
      </w:pPr>
      <w:r w:rsidRPr="00AD6B37">
        <w:t xml:space="preserve">Note: </w:t>
      </w:r>
      <w:r>
        <w:tab/>
      </w:r>
      <w:r w:rsidR="00484536">
        <w:t>E</w:t>
      </w:r>
      <w:r w:rsidRPr="00AD6B37">
        <w:t>xcludes movement in provisions.</w:t>
      </w:r>
    </w:p>
    <w:p w:rsidR="00AD6B37" w:rsidRDefault="00AD6B37" w:rsidP="00AD6B37">
      <w:r w:rsidRPr="00AD6B37">
        <w:lastRenderedPageBreak/>
        <w:t xml:space="preserve">Our opex model provides </w:t>
      </w:r>
      <w:r w:rsidR="00D304CB">
        <w:t xml:space="preserve">the calculations for </w:t>
      </w:r>
      <w:r w:rsidRPr="00AD6B37">
        <w:t>our alternative estimate of efficient opex for TasNetworks, and is available on our website. Our assessment approach and the full reasons for our decision are set out in att</w:t>
      </w:r>
      <w:r w:rsidR="00461E83">
        <w:t xml:space="preserve">achment 7 of our draft decision, which </w:t>
      </w:r>
      <w:r w:rsidRPr="00AD6B37">
        <w:t xml:space="preserve">is </w:t>
      </w:r>
      <w:r w:rsidR="00461E83">
        <w:t xml:space="preserve">also </w:t>
      </w:r>
      <w:r w:rsidRPr="00AD6B37">
        <w:t>available on our website.</w:t>
      </w:r>
      <w:r>
        <w:rPr>
          <w:rStyle w:val="FootnoteReference"/>
        </w:rPr>
        <w:footnoteReference w:id="46"/>
      </w:r>
    </w:p>
    <w:p w:rsidR="00CC6473" w:rsidRPr="00923E34" w:rsidRDefault="00CC6473" w:rsidP="00CC6473">
      <w:pPr>
        <w:pStyle w:val="Heading2"/>
      </w:pPr>
      <w:bookmarkStart w:id="138" w:name="_Ref478558300"/>
      <w:bookmarkStart w:id="139" w:name="_Toc481051874"/>
      <w:r>
        <w:t>Corporate income tax</w:t>
      </w:r>
      <w:bookmarkEnd w:id="133"/>
      <w:bookmarkEnd w:id="134"/>
      <w:bookmarkEnd w:id="135"/>
      <w:bookmarkEnd w:id="138"/>
      <w:bookmarkEnd w:id="139"/>
    </w:p>
    <w:p w:rsidR="00FD3D76" w:rsidRDefault="00FD3D76" w:rsidP="00FD3D76">
      <w:r>
        <w:t>We make a decision on the estimated cost of corporate income tax for TasNetworks' 2017–19 regulatory control period</w:t>
      </w:r>
      <w:r w:rsidR="00800742">
        <w:t xml:space="preserve"> as part of our distribution determination</w:t>
      </w:r>
      <w:r>
        <w:t>.</w:t>
      </w:r>
      <w:r>
        <w:rPr>
          <w:rStyle w:val="FootnoteReference"/>
        </w:rPr>
        <w:footnoteReference w:id="47"/>
      </w:r>
      <w:r>
        <w:t xml:space="preserve"> </w:t>
      </w:r>
      <w:r w:rsidR="00C0656C">
        <w:t xml:space="preserve">This </w:t>
      </w:r>
      <w:r>
        <w:t xml:space="preserve">enables TasNetworks to recover the costs associated with the estimated corporate income tax payable during the regulatory control period. </w:t>
      </w:r>
    </w:p>
    <w:p w:rsidR="00DF4608" w:rsidRPr="00DD489F" w:rsidRDefault="00800742" w:rsidP="003B2A58">
      <w:pPr>
        <w:rPr>
          <w:rStyle w:val="AERbody"/>
        </w:rPr>
      </w:pPr>
      <w:r>
        <w:t>O</w:t>
      </w:r>
      <w:r w:rsidR="00DF4608">
        <w:t xml:space="preserve">ur </w:t>
      </w:r>
      <w:r w:rsidR="00DF4608" w:rsidRPr="00DD489F">
        <w:rPr>
          <w:rStyle w:val="AERbody"/>
        </w:rPr>
        <w:t>final decision on the estimated cost of corporate income tax is $</w:t>
      </w:r>
      <w:r w:rsidR="00DD6541" w:rsidRPr="00DD489F">
        <w:rPr>
          <w:rStyle w:val="AERbody"/>
        </w:rPr>
        <w:t>21.</w:t>
      </w:r>
      <w:r w:rsidR="00BE1FD6" w:rsidRPr="00DD489F">
        <w:rPr>
          <w:rStyle w:val="AERbody"/>
        </w:rPr>
        <w:t>0</w:t>
      </w:r>
      <w:r w:rsidR="00DF4608" w:rsidRPr="00DD489F">
        <w:rPr>
          <w:rStyle w:val="AERbody"/>
        </w:rPr>
        <w:t xml:space="preserve"> million </w:t>
      </w:r>
      <w:r w:rsidR="00436FEE" w:rsidRPr="00DD489F">
        <w:rPr>
          <w:rStyle w:val="AERbody"/>
        </w:rPr>
        <w:t>($ </w:t>
      </w:r>
      <w:r w:rsidR="00DF4608" w:rsidRPr="00DD489F">
        <w:rPr>
          <w:rStyle w:val="AERbody"/>
        </w:rPr>
        <w:t>nominal) for</w:t>
      </w:r>
      <w:r w:rsidR="009769E3" w:rsidRPr="00DD489F">
        <w:rPr>
          <w:rStyle w:val="AERbody"/>
        </w:rPr>
        <w:t xml:space="preserve"> </w:t>
      </w:r>
      <w:r w:rsidR="00DF4608" w:rsidRPr="00DD489F">
        <w:rPr>
          <w:rStyle w:val="AERbody"/>
        </w:rPr>
        <w:t xml:space="preserve">TasNetworks over the 2017–19 regulatory control period. This amount </w:t>
      </w:r>
      <w:r w:rsidR="00FD3D76" w:rsidRPr="00DD489F">
        <w:rPr>
          <w:rStyle w:val="AERbody"/>
        </w:rPr>
        <w:t xml:space="preserve">represents </w:t>
      </w:r>
      <w:r w:rsidR="00DD6541" w:rsidRPr="00DD489F">
        <w:rPr>
          <w:rStyle w:val="AERbody"/>
        </w:rPr>
        <w:t>an increase</w:t>
      </w:r>
      <w:r w:rsidR="00FD3D76" w:rsidRPr="00DD489F">
        <w:rPr>
          <w:rStyle w:val="AERbody"/>
        </w:rPr>
        <w:t xml:space="preserve"> of $</w:t>
      </w:r>
      <w:r w:rsidR="00DD6541" w:rsidRPr="00DD489F">
        <w:rPr>
          <w:rStyle w:val="AERbody"/>
        </w:rPr>
        <w:t>2.</w:t>
      </w:r>
      <w:r w:rsidR="00BE1FD6" w:rsidRPr="00DD489F">
        <w:rPr>
          <w:rStyle w:val="AERbody"/>
        </w:rPr>
        <w:t>5</w:t>
      </w:r>
      <w:r w:rsidR="00FD3D76" w:rsidRPr="00DD489F">
        <w:rPr>
          <w:rStyle w:val="AERbody"/>
        </w:rPr>
        <w:t xml:space="preserve"> million (or </w:t>
      </w:r>
      <w:r w:rsidR="00BE1FD6" w:rsidRPr="00DD489F">
        <w:rPr>
          <w:rStyle w:val="AERbody"/>
        </w:rPr>
        <w:t>13.3</w:t>
      </w:r>
      <w:r w:rsidR="00FD3D76" w:rsidRPr="00DD489F">
        <w:rPr>
          <w:rStyle w:val="AERbody"/>
        </w:rPr>
        <w:t xml:space="preserve"> per cent) from </w:t>
      </w:r>
      <w:r w:rsidR="00DF4608" w:rsidRPr="00DD489F">
        <w:rPr>
          <w:rStyle w:val="AERbody"/>
        </w:rPr>
        <w:t>the $</w:t>
      </w:r>
      <w:r w:rsidR="003B2A58" w:rsidRPr="00DD489F">
        <w:rPr>
          <w:rStyle w:val="AERbody"/>
        </w:rPr>
        <w:t>18.6</w:t>
      </w:r>
      <w:r w:rsidR="00DF4608" w:rsidRPr="00DD489F">
        <w:rPr>
          <w:rStyle w:val="AERbody"/>
        </w:rPr>
        <w:t xml:space="preserve"> million </w:t>
      </w:r>
      <w:r w:rsidR="0042717D" w:rsidRPr="00DD489F">
        <w:rPr>
          <w:rStyle w:val="AERbody"/>
        </w:rPr>
        <w:t>($ </w:t>
      </w:r>
      <w:r w:rsidR="00DF4608" w:rsidRPr="00DD489F">
        <w:rPr>
          <w:rStyle w:val="AERbody"/>
        </w:rPr>
        <w:t xml:space="preserve">nominal) in </w:t>
      </w:r>
      <w:r w:rsidR="00FD3D76" w:rsidRPr="00DD489F">
        <w:rPr>
          <w:rStyle w:val="AERbody"/>
        </w:rPr>
        <w:t xml:space="preserve">TasNetworks' </w:t>
      </w:r>
      <w:r w:rsidR="00DF4608" w:rsidRPr="00DD489F">
        <w:rPr>
          <w:rStyle w:val="AERbody"/>
        </w:rPr>
        <w:t xml:space="preserve">revised </w:t>
      </w:r>
      <w:r w:rsidR="00FD3D76" w:rsidRPr="00DD489F">
        <w:rPr>
          <w:rStyle w:val="AERbody"/>
        </w:rPr>
        <w:t>proposal.</w:t>
      </w:r>
      <w:r w:rsidR="00DF4608" w:rsidRPr="00DD489F">
        <w:rPr>
          <w:rStyle w:val="AERbody"/>
        </w:rPr>
        <w:t xml:space="preserve"> Our final decision represents a</w:t>
      </w:r>
      <w:r w:rsidR="00DD6541" w:rsidRPr="00DD489F">
        <w:rPr>
          <w:rStyle w:val="AERbody"/>
        </w:rPr>
        <w:t>n</w:t>
      </w:r>
      <w:r w:rsidR="00DF4608" w:rsidRPr="00DD489F">
        <w:rPr>
          <w:rStyle w:val="AERbody"/>
        </w:rPr>
        <w:t xml:space="preserve"> </w:t>
      </w:r>
      <w:r w:rsidR="00DD6541" w:rsidRPr="00DD489F">
        <w:rPr>
          <w:rStyle w:val="AERbody"/>
        </w:rPr>
        <w:t>increas</w:t>
      </w:r>
      <w:r w:rsidR="00DF4608" w:rsidRPr="00DD489F">
        <w:rPr>
          <w:rStyle w:val="AERbody"/>
        </w:rPr>
        <w:t>e of $</w:t>
      </w:r>
      <w:r w:rsidR="00DD6541" w:rsidRPr="00DD489F">
        <w:rPr>
          <w:rStyle w:val="AERbody"/>
        </w:rPr>
        <w:t>2.</w:t>
      </w:r>
      <w:r w:rsidR="00BE1FD6" w:rsidRPr="00DD489F">
        <w:rPr>
          <w:rStyle w:val="AERbody"/>
        </w:rPr>
        <w:t>3</w:t>
      </w:r>
      <w:r w:rsidR="00DF4608" w:rsidRPr="00DD489F">
        <w:rPr>
          <w:rStyle w:val="AERbody"/>
        </w:rPr>
        <w:t xml:space="preserve"> million (or </w:t>
      </w:r>
      <w:r w:rsidR="00BE1FD6" w:rsidRPr="00DD489F">
        <w:rPr>
          <w:rStyle w:val="AERbody"/>
        </w:rPr>
        <w:t>12.3</w:t>
      </w:r>
      <w:r w:rsidR="00DF4608" w:rsidRPr="00DD489F">
        <w:rPr>
          <w:rStyle w:val="AERbody"/>
        </w:rPr>
        <w:t xml:space="preserve"> per cent) from the estimated cost of corporate income tax </w:t>
      </w:r>
      <w:r w:rsidRPr="00DD489F">
        <w:rPr>
          <w:rStyle w:val="AERbody"/>
        </w:rPr>
        <w:t xml:space="preserve">of $18.7 million ($ nominal) </w:t>
      </w:r>
      <w:r w:rsidR="00DF4608" w:rsidRPr="00DD489F">
        <w:rPr>
          <w:rStyle w:val="AERbody"/>
        </w:rPr>
        <w:t xml:space="preserve">in our draft decision. </w:t>
      </w:r>
    </w:p>
    <w:p w:rsidR="00FD3D76" w:rsidRPr="00DD489F" w:rsidRDefault="0075216C" w:rsidP="00FD3D76">
      <w:pPr>
        <w:rPr>
          <w:rStyle w:val="AERbody"/>
        </w:rPr>
      </w:pPr>
      <w:r w:rsidRPr="00DD489F">
        <w:rPr>
          <w:rStyle w:val="AERbody"/>
        </w:rPr>
        <w:t xml:space="preserve">The </w:t>
      </w:r>
      <w:r w:rsidR="001E61B8" w:rsidRPr="00DD489F">
        <w:rPr>
          <w:rStyle w:val="AERbody"/>
        </w:rPr>
        <w:t xml:space="preserve">increase </w:t>
      </w:r>
      <w:r w:rsidRPr="00DD489F">
        <w:rPr>
          <w:rStyle w:val="AERbody"/>
        </w:rPr>
        <w:t>from the revised proposal</w:t>
      </w:r>
      <w:r w:rsidR="00FD3D76" w:rsidRPr="00DD489F">
        <w:rPr>
          <w:rStyle w:val="AERbody"/>
        </w:rPr>
        <w:t xml:space="preserve"> reflects our </w:t>
      </w:r>
      <w:r w:rsidR="00DF4608" w:rsidRPr="00DD489F">
        <w:rPr>
          <w:rStyle w:val="AERbody"/>
        </w:rPr>
        <w:t>adjustment</w:t>
      </w:r>
      <w:r w:rsidR="00FD3D76" w:rsidRPr="00DD489F">
        <w:rPr>
          <w:rStyle w:val="AERbody"/>
        </w:rPr>
        <w:t xml:space="preserve"> on the</w:t>
      </w:r>
      <w:r w:rsidR="00B1062E" w:rsidRPr="00DD489F">
        <w:rPr>
          <w:rStyle w:val="AERbody"/>
        </w:rPr>
        <w:t xml:space="preserve"> </w:t>
      </w:r>
      <w:r w:rsidR="00FD3D76" w:rsidRPr="00DD489F">
        <w:rPr>
          <w:rStyle w:val="AERbody"/>
        </w:rPr>
        <w:t>return on capital (</w:t>
      </w:r>
      <w:r w:rsidR="008F13F3" w:rsidRPr="00DD489F">
        <w:rPr>
          <w:rStyle w:val="AERbody"/>
        </w:rPr>
        <w:t>sections 3.1</w:t>
      </w:r>
      <w:r w:rsidR="00FD3D76" w:rsidRPr="00DD489F">
        <w:rPr>
          <w:rStyle w:val="AERbody"/>
        </w:rPr>
        <w:t xml:space="preserve"> and 3</w:t>
      </w:r>
      <w:r w:rsidR="008F13F3" w:rsidRPr="00DD489F">
        <w:rPr>
          <w:rStyle w:val="AERbody"/>
        </w:rPr>
        <w:t>.2</w:t>
      </w:r>
      <w:r w:rsidR="00FD3D76" w:rsidRPr="00DD489F">
        <w:rPr>
          <w:rStyle w:val="AERbody"/>
        </w:rPr>
        <w:t xml:space="preserve">) building block </w:t>
      </w:r>
      <w:r w:rsidR="00DF4608" w:rsidRPr="00DD489F">
        <w:rPr>
          <w:rStyle w:val="AERbody"/>
        </w:rPr>
        <w:t xml:space="preserve">which </w:t>
      </w:r>
      <w:r w:rsidR="00FD3D76" w:rsidRPr="00DD489F">
        <w:rPr>
          <w:rStyle w:val="AERbody"/>
        </w:rPr>
        <w:t>affect</w:t>
      </w:r>
      <w:r w:rsidR="007D564A" w:rsidRPr="00DD489F">
        <w:rPr>
          <w:rStyle w:val="AERbody"/>
        </w:rPr>
        <w:t>s</w:t>
      </w:r>
      <w:r w:rsidR="00FD3D76" w:rsidRPr="00DD489F">
        <w:rPr>
          <w:rStyle w:val="AERbody"/>
        </w:rPr>
        <w:t xml:space="preserve"> revenues, </w:t>
      </w:r>
      <w:r w:rsidR="008F13F3" w:rsidRPr="00DD489F">
        <w:rPr>
          <w:rStyle w:val="AERbody"/>
        </w:rPr>
        <w:t>and</w:t>
      </w:r>
      <w:r w:rsidR="00FD3D76" w:rsidRPr="00DD489F">
        <w:rPr>
          <w:rStyle w:val="AERbody"/>
        </w:rPr>
        <w:t xml:space="preserve"> in turn impacts the tax calculation. The changes affecting revenues are discussed in attachment 1. </w:t>
      </w:r>
    </w:p>
    <w:p w:rsidR="00B1062E" w:rsidRDefault="008F13F3" w:rsidP="00FD3D76">
      <w:r w:rsidRPr="00DD489F">
        <w:rPr>
          <w:rStyle w:val="AERbody"/>
        </w:rPr>
        <w:t>For this final decision, w</w:t>
      </w:r>
      <w:r w:rsidR="00B1062E" w:rsidRPr="00DD489F">
        <w:rPr>
          <w:rStyle w:val="AERbody"/>
        </w:rPr>
        <w:t>e acc</w:t>
      </w:r>
      <w:r w:rsidR="00EB6DBF" w:rsidRPr="00DD489F">
        <w:rPr>
          <w:rStyle w:val="AERbody"/>
        </w:rPr>
        <w:t>ept TasNetworks' revised opening</w:t>
      </w:r>
      <w:r w:rsidR="00B1062E" w:rsidRPr="00DD489F">
        <w:rPr>
          <w:rStyle w:val="AERbody"/>
        </w:rPr>
        <w:t xml:space="preserve"> </w:t>
      </w:r>
      <w:r w:rsidRPr="00DD489F">
        <w:rPr>
          <w:rStyle w:val="AERbody"/>
        </w:rPr>
        <w:t>tax asset base (</w:t>
      </w:r>
      <w:r w:rsidR="00B1062E" w:rsidRPr="00DD489F">
        <w:rPr>
          <w:rStyle w:val="AERbody"/>
        </w:rPr>
        <w:t>TAB</w:t>
      </w:r>
      <w:r w:rsidRPr="00DD489F">
        <w:rPr>
          <w:rStyle w:val="AERbody"/>
        </w:rPr>
        <w:t>)</w:t>
      </w:r>
      <w:r w:rsidR="00B1062E" w:rsidRPr="00DD489F">
        <w:rPr>
          <w:rStyle w:val="AERbody"/>
        </w:rPr>
        <w:t xml:space="preserve"> value </w:t>
      </w:r>
      <w:r w:rsidR="00EB6DBF" w:rsidRPr="00DD489F">
        <w:rPr>
          <w:rStyle w:val="AERbody"/>
        </w:rPr>
        <w:t xml:space="preserve">of $1216.3 million ($ nominal) </w:t>
      </w:r>
      <w:r w:rsidR="00B1062E" w:rsidRPr="00DD489F">
        <w:rPr>
          <w:rStyle w:val="AERbody"/>
        </w:rPr>
        <w:t xml:space="preserve">as at </w:t>
      </w:r>
      <w:r w:rsidR="00EB6DBF" w:rsidRPr="00DD489F">
        <w:rPr>
          <w:rStyle w:val="AERbody"/>
        </w:rPr>
        <w:t xml:space="preserve">1 July 2017. </w:t>
      </w:r>
      <w:r w:rsidR="00AF0E73" w:rsidRPr="00DD489F">
        <w:rPr>
          <w:rStyle w:val="AERbody"/>
        </w:rPr>
        <w:t xml:space="preserve">This is $5.6 million (or 0.5 per cent) lower than the value determined in our draft decision. </w:t>
      </w:r>
      <w:r w:rsidR="00EB6DBF" w:rsidRPr="00DD489F">
        <w:rPr>
          <w:rStyle w:val="AERbody"/>
        </w:rPr>
        <w:t>In our draft decision, we accepted TasNetworks' proposed method to establish</w:t>
      </w:r>
      <w:r w:rsidR="00EB6DBF" w:rsidRPr="000D68A8">
        <w:t xml:space="preserve"> the opening TAB as at </w:t>
      </w:r>
      <w:r w:rsidR="00EB6DBF">
        <w:t xml:space="preserve">1 July 2017, </w:t>
      </w:r>
      <w:r w:rsidR="00AF0E73">
        <w:t>but</w:t>
      </w:r>
      <w:r w:rsidR="00EB6DBF">
        <w:t xml:space="preserve"> amended the proposed input relating to the </w:t>
      </w:r>
      <w:r>
        <w:t xml:space="preserve">2011–12 </w:t>
      </w:r>
      <w:r w:rsidR="00EB6DBF">
        <w:t>value of shared assets adjustment</w:t>
      </w:r>
      <w:r w:rsidR="00EB6DBF" w:rsidRPr="000D68A8">
        <w:t>.</w:t>
      </w:r>
      <w:r w:rsidR="00EB6DBF">
        <w:t xml:space="preserve"> TasNetworks' revised proposal has a</w:t>
      </w:r>
      <w:r>
        <w:t>dopted</w:t>
      </w:r>
      <w:r w:rsidR="00EB6DBF">
        <w:t xml:space="preserve"> our draft decision to correct th</w:t>
      </w:r>
      <w:r>
        <w:t>is</w:t>
      </w:r>
      <w:r w:rsidR="00EB6DBF">
        <w:t xml:space="preserve"> input. The </w:t>
      </w:r>
      <w:r w:rsidR="00AF0E73">
        <w:t>lower revised</w:t>
      </w:r>
      <w:r w:rsidR="00EB6DBF">
        <w:t xml:space="preserve"> opening TAB value</w:t>
      </w:r>
      <w:r w:rsidR="00AF0E73">
        <w:t xml:space="preserve"> is due to</w:t>
      </w:r>
      <w:r w:rsidR="00EB6DBF">
        <w:t xml:space="preserve"> </w:t>
      </w:r>
      <w:r w:rsidR="00AF0E73">
        <w:t xml:space="preserve">the updates made to the </w:t>
      </w:r>
      <w:r w:rsidR="00EB6DBF">
        <w:t>2015–16</w:t>
      </w:r>
      <w:r w:rsidR="00AF0E73">
        <w:t xml:space="preserve"> estimated capex values to reflect actuals</w:t>
      </w:r>
      <w:r>
        <w:t>—discussed in section 3.1</w:t>
      </w:r>
      <w:r w:rsidR="00AF0E73">
        <w:t>.</w:t>
      </w:r>
    </w:p>
    <w:p w:rsidR="004C30D5" w:rsidRDefault="00EB6DBF" w:rsidP="004C30D5">
      <w:r>
        <w:t xml:space="preserve">We </w:t>
      </w:r>
      <w:r w:rsidR="00725F66">
        <w:t xml:space="preserve">also </w:t>
      </w:r>
      <w:r>
        <w:t>accept TasNetworks</w:t>
      </w:r>
      <w:r w:rsidR="00AF0E73">
        <w:t>'</w:t>
      </w:r>
      <w:r>
        <w:t xml:space="preserve"> revise</w:t>
      </w:r>
      <w:r w:rsidR="00AF0E73">
        <w:t xml:space="preserve">d </w:t>
      </w:r>
      <w:r w:rsidR="008F13F3">
        <w:t xml:space="preserve">proposed </w:t>
      </w:r>
      <w:r w:rsidR="00AF0E73">
        <w:t>standard tax asset lives</w:t>
      </w:r>
      <w:r w:rsidR="004C30D5">
        <w:t>. In our draft decision, we accepted TasNetworks</w:t>
      </w:r>
      <w:r w:rsidR="004C30D5" w:rsidRPr="00D62C7B">
        <w:t>'</w:t>
      </w:r>
      <w:r w:rsidR="004C30D5">
        <w:t xml:space="preserve"> </w:t>
      </w:r>
      <w:r w:rsidR="004C30D5" w:rsidRPr="007211B2">
        <w:t>proposed standard tax asset lives</w:t>
      </w:r>
      <w:r w:rsidR="004C30D5">
        <w:t xml:space="preserve"> for its existing asset classes. </w:t>
      </w:r>
      <w:r w:rsidR="008F13F3">
        <w:t>However, w</w:t>
      </w:r>
      <w:r w:rsidR="004C30D5">
        <w:t>e did not accept TasNetworks' proposed standard tax asset life of 10 years for the new 'Business management systems' asset class. W</w:t>
      </w:r>
      <w:r w:rsidR="004C30D5" w:rsidRPr="008276E7">
        <w:t xml:space="preserve">e </w:t>
      </w:r>
      <w:r w:rsidR="008F13F3">
        <w:t xml:space="preserve">instead </w:t>
      </w:r>
      <w:r w:rsidR="004C30D5">
        <w:t xml:space="preserve">determined a </w:t>
      </w:r>
      <w:r w:rsidR="004C30D5" w:rsidRPr="008276E7">
        <w:t xml:space="preserve">standard tax asset life </w:t>
      </w:r>
      <w:r w:rsidR="004C30D5">
        <w:t xml:space="preserve">of 5 years </w:t>
      </w:r>
      <w:r w:rsidR="004C30D5" w:rsidRPr="008276E7">
        <w:t xml:space="preserve">for </w:t>
      </w:r>
      <w:r w:rsidR="004C30D5">
        <w:t>the 'Business management systems' asset class</w:t>
      </w:r>
      <w:r w:rsidR="004C30D5" w:rsidRPr="008276E7">
        <w:t xml:space="preserve"> </w:t>
      </w:r>
      <w:r w:rsidR="004C30D5">
        <w:t xml:space="preserve">to be </w:t>
      </w:r>
      <w:r w:rsidR="004C30D5" w:rsidRPr="008276E7">
        <w:t xml:space="preserve">consistent with </w:t>
      </w:r>
      <w:r w:rsidR="008F13F3">
        <w:t xml:space="preserve">the </w:t>
      </w:r>
      <w:r w:rsidR="004C30D5" w:rsidRPr="008276E7">
        <w:t>ATO's guide</w:t>
      </w:r>
      <w:r w:rsidR="004C30D5">
        <w:t xml:space="preserve"> on depreciating these types of assets for tax purposes</w:t>
      </w:r>
      <w:r w:rsidR="004C30D5" w:rsidRPr="008276E7">
        <w:t>.</w:t>
      </w:r>
      <w:r w:rsidR="004C30D5">
        <w:t xml:space="preserve"> </w:t>
      </w:r>
      <w:r w:rsidR="00725F66">
        <w:t>TasNetworks</w:t>
      </w:r>
      <w:r w:rsidR="008F13F3">
        <w:t>'</w:t>
      </w:r>
      <w:r w:rsidR="00725F66">
        <w:t xml:space="preserve"> revised proposal has adopted this aspect of our draft decision.</w:t>
      </w:r>
    </w:p>
    <w:p w:rsidR="00EB6DBF" w:rsidRDefault="00725F66" w:rsidP="00FD3D76">
      <w:pPr>
        <w:pStyle w:val="ListParagraph"/>
        <w:numPr>
          <w:ilvl w:val="0"/>
          <w:numId w:val="24"/>
        </w:numPr>
      </w:pPr>
      <w:r w:rsidRPr="00D91B01">
        <w:t xml:space="preserve">Our final decision implements the </w:t>
      </w:r>
      <w:r w:rsidR="00351A6E">
        <w:t>'</w:t>
      </w:r>
      <w:r w:rsidRPr="00D91B01">
        <w:t>year-by-year tracking</w:t>
      </w:r>
      <w:r w:rsidR="00351A6E">
        <w:t>'</w:t>
      </w:r>
      <w:r w:rsidRPr="00D91B01">
        <w:t xml:space="preserve"> approach</w:t>
      </w:r>
      <w:r>
        <w:t xml:space="preserve"> for calculating tax depreciation</w:t>
      </w:r>
      <w:r w:rsidR="008F13F3">
        <w:t xml:space="preserve"> under the straight-line method</w:t>
      </w:r>
      <w:r w:rsidRPr="00D91B01">
        <w:t xml:space="preserve">, which is the same approach used in </w:t>
      </w:r>
      <w:r>
        <w:lastRenderedPageBreak/>
        <w:t xml:space="preserve">TasNetworks' revised proposal and </w:t>
      </w:r>
      <w:r w:rsidRPr="00D91B01">
        <w:t xml:space="preserve">our </w:t>
      </w:r>
      <w:r>
        <w:t>draft</w:t>
      </w:r>
      <w:r w:rsidRPr="00D91B01">
        <w:t xml:space="preserve"> decision. </w:t>
      </w:r>
      <w:r>
        <w:t>In the draft decision, w</w:t>
      </w:r>
      <w:r w:rsidRPr="0093194B">
        <w:t xml:space="preserve">e </w:t>
      </w:r>
      <w:r>
        <w:t>accepted TasNetworks' proposal to use the year-by-year tracking method for tax depreciation purposes. However, we did not accept</w:t>
      </w:r>
      <w:r w:rsidRPr="0093194B">
        <w:t xml:space="preserve"> </w:t>
      </w:r>
      <w:r>
        <w:t>TasNetworks'</w:t>
      </w:r>
      <w:r w:rsidRPr="0093194B">
        <w:t xml:space="preserve"> </w:t>
      </w:r>
      <w:r>
        <w:t>implementation of the approach in its proposed RFM</w:t>
      </w:r>
      <w:r w:rsidRPr="0077702E">
        <w:t xml:space="preserve">. </w:t>
      </w:r>
      <w:r>
        <w:t xml:space="preserve">We established a separate depreciation model for TasNetworks to correctly implement the year-by-year tracking method. In its revised proposal, TasNetworks has adopted the depreciation model we established in the draft decision. We are satisfied </w:t>
      </w:r>
      <w:r w:rsidRPr="001767BE">
        <w:t xml:space="preserve">the </w:t>
      </w:r>
      <w:r>
        <w:t xml:space="preserve">application of the year-by-year tracking method to calculate TasNetworks' tax depreciation of existing assets </w:t>
      </w:r>
      <w:r w:rsidRPr="001767BE">
        <w:t>provide</w:t>
      </w:r>
      <w:r>
        <w:t>s</w:t>
      </w:r>
      <w:r w:rsidRPr="001767BE">
        <w:t xml:space="preserve"> a</w:t>
      </w:r>
      <w:r>
        <w:t>n</w:t>
      </w:r>
      <w:r w:rsidRPr="001767BE">
        <w:t xml:space="preserve"> estimate of the tax depreciation amount for a benchmark efficient service provider as required by the NER.</w:t>
      </w:r>
      <w:r w:rsidRPr="001767BE">
        <w:rPr>
          <w:rStyle w:val="FootnoteReference"/>
        </w:rPr>
        <w:footnoteReference w:id="48"/>
      </w:r>
      <w:r>
        <w:t xml:space="preserve"> The use of year-by-year tracking </w:t>
      </w:r>
      <w:r w:rsidRPr="00F93895">
        <w:t xml:space="preserve">means it is no longer necessary to explicitly calculate remaining </w:t>
      </w:r>
      <w:r>
        <w:t xml:space="preserve">tax asset </w:t>
      </w:r>
      <w:r w:rsidRPr="00F93895">
        <w:t>lives as at 1 J</w:t>
      </w:r>
      <w:r>
        <w:t>uly 2017.</w:t>
      </w:r>
      <w:r>
        <w:rPr>
          <w:rStyle w:val="FootnoteReference"/>
        </w:rPr>
        <w:footnoteReference w:id="49"/>
      </w:r>
    </w:p>
    <w:p w:rsidR="00800742" w:rsidRPr="001704D0" w:rsidRDefault="00800742" w:rsidP="00FD3D76">
      <w:pPr>
        <w:pStyle w:val="ListParagraph"/>
        <w:numPr>
          <w:ilvl w:val="0"/>
          <w:numId w:val="24"/>
        </w:numPr>
      </w:pPr>
      <w:r w:rsidRPr="003B2A58">
        <w:fldChar w:fldCharType="begin"/>
      </w:r>
      <w:r w:rsidRPr="003B2A58">
        <w:instrText xml:space="preserve"> REF _Ref453666090 \h </w:instrText>
      </w:r>
      <w:r>
        <w:instrText xml:space="preserve"> \* MERGEFORMAT </w:instrText>
      </w:r>
      <w:r w:rsidRPr="003B2A58">
        <w:fldChar w:fldCharType="separate"/>
      </w:r>
      <w:r w:rsidR="008B40D8" w:rsidRPr="008B40D8">
        <w:t>Table 3.9</w:t>
      </w:r>
      <w:r w:rsidRPr="003B2A58">
        <w:fldChar w:fldCharType="end"/>
      </w:r>
      <w:r>
        <w:t xml:space="preserve"> shows our final decision on the estimated cost of corporate income tax allowance for TasNetworks over the 2017–19 regulatory control </w:t>
      </w:r>
      <w:proofErr w:type="gramStart"/>
      <w:r>
        <w:t>period</w:t>
      </w:r>
      <w:proofErr w:type="gramEnd"/>
      <w:r>
        <w:t>.</w:t>
      </w:r>
    </w:p>
    <w:p w:rsidR="00FD3D76" w:rsidRDefault="00FD3D76" w:rsidP="00BD32B7">
      <w:pPr>
        <w:pStyle w:val="Caption"/>
      </w:pPr>
      <w:bookmarkStart w:id="140" w:name="_Ref453666090"/>
      <w:r w:rsidRPr="00BD32B7">
        <w:rPr>
          <w:rStyle w:val="AERtexthighlight"/>
          <w:shd w:val="clear" w:color="auto" w:fill="auto"/>
        </w:rPr>
        <w:t xml:space="preserve">Table </w:t>
      </w:r>
      <w:r w:rsidR="00465A73">
        <w:rPr>
          <w:rStyle w:val="AERtexthighlight"/>
          <w:shd w:val="clear" w:color="auto" w:fill="auto"/>
        </w:rPr>
        <w:fldChar w:fldCharType="begin"/>
      </w:r>
      <w:r w:rsidR="00465A73">
        <w:rPr>
          <w:rStyle w:val="AERtexthighlight"/>
          <w:shd w:val="clear" w:color="auto" w:fill="auto"/>
        </w:rPr>
        <w:instrText xml:space="preserve"> STYLEREF 1 \s </w:instrText>
      </w:r>
      <w:r w:rsidR="00465A73">
        <w:rPr>
          <w:rStyle w:val="AERtexthighlight"/>
          <w:shd w:val="clear" w:color="auto" w:fill="auto"/>
        </w:rPr>
        <w:fldChar w:fldCharType="separate"/>
      </w:r>
      <w:r w:rsidR="008B40D8">
        <w:rPr>
          <w:rStyle w:val="AERtexthighlight"/>
          <w:noProof/>
          <w:shd w:val="clear" w:color="auto" w:fill="auto"/>
        </w:rPr>
        <w:t>3</w:t>
      </w:r>
      <w:r w:rsidR="00465A73">
        <w:rPr>
          <w:rStyle w:val="AERtexthighlight"/>
          <w:shd w:val="clear" w:color="auto" w:fill="auto"/>
        </w:rPr>
        <w:fldChar w:fldCharType="end"/>
      </w:r>
      <w:r w:rsidR="00465A73">
        <w:rPr>
          <w:rStyle w:val="AERtexthighlight"/>
          <w:shd w:val="clear" w:color="auto" w:fill="auto"/>
        </w:rPr>
        <w:t>.</w:t>
      </w:r>
      <w:r w:rsidR="00465A73">
        <w:rPr>
          <w:rStyle w:val="AERtexthighlight"/>
          <w:shd w:val="clear" w:color="auto" w:fill="auto"/>
        </w:rPr>
        <w:fldChar w:fldCharType="begin"/>
      </w:r>
      <w:r w:rsidR="00465A73">
        <w:rPr>
          <w:rStyle w:val="AERtexthighlight"/>
          <w:shd w:val="clear" w:color="auto" w:fill="auto"/>
        </w:rPr>
        <w:instrText xml:space="preserve"> SEQ Table \* ARABIC \s 1 </w:instrText>
      </w:r>
      <w:r w:rsidR="00465A73">
        <w:rPr>
          <w:rStyle w:val="AERtexthighlight"/>
          <w:shd w:val="clear" w:color="auto" w:fill="auto"/>
        </w:rPr>
        <w:fldChar w:fldCharType="separate"/>
      </w:r>
      <w:r w:rsidR="008B40D8">
        <w:rPr>
          <w:rStyle w:val="AERtexthighlight"/>
          <w:noProof/>
          <w:shd w:val="clear" w:color="auto" w:fill="auto"/>
        </w:rPr>
        <w:t>9</w:t>
      </w:r>
      <w:r w:rsidR="00465A73">
        <w:rPr>
          <w:rStyle w:val="AERtexthighlight"/>
          <w:shd w:val="clear" w:color="auto" w:fill="auto"/>
        </w:rPr>
        <w:fldChar w:fldCharType="end"/>
      </w:r>
      <w:bookmarkEnd w:id="140"/>
      <w:r w:rsidRPr="00144AE9">
        <w:tab/>
        <w:t xml:space="preserve">AER's </w:t>
      </w:r>
      <w:r w:rsidR="00DF4608">
        <w:t>final</w:t>
      </w:r>
      <w:r w:rsidRPr="00144AE9">
        <w:t xml:space="preserve"> decision on TasNetworks' cost of corporate</w:t>
      </w:r>
      <w:r>
        <w:t xml:space="preserve"> income tax allowance over the 2017–19 regulatory control period ($million, nominal)</w:t>
      </w:r>
    </w:p>
    <w:tbl>
      <w:tblPr>
        <w:tblStyle w:val="AERtable-numbers"/>
        <w:tblW w:w="5000" w:type="pct"/>
        <w:tblLook w:val="04A0" w:firstRow="1" w:lastRow="0" w:firstColumn="1" w:lastColumn="0" w:noHBand="0" w:noVBand="1"/>
      </w:tblPr>
      <w:tblGrid>
        <w:gridCol w:w="4532"/>
        <w:gridCol w:w="1387"/>
        <w:gridCol w:w="1387"/>
        <w:gridCol w:w="1387"/>
      </w:tblGrid>
      <w:tr w:rsidR="00FD3D76" w:rsidRPr="00667AB1" w:rsidTr="008B40D8">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606" w:type="pct"/>
            <w:noWrap/>
            <w:hideMark/>
          </w:tcPr>
          <w:p w:rsidR="00FD3D76" w:rsidRPr="00FD3D76" w:rsidRDefault="00FD3D76" w:rsidP="00FD3D76">
            <w:r w:rsidRPr="00521143">
              <w:t> </w:t>
            </w:r>
          </w:p>
        </w:tc>
        <w:tc>
          <w:tcPr>
            <w:tcW w:w="798" w:type="pct"/>
            <w:noWrap/>
          </w:tcPr>
          <w:p w:rsidR="00FD3D76" w:rsidRPr="00FD3D76" w:rsidRDefault="00FD3D76" w:rsidP="00FD3D76">
            <w:pPr>
              <w:cnfStyle w:val="100000000000" w:firstRow="1" w:lastRow="0" w:firstColumn="0" w:lastColumn="0" w:oddVBand="0" w:evenVBand="0" w:oddHBand="0" w:evenHBand="0" w:firstRowFirstColumn="0" w:firstRowLastColumn="0" w:lastRowFirstColumn="0" w:lastRowLastColumn="0"/>
            </w:pPr>
            <w:r>
              <w:t>201</w:t>
            </w:r>
            <w:r w:rsidRPr="00FD3D76">
              <w:t>7–18</w:t>
            </w:r>
          </w:p>
        </w:tc>
        <w:tc>
          <w:tcPr>
            <w:tcW w:w="798" w:type="pct"/>
            <w:noWrap/>
          </w:tcPr>
          <w:p w:rsidR="00FD3D76" w:rsidRPr="00FD3D76" w:rsidRDefault="00FD3D76" w:rsidP="00FD3D76">
            <w:pPr>
              <w:cnfStyle w:val="100000000000" w:firstRow="1" w:lastRow="0" w:firstColumn="0" w:lastColumn="0" w:oddVBand="0" w:evenVBand="0" w:oddHBand="0" w:evenHBand="0" w:firstRowFirstColumn="0" w:firstRowLastColumn="0" w:lastRowFirstColumn="0" w:lastRowLastColumn="0"/>
            </w:pPr>
            <w:r w:rsidRPr="00521143">
              <w:t>201</w:t>
            </w:r>
            <w:r w:rsidRPr="00FD3D76">
              <w:t>8–19</w:t>
            </w:r>
          </w:p>
        </w:tc>
        <w:tc>
          <w:tcPr>
            <w:tcW w:w="798" w:type="pct"/>
            <w:noWrap/>
          </w:tcPr>
          <w:p w:rsidR="00FD3D76" w:rsidRPr="00FD3D76" w:rsidRDefault="00FD3D76" w:rsidP="00FD3D76">
            <w:pPr>
              <w:cnfStyle w:val="100000000000" w:firstRow="1" w:lastRow="0" w:firstColumn="0" w:lastColumn="0" w:oddVBand="0" w:evenVBand="0" w:oddHBand="0" w:evenHBand="0" w:firstRowFirstColumn="0" w:firstRowLastColumn="0" w:lastRowFirstColumn="0" w:lastRowLastColumn="0"/>
            </w:pPr>
            <w:r w:rsidRPr="00521143">
              <w:t>Total</w:t>
            </w:r>
          </w:p>
        </w:tc>
      </w:tr>
      <w:tr w:rsidR="00C67028" w:rsidRPr="00667AB1" w:rsidTr="008B40D8">
        <w:trPr>
          <w:trHeight w:val="321"/>
        </w:trPr>
        <w:tc>
          <w:tcPr>
            <w:cnfStyle w:val="001000000000" w:firstRow="0" w:lastRow="0" w:firstColumn="1" w:lastColumn="0" w:oddVBand="0" w:evenVBand="0" w:oddHBand="0" w:evenHBand="0" w:firstRowFirstColumn="0" w:firstRowLastColumn="0" w:lastRowFirstColumn="0" w:lastRowLastColumn="0"/>
            <w:tcW w:w="2606" w:type="pct"/>
            <w:noWrap/>
            <w:hideMark/>
          </w:tcPr>
          <w:p w:rsidR="00C67028" w:rsidRPr="00C67028" w:rsidRDefault="00C67028" w:rsidP="00C67028">
            <w:r w:rsidRPr="00C67028">
              <w:t>Tax payable</w:t>
            </w:r>
          </w:p>
        </w:tc>
        <w:tc>
          <w:tcPr>
            <w:tcW w:w="798" w:type="pct"/>
            <w:noWrap/>
            <w:vAlign w:val="top"/>
          </w:tcPr>
          <w:p w:rsidR="00C67028" w:rsidRPr="00C67028" w:rsidRDefault="00C67028" w:rsidP="0022005C">
            <w:pPr>
              <w:cnfStyle w:val="000000000000" w:firstRow="0" w:lastRow="0" w:firstColumn="0" w:lastColumn="0" w:oddVBand="0" w:evenVBand="0" w:oddHBand="0" w:evenHBand="0" w:firstRowFirstColumn="0" w:firstRowLastColumn="0" w:lastRowFirstColumn="0" w:lastRowLastColumn="0"/>
            </w:pPr>
            <w:r w:rsidRPr="00C67028">
              <w:t>14.8</w:t>
            </w:r>
          </w:p>
        </w:tc>
        <w:tc>
          <w:tcPr>
            <w:tcW w:w="798" w:type="pct"/>
            <w:noWrap/>
            <w:vAlign w:val="top"/>
          </w:tcPr>
          <w:p w:rsidR="00C67028" w:rsidRPr="00C67028" w:rsidRDefault="00C67028" w:rsidP="0022005C">
            <w:pPr>
              <w:cnfStyle w:val="000000000000" w:firstRow="0" w:lastRow="0" w:firstColumn="0" w:lastColumn="0" w:oddVBand="0" w:evenVBand="0" w:oddHBand="0" w:evenHBand="0" w:firstRowFirstColumn="0" w:firstRowLastColumn="0" w:lastRowFirstColumn="0" w:lastRowLastColumn="0"/>
            </w:pPr>
            <w:r w:rsidRPr="00C67028">
              <w:t>20.3</w:t>
            </w:r>
          </w:p>
        </w:tc>
        <w:tc>
          <w:tcPr>
            <w:tcW w:w="798" w:type="pct"/>
            <w:noWrap/>
            <w:vAlign w:val="top"/>
          </w:tcPr>
          <w:p w:rsidR="00C67028" w:rsidRPr="00C67028" w:rsidRDefault="00C67028" w:rsidP="0022005C">
            <w:pPr>
              <w:cnfStyle w:val="000000000000" w:firstRow="0" w:lastRow="0" w:firstColumn="0" w:lastColumn="0" w:oddVBand="0" w:evenVBand="0" w:oddHBand="0" w:evenHBand="0" w:firstRowFirstColumn="0" w:firstRowLastColumn="0" w:lastRowFirstColumn="0" w:lastRowLastColumn="0"/>
            </w:pPr>
            <w:r w:rsidRPr="00C67028">
              <w:t>35.1</w:t>
            </w:r>
          </w:p>
        </w:tc>
      </w:tr>
      <w:tr w:rsidR="00C67028" w:rsidRPr="00667AB1" w:rsidTr="008B40D8">
        <w:trPr>
          <w:cnfStyle w:val="000000010000" w:firstRow="0" w:lastRow="0" w:firstColumn="0" w:lastColumn="0" w:oddVBand="0" w:evenVBand="0" w:oddHBand="0" w:evenHBand="1"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606" w:type="pct"/>
            <w:noWrap/>
            <w:hideMark/>
          </w:tcPr>
          <w:p w:rsidR="00C67028" w:rsidRPr="00C67028" w:rsidRDefault="00C67028" w:rsidP="00C67028">
            <w:r w:rsidRPr="00C67028">
              <w:rPr>
                <w:rStyle w:val="AERtextitalic"/>
              </w:rPr>
              <w:t xml:space="preserve">Less: </w:t>
            </w:r>
            <w:r w:rsidRPr="00C67028">
              <w:t>value of imputation credits</w:t>
            </w:r>
          </w:p>
        </w:tc>
        <w:tc>
          <w:tcPr>
            <w:tcW w:w="798" w:type="pct"/>
            <w:noWrap/>
            <w:vAlign w:val="top"/>
          </w:tcPr>
          <w:p w:rsidR="00C67028" w:rsidRPr="00C67028" w:rsidRDefault="00C67028" w:rsidP="0022005C">
            <w:pPr>
              <w:cnfStyle w:val="000000010000" w:firstRow="0" w:lastRow="0" w:firstColumn="0" w:lastColumn="0" w:oddVBand="0" w:evenVBand="0" w:oddHBand="0" w:evenHBand="1" w:firstRowFirstColumn="0" w:firstRowLastColumn="0" w:lastRowFirstColumn="0" w:lastRowLastColumn="0"/>
            </w:pPr>
            <w:r w:rsidRPr="00C67028">
              <w:t>5.9</w:t>
            </w:r>
          </w:p>
        </w:tc>
        <w:tc>
          <w:tcPr>
            <w:tcW w:w="798" w:type="pct"/>
            <w:noWrap/>
            <w:vAlign w:val="top"/>
          </w:tcPr>
          <w:p w:rsidR="00C67028" w:rsidRPr="00C67028" w:rsidRDefault="00C67028" w:rsidP="0022005C">
            <w:pPr>
              <w:cnfStyle w:val="000000010000" w:firstRow="0" w:lastRow="0" w:firstColumn="0" w:lastColumn="0" w:oddVBand="0" w:evenVBand="0" w:oddHBand="0" w:evenHBand="1" w:firstRowFirstColumn="0" w:firstRowLastColumn="0" w:lastRowFirstColumn="0" w:lastRowLastColumn="0"/>
            </w:pPr>
            <w:r w:rsidRPr="00C67028">
              <w:t>8.1</w:t>
            </w:r>
          </w:p>
        </w:tc>
        <w:tc>
          <w:tcPr>
            <w:tcW w:w="798" w:type="pct"/>
            <w:noWrap/>
            <w:vAlign w:val="top"/>
          </w:tcPr>
          <w:p w:rsidR="00C67028" w:rsidRPr="00C67028" w:rsidRDefault="00C67028" w:rsidP="0022005C">
            <w:pPr>
              <w:cnfStyle w:val="000000010000" w:firstRow="0" w:lastRow="0" w:firstColumn="0" w:lastColumn="0" w:oddVBand="0" w:evenVBand="0" w:oddHBand="0" w:evenHBand="1" w:firstRowFirstColumn="0" w:firstRowLastColumn="0" w:lastRowFirstColumn="0" w:lastRowLastColumn="0"/>
            </w:pPr>
            <w:r w:rsidRPr="00C67028">
              <w:t>14.0</w:t>
            </w:r>
          </w:p>
        </w:tc>
      </w:tr>
      <w:tr w:rsidR="00C67028" w:rsidRPr="006629BA" w:rsidTr="008B40D8">
        <w:trPr>
          <w:trHeight w:val="321"/>
        </w:trPr>
        <w:tc>
          <w:tcPr>
            <w:cnfStyle w:val="001000000000" w:firstRow="0" w:lastRow="0" w:firstColumn="1" w:lastColumn="0" w:oddVBand="0" w:evenVBand="0" w:oddHBand="0" w:evenHBand="0" w:firstRowFirstColumn="0" w:firstRowLastColumn="0" w:lastRowFirstColumn="0" w:lastRowLastColumn="0"/>
            <w:tcW w:w="2606" w:type="pct"/>
            <w:noWrap/>
            <w:hideMark/>
          </w:tcPr>
          <w:p w:rsidR="00C67028" w:rsidRPr="00C67028" w:rsidRDefault="00C67028" w:rsidP="00C67028">
            <w:pPr>
              <w:rPr>
                <w:rStyle w:val="Strong"/>
              </w:rPr>
            </w:pPr>
            <w:r w:rsidRPr="00C67028">
              <w:rPr>
                <w:rStyle w:val="Strong"/>
              </w:rPr>
              <w:t>Net corporate income tax allowance</w:t>
            </w:r>
          </w:p>
        </w:tc>
        <w:tc>
          <w:tcPr>
            <w:tcW w:w="798" w:type="pct"/>
            <w:noWrap/>
            <w:vAlign w:val="top"/>
          </w:tcPr>
          <w:p w:rsidR="00C67028" w:rsidRPr="00C67028" w:rsidRDefault="00C67028" w:rsidP="0022005C">
            <w:pPr>
              <w:cnfStyle w:val="000000000000" w:firstRow="0" w:lastRow="0" w:firstColumn="0" w:lastColumn="0" w:oddVBand="0" w:evenVBand="0" w:oddHBand="0" w:evenHBand="0" w:firstRowFirstColumn="0" w:firstRowLastColumn="0" w:lastRowFirstColumn="0" w:lastRowLastColumn="0"/>
              <w:rPr>
                <w:rStyle w:val="Strong"/>
              </w:rPr>
            </w:pPr>
            <w:r w:rsidRPr="00C67028">
              <w:rPr>
                <w:rStyle w:val="Strong"/>
              </w:rPr>
              <w:t>8.9</w:t>
            </w:r>
          </w:p>
        </w:tc>
        <w:tc>
          <w:tcPr>
            <w:tcW w:w="798" w:type="pct"/>
            <w:noWrap/>
            <w:vAlign w:val="top"/>
          </w:tcPr>
          <w:p w:rsidR="00C67028" w:rsidRPr="00C67028" w:rsidRDefault="00C67028" w:rsidP="0022005C">
            <w:pPr>
              <w:cnfStyle w:val="000000000000" w:firstRow="0" w:lastRow="0" w:firstColumn="0" w:lastColumn="0" w:oddVBand="0" w:evenVBand="0" w:oddHBand="0" w:evenHBand="0" w:firstRowFirstColumn="0" w:firstRowLastColumn="0" w:lastRowFirstColumn="0" w:lastRowLastColumn="0"/>
              <w:rPr>
                <w:rStyle w:val="Strong"/>
              </w:rPr>
            </w:pPr>
            <w:r w:rsidRPr="00C67028">
              <w:rPr>
                <w:rStyle w:val="Strong"/>
              </w:rPr>
              <w:t>12.2</w:t>
            </w:r>
          </w:p>
        </w:tc>
        <w:tc>
          <w:tcPr>
            <w:tcW w:w="798" w:type="pct"/>
            <w:noWrap/>
            <w:vAlign w:val="top"/>
          </w:tcPr>
          <w:p w:rsidR="00C67028" w:rsidRPr="00C67028" w:rsidRDefault="00C67028" w:rsidP="0022005C">
            <w:pPr>
              <w:cnfStyle w:val="000000000000" w:firstRow="0" w:lastRow="0" w:firstColumn="0" w:lastColumn="0" w:oddVBand="0" w:evenVBand="0" w:oddHBand="0" w:evenHBand="0" w:firstRowFirstColumn="0" w:firstRowLastColumn="0" w:lastRowFirstColumn="0" w:lastRowLastColumn="0"/>
              <w:rPr>
                <w:rStyle w:val="Strong"/>
              </w:rPr>
            </w:pPr>
            <w:r w:rsidRPr="00C67028">
              <w:rPr>
                <w:rStyle w:val="Strong"/>
              </w:rPr>
              <w:t>21.0</w:t>
            </w:r>
          </w:p>
        </w:tc>
      </w:tr>
    </w:tbl>
    <w:p w:rsidR="00FD3D76" w:rsidRPr="00F51D66" w:rsidRDefault="00FD3D76" w:rsidP="00FD3D76">
      <w:pPr>
        <w:pStyle w:val="AERtablesource"/>
      </w:pPr>
      <w:r>
        <w:t>Source:</w:t>
      </w:r>
      <w:r>
        <w:tab/>
        <w:t>AER analysis.</w:t>
      </w:r>
    </w:p>
    <w:p w:rsidR="00132D43" w:rsidRDefault="00D43975" w:rsidP="00216315">
      <w:pPr>
        <w:pStyle w:val="Heading1"/>
      </w:pPr>
      <w:bookmarkStart w:id="141" w:name="_Ref478472377"/>
      <w:bookmarkStart w:id="142" w:name="_Toc481051875"/>
      <w:r>
        <w:lastRenderedPageBreak/>
        <w:t>Service classification, control mechanisms and incentive schemes</w:t>
      </w:r>
      <w:bookmarkEnd w:id="141"/>
      <w:bookmarkEnd w:id="142"/>
    </w:p>
    <w:p w:rsidR="00D43975" w:rsidRDefault="00D43975" w:rsidP="00D43975">
      <w:r w:rsidRPr="00D43975">
        <w:t>A range of factors, in addition to the building blocks, affect TasNetworks' revenues. These include service classification, control mechanisms and our approach to services charged to individual customers, and incentive schemes to promote efficiency. This section explains our approach to each of these.</w:t>
      </w:r>
    </w:p>
    <w:p w:rsidR="00D43975" w:rsidRDefault="00D43975" w:rsidP="00D43975">
      <w:pPr>
        <w:pStyle w:val="Heading2"/>
      </w:pPr>
      <w:bookmarkStart w:id="143" w:name="_Ref478557094"/>
      <w:bookmarkStart w:id="144" w:name="_Toc481051876"/>
      <w:r>
        <w:t>Classification of services</w:t>
      </w:r>
      <w:bookmarkEnd w:id="143"/>
      <w:bookmarkEnd w:id="144"/>
    </w:p>
    <w:p w:rsidR="006A498D" w:rsidRPr="00B975B5" w:rsidRDefault="006A498D" w:rsidP="006A498D">
      <w:r w:rsidRPr="00B975B5">
        <w:t xml:space="preserve">Service classification is inherently linked to the type of economic regulation, if any, to apply to specific distribution services. Classification is important to customers as it determines which network services are included in basic electricity charges, the basis on which additional services are sold, and those services we will not regulate. Our decision on service classification reflects our assessment of a number of factors, including existing and potential competition to supply these services. </w:t>
      </w:r>
    </w:p>
    <w:p w:rsidR="006A498D" w:rsidRPr="00B975B5" w:rsidRDefault="006A498D" w:rsidP="006A498D">
      <w:r w:rsidRPr="00B975B5">
        <w:t xml:space="preserve">Services are classified as either 'direct control', 'negotiated' or 'unregulated' services. </w:t>
      </w:r>
    </w:p>
    <w:p w:rsidR="00D8067B" w:rsidRDefault="006A498D" w:rsidP="006A498D">
      <w:pPr>
        <w:pStyle w:val="ListBullet"/>
      </w:pPr>
      <w:r w:rsidRPr="00B975B5">
        <w:t>Direct control services are services where we directly control prices by setting a revenue cap or the prices a distributor may charge. These services can be further split by 'standard control' and 'alternative control' services. Our decision on the forms of regulation to apply to standard control and alternative control services is outlined in the following section.</w:t>
      </w:r>
    </w:p>
    <w:p w:rsidR="00D8067B" w:rsidRDefault="006A498D" w:rsidP="006A498D">
      <w:pPr>
        <w:pStyle w:val="ListBullet"/>
        <w:numPr>
          <w:ilvl w:val="1"/>
          <w:numId w:val="13"/>
        </w:numPr>
      </w:pPr>
      <w:r w:rsidRPr="00B975B5">
        <w:t>Standard control services are services that are central to electricity supply and therefore relied on by most (if not all) customers.</w:t>
      </w:r>
    </w:p>
    <w:p w:rsidR="006A498D" w:rsidRPr="00042F31" w:rsidRDefault="006A498D" w:rsidP="006A498D">
      <w:pPr>
        <w:pStyle w:val="ListBullet"/>
        <w:numPr>
          <w:ilvl w:val="1"/>
          <w:numId w:val="13"/>
        </w:numPr>
      </w:pPr>
      <w:r w:rsidRPr="00B975B5">
        <w:t>Alternative control services are customer specific or customer requested services.</w:t>
      </w:r>
    </w:p>
    <w:p w:rsidR="006A498D" w:rsidRPr="00042F31" w:rsidRDefault="006A498D" w:rsidP="006A498D">
      <w:pPr>
        <w:pStyle w:val="ListBullet"/>
      </w:pPr>
      <w:r w:rsidRPr="00B975B5">
        <w:t>Negotiated services are services that require a less prescriptive regulatory approach because the relevant parties have sufficient market power to negotiate the provision of those services. Distributors and customers are able to negotiate prices, and we are available to arbitrate if necessary.</w:t>
      </w:r>
    </w:p>
    <w:p w:rsidR="006A498D" w:rsidRPr="00042F31" w:rsidRDefault="006A498D" w:rsidP="006A498D">
      <w:pPr>
        <w:pStyle w:val="ListBullet"/>
      </w:pPr>
      <w:r w:rsidRPr="00B975B5">
        <w:t>Unregulated services are services that are not distribution services, or services that are contestable and therefore do not need to be regulated. We have no role in regulating these services.</w:t>
      </w:r>
    </w:p>
    <w:p w:rsidR="006A498D" w:rsidRDefault="006A498D" w:rsidP="006A498D">
      <w:r>
        <w:fldChar w:fldCharType="begin"/>
      </w:r>
      <w:r>
        <w:instrText xml:space="preserve"> REF _Ref459981971 \h </w:instrText>
      </w:r>
      <w:r>
        <w:fldChar w:fldCharType="separate"/>
      </w:r>
      <w:r w:rsidR="008B40D8">
        <w:t xml:space="preserve">Figure </w:t>
      </w:r>
      <w:r w:rsidR="008B40D8">
        <w:rPr>
          <w:noProof/>
        </w:rPr>
        <w:t>4</w:t>
      </w:r>
      <w:r w:rsidR="008B40D8">
        <w:t>.</w:t>
      </w:r>
      <w:r w:rsidR="008B40D8">
        <w:rPr>
          <w:noProof/>
        </w:rPr>
        <w:t>1</w:t>
      </w:r>
      <w:r>
        <w:fldChar w:fldCharType="end"/>
      </w:r>
      <w:r w:rsidRPr="00B975B5">
        <w:t xml:space="preserve"> summarises our </w:t>
      </w:r>
      <w:r w:rsidR="00FA41F6">
        <w:t>final</w:t>
      </w:r>
      <w:r>
        <w:t xml:space="preserve"> </w:t>
      </w:r>
      <w:r w:rsidRPr="00B975B5">
        <w:t xml:space="preserve">decision on service classification for </w:t>
      </w:r>
      <w:r>
        <w:t>TasNetworks</w:t>
      </w:r>
      <w:r w:rsidRPr="00B975B5">
        <w:t xml:space="preserve"> for the 201</w:t>
      </w:r>
      <w:r>
        <w:t>7</w:t>
      </w:r>
      <w:r w:rsidRPr="00B975B5">
        <w:t>–</w:t>
      </w:r>
      <w:r>
        <w:t>19</w:t>
      </w:r>
      <w:r w:rsidRPr="00B975B5">
        <w:t xml:space="preserve"> regulatory control period.</w:t>
      </w:r>
      <w:r w:rsidR="00FA41F6">
        <w:t xml:space="preserve"> This decision is consistent with our draft decision.</w:t>
      </w:r>
      <w:r w:rsidR="00D91018">
        <w:rPr>
          <w:rStyle w:val="FootnoteReference"/>
        </w:rPr>
        <w:footnoteReference w:id="50"/>
      </w:r>
    </w:p>
    <w:p w:rsidR="00D91018" w:rsidRPr="00B975B5" w:rsidRDefault="00D91018" w:rsidP="006A498D">
      <w:r w:rsidRPr="00D91018">
        <w:lastRenderedPageBreak/>
        <w:t xml:space="preserve">Our final decision is to reclassify TasNetworks’ basic connection services from standard control to alternative control services, as proposed by TasNetworks. All other service classifications in </w:t>
      </w:r>
      <w:r w:rsidR="00F62601">
        <w:t>our final framework and approach</w:t>
      </w:r>
      <w:r w:rsidRPr="00F62601">
        <w:rPr>
          <w:rStyle w:val="FootnoteReference"/>
        </w:rPr>
        <w:footnoteReference w:id="51"/>
      </w:r>
      <w:r w:rsidRPr="00D91018">
        <w:t xml:space="preserve"> remain unchanged. We have made this final decision for the same reasons we explained in our draft decision.</w:t>
      </w:r>
    </w:p>
    <w:p w:rsidR="006A498D" w:rsidRDefault="006A498D" w:rsidP="006A498D">
      <w:pPr>
        <w:pStyle w:val="Caption"/>
      </w:pPr>
      <w:bookmarkStart w:id="145" w:name="_Ref459981971"/>
      <w:r>
        <w:t xml:space="preserve">Figure </w:t>
      </w:r>
      <w:r w:rsidR="00D96B78">
        <w:fldChar w:fldCharType="begin"/>
      </w:r>
      <w:r w:rsidR="00D96B78">
        <w:instrText xml:space="preserve"> STYLEREF 1 \s </w:instrText>
      </w:r>
      <w:r w:rsidR="00D96B78">
        <w:fldChar w:fldCharType="separate"/>
      </w:r>
      <w:r w:rsidR="008B40D8">
        <w:rPr>
          <w:noProof/>
        </w:rPr>
        <w:t>4</w:t>
      </w:r>
      <w:r w:rsidR="00D96B78">
        <w:rPr>
          <w:noProof/>
        </w:rPr>
        <w:fldChar w:fldCharType="end"/>
      </w:r>
      <w:r w:rsidR="00DA4620">
        <w:t>.</w:t>
      </w:r>
      <w:r w:rsidR="00D96B78">
        <w:fldChar w:fldCharType="begin"/>
      </w:r>
      <w:r w:rsidR="00D96B78">
        <w:instrText xml:space="preserve"> SEQ Figure \* ARABIC \s 1 </w:instrText>
      </w:r>
      <w:r w:rsidR="00D96B78">
        <w:fldChar w:fldCharType="separate"/>
      </w:r>
      <w:r w:rsidR="008B40D8">
        <w:rPr>
          <w:noProof/>
        </w:rPr>
        <w:t>1</w:t>
      </w:r>
      <w:r w:rsidR="00D96B78">
        <w:rPr>
          <w:noProof/>
        </w:rPr>
        <w:fldChar w:fldCharType="end"/>
      </w:r>
      <w:bookmarkEnd w:id="145"/>
      <w:r>
        <w:tab/>
        <w:t xml:space="preserve">AER </w:t>
      </w:r>
      <w:r w:rsidR="00FA41F6">
        <w:t>final</w:t>
      </w:r>
      <w:r>
        <w:t xml:space="preserve"> decision on 2017–19 service classification for TasNetworks</w:t>
      </w:r>
    </w:p>
    <w:p w:rsidR="006A498D" w:rsidRDefault="006A498D" w:rsidP="006A498D">
      <w:r w:rsidRPr="006A498D">
        <w:rPr>
          <w:noProof/>
          <w:lang w:eastAsia="en-AU"/>
        </w:rPr>
        <w:drawing>
          <wp:inline distT="0" distB="0" distL="0" distR="0" wp14:anchorId="393B6AEA" wp14:editId="3781601C">
            <wp:extent cx="5382895" cy="4144331"/>
            <wp:effectExtent l="57150" t="0" r="84455" b="850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6A498D" w:rsidRDefault="00CA1138" w:rsidP="00D43975">
      <w:r>
        <w:t xml:space="preserve">Stakeholder submissions on </w:t>
      </w:r>
      <w:r w:rsidR="00D34149">
        <w:t xml:space="preserve">the draft decision and revised proposal were limited. </w:t>
      </w:r>
      <w:r w:rsidR="00F42B97">
        <w:t xml:space="preserve">David Headberry of </w:t>
      </w:r>
      <w:r w:rsidR="006332DA">
        <w:t xml:space="preserve">the </w:t>
      </w:r>
      <w:r w:rsidR="00F42B97">
        <w:t xml:space="preserve">CCP supported the service classification, but submitted there is concern that the reclassification of basic connection </w:t>
      </w:r>
      <w:r w:rsidR="00670B51">
        <w:t xml:space="preserve">services </w:t>
      </w:r>
      <w:r w:rsidR="00A82D68">
        <w:t>moves costs out of standard control to alternative control services</w:t>
      </w:r>
      <w:r w:rsidR="00C606F6">
        <w:t xml:space="preserve"> and it is not clear that </w:t>
      </w:r>
      <w:r w:rsidR="00F97D06">
        <w:t>forecast</w:t>
      </w:r>
      <w:r w:rsidR="00C606F6">
        <w:t xml:space="preserve"> capex and opex ha</w:t>
      </w:r>
      <w:r w:rsidR="00F97D06">
        <w:t>d</w:t>
      </w:r>
      <w:r w:rsidR="00C606F6">
        <w:t xml:space="preserve"> been adjusted</w:t>
      </w:r>
      <w:r w:rsidR="00F97D06">
        <w:t xml:space="preserve"> accordingly</w:t>
      </w:r>
      <w:r w:rsidR="00C606F6">
        <w:t>.</w:t>
      </w:r>
      <w:r w:rsidR="00F97D06">
        <w:rPr>
          <w:rStyle w:val="FootnoteReference"/>
        </w:rPr>
        <w:footnoteReference w:id="52"/>
      </w:r>
      <w:r w:rsidR="00C606F6">
        <w:t xml:space="preserve"> TasNetworks </w:t>
      </w:r>
      <w:r w:rsidR="00F97D06">
        <w:t>responded</w:t>
      </w:r>
      <w:r w:rsidR="00C606F6">
        <w:t xml:space="preserve"> that it had forecast its RAB</w:t>
      </w:r>
      <w:r w:rsidR="00F97D06">
        <w:t>,</w:t>
      </w:r>
      <w:r w:rsidR="00C606F6">
        <w:t xml:space="preserve"> capex </w:t>
      </w:r>
      <w:r w:rsidR="00F97D06">
        <w:t xml:space="preserve">and opex </w:t>
      </w:r>
      <w:r w:rsidR="00C606F6">
        <w:t xml:space="preserve">consistent with </w:t>
      </w:r>
      <w:r w:rsidR="00F97D06">
        <w:t>its</w:t>
      </w:r>
      <w:r w:rsidR="00C606F6">
        <w:t xml:space="preserve"> proposed </w:t>
      </w:r>
      <w:r w:rsidR="00F97D06">
        <w:t xml:space="preserve">service </w:t>
      </w:r>
      <w:r w:rsidR="00C606F6">
        <w:t>classificat</w:t>
      </w:r>
      <w:r w:rsidR="00F97D06">
        <w:t>i</w:t>
      </w:r>
      <w:r w:rsidR="00C606F6">
        <w:t>on</w:t>
      </w:r>
      <w:r w:rsidR="00F97D06">
        <w:t>.</w:t>
      </w:r>
      <w:r w:rsidR="00F97D06">
        <w:rPr>
          <w:rStyle w:val="FootnoteReference"/>
        </w:rPr>
        <w:footnoteReference w:id="53"/>
      </w:r>
      <w:r w:rsidR="00C606F6">
        <w:t xml:space="preserve"> </w:t>
      </w:r>
    </w:p>
    <w:p w:rsidR="00D43975" w:rsidRDefault="00831098" w:rsidP="006332DA">
      <w:pPr>
        <w:pStyle w:val="Heading2"/>
        <w:keepNext/>
      </w:pPr>
      <w:bookmarkStart w:id="146" w:name="_Toc481051877"/>
      <w:r>
        <w:lastRenderedPageBreak/>
        <w:t>C</w:t>
      </w:r>
      <w:r w:rsidR="00D43975">
        <w:t>ontrol mechanisms</w:t>
      </w:r>
      <w:bookmarkEnd w:id="146"/>
    </w:p>
    <w:p w:rsidR="00D43975" w:rsidRDefault="00D43975" w:rsidP="006332DA">
      <w:pPr>
        <w:keepNext/>
      </w:pPr>
      <w:r>
        <w:t xml:space="preserve">This section sets out our final decision on the control mechanisms to apply to standard control services (section </w:t>
      </w:r>
      <w:r>
        <w:fldChar w:fldCharType="begin"/>
      </w:r>
      <w:r>
        <w:instrText xml:space="preserve"> REF _Ref469905644 \r \h </w:instrText>
      </w:r>
      <w:r>
        <w:fldChar w:fldCharType="separate"/>
      </w:r>
      <w:r w:rsidR="008B40D8">
        <w:t>4.2.1</w:t>
      </w:r>
      <w:r>
        <w:fldChar w:fldCharType="end"/>
      </w:r>
      <w:r>
        <w:t xml:space="preserve">) and alternative control services (section </w:t>
      </w:r>
      <w:r>
        <w:fldChar w:fldCharType="begin"/>
      </w:r>
      <w:r>
        <w:instrText xml:space="preserve"> REF _Ref469905651 \r \h </w:instrText>
      </w:r>
      <w:r>
        <w:fldChar w:fldCharType="separate"/>
      </w:r>
      <w:r w:rsidR="008B40D8">
        <w:t>4.2.2</w:t>
      </w:r>
      <w:r>
        <w:fldChar w:fldCharType="end"/>
      </w:r>
      <w:r>
        <w:t xml:space="preserve">). </w:t>
      </w:r>
      <w:r w:rsidRPr="00D43975">
        <w:t>A control mechanism imposes limits over the prices of direct control services and/or the revenues that a distribution network service provider can recover from customers.</w:t>
      </w:r>
    </w:p>
    <w:p w:rsidR="00D43975" w:rsidRDefault="00D43975" w:rsidP="008B40D8">
      <w:pPr>
        <w:pStyle w:val="Heading3"/>
        <w:ind w:left="720"/>
      </w:pPr>
      <w:bookmarkStart w:id="147" w:name="_Ref469905644"/>
      <w:bookmarkStart w:id="148" w:name="_Toc481051878"/>
      <w:r>
        <w:t>Standard control services</w:t>
      </w:r>
      <w:bookmarkEnd w:id="147"/>
      <w:bookmarkEnd w:id="148"/>
    </w:p>
    <w:p w:rsidR="00E67F2A" w:rsidRDefault="00E67F2A" w:rsidP="000C1DDC">
      <w:r>
        <w:t>Our final decision is</w:t>
      </w:r>
      <w:r w:rsidR="00B40905">
        <w:t xml:space="preserve"> that</w:t>
      </w:r>
      <w:r>
        <w:t xml:space="preserve"> TasNetworks</w:t>
      </w:r>
      <w:r w:rsidR="003A3819">
        <w:t>'</w:t>
      </w:r>
      <w:r>
        <w:t xml:space="preserve"> standard control services will be subject to a 'revenue cap' control mechanism over the 2017–19 regulatory control period. This decision is consistent with our final framework and approach</w:t>
      </w:r>
      <w:r>
        <w:rPr>
          <w:rStyle w:val="FootnoteReference"/>
        </w:rPr>
        <w:footnoteReference w:id="54"/>
      </w:r>
      <w:r>
        <w:t>, TasNetworks' proposal</w:t>
      </w:r>
      <w:r>
        <w:rPr>
          <w:rStyle w:val="FootnoteReference"/>
        </w:rPr>
        <w:footnoteReference w:id="55"/>
      </w:r>
      <w:r>
        <w:t xml:space="preserve"> and our draft decision.</w:t>
      </w:r>
      <w:r>
        <w:rPr>
          <w:rStyle w:val="FootnoteReference"/>
        </w:rPr>
        <w:footnoteReference w:id="56"/>
      </w:r>
      <w:r>
        <w:t xml:space="preserve"> The final decision revenue cap is as follows:</w:t>
      </w:r>
    </w:p>
    <w:p w:rsidR="001156FB" w:rsidRDefault="00860955" w:rsidP="002C67F2">
      <w:pPr>
        <w:pStyle w:val="AERbulletlistfirststyle"/>
      </w:pPr>
      <w:r>
        <w:t>The revenue cap formulas are set out in s</w:t>
      </w:r>
      <w:r w:rsidR="00E67F2A">
        <w:t>ection 14.4.4</w:t>
      </w:r>
      <w:r>
        <w:t xml:space="preserve"> in attachment 14</w:t>
      </w:r>
      <w:r w:rsidR="00E67F2A">
        <w:t xml:space="preserve"> of our</w:t>
      </w:r>
      <w:r>
        <w:t xml:space="preserve"> </w:t>
      </w:r>
      <w:r w:rsidR="005C1B8C">
        <w:t>final</w:t>
      </w:r>
      <w:r>
        <w:t xml:space="preserve"> decision</w:t>
      </w:r>
      <w:r w:rsidR="007609B8">
        <w:t>:</w:t>
      </w:r>
    </w:p>
    <w:p w:rsidR="002C67F2" w:rsidRDefault="002C67F2" w:rsidP="002C67F2">
      <w:pPr>
        <w:pStyle w:val="AERbulletlistsecondstyle"/>
      </w:pPr>
      <w:r>
        <w:t xml:space="preserve">The revenue cap for any given regulatory year </w:t>
      </w:r>
      <w:r w:rsidR="00E67F2A">
        <w:t xml:space="preserve">is the total annual revenue, or TAR, calculated using the formula in figure 14.1 of our </w:t>
      </w:r>
      <w:r w:rsidR="005C1B8C">
        <w:t>final</w:t>
      </w:r>
      <w:r w:rsidR="00E67F2A">
        <w:t xml:space="preserve"> decision</w:t>
      </w:r>
    </w:p>
    <w:p w:rsidR="00E67F2A" w:rsidRDefault="00E67F2A" w:rsidP="002C67F2">
      <w:pPr>
        <w:pStyle w:val="AERbulletlistsecondstyle"/>
      </w:pPr>
      <w:r>
        <w:t>The side constraints applying to</w:t>
      </w:r>
      <w:r w:rsidR="007609B8">
        <w:t xml:space="preserve"> annual</w:t>
      </w:r>
      <w:r>
        <w:t xml:space="preserve"> price movements for each of TasNetworks' tariff classes must be consistent with the formula in figure 14.2 of our </w:t>
      </w:r>
      <w:r w:rsidR="005C1B8C">
        <w:t>final</w:t>
      </w:r>
      <w:r>
        <w:t xml:space="preserve"> decision.</w:t>
      </w:r>
    </w:p>
    <w:p w:rsidR="00E67F2A" w:rsidRDefault="003A3819" w:rsidP="00E67F2A">
      <w:pPr>
        <w:pStyle w:val="AERbulletlistfirststyle"/>
      </w:pPr>
      <w:r>
        <w:t xml:space="preserve">TasNetworks must demonstrate compliance with the revenue cap—in accordance with figure 14.1 of </w:t>
      </w:r>
      <w:r w:rsidR="005C1B8C">
        <w:t>ou</w:t>
      </w:r>
      <w:r>
        <w:t xml:space="preserve">r </w:t>
      </w:r>
      <w:r w:rsidR="005C1B8C">
        <w:t>final</w:t>
      </w:r>
      <w:r>
        <w:t xml:space="preserve"> decision—by including adjustments for the distribution use of system (DUoS)</w:t>
      </w:r>
      <w:r w:rsidR="007609B8">
        <w:t xml:space="preserve"> revenue</w:t>
      </w:r>
      <w:r>
        <w:t xml:space="preserve"> under or over recovery </w:t>
      </w:r>
      <w:r w:rsidR="00B40905">
        <w:t xml:space="preserve">calculated </w:t>
      </w:r>
      <w:r>
        <w:t xml:space="preserve">in accordance with </w:t>
      </w:r>
      <w:r w:rsidR="00F83919">
        <w:t xml:space="preserve">attachment 14 </w:t>
      </w:r>
      <w:r>
        <w:t>of this final decision</w:t>
      </w:r>
      <w:r w:rsidR="00C0656C">
        <w:t>.</w:t>
      </w:r>
    </w:p>
    <w:p w:rsidR="007609B8" w:rsidRDefault="003A3819" w:rsidP="00E67F2A">
      <w:pPr>
        <w:pStyle w:val="AERbulletlistfirststyle"/>
      </w:pPr>
      <w:r>
        <w:t>TasNetworks must submit as part of its annual pricing proposal</w:t>
      </w:r>
      <w:r w:rsidR="00C41A5D" w:rsidRPr="00C41A5D">
        <w:t xml:space="preserve"> </w:t>
      </w:r>
      <w:r w:rsidR="00C41A5D">
        <w:t>a record of</w:t>
      </w:r>
      <w:r w:rsidR="007609B8">
        <w:t>:</w:t>
      </w:r>
    </w:p>
    <w:p w:rsidR="003A3819" w:rsidRDefault="003A3819" w:rsidP="007609B8">
      <w:pPr>
        <w:pStyle w:val="AERbulletlistsecondstyle"/>
      </w:pPr>
      <w:r>
        <w:t xml:space="preserve">revenue recovered from designated pricing proposal charges and associated payments in accordance with appendix </w:t>
      </w:r>
      <w:r w:rsidR="007609B8">
        <w:t xml:space="preserve">B in attachment 14 </w:t>
      </w:r>
      <w:r>
        <w:t xml:space="preserve">of our </w:t>
      </w:r>
      <w:r w:rsidR="005C1B8C">
        <w:t>final</w:t>
      </w:r>
      <w:r>
        <w:t xml:space="preserve"> decision</w:t>
      </w:r>
    </w:p>
    <w:p w:rsidR="007609B8" w:rsidRDefault="007609B8" w:rsidP="007609B8">
      <w:pPr>
        <w:pStyle w:val="AERbulletlistsecondstyle"/>
      </w:pPr>
      <w:r>
        <w:t>any jurisdictional scheme amounts it recovers and associated payments in accordance with appendix</w:t>
      </w:r>
      <w:r w:rsidR="005C1B8C">
        <w:t xml:space="preserve"> C in attachment 14 of our final</w:t>
      </w:r>
      <w:r>
        <w:t xml:space="preserve"> decision</w:t>
      </w:r>
      <w:r w:rsidR="00C0656C">
        <w:t>.</w:t>
      </w:r>
    </w:p>
    <w:p w:rsidR="007609B8" w:rsidRDefault="007609B8" w:rsidP="00E67F2A">
      <w:pPr>
        <w:pStyle w:val="AERbulletlistfirststyle"/>
      </w:pPr>
      <w:r>
        <w:t>Appendi</w:t>
      </w:r>
      <w:r w:rsidR="005C1B8C">
        <w:t>x D in attachment 14 of our final</w:t>
      </w:r>
      <w:r>
        <w:t xml:space="preserve"> decision specifies the procedures TasNetworks must apply in assigning retail customers to tariff classes or reassigning retail customers from one tariff class to another.</w:t>
      </w:r>
    </w:p>
    <w:p w:rsidR="00735603" w:rsidRDefault="00DA4EED" w:rsidP="00D43975">
      <w:r>
        <w:t>TasNetworks' revised proposal</w:t>
      </w:r>
      <w:r w:rsidR="00D43975">
        <w:t xml:space="preserve"> proposed one change to the </w:t>
      </w:r>
      <w:r w:rsidR="00215F7A">
        <w:t>revenue cap</w:t>
      </w:r>
      <w:r w:rsidR="00D315B7">
        <w:t xml:space="preserve"> formula</w:t>
      </w:r>
      <w:r w:rsidR="00215F7A">
        <w:t xml:space="preserve"> </w:t>
      </w:r>
      <w:r>
        <w:t xml:space="preserve">as set out in our draft decision. </w:t>
      </w:r>
      <w:r w:rsidR="007609B8">
        <w:t>It</w:t>
      </w:r>
      <w:r>
        <w:t xml:space="preserve"> proposed </w:t>
      </w:r>
      <w:r w:rsidR="00735603">
        <w:t xml:space="preserve">the </w:t>
      </w:r>
      <w:r w:rsidR="00C41A5D">
        <w:t xml:space="preserve">X factor </w:t>
      </w:r>
      <w:r w:rsidR="00735603">
        <w:t xml:space="preserve">definition be amended </w:t>
      </w:r>
      <w:r w:rsidR="007609B8">
        <w:t xml:space="preserve">so that </w:t>
      </w:r>
      <w:r w:rsidR="00B40905">
        <w:t xml:space="preserve">the </w:t>
      </w:r>
      <w:r w:rsidR="00B40905">
        <w:lastRenderedPageBreak/>
        <w:t xml:space="preserve">pending Full Federal Court decision on gamma could be applied to the revenue cap once </w:t>
      </w:r>
      <w:r w:rsidR="00735603">
        <w:t>that decision is made.</w:t>
      </w:r>
      <w:r w:rsidR="00735603">
        <w:rPr>
          <w:rStyle w:val="FootnoteReference"/>
        </w:rPr>
        <w:footnoteReference w:id="57"/>
      </w:r>
      <w:r w:rsidR="006513C3">
        <w:t xml:space="preserve"> </w:t>
      </w:r>
      <w:r w:rsidR="00735603">
        <w:t>We do not accept this change to the definition of the X</w:t>
      </w:r>
      <w:r w:rsidR="00F41713">
        <w:t> </w:t>
      </w:r>
      <w:r w:rsidR="00735603">
        <w:t xml:space="preserve">factor for the reasons set out in attachment </w:t>
      </w:r>
      <w:r w:rsidR="005C1B8C">
        <w:t>3–r</w:t>
      </w:r>
      <w:r w:rsidR="00735603">
        <w:t>ate of return.</w:t>
      </w:r>
    </w:p>
    <w:p w:rsidR="00B40905" w:rsidRDefault="00B40905" w:rsidP="00D43975">
      <w:r>
        <w:t xml:space="preserve">We also note that our draft decision </w:t>
      </w:r>
      <w:r w:rsidR="006513C3">
        <w:t>contained a presentational error in the example calculation of the DUoS unders and overs account.</w:t>
      </w:r>
      <w:r w:rsidR="00860955">
        <w:t xml:space="preserve"> The table incorrectly included adjustments that do not relate to TasNetworks. </w:t>
      </w:r>
      <w:r>
        <w:t xml:space="preserve">For the avoidance of doubt, </w:t>
      </w:r>
      <w:r w:rsidR="006513C3">
        <w:t>we have cor</w:t>
      </w:r>
      <w:r w:rsidR="00860955">
        <w:t>rected this presentational error</w:t>
      </w:r>
      <w:r w:rsidR="006513C3">
        <w:t xml:space="preserve"> for our final decisio</w:t>
      </w:r>
      <w:r w:rsidR="00D315B7">
        <w:t xml:space="preserve">n which is set out </w:t>
      </w:r>
      <w:r w:rsidR="00F41713">
        <w:t>in appendix A of attachment 14</w:t>
      </w:r>
      <w:r w:rsidR="00D315B7">
        <w:t>.</w:t>
      </w:r>
    </w:p>
    <w:p w:rsidR="00D43975" w:rsidRPr="00D43975" w:rsidRDefault="00D43975" w:rsidP="008B40D8">
      <w:pPr>
        <w:pStyle w:val="Heading3"/>
        <w:ind w:left="720"/>
      </w:pPr>
      <w:bookmarkStart w:id="149" w:name="_Ref469905651"/>
      <w:bookmarkStart w:id="150" w:name="_Toc481051879"/>
      <w:r>
        <w:t>Alternative control services</w:t>
      </w:r>
      <w:bookmarkEnd w:id="149"/>
      <w:bookmarkEnd w:id="150"/>
    </w:p>
    <w:p w:rsidR="00BB2D1F" w:rsidRDefault="00A52CE1" w:rsidP="00A52CE1">
      <w:r w:rsidRPr="00A52CE1">
        <w:t xml:space="preserve">Our final decision is TasNetworks' </w:t>
      </w:r>
      <w:r>
        <w:t>alternative</w:t>
      </w:r>
      <w:r w:rsidRPr="00A52CE1">
        <w:t xml:space="preserve"> control services</w:t>
      </w:r>
      <w:r>
        <w:t xml:space="preserve"> (ancillary network services, public lighting and metering)</w:t>
      </w:r>
      <w:r w:rsidR="009E1096">
        <w:t xml:space="preserve"> will be subject to </w:t>
      </w:r>
      <w:r>
        <w:t>price</w:t>
      </w:r>
      <w:r w:rsidR="009E1096">
        <w:t xml:space="preserve"> cap</w:t>
      </w:r>
      <w:r w:rsidRPr="00A52CE1">
        <w:t xml:space="preserve"> control mechanism</w:t>
      </w:r>
      <w:r>
        <w:t>s</w:t>
      </w:r>
      <w:r w:rsidRPr="00A52CE1">
        <w:t xml:space="preserve"> over the 2017–19 regulatory control period.</w:t>
      </w:r>
      <w:r>
        <w:t xml:space="preserve"> </w:t>
      </w:r>
      <w:r w:rsidRPr="00A52CE1">
        <w:t>This decision is consistent with our final framework and approach</w:t>
      </w:r>
      <w:r w:rsidRPr="00C06F0E">
        <w:rPr>
          <w:rStyle w:val="FootnoteReference"/>
        </w:rPr>
        <w:footnoteReference w:id="58"/>
      </w:r>
      <w:r w:rsidRPr="00A52CE1">
        <w:t>, TasNetworks' proposal</w:t>
      </w:r>
      <w:r w:rsidRPr="00C06F0E">
        <w:rPr>
          <w:rStyle w:val="FootnoteReference"/>
        </w:rPr>
        <w:footnoteReference w:id="59"/>
      </w:r>
      <w:r w:rsidRPr="00A52CE1">
        <w:t xml:space="preserve"> and our draft decision.</w:t>
      </w:r>
      <w:r w:rsidRPr="00BB2D1F">
        <w:rPr>
          <w:rStyle w:val="FootnoteReference"/>
        </w:rPr>
        <w:footnoteReference w:id="60"/>
      </w:r>
    </w:p>
    <w:p w:rsidR="003D2FBD" w:rsidRDefault="00E748BC" w:rsidP="00A52CE1">
      <w:r>
        <w:t>Under the</w:t>
      </w:r>
      <w:r w:rsidR="00BB2D1F">
        <w:t xml:space="preserve"> price cap</w:t>
      </w:r>
      <w:r>
        <w:t xml:space="preserve"> control</w:t>
      </w:r>
      <w:r w:rsidR="009E1096">
        <w:t xml:space="preserve"> mechanisms</w:t>
      </w:r>
      <w:r>
        <w:t>, we</w:t>
      </w:r>
      <w:r w:rsidR="00BB2D1F">
        <w:t xml:space="preserve"> set a schedule of prices for 201</w:t>
      </w:r>
      <w:r w:rsidR="003D2FBD">
        <w:t>7</w:t>
      </w:r>
      <w:r w:rsidR="00BB2D1F">
        <w:t>–1</w:t>
      </w:r>
      <w:r w:rsidR="003D2FBD">
        <w:t>8</w:t>
      </w:r>
      <w:r w:rsidR="00BB2D1F">
        <w:t xml:space="preserve"> (set out in </w:t>
      </w:r>
      <w:r w:rsidR="005D353D">
        <w:t>attachment 16 of our final decision</w:t>
      </w:r>
      <w:r w:rsidR="00BB2D1F">
        <w:t>)</w:t>
      </w:r>
      <w:r w:rsidR="003D2FBD">
        <w:t xml:space="preserve"> with prices for </w:t>
      </w:r>
      <w:r w:rsidR="00F3744D">
        <w:t>2018–19</w:t>
      </w:r>
      <w:r w:rsidR="003D2FBD">
        <w:t xml:space="preserve"> determined by applying the following</w:t>
      </w:r>
      <w:r w:rsidR="008F45F6">
        <w:t xml:space="preserve"> price cap formulas</w:t>
      </w:r>
      <w:r w:rsidR="009847D6" w:rsidRPr="009847D6">
        <w:t xml:space="preserve"> </w:t>
      </w:r>
      <w:r w:rsidR="005D353D">
        <w:t>in attachment 16 of our final</w:t>
      </w:r>
      <w:r w:rsidR="009847D6">
        <w:t xml:space="preserve"> decision</w:t>
      </w:r>
      <w:r w:rsidR="003D2FBD">
        <w:t>:</w:t>
      </w:r>
    </w:p>
    <w:p w:rsidR="00BB2D1F" w:rsidRDefault="00BB2D1F" w:rsidP="00BB2D1F">
      <w:pPr>
        <w:pStyle w:val="AERbulletlistfirststyle"/>
      </w:pPr>
      <w:r>
        <w:t xml:space="preserve">for </w:t>
      </w:r>
      <w:r w:rsidR="009847D6">
        <w:t>ancillary reference services the formulas</w:t>
      </w:r>
      <w:r>
        <w:t xml:space="preserve"> set out in section 16.1.1:</w:t>
      </w:r>
    </w:p>
    <w:p w:rsidR="003D2FBD" w:rsidRDefault="001135CB" w:rsidP="00BB2D1F">
      <w:pPr>
        <w:pStyle w:val="AERbulletlistsecondstyle"/>
      </w:pPr>
      <w:r>
        <w:t xml:space="preserve">for fee based services </w:t>
      </w:r>
      <w:r w:rsidR="009847D6">
        <w:t xml:space="preserve">the formula in figure 16.1 </w:t>
      </w:r>
    </w:p>
    <w:p w:rsidR="008F45F6" w:rsidRPr="008F45F6" w:rsidRDefault="001135CB" w:rsidP="008F45F6">
      <w:pPr>
        <w:pStyle w:val="AERbulletlistsecondstyle"/>
      </w:pPr>
      <w:r>
        <w:t xml:space="preserve">for quoted services </w:t>
      </w:r>
      <w:r w:rsidR="009847D6">
        <w:t xml:space="preserve">the formula in figure 16.2 </w:t>
      </w:r>
    </w:p>
    <w:p w:rsidR="008F45F6" w:rsidRDefault="0015634D" w:rsidP="0015634D">
      <w:pPr>
        <w:pStyle w:val="AERbulletlistfirststyle"/>
      </w:pPr>
      <w:r>
        <w:t xml:space="preserve">for public lighting services </w:t>
      </w:r>
      <w:r w:rsidR="009847D6">
        <w:t xml:space="preserve">the formula </w:t>
      </w:r>
      <w:r w:rsidR="001729B2">
        <w:t xml:space="preserve">set out in section 16.2.1 </w:t>
      </w:r>
    </w:p>
    <w:p w:rsidR="0015634D" w:rsidRDefault="009847D6" w:rsidP="0015634D">
      <w:pPr>
        <w:pStyle w:val="AERbulletlistfirststyle"/>
      </w:pPr>
      <w:r>
        <w:t>for metering services the</w:t>
      </w:r>
      <w:r w:rsidR="0015634D">
        <w:t xml:space="preserve"> form</w:t>
      </w:r>
      <w:r w:rsidR="001729B2">
        <w:t xml:space="preserve">ula set out in section 16.3.1 </w:t>
      </w:r>
    </w:p>
    <w:p w:rsidR="00AE560F" w:rsidRDefault="0015634D" w:rsidP="00132D43">
      <w:r>
        <w:t>TasNetworks did not contest the draft decision price cap control mechanisms.</w:t>
      </w:r>
      <w:r>
        <w:rPr>
          <w:rStyle w:val="FootnoteReference"/>
        </w:rPr>
        <w:footnoteReference w:id="61"/>
      </w:r>
      <w:r w:rsidR="00E748BC">
        <w:t xml:space="preserve"> However, it</w:t>
      </w:r>
      <w:r>
        <w:t xml:space="preserve"> did respond</w:t>
      </w:r>
      <w:r w:rsidR="001135CB">
        <w:t xml:space="preserve"> to the aspects of its proposed ancillary network services that were not accepted in our draft decision</w:t>
      </w:r>
      <w:r w:rsidR="00E748BC">
        <w:t xml:space="preserve">. </w:t>
      </w:r>
      <w:r w:rsidR="00AE560F">
        <w:t>Our final decision accepts TasNetworks revised proposal on ancillary network services.</w:t>
      </w:r>
    </w:p>
    <w:p w:rsidR="00200C37" w:rsidRDefault="00E748BC" w:rsidP="00132D43">
      <w:r>
        <w:t>Our consideration of TasNetworks</w:t>
      </w:r>
      <w:r w:rsidR="00F3744D">
        <w:t>'</w:t>
      </w:r>
      <w:r>
        <w:t xml:space="preserve"> revised proposal on </w:t>
      </w:r>
      <w:r w:rsidR="00AE560F">
        <w:t>alternative control</w:t>
      </w:r>
      <w:r>
        <w:t xml:space="preserve"> services </w:t>
      </w:r>
      <w:r w:rsidR="005D353D">
        <w:t>is</w:t>
      </w:r>
      <w:r>
        <w:t xml:space="preserve"> discussed in</w:t>
      </w:r>
      <w:r w:rsidR="005D353D">
        <w:t xml:space="preserve"> attachment 16 of our final decision</w:t>
      </w:r>
      <w:r>
        <w:t>.</w:t>
      </w:r>
    </w:p>
    <w:p w:rsidR="00D43975" w:rsidRDefault="00D43975" w:rsidP="006332DA">
      <w:pPr>
        <w:pStyle w:val="Heading2"/>
        <w:keepNext/>
      </w:pPr>
      <w:bookmarkStart w:id="151" w:name="_Ref475353582"/>
      <w:bookmarkStart w:id="152" w:name="_Toc481051880"/>
      <w:r>
        <w:lastRenderedPageBreak/>
        <w:t>Incentive schemes</w:t>
      </w:r>
      <w:bookmarkEnd w:id="151"/>
      <w:bookmarkEnd w:id="152"/>
    </w:p>
    <w:p w:rsidR="00E04EF0" w:rsidRDefault="00E04EF0" w:rsidP="006332DA">
      <w:pPr>
        <w:keepNext/>
      </w:pPr>
      <w:r>
        <w:t xml:space="preserve">Incentive schemes are a component of incentive–based regulation and complement our approach to assessing efficient costs. The incentive schemes that will apply to TasNetworks are: </w:t>
      </w:r>
    </w:p>
    <w:p w:rsidR="00E04EF0" w:rsidRDefault="00E04EF0" w:rsidP="00E04EF0">
      <w:pPr>
        <w:pStyle w:val="AERbulletlistfirststyle"/>
      </w:pPr>
      <w:r>
        <w:t>the efficiency benefit sharing scheme (EBSS)</w:t>
      </w:r>
    </w:p>
    <w:p w:rsidR="00E04EF0" w:rsidRDefault="00E04EF0" w:rsidP="00E04EF0">
      <w:pPr>
        <w:pStyle w:val="AERbulletlistfirststyle"/>
      </w:pPr>
      <w:r>
        <w:t>the capital expenditure sharing scheme (CESS)</w:t>
      </w:r>
    </w:p>
    <w:p w:rsidR="00E04EF0" w:rsidRDefault="00E04EF0" w:rsidP="00E04EF0">
      <w:pPr>
        <w:pStyle w:val="AERbulletlistfirststyle"/>
      </w:pPr>
      <w:r>
        <w:t>the service target performance incentive scheme (STPIS)</w:t>
      </w:r>
    </w:p>
    <w:p w:rsidR="00E04EF0" w:rsidRDefault="00E04EF0" w:rsidP="00E04EF0">
      <w:pPr>
        <w:pStyle w:val="AERbulletlistfirststyle"/>
      </w:pPr>
      <w:r>
        <w:t xml:space="preserve">demand management incentive scheme (DMIS). </w:t>
      </w:r>
    </w:p>
    <w:p w:rsidR="00E04EF0" w:rsidRPr="008E674B" w:rsidRDefault="00E04EF0" w:rsidP="00E04EF0">
      <w:r w:rsidRPr="008E674B">
        <w:t>Our incentive schemes encourage network businesses to make efficient decisions. They give network businesses an incentive to pursue efficiency improvements in opex and capex, and to share them with consumers. Incentives for opex and capex are balanced with the incentives under our STPIS</w:t>
      </w:r>
      <w:r w:rsidR="0011519E" w:rsidRPr="0011519E">
        <w:rPr>
          <w:rStyle w:val="AERbody"/>
        </w:rPr>
        <w:t xml:space="preserve"> </w:t>
      </w:r>
      <w:r w:rsidR="0011519E">
        <w:rPr>
          <w:rStyle w:val="AERbody"/>
        </w:rPr>
        <w:t>to maintain or improve service quality</w:t>
      </w:r>
      <w:r w:rsidRPr="008E674B">
        <w:t xml:space="preserve">. </w:t>
      </w:r>
      <w:r>
        <w:t>The incentive schemes</w:t>
      </w:r>
      <w:r w:rsidRPr="008E674B">
        <w:t xml:space="preserve"> encourage businesses to make efficient decisions on when and what type of expenditure to incur, and meet service reliability targets. </w:t>
      </w:r>
    </w:p>
    <w:p w:rsidR="00E04EF0" w:rsidRDefault="00E04EF0" w:rsidP="008B40D8">
      <w:pPr>
        <w:pStyle w:val="Heading3"/>
        <w:ind w:left="720"/>
      </w:pPr>
      <w:bookmarkStart w:id="153" w:name="_Toc481051881"/>
      <w:r>
        <w:t>Efficiency benefit sharing scheme (EBSS)</w:t>
      </w:r>
      <w:bookmarkEnd w:id="153"/>
    </w:p>
    <w:p w:rsidR="009F73F3" w:rsidRPr="009F73F3" w:rsidRDefault="009F73F3" w:rsidP="009F73F3">
      <w:r w:rsidRPr="009F73F3">
        <w:t>The efficiency benefit sharing scheme (EBSS) provides an additional incentive for service providers to pursue efficiency improvements in operating expenditure (opex).</w:t>
      </w:r>
    </w:p>
    <w:p w:rsidR="009F73F3" w:rsidRPr="009F73F3" w:rsidRDefault="009F73F3" w:rsidP="009F73F3">
      <w:r w:rsidRPr="009F73F3">
        <w:t>To encourage a service provider to become more efficient, under an ex ante framework, a service provider retains any efficiency gains it makes until the end of the regulatory control period when its opex forecast is reset. The EBSS allows the service provider to retain any efficiency gains it makes for a total of six years, regardless of the ye</w:t>
      </w:r>
      <w:r>
        <w:t>ar in which the gains are made.</w:t>
      </w:r>
      <w:r>
        <w:rPr>
          <w:rStyle w:val="FootnoteReference"/>
        </w:rPr>
        <w:footnoteReference w:id="62"/>
      </w:r>
      <w:r w:rsidRPr="009F73F3">
        <w:t xml:space="preserve"> This provides a continuous incentive for service providers to pursue efficiency gains over the regulatory control period. It also discourages a service provider from incurring opex in the expected base year to receive a higher opex allowance in the following regulatory control period.</w:t>
      </w:r>
    </w:p>
    <w:p w:rsidR="009F73F3" w:rsidRPr="009F73F3" w:rsidRDefault="009F73F3" w:rsidP="009F73F3">
      <w:r w:rsidRPr="009F73F3">
        <w:t>During the 2012–17 regulatory control period, TasNetworks operated under the Electricity distribution network service provide</w:t>
      </w:r>
      <w:r>
        <w:t>rs' EBSS released in June 2008.</w:t>
      </w:r>
      <w:r>
        <w:rPr>
          <w:rStyle w:val="FootnoteReference"/>
        </w:rPr>
        <w:footnoteReference w:id="63"/>
      </w:r>
    </w:p>
    <w:p w:rsidR="009F73F3" w:rsidRPr="009F73F3" w:rsidRDefault="009F73F3" w:rsidP="009F73F3">
      <w:r w:rsidRPr="009F73F3">
        <w:t>We have determined an EBSS carryover amount of $23.</w:t>
      </w:r>
      <w:r w:rsidR="00216FD5">
        <w:t>7</w:t>
      </w:r>
      <w:r w:rsidR="00216FD5" w:rsidRPr="009F73F3">
        <w:t xml:space="preserve"> </w:t>
      </w:r>
      <w:r w:rsidRPr="009F73F3">
        <w:t>million ($2016–17)</w:t>
      </w:r>
      <w:r w:rsidR="00554A93">
        <w:t>,</w:t>
      </w:r>
      <w:r w:rsidRPr="009F73F3">
        <w:t xml:space="preserve"> from the application of the EBSS during the 201</w:t>
      </w:r>
      <w:r>
        <w:t>2–17 regulatory control period</w:t>
      </w:r>
      <w:r w:rsidR="00554A93">
        <w:t>, will be added to TasNetworks' allowed revenue</w:t>
      </w:r>
      <w:r>
        <w:t>.</w:t>
      </w:r>
      <w:r>
        <w:rPr>
          <w:rStyle w:val="FootnoteReference"/>
        </w:rPr>
        <w:footnoteReference w:id="64"/>
      </w:r>
      <w:r w:rsidRPr="009F73F3">
        <w:t xml:space="preserve"> This is consistent with TasNetworks' revised proposal. </w:t>
      </w:r>
    </w:p>
    <w:p w:rsidR="009F73F3" w:rsidRPr="009F73F3" w:rsidRDefault="001272E4" w:rsidP="006332DA">
      <w:pPr>
        <w:keepNext/>
      </w:pPr>
      <w:r>
        <w:lastRenderedPageBreak/>
        <w:t>O</w:t>
      </w:r>
      <w:r w:rsidR="009F73F3" w:rsidRPr="009F73F3">
        <w:t xml:space="preserve">ur final decision </w:t>
      </w:r>
      <w:r>
        <w:t>is higher than our</w:t>
      </w:r>
      <w:r w:rsidR="009F73F3" w:rsidRPr="009F73F3">
        <w:t xml:space="preserve"> draft decision </w:t>
      </w:r>
      <w:r>
        <w:t xml:space="preserve">because </w:t>
      </w:r>
      <w:r w:rsidR="009F73F3" w:rsidRPr="009F73F3">
        <w:t>we:</w:t>
      </w:r>
    </w:p>
    <w:p w:rsidR="009F73F3" w:rsidRPr="009F73F3" w:rsidRDefault="001272E4" w:rsidP="006332DA">
      <w:pPr>
        <w:pStyle w:val="AERbulletlistfirststyle"/>
        <w:keepNext/>
      </w:pPr>
      <w:r>
        <w:t xml:space="preserve">updated </w:t>
      </w:r>
      <w:r w:rsidR="009F73F3" w:rsidRPr="009F73F3">
        <w:t>estimated opex for 2015–16 with actual audited opex</w:t>
      </w:r>
    </w:p>
    <w:p w:rsidR="009F73F3" w:rsidRPr="009F73F3" w:rsidRDefault="001272E4" w:rsidP="009F73F3">
      <w:pPr>
        <w:pStyle w:val="AERbulletlistfirststyle"/>
      </w:pPr>
      <w:r>
        <w:t xml:space="preserve">updated </w:t>
      </w:r>
      <w:r w:rsidR="009F73F3" w:rsidRPr="009F73F3">
        <w:t>inflation with the most recent actuals</w:t>
      </w:r>
      <w:r>
        <w:t xml:space="preserve"> available</w:t>
      </w:r>
      <w:r w:rsidR="009F73F3" w:rsidRPr="009F73F3">
        <w:t>.</w:t>
      </w:r>
    </w:p>
    <w:p w:rsidR="009F73F3" w:rsidRPr="009F73F3" w:rsidRDefault="009F73F3" w:rsidP="009F73F3">
      <w:r w:rsidRPr="009F73F3">
        <w:t xml:space="preserve">Our final decision for the EBSS carryover amounts from the 2012–17 regulatory control </w:t>
      </w:r>
      <w:proofErr w:type="gramStart"/>
      <w:r w:rsidRPr="009F73F3">
        <w:t>period</w:t>
      </w:r>
      <w:proofErr w:type="gramEnd"/>
      <w:r w:rsidRPr="009F73F3">
        <w:t xml:space="preserve"> is outlined in</w:t>
      </w:r>
      <w:r w:rsidR="001272E4">
        <w:t xml:space="preserve"> </w:t>
      </w:r>
      <w:r w:rsidR="001272E4">
        <w:fldChar w:fldCharType="begin"/>
      </w:r>
      <w:r w:rsidR="001272E4">
        <w:instrText xml:space="preserve"> REF _Ref477363271 \h </w:instrText>
      </w:r>
      <w:r w:rsidR="001272E4">
        <w:fldChar w:fldCharType="separate"/>
      </w:r>
      <w:r w:rsidR="008B40D8">
        <w:t xml:space="preserve">Table </w:t>
      </w:r>
      <w:r w:rsidR="008B40D8">
        <w:rPr>
          <w:noProof/>
        </w:rPr>
        <w:t>4</w:t>
      </w:r>
      <w:r w:rsidR="008B40D8">
        <w:t>.</w:t>
      </w:r>
      <w:r w:rsidR="008B40D8">
        <w:rPr>
          <w:noProof/>
        </w:rPr>
        <w:t>1</w:t>
      </w:r>
      <w:r w:rsidR="001272E4">
        <w:fldChar w:fldCharType="end"/>
      </w:r>
      <w:r w:rsidRPr="009F73F3">
        <w:t xml:space="preserve">.  </w:t>
      </w:r>
    </w:p>
    <w:p w:rsidR="009F73F3" w:rsidRDefault="001272E4" w:rsidP="001272E4">
      <w:pPr>
        <w:pStyle w:val="Caption"/>
      </w:pPr>
      <w:bookmarkStart w:id="154" w:name="_Ref477363271"/>
      <w:r>
        <w:t xml:space="preserve">Table </w:t>
      </w:r>
      <w:r w:rsidR="00D96B78">
        <w:fldChar w:fldCharType="begin"/>
      </w:r>
      <w:r w:rsidR="00D96B78">
        <w:instrText xml:space="preserve"> STYLE</w:instrText>
      </w:r>
      <w:r w:rsidR="00D96B78">
        <w:instrText xml:space="preserve">REF 1 \s </w:instrText>
      </w:r>
      <w:r w:rsidR="00D96B78">
        <w:fldChar w:fldCharType="separate"/>
      </w:r>
      <w:r w:rsidR="008B40D8">
        <w:rPr>
          <w:noProof/>
        </w:rPr>
        <w:t>4</w:t>
      </w:r>
      <w:r w:rsidR="00D96B78">
        <w:rPr>
          <w:noProof/>
        </w:rPr>
        <w:fldChar w:fldCharType="end"/>
      </w:r>
      <w:r w:rsidR="00465A73">
        <w:t>.</w:t>
      </w:r>
      <w:r w:rsidR="00D96B78">
        <w:fldChar w:fldCharType="begin"/>
      </w:r>
      <w:r w:rsidR="00D96B78">
        <w:instrText xml:space="preserve"> SEQ Table \* ARABIC \s 1 </w:instrText>
      </w:r>
      <w:r w:rsidR="00D96B78">
        <w:fldChar w:fldCharType="separate"/>
      </w:r>
      <w:r w:rsidR="008B40D8">
        <w:rPr>
          <w:noProof/>
        </w:rPr>
        <w:t>1</w:t>
      </w:r>
      <w:r w:rsidR="00D96B78">
        <w:rPr>
          <w:noProof/>
        </w:rPr>
        <w:fldChar w:fldCharType="end"/>
      </w:r>
      <w:bookmarkEnd w:id="154"/>
      <w:r w:rsidR="009F73F3" w:rsidRPr="009F73F3">
        <w:tab/>
        <w:t xml:space="preserve">AER's final decision on TasNetworks' EBSS carryover amounts ($million, 2016–17) </w:t>
      </w:r>
    </w:p>
    <w:tbl>
      <w:tblPr>
        <w:tblStyle w:val="AERtable-numbers"/>
        <w:tblW w:w="8510" w:type="dxa"/>
        <w:tblLayout w:type="fixed"/>
        <w:tblLook w:val="04A0" w:firstRow="1" w:lastRow="0" w:firstColumn="1" w:lastColumn="0" w:noHBand="0" w:noVBand="1"/>
      </w:tblPr>
      <w:tblGrid>
        <w:gridCol w:w="3794"/>
        <w:gridCol w:w="1572"/>
        <w:gridCol w:w="1572"/>
        <w:gridCol w:w="1572"/>
      </w:tblGrid>
      <w:tr w:rsidR="009F73F3" w:rsidRPr="00CC6473" w:rsidTr="00F11D86">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794" w:type="dxa"/>
            <w:noWrap/>
            <w:hideMark/>
          </w:tcPr>
          <w:p w:rsidR="009F73F3" w:rsidRPr="009F73F3" w:rsidRDefault="009F73F3" w:rsidP="009F73F3">
            <w:r w:rsidRPr="009F73F3">
              <w:t> </w:t>
            </w:r>
          </w:p>
        </w:tc>
        <w:tc>
          <w:tcPr>
            <w:tcW w:w="1572" w:type="dxa"/>
            <w:noWrap/>
            <w:hideMark/>
          </w:tcPr>
          <w:p w:rsidR="009F73F3" w:rsidRPr="009F73F3" w:rsidRDefault="009F73F3" w:rsidP="009F73F3">
            <w:pPr>
              <w:cnfStyle w:val="100000000000" w:firstRow="1" w:lastRow="0" w:firstColumn="0" w:lastColumn="0" w:oddVBand="0" w:evenVBand="0" w:oddHBand="0" w:evenHBand="0" w:firstRowFirstColumn="0" w:firstRowLastColumn="0" w:lastRowFirstColumn="0" w:lastRowLastColumn="0"/>
            </w:pPr>
            <w:r w:rsidRPr="009F73F3">
              <w:t>2017–18</w:t>
            </w:r>
          </w:p>
        </w:tc>
        <w:tc>
          <w:tcPr>
            <w:tcW w:w="1572" w:type="dxa"/>
            <w:noWrap/>
            <w:hideMark/>
          </w:tcPr>
          <w:p w:rsidR="009F73F3" w:rsidRPr="009F73F3" w:rsidRDefault="009F73F3" w:rsidP="009F73F3">
            <w:pPr>
              <w:cnfStyle w:val="100000000000" w:firstRow="1" w:lastRow="0" w:firstColumn="0" w:lastColumn="0" w:oddVBand="0" w:evenVBand="0" w:oddHBand="0" w:evenHBand="0" w:firstRowFirstColumn="0" w:firstRowLastColumn="0" w:lastRowFirstColumn="0" w:lastRowLastColumn="0"/>
            </w:pPr>
            <w:r w:rsidRPr="009F73F3">
              <w:t>2018–19</w:t>
            </w:r>
          </w:p>
        </w:tc>
        <w:tc>
          <w:tcPr>
            <w:tcW w:w="1572" w:type="dxa"/>
            <w:noWrap/>
            <w:hideMark/>
          </w:tcPr>
          <w:p w:rsidR="009F73F3" w:rsidRPr="009F73F3" w:rsidRDefault="009F73F3" w:rsidP="009F73F3">
            <w:pPr>
              <w:cnfStyle w:val="100000000000" w:firstRow="1" w:lastRow="0" w:firstColumn="0" w:lastColumn="0" w:oddVBand="0" w:evenVBand="0" w:oddHBand="0" w:evenHBand="0" w:firstRowFirstColumn="0" w:firstRowLastColumn="0" w:lastRowFirstColumn="0" w:lastRowLastColumn="0"/>
            </w:pPr>
            <w:r w:rsidRPr="009F73F3">
              <w:t>Total</w:t>
            </w:r>
          </w:p>
        </w:tc>
      </w:tr>
      <w:tr w:rsidR="009F73F3" w:rsidRPr="00CC6473" w:rsidTr="00F11D86">
        <w:trPr>
          <w:trHeight w:val="287"/>
        </w:trPr>
        <w:tc>
          <w:tcPr>
            <w:cnfStyle w:val="001000000000" w:firstRow="0" w:lastRow="0" w:firstColumn="1" w:lastColumn="0" w:oddVBand="0" w:evenVBand="0" w:oddHBand="0" w:evenHBand="0" w:firstRowFirstColumn="0" w:firstRowLastColumn="0" w:lastRowFirstColumn="0" w:lastRowLastColumn="0"/>
            <w:tcW w:w="3794" w:type="dxa"/>
          </w:tcPr>
          <w:p w:rsidR="009F73F3" w:rsidRPr="009F73F3" w:rsidRDefault="009F73F3" w:rsidP="009F73F3">
            <w:r w:rsidRPr="009F73F3">
              <w:t>TasNetworks' proposal</w:t>
            </w:r>
          </w:p>
        </w:tc>
        <w:tc>
          <w:tcPr>
            <w:tcW w:w="1572" w:type="dxa"/>
            <w:noWrap/>
          </w:tcPr>
          <w:p w:rsidR="009F73F3" w:rsidRPr="009F73F3" w:rsidRDefault="009F73F3" w:rsidP="009F73F3">
            <w:pPr>
              <w:cnfStyle w:val="000000000000" w:firstRow="0" w:lastRow="0" w:firstColumn="0" w:lastColumn="0" w:oddVBand="0" w:evenVBand="0" w:oddHBand="0" w:evenHBand="0" w:firstRowFirstColumn="0" w:firstRowLastColumn="0" w:lastRowFirstColumn="0" w:lastRowLastColumn="0"/>
            </w:pPr>
            <w:r w:rsidRPr="009F73F3">
              <w:t>20.6</w:t>
            </w:r>
          </w:p>
        </w:tc>
        <w:tc>
          <w:tcPr>
            <w:tcW w:w="1572" w:type="dxa"/>
            <w:noWrap/>
          </w:tcPr>
          <w:p w:rsidR="009F73F3" w:rsidRPr="009F73F3" w:rsidRDefault="009F73F3" w:rsidP="009F73F3">
            <w:pPr>
              <w:cnfStyle w:val="000000000000" w:firstRow="0" w:lastRow="0" w:firstColumn="0" w:lastColumn="0" w:oddVBand="0" w:evenVBand="0" w:oddHBand="0" w:evenHBand="0" w:firstRowFirstColumn="0" w:firstRowLastColumn="0" w:lastRowFirstColumn="0" w:lastRowLastColumn="0"/>
            </w:pPr>
            <w:r w:rsidRPr="009F73F3">
              <w:t>20.6</w:t>
            </w:r>
          </w:p>
        </w:tc>
        <w:tc>
          <w:tcPr>
            <w:tcW w:w="1572" w:type="dxa"/>
            <w:noWrap/>
          </w:tcPr>
          <w:p w:rsidR="009F73F3" w:rsidRPr="009F73F3" w:rsidRDefault="009F73F3" w:rsidP="009F73F3">
            <w:pPr>
              <w:cnfStyle w:val="000000000000" w:firstRow="0" w:lastRow="0" w:firstColumn="0" w:lastColumn="0" w:oddVBand="0" w:evenVBand="0" w:oddHBand="0" w:evenHBand="0" w:firstRowFirstColumn="0" w:firstRowLastColumn="0" w:lastRowFirstColumn="0" w:lastRowLastColumn="0"/>
              <w:rPr>
                <w:rStyle w:val="Strong"/>
              </w:rPr>
            </w:pPr>
            <w:r w:rsidRPr="009F73F3">
              <w:rPr>
                <w:rStyle w:val="Strong"/>
              </w:rPr>
              <w:t>41.1</w:t>
            </w:r>
          </w:p>
        </w:tc>
      </w:tr>
      <w:tr w:rsidR="009F73F3" w:rsidRPr="00CC6473" w:rsidTr="00F11D86">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794" w:type="dxa"/>
          </w:tcPr>
          <w:p w:rsidR="009F73F3" w:rsidRPr="009F73F3" w:rsidRDefault="009F73F3" w:rsidP="009F73F3">
            <w:r w:rsidRPr="009F73F3">
              <w:t xml:space="preserve">Draft decision </w:t>
            </w:r>
          </w:p>
        </w:tc>
        <w:tc>
          <w:tcPr>
            <w:tcW w:w="1572" w:type="dxa"/>
            <w:noWrap/>
          </w:tcPr>
          <w:p w:rsidR="009F73F3" w:rsidRPr="009F73F3" w:rsidRDefault="009F73F3" w:rsidP="009F73F3">
            <w:pPr>
              <w:cnfStyle w:val="000000010000" w:firstRow="0" w:lastRow="0" w:firstColumn="0" w:lastColumn="0" w:oddVBand="0" w:evenVBand="0" w:oddHBand="0" w:evenHBand="1" w:firstRowFirstColumn="0" w:firstRowLastColumn="0" w:lastRowFirstColumn="0" w:lastRowLastColumn="0"/>
            </w:pPr>
            <w:r w:rsidRPr="009F73F3">
              <w:t xml:space="preserve">9.0 </w:t>
            </w:r>
          </w:p>
        </w:tc>
        <w:tc>
          <w:tcPr>
            <w:tcW w:w="1572" w:type="dxa"/>
            <w:noWrap/>
          </w:tcPr>
          <w:p w:rsidR="009F73F3" w:rsidRPr="009F73F3" w:rsidRDefault="009F73F3" w:rsidP="009F73F3">
            <w:pPr>
              <w:cnfStyle w:val="000000010000" w:firstRow="0" w:lastRow="0" w:firstColumn="0" w:lastColumn="0" w:oddVBand="0" w:evenVBand="0" w:oddHBand="0" w:evenHBand="1" w:firstRowFirstColumn="0" w:firstRowLastColumn="0" w:lastRowFirstColumn="0" w:lastRowLastColumn="0"/>
            </w:pPr>
            <w:r w:rsidRPr="009F73F3">
              <w:t xml:space="preserve">9.0 </w:t>
            </w:r>
          </w:p>
        </w:tc>
        <w:tc>
          <w:tcPr>
            <w:tcW w:w="1572" w:type="dxa"/>
            <w:noWrap/>
          </w:tcPr>
          <w:p w:rsidR="009F73F3" w:rsidRPr="009F73F3" w:rsidRDefault="009F73F3" w:rsidP="009F73F3">
            <w:pPr>
              <w:cnfStyle w:val="000000010000" w:firstRow="0" w:lastRow="0" w:firstColumn="0" w:lastColumn="0" w:oddVBand="0" w:evenVBand="0" w:oddHBand="0" w:evenHBand="1" w:firstRowFirstColumn="0" w:firstRowLastColumn="0" w:lastRowFirstColumn="0" w:lastRowLastColumn="0"/>
              <w:rPr>
                <w:rStyle w:val="Strong"/>
              </w:rPr>
            </w:pPr>
            <w:r w:rsidRPr="009F73F3">
              <w:rPr>
                <w:rStyle w:val="Strong"/>
              </w:rPr>
              <w:t>18.1</w:t>
            </w:r>
          </w:p>
        </w:tc>
      </w:tr>
      <w:tr w:rsidR="009F73F3" w:rsidRPr="00CC6473" w:rsidTr="00F11D86">
        <w:trPr>
          <w:trHeight w:val="287"/>
        </w:trPr>
        <w:tc>
          <w:tcPr>
            <w:cnfStyle w:val="001000000000" w:firstRow="0" w:lastRow="0" w:firstColumn="1" w:lastColumn="0" w:oddVBand="0" w:evenVBand="0" w:oddHBand="0" w:evenHBand="0" w:firstRowFirstColumn="0" w:firstRowLastColumn="0" w:lastRowFirstColumn="0" w:lastRowLastColumn="0"/>
            <w:tcW w:w="3794" w:type="dxa"/>
          </w:tcPr>
          <w:p w:rsidR="009F73F3" w:rsidRPr="009F73F3" w:rsidRDefault="009F73F3" w:rsidP="009F73F3">
            <w:r w:rsidRPr="009F73F3">
              <w:t>TasNetworks' revised proposal</w:t>
            </w:r>
          </w:p>
        </w:tc>
        <w:tc>
          <w:tcPr>
            <w:tcW w:w="1572" w:type="dxa"/>
            <w:noWrap/>
          </w:tcPr>
          <w:p w:rsidR="009F73F3" w:rsidRPr="009F73F3" w:rsidRDefault="009F73F3" w:rsidP="009F73F3">
            <w:pPr>
              <w:cnfStyle w:val="000000000000" w:firstRow="0" w:lastRow="0" w:firstColumn="0" w:lastColumn="0" w:oddVBand="0" w:evenVBand="0" w:oddHBand="0" w:evenHBand="0" w:firstRowFirstColumn="0" w:firstRowLastColumn="0" w:lastRowFirstColumn="0" w:lastRowLastColumn="0"/>
            </w:pPr>
            <w:r w:rsidRPr="009F73F3">
              <w:t>11.9</w:t>
            </w:r>
          </w:p>
        </w:tc>
        <w:tc>
          <w:tcPr>
            <w:tcW w:w="1572" w:type="dxa"/>
            <w:noWrap/>
          </w:tcPr>
          <w:p w:rsidR="009F73F3" w:rsidRPr="009F73F3" w:rsidRDefault="009F73F3" w:rsidP="009F73F3">
            <w:pPr>
              <w:cnfStyle w:val="000000000000" w:firstRow="0" w:lastRow="0" w:firstColumn="0" w:lastColumn="0" w:oddVBand="0" w:evenVBand="0" w:oddHBand="0" w:evenHBand="0" w:firstRowFirstColumn="0" w:firstRowLastColumn="0" w:lastRowFirstColumn="0" w:lastRowLastColumn="0"/>
            </w:pPr>
            <w:r w:rsidRPr="009F73F3">
              <w:t>11.9</w:t>
            </w:r>
          </w:p>
        </w:tc>
        <w:tc>
          <w:tcPr>
            <w:tcW w:w="1572" w:type="dxa"/>
            <w:noWrap/>
          </w:tcPr>
          <w:p w:rsidR="009F73F3" w:rsidRPr="009F73F3" w:rsidRDefault="009F73F3" w:rsidP="009F73F3">
            <w:pPr>
              <w:cnfStyle w:val="000000000000" w:firstRow="0" w:lastRow="0" w:firstColumn="0" w:lastColumn="0" w:oddVBand="0" w:evenVBand="0" w:oddHBand="0" w:evenHBand="0" w:firstRowFirstColumn="0" w:firstRowLastColumn="0" w:lastRowFirstColumn="0" w:lastRowLastColumn="0"/>
              <w:rPr>
                <w:rStyle w:val="Strong"/>
              </w:rPr>
            </w:pPr>
            <w:r w:rsidRPr="009F73F3">
              <w:rPr>
                <w:rStyle w:val="Strong"/>
              </w:rPr>
              <w:t>23.8</w:t>
            </w:r>
          </w:p>
        </w:tc>
      </w:tr>
      <w:tr w:rsidR="009F73F3" w:rsidRPr="00CC6473" w:rsidTr="00F11D86">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794" w:type="dxa"/>
          </w:tcPr>
          <w:p w:rsidR="009F73F3" w:rsidRPr="009F73F3" w:rsidRDefault="009F73F3" w:rsidP="009F73F3">
            <w:r w:rsidRPr="009F73F3">
              <w:t>Final decision</w:t>
            </w:r>
          </w:p>
        </w:tc>
        <w:tc>
          <w:tcPr>
            <w:tcW w:w="1572" w:type="dxa"/>
            <w:noWrap/>
          </w:tcPr>
          <w:p w:rsidR="009F73F3" w:rsidRPr="009F73F3" w:rsidRDefault="009F73F3" w:rsidP="00216FD5">
            <w:pPr>
              <w:cnfStyle w:val="000000010000" w:firstRow="0" w:lastRow="0" w:firstColumn="0" w:lastColumn="0" w:oddVBand="0" w:evenVBand="0" w:oddHBand="0" w:evenHBand="1" w:firstRowFirstColumn="0" w:firstRowLastColumn="0" w:lastRowFirstColumn="0" w:lastRowLastColumn="0"/>
            </w:pPr>
            <w:r w:rsidRPr="009F73F3">
              <w:t>11.</w:t>
            </w:r>
            <w:r w:rsidR="00216FD5">
              <w:t>8</w:t>
            </w:r>
          </w:p>
        </w:tc>
        <w:tc>
          <w:tcPr>
            <w:tcW w:w="1572" w:type="dxa"/>
            <w:noWrap/>
          </w:tcPr>
          <w:p w:rsidR="009F73F3" w:rsidRPr="009F73F3" w:rsidRDefault="009F73F3" w:rsidP="00216FD5">
            <w:pPr>
              <w:cnfStyle w:val="000000010000" w:firstRow="0" w:lastRow="0" w:firstColumn="0" w:lastColumn="0" w:oddVBand="0" w:evenVBand="0" w:oddHBand="0" w:evenHBand="1" w:firstRowFirstColumn="0" w:firstRowLastColumn="0" w:lastRowFirstColumn="0" w:lastRowLastColumn="0"/>
            </w:pPr>
            <w:r w:rsidRPr="009F73F3">
              <w:t>11.</w:t>
            </w:r>
            <w:r w:rsidR="00216FD5">
              <w:t>8</w:t>
            </w:r>
          </w:p>
        </w:tc>
        <w:tc>
          <w:tcPr>
            <w:tcW w:w="1572" w:type="dxa"/>
            <w:noWrap/>
          </w:tcPr>
          <w:p w:rsidR="009F73F3" w:rsidRPr="009F73F3" w:rsidRDefault="009F73F3" w:rsidP="00216FD5">
            <w:pPr>
              <w:cnfStyle w:val="000000010000" w:firstRow="0" w:lastRow="0" w:firstColumn="0" w:lastColumn="0" w:oddVBand="0" w:evenVBand="0" w:oddHBand="0" w:evenHBand="1" w:firstRowFirstColumn="0" w:firstRowLastColumn="0" w:lastRowFirstColumn="0" w:lastRowLastColumn="0"/>
              <w:rPr>
                <w:rStyle w:val="Strong"/>
              </w:rPr>
            </w:pPr>
            <w:r w:rsidRPr="009F73F3">
              <w:rPr>
                <w:rStyle w:val="Strong"/>
              </w:rPr>
              <w:t>23.</w:t>
            </w:r>
            <w:r w:rsidR="00216FD5">
              <w:rPr>
                <w:rStyle w:val="Strong"/>
              </w:rPr>
              <w:t>7</w:t>
            </w:r>
          </w:p>
        </w:tc>
      </w:tr>
    </w:tbl>
    <w:p w:rsidR="009F73F3" w:rsidRPr="009F73F3" w:rsidRDefault="009F73F3" w:rsidP="001272E4">
      <w:pPr>
        <w:pStyle w:val="Source"/>
      </w:pPr>
      <w:r w:rsidRPr="009F73F3">
        <w:t xml:space="preserve">Source: TasNetworks, Revised regulatory proposal 2017–19, PTRM; AER analysis. Totals may not add up due to rounding. </w:t>
      </w:r>
    </w:p>
    <w:p w:rsidR="009F73F3" w:rsidRPr="009F73F3" w:rsidRDefault="009F73F3" w:rsidP="009F73F3">
      <w:r w:rsidRPr="009F73F3">
        <w:t>Looking forward, our final decision is to apply version two of the EBSS to TasNetworks in the 2017–19 regu</w:t>
      </w:r>
      <w:r>
        <w:t>latory control period.</w:t>
      </w:r>
      <w:r>
        <w:rPr>
          <w:rStyle w:val="FootnoteReference"/>
        </w:rPr>
        <w:footnoteReference w:id="65"/>
      </w:r>
      <w:r w:rsidRPr="009F73F3">
        <w:t xml:space="preserve"> This is consistent with our draft decision and TasNetworks revised proposal.</w:t>
      </w:r>
      <w:r>
        <w:rPr>
          <w:rStyle w:val="FootnoteReference"/>
        </w:rPr>
        <w:footnoteReference w:id="66"/>
      </w:r>
      <w:r w:rsidRPr="009F73F3">
        <w:t xml:space="preserve">  </w:t>
      </w:r>
    </w:p>
    <w:p w:rsidR="00E04EF0" w:rsidRDefault="009F73F3" w:rsidP="00E04EF0">
      <w:r w:rsidRPr="009F73F3">
        <w:t>Attachment 9 sets out our final decision on the target opex for the EBSS (total opex less excluded categories) that we will use to calculate efficiency gains in the 2017–19 regulatory control period.</w:t>
      </w:r>
    </w:p>
    <w:p w:rsidR="00E04EF0" w:rsidRDefault="00E04EF0" w:rsidP="008B40D8">
      <w:pPr>
        <w:pStyle w:val="Heading3"/>
        <w:ind w:left="720"/>
      </w:pPr>
      <w:bookmarkStart w:id="155" w:name="_Ref478558572"/>
      <w:bookmarkStart w:id="156" w:name="_Toc481051882"/>
      <w:r>
        <w:t>Capital expenditure sharing scheme (CESS)</w:t>
      </w:r>
      <w:bookmarkEnd w:id="155"/>
      <w:bookmarkEnd w:id="156"/>
    </w:p>
    <w:p w:rsidR="00F83919" w:rsidRDefault="00F83919" w:rsidP="00F83919">
      <w:pPr>
        <w:rPr>
          <w:rStyle w:val="AERbody"/>
        </w:rPr>
      </w:pPr>
      <w:r>
        <w:rPr>
          <w:rStyle w:val="AERbody"/>
        </w:rPr>
        <w:t xml:space="preserve">The CESS provides an incentive for service providers to pursue efficiency improvements in capex. Similar to the EBSS, the CESS provides a network service provider with the same reward for an efficiency saving and the same penalty for an efficiency loss regardless of which year they make the saving or loss. </w:t>
      </w:r>
    </w:p>
    <w:p w:rsidR="00F83919" w:rsidRDefault="00F83919" w:rsidP="00F83919">
      <w:pPr>
        <w:rPr>
          <w:rStyle w:val="AERbody"/>
        </w:rPr>
      </w:pPr>
      <w:r>
        <w:rPr>
          <w:rStyle w:val="AERbody"/>
        </w:rPr>
        <w:t xml:space="preserve">Under the CESS a service provider retains 30 per cent of the benefit or cost of an underspend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 the service provider pays for 30 cents of the cost while consumers bear 70 cents of the cost. </w:t>
      </w:r>
    </w:p>
    <w:p w:rsidR="00E04EF0" w:rsidRDefault="00F83919" w:rsidP="00F83919">
      <w:r w:rsidRPr="00B138C5">
        <w:lastRenderedPageBreak/>
        <w:t>We will apply the CESS as set out in version 1 of the capital expenditure incentives guideline to TasNetworks in the 2017–19 regulatory control period.</w:t>
      </w:r>
      <w:r w:rsidRPr="00B138C5">
        <w:rPr>
          <w:rStyle w:val="FootnoteReference"/>
        </w:rPr>
        <w:footnoteReference w:id="67"/>
      </w:r>
      <w:r w:rsidRPr="00B138C5">
        <w:t xml:space="preserve"> This is consistent with </w:t>
      </w:r>
      <w:r>
        <w:t xml:space="preserve">our draft decision position and </w:t>
      </w:r>
      <w:r w:rsidRPr="00B138C5">
        <w:t xml:space="preserve">the proposed approach we set out in our </w:t>
      </w:r>
      <w:r>
        <w:t>final F&amp;A</w:t>
      </w:r>
      <w:r w:rsidRPr="00B138C5">
        <w:t>.</w:t>
      </w:r>
      <w:r w:rsidRPr="00B138C5">
        <w:rPr>
          <w:rStyle w:val="FootnoteReference"/>
        </w:rPr>
        <w:footnoteReference w:id="68"/>
      </w:r>
    </w:p>
    <w:p w:rsidR="00E04EF0" w:rsidRDefault="00E04EF0" w:rsidP="008B40D8">
      <w:pPr>
        <w:pStyle w:val="Heading3"/>
        <w:ind w:left="720"/>
      </w:pPr>
      <w:bookmarkStart w:id="157" w:name="_Ref478558668"/>
      <w:bookmarkStart w:id="158" w:name="_Toc481051883"/>
      <w:r>
        <w:t>Service target performance incentive scheme (STPIS)</w:t>
      </w:r>
      <w:bookmarkEnd w:id="157"/>
      <w:bookmarkEnd w:id="158"/>
    </w:p>
    <w:p w:rsidR="00E04EF0" w:rsidRDefault="00E04EF0" w:rsidP="00E04EF0">
      <w:pPr>
        <w:rPr>
          <w:rStyle w:val="AERbody"/>
        </w:rPr>
      </w:pPr>
      <w:r>
        <w:rPr>
          <w:rStyle w:val="AERbody"/>
        </w:rPr>
        <w:t xml:space="preserve">The STPIS is intended to balance a business' incentive to reduce expenditure with the need to maintain or improve service quality. It achieves this by providing financial incentives to businesses to maintain and improve service performance where customers are willing to pay for these improvements. </w:t>
      </w:r>
    </w:p>
    <w:p w:rsidR="00E04EF0" w:rsidRDefault="00E04EF0" w:rsidP="00E04EF0">
      <w:pPr>
        <w:rPr>
          <w:rStyle w:val="AERbody"/>
        </w:rPr>
      </w:pPr>
      <w:r>
        <w:rPr>
          <w:rStyle w:val="AERbody"/>
        </w:rPr>
        <w:t xml:space="preserve">Businesses can only retain their rewards for sustained and continuous improvements to the reliability of supply for customers. Once improvements are made, the benchmark performance targets will be tightened in future years. </w:t>
      </w:r>
    </w:p>
    <w:p w:rsidR="00E04EF0" w:rsidRDefault="00E04EF0" w:rsidP="00E04EF0">
      <w:r>
        <w:t>TasNetworks has accepted our draft decision</w:t>
      </w:r>
      <w:r w:rsidR="00531BDA">
        <w:t xml:space="preserve"> on STPIS</w:t>
      </w:r>
      <w:r>
        <w:t>.</w:t>
      </w:r>
      <w:r>
        <w:rPr>
          <w:rStyle w:val="FootnoteReference"/>
        </w:rPr>
        <w:footnoteReference w:id="69"/>
      </w:r>
      <w:r>
        <w:t xml:space="preserve"> For the final decision, we have updated</w:t>
      </w:r>
      <w:r w:rsidRPr="003238EE">
        <w:t xml:space="preserve"> the </w:t>
      </w:r>
      <w:r>
        <w:t xml:space="preserve">STPIS </w:t>
      </w:r>
      <w:r w:rsidRPr="003238EE">
        <w:t>targets and incentive rates to include 2015</w:t>
      </w:r>
      <w:r w:rsidR="00DE53D7">
        <w:t>–</w:t>
      </w:r>
      <w:r w:rsidRPr="003238EE">
        <w:t xml:space="preserve">16 actual </w:t>
      </w:r>
      <w:r w:rsidR="00BF3DB2">
        <w:t xml:space="preserve">performance outcome </w:t>
      </w:r>
      <w:r w:rsidRPr="003238EE">
        <w:t xml:space="preserve">data and corrected historical performance data, which have </w:t>
      </w:r>
      <w:r>
        <w:t>been independently verified by TasNe</w:t>
      </w:r>
      <w:r w:rsidR="0011519E">
        <w:t>t</w:t>
      </w:r>
      <w:r>
        <w:t>works'</w:t>
      </w:r>
      <w:r w:rsidRPr="003238EE">
        <w:t xml:space="preserve"> auditor.</w:t>
      </w:r>
      <w:r>
        <w:rPr>
          <w:rStyle w:val="FootnoteReference"/>
        </w:rPr>
        <w:footnoteReference w:id="70"/>
      </w:r>
    </w:p>
    <w:p w:rsidR="00E04EF0" w:rsidRDefault="00DE53D7" w:rsidP="00E04EF0">
      <w:r>
        <w:t xml:space="preserve">The </w:t>
      </w:r>
      <w:r w:rsidR="00E04EF0" w:rsidRPr="003238EE">
        <w:t>Tasmanian Small Business Council (TSBC) suppor</w:t>
      </w:r>
      <w:r w:rsidR="00E04EF0">
        <w:t xml:space="preserve">ted </w:t>
      </w:r>
      <w:r w:rsidR="00531BDA">
        <w:t xml:space="preserve">our </w:t>
      </w:r>
      <w:r w:rsidR="00E04EF0">
        <w:t>draft decision</w:t>
      </w:r>
      <w:r w:rsidR="00E04EF0" w:rsidRPr="003238EE">
        <w:t>.</w:t>
      </w:r>
      <w:r w:rsidR="00E04EF0">
        <w:rPr>
          <w:rStyle w:val="FootnoteReference"/>
        </w:rPr>
        <w:footnoteReference w:id="71"/>
      </w:r>
    </w:p>
    <w:p w:rsidR="00E04EF0" w:rsidRPr="003238EE" w:rsidRDefault="00E04EF0" w:rsidP="00E04EF0">
      <w:r w:rsidRPr="003238EE">
        <w:t xml:space="preserve">David Headberry </w:t>
      </w:r>
      <w:r w:rsidR="00BF3DB2">
        <w:t xml:space="preserve">of </w:t>
      </w:r>
      <w:r w:rsidR="006332DA">
        <w:t xml:space="preserve">the </w:t>
      </w:r>
      <w:r w:rsidR="00BF3DB2">
        <w:t>C</w:t>
      </w:r>
      <w:r w:rsidR="00DE53D7">
        <w:t xml:space="preserve">onsumer </w:t>
      </w:r>
      <w:r w:rsidR="00BF3DB2">
        <w:t>C</w:t>
      </w:r>
      <w:r w:rsidR="00DE53D7">
        <w:t xml:space="preserve">hallenge </w:t>
      </w:r>
      <w:r w:rsidR="00BF3DB2">
        <w:t>P</w:t>
      </w:r>
      <w:r w:rsidR="00DE53D7">
        <w:t>anel</w:t>
      </w:r>
      <w:r w:rsidR="00BF3DB2">
        <w:t xml:space="preserve"> </w:t>
      </w:r>
      <w:r w:rsidRPr="003238EE">
        <w:t xml:space="preserve">recommended that the targets for reliability under the STPIS should be adjusted to reflect the expected average improvement in reliability </w:t>
      </w:r>
      <w:r>
        <w:t xml:space="preserve">from the </w:t>
      </w:r>
      <w:r w:rsidRPr="003238EE">
        <w:t>r</w:t>
      </w:r>
      <w:r>
        <w:t>eliability and congestion capex</w:t>
      </w:r>
      <w:r w:rsidRPr="003238EE">
        <w:t>.</w:t>
      </w:r>
      <w:r>
        <w:rPr>
          <w:rStyle w:val="FootnoteReference"/>
        </w:rPr>
        <w:footnoteReference w:id="72"/>
      </w:r>
      <w:r w:rsidRPr="003238EE">
        <w:t xml:space="preserve"> </w:t>
      </w:r>
    </w:p>
    <w:p w:rsidR="00E04EF0" w:rsidRPr="003238EE" w:rsidRDefault="00E04EF0" w:rsidP="00E04EF0">
      <w:r w:rsidRPr="003238EE">
        <w:t>In the draft decision, we clarified that TasNetworks' capex for the current and next regulatory control period does not contain reliability improvement expenditure.</w:t>
      </w:r>
      <w:r>
        <w:rPr>
          <w:rStyle w:val="FootnoteReference"/>
        </w:rPr>
        <w:footnoteReference w:id="73"/>
      </w:r>
      <w:r w:rsidRPr="003238EE">
        <w:t xml:space="preserve"> Consequently, we have not made adjustments to the targets</w:t>
      </w:r>
      <w:r w:rsidR="00531BDA">
        <w:t xml:space="preserve"> for reliability improvement capex</w:t>
      </w:r>
      <w:r w:rsidRPr="003238EE">
        <w:t xml:space="preserve">, which are based on the relevant historical average levels. </w:t>
      </w:r>
    </w:p>
    <w:p w:rsidR="00E04EF0" w:rsidRDefault="00E04EF0" w:rsidP="00E04EF0">
      <w:r>
        <w:t xml:space="preserve">Our final decision is to </w:t>
      </w:r>
      <w:r w:rsidRPr="00BB14A0">
        <w:t xml:space="preserve">apply </w:t>
      </w:r>
      <w:r>
        <w:t xml:space="preserve">the national STPIS to TasNetworks in the 2017–19 regulatory control period. We will not apply the guaranteed service level (GSL) </w:t>
      </w:r>
      <w:r>
        <w:lastRenderedPageBreak/>
        <w:t>component as TasNetworks is subject to a jurisdictional GSL scheme.</w:t>
      </w:r>
      <w:r>
        <w:rPr>
          <w:rStyle w:val="FootnoteReference"/>
        </w:rPr>
        <w:footnoteReference w:id="74"/>
      </w:r>
      <w:r>
        <w:t xml:space="preserve"> This is consistent with our final F&amp;A.</w:t>
      </w:r>
      <w:r w:rsidRPr="001D5B65">
        <w:rPr>
          <w:rStyle w:val="FootnoteReference"/>
        </w:rPr>
        <w:footnoteReference w:id="75"/>
      </w:r>
      <w:r>
        <w:t xml:space="preserve"> </w:t>
      </w:r>
    </w:p>
    <w:p w:rsidR="00E04EF0" w:rsidRDefault="00E04EF0" w:rsidP="00CF0826">
      <w:r w:rsidRPr="00465A73">
        <w:rPr>
          <w:rStyle w:val="AERbody"/>
        </w:rPr>
        <w:fldChar w:fldCharType="begin"/>
      </w:r>
      <w:r w:rsidRPr="00465A73">
        <w:rPr>
          <w:rStyle w:val="AERbody"/>
        </w:rPr>
        <w:instrText xml:space="preserve"> REF _Ref417394508 \h </w:instrText>
      </w:r>
      <w:r w:rsidR="00CF0826" w:rsidRPr="00465A73">
        <w:rPr>
          <w:rStyle w:val="AERbody"/>
        </w:rPr>
        <w:instrText xml:space="preserve"> \* MERGEFORMAT </w:instrText>
      </w:r>
      <w:r w:rsidRPr="00465A73">
        <w:rPr>
          <w:rStyle w:val="AERbody"/>
        </w:rPr>
      </w:r>
      <w:r w:rsidRPr="00465A73">
        <w:rPr>
          <w:rStyle w:val="AERbody"/>
        </w:rPr>
        <w:fldChar w:fldCharType="separate"/>
      </w:r>
      <w:r w:rsidR="008B40D8" w:rsidRPr="008B40D8">
        <w:rPr>
          <w:rStyle w:val="AERbody"/>
        </w:rPr>
        <w:t>Table 4.2</w:t>
      </w:r>
      <w:r w:rsidRPr="00465A73">
        <w:rPr>
          <w:rStyle w:val="AERbody"/>
        </w:rPr>
        <w:fldChar w:fldCharType="end"/>
      </w:r>
      <w:r w:rsidRPr="00465A73">
        <w:rPr>
          <w:rStyle w:val="AERbody"/>
        </w:rPr>
        <w:t xml:space="preserve"> and </w:t>
      </w:r>
      <w:r w:rsidRPr="00465A73">
        <w:rPr>
          <w:rStyle w:val="AERbody"/>
        </w:rPr>
        <w:fldChar w:fldCharType="begin"/>
      </w:r>
      <w:r w:rsidRPr="00465A73">
        <w:rPr>
          <w:rStyle w:val="AERbody"/>
        </w:rPr>
        <w:instrText xml:space="preserve"> REF _Ref429039906 \h </w:instrText>
      </w:r>
      <w:r w:rsidR="00CF0826" w:rsidRPr="00465A73">
        <w:rPr>
          <w:rStyle w:val="AERbody"/>
        </w:rPr>
        <w:instrText xml:space="preserve"> \* MERGEFORMAT </w:instrText>
      </w:r>
      <w:r w:rsidRPr="00465A73">
        <w:rPr>
          <w:rStyle w:val="AERbody"/>
        </w:rPr>
      </w:r>
      <w:r w:rsidRPr="00465A73">
        <w:rPr>
          <w:rStyle w:val="AERbody"/>
        </w:rPr>
        <w:fldChar w:fldCharType="separate"/>
      </w:r>
      <w:r w:rsidR="008B40D8" w:rsidRPr="008B40D8">
        <w:rPr>
          <w:rStyle w:val="AERbody"/>
        </w:rPr>
        <w:t>Table 4.3</w:t>
      </w:r>
      <w:r w:rsidRPr="00465A73">
        <w:rPr>
          <w:rStyle w:val="AERbody"/>
        </w:rPr>
        <w:fldChar w:fldCharType="end"/>
      </w:r>
      <w:r>
        <w:t xml:space="preserve"> </w:t>
      </w:r>
      <w:r w:rsidRPr="000B05E8">
        <w:t xml:space="preserve">present </w:t>
      </w:r>
      <w:r>
        <w:t xml:space="preserve">our final decision on the applicable incentive rates and targets that will be applied to </w:t>
      </w:r>
      <w:r>
        <w:rPr>
          <w:rStyle w:val="AERbody"/>
        </w:rPr>
        <w:t>TasNetworks'</w:t>
      </w:r>
      <w:r>
        <w:t xml:space="preserve"> STPIS for the 2017–19 regulatory </w:t>
      </w:r>
      <w:proofErr w:type="gramStart"/>
      <w:r>
        <w:t>period</w:t>
      </w:r>
      <w:proofErr w:type="gramEnd"/>
      <w:r>
        <w:t xml:space="preserve">. </w:t>
      </w:r>
      <w:r w:rsidRPr="002A3A62">
        <w:t xml:space="preserve">The incentive rate for the </w:t>
      </w:r>
      <w:r>
        <w:t xml:space="preserve">customer service component </w:t>
      </w:r>
      <w:r w:rsidRPr="002A3A62">
        <w:t xml:space="preserve">will be </w:t>
      </w:r>
      <w:r>
        <w:t>–0.040</w:t>
      </w:r>
      <w:r w:rsidRPr="002A3A62">
        <w:t xml:space="preserve"> per cent per unit of the telephone answering parameter.</w:t>
      </w:r>
      <w:r>
        <w:rPr>
          <w:rStyle w:val="FootnoteReference"/>
        </w:rPr>
        <w:footnoteReference w:id="76"/>
      </w:r>
      <w:r>
        <w:t xml:space="preserve"> </w:t>
      </w:r>
    </w:p>
    <w:p w:rsidR="00E04EF0" w:rsidRPr="00696547" w:rsidRDefault="00E04EF0" w:rsidP="00E04EF0">
      <w:r>
        <w:t xml:space="preserve">The </w:t>
      </w:r>
      <w:r w:rsidR="00BF3DB2" w:rsidRPr="00BF3DB2">
        <w:t xml:space="preserve">value of customer reliability </w:t>
      </w:r>
      <w:r w:rsidR="00BF3DB2">
        <w:t>(</w:t>
      </w:r>
      <w:r>
        <w:t>VCR</w:t>
      </w:r>
      <w:r w:rsidR="00BF3DB2">
        <w:t>)</w:t>
      </w:r>
      <w:r>
        <w:t xml:space="preserve"> for network segments is outlined </w:t>
      </w:r>
      <w:r w:rsidRPr="00465A73">
        <w:rPr>
          <w:rStyle w:val="AERbody"/>
        </w:rPr>
        <w:t xml:space="preserve">in </w:t>
      </w:r>
      <w:r w:rsidRPr="00465A73">
        <w:rPr>
          <w:rStyle w:val="AERbody"/>
        </w:rPr>
        <w:fldChar w:fldCharType="begin"/>
      </w:r>
      <w:r w:rsidRPr="00465A73">
        <w:rPr>
          <w:rStyle w:val="AERbody"/>
        </w:rPr>
        <w:instrText xml:space="preserve"> REF _Ref429063196 \h </w:instrText>
      </w:r>
      <w:r w:rsidR="00CF0826">
        <w:rPr>
          <w:rStyle w:val="AERbody"/>
        </w:rPr>
        <w:instrText xml:space="preserve"> \* MERGEFORMAT </w:instrText>
      </w:r>
      <w:r w:rsidRPr="00465A73">
        <w:rPr>
          <w:rStyle w:val="AERbody"/>
        </w:rPr>
      </w:r>
      <w:r w:rsidRPr="00465A73">
        <w:rPr>
          <w:rStyle w:val="AERbody"/>
        </w:rPr>
        <w:fldChar w:fldCharType="separate"/>
      </w:r>
      <w:r w:rsidR="008B40D8" w:rsidRPr="008B40D8">
        <w:rPr>
          <w:rStyle w:val="AERbody"/>
        </w:rPr>
        <w:t>Table 4.4</w:t>
      </w:r>
      <w:r w:rsidRPr="00465A73">
        <w:rPr>
          <w:rStyle w:val="AERbody"/>
        </w:rPr>
        <w:fldChar w:fldCharType="end"/>
      </w:r>
      <w:r w:rsidRPr="00465A73">
        <w:rPr>
          <w:rStyle w:val="AERbody"/>
        </w:rPr>
        <w:t>.</w:t>
      </w:r>
      <w:r>
        <w:t xml:space="preserve"> We have applied this VCR to calculate its incentives rates for 2017–19.</w:t>
      </w:r>
    </w:p>
    <w:p w:rsidR="00E04EF0" w:rsidRPr="00A946AA" w:rsidRDefault="00E04EF0" w:rsidP="00CF0826">
      <w:pPr>
        <w:pStyle w:val="Caption"/>
      </w:pPr>
      <w:bookmarkStart w:id="159" w:name="_Ref417394508"/>
      <w:r w:rsidRPr="00465A73">
        <w:rPr>
          <w:rStyle w:val="AERbody"/>
          <w:color w:val="076A92" w:themeColor="text1"/>
          <w:sz w:val="24"/>
        </w:rPr>
        <w:t xml:space="preserve">Table </w:t>
      </w:r>
      <w:r w:rsidR="00465A73">
        <w:rPr>
          <w:rStyle w:val="AERbody"/>
          <w:color w:val="076A92" w:themeColor="text1"/>
          <w:sz w:val="24"/>
        </w:rPr>
        <w:fldChar w:fldCharType="begin"/>
      </w:r>
      <w:r w:rsidR="00465A73">
        <w:rPr>
          <w:rStyle w:val="AERbody"/>
          <w:color w:val="076A92" w:themeColor="text1"/>
          <w:sz w:val="24"/>
        </w:rPr>
        <w:instrText xml:space="preserve"> STYLEREF 1 \s </w:instrText>
      </w:r>
      <w:r w:rsidR="00465A73">
        <w:rPr>
          <w:rStyle w:val="AERbody"/>
          <w:color w:val="076A92" w:themeColor="text1"/>
          <w:sz w:val="24"/>
        </w:rPr>
        <w:fldChar w:fldCharType="separate"/>
      </w:r>
      <w:r w:rsidR="008B40D8">
        <w:rPr>
          <w:rStyle w:val="AERbody"/>
          <w:noProof/>
          <w:color w:val="076A92" w:themeColor="text1"/>
          <w:sz w:val="24"/>
        </w:rPr>
        <w:t>4</w:t>
      </w:r>
      <w:r w:rsidR="00465A73">
        <w:rPr>
          <w:rStyle w:val="AERbody"/>
          <w:color w:val="076A92" w:themeColor="text1"/>
          <w:sz w:val="24"/>
        </w:rPr>
        <w:fldChar w:fldCharType="end"/>
      </w:r>
      <w:r w:rsidR="00465A73">
        <w:rPr>
          <w:rStyle w:val="AERbody"/>
          <w:color w:val="076A92" w:themeColor="text1"/>
          <w:sz w:val="24"/>
        </w:rPr>
        <w:t>.</w:t>
      </w:r>
      <w:r w:rsidR="00465A73">
        <w:rPr>
          <w:rStyle w:val="AERbody"/>
          <w:color w:val="076A92" w:themeColor="text1"/>
          <w:sz w:val="24"/>
        </w:rPr>
        <w:fldChar w:fldCharType="begin"/>
      </w:r>
      <w:r w:rsidR="00465A73">
        <w:rPr>
          <w:rStyle w:val="AERbody"/>
          <w:color w:val="076A92" w:themeColor="text1"/>
          <w:sz w:val="24"/>
        </w:rPr>
        <w:instrText xml:space="preserve"> SEQ Table \* ARABIC \s 1 </w:instrText>
      </w:r>
      <w:r w:rsidR="00465A73">
        <w:rPr>
          <w:rStyle w:val="AERbody"/>
          <w:color w:val="076A92" w:themeColor="text1"/>
          <w:sz w:val="24"/>
        </w:rPr>
        <w:fldChar w:fldCharType="separate"/>
      </w:r>
      <w:r w:rsidR="008B40D8">
        <w:rPr>
          <w:rStyle w:val="AERbody"/>
          <w:noProof/>
          <w:color w:val="076A92" w:themeColor="text1"/>
          <w:sz w:val="24"/>
        </w:rPr>
        <w:t>2</w:t>
      </w:r>
      <w:r w:rsidR="00465A73">
        <w:rPr>
          <w:rStyle w:val="AERbody"/>
          <w:color w:val="076A92" w:themeColor="text1"/>
          <w:sz w:val="24"/>
        </w:rPr>
        <w:fldChar w:fldCharType="end"/>
      </w:r>
      <w:bookmarkStart w:id="160" w:name="_Ref417394504"/>
      <w:bookmarkEnd w:id="159"/>
      <w:r w:rsidRPr="00CF0826">
        <w:tab/>
        <w:t>Final decision—STPIS incentive rates for TasNetworks for the</w:t>
      </w:r>
      <w:r>
        <w:t xml:space="preserve"> 2017–</w:t>
      </w:r>
      <w:bookmarkEnd w:id="160"/>
      <w:r>
        <w:t>19 regulatory period</w:t>
      </w:r>
    </w:p>
    <w:tbl>
      <w:tblPr>
        <w:tblStyle w:val="AERtable-numbers"/>
        <w:tblW w:w="5000" w:type="pct"/>
        <w:tblLook w:val="04A0" w:firstRow="1" w:lastRow="0" w:firstColumn="1" w:lastColumn="0" w:noHBand="0" w:noVBand="1"/>
      </w:tblPr>
      <w:tblGrid>
        <w:gridCol w:w="1449"/>
        <w:gridCol w:w="1449"/>
        <w:gridCol w:w="1449"/>
        <w:gridCol w:w="1449"/>
        <w:gridCol w:w="1449"/>
        <w:gridCol w:w="1448"/>
      </w:tblGrid>
      <w:tr w:rsidR="00E04EF0" w:rsidRPr="00A946AA" w:rsidTr="00E04EF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3" w:type="pct"/>
            <w:hideMark/>
          </w:tcPr>
          <w:p w:rsidR="00E04EF0" w:rsidRPr="00E04EF0" w:rsidRDefault="00E04EF0" w:rsidP="00E04EF0">
            <w:pPr>
              <w:pStyle w:val="Tabletext-centred"/>
            </w:pPr>
            <w:r w:rsidRPr="00086019">
              <w:t> </w:t>
            </w:r>
          </w:p>
        </w:tc>
        <w:tc>
          <w:tcPr>
            <w:tcW w:w="833" w:type="pct"/>
            <w:vAlign w:val="top"/>
          </w:tcPr>
          <w:p w:rsidR="00E04EF0" w:rsidRPr="00E04EF0" w:rsidRDefault="00E04EF0" w:rsidP="00E04EF0">
            <w:pPr>
              <w:cnfStyle w:val="100000000000" w:firstRow="1" w:lastRow="0" w:firstColumn="0" w:lastColumn="0" w:oddVBand="0" w:evenVBand="0" w:oddHBand="0" w:evenHBand="0" w:firstRowFirstColumn="0" w:firstRowLastColumn="0" w:lastRowFirstColumn="0" w:lastRowLastColumn="0"/>
            </w:pPr>
            <w:r w:rsidRPr="00086019">
              <w:t>Critical Infrastructure</w:t>
            </w:r>
          </w:p>
        </w:tc>
        <w:tc>
          <w:tcPr>
            <w:tcW w:w="833" w:type="pct"/>
            <w:vAlign w:val="top"/>
          </w:tcPr>
          <w:p w:rsidR="00E04EF0" w:rsidRPr="00E04EF0" w:rsidRDefault="00E04EF0" w:rsidP="00E04EF0">
            <w:pPr>
              <w:cnfStyle w:val="100000000000" w:firstRow="1" w:lastRow="0" w:firstColumn="0" w:lastColumn="0" w:oddVBand="0" w:evenVBand="0" w:oddHBand="0" w:evenHBand="0" w:firstRowFirstColumn="0" w:firstRowLastColumn="0" w:lastRowFirstColumn="0" w:lastRowLastColumn="0"/>
            </w:pPr>
            <w:r w:rsidRPr="00086019">
              <w:t>High Density Commercial</w:t>
            </w:r>
          </w:p>
        </w:tc>
        <w:tc>
          <w:tcPr>
            <w:tcW w:w="833" w:type="pct"/>
            <w:vAlign w:val="top"/>
          </w:tcPr>
          <w:p w:rsidR="00E04EF0" w:rsidRPr="00E04EF0" w:rsidRDefault="00E04EF0" w:rsidP="00E04EF0">
            <w:pPr>
              <w:cnfStyle w:val="100000000000" w:firstRow="1" w:lastRow="0" w:firstColumn="0" w:lastColumn="0" w:oddVBand="0" w:evenVBand="0" w:oddHBand="0" w:evenHBand="0" w:firstRowFirstColumn="0" w:firstRowLastColumn="0" w:lastRowFirstColumn="0" w:lastRowLastColumn="0"/>
            </w:pPr>
            <w:r w:rsidRPr="00086019">
              <w:t>Urban</w:t>
            </w:r>
          </w:p>
        </w:tc>
        <w:tc>
          <w:tcPr>
            <w:tcW w:w="833" w:type="pct"/>
            <w:vAlign w:val="top"/>
          </w:tcPr>
          <w:p w:rsidR="00E04EF0" w:rsidRPr="00E04EF0" w:rsidRDefault="00E04EF0" w:rsidP="00E04EF0">
            <w:pPr>
              <w:cnfStyle w:val="100000000000" w:firstRow="1" w:lastRow="0" w:firstColumn="0" w:lastColumn="0" w:oddVBand="0" w:evenVBand="0" w:oddHBand="0" w:evenHBand="0" w:firstRowFirstColumn="0" w:firstRowLastColumn="0" w:lastRowFirstColumn="0" w:lastRowLastColumn="0"/>
            </w:pPr>
            <w:r w:rsidRPr="00086019">
              <w:t xml:space="preserve">High </w:t>
            </w:r>
            <w:r w:rsidRPr="00E04EF0">
              <w:t>Density Rural</w:t>
            </w:r>
          </w:p>
        </w:tc>
        <w:tc>
          <w:tcPr>
            <w:tcW w:w="833" w:type="pct"/>
            <w:vAlign w:val="top"/>
          </w:tcPr>
          <w:p w:rsidR="00E04EF0" w:rsidRPr="00E04EF0" w:rsidRDefault="00E04EF0" w:rsidP="00E04EF0">
            <w:pPr>
              <w:cnfStyle w:val="100000000000" w:firstRow="1" w:lastRow="0" w:firstColumn="0" w:lastColumn="0" w:oddVBand="0" w:evenVBand="0" w:oddHBand="0" w:evenHBand="0" w:firstRowFirstColumn="0" w:firstRowLastColumn="0" w:lastRowFirstColumn="0" w:lastRowLastColumn="0"/>
            </w:pPr>
            <w:r w:rsidRPr="00086019">
              <w:t>Low Density Rural</w:t>
            </w:r>
          </w:p>
        </w:tc>
      </w:tr>
      <w:tr w:rsidR="00CF0826" w:rsidRPr="00A946AA" w:rsidTr="00E04EF0">
        <w:trPr>
          <w:trHeight w:val="465"/>
        </w:trPr>
        <w:tc>
          <w:tcPr>
            <w:cnfStyle w:val="001000000000" w:firstRow="0" w:lastRow="0" w:firstColumn="1" w:lastColumn="0" w:oddVBand="0" w:evenVBand="0" w:oddHBand="0" w:evenHBand="0" w:firstRowFirstColumn="0" w:firstRowLastColumn="0" w:lastRowFirstColumn="0" w:lastRowLastColumn="0"/>
            <w:tcW w:w="833" w:type="pct"/>
            <w:hideMark/>
          </w:tcPr>
          <w:p w:rsidR="00CF0826" w:rsidRPr="00CF0826" w:rsidRDefault="00CF0826" w:rsidP="00CF0826">
            <w:r w:rsidRPr="00CF0826">
              <w:t>SAIDI</w:t>
            </w:r>
          </w:p>
        </w:tc>
        <w:tc>
          <w:tcPr>
            <w:tcW w:w="833" w:type="pct"/>
            <w:vAlign w:val="top"/>
          </w:tcPr>
          <w:p w:rsidR="00CF0826" w:rsidRPr="00CF0826" w:rsidRDefault="00CF0826" w:rsidP="00CF0826">
            <w:pPr>
              <w:cnfStyle w:val="000000000000" w:firstRow="0" w:lastRow="0" w:firstColumn="0" w:lastColumn="0" w:oddVBand="0" w:evenVBand="0" w:oddHBand="0" w:evenHBand="0" w:firstRowFirstColumn="0" w:firstRowLastColumn="0" w:lastRowFirstColumn="0" w:lastRowLastColumn="0"/>
            </w:pPr>
            <w:r w:rsidRPr="00CF0826">
              <w:t>0.0031</w:t>
            </w:r>
          </w:p>
        </w:tc>
        <w:tc>
          <w:tcPr>
            <w:tcW w:w="833" w:type="pct"/>
            <w:vAlign w:val="top"/>
          </w:tcPr>
          <w:p w:rsidR="00CF0826" w:rsidRPr="00CF0826" w:rsidRDefault="00CF0826" w:rsidP="00CF0826">
            <w:pPr>
              <w:cnfStyle w:val="000000000000" w:firstRow="0" w:lastRow="0" w:firstColumn="0" w:lastColumn="0" w:oddVBand="0" w:evenVBand="0" w:oddHBand="0" w:evenHBand="0" w:firstRowFirstColumn="0" w:firstRowLastColumn="0" w:lastRowFirstColumn="0" w:lastRowLastColumn="0"/>
            </w:pPr>
            <w:r w:rsidRPr="00CF0826">
              <w:t>0.0034</w:t>
            </w:r>
          </w:p>
        </w:tc>
        <w:tc>
          <w:tcPr>
            <w:tcW w:w="833" w:type="pct"/>
            <w:vAlign w:val="top"/>
          </w:tcPr>
          <w:p w:rsidR="00CF0826" w:rsidRPr="00CF0826" w:rsidRDefault="00CF0826" w:rsidP="00CF0826">
            <w:pPr>
              <w:cnfStyle w:val="000000000000" w:firstRow="0" w:lastRow="0" w:firstColumn="0" w:lastColumn="0" w:oddVBand="0" w:evenVBand="0" w:oddHBand="0" w:evenHBand="0" w:firstRowFirstColumn="0" w:firstRowLastColumn="0" w:lastRowFirstColumn="0" w:lastRowLastColumn="0"/>
            </w:pPr>
            <w:r w:rsidRPr="00CF0826">
              <w:t>0.0358</w:t>
            </w:r>
          </w:p>
        </w:tc>
        <w:tc>
          <w:tcPr>
            <w:tcW w:w="833" w:type="pct"/>
            <w:vAlign w:val="top"/>
          </w:tcPr>
          <w:p w:rsidR="00CF0826" w:rsidRPr="00CF0826" w:rsidRDefault="00CF0826" w:rsidP="00CF0826">
            <w:pPr>
              <w:cnfStyle w:val="000000000000" w:firstRow="0" w:lastRow="0" w:firstColumn="0" w:lastColumn="0" w:oddVBand="0" w:evenVBand="0" w:oddHBand="0" w:evenHBand="0" w:firstRowFirstColumn="0" w:firstRowLastColumn="0" w:lastRowFirstColumn="0" w:lastRowLastColumn="0"/>
            </w:pPr>
            <w:r w:rsidRPr="00CF0826">
              <w:t>0.0091</w:t>
            </w:r>
          </w:p>
        </w:tc>
        <w:tc>
          <w:tcPr>
            <w:tcW w:w="833" w:type="pct"/>
            <w:vAlign w:val="top"/>
          </w:tcPr>
          <w:p w:rsidR="00CF0826" w:rsidRPr="00CF0826" w:rsidRDefault="00CF0826" w:rsidP="00CF0826">
            <w:pPr>
              <w:cnfStyle w:val="000000000000" w:firstRow="0" w:lastRow="0" w:firstColumn="0" w:lastColumn="0" w:oddVBand="0" w:evenVBand="0" w:oddHBand="0" w:evenHBand="0" w:firstRowFirstColumn="0" w:firstRowLastColumn="0" w:lastRowFirstColumn="0" w:lastRowLastColumn="0"/>
            </w:pPr>
            <w:r w:rsidRPr="00CF0826">
              <w:t>0.0123</w:t>
            </w:r>
          </w:p>
        </w:tc>
      </w:tr>
      <w:tr w:rsidR="00CF0826" w:rsidRPr="00A946AA" w:rsidTr="00E04E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33" w:type="pct"/>
          </w:tcPr>
          <w:p w:rsidR="00CF0826" w:rsidRPr="00CF0826" w:rsidRDefault="00CF0826" w:rsidP="00CF0826">
            <w:r w:rsidRPr="00CF0826">
              <w:t>SAIFI</w:t>
            </w:r>
          </w:p>
        </w:tc>
        <w:tc>
          <w:tcPr>
            <w:tcW w:w="833" w:type="pct"/>
            <w:vAlign w:val="top"/>
          </w:tcPr>
          <w:p w:rsidR="00CF0826" w:rsidRPr="00CF0826" w:rsidRDefault="00CF0826" w:rsidP="00CF0826">
            <w:pPr>
              <w:cnfStyle w:val="000000010000" w:firstRow="0" w:lastRow="0" w:firstColumn="0" w:lastColumn="0" w:oddVBand="0" w:evenVBand="0" w:oddHBand="0" w:evenHBand="1" w:firstRowFirstColumn="0" w:firstRowLastColumn="0" w:lastRowFirstColumn="0" w:lastRowLastColumn="0"/>
            </w:pPr>
            <w:r w:rsidRPr="00CF0826">
              <w:t>0.2691</w:t>
            </w:r>
          </w:p>
        </w:tc>
        <w:tc>
          <w:tcPr>
            <w:tcW w:w="833" w:type="pct"/>
            <w:vAlign w:val="top"/>
          </w:tcPr>
          <w:p w:rsidR="00CF0826" w:rsidRPr="00CF0826" w:rsidRDefault="00CF0826" w:rsidP="00CF0826">
            <w:pPr>
              <w:cnfStyle w:val="000000010000" w:firstRow="0" w:lastRow="0" w:firstColumn="0" w:lastColumn="0" w:oddVBand="0" w:evenVBand="0" w:oddHBand="0" w:evenHBand="1" w:firstRowFirstColumn="0" w:firstRowLastColumn="0" w:lastRowFirstColumn="0" w:lastRowLastColumn="0"/>
            </w:pPr>
            <w:r w:rsidRPr="00CF0826">
              <w:t>0.2540</w:t>
            </w:r>
          </w:p>
        </w:tc>
        <w:tc>
          <w:tcPr>
            <w:tcW w:w="833" w:type="pct"/>
            <w:vAlign w:val="top"/>
          </w:tcPr>
          <w:p w:rsidR="00CF0826" w:rsidRPr="00CF0826" w:rsidRDefault="00CF0826" w:rsidP="00CF0826">
            <w:pPr>
              <w:cnfStyle w:val="000000010000" w:firstRow="0" w:lastRow="0" w:firstColumn="0" w:lastColumn="0" w:oddVBand="0" w:evenVBand="0" w:oddHBand="0" w:evenHBand="1" w:firstRowFirstColumn="0" w:firstRowLastColumn="0" w:lastRowFirstColumn="0" w:lastRowLastColumn="0"/>
            </w:pPr>
            <w:r w:rsidRPr="00CF0826">
              <w:t>2.9206</w:t>
            </w:r>
          </w:p>
        </w:tc>
        <w:tc>
          <w:tcPr>
            <w:tcW w:w="833" w:type="pct"/>
            <w:vAlign w:val="top"/>
          </w:tcPr>
          <w:p w:rsidR="00CF0826" w:rsidRPr="00CF0826" w:rsidRDefault="00CF0826" w:rsidP="00CF0826">
            <w:pPr>
              <w:cnfStyle w:val="000000010000" w:firstRow="0" w:lastRow="0" w:firstColumn="0" w:lastColumn="0" w:oddVBand="0" w:evenVBand="0" w:oddHBand="0" w:evenHBand="1" w:firstRowFirstColumn="0" w:firstRowLastColumn="0" w:lastRowFirstColumn="0" w:lastRowLastColumn="0"/>
            </w:pPr>
            <w:r w:rsidRPr="00CF0826">
              <w:t>0.9623</w:t>
            </w:r>
          </w:p>
        </w:tc>
        <w:tc>
          <w:tcPr>
            <w:tcW w:w="833" w:type="pct"/>
            <w:vAlign w:val="top"/>
          </w:tcPr>
          <w:p w:rsidR="00CF0826" w:rsidRPr="00CF0826" w:rsidRDefault="00CF0826" w:rsidP="00CF0826">
            <w:pPr>
              <w:cnfStyle w:val="000000010000" w:firstRow="0" w:lastRow="0" w:firstColumn="0" w:lastColumn="0" w:oddVBand="0" w:evenVBand="0" w:oddHBand="0" w:evenHBand="1" w:firstRowFirstColumn="0" w:firstRowLastColumn="0" w:lastRowFirstColumn="0" w:lastRowLastColumn="0"/>
            </w:pPr>
            <w:r w:rsidRPr="00CF0826">
              <w:t>1.7322</w:t>
            </w:r>
          </w:p>
        </w:tc>
      </w:tr>
    </w:tbl>
    <w:p w:rsidR="00E04EF0" w:rsidRDefault="00E04EF0" w:rsidP="00E04EF0">
      <w:pPr>
        <w:pStyle w:val="AERtablesource"/>
      </w:pPr>
      <w:r>
        <w:t>Source: AER analysis.</w:t>
      </w:r>
    </w:p>
    <w:p w:rsidR="00E04EF0" w:rsidRDefault="00E04EF0" w:rsidP="00CF0826">
      <w:pPr>
        <w:pStyle w:val="Caption"/>
      </w:pPr>
      <w:bookmarkStart w:id="161" w:name="_Ref429039906"/>
      <w:r w:rsidRPr="00531BDA">
        <w:rPr>
          <w:rStyle w:val="AERtexthighlight"/>
          <w:shd w:val="clear" w:color="auto" w:fill="auto"/>
        </w:rPr>
        <w:t xml:space="preserve">Table </w:t>
      </w:r>
      <w:r w:rsidR="00465A73">
        <w:rPr>
          <w:rStyle w:val="AERtexthighlight"/>
          <w:shd w:val="clear" w:color="auto" w:fill="auto"/>
        </w:rPr>
        <w:fldChar w:fldCharType="begin"/>
      </w:r>
      <w:r w:rsidR="00465A73">
        <w:rPr>
          <w:rStyle w:val="AERtexthighlight"/>
          <w:shd w:val="clear" w:color="auto" w:fill="auto"/>
        </w:rPr>
        <w:instrText xml:space="preserve"> STYLEREF 1 \s </w:instrText>
      </w:r>
      <w:r w:rsidR="00465A73">
        <w:rPr>
          <w:rStyle w:val="AERtexthighlight"/>
          <w:shd w:val="clear" w:color="auto" w:fill="auto"/>
        </w:rPr>
        <w:fldChar w:fldCharType="separate"/>
      </w:r>
      <w:r w:rsidR="008B40D8">
        <w:rPr>
          <w:rStyle w:val="AERtexthighlight"/>
          <w:noProof/>
          <w:shd w:val="clear" w:color="auto" w:fill="auto"/>
        </w:rPr>
        <w:t>4</w:t>
      </w:r>
      <w:r w:rsidR="00465A73">
        <w:rPr>
          <w:rStyle w:val="AERtexthighlight"/>
          <w:shd w:val="clear" w:color="auto" w:fill="auto"/>
        </w:rPr>
        <w:fldChar w:fldCharType="end"/>
      </w:r>
      <w:r w:rsidR="00465A73">
        <w:rPr>
          <w:rStyle w:val="AERtexthighlight"/>
          <w:shd w:val="clear" w:color="auto" w:fill="auto"/>
        </w:rPr>
        <w:t>.</w:t>
      </w:r>
      <w:r w:rsidR="00465A73">
        <w:rPr>
          <w:rStyle w:val="AERtexthighlight"/>
          <w:shd w:val="clear" w:color="auto" w:fill="auto"/>
        </w:rPr>
        <w:fldChar w:fldCharType="begin"/>
      </w:r>
      <w:r w:rsidR="00465A73">
        <w:rPr>
          <w:rStyle w:val="AERtexthighlight"/>
          <w:shd w:val="clear" w:color="auto" w:fill="auto"/>
        </w:rPr>
        <w:instrText xml:space="preserve"> SEQ Table \* ARABIC \s 1 </w:instrText>
      </w:r>
      <w:r w:rsidR="00465A73">
        <w:rPr>
          <w:rStyle w:val="AERtexthighlight"/>
          <w:shd w:val="clear" w:color="auto" w:fill="auto"/>
        </w:rPr>
        <w:fldChar w:fldCharType="separate"/>
      </w:r>
      <w:r w:rsidR="008B40D8">
        <w:rPr>
          <w:rStyle w:val="AERtexthighlight"/>
          <w:noProof/>
          <w:shd w:val="clear" w:color="auto" w:fill="auto"/>
        </w:rPr>
        <w:t>3</w:t>
      </w:r>
      <w:r w:rsidR="00465A73">
        <w:rPr>
          <w:rStyle w:val="AERtexthighlight"/>
          <w:shd w:val="clear" w:color="auto" w:fill="auto"/>
        </w:rPr>
        <w:fldChar w:fldCharType="end"/>
      </w:r>
      <w:bookmarkEnd w:id="161"/>
      <w:r w:rsidRPr="00CF0826">
        <w:tab/>
        <w:t>Final decision—STPIS reliability targets for TasNetworks for</w:t>
      </w:r>
      <w:r>
        <w:t xml:space="preserve"> the 2017–19 regulatory period</w:t>
      </w:r>
    </w:p>
    <w:tbl>
      <w:tblPr>
        <w:tblStyle w:val="AERtable-numbers"/>
        <w:tblW w:w="5000" w:type="pct"/>
        <w:tblLook w:val="04A0" w:firstRow="1" w:lastRow="0" w:firstColumn="1" w:lastColumn="0" w:noHBand="0" w:noVBand="1"/>
      </w:tblPr>
      <w:tblGrid>
        <w:gridCol w:w="2389"/>
        <w:gridCol w:w="6304"/>
      </w:tblGrid>
      <w:tr w:rsidR="00E04EF0" w:rsidRPr="00670E6D" w:rsidTr="006332D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374" w:type="pct"/>
            <w:hideMark/>
          </w:tcPr>
          <w:p w:rsidR="00E04EF0" w:rsidRPr="00670E6D" w:rsidRDefault="00E04EF0" w:rsidP="00E04EF0">
            <w:pPr>
              <w:pStyle w:val="Tabletext-centred"/>
            </w:pPr>
          </w:p>
        </w:tc>
        <w:tc>
          <w:tcPr>
            <w:tcW w:w="3626" w:type="pct"/>
          </w:tcPr>
          <w:p w:rsidR="00E04EF0" w:rsidRPr="00E04EF0" w:rsidRDefault="00E04EF0" w:rsidP="00E04EF0">
            <w:pPr>
              <w:pStyle w:val="AERtabletextright"/>
              <w:cnfStyle w:val="100000000000" w:firstRow="1" w:lastRow="0" w:firstColumn="0" w:lastColumn="0" w:oddVBand="0" w:evenVBand="0" w:oddHBand="0" w:evenHBand="0" w:firstRowFirstColumn="0" w:firstRowLastColumn="0" w:lastRowFirstColumn="0" w:lastRowLastColumn="0"/>
            </w:pPr>
            <w:r w:rsidRPr="00086019">
              <w:t>value</w:t>
            </w:r>
          </w:p>
        </w:tc>
      </w:tr>
      <w:tr w:rsidR="00E04EF0" w:rsidRPr="00670E6D" w:rsidTr="00E04EF0">
        <w:trPr>
          <w:trHeight w:val="465"/>
        </w:trPr>
        <w:tc>
          <w:tcPr>
            <w:cnfStyle w:val="001000000000" w:firstRow="0" w:lastRow="0" w:firstColumn="1" w:lastColumn="0" w:oddVBand="0" w:evenVBand="0" w:oddHBand="0" w:evenHBand="0" w:firstRowFirstColumn="0" w:firstRowLastColumn="0" w:lastRowFirstColumn="0" w:lastRowLastColumn="0"/>
            <w:tcW w:w="1374" w:type="pct"/>
          </w:tcPr>
          <w:p w:rsidR="00E04EF0" w:rsidRPr="00E04EF0" w:rsidRDefault="00E04EF0" w:rsidP="00E04EF0">
            <w:pPr>
              <w:rPr>
                <w:rStyle w:val="Strong"/>
              </w:rPr>
            </w:pPr>
            <w:r w:rsidRPr="00856AD8">
              <w:rPr>
                <w:rStyle w:val="Strong"/>
              </w:rPr>
              <w:t xml:space="preserve">Critical </w:t>
            </w:r>
            <w:r w:rsidRPr="00E04EF0">
              <w:rPr>
                <w:rStyle w:val="Strong"/>
              </w:rPr>
              <w:t>Infrastructure</w:t>
            </w:r>
          </w:p>
        </w:tc>
        <w:tc>
          <w:tcPr>
            <w:tcW w:w="3626" w:type="pct"/>
          </w:tcPr>
          <w:p w:rsidR="00E04EF0" w:rsidRPr="00856AD8" w:rsidRDefault="00E04EF0" w:rsidP="00E04EF0">
            <w:pPr>
              <w:cnfStyle w:val="000000000000" w:firstRow="0" w:lastRow="0" w:firstColumn="0" w:lastColumn="0" w:oddVBand="0" w:evenVBand="0" w:oddHBand="0" w:evenHBand="0" w:firstRowFirstColumn="0" w:firstRowLastColumn="0" w:lastRowFirstColumn="0" w:lastRowLastColumn="0"/>
            </w:pPr>
          </w:p>
        </w:tc>
      </w:tr>
      <w:tr w:rsidR="009E45B0" w:rsidRPr="00670E6D" w:rsidTr="00E04E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4" w:type="pct"/>
            <w:hideMark/>
          </w:tcPr>
          <w:p w:rsidR="009E45B0" w:rsidRPr="009E45B0" w:rsidRDefault="009E45B0" w:rsidP="009E45B0">
            <w:r w:rsidRPr="009E45B0">
              <w:t>SAIDI</w:t>
            </w:r>
          </w:p>
        </w:tc>
        <w:tc>
          <w:tcPr>
            <w:tcW w:w="3626" w:type="pct"/>
            <w:vAlign w:val="top"/>
          </w:tcPr>
          <w:p w:rsidR="009E45B0" w:rsidRPr="009E45B0" w:rsidRDefault="009E45B0" w:rsidP="009E45B0">
            <w:pPr>
              <w:cnfStyle w:val="000000010000" w:firstRow="0" w:lastRow="0" w:firstColumn="0" w:lastColumn="0" w:oddVBand="0" w:evenVBand="0" w:oddHBand="0" w:evenHBand="1" w:firstRowFirstColumn="0" w:firstRowLastColumn="0" w:lastRowFirstColumn="0" w:lastRowLastColumn="0"/>
            </w:pPr>
            <w:r w:rsidRPr="009E45B0">
              <w:t>27.829</w:t>
            </w:r>
          </w:p>
        </w:tc>
      </w:tr>
      <w:tr w:rsidR="009E45B0" w:rsidRPr="00670E6D" w:rsidTr="00E04EF0">
        <w:trPr>
          <w:trHeight w:val="465"/>
        </w:trPr>
        <w:tc>
          <w:tcPr>
            <w:cnfStyle w:val="001000000000" w:firstRow="0" w:lastRow="0" w:firstColumn="1" w:lastColumn="0" w:oddVBand="0" w:evenVBand="0" w:oddHBand="0" w:evenHBand="0" w:firstRowFirstColumn="0" w:firstRowLastColumn="0" w:lastRowFirstColumn="0" w:lastRowLastColumn="0"/>
            <w:tcW w:w="1374" w:type="pct"/>
          </w:tcPr>
          <w:p w:rsidR="009E45B0" w:rsidRPr="009E45B0" w:rsidRDefault="009E45B0" w:rsidP="009E45B0">
            <w:r w:rsidRPr="009E45B0">
              <w:t>SAIFI</w:t>
            </w:r>
          </w:p>
        </w:tc>
        <w:tc>
          <w:tcPr>
            <w:tcW w:w="3626" w:type="pct"/>
            <w:vAlign w:val="top"/>
          </w:tcPr>
          <w:p w:rsidR="009E45B0" w:rsidRPr="009E45B0" w:rsidRDefault="009E45B0" w:rsidP="009E45B0">
            <w:pPr>
              <w:cnfStyle w:val="000000000000" w:firstRow="0" w:lastRow="0" w:firstColumn="0" w:lastColumn="0" w:oddVBand="0" w:evenVBand="0" w:oddHBand="0" w:evenHBand="0" w:firstRowFirstColumn="0" w:firstRowLastColumn="0" w:lastRowFirstColumn="0" w:lastRowLastColumn="0"/>
            </w:pPr>
            <w:r w:rsidRPr="009E45B0">
              <w:t>0.282</w:t>
            </w:r>
          </w:p>
        </w:tc>
      </w:tr>
      <w:tr w:rsidR="00E04EF0" w:rsidRPr="00670E6D" w:rsidTr="00E04E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4" w:type="pct"/>
          </w:tcPr>
          <w:p w:rsidR="00E04EF0" w:rsidRPr="00E04EF0" w:rsidRDefault="00E04EF0" w:rsidP="00E04EF0">
            <w:pPr>
              <w:rPr>
                <w:rStyle w:val="Strong"/>
              </w:rPr>
            </w:pPr>
            <w:r w:rsidRPr="004C501B">
              <w:rPr>
                <w:rStyle w:val="Strong"/>
              </w:rPr>
              <w:t>High Density Commercial</w:t>
            </w:r>
          </w:p>
        </w:tc>
        <w:tc>
          <w:tcPr>
            <w:tcW w:w="3626" w:type="pct"/>
          </w:tcPr>
          <w:p w:rsidR="00E04EF0" w:rsidRPr="004C501B" w:rsidRDefault="00E04EF0" w:rsidP="00E04EF0">
            <w:pPr>
              <w:cnfStyle w:val="000000010000" w:firstRow="0" w:lastRow="0" w:firstColumn="0" w:lastColumn="0" w:oddVBand="0" w:evenVBand="0" w:oddHBand="0" w:evenHBand="1" w:firstRowFirstColumn="0" w:firstRowLastColumn="0" w:lastRowFirstColumn="0" w:lastRowLastColumn="0"/>
            </w:pPr>
          </w:p>
        </w:tc>
      </w:tr>
      <w:tr w:rsidR="009E45B0" w:rsidRPr="00670E6D" w:rsidTr="00E04EF0">
        <w:trPr>
          <w:trHeight w:val="465"/>
        </w:trPr>
        <w:tc>
          <w:tcPr>
            <w:cnfStyle w:val="001000000000" w:firstRow="0" w:lastRow="0" w:firstColumn="1" w:lastColumn="0" w:oddVBand="0" w:evenVBand="0" w:oddHBand="0" w:evenHBand="0" w:firstRowFirstColumn="0" w:firstRowLastColumn="0" w:lastRowFirstColumn="0" w:lastRowLastColumn="0"/>
            <w:tcW w:w="1374" w:type="pct"/>
          </w:tcPr>
          <w:p w:rsidR="009E45B0" w:rsidRPr="009E45B0" w:rsidRDefault="009E45B0" w:rsidP="009E45B0">
            <w:r w:rsidRPr="009E45B0">
              <w:t>SAIDI</w:t>
            </w:r>
          </w:p>
        </w:tc>
        <w:tc>
          <w:tcPr>
            <w:tcW w:w="3626" w:type="pct"/>
            <w:vAlign w:val="top"/>
          </w:tcPr>
          <w:p w:rsidR="009E45B0" w:rsidRPr="009E45B0" w:rsidRDefault="009E45B0" w:rsidP="009E45B0">
            <w:pPr>
              <w:cnfStyle w:val="000000000000" w:firstRow="0" w:lastRow="0" w:firstColumn="0" w:lastColumn="0" w:oddVBand="0" w:evenVBand="0" w:oddHBand="0" w:evenHBand="0" w:firstRowFirstColumn="0" w:firstRowLastColumn="0" w:lastRowFirstColumn="0" w:lastRowLastColumn="0"/>
            </w:pPr>
            <w:r w:rsidRPr="009E45B0">
              <w:t>25.323</w:t>
            </w:r>
          </w:p>
        </w:tc>
      </w:tr>
      <w:tr w:rsidR="009E45B0" w:rsidRPr="00670E6D" w:rsidTr="00E04E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4" w:type="pct"/>
          </w:tcPr>
          <w:p w:rsidR="009E45B0" w:rsidRPr="009E45B0" w:rsidRDefault="009E45B0" w:rsidP="009E45B0">
            <w:r w:rsidRPr="009E45B0">
              <w:t>SAIFI</w:t>
            </w:r>
          </w:p>
        </w:tc>
        <w:tc>
          <w:tcPr>
            <w:tcW w:w="3626" w:type="pct"/>
            <w:vAlign w:val="top"/>
          </w:tcPr>
          <w:p w:rsidR="009E45B0" w:rsidRPr="009E45B0" w:rsidRDefault="009E45B0" w:rsidP="009E45B0">
            <w:pPr>
              <w:cnfStyle w:val="000000010000" w:firstRow="0" w:lastRow="0" w:firstColumn="0" w:lastColumn="0" w:oddVBand="0" w:evenVBand="0" w:oddHBand="0" w:evenHBand="1" w:firstRowFirstColumn="0" w:firstRowLastColumn="0" w:lastRowFirstColumn="0" w:lastRowLastColumn="0"/>
            </w:pPr>
            <w:r w:rsidRPr="009E45B0">
              <w:t>0.296</w:t>
            </w:r>
          </w:p>
        </w:tc>
      </w:tr>
      <w:tr w:rsidR="00E04EF0" w:rsidRPr="00856AD8" w:rsidTr="00E04EF0">
        <w:trPr>
          <w:trHeight w:val="465"/>
        </w:trPr>
        <w:tc>
          <w:tcPr>
            <w:cnfStyle w:val="001000000000" w:firstRow="0" w:lastRow="0" w:firstColumn="1" w:lastColumn="0" w:oddVBand="0" w:evenVBand="0" w:oddHBand="0" w:evenHBand="0" w:firstRowFirstColumn="0" w:firstRowLastColumn="0" w:lastRowFirstColumn="0" w:lastRowLastColumn="0"/>
            <w:tcW w:w="1374" w:type="pct"/>
          </w:tcPr>
          <w:p w:rsidR="00E04EF0" w:rsidRPr="00E04EF0" w:rsidRDefault="00E04EF0" w:rsidP="00E04EF0">
            <w:pPr>
              <w:rPr>
                <w:rStyle w:val="Strong"/>
              </w:rPr>
            </w:pPr>
            <w:r w:rsidRPr="004C501B">
              <w:rPr>
                <w:rStyle w:val="Strong"/>
              </w:rPr>
              <w:t>Urban</w:t>
            </w:r>
          </w:p>
        </w:tc>
        <w:tc>
          <w:tcPr>
            <w:tcW w:w="3626" w:type="pct"/>
          </w:tcPr>
          <w:p w:rsidR="00E04EF0" w:rsidRPr="004C501B" w:rsidRDefault="00E04EF0" w:rsidP="00E04EF0">
            <w:pPr>
              <w:cnfStyle w:val="000000000000" w:firstRow="0" w:lastRow="0" w:firstColumn="0" w:lastColumn="0" w:oddVBand="0" w:evenVBand="0" w:oddHBand="0" w:evenHBand="0" w:firstRowFirstColumn="0" w:firstRowLastColumn="0" w:lastRowFirstColumn="0" w:lastRowLastColumn="0"/>
              <w:rPr>
                <w:rStyle w:val="Strong"/>
              </w:rPr>
            </w:pPr>
          </w:p>
        </w:tc>
      </w:tr>
      <w:tr w:rsidR="009E45B0" w:rsidRPr="00670E6D" w:rsidTr="00E04E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4" w:type="pct"/>
          </w:tcPr>
          <w:p w:rsidR="009E45B0" w:rsidRPr="009E45B0" w:rsidRDefault="009E45B0" w:rsidP="009E45B0">
            <w:r w:rsidRPr="009E45B0">
              <w:t>SAIDI</w:t>
            </w:r>
          </w:p>
        </w:tc>
        <w:tc>
          <w:tcPr>
            <w:tcW w:w="3626" w:type="pct"/>
            <w:vAlign w:val="top"/>
          </w:tcPr>
          <w:p w:rsidR="009E45B0" w:rsidRPr="009E45B0" w:rsidRDefault="009E45B0" w:rsidP="009E45B0">
            <w:pPr>
              <w:cnfStyle w:val="000000010000" w:firstRow="0" w:lastRow="0" w:firstColumn="0" w:lastColumn="0" w:oddVBand="0" w:evenVBand="0" w:oddHBand="0" w:evenHBand="1" w:firstRowFirstColumn="0" w:firstRowLastColumn="0" w:lastRowFirstColumn="0" w:lastRowLastColumn="0"/>
            </w:pPr>
            <w:r w:rsidRPr="009E45B0">
              <w:t>81.314</w:t>
            </w:r>
          </w:p>
        </w:tc>
      </w:tr>
      <w:tr w:rsidR="009E45B0" w:rsidRPr="00670E6D" w:rsidTr="00E04EF0">
        <w:trPr>
          <w:trHeight w:val="465"/>
        </w:trPr>
        <w:tc>
          <w:tcPr>
            <w:cnfStyle w:val="001000000000" w:firstRow="0" w:lastRow="0" w:firstColumn="1" w:lastColumn="0" w:oddVBand="0" w:evenVBand="0" w:oddHBand="0" w:evenHBand="0" w:firstRowFirstColumn="0" w:firstRowLastColumn="0" w:lastRowFirstColumn="0" w:lastRowLastColumn="0"/>
            <w:tcW w:w="1374" w:type="pct"/>
          </w:tcPr>
          <w:p w:rsidR="009E45B0" w:rsidRPr="009E45B0" w:rsidRDefault="009E45B0" w:rsidP="009E45B0">
            <w:r w:rsidRPr="009E45B0">
              <w:t>SAIFI</w:t>
            </w:r>
          </w:p>
        </w:tc>
        <w:tc>
          <w:tcPr>
            <w:tcW w:w="3626" w:type="pct"/>
            <w:vAlign w:val="top"/>
          </w:tcPr>
          <w:p w:rsidR="009E45B0" w:rsidRPr="009E45B0" w:rsidRDefault="009E45B0" w:rsidP="009E45B0">
            <w:pPr>
              <w:cnfStyle w:val="000000000000" w:firstRow="0" w:lastRow="0" w:firstColumn="0" w:lastColumn="0" w:oddVBand="0" w:evenVBand="0" w:oddHBand="0" w:evenHBand="0" w:firstRowFirstColumn="0" w:firstRowLastColumn="0" w:lastRowFirstColumn="0" w:lastRowLastColumn="0"/>
            </w:pPr>
            <w:r w:rsidRPr="009E45B0">
              <w:t>1.026</w:t>
            </w:r>
          </w:p>
        </w:tc>
      </w:tr>
      <w:tr w:rsidR="00E04EF0" w:rsidRPr="00856AD8" w:rsidTr="00E04E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4" w:type="pct"/>
          </w:tcPr>
          <w:p w:rsidR="00E04EF0" w:rsidRPr="00E04EF0" w:rsidRDefault="00E04EF0" w:rsidP="00E04EF0">
            <w:pPr>
              <w:rPr>
                <w:rStyle w:val="Strong"/>
              </w:rPr>
            </w:pPr>
            <w:r w:rsidRPr="004C501B">
              <w:rPr>
                <w:rStyle w:val="Strong"/>
              </w:rPr>
              <w:lastRenderedPageBreak/>
              <w:t>High Density Rural</w:t>
            </w:r>
          </w:p>
        </w:tc>
        <w:tc>
          <w:tcPr>
            <w:tcW w:w="3626" w:type="pct"/>
          </w:tcPr>
          <w:p w:rsidR="00E04EF0" w:rsidRPr="004C501B" w:rsidRDefault="00E04EF0" w:rsidP="00E04EF0">
            <w:pPr>
              <w:cnfStyle w:val="000000010000" w:firstRow="0" w:lastRow="0" w:firstColumn="0" w:lastColumn="0" w:oddVBand="0" w:evenVBand="0" w:oddHBand="0" w:evenHBand="1" w:firstRowFirstColumn="0" w:firstRowLastColumn="0" w:lastRowFirstColumn="0" w:lastRowLastColumn="0"/>
              <w:rPr>
                <w:rStyle w:val="Strong"/>
              </w:rPr>
            </w:pPr>
          </w:p>
        </w:tc>
      </w:tr>
      <w:tr w:rsidR="009E45B0" w:rsidRPr="00670E6D" w:rsidTr="00E04EF0">
        <w:trPr>
          <w:trHeight w:val="465"/>
        </w:trPr>
        <w:tc>
          <w:tcPr>
            <w:cnfStyle w:val="001000000000" w:firstRow="0" w:lastRow="0" w:firstColumn="1" w:lastColumn="0" w:oddVBand="0" w:evenVBand="0" w:oddHBand="0" w:evenHBand="0" w:firstRowFirstColumn="0" w:firstRowLastColumn="0" w:lastRowFirstColumn="0" w:lastRowLastColumn="0"/>
            <w:tcW w:w="1374" w:type="pct"/>
          </w:tcPr>
          <w:p w:rsidR="009E45B0" w:rsidRPr="009E45B0" w:rsidRDefault="009E45B0" w:rsidP="009E45B0">
            <w:r w:rsidRPr="009E45B0">
              <w:t>SAIDI</w:t>
            </w:r>
          </w:p>
        </w:tc>
        <w:tc>
          <w:tcPr>
            <w:tcW w:w="3626" w:type="pct"/>
            <w:vAlign w:val="top"/>
          </w:tcPr>
          <w:p w:rsidR="009E45B0" w:rsidRPr="009E45B0" w:rsidRDefault="009E45B0" w:rsidP="009E45B0">
            <w:pPr>
              <w:cnfStyle w:val="000000000000" w:firstRow="0" w:lastRow="0" w:firstColumn="0" w:lastColumn="0" w:oddVBand="0" w:evenVBand="0" w:oddHBand="0" w:evenHBand="0" w:firstRowFirstColumn="0" w:firstRowLastColumn="0" w:lastRowFirstColumn="0" w:lastRowLastColumn="0"/>
            </w:pPr>
            <w:r w:rsidRPr="009E45B0">
              <w:t>235.292</w:t>
            </w:r>
          </w:p>
        </w:tc>
      </w:tr>
      <w:tr w:rsidR="009E45B0" w:rsidRPr="00670E6D" w:rsidTr="00E04E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4" w:type="pct"/>
          </w:tcPr>
          <w:p w:rsidR="009E45B0" w:rsidRPr="009E45B0" w:rsidRDefault="009E45B0" w:rsidP="009E45B0">
            <w:r w:rsidRPr="009E45B0">
              <w:t>SAIFI</w:t>
            </w:r>
          </w:p>
        </w:tc>
        <w:tc>
          <w:tcPr>
            <w:tcW w:w="3626" w:type="pct"/>
            <w:vAlign w:val="top"/>
          </w:tcPr>
          <w:p w:rsidR="009E45B0" w:rsidRPr="009E45B0" w:rsidRDefault="009E45B0" w:rsidP="009E45B0">
            <w:pPr>
              <w:cnfStyle w:val="000000010000" w:firstRow="0" w:lastRow="0" w:firstColumn="0" w:lastColumn="0" w:oddVBand="0" w:evenVBand="0" w:oddHBand="0" w:evenHBand="1" w:firstRowFirstColumn="0" w:firstRowLastColumn="0" w:lastRowFirstColumn="0" w:lastRowLastColumn="0"/>
            </w:pPr>
            <w:r w:rsidRPr="009E45B0">
              <w:t>2.413</w:t>
            </w:r>
          </w:p>
        </w:tc>
      </w:tr>
      <w:tr w:rsidR="00E04EF0" w:rsidRPr="00856AD8" w:rsidTr="00E04EF0">
        <w:trPr>
          <w:trHeight w:val="465"/>
        </w:trPr>
        <w:tc>
          <w:tcPr>
            <w:cnfStyle w:val="001000000000" w:firstRow="0" w:lastRow="0" w:firstColumn="1" w:lastColumn="0" w:oddVBand="0" w:evenVBand="0" w:oddHBand="0" w:evenHBand="0" w:firstRowFirstColumn="0" w:firstRowLastColumn="0" w:lastRowFirstColumn="0" w:lastRowLastColumn="0"/>
            <w:tcW w:w="1374" w:type="pct"/>
          </w:tcPr>
          <w:p w:rsidR="00E04EF0" w:rsidRPr="00E04EF0" w:rsidRDefault="00E04EF0" w:rsidP="00E04EF0">
            <w:pPr>
              <w:rPr>
                <w:rStyle w:val="Strong"/>
              </w:rPr>
            </w:pPr>
            <w:r w:rsidRPr="004C501B">
              <w:rPr>
                <w:rStyle w:val="Strong"/>
              </w:rPr>
              <w:t>Low Density Rural</w:t>
            </w:r>
          </w:p>
        </w:tc>
        <w:tc>
          <w:tcPr>
            <w:tcW w:w="3626" w:type="pct"/>
          </w:tcPr>
          <w:p w:rsidR="00E04EF0" w:rsidRPr="004C501B" w:rsidRDefault="00E04EF0" w:rsidP="00E04EF0">
            <w:pPr>
              <w:cnfStyle w:val="000000000000" w:firstRow="0" w:lastRow="0" w:firstColumn="0" w:lastColumn="0" w:oddVBand="0" w:evenVBand="0" w:oddHBand="0" w:evenHBand="0" w:firstRowFirstColumn="0" w:firstRowLastColumn="0" w:lastRowFirstColumn="0" w:lastRowLastColumn="0"/>
              <w:rPr>
                <w:rStyle w:val="Strong"/>
              </w:rPr>
            </w:pPr>
          </w:p>
        </w:tc>
      </w:tr>
      <w:tr w:rsidR="009E45B0" w:rsidRPr="00670E6D" w:rsidTr="00E04E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4" w:type="pct"/>
          </w:tcPr>
          <w:p w:rsidR="009E45B0" w:rsidRPr="009E45B0" w:rsidRDefault="009E45B0" w:rsidP="009E45B0">
            <w:r w:rsidRPr="009E45B0">
              <w:t>SAIDI</w:t>
            </w:r>
          </w:p>
        </w:tc>
        <w:tc>
          <w:tcPr>
            <w:tcW w:w="3626" w:type="pct"/>
            <w:vAlign w:val="top"/>
          </w:tcPr>
          <w:p w:rsidR="009E45B0" w:rsidRPr="009E45B0" w:rsidRDefault="009E45B0" w:rsidP="009E45B0">
            <w:pPr>
              <w:cnfStyle w:val="000000010000" w:firstRow="0" w:lastRow="0" w:firstColumn="0" w:lastColumn="0" w:oddVBand="0" w:evenVBand="0" w:oddHBand="0" w:evenHBand="1" w:firstRowFirstColumn="0" w:firstRowLastColumn="0" w:lastRowFirstColumn="0" w:lastRowLastColumn="0"/>
            </w:pPr>
            <w:r w:rsidRPr="009E45B0">
              <w:t>416.130</w:t>
            </w:r>
          </w:p>
        </w:tc>
      </w:tr>
      <w:tr w:rsidR="009E45B0" w:rsidRPr="00670E6D" w:rsidTr="00E04EF0">
        <w:trPr>
          <w:trHeight w:val="465"/>
        </w:trPr>
        <w:tc>
          <w:tcPr>
            <w:cnfStyle w:val="001000000000" w:firstRow="0" w:lastRow="0" w:firstColumn="1" w:lastColumn="0" w:oddVBand="0" w:evenVBand="0" w:oddHBand="0" w:evenHBand="0" w:firstRowFirstColumn="0" w:firstRowLastColumn="0" w:lastRowFirstColumn="0" w:lastRowLastColumn="0"/>
            <w:tcW w:w="1374" w:type="pct"/>
          </w:tcPr>
          <w:p w:rsidR="009E45B0" w:rsidRPr="009E45B0" w:rsidRDefault="009E45B0" w:rsidP="009E45B0">
            <w:r w:rsidRPr="009E45B0">
              <w:t>SAIFI</w:t>
            </w:r>
          </w:p>
        </w:tc>
        <w:tc>
          <w:tcPr>
            <w:tcW w:w="3626" w:type="pct"/>
            <w:vAlign w:val="top"/>
          </w:tcPr>
          <w:p w:rsidR="009E45B0" w:rsidRPr="009E45B0" w:rsidRDefault="009E45B0" w:rsidP="009E45B0">
            <w:pPr>
              <w:cnfStyle w:val="000000000000" w:firstRow="0" w:lastRow="0" w:firstColumn="0" w:lastColumn="0" w:oddVBand="0" w:evenVBand="0" w:oddHBand="0" w:evenHBand="0" w:firstRowFirstColumn="0" w:firstRowLastColumn="0" w:lastRowFirstColumn="0" w:lastRowLastColumn="0"/>
            </w:pPr>
            <w:r w:rsidRPr="009E45B0">
              <w:t>3.220</w:t>
            </w:r>
          </w:p>
        </w:tc>
      </w:tr>
      <w:tr w:rsidR="00E04EF0" w:rsidRPr="00856AD8" w:rsidTr="00E04EF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4" w:type="pct"/>
          </w:tcPr>
          <w:p w:rsidR="00E04EF0" w:rsidRPr="00E04EF0" w:rsidRDefault="00E04EF0" w:rsidP="00E04EF0">
            <w:pPr>
              <w:pStyle w:val="HeadingOrange"/>
              <w:rPr>
                <w:rStyle w:val="AERtextbolditalics"/>
              </w:rPr>
            </w:pPr>
            <w:r w:rsidRPr="00856AD8">
              <w:rPr>
                <w:rStyle w:val="AERtextbolditalics"/>
              </w:rPr>
              <w:t>Telephone answering</w:t>
            </w:r>
          </w:p>
        </w:tc>
        <w:tc>
          <w:tcPr>
            <w:tcW w:w="3626" w:type="pct"/>
          </w:tcPr>
          <w:p w:rsidR="00E04EF0" w:rsidRPr="00856AD8" w:rsidRDefault="00E04EF0" w:rsidP="00E04EF0">
            <w:pPr>
              <w:pStyle w:val="AERtabletextleft"/>
              <w:cnfStyle w:val="000000010000" w:firstRow="0" w:lastRow="0" w:firstColumn="0" w:lastColumn="0" w:oddVBand="0" w:evenVBand="0" w:oddHBand="0" w:evenHBand="1" w:firstRowFirstColumn="0" w:firstRowLastColumn="0" w:lastRowFirstColumn="0" w:lastRowLastColumn="0"/>
              <w:rPr>
                <w:rStyle w:val="AERtextbolditalics"/>
              </w:rPr>
            </w:pPr>
          </w:p>
        </w:tc>
      </w:tr>
      <w:tr w:rsidR="00E04EF0" w:rsidRPr="00670E6D" w:rsidTr="00E04EF0">
        <w:trPr>
          <w:trHeight w:val="465"/>
        </w:trPr>
        <w:tc>
          <w:tcPr>
            <w:cnfStyle w:val="001000000000" w:firstRow="0" w:lastRow="0" w:firstColumn="1" w:lastColumn="0" w:oddVBand="0" w:evenVBand="0" w:oddHBand="0" w:evenHBand="0" w:firstRowFirstColumn="0" w:firstRowLastColumn="0" w:lastRowFirstColumn="0" w:lastRowLastColumn="0"/>
            <w:tcW w:w="1374" w:type="pct"/>
          </w:tcPr>
          <w:p w:rsidR="00E04EF0" w:rsidRPr="008B40D8" w:rsidRDefault="00E04EF0" w:rsidP="00E04EF0">
            <w:pPr>
              <w:pStyle w:val="AERtabletextleft"/>
              <w:rPr>
                <w:rStyle w:val="Strong"/>
                <w:sz w:val="16"/>
                <w:szCs w:val="16"/>
              </w:rPr>
            </w:pPr>
            <w:r w:rsidRPr="008B40D8">
              <w:rPr>
                <w:rStyle w:val="Strong"/>
                <w:sz w:val="16"/>
                <w:szCs w:val="16"/>
              </w:rPr>
              <w:t>Percentage of calls will be answered within 30 seconds</w:t>
            </w:r>
          </w:p>
        </w:tc>
        <w:tc>
          <w:tcPr>
            <w:tcW w:w="3626" w:type="pct"/>
          </w:tcPr>
          <w:p w:rsidR="00E04EF0" w:rsidRPr="00F72397" w:rsidRDefault="009E45B0" w:rsidP="00E04EF0">
            <w:pPr>
              <w:cnfStyle w:val="000000000000" w:firstRow="0" w:lastRow="0" w:firstColumn="0" w:lastColumn="0" w:oddVBand="0" w:evenVBand="0" w:oddHBand="0" w:evenHBand="0" w:firstRowFirstColumn="0" w:firstRowLastColumn="0" w:lastRowFirstColumn="0" w:lastRowLastColumn="0"/>
            </w:pPr>
            <w:r w:rsidRPr="009E45B0">
              <w:t>74.78</w:t>
            </w:r>
          </w:p>
        </w:tc>
      </w:tr>
    </w:tbl>
    <w:p w:rsidR="00E04EF0" w:rsidRDefault="00E04EF0" w:rsidP="00E04EF0">
      <w:pPr>
        <w:pStyle w:val="AERtablesource"/>
      </w:pPr>
      <w:r>
        <w:t xml:space="preserve">Source: </w:t>
      </w:r>
      <w:r>
        <w:tab/>
        <w:t>AER analysis.</w:t>
      </w:r>
    </w:p>
    <w:p w:rsidR="00E04EF0" w:rsidRPr="00CF0826" w:rsidRDefault="00E04EF0" w:rsidP="00CF0826">
      <w:pPr>
        <w:pStyle w:val="Caption"/>
      </w:pPr>
      <w:bookmarkStart w:id="162" w:name="_Ref429063196"/>
      <w:r w:rsidRPr="00531BDA">
        <w:rPr>
          <w:rStyle w:val="AERtexthighlight"/>
          <w:shd w:val="clear" w:color="auto" w:fill="auto"/>
        </w:rPr>
        <w:t xml:space="preserve">Table </w:t>
      </w:r>
      <w:r w:rsidR="00465A73">
        <w:rPr>
          <w:rStyle w:val="AERtexthighlight"/>
          <w:shd w:val="clear" w:color="auto" w:fill="auto"/>
        </w:rPr>
        <w:fldChar w:fldCharType="begin"/>
      </w:r>
      <w:r w:rsidR="00465A73">
        <w:rPr>
          <w:rStyle w:val="AERtexthighlight"/>
          <w:shd w:val="clear" w:color="auto" w:fill="auto"/>
        </w:rPr>
        <w:instrText xml:space="preserve"> STYLEREF 1 \s </w:instrText>
      </w:r>
      <w:r w:rsidR="00465A73">
        <w:rPr>
          <w:rStyle w:val="AERtexthighlight"/>
          <w:shd w:val="clear" w:color="auto" w:fill="auto"/>
        </w:rPr>
        <w:fldChar w:fldCharType="separate"/>
      </w:r>
      <w:r w:rsidR="008B40D8">
        <w:rPr>
          <w:rStyle w:val="AERtexthighlight"/>
          <w:noProof/>
          <w:shd w:val="clear" w:color="auto" w:fill="auto"/>
        </w:rPr>
        <w:t>4</w:t>
      </w:r>
      <w:r w:rsidR="00465A73">
        <w:rPr>
          <w:rStyle w:val="AERtexthighlight"/>
          <w:shd w:val="clear" w:color="auto" w:fill="auto"/>
        </w:rPr>
        <w:fldChar w:fldCharType="end"/>
      </w:r>
      <w:r w:rsidR="00465A73">
        <w:rPr>
          <w:rStyle w:val="AERtexthighlight"/>
          <w:shd w:val="clear" w:color="auto" w:fill="auto"/>
        </w:rPr>
        <w:t>.</w:t>
      </w:r>
      <w:r w:rsidR="00465A73">
        <w:rPr>
          <w:rStyle w:val="AERtexthighlight"/>
          <w:shd w:val="clear" w:color="auto" w:fill="auto"/>
        </w:rPr>
        <w:fldChar w:fldCharType="begin"/>
      </w:r>
      <w:r w:rsidR="00465A73">
        <w:rPr>
          <w:rStyle w:val="AERtexthighlight"/>
          <w:shd w:val="clear" w:color="auto" w:fill="auto"/>
        </w:rPr>
        <w:instrText xml:space="preserve"> SEQ Table \* ARABIC \s 1 </w:instrText>
      </w:r>
      <w:r w:rsidR="00465A73">
        <w:rPr>
          <w:rStyle w:val="AERtexthighlight"/>
          <w:shd w:val="clear" w:color="auto" w:fill="auto"/>
        </w:rPr>
        <w:fldChar w:fldCharType="separate"/>
      </w:r>
      <w:r w:rsidR="008B40D8">
        <w:rPr>
          <w:rStyle w:val="AERtexthighlight"/>
          <w:noProof/>
          <w:shd w:val="clear" w:color="auto" w:fill="auto"/>
        </w:rPr>
        <w:t>4</w:t>
      </w:r>
      <w:r w:rsidR="00465A73">
        <w:rPr>
          <w:rStyle w:val="AERtexthighlight"/>
          <w:shd w:val="clear" w:color="auto" w:fill="auto"/>
        </w:rPr>
        <w:fldChar w:fldCharType="end"/>
      </w:r>
      <w:bookmarkEnd w:id="162"/>
      <w:r w:rsidRPr="00CF0826">
        <w:tab/>
        <w:t>Value of customer reliability ($/MWh)</w:t>
      </w:r>
    </w:p>
    <w:tbl>
      <w:tblPr>
        <w:tblStyle w:val="AERtable-numbers"/>
        <w:tblW w:w="5000" w:type="pct"/>
        <w:tblLook w:val="04A0" w:firstRow="1" w:lastRow="0" w:firstColumn="1" w:lastColumn="0" w:noHBand="0" w:noVBand="1"/>
      </w:tblPr>
      <w:tblGrid>
        <w:gridCol w:w="1254"/>
        <w:gridCol w:w="1488"/>
        <w:gridCol w:w="1488"/>
        <w:gridCol w:w="1488"/>
        <w:gridCol w:w="1488"/>
        <w:gridCol w:w="1487"/>
      </w:tblGrid>
      <w:tr w:rsidR="00E04EF0" w:rsidRPr="00A946AA" w:rsidTr="00E04EF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 w:type="pct"/>
            <w:hideMark/>
          </w:tcPr>
          <w:p w:rsidR="00E04EF0" w:rsidRPr="00E04EF0" w:rsidRDefault="00E04EF0" w:rsidP="00E04EF0">
            <w:pPr>
              <w:pStyle w:val="Tabletext-centred"/>
            </w:pPr>
            <w:r w:rsidRPr="00EC4224">
              <w:t> </w:t>
            </w:r>
          </w:p>
        </w:tc>
        <w:tc>
          <w:tcPr>
            <w:tcW w:w="856" w:type="pct"/>
            <w:vAlign w:val="top"/>
          </w:tcPr>
          <w:p w:rsidR="00E04EF0" w:rsidRPr="00E04EF0" w:rsidRDefault="00E04EF0" w:rsidP="00E04EF0">
            <w:pPr>
              <w:cnfStyle w:val="100000000000" w:firstRow="1" w:lastRow="0" w:firstColumn="0" w:lastColumn="0" w:oddVBand="0" w:evenVBand="0" w:oddHBand="0" w:evenHBand="0" w:firstRowFirstColumn="0" w:firstRowLastColumn="0" w:lastRowFirstColumn="0" w:lastRowLastColumn="0"/>
            </w:pPr>
            <w:r w:rsidRPr="00EC4224">
              <w:t>Critical Infrastructure</w:t>
            </w:r>
          </w:p>
        </w:tc>
        <w:tc>
          <w:tcPr>
            <w:tcW w:w="856" w:type="pct"/>
            <w:vAlign w:val="top"/>
          </w:tcPr>
          <w:p w:rsidR="00E04EF0" w:rsidRPr="00E04EF0" w:rsidRDefault="00E04EF0" w:rsidP="00E04EF0">
            <w:pPr>
              <w:cnfStyle w:val="100000000000" w:firstRow="1" w:lastRow="0" w:firstColumn="0" w:lastColumn="0" w:oddVBand="0" w:evenVBand="0" w:oddHBand="0" w:evenHBand="0" w:firstRowFirstColumn="0" w:firstRowLastColumn="0" w:lastRowFirstColumn="0" w:lastRowLastColumn="0"/>
            </w:pPr>
            <w:r w:rsidRPr="00EC4224">
              <w:t>High Density Commercial</w:t>
            </w:r>
          </w:p>
        </w:tc>
        <w:tc>
          <w:tcPr>
            <w:tcW w:w="856" w:type="pct"/>
            <w:vAlign w:val="top"/>
          </w:tcPr>
          <w:p w:rsidR="00E04EF0" w:rsidRPr="00E04EF0" w:rsidRDefault="00E04EF0" w:rsidP="00E04EF0">
            <w:pPr>
              <w:cnfStyle w:val="100000000000" w:firstRow="1" w:lastRow="0" w:firstColumn="0" w:lastColumn="0" w:oddVBand="0" w:evenVBand="0" w:oddHBand="0" w:evenHBand="0" w:firstRowFirstColumn="0" w:firstRowLastColumn="0" w:lastRowFirstColumn="0" w:lastRowLastColumn="0"/>
            </w:pPr>
            <w:r w:rsidRPr="00EC4224">
              <w:t>Urban</w:t>
            </w:r>
          </w:p>
        </w:tc>
        <w:tc>
          <w:tcPr>
            <w:tcW w:w="856" w:type="pct"/>
            <w:vAlign w:val="top"/>
            <w:hideMark/>
          </w:tcPr>
          <w:p w:rsidR="00E04EF0" w:rsidRPr="00E04EF0" w:rsidRDefault="00E04EF0" w:rsidP="00E04EF0">
            <w:pPr>
              <w:cnfStyle w:val="100000000000" w:firstRow="1" w:lastRow="0" w:firstColumn="0" w:lastColumn="0" w:oddVBand="0" w:evenVBand="0" w:oddHBand="0" w:evenHBand="0" w:firstRowFirstColumn="0" w:firstRowLastColumn="0" w:lastRowFirstColumn="0" w:lastRowLastColumn="0"/>
            </w:pPr>
            <w:r w:rsidRPr="00EC4224">
              <w:t>High Density Rural</w:t>
            </w:r>
          </w:p>
        </w:tc>
        <w:tc>
          <w:tcPr>
            <w:tcW w:w="855" w:type="pct"/>
            <w:vAlign w:val="top"/>
            <w:hideMark/>
          </w:tcPr>
          <w:p w:rsidR="00E04EF0" w:rsidRPr="00E04EF0" w:rsidRDefault="00E04EF0" w:rsidP="00E04EF0">
            <w:pPr>
              <w:cnfStyle w:val="100000000000" w:firstRow="1" w:lastRow="0" w:firstColumn="0" w:lastColumn="0" w:oddVBand="0" w:evenVBand="0" w:oddHBand="0" w:evenHBand="0" w:firstRowFirstColumn="0" w:firstRowLastColumn="0" w:lastRowFirstColumn="0" w:lastRowLastColumn="0"/>
            </w:pPr>
            <w:r w:rsidRPr="00EC4224">
              <w:t>Low Density Rural</w:t>
            </w:r>
          </w:p>
        </w:tc>
      </w:tr>
      <w:tr w:rsidR="00D2369C" w:rsidRPr="00A946AA" w:rsidTr="00E04EF0">
        <w:trPr>
          <w:trHeight w:val="465"/>
        </w:trPr>
        <w:tc>
          <w:tcPr>
            <w:cnfStyle w:val="001000000000" w:firstRow="0" w:lastRow="0" w:firstColumn="1" w:lastColumn="0" w:oddVBand="0" w:evenVBand="0" w:oddHBand="0" w:evenHBand="0" w:firstRowFirstColumn="0" w:firstRowLastColumn="0" w:lastRowFirstColumn="0" w:lastRowLastColumn="0"/>
            <w:tcW w:w="721" w:type="pct"/>
            <w:hideMark/>
          </w:tcPr>
          <w:p w:rsidR="00D2369C" w:rsidRPr="00D2369C" w:rsidRDefault="00D2369C" w:rsidP="00D2369C">
            <w:pPr>
              <w:pStyle w:val="AERtabletextleft"/>
            </w:pPr>
            <w:r w:rsidRPr="00D2369C">
              <w:t>VCR</w:t>
            </w:r>
          </w:p>
        </w:tc>
        <w:tc>
          <w:tcPr>
            <w:tcW w:w="856" w:type="pct"/>
            <w:vAlign w:val="top"/>
          </w:tcPr>
          <w:p w:rsidR="00D2369C" w:rsidRPr="00D2369C" w:rsidRDefault="00D2369C" w:rsidP="00D2369C">
            <w:pPr>
              <w:cnfStyle w:val="000000000000" w:firstRow="0" w:lastRow="0" w:firstColumn="0" w:lastColumn="0" w:oddVBand="0" w:evenVBand="0" w:oddHBand="0" w:evenHBand="0" w:firstRowFirstColumn="0" w:firstRowLastColumn="0" w:lastRowFirstColumn="0" w:lastRowLastColumn="0"/>
            </w:pPr>
            <w:r w:rsidRPr="00D2369C">
              <w:t xml:space="preserve"> 44,399.03 </w:t>
            </w:r>
          </w:p>
        </w:tc>
        <w:tc>
          <w:tcPr>
            <w:tcW w:w="856" w:type="pct"/>
            <w:vAlign w:val="top"/>
          </w:tcPr>
          <w:p w:rsidR="00D2369C" w:rsidRPr="00D2369C" w:rsidRDefault="00D2369C" w:rsidP="00D2369C">
            <w:pPr>
              <w:cnfStyle w:val="000000000000" w:firstRow="0" w:lastRow="0" w:firstColumn="0" w:lastColumn="0" w:oddVBand="0" w:evenVBand="0" w:oddHBand="0" w:evenHBand="0" w:firstRowFirstColumn="0" w:firstRowLastColumn="0" w:lastRowFirstColumn="0" w:lastRowLastColumn="0"/>
            </w:pPr>
            <w:r w:rsidRPr="00D2369C">
              <w:t xml:space="preserve"> 43,785.62 </w:t>
            </w:r>
          </w:p>
        </w:tc>
        <w:tc>
          <w:tcPr>
            <w:tcW w:w="856" w:type="pct"/>
            <w:vAlign w:val="top"/>
          </w:tcPr>
          <w:p w:rsidR="00D2369C" w:rsidRPr="00D2369C" w:rsidRDefault="00D2369C" w:rsidP="00D2369C">
            <w:pPr>
              <w:cnfStyle w:val="000000000000" w:firstRow="0" w:lastRow="0" w:firstColumn="0" w:lastColumn="0" w:oddVBand="0" w:evenVBand="0" w:oddHBand="0" w:evenHBand="0" w:firstRowFirstColumn="0" w:firstRowLastColumn="0" w:lastRowFirstColumn="0" w:lastRowLastColumn="0"/>
            </w:pPr>
            <w:r w:rsidRPr="00D2369C">
              <w:t xml:space="preserve"> 35,659.75 </w:t>
            </w:r>
          </w:p>
        </w:tc>
        <w:tc>
          <w:tcPr>
            <w:tcW w:w="856" w:type="pct"/>
            <w:vAlign w:val="top"/>
          </w:tcPr>
          <w:p w:rsidR="00D2369C" w:rsidRPr="00D2369C" w:rsidRDefault="00D2369C" w:rsidP="00D2369C">
            <w:pPr>
              <w:cnfStyle w:val="000000000000" w:firstRow="0" w:lastRow="0" w:firstColumn="0" w:lastColumn="0" w:oddVBand="0" w:evenVBand="0" w:oddHBand="0" w:evenHBand="0" w:firstRowFirstColumn="0" w:firstRowLastColumn="0" w:lastRowFirstColumn="0" w:lastRowLastColumn="0"/>
            </w:pPr>
            <w:r w:rsidRPr="00D2369C">
              <w:t xml:space="preserve"> 38,146.86 </w:t>
            </w:r>
          </w:p>
        </w:tc>
        <w:tc>
          <w:tcPr>
            <w:tcW w:w="855" w:type="pct"/>
            <w:vAlign w:val="top"/>
          </w:tcPr>
          <w:p w:rsidR="00D2369C" w:rsidRPr="00D2369C" w:rsidRDefault="00D2369C" w:rsidP="00D2369C">
            <w:pPr>
              <w:cnfStyle w:val="000000000000" w:firstRow="0" w:lastRow="0" w:firstColumn="0" w:lastColumn="0" w:oddVBand="0" w:evenVBand="0" w:oddHBand="0" w:evenHBand="0" w:firstRowFirstColumn="0" w:firstRowLastColumn="0" w:lastRowFirstColumn="0" w:lastRowLastColumn="0"/>
            </w:pPr>
            <w:r w:rsidRPr="00D2369C">
              <w:t xml:space="preserve"> 40,342.74 </w:t>
            </w:r>
          </w:p>
        </w:tc>
      </w:tr>
    </w:tbl>
    <w:p w:rsidR="00E04EF0" w:rsidRDefault="00E04EF0" w:rsidP="00E04EF0">
      <w:pPr>
        <w:pStyle w:val="AERtablesource"/>
      </w:pPr>
      <w:r w:rsidRPr="00146981">
        <w:t>Source:</w:t>
      </w:r>
      <w:r w:rsidRPr="00146981">
        <w:tab/>
      </w:r>
      <w:r>
        <w:t xml:space="preserve">AER analysis, and </w:t>
      </w:r>
      <w:r w:rsidRPr="00090759">
        <w:t xml:space="preserve">AEMO, </w:t>
      </w:r>
      <w:r w:rsidRPr="00C96459">
        <w:rPr>
          <w:rStyle w:val="AERtextitalic"/>
        </w:rPr>
        <w:t>Value of customer reliability review, final report</w:t>
      </w:r>
      <w:r w:rsidRPr="00090759">
        <w:t>, September 2014, p. 30.</w:t>
      </w:r>
      <w:r>
        <w:t xml:space="preserve"> </w:t>
      </w:r>
    </w:p>
    <w:p w:rsidR="00FD0A4E" w:rsidRDefault="00621FE0" w:rsidP="008B40D8">
      <w:pPr>
        <w:pStyle w:val="Heading3"/>
        <w:ind w:left="720"/>
      </w:pPr>
      <w:bookmarkStart w:id="163" w:name="_Ref478558723"/>
      <w:bookmarkStart w:id="164" w:name="_Toc481051884"/>
      <w:r>
        <w:t>Demand management incentive scheme</w:t>
      </w:r>
      <w:bookmarkEnd w:id="163"/>
      <w:bookmarkEnd w:id="164"/>
    </w:p>
    <w:p w:rsidR="00621FE0" w:rsidRPr="00B307CC" w:rsidRDefault="00621FE0" w:rsidP="00621FE0">
      <w:pPr>
        <w:numPr>
          <w:ilvl w:val="0"/>
          <w:numId w:val="24"/>
        </w:numPr>
      </w:pPr>
      <w:r w:rsidRPr="00B307CC">
        <w:t>We have determine</w:t>
      </w:r>
      <w:r>
        <w:t>d to continue Part A of the DMIS</w:t>
      </w:r>
      <w:r w:rsidRPr="00B307CC">
        <w:t xml:space="preserve"> for </w:t>
      </w:r>
      <w:r>
        <w:t>TasNetworks in the 2017–19</w:t>
      </w:r>
      <w:r w:rsidRPr="00B307CC">
        <w:t xml:space="preserve"> regulatory control period</w:t>
      </w:r>
      <w:r>
        <w:t xml:space="preserve"> (that is, the DMIA component)</w:t>
      </w:r>
      <w:r w:rsidRPr="00B307CC">
        <w:t>. We w</w:t>
      </w:r>
      <w:r>
        <w:t>ill not apply Part B of the DMIS</w:t>
      </w:r>
      <w:r w:rsidRPr="00B307CC">
        <w:t xml:space="preserve"> to </w:t>
      </w:r>
      <w:r>
        <w:t>TasNetworks for the 2017–19</w:t>
      </w:r>
      <w:r w:rsidRPr="00B307CC">
        <w:t xml:space="preserve"> regulatory control period because </w:t>
      </w:r>
      <w:r>
        <w:t>the</w:t>
      </w:r>
      <w:r w:rsidRPr="00B307CC">
        <w:t xml:space="preserve"> revenue cap form of control</w:t>
      </w:r>
      <w:r>
        <w:t xml:space="preserve"> will continue</w:t>
      </w:r>
      <w:r w:rsidRPr="00B307CC">
        <w:t xml:space="preserve">. This is consistent with our proposed approach in our </w:t>
      </w:r>
      <w:r>
        <w:t>f</w:t>
      </w:r>
      <w:r w:rsidRPr="00B307CC">
        <w:t xml:space="preserve">ramework and </w:t>
      </w:r>
      <w:r>
        <w:t>a</w:t>
      </w:r>
      <w:r w:rsidRPr="00B307CC">
        <w:t>pproach</w:t>
      </w:r>
      <w:r>
        <w:t xml:space="preserve"> for TasNetworks</w:t>
      </w:r>
      <w:r w:rsidRPr="00B307CC">
        <w:t xml:space="preserve"> (F&amp;A)</w:t>
      </w:r>
      <w:r w:rsidRPr="00B307CC">
        <w:rPr>
          <w:rStyle w:val="FootnoteReference"/>
        </w:rPr>
        <w:footnoteReference w:id="77"/>
      </w:r>
      <w:r>
        <w:t xml:space="preserve"> and </w:t>
      </w:r>
      <w:r w:rsidR="00E04EF0">
        <w:t xml:space="preserve">our </w:t>
      </w:r>
      <w:r>
        <w:t>draft decision.</w:t>
      </w:r>
      <w:r>
        <w:rPr>
          <w:rStyle w:val="FootnoteReference"/>
        </w:rPr>
        <w:footnoteReference w:id="78"/>
      </w:r>
    </w:p>
    <w:p w:rsidR="00621FE0" w:rsidRDefault="00621FE0" w:rsidP="00621FE0">
      <w:pPr>
        <w:numPr>
          <w:ilvl w:val="0"/>
          <w:numId w:val="24"/>
        </w:numPr>
      </w:pPr>
      <w:r>
        <w:t>An</w:t>
      </w:r>
      <w:r w:rsidRPr="00B307CC">
        <w:t xml:space="preserve"> innovation allowance amount of $</w:t>
      </w:r>
      <w:r>
        <w:t>0.4 million ($June 2017</w:t>
      </w:r>
      <w:r w:rsidRPr="00B307CC">
        <w:t xml:space="preserve">) per annum will </w:t>
      </w:r>
      <w:r>
        <w:t>be applied in the 2017–19</w:t>
      </w:r>
      <w:r w:rsidRPr="00B307CC">
        <w:t xml:space="preserve"> regulatory control period</w:t>
      </w:r>
      <w:r>
        <w:t xml:space="preserve"> (or $0.8 million over the shorter 2 year regulatory period in this case)</w:t>
      </w:r>
      <w:r w:rsidRPr="00B307CC">
        <w:t>.</w:t>
      </w:r>
      <w:r>
        <w:t xml:space="preserve"> This represents a small increase from the current regulatory period allowance of $0.38 million ($2009-10) per annum, (or $1.9 million over 5 years).</w:t>
      </w:r>
    </w:p>
    <w:p w:rsidR="00621FE0" w:rsidRDefault="00621FE0" w:rsidP="00621FE0">
      <w:r>
        <w:lastRenderedPageBreak/>
        <w:t xml:space="preserve">TasNetworks did not respond to our draft decision on the demand management incentive </w:t>
      </w:r>
      <w:r w:rsidR="005F6E56">
        <w:t xml:space="preserve">scheme </w:t>
      </w:r>
      <w:r>
        <w:t>and we affirm the draft decision.</w:t>
      </w:r>
    </w:p>
    <w:p w:rsidR="00001DD1" w:rsidRDefault="00001DD1" w:rsidP="00001DD1">
      <w:pPr>
        <w:pStyle w:val="Heading1"/>
      </w:pPr>
      <w:bookmarkStart w:id="165" w:name="_Ref478472390"/>
      <w:bookmarkStart w:id="166" w:name="_Toc481051885"/>
      <w:r>
        <w:lastRenderedPageBreak/>
        <w:t>Tariff structure statement</w:t>
      </w:r>
      <w:bookmarkEnd w:id="165"/>
      <w:bookmarkEnd w:id="166"/>
    </w:p>
    <w:p w:rsidR="00B56949" w:rsidRDefault="004D2CF7" w:rsidP="0014442D">
      <w:r w:rsidRPr="004D2CF7">
        <w:t>A distributor's tariff structure statement must comply with the distribution pricing principles and other applicable requirements in the NER.</w:t>
      </w:r>
      <w:r w:rsidRPr="004D2CF7">
        <w:rPr>
          <w:rStyle w:val="FootnoteReference"/>
        </w:rPr>
        <w:footnoteReference w:id="79"/>
      </w:r>
      <w:r w:rsidRPr="004D2CF7">
        <w:rPr>
          <w:rStyle w:val="FootnoteReference"/>
        </w:rPr>
        <w:footnoteReference w:id="80"/>
      </w:r>
      <w:r w:rsidR="00B56949">
        <w:t xml:space="preserve"> </w:t>
      </w:r>
      <w:r w:rsidRPr="004D2CF7">
        <w:t xml:space="preserve">Our </w:t>
      </w:r>
      <w:r>
        <w:t xml:space="preserve">final </w:t>
      </w:r>
      <w:r w:rsidRPr="004D2CF7">
        <w:t>decision approve</w:t>
      </w:r>
      <w:r>
        <w:t>s</w:t>
      </w:r>
      <w:r w:rsidRPr="004D2CF7">
        <w:t xml:space="preserve"> TasNetworks</w:t>
      </w:r>
      <w:r w:rsidR="00B51035">
        <w:t>'</w:t>
      </w:r>
      <w:r w:rsidRPr="004D2CF7">
        <w:t xml:space="preserve"> </w:t>
      </w:r>
      <w:r>
        <w:t xml:space="preserve">revised </w:t>
      </w:r>
      <w:r w:rsidRPr="004D2CF7">
        <w:t xml:space="preserve">tariff structure statement. </w:t>
      </w:r>
    </w:p>
    <w:p w:rsidR="0014442D" w:rsidRDefault="00B56949" w:rsidP="0014442D">
      <w:r>
        <w:t>O</w:t>
      </w:r>
      <w:r w:rsidR="0014442D">
        <w:t>ur draft decision</w:t>
      </w:r>
      <w:r>
        <w:t xml:space="preserve"> did not approve</w:t>
      </w:r>
      <w:r w:rsidR="0014442D">
        <w:t xml:space="preserve"> TasNetworks' initial tariff structure statement because TasNetworks had not </w:t>
      </w:r>
      <w:r w:rsidR="00011FE4" w:rsidRPr="004D2CF7">
        <w:t>demonstrated reasonable consideration of the impact of the proposed increases in fixed charges on high voltage business customers.</w:t>
      </w:r>
      <w:r w:rsidR="00011FE4" w:rsidRPr="00011FE4">
        <w:rPr>
          <w:rStyle w:val="FootnoteReference"/>
        </w:rPr>
        <w:footnoteReference w:id="81"/>
      </w:r>
      <w:r w:rsidR="00011FE4">
        <w:t xml:space="preserve"> </w:t>
      </w:r>
      <w:r w:rsidR="00C64B44">
        <w:t xml:space="preserve">We </w:t>
      </w:r>
      <w:r w:rsidR="0014442D">
        <w:t xml:space="preserve">consider </w:t>
      </w:r>
      <w:r>
        <w:t>the</w:t>
      </w:r>
      <w:r w:rsidR="0014442D">
        <w:t xml:space="preserve"> revised tariff structure statement has demonstrated reasonable consideration of this impact</w:t>
      </w:r>
      <w:r w:rsidR="00C64B44">
        <w:t>. T</w:t>
      </w:r>
      <w:r w:rsidR="0014442D">
        <w:t>he</w:t>
      </w:r>
      <w:r w:rsidR="0014442D" w:rsidRPr="004D2CF7">
        <w:t xml:space="preserve">refore we are </w:t>
      </w:r>
      <w:r w:rsidR="0014442D">
        <w:t>satisfied TasNetworks revis</w:t>
      </w:r>
      <w:r w:rsidR="0014442D" w:rsidRPr="004D2CF7">
        <w:t xml:space="preserve">ed tariff structure statement </w:t>
      </w:r>
      <w:r w:rsidR="005B663E">
        <w:t xml:space="preserve">complies </w:t>
      </w:r>
      <w:r w:rsidR="0014442D" w:rsidRPr="004D2CF7">
        <w:t>with the distribution pricing principles.</w:t>
      </w:r>
    </w:p>
    <w:p w:rsidR="00B56949" w:rsidRDefault="00B94545" w:rsidP="0014442D">
      <w:r>
        <w:t xml:space="preserve">In response to our draft decision, TasNetworks undertook further consultation with its high voltage customers </w:t>
      </w:r>
      <w:r w:rsidR="00AF03F7">
        <w:t>on proposed increases to fixed charges</w:t>
      </w:r>
      <w:r w:rsidR="008F45DA">
        <w:t>,</w:t>
      </w:r>
      <w:r>
        <w:t xml:space="preserve"> which was well received</w:t>
      </w:r>
      <w:r w:rsidR="008F45DA">
        <w:t xml:space="preserve"> by those stakeholders</w:t>
      </w:r>
      <w:r>
        <w:t>.</w:t>
      </w:r>
      <w:r>
        <w:rPr>
          <w:rStyle w:val="FootnoteReference"/>
        </w:rPr>
        <w:footnoteReference w:id="82"/>
      </w:r>
      <w:r>
        <w:t xml:space="preserve"> TasNetworks also demonstrated</w:t>
      </w:r>
      <w:r w:rsidR="00AF03F7">
        <w:t xml:space="preserve">, </w:t>
      </w:r>
      <w:r>
        <w:t>on average</w:t>
      </w:r>
      <w:r w:rsidR="00AF03F7">
        <w:t>,</w:t>
      </w:r>
      <w:r>
        <w:t xml:space="preserve"> the</w:t>
      </w:r>
      <w:r w:rsidR="00C64B44">
        <w:t xml:space="preserve"> overall</w:t>
      </w:r>
      <w:r>
        <w:t xml:space="preserve"> </w:t>
      </w:r>
      <w:r w:rsidR="00C64B44">
        <w:t xml:space="preserve">network charges for </w:t>
      </w:r>
      <w:r>
        <w:t xml:space="preserve">high voltage customers </w:t>
      </w:r>
      <w:r w:rsidR="00AF03F7">
        <w:t xml:space="preserve">are </w:t>
      </w:r>
      <w:r>
        <w:t>decreasing</w:t>
      </w:r>
      <w:r w:rsidR="008F45DA">
        <w:t>,</w:t>
      </w:r>
      <w:r>
        <w:t xml:space="preserve"> as </w:t>
      </w:r>
      <w:r w:rsidR="008F45DA">
        <w:t xml:space="preserve">increases to </w:t>
      </w:r>
      <w:r w:rsidR="00B27B42">
        <w:t xml:space="preserve">fixed charge </w:t>
      </w:r>
      <w:r w:rsidR="00C64B44">
        <w:t>are</w:t>
      </w:r>
      <w:r>
        <w:t xml:space="preserve"> more than offset by </w:t>
      </w:r>
      <w:r w:rsidR="008F45DA">
        <w:t xml:space="preserve">reductions in </w:t>
      </w:r>
      <w:r w:rsidR="00C64B44">
        <w:t>variable charge</w:t>
      </w:r>
      <w:r>
        <w:t xml:space="preserve">s. TasNetworks </w:t>
      </w:r>
      <w:r w:rsidR="005B663E">
        <w:t xml:space="preserve">submitted </w:t>
      </w:r>
      <w:r>
        <w:t>that in light of its further consultation and its analysis of customer impacts</w:t>
      </w:r>
      <w:r w:rsidR="00AF03F7">
        <w:t>,</w:t>
      </w:r>
      <w:r w:rsidR="008B40D8">
        <w:t xml:space="preserve"> </w:t>
      </w:r>
      <w:r>
        <w:t xml:space="preserve">its revised tariff structure statement </w:t>
      </w:r>
      <w:r w:rsidRPr="00B94545">
        <w:t>complies with the distribution pricing principles.</w:t>
      </w:r>
      <w:r>
        <w:t xml:space="preserve"> </w:t>
      </w:r>
      <w:r w:rsidR="005B663E">
        <w:t>We</w:t>
      </w:r>
      <w:r>
        <w:t xml:space="preserve"> agree with </w:t>
      </w:r>
      <w:r w:rsidR="00CC36D8">
        <w:t>this.</w:t>
      </w:r>
    </w:p>
    <w:p w:rsidR="00B51035" w:rsidRDefault="008B40D8" w:rsidP="00B51035">
      <w:r>
        <w:t>O</w:t>
      </w:r>
      <w:r w:rsidR="00B56949">
        <w:t xml:space="preserve">ur draft decision </w:t>
      </w:r>
      <w:r w:rsidR="00C64B44">
        <w:t>approved</w:t>
      </w:r>
      <w:r w:rsidR="00B56949">
        <w:t xml:space="preserve"> all other elements of TasNetworks' initial tariff structure statement. We maintain this </w:t>
      </w:r>
      <w:r w:rsidR="005B663E">
        <w:t xml:space="preserve">view </w:t>
      </w:r>
      <w:r w:rsidR="00B56949">
        <w:t>for our final decision.</w:t>
      </w:r>
    </w:p>
    <w:p w:rsidR="004D2CF7" w:rsidRPr="004D2CF7" w:rsidRDefault="004D2CF7" w:rsidP="004D2CF7">
      <w:r w:rsidRPr="004D2CF7">
        <w:t>We approve the introduction of time of use demand tariffs for small and low voltage business customers. Demand based tariffs are more cost reflective compared to existing consumption based tariffs. Demand tariffs better reflect a distributor's forward looking costs which are driven by building network capacity to alleviate network congestion and provide a safe and reliable network during periods of peak demand.</w:t>
      </w:r>
    </w:p>
    <w:p w:rsidR="004D2CF7" w:rsidRPr="004D2CF7" w:rsidRDefault="00C64B44" w:rsidP="004D2CF7">
      <w:r>
        <w:t>W</w:t>
      </w:r>
      <w:r w:rsidR="004D2CF7" w:rsidRPr="004D2CF7">
        <w:t>e approve</w:t>
      </w:r>
      <w:r>
        <w:t xml:space="preserve"> </w:t>
      </w:r>
      <w:r w:rsidR="004D2CF7" w:rsidRPr="004D2CF7">
        <w:t>the introduction of the time of use demand tariffs to customers on an opt</w:t>
      </w:r>
      <w:r>
        <w:noBreakHyphen/>
      </w:r>
      <w:r w:rsidR="004D2CF7" w:rsidRPr="004D2CF7">
        <w:t xml:space="preserve">in basis and that legacy tariffs will continue in their current structure for at least the 2017–19 regulatory control period. Both TasNetworks and stakeholders considered this to be a prudent approach, to avoid any sudden price </w:t>
      </w:r>
      <w:r w:rsidR="00DB5445">
        <w:t>movements</w:t>
      </w:r>
      <w:r w:rsidR="00DB5445" w:rsidRPr="004D2CF7">
        <w:t xml:space="preserve"> </w:t>
      </w:r>
      <w:r w:rsidR="004D2CF7" w:rsidRPr="004D2CF7">
        <w:t>for customers.</w:t>
      </w:r>
    </w:p>
    <w:p w:rsidR="004D2CF7" w:rsidRPr="004D2CF7" w:rsidRDefault="004D2CF7" w:rsidP="004D2CF7">
      <w:r w:rsidRPr="004D2CF7">
        <w:t xml:space="preserve">We approve the proposed time of use demand charging windows for the demand tariffs. The peak demand charging windows reflect times of </w:t>
      </w:r>
      <w:r w:rsidR="00DB5445">
        <w:t xml:space="preserve">likely </w:t>
      </w:r>
      <w:r w:rsidRPr="004D2CF7">
        <w:t>network stress</w:t>
      </w:r>
      <w:r w:rsidR="00C64B44">
        <w:t xml:space="preserve"> and </w:t>
      </w:r>
      <w:r w:rsidRPr="004D2CF7">
        <w:t>are also wide enough to aid in avoiding customers shifting load and creating new peaks</w:t>
      </w:r>
      <w:r w:rsidR="00DB5445">
        <w:t xml:space="preserve"> at other times</w:t>
      </w:r>
      <w:r w:rsidRPr="004D2CF7">
        <w:t>.</w:t>
      </w:r>
    </w:p>
    <w:p w:rsidR="004D2CF7" w:rsidRDefault="00C64B44" w:rsidP="00001DD1">
      <w:r>
        <w:lastRenderedPageBreak/>
        <w:t>We approve</w:t>
      </w:r>
      <w:r w:rsidR="004D2CF7" w:rsidRPr="004D2CF7">
        <w:t xml:space="preserve"> the realignment of specific tariffs to remove long standing subsidies between customer groups. Removing the cross subsidies is a move</w:t>
      </w:r>
      <w:r w:rsidR="00D07B55">
        <w:t xml:space="preserve"> towards tariffs better reflecting costs </w:t>
      </w:r>
      <w:r w:rsidR="004D2CF7" w:rsidRPr="004D2CF7">
        <w:t>and contributes to the achievement of compliance with the distribution pricing principles.</w:t>
      </w:r>
    </w:p>
    <w:p w:rsidR="00840AD6" w:rsidRDefault="00840AD6" w:rsidP="00001DD1">
      <w:r>
        <w:t xml:space="preserve">We do note that some </w:t>
      </w:r>
      <w:r w:rsidR="0011519E">
        <w:t>stakeholders</w:t>
      </w:r>
      <w:r>
        <w:t>, such as the Tasmanian Farmers and Graziers Association</w:t>
      </w:r>
      <w:r w:rsidR="0011519E">
        <w:t>,</w:t>
      </w:r>
      <w:r>
        <w:t xml:space="preserve"> were concerned about the removal of these subsidies charges.</w:t>
      </w:r>
      <w:r>
        <w:rPr>
          <w:rStyle w:val="FootnoteReference"/>
        </w:rPr>
        <w:footnoteReference w:id="83"/>
      </w:r>
      <w:r>
        <w:t xml:space="preserve"> However, TasNetworks will transition these charges over a period of proximately 12 years, mitigating the impacts on affected customers. Moreover, it is required by the rules to ensure tariffs are cost reflective and the removal of subsidised tariffs </w:t>
      </w:r>
      <w:r w:rsidR="00A234AA">
        <w:t>helps to achieve this aim.</w:t>
      </w:r>
    </w:p>
    <w:p w:rsidR="00A234AA" w:rsidRDefault="00A234AA" w:rsidP="00001DD1">
      <w:r>
        <w:t>We encourage TasNetworks to continue working with its customers over coming years to provide information on the impacts of its various tariffs—both existing and new demand time of use varieties—on network bills. This will be important if TasNetworks seeks to move customers more quickly to its new demand tariffs. Furthermore, TasNetworks should continue to seek ways to make its network tariffs more cost reflective with each subsequent tariff structure statement</w:t>
      </w:r>
      <w:r w:rsidR="00242A90">
        <w:t>, to ensure continuing compliance with the distribution pricing principles.</w:t>
      </w:r>
    </w:p>
    <w:p w:rsidR="00001DD1" w:rsidRDefault="00001DD1" w:rsidP="00001DD1">
      <w:pPr>
        <w:pStyle w:val="Heading1"/>
      </w:pPr>
      <w:bookmarkStart w:id="167" w:name="_Ref478472401"/>
      <w:bookmarkStart w:id="168" w:name="_Toc481051886"/>
      <w:r>
        <w:lastRenderedPageBreak/>
        <w:t>The regulatory framework</w:t>
      </w:r>
      <w:bookmarkEnd w:id="167"/>
      <w:bookmarkEnd w:id="168"/>
    </w:p>
    <w:p w:rsidR="0012534C" w:rsidRPr="00085FA0" w:rsidRDefault="0012534C" w:rsidP="0012534C">
      <w:r>
        <w:rPr>
          <w:rStyle w:val="AERbody"/>
        </w:rPr>
        <w:t xml:space="preserve">The NEO is the central feature of the regulatory framework. </w:t>
      </w:r>
      <w:r w:rsidRPr="00085FA0">
        <w:t xml:space="preserve">The NEO is to: </w:t>
      </w:r>
    </w:p>
    <w:p w:rsidR="0012534C" w:rsidRPr="00085FA0" w:rsidRDefault="0012534C" w:rsidP="0012534C">
      <w:pPr>
        <w:pStyle w:val="AERquote"/>
      </w:pPr>
      <w:r w:rsidRPr="00085FA0">
        <w:t xml:space="preserve">promote efficient investment in, and efficient operation and use of, electricity services for the long term interests of consumers of electricity with respect to— </w:t>
      </w:r>
    </w:p>
    <w:p w:rsidR="0012534C" w:rsidRPr="00085FA0" w:rsidRDefault="0012534C" w:rsidP="0012534C">
      <w:pPr>
        <w:pStyle w:val="AERquote"/>
      </w:pPr>
      <w:r w:rsidRPr="00085FA0">
        <w:t xml:space="preserve">(a) price, quality, safety, reliability and security of supply of electricity; and </w:t>
      </w:r>
    </w:p>
    <w:p w:rsidR="0012534C" w:rsidRDefault="0012534C" w:rsidP="0012534C">
      <w:pPr>
        <w:pStyle w:val="AERquote"/>
      </w:pPr>
      <w:r w:rsidRPr="00085FA0">
        <w:t>(b) the reliability, safety and security of the national electricity system.</w:t>
      </w:r>
      <w:r>
        <w:rPr>
          <w:rStyle w:val="FootnoteReference"/>
        </w:rPr>
        <w:footnoteReference w:id="84"/>
      </w:r>
    </w:p>
    <w:p w:rsidR="0012534C" w:rsidRPr="004922F8" w:rsidRDefault="0012534C" w:rsidP="0012534C">
      <w:pPr>
        <w:rPr>
          <w:rStyle w:val="AERbody"/>
        </w:rPr>
      </w:pPr>
      <w:r w:rsidRPr="004922F8">
        <w:rPr>
          <w:rStyle w:val="AERbody"/>
        </w:rPr>
        <w:t>Energy Ministers have provided us with a substantial body of explanatory material that guides our understanding of the NEO.</w:t>
      </w:r>
      <w:r>
        <w:rPr>
          <w:rStyle w:val="FootnoteReference"/>
        </w:rPr>
        <w:footnoteReference w:id="85"/>
      </w:r>
      <w:r w:rsidRPr="004922F8">
        <w:rPr>
          <w:rStyle w:val="AERbody"/>
        </w:rPr>
        <w:t xml:space="preserve"> The long term interests of consumers are not delivered by any one of the NEO's factors in isolation, but rather by balancing them in reaching a regulatory decision.</w:t>
      </w:r>
      <w:r>
        <w:rPr>
          <w:rStyle w:val="FootnoteReference"/>
        </w:rPr>
        <w:footnoteReference w:id="86"/>
      </w:r>
      <w:r w:rsidRPr="004922F8">
        <w:rPr>
          <w:rStyle w:val="AERbody"/>
        </w:rPr>
        <w:t xml:space="preserve"> </w:t>
      </w:r>
    </w:p>
    <w:p w:rsidR="0012534C" w:rsidRPr="004922F8" w:rsidRDefault="0012534C" w:rsidP="0012534C">
      <w:pPr>
        <w:rPr>
          <w:rStyle w:val="AERbody"/>
        </w:rPr>
      </w:pPr>
      <w:r w:rsidRPr="004922F8">
        <w:rPr>
          <w:rStyle w:val="AERbody"/>
        </w:rPr>
        <w:t>In general, we consider that we will achieve this balance and, therefore, contribute to the achievement of the NEO, where consumers are provided a reasonable level of safe and reliable service that they value at least cost in the long run.</w:t>
      </w:r>
      <w:r>
        <w:rPr>
          <w:rStyle w:val="FootnoteReference"/>
        </w:rPr>
        <w:footnoteReference w:id="87"/>
      </w:r>
      <w:r w:rsidRPr="004922F8">
        <w:rPr>
          <w:rStyle w:val="AERbody"/>
        </w:rPr>
        <w:t xml:space="preserve"> We have also considered the quality and reliability of services provided to consumers. For example, opex allowances have been set so </w:t>
      </w:r>
      <w:r>
        <w:t>TasNetworks</w:t>
      </w:r>
      <w:r w:rsidRPr="004922F8">
        <w:rPr>
          <w:rStyle w:val="AERbody"/>
        </w:rPr>
        <w:t xml:space="preserve"> may meet existing and new regulatory requirements. </w:t>
      </w:r>
      <w:r>
        <w:rPr>
          <w:rStyle w:val="AERbody"/>
        </w:rPr>
        <w:t>Replacement expenditure (r</w:t>
      </w:r>
      <w:r w:rsidRPr="004922F8">
        <w:rPr>
          <w:rStyle w:val="AERbody"/>
        </w:rPr>
        <w:t>epex</w:t>
      </w:r>
      <w:r>
        <w:rPr>
          <w:rStyle w:val="AERbody"/>
        </w:rPr>
        <w:t>)</w:t>
      </w:r>
      <w:r w:rsidRPr="004922F8">
        <w:rPr>
          <w:rStyle w:val="AERbody"/>
        </w:rPr>
        <w:t xml:space="preserve"> allowances take into account the age and condition of assets. Our capex allowance is based on a contemporary estimate of the value of customer reliability. </w:t>
      </w:r>
      <w:r>
        <w:rPr>
          <w:rStyle w:val="AERbody"/>
        </w:rPr>
        <w:t>T</w:t>
      </w:r>
      <w:r w:rsidRPr="004922F8">
        <w:rPr>
          <w:rStyle w:val="AERbody"/>
        </w:rPr>
        <w:t>he STPIS encourages maintenance, and indeed improvement of, service quality.</w:t>
      </w:r>
    </w:p>
    <w:p w:rsidR="0012534C" w:rsidRPr="004922F8" w:rsidRDefault="0012534C" w:rsidP="0012534C">
      <w:pPr>
        <w:rPr>
          <w:rStyle w:val="AERbody"/>
        </w:rPr>
      </w:pPr>
      <w:r w:rsidRPr="004922F8">
        <w:rPr>
          <w:rStyle w:val="AERbody"/>
        </w:rPr>
        <w:t>The nature of decisions under the NER is such that there may be a range of economically efficient decisions, with different implications for the long term interests of consumers.</w:t>
      </w:r>
      <w:r>
        <w:rPr>
          <w:rStyle w:val="FootnoteReference"/>
        </w:rPr>
        <w:footnoteReference w:id="88"/>
      </w:r>
      <w:r w:rsidRPr="004922F8">
        <w:rPr>
          <w:rStyle w:val="AERbody"/>
        </w:rPr>
        <w:t xml:space="preserve">  At the same time, however, there are a range of outcomes that are unlikely to advance the NEO, or advance the NEO to the degree that others would.</w:t>
      </w:r>
    </w:p>
    <w:p w:rsidR="0012534C" w:rsidRPr="004922F8" w:rsidRDefault="0012534C" w:rsidP="0012534C">
      <w:pPr>
        <w:rPr>
          <w:rStyle w:val="AERbody"/>
        </w:rPr>
      </w:pPr>
      <w:r w:rsidRPr="004922F8">
        <w:rPr>
          <w:rStyle w:val="AERbody"/>
        </w:rPr>
        <w:t>For example, we do not consider that the NEO would be advanced if allowed revenues encourage overinvestment and result in prices so high that consumers are unwilling or unable to efficiently use the network.</w:t>
      </w:r>
      <w:r>
        <w:rPr>
          <w:rStyle w:val="FootnoteReference"/>
        </w:rPr>
        <w:footnoteReference w:id="89"/>
      </w:r>
      <w:r w:rsidRPr="004922F8">
        <w:rPr>
          <w:rStyle w:val="AERbody"/>
        </w:rPr>
        <w:t xml:space="preserve">  This could have significant longer term pricing implications for those consumers who continue to use network services.</w:t>
      </w:r>
    </w:p>
    <w:p w:rsidR="0012534C" w:rsidRPr="004922F8" w:rsidRDefault="0012534C" w:rsidP="0012534C">
      <w:pPr>
        <w:rPr>
          <w:rStyle w:val="AERbody"/>
        </w:rPr>
      </w:pPr>
      <w:r w:rsidRPr="004922F8">
        <w:rPr>
          <w:rStyle w:val="AERbody"/>
        </w:rPr>
        <w:lastRenderedPageBreak/>
        <w:t>Equally, we do not consider the NEO would be advanced if allowed revenues result in prices so low that investors are unwilling to invest as required to adequately maintain the appropriate quality and level of service, and where customers are making more use of the network than is sustainable. This could create longer term problems in the network</w:t>
      </w:r>
      <w:r>
        <w:rPr>
          <w:rStyle w:val="FootnoteReference"/>
        </w:rPr>
        <w:footnoteReference w:id="90"/>
      </w:r>
      <w:r w:rsidRPr="004922F8">
        <w:rPr>
          <w:rStyle w:val="AERbody"/>
        </w:rPr>
        <w:t xml:space="preserve"> and could have adverse consequences for safety, security and reliability of the network. </w:t>
      </w:r>
    </w:p>
    <w:p w:rsidR="0012534C" w:rsidRDefault="0012534C" w:rsidP="0012534C">
      <w:pPr>
        <w:rPr>
          <w:rStyle w:val="AERbody"/>
        </w:rPr>
      </w:pPr>
      <w:r w:rsidRPr="004922F8">
        <w:rPr>
          <w:rStyle w:val="AERbody"/>
        </w:rPr>
        <w:t>The NEL also includes the revenue and pricing principles (RPP),</w:t>
      </w:r>
      <w:r>
        <w:rPr>
          <w:rStyle w:val="FootnoteReference"/>
        </w:rPr>
        <w:footnoteReference w:id="91"/>
      </w:r>
      <w:r w:rsidRPr="004922F8">
        <w:rPr>
          <w:rStyle w:val="AERbody"/>
        </w:rPr>
        <w:t xml:space="preserve"> which support the NEO. As the NEL requires,</w:t>
      </w:r>
      <w:r>
        <w:rPr>
          <w:rStyle w:val="FootnoteReference"/>
        </w:rPr>
        <w:footnoteReference w:id="92"/>
      </w:r>
      <w:r w:rsidRPr="004922F8">
        <w:rPr>
          <w:rStyle w:val="AERbody"/>
        </w:rPr>
        <w:t xml:space="preserve"> we have taken the RPPs into account throughout our analysis. </w:t>
      </w:r>
    </w:p>
    <w:p w:rsidR="0012534C" w:rsidRPr="004E54F9" w:rsidRDefault="0012534C" w:rsidP="0012534C">
      <w:pPr>
        <w:pStyle w:val="AERquote"/>
      </w:pPr>
      <w:r w:rsidRPr="004E54F9">
        <w:t xml:space="preserve">The RPPs are: </w:t>
      </w:r>
    </w:p>
    <w:p w:rsidR="0012534C" w:rsidRPr="004E54F9" w:rsidRDefault="0012534C" w:rsidP="0012534C">
      <w:pPr>
        <w:pStyle w:val="AERquote"/>
      </w:pPr>
      <w:r w:rsidRPr="004E54F9">
        <w:t xml:space="preserve">A regulated network service provider should be provided with a reasonable opportunity to recover at least the efficient costs the operator incurs in— </w:t>
      </w:r>
    </w:p>
    <w:p w:rsidR="0012534C" w:rsidRPr="004E54F9" w:rsidRDefault="0012534C" w:rsidP="0012534C">
      <w:pPr>
        <w:pStyle w:val="AERquote"/>
      </w:pPr>
      <w:r>
        <w:t xml:space="preserve">– </w:t>
      </w:r>
      <w:r w:rsidRPr="004E54F9">
        <w:t xml:space="preserve">providing direct control network services; and </w:t>
      </w:r>
    </w:p>
    <w:p w:rsidR="0012534C" w:rsidRPr="004E54F9" w:rsidRDefault="0012534C" w:rsidP="0012534C">
      <w:pPr>
        <w:pStyle w:val="AERquote"/>
      </w:pPr>
      <w:r>
        <w:t>–</w:t>
      </w:r>
      <w:r w:rsidRPr="004E54F9">
        <w:t xml:space="preserve"> complying with a regulatory obligation or requirement or making a regulatory payment. </w:t>
      </w:r>
    </w:p>
    <w:p w:rsidR="0012534C" w:rsidRPr="004E54F9" w:rsidRDefault="0012534C" w:rsidP="0012534C">
      <w:pPr>
        <w:pStyle w:val="AERquote"/>
      </w:pPr>
      <w:r w:rsidRPr="004E54F9">
        <w:t xml:space="preserve">A regulated network service provider should be provided with effective incentives in order to promote economic efficiency with respect to direct control network services the operator provides. The economic efficiency that should be promoted includes— </w:t>
      </w:r>
    </w:p>
    <w:p w:rsidR="0012534C" w:rsidRPr="004E54F9" w:rsidRDefault="0012534C" w:rsidP="0012534C">
      <w:pPr>
        <w:pStyle w:val="AERquote"/>
      </w:pPr>
      <w:r>
        <w:t xml:space="preserve">– </w:t>
      </w:r>
      <w:r w:rsidRPr="004E54F9">
        <w:t xml:space="preserve">efficient investment in a distribution system or transmission system with which the operator provides direct control network services; and </w:t>
      </w:r>
    </w:p>
    <w:p w:rsidR="0012534C" w:rsidRPr="004E54F9" w:rsidRDefault="0012534C" w:rsidP="0012534C">
      <w:pPr>
        <w:pStyle w:val="AERquote"/>
      </w:pPr>
      <w:r>
        <w:t xml:space="preserve">– </w:t>
      </w:r>
      <w:r w:rsidRPr="004E54F9">
        <w:t xml:space="preserve">the efficient provision of electricity network services; and </w:t>
      </w:r>
    </w:p>
    <w:p w:rsidR="0012534C" w:rsidRPr="004E54F9" w:rsidRDefault="0012534C" w:rsidP="0012534C">
      <w:pPr>
        <w:pStyle w:val="AERquote"/>
      </w:pPr>
      <w:r>
        <w:t xml:space="preserve">– </w:t>
      </w:r>
      <w:r w:rsidRPr="004E54F9">
        <w:t xml:space="preserve">the efficient use of the distribution system or transmission system with which the operator provides direct control network services. </w:t>
      </w:r>
    </w:p>
    <w:p w:rsidR="0012534C" w:rsidRPr="004E54F9" w:rsidRDefault="0012534C" w:rsidP="0012534C">
      <w:pPr>
        <w:pStyle w:val="AERquote"/>
      </w:pPr>
      <w:r w:rsidRPr="004E54F9">
        <w:t xml:space="preserve">Regard should be had to the regulatory asset base with respect to a distribution system or transmission system adopted— </w:t>
      </w:r>
    </w:p>
    <w:p w:rsidR="0012534C" w:rsidRPr="004E54F9" w:rsidRDefault="0012534C" w:rsidP="0012534C">
      <w:pPr>
        <w:pStyle w:val="AERquote"/>
      </w:pPr>
      <w:r>
        <w:t xml:space="preserve">– </w:t>
      </w:r>
      <w:r w:rsidRPr="004E54F9">
        <w:t xml:space="preserve">in any previous— </w:t>
      </w:r>
    </w:p>
    <w:p w:rsidR="0012534C" w:rsidRPr="004E54F9" w:rsidRDefault="0012534C" w:rsidP="0012534C">
      <w:pPr>
        <w:pStyle w:val="AERquote"/>
      </w:pPr>
      <w:r>
        <w:t>–</w:t>
      </w:r>
      <w:r w:rsidRPr="004E54F9">
        <w:t xml:space="preserve"> as the case requires, distribution determination or transmission determination; or </w:t>
      </w:r>
    </w:p>
    <w:p w:rsidR="0012534C" w:rsidRPr="004E54F9" w:rsidRDefault="0012534C" w:rsidP="0012534C">
      <w:pPr>
        <w:pStyle w:val="AERquote"/>
      </w:pPr>
      <w:r>
        <w:t>–</w:t>
      </w:r>
      <w:r w:rsidRPr="004E54F9">
        <w:t xml:space="preserve"> determination or decision under the National Electricity Code or jurisdictional electricity legislation regulating the revenue earned, or prices charged, by a person providing services by means of that distribution system or transmission system; or </w:t>
      </w:r>
    </w:p>
    <w:p w:rsidR="0012534C" w:rsidRPr="004E54F9" w:rsidRDefault="0012534C" w:rsidP="0012534C">
      <w:pPr>
        <w:pStyle w:val="AERquote"/>
      </w:pPr>
      <w:r>
        <w:lastRenderedPageBreak/>
        <w:t>–</w:t>
      </w:r>
      <w:r w:rsidRPr="004E54F9">
        <w:t xml:space="preserve"> in the Rules. </w:t>
      </w:r>
    </w:p>
    <w:p w:rsidR="0012534C" w:rsidRPr="004E54F9" w:rsidRDefault="0012534C" w:rsidP="0012534C">
      <w:pPr>
        <w:pStyle w:val="AERquote"/>
      </w:pPr>
      <w:r w:rsidRPr="004E54F9">
        <w:t xml:space="preserve">A price or charge for the provision of a direct control network service should allow for a return commensurate with the regulatory and commercial risks involved in providing the direct control network service to which that price or charge relates. </w:t>
      </w:r>
    </w:p>
    <w:p w:rsidR="0012534C" w:rsidRPr="004E54F9" w:rsidRDefault="0012534C" w:rsidP="0012534C">
      <w:pPr>
        <w:pStyle w:val="AERquote"/>
      </w:pPr>
      <w:r w:rsidRPr="004E54F9">
        <w:t xml:space="preserve">Regard should be had to the economic costs and risks of the potential for under and over investment by a regulated network service provider in, as the case requires, a distribution system or transmission system with which the operator provides direct control network services. </w:t>
      </w:r>
    </w:p>
    <w:p w:rsidR="0012534C" w:rsidRPr="004922F8" w:rsidRDefault="0012534C" w:rsidP="0012534C">
      <w:pPr>
        <w:pStyle w:val="AERquote"/>
        <w:rPr>
          <w:rStyle w:val="AERbody"/>
        </w:rPr>
      </w:pPr>
      <w:r w:rsidRPr="004E54F9">
        <w:t>Regard should be had to the economic costs and risks of the potential for under and over utilisation of a distribution system or transmission system with which a regulated network service provider provides direct control network services.</w:t>
      </w:r>
    </w:p>
    <w:p w:rsidR="0012534C" w:rsidRPr="004922F8" w:rsidRDefault="0012534C" w:rsidP="0012534C">
      <w:pPr>
        <w:rPr>
          <w:rStyle w:val="AERbody"/>
        </w:rPr>
      </w:pPr>
      <w:r w:rsidRPr="004922F8">
        <w:rPr>
          <w:rStyle w:val="AERbody"/>
        </w:rPr>
        <w:t>Consistent with Energy Ministers' views, we set revenue allowances to balance all elements of the NEO and consider each of the RPPs.</w:t>
      </w:r>
      <w:r>
        <w:rPr>
          <w:rStyle w:val="FootnoteReference"/>
        </w:rPr>
        <w:footnoteReference w:id="93"/>
      </w:r>
      <w:r w:rsidRPr="004922F8">
        <w:rPr>
          <w:rStyle w:val="AERbody"/>
        </w:rPr>
        <w:t xml:space="preserve"> For example:</w:t>
      </w:r>
    </w:p>
    <w:p w:rsidR="0012534C" w:rsidRPr="004922F8" w:rsidRDefault="0012534C" w:rsidP="0012534C">
      <w:pPr>
        <w:pStyle w:val="AERbulletlistfirststyle"/>
        <w:rPr>
          <w:rStyle w:val="AERbody"/>
        </w:rPr>
      </w:pPr>
      <w:r w:rsidRPr="004922F8">
        <w:rPr>
          <w:rStyle w:val="AERbody"/>
        </w:rPr>
        <w:tab/>
        <w:t xml:space="preserve">In determining forecast opex and capex that reasonably reflects the opex and capex criteria, we take into account the revenue and pricing principle that should provide </w:t>
      </w:r>
      <w:r>
        <w:t>TasNetworks</w:t>
      </w:r>
      <w:r w:rsidRPr="004922F8">
        <w:rPr>
          <w:rStyle w:val="AERbody"/>
        </w:rPr>
        <w:t xml:space="preserve"> with a reasonable opportunity to recover at least efficient costs. (Refer to capex attachment 6 and opex attachment 7</w:t>
      </w:r>
      <w:r w:rsidR="003D45A6">
        <w:rPr>
          <w:rStyle w:val="AERbody"/>
        </w:rPr>
        <w:t xml:space="preserve"> of our draft decision</w:t>
      </w:r>
      <w:r w:rsidRPr="004922F8">
        <w:rPr>
          <w:rStyle w:val="AERbody"/>
        </w:rPr>
        <w:t xml:space="preserve">). </w:t>
      </w:r>
    </w:p>
    <w:p w:rsidR="0012534C" w:rsidRPr="004922F8" w:rsidRDefault="0012534C" w:rsidP="0012534C">
      <w:pPr>
        <w:pStyle w:val="AERbulletlistfirststyle"/>
        <w:rPr>
          <w:rStyle w:val="AERbody"/>
        </w:rPr>
      </w:pPr>
      <w:r w:rsidRPr="004922F8">
        <w:rPr>
          <w:rStyle w:val="AERbody"/>
        </w:rPr>
        <w:tab/>
        <w:t xml:space="preserve">We take into account the economic costs and risks of the potential for under and over investment by a network service provider in our assessment of </w:t>
      </w:r>
      <w:r>
        <w:t>TasNetworks'</w:t>
      </w:r>
      <w:r>
        <w:rPr>
          <w:rStyle w:val="AERbody"/>
        </w:rPr>
        <w:t xml:space="preserve"> </w:t>
      </w:r>
      <w:r w:rsidRPr="004922F8">
        <w:rPr>
          <w:rStyle w:val="AERbody"/>
        </w:rPr>
        <w:t xml:space="preserve">forecast </w:t>
      </w:r>
      <w:r>
        <w:rPr>
          <w:rStyle w:val="AERbody"/>
        </w:rPr>
        <w:t>capex</w:t>
      </w:r>
      <w:r w:rsidRPr="004922F8">
        <w:rPr>
          <w:rStyle w:val="AERbody"/>
        </w:rPr>
        <w:t xml:space="preserve"> and </w:t>
      </w:r>
      <w:r>
        <w:rPr>
          <w:rStyle w:val="AERbody"/>
        </w:rPr>
        <w:t>opex</w:t>
      </w:r>
      <w:r w:rsidRPr="004922F8">
        <w:rPr>
          <w:rStyle w:val="AERbody"/>
        </w:rPr>
        <w:t xml:space="preserve"> proposals. (Refer to capex attachment 6 and opex attachment 7</w:t>
      </w:r>
      <w:r w:rsidR="003D45A6">
        <w:rPr>
          <w:rStyle w:val="AERbody"/>
        </w:rPr>
        <w:t xml:space="preserve"> of our draft decision</w:t>
      </w:r>
      <w:r w:rsidRPr="004922F8">
        <w:rPr>
          <w:rStyle w:val="AERbody"/>
        </w:rPr>
        <w:t>).</w:t>
      </w:r>
    </w:p>
    <w:p w:rsidR="0012534C" w:rsidRPr="004922F8" w:rsidRDefault="0012534C" w:rsidP="0012534C">
      <w:pPr>
        <w:pStyle w:val="AERbulletlistfirststyle"/>
        <w:rPr>
          <w:rStyle w:val="AERbody"/>
        </w:rPr>
      </w:pPr>
      <w:r w:rsidRPr="004922F8">
        <w:rPr>
          <w:rStyle w:val="AERbody"/>
        </w:rPr>
        <w:tab/>
        <w:t xml:space="preserve">We consider the economic costs and risks of the potential for under and over utilisation of </w:t>
      </w:r>
      <w:r>
        <w:t>TasNetworks'</w:t>
      </w:r>
      <w:r>
        <w:rPr>
          <w:rStyle w:val="AERbody"/>
        </w:rPr>
        <w:t xml:space="preserve"> distribution network</w:t>
      </w:r>
      <w:r w:rsidRPr="004922F8">
        <w:rPr>
          <w:rStyle w:val="AERbody"/>
        </w:rPr>
        <w:t xml:space="preserve"> in our demand forecasting (Refer to capex attachment 6</w:t>
      </w:r>
      <w:r w:rsidR="003D45A6">
        <w:rPr>
          <w:rStyle w:val="AERbody"/>
        </w:rPr>
        <w:t xml:space="preserve"> of our draft decision</w:t>
      </w:r>
      <w:r w:rsidRPr="004922F8">
        <w:rPr>
          <w:rStyle w:val="AERbody"/>
        </w:rPr>
        <w:t>).</w:t>
      </w:r>
    </w:p>
    <w:p w:rsidR="0012534C" w:rsidRPr="004922F8" w:rsidRDefault="0012534C" w:rsidP="0012534C">
      <w:pPr>
        <w:pStyle w:val="AERbulletlistfirststyle"/>
        <w:rPr>
          <w:rStyle w:val="AERbody"/>
        </w:rPr>
      </w:pPr>
      <w:r w:rsidRPr="004922F8">
        <w:rPr>
          <w:rStyle w:val="AERbody"/>
        </w:rPr>
        <w:tab/>
        <w:t xml:space="preserve">Our application of the EBSS, CESS, </w:t>
      </w:r>
      <w:r>
        <w:rPr>
          <w:rStyle w:val="AERbody"/>
        </w:rPr>
        <w:t xml:space="preserve">and </w:t>
      </w:r>
      <w:r w:rsidRPr="004922F8">
        <w:rPr>
          <w:rStyle w:val="AERbody"/>
        </w:rPr>
        <w:t xml:space="preserve">STPIS in this </w:t>
      </w:r>
      <w:r>
        <w:rPr>
          <w:rStyle w:val="AERbody"/>
        </w:rPr>
        <w:t>final decision</w:t>
      </w:r>
      <w:r w:rsidRPr="004922F8">
        <w:rPr>
          <w:rStyle w:val="AERbody"/>
        </w:rPr>
        <w:t xml:space="preserve"> provide </w:t>
      </w:r>
      <w:r>
        <w:t>TasNetworks</w:t>
      </w:r>
      <w:r w:rsidRPr="004922F8">
        <w:rPr>
          <w:rStyle w:val="AERbody"/>
        </w:rPr>
        <w:t xml:space="preserve"> with effective incentives which we consider will promote economic efficiency with respect to the direct control services that </w:t>
      </w:r>
      <w:r>
        <w:t>TasNetworks</w:t>
      </w:r>
      <w:r w:rsidRPr="004922F8">
        <w:rPr>
          <w:rStyle w:val="AERbody"/>
        </w:rPr>
        <w:t xml:space="preserve"> provides throughout the regulatory control period. (Refer to attachment 9</w:t>
      </w:r>
      <w:r w:rsidR="003D45A6">
        <w:rPr>
          <w:rStyle w:val="AERbody"/>
        </w:rPr>
        <w:t xml:space="preserve"> of this final decision and attachments</w:t>
      </w:r>
      <w:r w:rsidRPr="004922F8">
        <w:rPr>
          <w:rStyle w:val="AERbody"/>
        </w:rPr>
        <w:t xml:space="preserve"> 10 and 1</w:t>
      </w:r>
      <w:r>
        <w:rPr>
          <w:rStyle w:val="AERbody"/>
        </w:rPr>
        <w:t>1</w:t>
      </w:r>
      <w:r w:rsidR="003D45A6">
        <w:rPr>
          <w:rStyle w:val="AERbody"/>
        </w:rPr>
        <w:t xml:space="preserve"> of our draft decision</w:t>
      </w:r>
      <w:r w:rsidRPr="004922F8">
        <w:rPr>
          <w:rStyle w:val="AERbody"/>
        </w:rPr>
        <w:t xml:space="preserve">). </w:t>
      </w:r>
    </w:p>
    <w:p w:rsidR="0012534C" w:rsidRPr="004922F8" w:rsidRDefault="0012534C" w:rsidP="0012534C">
      <w:pPr>
        <w:pStyle w:val="AERbulletlistfirststyle"/>
        <w:rPr>
          <w:rStyle w:val="AERbody"/>
        </w:rPr>
      </w:pPr>
      <w:r w:rsidRPr="004922F8">
        <w:rPr>
          <w:rStyle w:val="AERbody"/>
        </w:rPr>
        <w:tab/>
        <w:t xml:space="preserve">We have determined </w:t>
      </w:r>
      <w:r>
        <w:t>TasNetworks'</w:t>
      </w:r>
      <w:r w:rsidRPr="004922F8">
        <w:rPr>
          <w:rStyle w:val="AERbody"/>
        </w:rPr>
        <w:t xml:space="preserve"> opening RAB taking into account the RAB adopted in the previous</w:t>
      </w:r>
      <w:r>
        <w:rPr>
          <w:rStyle w:val="AERbody"/>
        </w:rPr>
        <w:t xml:space="preserve"> distribution</w:t>
      </w:r>
      <w:r w:rsidRPr="004922F8">
        <w:rPr>
          <w:rStyle w:val="AERbody"/>
        </w:rPr>
        <w:t xml:space="preserve"> determination. (Refer to attachment 2</w:t>
      </w:r>
      <w:r w:rsidR="003D45A6">
        <w:rPr>
          <w:rStyle w:val="AERbody"/>
        </w:rPr>
        <w:t xml:space="preserve"> of our draft decision</w:t>
      </w:r>
      <w:r w:rsidRPr="004922F8">
        <w:rPr>
          <w:rStyle w:val="AERbody"/>
        </w:rPr>
        <w:t>, regulatory asset base).</w:t>
      </w:r>
    </w:p>
    <w:p w:rsidR="0012534C" w:rsidRPr="004922F8" w:rsidRDefault="0012534C" w:rsidP="0012534C">
      <w:pPr>
        <w:pStyle w:val="AERbulletlistfirststyle"/>
        <w:rPr>
          <w:rStyle w:val="AERbody"/>
        </w:rPr>
      </w:pPr>
      <w:r w:rsidRPr="004922F8">
        <w:rPr>
          <w:rStyle w:val="AERbody"/>
        </w:rPr>
        <w:tab/>
        <w:t>The allowed rate of return objective reflects the revenue and pricing principle in s.</w:t>
      </w:r>
      <w:r>
        <w:rPr>
          <w:rStyle w:val="AERbody"/>
        </w:rPr>
        <w:t> </w:t>
      </w:r>
      <w:r w:rsidRPr="004922F8">
        <w:rPr>
          <w:rStyle w:val="AERbody"/>
        </w:rPr>
        <w:t>7A(5)</w:t>
      </w:r>
      <w:r>
        <w:rPr>
          <w:rStyle w:val="AERbody"/>
        </w:rPr>
        <w:t xml:space="preserve"> of the NEL</w:t>
      </w:r>
      <w:r w:rsidRPr="004922F8">
        <w:rPr>
          <w:rStyle w:val="AERbody"/>
        </w:rPr>
        <w:t xml:space="preserve">. We have determined a rate of return that we consider will provide </w:t>
      </w:r>
      <w:r>
        <w:t>TasNetworks</w:t>
      </w:r>
      <w:r>
        <w:rPr>
          <w:rStyle w:val="AERbody"/>
        </w:rPr>
        <w:t xml:space="preserve"> </w:t>
      </w:r>
      <w:r w:rsidRPr="004922F8">
        <w:rPr>
          <w:rStyle w:val="AERbody"/>
        </w:rPr>
        <w:t xml:space="preserve">with a return commensurate with the regulatory and </w:t>
      </w:r>
      <w:r w:rsidRPr="004922F8">
        <w:rPr>
          <w:rStyle w:val="AERbody"/>
        </w:rPr>
        <w:lastRenderedPageBreak/>
        <w:t>commercial risks involved in providing direct control services. (Refer to attachment 3</w:t>
      </w:r>
      <w:r w:rsidR="003D45A6">
        <w:rPr>
          <w:rStyle w:val="AERbody"/>
        </w:rPr>
        <w:t xml:space="preserve"> of this final decision</w:t>
      </w:r>
      <w:r w:rsidRPr="004922F8">
        <w:rPr>
          <w:rStyle w:val="AERbody"/>
        </w:rPr>
        <w:t>, rate of return).</w:t>
      </w:r>
    </w:p>
    <w:p w:rsidR="0012534C" w:rsidRPr="004922F8" w:rsidRDefault="0012534C" w:rsidP="0012534C">
      <w:pPr>
        <w:pStyle w:val="AERbulletlistfirststyle"/>
        <w:rPr>
          <w:rStyle w:val="AERbody"/>
        </w:rPr>
      </w:pPr>
      <w:r w:rsidRPr="004922F8">
        <w:rPr>
          <w:rStyle w:val="AERbody"/>
        </w:rPr>
        <w:tab/>
        <w:t xml:space="preserve">Our financing determinations provide the </w:t>
      </w:r>
      <w:r>
        <w:rPr>
          <w:rStyle w:val="AERbody"/>
        </w:rPr>
        <w:t>DNSP</w:t>
      </w:r>
      <w:r w:rsidRPr="004922F8">
        <w:rPr>
          <w:rStyle w:val="AERbody"/>
        </w:rPr>
        <w:t xml:space="preserve"> with a reasonable opportunity to recover at least the efficient costs of accessing debt and capital. (Refer to attachment 3</w:t>
      </w:r>
      <w:r w:rsidR="003D45A6">
        <w:rPr>
          <w:rStyle w:val="AERbody"/>
        </w:rPr>
        <w:t xml:space="preserve"> of this final decision</w:t>
      </w:r>
      <w:r w:rsidRPr="004922F8">
        <w:rPr>
          <w:rStyle w:val="AERbody"/>
        </w:rPr>
        <w:t>, rate of return).</w:t>
      </w:r>
    </w:p>
    <w:p w:rsidR="0012534C" w:rsidRPr="004922F8" w:rsidRDefault="0012534C" w:rsidP="0012534C">
      <w:pPr>
        <w:rPr>
          <w:rStyle w:val="AERbody"/>
        </w:rPr>
      </w:pPr>
      <w:r w:rsidRPr="004922F8">
        <w:rPr>
          <w:rStyle w:val="AERbody"/>
        </w:rPr>
        <w:t>In some cases, our approach to a particular component (or part thereof) results in an outcome towards the end of the range of options that may be favourable to the businesses</w:t>
      </w:r>
      <w:r>
        <w:rPr>
          <w:rStyle w:val="AERbody"/>
        </w:rPr>
        <w:t>.</w:t>
      </w:r>
      <w:r w:rsidRPr="004922F8">
        <w:rPr>
          <w:rStyle w:val="AERbody"/>
        </w:rPr>
        <w:t xml:space="preserve"> While it can be difficult to quantify the exact revenue impact of these individual decisions, we have identified where we have done so in our attachments. Some of these decisions include:</w:t>
      </w:r>
    </w:p>
    <w:p w:rsidR="0012534C" w:rsidRPr="004922F8" w:rsidRDefault="0012534C" w:rsidP="0012534C">
      <w:pPr>
        <w:pStyle w:val="AERbulletlistfirststyle"/>
        <w:rPr>
          <w:rStyle w:val="AERbody"/>
        </w:rPr>
      </w:pPr>
      <w:r w:rsidRPr="004922F8">
        <w:rPr>
          <w:rStyle w:val="AERbody"/>
        </w:rPr>
        <w:tab/>
        <w:t>selecting at the top of the range for the equity beta</w:t>
      </w:r>
    </w:p>
    <w:p w:rsidR="0012534C" w:rsidRPr="004922F8" w:rsidRDefault="0012534C" w:rsidP="0012534C">
      <w:pPr>
        <w:pStyle w:val="AERbulletlistfirststyle"/>
        <w:rPr>
          <w:rStyle w:val="AERbody"/>
        </w:rPr>
      </w:pPr>
      <w:r w:rsidRPr="004922F8">
        <w:rPr>
          <w:rStyle w:val="AERbody"/>
        </w:rPr>
        <w:tab/>
        <w:t>setting the return on debt by reference to data for a BBB broad band credit rating, when the benchmark is BBB+</w:t>
      </w:r>
    </w:p>
    <w:p w:rsidR="0012534C" w:rsidRPr="004922F8" w:rsidRDefault="0012534C" w:rsidP="0012534C">
      <w:pPr>
        <w:pStyle w:val="AERbulletlistfirststyle"/>
        <w:rPr>
          <w:rStyle w:val="AERbody"/>
        </w:rPr>
      </w:pPr>
      <w:r w:rsidRPr="004922F8">
        <w:rPr>
          <w:rStyle w:val="AERbody"/>
        </w:rPr>
        <w:tab/>
        <w:t>the cash flow timing assumptions in the post-tax revenue model.</w:t>
      </w:r>
    </w:p>
    <w:p w:rsidR="0012534C" w:rsidRPr="004922F8" w:rsidRDefault="0012534C" w:rsidP="0012534C">
      <w:pPr>
        <w:rPr>
          <w:rStyle w:val="AERbody"/>
        </w:rPr>
      </w:pPr>
      <w:r w:rsidRPr="004922F8">
        <w:rPr>
          <w:rStyle w:val="AERbody"/>
        </w:rPr>
        <w:t>We take into account the RPPs when exercising discretion about an appropriate estimate. This requires a recognition that for the long term interests of consumers, the risk of under compensation for, or underinvestment by, a service provider may be less desirable than the risk of overcompensation or overinvestment. However, the AER is also conscious of the risk of introducing an inherent bias towards higher amounts where estimates throughout the different components of the determination are each set too conservatively.</w:t>
      </w:r>
      <w:r>
        <w:rPr>
          <w:rStyle w:val="FootnoteReference"/>
        </w:rPr>
        <w:footnoteReference w:id="94"/>
      </w:r>
      <w:r w:rsidRPr="004922F8">
        <w:rPr>
          <w:rStyle w:val="AERbody"/>
        </w:rPr>
        <w:t xml:space="preserve"> The legislative framework recognises the complexity of this task by providing the AER with significant discretion in many aspects of the decision-making process to make judgements on these matters.</w:t>
      </w:r>
    </w:p>
    <w:p w:rsidR="0012534C" w:rsidRDefault="0012534C" w:rsidP="0012534C">
      <w:pPr>
        <w:rPr>
          <w:rStyle w:val="AERbody"/>
        </w:rPr>
      </w:pPr>
      <w:r w:rsidRPr="004922F8">
        <w:rPr>
          <w:rStyle w:val="AERbody"/>
        </w:rPr>
        <w:t xml:space="preserve">Chapter 6 of the NER provides specifically for the economic regulation of </w:t>
      </w:r>
      <w:r>
        <w:rPr>
          <w:rStyle w:val="AERbody"/>
        </w:rPr>
        <w:t>DNSPs</w:t>
      </w:r>
      <w:r w:rsidRPr="004922F8">
        <w:rPr>
          <w:rStyle w:val="AERbody"/>
        </w:rPr>
        <w:t>. It includes rules about the constituent components of our decisions. These are intended to contribute to the achievement of the NEO.</w:t>
      </w:r>
      <w:r>
        <w:rPr>
          <w:rStyle w:val="FootnoteReference"/>
        </w:rPr>
        <w:footnoteReference w:id="95"/>
      </w:r>
    </w:p>
    <w:p w:rsidR="0012534C" w:rsidRDefault="0012534C" w:rsidP="0012534C">
      <w:pPr>
        <w:pStyle w:val="Heading2"/>
      </w:pPr>
      <w:bookmarkStart w:id="169" w:name="_Toc481051887"/>
      <w:r>
        <w:t>Achieving the NEO to the greatest degree</w:t>
      </w:r>
      <w:bookmarkEnd w:id="169"/>
    </w:p>
    <w:p w:rsidR="0012534C" w:rsidRPr="005003EE" w:rsidRDefault="0012534C" w:rsidP="0012534C">
      <w:r>
        <w:t xml:space="preserve">Electricity distribution </w:t>
      </w:r>
      <w:r w:rsidRPr="005003EE">
        <w:t>determination</w:t>
      </w:r>
      <w:r>
        <w:t>s are</w:t>
      </w:r>
      <w:r w:rsidRPr="005003EE">
        <w:t xml:space="preserve"> complex decision</w:t>
      </w:r>
      <w:r>
        <w:t>s</w:t>
      </w:r>
      <w:r w:rsidRPr="005003EE">
        <w:t xml:space="preserve"> and must be considered as such. In most instances, the provisions of the NER do not point to a single answer, either for our decision as a whole or in respect of particular components. They require us to exercise our regulatory judgement. For example, chapter 6 of the NER requires us to prepare forecasts, which are predictions about unknown future circumstances. As a result, there will likely always be more than one plausible forecast.</w:t>
      </w:r>
      <w:r>
        <w:rPr>
          <w:rStyle w:val="FootnoteReference"/>
        </w:rPr>
        <w:footnoteReference w:id="96"/>
      </w:r>
      <w:r w:rsidRPr="005003EE">
        <w:t xml:space="preserve"> There is </w:t>
      </w:r>
      <w:r w:rsidRPr="005003EE">
        <w:lastRenderedPageBreak/>
        <w:t>substantial debate amongst stakeholders about the costs we must forecast, with both sides often supported by expert opinion. As a result, for certain components of our decision there may be several plausible answers or several plausible point estimates.</w:t>
      </w:r>
    </w:p>
    <w:p w:rsidR="0012534C" w:rsidRPr="005003EE" w:rsidRDefault="0012534C" w:rsidP="0012534C">
      <w:r w:rsidRPr="005003EE">
        <w:t>When the constituent components of our decision are considered together, this means there will almost always be several potential, overall decisions. More than one of these may contribute to the achievement of the NEO. Where this is the case, our role is to make an overall decision that we are satisfied contributes to the achievement of the NEO to the greatest degree.</w:t>
      </w:r>
      <w:r>
        <w:rPr>
          <w:rStyle w:val="FootnoteReference"/>
        </w:rPr>
        <w:footnoteReference w:id="97"/>
      </w:r>
      <w:r w:rsidRPr="005003EE">
        <w:t xml:space="preserve"> </w:t>
      </w:r>
    </w:p>
    <w:p w:rsidR="0012534C" w:rsidRPr="005003EE" w:rsidRDefault="0012534C" w:rsidP="0012534C">
      <w:r w:rsidRPr="005003EE">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NEO, we have selected what we are satisfied would result in an overall decision that contributes to the achievement of the NEO to the greatest degree. This is our role under the NEO.</w:t>
      </w:r>
    </w:p>
    <w:p w:rsidR="0012534C" w:rsidRPr="005003EE" w:rsidRDefault="0012534C" w:rsidP="0012534C">
      <w:r w:rsidRPr="005003EE">
        <w:t xml:space="preserve">In coming to this </w:t>
      </w:r>
      <w:r>
        <w:t>final</w:t>
      </w:r>
      <w:r w:rsidRPr="005003EE">
        <w:t xml:space="preserve"> decision we considered </w:t>
      </w:r>
      <w:r>
        <w:t>TasNetworks'</w:t>
      </w:r>
      <w:r w:rsidRPr="005003EE">
        <w:t xml:space="preserve"> </w:t>
      </w:r>
      <w:r>
        <w:t xml:space="preserve">regulatory </w:t>
      </w:r>
      <w:r w:rsidRPr="005003EE">
        <w:t>proposal. We have examined each of the building block components of the</w:t>
      </w:r>
      <w:r>
        <w:t xml:space="preserve"> </w:t>
      </w:r>
      <w:r w:rsidRPr="005003EE">
        <w:t xml:space="preserve">proposal and the incentive mechanisms that would apply across the </w:t>
      </w:r>
      <w:r>
        <w:t>2017–19</w:t>
      </w:r>
      <w:r w:rsidRPr="005003EE">
        <w:t xml:space="preserve"> regulatory control period. We considered the submissions we received</w:t>
      </w:r>
      <w:r>
        <w:t xml:space="preserve"> </w:t>
      </w:r>
      <w:r w:rsidR="008B40D8">
        <w:t xml:space="preserve">and </w:t>
      </w:r>
      <w:r w:rsidR="008B40D8" w:rsidRPr="005003EE">
        <w:t>conducted</w:t>
      </w:r>
      <w:r w:rsidRPr="005003EE">
        <w:t xml:space="preserve"> our own analysis to help us better understand if and how </w:t>
      </w:r>
      <w:r>
        <w:t xml:space="preserve">TasNetworks' </w:t>
      </w:r>
      <w:r w:rsidRPr="005003EE">
        <w:t xml:space="preserve">proposal contributes to the achievement the NEO. We also considered how our constituent decisions relate to each other, the impact that particular constituent decisions have on other constituent components of our decision, and have described these interrelationships in this </w:t>
      </w:r>
      <w:r>
        <w:t>final</w:t>
      </w:r>
      <w:r w:rsidRPr="005003EE">
        <w:t xml:space="preserve"> decision. We have undertaken an extensive and consultative regulatory review process to ensure we have canvassed stakeholder issues and made as much of this information publicly available as practicable. We have had regard to and weighed up all the information assembled before us in making this </w:t>
      </w:r>
      <w:r>
        <w:t>final</w:t>
      </w:r>
      <w:r w:rsidRPr="005003EE">
        <w:t xml:space="preserve"> decision. </w:t>
      </w:r>
    </w:p>
    <w:p w:rsidR="0012534C" w:rsidRDefault="0012534C" w:rsidP="0012534C">
      <w:r>
        <w:t>W</w:t>
      </w:r>
      <w:r w:rsidRPr="005003EE">
        <w:t xml:space="preserve">e are satisfied that among the options before us our </w:t>
      </w:r>
      <w:r>
        <w:t>final</w:t>
      </w:r>
      <w:r w:rsidRPr="005003EE">
        <w:t xml:space="preserve"> decision on </w:t>
      </w:r>
      <w:r>
        <w:t>TasNetworks'</w:t>
      </w:r>
      <w:r w:rsidRPr="005003EE">
        <w:t xml:space="preserve"> </w:t>
      </w:r>
      <w:r>
        <w:t xml:space="preserve">distribution </w:t>
      </w:r>
      <w:r w:rsidRPr="005003EE">
        <w:t>determination for the 20</w:t>
      </w:r>
      <w:r>
        <w:t>17</w:t>
      </w:r>
      <w:r w:rsidRPr="005003EE">
        <w:t>–</w:t>
      </w:r>
      <w:r>
        <w:t>19</w:t>
      </w:r>
      <w:r w:rsidRPr="005003EE">
        <w:t xml:space="preserve"> regulatory control period contributes to the achieving the NEO to the greatest degree.</w:t>
      </w:r>
    </w:p>
    <w:p w:rsidR="005B5F7B" w:rsidRDefault="005B5F7B" w:rsidP="005B5F7B">
      <w:pPr>
        <w:pStyle w:val="Heading2"/>
      </w:pPr>
      <w:bookmarkStart w:id="170" w:name="_Toc481051888"/>
      <w:r>
        <w:t>Interrelationships between constituent components</w:t>
      </w:r>
      <w:bookmarkEnd w:id="170"/>
    </w:p>
    <w:p w:rsidR="0012534C" w:rsidRPr="00F30747" w:rsidRDefault="0012534C" w:rsidP="0012534C">
      <w:r w:rsidRPr="00F30747">
        <w:t>Examining constituent components in isolation ignores the importance of the interrelationships between components of the overall decision, and would not contribute to the achievement of the NEO. As outlined by Energy Ministers, considering the elements in isolation has resulted in regulatory failures in the past.</w:t>
      </w:r>
      <w:r>
        <w:rPr>
          <w:rStyle w:val="FootnoteReference"/>
        </w:rPr>
        <w:footnoteReference w:id="98"/>
      </w:r>
      <w:r>
        <w:t xml:space="preserve"> </w:t>
      </w:r>
      <w:r w:rsidRPr="00F30747">
        <w:t>Interrelationships can take various forms, including:</w:t>
      </w:r>
    </w:p>
    <w:p w:rsidR="0012534C" w:rsidRPr="00F30747" w:rsidRDefault="0012534C" w:rsidP="0012534C">
      <w:pPr>
        <w:pStyle w:val="AERbulletlistfirststyle"/>
      </w:pPr>
      <w:r w:rsidRPr="00F30747">
        <w:lastRenderedPageBreak/>
        <w:t>underlying drivers and context which are likely to affect many constituent components of our decision. For example, forecast demand affects the efficient levels of capex and opex in the regulatory control period (see attachment 6</w:t>
      </w:r>
      <w:r>
        <w:t xml:space="preserve"> and 7</w:t>
      </w:r>
      <w:r w:rsidR="0011519E">
        <w:t xml:space="preserve"> to our draft decision</w:t>
      </w:r>
      <w:r w:rsidRPr="00F30747">
        <w:t>).</w:t>
      </w:r>
    </w:p>
    <w:p w:rsidR="0012534C" w:rsidRPr="00F30747" w:rsidRDefault="0012534C" w:rsidP="0012534C">
      <w:pPr>
        <w:pStyle w:val="AERbulletlistfirststyle"/>
      </w:pPr>
      <w:r w:rsidRPr="00F30747">
        <w:t>direct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 (see attachments 3</w:t>
      </w:r>
      <w:r w:rsidR="0011519E">
        <w:t xml:space="preserve"> and</w:t>
      </w:r>
      <w:r w:rsidRPr="00F30747">
        <w:t xml:space="preserve"> 4</w:t>
      </w:r>
      <w:r w:rsidR="003D45A6">
        <w:t xml:space="preserve"> of this final decision</w:t>
      </w:r>
      <w:r w:rsidR="0011519E">
        <w:t xml:space="preserve">, </w:t>
      </w:r>
      <w:r w:rsidRPr="00F30747">
        <w:t xml:space="preserve">and </w:t>
      </w:r>
      <w:r w:rsidR="0011519E">
        <w:t xml:space="preserve">attachment </w:t>
      </w:r>
      <w:r w:rsidRPr="00F30747">
        <w:t>8</w:t>
      </w:r>
      <w:r w:rsidR="0011519E">
        <w:t xml:space="preserve"> to our draft decision</w:t>
      </w:r>
      <w:r w:rsidRPr="00F30747">
        <w:t>).</w:t>
      </w:r>
    </w:p>
    <w:p w:rsidR="0012534C" w:rsidRPr="00F30747" w:rsidRDefault="0012534C" w:rsidP="0012534C">
      <w:pPr>
        <w:pStyle w:val="AERbulletlistfirststyle"/>
      </w:pPr>
      <w:r w:rsidRPr="00F30747">
        <w:t>trade-offs between different components of revenue. For example, undertaking a particular capex project may affect the need for opex or vice versa (see attachments 6 and 7</w:t>
      </w:r>
      <w:r w:rsidR="0011519E">
        <w:t xml:space="preserve"> to our draft decision</w:t>
      </w:r>
      <w:r w:rsidRPr="00F30747">
        <w:t>).</w:t>
      </w:r>
    </w:p>
    <w:p w:rsidR="0012534C" w:rsidRPr="00F30747" w:rsidRDefault="0012534C" w:rsidP="0012534C">
      <w:pPr>
        <w:pStyle w:val="AERbulletlistfirststyle"/>
      </w:pPr>
      <w:r w:rsidRPr="00F30747">
        <w:t xml:space="preserve">trade-offs between forecast and actual regulatory measures. The reasons for one part of a proposal may have impacts on other parts of a proposal. For example, an increase in augmentation to the network means the </w:t>
      </w:r>
      <w:r>
        <w:t>DNSP</w:t>
      </w:r>
      <w:r w:rsidRPr="00F30747">
        <w:t xml:space="preserve"> has more assets to maintain leading to higher opex requirements (see attachments 6 and 7</w:t>
      </w:r>
      <w:r w:rsidR="0011519E">
        <w:t xml:space="preserve"> to our draft decision</w:t>
      </w:r>
      <w:r w:rsidRPr="00F30747">
        <w:t>).</w:t>
      </w:r>
    </w:p>
    <w:p w:rsidR="0012534C" w:rsidRPr="00F30747" w:rsidRDefault="0012534C" w:rsidP="0012534C">
      <w:pPr>
        <w:pStyle w:val="AERbulletlistfirststyle"/>
      </w:pPr>
      <w:r w:rsidRPr="00F30747">
        <w:t xml:space="preserve">the </w:t>
      </w:r>
      <w:r>
        <w:t>DNSP's</w:t>
      </w:r>
      <w:r w:rsidRPr="00F30747">
        <w:t xml:space="preserve"> approach to managing its network. The </w:t>
      </w:r>
      <w:r>
        <w:t>DNSP's</w:t>
      </w:r>
      <w:r w:rsidRPr="00F30747">
        <w:t xml:space="preserve"> governance arrangements and its approach to risk management will influence most aspects of the proposal, including capex/opex trade-offs (see attachment 6</w:t>
      </w:r>
      <w:r w:rsidR="0011519E">
        <w:t xml:space="preserve"> to our draft decision</w:t>
      </w:r>
      <w:r w:rsidRPr="00F30747">
        <w:t>).</w:t>
      </w:r>
    </w:p>
    <w:p w:rsidR="0012534C" w:rsidRPr="00787F3F" w:rsidRDefault="0012534C" w:rsidP="0012534C">
      <w:r w:rsidRPr="00F30747">
        <w:t xml:space="preserve">We have considered interrelationships, including those above, in our analysis of the constituent components of our </w:t>
      </w:r>
      <w:r>
        <w:t>final</w:t>
      </w:r>
      <w:r w:rsidRPr="00F30747">
        <w:t xml:space="preserve"> decision. These considerations are explored in the relevant attachments.</w:t>
      </w:r>
    </w:p>
    <w:p w:rsidR="00001DD1" w:rsidRDefault="00001DD1" w:rsidP="00001DD1">
      <w:pPr>
        <w:pStyle w:val="Heading1"/>
      </w:pPr>
      <w:bookmarkStart w:id="171" w:name="_Ref478472414"/>
      <w:bookmarkStart w:id="172" w:name="_Toc481051889"/>
      <w:r>
        <w:lastRenderedPageBreak/>
        <w:t>Consultation</w:t>
      </w:r>
      <w:bookmarkEnd w:id="171"/>
      <w:bookmarkEnd w:id="172"/>
    </w:p>
    <w:p w:rsidR="00CF6376" w:rsidRDefault="00CF6376" w:rsidP="00CF6376">
      <w:pPr>
        <w:rPr>
          <w:rStyle w:val="AERbody"/>
        </w:rPr>
      </w:pPr>
      <w:r w:rsidRPr="005D730A">
        <w:rPr>
          <w:rStyle w:val="AERbody"/>
        </w:rPr>
        <w:t>Stakeholder participation is important to informed decision making under the NEL and NER. It allows us to take a range of views into account when considering how a proposal or decision contributes to the NEO. Effective consultation and engagement provide confidence in our processes and are good regulatory practice.</w:t>
      </w:r>
      <w:r>
        <w:rPr>
          <w:rStyle w:val="AERbody"/>
        </w:rPr>
        <w:t xml:space="preserve"> This is reflected in the consultation process set out in the NER, under which we have: </w:t>
      </w:r>
    </w:p>
    <w:p w:rsidR="00CF6376" w:rsidRDefault="00CF6376" w:rsidP="00CF6376">
      <w:pPr>
        <w:pStyle w:val="AERbulletlistfirststyle"/>
        <w:rPr>
          <w:rStyle w:val="AERbody"/>
        </w:rPr>
      </w:pPr>
      <w:r w:rsidRPr="005D730A">
        <w:rPr>
          <w:rStyle w:val="AERbody"/>
        </w:rPr>
        <w:tab/>
        <w:t>publish</w:t>
      </w:r>
      <w:r>
        <w:rPr>
          <w:rStyle w:val="AERbody"/>
        </w:rPr>
        <w:t xml:space="preserve">ed </w:t>
      </w:r>
      <w:r>
        <w:t>TasNetworks'</w:t>
      </w:r>
      <w:r w:rsidRPr="005D730A">
        <w:rPr>
          <w:rStyle w:val="AERbody"/>
        </w:rPr>
        <w:t xml:space="preserve"> </w:t>
      </w:r>
      <w:r>
        <w:rPr>
          <w:rStyle w:val="AERbody"/>
        </w:rPr>
        <w:t>regulatory proposal</w:t>
      </w:r>
      <w:r w:rsidRPr="005D730A">
        <w:rPr>
          <w:rStyle w:val="AERbody"/>
        </w:rPr>
        <w:t xml:space="preserve"> and supporting material</w:t>
      </w:r>
    </w:p>
    <w:p w:rsidR="00CF6376" w:rsidRPr="005D730A" w:rsidRDefault="00CF6376" w:rsidP="00CF6376">
      <w:pPr>
        <w:pStyle w:val="AERbulletlistfirststyle"/>
        <w:rPr>
          <w:rStyle w:val="AERbody"/>
        </w:rPr>
      </w:pPr>
      <w:r>
        <w:rPr>
          <w:rStyle w:val="AERbody"/>
        </w:rPr>
        <w:t xml:space="preserve">published an issues paper identifying preliminary issues with the regulatory proposal </w:t>
      </w:r>
    </w:p>
    <w:p w:rsidR="00CF6376" w:rsidRPr="005D730A" w:rsidRDefault="00CF6376" w:rsidP="00CF6376">
      <w:pPr>
        <w:pStyle w:val="AERbulletlistfirststyle"/>
        <w:rPr>
          <w:rStyle w:val="AERbody"/>
        </w:rPr>
      </w:pPr>
      <w:r w:rsidRPr="005D730A">
        <w:rPr>
          <w:rStyle w:val="AERbody"/>
        </w:rPr>
        <w:tab/>
        <w:t>invite</w:t>
      </w:r>
      <w:r>
        <w:rPr>
          <w:rStyle w:val="AERbody"/>
        </w:rPr>
        <w:t>d</w:t>
      </w:r>
      <w:r w:rsidRPr="005D730A">
        <w:rPr>
          <w:rStyle w:val="AERbody"/>
        </w:rPr>
        <w:t xml:space="preserve"> written submissions on the </w:t>
      </w:r>
      <w:r>
        <w:rPr>
          <w:rStyle w:val="AERbody"/>
        </w:rPr>
        <w:t>regulatory proposal</w:t>
      </w:r>
      <w:r w:rsidRPr="005D730A">
        <w:rPr>
          <w:rStyle w:val="AERbody"/>
        </w:rPr>
        <w:t xml:space="preserve"> </w:t>
      </w:r>
    </w:p>
    <w:p w:rsidR="00CF6376" w:rsidRPr="005D730A" w:rsidRDefault="00CF6376" w:rsidP="00CF6376">
      <w:pPr>
        <w:pStyle w:val="AERbulletlistfirststyle"/>
        <w:rPr>
          <w:rStyle w:val="AERbody"/>
        </w:rPr>
      </w:pPr>
      <w:r w:rsidRPr="005D730A">
        <w:rPr>
          <w:rStyle w:val="AERbody"/>
        </w:rPr>
        <w:tab/>
        <w:t>h</w:t>
      </w:r>
      <w:r>
        <w:rPr>
          <w:rStyle w:val="AERbody"/>
        </w:rPr>
        <w:t>e</w:t>
      </w:r>
      <w:r w:rsidRPr="005D730A">
        <w:rPr>
          <w:rStyle w:val="AERbody"/>
        </w:rPr>
        <w:t xml:space="preserve">ld a public forum on the </w:t>
      </w:r>
      <w:r>
        <w:rPr>
          <w:rStyle w:val="AERbody"/>
        </w:rPr>
        <w:t>regulatory proposal</w:t>
      </w:r>
    </w:p>
    <w:p w:rsidR="00CF6376" w:rsidRDefault="00CF6376" w:rsidP="00CF6376">
      <w:pPr>
        <w:pStyle w:val="AERbulletlistfirststyle"/>
        <w:rPr>
          <w:rStyle w:val="AERbody"/>
        </w:rPr>
      </w:pPr>
      <w:r w:rsidRPr="005D730A">
        <w:rPr>
          <w:rStyle w:val="AERbody"/>
        </w:rPr>
        <w:tab/>
        <w:t>publish</w:t>
      </w:r>
      <w:r>
        <w:rPr>
          <w:rStyle w:val="AERbody"/>
        </w:rPr>
        <w:t>ed a draft decision and reasoning</w:t>
      </w:r>
    </w:p>
    <w:p w:rsidR="00CF6376" w:rsidRDefault="00CF6376" w:rsidP="00CF6376">
      <w:pPr>
        <w:pStyle w:val="AERbulletlistfirststyle"/>
        <w:rPr>
          <w:rStyle w:val="AERbody"/>
        </w:rPr>
      </w:pPr>
      <w:r w:rsidRPr="005D730A">
        <w:rPr>
          <w:rStyle w:val="AERbody"/>
        </w:rPr>
        <w:tab/>
        <w:t>publish</w:t>
      </w:r>
      <w:r>
        <w:rPr>
          <w:rStyle w:val="AERbody"/>
        </w:rPr>
        <w:t xml:space="preserve">ed </w:t>
      </w:r>
      <w:r>
        <w:t>TasNetworks'</w:t>
      </w:r>
      <w:r w:rsidRPr="005D730A">
        <w:rPr>
          <w:rStyle w:val="AERbody"/>
        </w:rPr>
        <w:t xml:space="preserve"> </w:t>
      </w:r>
      <w:r>
        <w:rPr>
          <w:rStyle w:val="AERbody"/>
        </w:rPr>
        <w:t>revised regulatory proposal</w:t>
      </w:r>
      <w:r w:rsidRPr="005D730A">
        <w:rPr>
          <w:rStyle w:val="AERbody"/>
        </w:rPr>
        <w:t xml:space="preserve"> and supporting material</w:t>
      </w:r>
    </w:p>
    <w:p w:rsidR="00CF6376" w:rsidRPr="005D730A" w:rsidRDefault="00CF6376" w:rsidP="00CF6376">
      <w:pPr>
        <w:pStyle w:val="AERbulletlistfirststyle"/>
        <w:rPr>
          <w:rStyle w:val="AERbody"/>
        </w:rPr>
      </w:pPr>
      <w:r w:rsidRPr="005D730A">
        <w:rPr>
          <w:rStyle w:val="AERbody"/>
        </w:rPr>
        <w:tab/>
        <w:t>invite</w:t>
      </w:r>
      <w:r>
        <w:rPr>
          <w:rStyle w:val="AERbody"/>
        </w:rPr>
        <w:t>d</w:t>
      </w:r>
      <w:r w:rsidRPr="005D730A">
        <w:rPr>
          <w:rStyle w:val="AERbody"/>
        </w:rPr>
        <w:t xml:space="preserve"> written submissions on the </w:t>
      </w:r>
      <w:r>
        <w:rPr>
          <w:rStyle w:val="AERbody"/>
        </w:rPr>
        <w:t>draft decision and revised regulatory proposal</w:t>
      </w:r>
      <w:r w:rsidRPr="005D730A">
        <w:rPr>
          <w:rStyle w:val="AERbody"/>
        </w:rPr>
        <w:t xml:space="preserve"> </w:t>
      </w:r>
    </w:p>
    <w:p w:rsidR="00CF6376" w:rsidRPr="005D730A" w:rsidRDefault="00CF6376" w:rsidP="00CF6376">
      <w:pPr>
        <w:pStyle w:val="AERbulletlistfirststyle"/>
        <w:rPr>
          <w:rStyle w:val="AERbody"/>
        </w:rPr>
      </w:pPr>
      <w:r>
        <w:rPr>
          <w:rStyle w:val="AERbody"/>
        </w:rPr>
        <w:t xml:space="preserve">published this final determination and reasoning. </w:t>
      </w:r>
    </w:p>
    <w:p w:rsidR="00CF6376" w:rsidRPr="005D730A" w:rsidRDefault="00CF6376" w:rsidP="00CF6376">
      <w:pPr>
        <w:rPr>
          <w:rStyle w:val="AERbody"/>
        </w:rPr>
      </w:pPr>
      <w:r>
        <w:rPr>
          <w:rStyle w:val="AERbody"/>
        </w:rPr>
        <w:t xml:space="preserve">We also sought advice from the CCP on </w:t>
      </w:r>
      <w:r>
        <w:t>TasNetworks'</w:t>
      </w:r>
      <w:r>
        <w:rPr>
          <w:rStyle w:val="AERbody"/>
        </w:rPr>
        <w:t xml:space="preserve"> regulatory proposal and revised regulatory proposal. Both the CCP and </w:t>
      </w:r>
      <w:r>
        <w:t>TasNetworks</w:t>
      </w:r>
      <w:r>
        <w:rPr>
          <w:rStyle w:val="AERbody"/>
        </w:rPr>
        <w:t xml:space="preserve"> met with the AER Board to discuss this review. </w:t>
      </w:r>
    </w:p>
    <w:p w:rsidR="00CF6376" w:rsidRPr="005D730A" w:rsidRDefault="00CF6376" w:rsidP="00CF6376">
      <w:pPr>
        <w:rPr>
          <w:rStyle w:val="AERbody"/>
        </w:rPr>
      </w:pPr>
      <w:r w:rsidRPr="005D730A">
        <w:rPr>
          <w:rStyle w:val="AERbody"/>
        </w:rPr>
        <w:t>This process builds on consultation we undertook with a broad range of stakeholders as part of the Better Regulation program. Following changes to the NER in 2012, we spent much of 2013 consulting on and refining our assessment methods and approaches to decision making. We referred to this as our Better Regulation program. The Better Regulation program was designed to be an inclusive process that provided an opportunity for all stakeholders to be engaged and provide their input.</w:t>
      </w:r>
      <w:r>
        <w:rPr>
          <w:rStyle w:val="FootnoteReference"/>
        </w:rPr>
        <w:footnoteReference w:id="99"/>
      </w:r>
      <w:r w:rsidRPr="005D730A">
        <w:rPr>
          <w:rStyle w:val="AERbody"/>
        </w:rPr>
        <w:t xml:space="preserve"> </w:t>
      </w:r>
    </w:p>
    <w:p w:rsidR="00CF6376" w:rsidRPr="005D730A" w:rsidRDefault="00CF6376" w:rsidP="00CF6376">
      <w:pPr>
        <w:rPr>
          <w:rStyle w:val="AERbody"/>
        </w:rPr>
      </w:pPr>
      <w:r w:rsidRPr="005D730A">
        <w:rPr>
          <w:rStyle w:val="AERbody"/>
        </w:rPr>
        <w:t>This gives us confidence the approaches set out in our various guidelines, which we have applied in this decision, will result in outcomes that will or are likely to contribute to the achievement of the NEO to the greatest degree. Our Better Regulation guidelines are available on our website</w:t>
      </w:r>
      <w:r>
        <w:rPr>
          <w:rStyle w:val="FootnoteReference"/>
        </w:rPr>
        <w:footnoteReference w:id="100"/>
      </w:r>
      <w:r w:rsidRPr="005D730A">
        <w:rPr>
          <w:rStyle w:val="AERbody"/>
        </w:rPr>
        <w:t xml:space="preserve"> and include:</w:t>
      </w:r>
    </w:p>
    <w:p w:rsidR="00CF6376" w:rsidRPr="005D730A" w:rsidRDefault="00CF6376" w:rsidP="00CF6376">
      <w:pPr>
        <w:pStyle w:val="AERbulletlistfirststyle"/>
        <w:rPr>
          <w:rStyle w:val="AERbody"/>
        </w:rPr>
      </w:pPr>
      <w:r w:rsidRPr="005D730A">
        <w:rPr>
          <w:rStyle w:val="AERbody"/>
        </w:rPr>
        <w:tab/>
        <w:t>Expenditure forecast assessment guideline</w:t>
      </w:r>
    </w:p>
    <w:p w:rsidR="00CF6376" w:rsidRPr="005D730A" w:rsidRDefault="00CF6376" w:rsidP="00CF6376">
      <w:pPr>
        <w:pStyle w:val="AERbulletlistfirststyle"/>
        <w:rPr>
          <w:rStyle w:val="AERbody"/>
        </w:rPr>
      </w:pPr>
      <w:r w:rsidRPr="005D730A">
        <w:rPr>
          <w:rStyle w:val="AERbody"/>
        </w:rPr>
        <w:tab/>
        <w:t>Expenditure incentives guideline</w:t>
      </w:r>
    </w:p>
    <w:p w:rsidR="00CF6376" w:rsidRPr="005D730A" w:rsidRDefault="00CF6376" w:rsidP="00CF6376">
      <w:pPr>
        <w:pStyle w:val="AERbulletlistfirststyle"/>
        <w:rPr>
          <w:rStyle w:val="AERbody"/>
        </w:rPr>
      </w:pPr>
      <w:r w:rsidRPr="005D730A">
        <w:rPr>
          <w:rStyle w:val="AERbody"/>
        </w:rPr>
        <w:tab/>
        <w:t>Rate of return guideline</w:t>
      </w:r>
    </w:p>
    <w:p w:rsidR="00CF6376" w:rsidRPr="005D730A" w:rsidRDefault="00CF6376" w:rsidP="00CF6376">
      <w:pPr>
        <w:pStyle w:val="AERbulletlistfirststyle"/>
        <w:rPr>
          <w:rStyle w:val="AERbody"/>
        </w:rPr>
      </w:pPr>
      <w:r w:rsidRPr="005D730A">
        <w:rPr>
          <w:rStyle w:val="AERbody"/>
        </w:rPr>
        <w:tab/>
        <w:t>Consumer engagement guideline for network service providers</w:t>
      </w:r>
    </w:p>
    <w:p w:rsidR="00CF6376" w:rsidRPr="005D730A" w:rsidRDefault="00CF6376" w:rsidP="00CF6376">
      <w:pPr>
        <w:pStyle w:val="AERbulletlistfirststyle"/>
        <w:rPr>
          <w:rStyle w:val="AERbody"/>
        </w:rPr>
      </w:pPr>
      <w:r w:rsidRPr="005D730A">
        <w:rPr>
          <w:rStyle w:val="AERbody"/>
        </w:rPr>
        <w:lastRenderedPageBreak/>
        <w:tab/>
        <w:t>Shared assets guideline</w:t>
      </w:r>
    </w:p>
    <w:p w:rsidR="00CF6376" w:rsidRPr="005D730A" w:rsidRDefault="00CF6376" w:rsidP="00CF6376">
      <w:pPr>
        <w:pStyle w:val="AERbulletlistfirststyle"/>
        <w:rPr>
          <w:rStyle w:val="AERbody"/>
        </w:rPr>
      </w:pPr>
      <w:r w:rsidRPr="005D730A">
        <w:rPr>
          <w:rStyle w:val="AERbody"/>
        </w:rPr>
        <w:tab/>
        <w:t>Confidentiality guideline.</w:t>
      </w:r>
    </w:p>
    <w:p w:rsidR="00CF6376" w:rsidRPr="005D730A" w:rsidRDefault="00CF6376" w:rsidP="00CF6376">
      <w:pPr>
        <w:rPr>
          <w:rStyle w:val="AERbody"/>
        </w:rPr>
      </w:pPr>
      <w:r w:rsidRPr="005D730A">
        <w:rPr>
          <w:rStyle w:val="AERbody"/>
        </w:rPr>
        <w:t>The guidelines provide businesses, investors and consumers predictability and transparency of our approach to regulation under the new rules.</w:t>
      </w:r>
    </w:p>
    <w:p w:rsidR="00CF6376" w:rsidRPr="00CF6376" w:rsidRDefault="00CF6376" w:rsidP="00CF6376">
      <w:pPr>
        <w:pStyle w:val="Heading2"/>
        <w:rPr>
          <w:rStyle w:val="AERbody"/>
          <w:color w:val="70635A" w:themeColor="text2"/>
          <w:sz w:val="32"/>
        </w:rPr>
      </w:pPr>
      <w:bookmarkStart w:id="173" w:name="_Ref453863107"/>
      <w:bookmarkStart w:id="174" w:name="_Toc456687662"/>
      <w:bookmarkStart w:id="175" w:name="_Toc462823976"/>
      <w:bookmarkStart w:id="176" w:name="_Toc481051890"/>
      <w:r w:rsidRPr="00CF6376">
        <w:rPr>
          <w:rStyle w:val="AERbody"/>
          <w:color w:val="70635A" w:themeColor="text2"/>
          <w:sz w:val="32"/>
        </w:rPr>
        <w:t>Consumer engagement</w:t>
      </w:r>
      <w:bookmarkEnd w:id="173"/>
      <w:bookmarkEnd w:id="174"/>
      <w:bookmarkEnd w:id="175"/>
      <w:bookmarkEnd w:id="176"/>
    </w:p>
    <w:p w:rsidR="00CF6376" w:rsidRPr="005D730A" w:rsidRDefault="00CF6376" w:rsidP="00CF6376">
      <w:pPr>
        <w:rPr>
          <w:rStyle w:val="AERbody"/>
        </w:rPr>
      </w:pPr>
      <w:r w:rsidRPr="005D730A">
        <w:rPr>
          <w:rStyle w:val="AERbody"/>
        </w:rPr>
        <w:t>Recent changes to the NER provide further support for consumer involvement in the regulatory process, and enable us to engage more productively with energy consumers and businesses.</w:t>
      </w:r>
      <w:r>
        <w:rPr>
          <w:rStyle w:val="FootnoteReference"/>
        </w:rPr>
        <w:footnoteReference w:id="101"/>
      </w:r>
      <w:r w:rsidRPr="005D730A">
        <w:rPr>
          <w:rStyle w:val="AERbody"/>
        </w:rPr>
        <w:t xml:space="preserve"> Chapter 6 of the NER was amended to, among other things, require:</w:t>
      </w:r>
    </w:p>
    <w:p w:rsidR="00CF6376" w:rsidRPr="005D730A" w:rsidRDefault="00CF6376" w:rsidP="00CF6376">
      <w:pPr>
        <w:pStyle w:val="AERbulletlistfirststyle"/>
        <w:rPr>
          <w:rStyle w:val="AERbody"/>
        </w:rPr>
      </w:pPr>
      <w:r w:rsidRPr="005D730A">
        <w:rPr>
          <w:rStyle w:val="AERbody"/>
        </w:rPr>
        <w:tab/>
      </w:r>
      <w:r>
        <w:rPr>
          <w:rStyle w:val="AERbody"/>
        </w:rPr>
        <w:t>DNSPs</w:t>
      </w:r>
      <w:r w:rsidRPr="005D730A">
        <w:rPr>
          <w:rStyle w:val="AERbody"/>
        </w:rPr>
        <w:t xml:space="preserve"> to submit an overview with their </w:t>
      </w:r>
      <w:r>
        <w:rPr>
          <w:rStyle w:val="AERbody"/>
        </w:rPr>
        <w:t>proposal</w:t>
      </w:r>
      <w:r w:rsidRPr="005D730A">
        <w:rPr>
          <w:rStyle w:val="AERbody"/>
        </w:rPr>
        <w:t xml:space="preserve"> which describes how they have engaged with consumers and sought to address any relevant concern</w:t>
      </w:r>
      <w:r>
        <w:rPr>
          <w:rStyle w:val="AERbody"/>
        </w:rPr>
        <w:t>s identified by that engagement</w:t>
      </w:r>
      <w:r>
        <w:rPr>
          <w:rStyle w:val="FootnoteReference"/>
        </w:rPr>
        <w:footnoteReference w:id="102"/>
      </w:r>
    </w:p>
    <w:p w:rsidR="00CF6376" w:rsidRPr="005D730A" w:rsidRDefault="00CF6376" w:rsidP="00CF6376">
      <w:pPr>
        <w:pStyle w:val="AERbulletlistfirststyle"/>
        <w:rPr>
          <w:rStyle w:val="AERbody"/>
        </w:rPr>
      </w:pPr>
      <w:r w:rsidRPr="005D730A">
        <w:rPr>
          <w:rStyle w:val="AERbody"/>
        </w:rPr>
        <w:tab/>
        <w:t xml:space="preserve">the AER to publish an issues paper after receiving the </w:t>
      </w:r>
      <w:r>
        <w:rPr>
          <w:rStyle w:val="AERbody"/>
        </w:rPr>
        <w:t>DNSP's</w:t>
      </w:r>
      <w:r w:rsidRPr="005D730A">
        <w:rPr>
          <w:rStyle w:val="AERbody"/>
        </w:rPr>
        <w:t xml:space="preserve"> </w:t>
      </w:r>
      <w:r>
        <w:rPr>
          <w:rStyle w:val="AERbody"/>
        </w:rPr>
        <w:t>proposal</w:t>
      </w:r>
      <w:r w:rsidRPr="005D730A">
        <w:rPr>
          <w:rStyle w:val="AERbody"/>
        </w:rPr>
        <w:t>.</w:t>
      </w:r>
      <w:r>
        <w:rPr>
          <w:rStyle w:val="FootnoteReference"/>
        </w:rPr>
        <w:footnoteReference w:id="103"/>
      </w:r>
      <w:r w:rsidRPr="005D730A">
        <w:rPr>
          <w:rStyle w:val="AERbody"/>
        </w:rPr>
        <w:t xml:space="preserve"> The purpose of the issues paper is to assist consumer representative groups to focus on the key preliminary issues on which they should engage and comment</w:t>
      </w:r>
      <w:r>
        <w:rPr>
          <w:rStyle w:val="FootnoteReference"/>
        </w:rPr>
        <w:footnoteReference w:id="104"/>
      </w:r>
    </w:p>
    <w:p w:rsidR="00CF6376" w:rsidRPr="005D730A" w:rsidRDefault="00CF6376" w:rsidP="00CF6376">
      <w:pPr>
        <w:pStyle w:val="AERbulletlistfirststyle"/>
        <w:rPr>
          <w:rStyle w:val="AERbody"/>
        </w:rPr>
      </w:pPr>
      <w:r w:rsidRPr="005D730A">
        <w:rPr>
          <w:rStyle w:val="AERbody"/>
        </w:rPr>
        <w:tab/>
        <w:t xml:space="preserve">the AER, when determining capex and opex allowances, to have regard to the extent to which the forecast includes expenditure to address the concerns of consumers as identified by the </w:t>
      </w:r>
      <w:r>
        <w:rPr>
          <w:rStyle w:val="AERbody"/>
        </w:rPr>
        <w:t>DNSP</w:t>
      </w:r>
      <w:r w:rsidRPr="005D730A">
        <w:rPr>
          <w:rStyle w:val="AERbody"/>
        </w:rPr>
        <w:t xml:space="preserve"> in the course of its engagement with the consumers.</w:t>
      </w:r>
      <w:r>
        <w:rPr>
          <w:rStyle w:val="FootnoteReference"/>
        </w:rPr>
        <w:footnoteReference w:id="105"/>
      </w:r>
      <w:r w:rsidDel="00ED1ACB">
        <w:rPr>
          <w:rStyle w:val="FootnoteReference"/>
        </w:rPr>
        <w:t xml:space="preserve"> </w:t>
      </w:r>
    </w:p>
    <w:p w:rsidR="00CF6376" w:rsidRPr="005D730A" w:rsidRDefault="00CF6376" w:rsidP="00CF6376">
      <w:pPr>
        <w:rPr>
          <w:rStyle w:val="AERbody"/>
        </w:rPr>
      </w:pPr>
      <w:r w:rsidRPr="005D730A">
        <w:rPr>
          <w:rStyle w:val="AERbody"/>
        </w:rPr>
        <w:t>Our Better Regulation Consumer engagement guideline sets out our expectations of how network businesses should engage with their customers. We expect the network businesses to demonstrate a commitment to ongoing and genuine consumer engagement on issues relevant to consumers. We want to see businesses being more accountable to their consumers.</w:t>
      </w:r>
      <w:r>
        <w:rPr>
          <w:rStyle w:val="FootnoteReference"/>
        </w:rPr>
        <w:footnoteReference w:id="106"/>
      </w:r>
      <w:r w:rsidRPr="005D730A">
        <w:rPr>
          <w:rStyle w:val="AERbody"/>
        </w:rPr>
        <w:t xml:space="preserve"> We </w:t>
      </w:r>
      <w:r>
        <w:rPr>
          <w:rStyle w:val="AERbody"/>
        </w:rPr>
        <w:t xml:space="preserve">also </w:t>
      </w:r>
      <w:r w:rsidRPr="005D730A">
        <w:rPr>
          <w:rStyle w:val="AERbody"/>
        </w:rPr>
        <w:t>understand the businesses may need some time to develop and implement robust and comprehensive engagement strategies and approaches.</w:t>
      </w:r>
      <w:r>
        <w:rPr>
          <w:rStyle w:val="FootnoteReference"/>
        </w:rPr>
        <w:footnoteReference w:id="107"/>
      </w:r>
      <w:r w:rsidRPr="005D730A">
        <w:rPr>
          <w:rStyle w:val="AERbody"/>
        </w:rPr>
        <w:t xml:space="preserve"> </w:t>
      </w:r>
    </w:p>
    <w:p w:rsidR="00CF6376" w:rsidRPr="005D730A" w:rsidRDefault="00CF6376" w:rsidP="00CF6376">
      <w:pPr>
        <w:rPr>
          <w:rStyle w:val="AERbody"/>
        </w:rPr>
      </w:pPr>
      <w:r w:rsidRPr="005D730A">
        <w:rPr>
          <w:rStyle w:val="AERbody"/>
        </w:rPr>
        <w:t>As set out in the guideline, we monitor consumer engagement activities through the CCP and our ongoing engagement with stakeholders. We may publicly comment in our decisions on any shortcomings that we identify from an expenditure proposal that reflect weaknesses in consumer engagement.</w:t>
      </w:r>
      <w:r>
        <w:rPr>
          <w:rStyle w:val="FootnoteReference"/>
        </w:rPr>
        <w:footnoteReference w:id="108"/>
      </w:r>
    </w:p>
    <w:p w:rsidR="00CF6376" w:rsidRPr="005D730A" w:rsidRDefault="00CF6376" w:rsidP="00CF6376">
      <w:pPr>
        <w:rPr>
          <w:rStyle w:val="AERbody"/>
        </w:rPr>
      </w:pPr>
      <w:r w:rsidRPr="005D730A">
        <w:rPr>
          <w:rStyle w:val="AERbody"/>
        </w:rPr>
        <w:lastRenderedPageBreak/>
        <w:t xml:space="preserve">We have considered the material presented in </w:t>
      </w:r>
      <w:r>
        <w:t>TasNetworks'</w:t>
      </w:r>
      <w:r w:rsidRPr="005D730A">
        <w:rPr>
          <w:rStyle w:val="AERbody"/>
        </w:rPr>
        <w:t xml:space="preserve"> </w:t>
      </w:r>
      <w:r>
        <w:rPr>
          <w:rStyle w:val="AERbody"/>
        </w:rPr>
        <w:t>proposal</w:t>
      </w:r>
      <w:r w:rsidRPr="005D730A">
        <w:rPr>
          <w:rStyle w:val="AERbody"/>
        </w:rPr>
        <w:t xml:space="preserve"> (section</w:t>
      </w:r>
      <w:r>
        <w:rPr>
          <w:rStyle w:val="AERbody"/>
        </w:rPr>
        <w:t xml:space="preserve"> </w:t>
      </w:r>
      <w:r>
        <w:rPr>
          <w:rStyle w:val="AERbody"/>
        </w:rPr>
        <w:fldChar w:fldCharType="begin"/>
      </w:r>
      <w:r>
        <w:rPr>
          <w:rStyle w:val="AERbody"/>
        </w:rPr>
        <w:instrText xml:space="preserve"> REF _Ref453863111 \r \h </w:instrText>
      </w:r>
      <w:r>
        <w:rPr>
          <w:rStyle w:val="AERbody"/>
        </w:rPr>
      </w:r>
      <w:r>
        <w:rPr>
          <w:rStyle w:val="AERbody"/>
        </w:rPr>
        <w:fldChar w:fldCharType="separate"/>
      </w:r>
      <w:r w:rsidR="008B40D8">
        <w:rPr>
          <w:rStyle w:val="AERbody"/>
        </w:rPr>
        <w:t>7.2</w:t>
      </w:r>
      <w:r>
        <w:rPr>
          <w:rStyle w:val="AERbody"/>
        </w:rPr>
        <w:fldChar w:fldCharType="end"/>
      </w:r>
      <w:r w:rsidRPr="005D730A">
        <w:rPr>
          <w:rStyle w:val="AERbody"/>
        </w:rPr>
        <w:t>), and stakeholder views presented to us in submissions (section</w:t>
      </w:r>
      <w:r>
        <w:rPr>
          <w:rStyle w:val="AERbody"/>
        </w:rPr>
        <w:t xml:space="preserve"> </w:t>
      </w:r>
      <w:r>
        <w:rPr>
          <w:rStyle w:val="AERbody"/>
        </w:rPr>
        <w:fldChar w:fldCharType="begin"/>
      </w:r>
      <w:r>
        <w:rPr>
          <w:rStyle w:val="AERbody"/>
        </w:rPr>
        <w:instrText xml:space="preserve"> REF _Ref453863079 \r \h </w:instrText>
      </w:r>
      <w:r>
        <w:rPr>
          <w:rStyle w:val="AERbody"/>
        </w:rPr>
      </w:r>
      <w:r>
        <w:rPr>
          <w:rStyle w:val="AERbody"/>
        </w:rPr>
        <w:fldChar w:fldCharType="separate"/>
      </w:r>
      <w:r w:rsidR="008B40D8">
        <w:rPr>
          <w:rStyle w:val="AERbody"/>
        </w:rPr>
        <w:t>7.3</w:t>
      </w:r>
      <w:r>
        <w:rPr>
          <w:rStyle w:val="AERbody"/>
        </w:rPr>
        <w:fldChar w:fldCharType="end"/>
      </w:r>
      <w:r w:rsidRPr="005D730A">
        <w:rPr>
          <w:rStyle w:val="AERbody"/>
        </w:rPr>
        <w:t>) to form a view of its progress in implementing improved engagement strategies and approaches (section</w:t>
      </w:r>
      <w:r>
        <w:rPr>
          <w:rStyle w:val="AERbody"/>
        </w:rPr>
        <w:t xml:space="preserve"> </w:t>
      </w:r>
      <w:r>
        <w:rPr>
          <w:rStyle w:val="AERbody"/>
        </w:rPr>
        <w:fldChar w:fldCharType="begin"/>
      </w:r>
      <w:r>
        <w:rPr>
          <w:rStyle w:val="AERbody"/>
        </w:rPr>
        <w:instrText xml:space="preserve"> REF _Ref453863057 \r \h </w:instrText>
      </w:r>
      <w:r>
        <w:rPr>
          <w:rStyle w:val="AERbody"/>
        </w:rPr>
      </w:r>
      <w:r>
        <w:rPr>
          <w:rStyle w:val="AERbody"/>
        </w:rPr>
        <w:fldChar w:fldCharType="separate"/>
      </w:r>
      <w:r w:rsidR="008B40D8">
        <w:rPr>
          <w:rStyle w:val="AERbody"/>
        </w:rPr>
        <w:t>7.4</w:t>
      </w:r>
      <w:r>
        <w:rPr>
          <w:rStyle w:val="AERbody"/>
        </w:rPr>
        <w:fldChar w:fldCharType="end"/>
      </w:r>
      <w:r w:rsidRPr="005D730A">
        <w:rPr>
          <w:rStyle w:val="AERbody"/>
        </w:rPr>
        <w:t xml:space="preserve">). </w:t>
      </w:r>
    </w:p>
    <w:p w:rsidR="00CF6376" w:rsidRPr="00CF6376" w:rsidRDefault="00CF6376" w:rsidP="00CF6376">
      <w:pPr>
        <w:pStyle w:val="Heading2"/>
        <w:rPr>
          <w:rStyle w:val="AERbody"/>
          <w:color w:val="70635A" w:themeColor="text2"/>
          <w:sz w:val="32"/>
        </w:rPr>
      </w:pPr>
      <w:bookmarkStart w:id="177" w:name="_Ref453863111"/>
      <w:bookmarkStart w:id="178" w:name="_Toc456687663"/>
      <w:bookmarkStart w:id="179" w:name="_Toc462823977"/>
      <w:bookmarkStart w:id="180" w:name="_Toc481051891"/>
      <w:r w:rsidRPr="00CF6376">
        <w:t>TasNetworks'</w:t>
      </w:r>
      <w:r w:rsidRPr="00CF6376">
        <w:rPr>
          <w:rStyle w:val="AERbody"/>
          <w:color w:val="70635A" w:themeColor="text2"/>
          <w:sz w:val="32"/>
        </w:rPr>
        <w:t xml:space="preserve"> consumer engagement activities</w:t>
      </w:r>
      <w:bookmarkEnd w:id="177"/>
      <w:bookmarkEnd w:id="178"/>
      <w:bookmarkEnd w:id="179"/>
      <w:bookmarkEnd w:id="180"/>
    </w:p>
    <w:p w:rsidR="0025728D" w:rsidRDefault="0025728D" w:rsidP="0025728D">
      <w:r>
        <w:t>As part of preparing its revenue proposal, TasNetworks undertook a range of consumer engagement activities to understand the views of its stakeholders. We set out TasNetworks' consumer engagement activities in the lead up to its initial proposal in our draft decision.</w:t>
      </w:r>
      <w:r>
        <w:rPr>
          <w:rStyle w:val="FootnoteReference"/>
        </w:rPr>
        <w:footnoteReference w:id="109"/>
      </w:r>
      <w:r>
        <w:t xml:space="preserve"> In its revised proposal, TasNetworks submitted that it undertook further stakeholder engagement following the submission of its initial revenue proposal.</w:t>
      </w:r>
      <w:r>
        <w:rPr>
          <w:rStyle w:val="FootnoteReference"/>
        </w:rPr>
        <w:footnoteReference w:id="110"/>
      </w:r>
      <w:r>
        <w:t xml:space="preserve"> </w:t>
      </w:r>
    </w:p>
    <w:p w:rsidR="0025728D" w:rsidRDefault="0025728D" w:rsidP="00CF6376">
      <w:r>
        <w:t>TasNetworks submitted that it informed key stakeholders of the outcomes of our draft decision. In particular, TasNetworks noted that it engaged directly with customers, interest groups, retailers, and its Pricing Reform Working Group. TasNetworks also continued to engage with customers through its customer engagement plans.</w:t>
      </w:r>
      <w:r>
        <w:rPr>
          <w:rStyle w:val="FootnoteReference"/>
        </w:rPr>
        <w:footnoteReference w:id="111"/>
      </w:r>
    </w:p>
    <w:p w:rsidR="00CF6376" w:rsidRDefault="00CF6376" w:rsidP="00CF6376">
      <w:pPr>
        <w:pStyle w:val="Heading2"/>
      </w:pPr>
      <w:bookmarkStart w:id="181" w:name="_Ref453863079"/>
      <w:bookmarkStart w:id="182" w:name="_Toc456687667"/>
      <w:bookmarkStart w:id="183" w:name="_Toc462823980"/>
      <w:bookmarkStart w:id="184" w:name="_Toc481051892"/>
      <w:r>
        <w:t>Consumer</w:t>
      </w:r>
      <w:r w:rsidRPr="00923E34">
        <w:t xml:space="preserve"> submissions</w:t>
      </w:r>
      <w:bookmarkEnd w:id="181"/>
      <w:bookmarkEnd w:id="182"/>
      <w:bookmarkEnd w:id="183"/>
      <w:bookmarkEnd w:id="184"/>
    </w:p>
    <w:p w:rsidR="004E2F04" w:rsidRDefault="00044079" w:rsidP="00CF6376">
      <w:r>
        <w:t>Submissions from the CCP and the Tasmanian Small Business Council (TSBC) have commended TasNetworks on the steps it has taken to engage consumers and consumer advocates on issues associated with its regulatory proposal.</w:t>
      </w:r>
      <w:r>
        <w:rPr>
          <w:rStyle w:val="FootnoteReference"/>
        </w:rPr>
        <w:footnoteReference w:id="112"/>
      </w:r>
      <w:r>
        <w:t xml:space="preserve"> The CCP also submitted that TasNetworks provides a good case study of how to apply the AER's Consumer Engagement Guideline effectively. </w:t>
      </w:r>
    </w:p>
    <w:p w:rsidR="004E2F04" w:rsidRDefault="00044079" w:rsidP="00CF6376">
      <w:r>
        <w:t xml:space="preserve">In its submission the TSBC also acknowledged that TasNetworks is continuing to improve its consumer engagement however it noted that it would welcome additional steps by TasNetworks that show it has been influenced by customer suggestions. The TSBC submitted that its involvement with TasNetworks' Tariff Reform Working Group has sometimes seen important suggestions not acted upon. </w:t>
      </w:r>
    </w:p>
    <w:p w:rsidR="00CF6376" w:rsidRPr="00923E34" w:rsidRDefault="00CF6376" w:rsidP="006332DA">
      <w:pPr>
        <w:pStyle w:val="Heading2"/>
        <w:keepNext/>
      </w:pPr>
      <w:bookmarkStart w:id="185" w:name="_Ref453863057"/>
      <w:bookmarkStart w:id="186" w:name="_Toc456687668"/>
      <w:bookmarkStart w:id="187" w:name="_Toc462823981"/>
      <w:bookmarkStart w:id="188" w:name="_Toc481051893"/>
      <w:r>
        <w:lastRenderedPageBreak/>
        <w:t>Our view of TasNetworks' consumer engagement</w:t>
      </w:r>
      <w:bookmarkEnd w:id="185"/>
      <w:bookmarkEnd w:id="186"/>
      <w:bookmarkEnd w:id="187"/>
      <w:bookmarkEnd w:id="188"/>
    </w:p>
    <w:p w:rsidR="00263579" w:rsidRDefault="0011519E" w:rsidP="006332DA">
      <w:pPr>
        <w:keepNext/>
      </w:pPr>
      <w:r>
        <w:t>As we noted in</w:t>
      </w:r>
      <w:r w:rsidR="00263579">
        <w:t xml:space="preserve"> our draft decision, we consider that TasNetworks has taken important steps to engage with its customers in a very positive manner. We note that the CCP and the TSBC have also made many positive comments in regards to TasNetworks' consumer engagement. </w:t>
      </w:r>
    </w:p>
    <w:p w:rsidR="00E506CC" w:rsidRDefault="00263579" w:rsidP="004029A3">
      <w:r>
        <w:t xml:space="preserve">As noted above, the TSBC has suggested that TasNetworks take additional steps in the future to show how stakeholder feedback has been taken into account in its regulatory processes. As we noted in our draft decision, stakeholder engagement is a relatively new aspect undertaken by network service providers and should continue to improve over time. As such, we expect that TasNetworks will have regard to the suggestions made by the TSBC in developing its consumer engagement program going forward. </w:t>
      </w:r>
    </w:p>
    <w:p w:rsidR="00E82DCD" w:rsidRPr="005402BE" w:rsidRDefault="00E82DCD" w:rsidP="00E82DCD">
      <w:pPr>
        <w:pStyle w:val="Heading7"/>
      </w:pPr>
      <w:bookmarkStart w:id="189" w:name="_Ref459987256"/>
      <w:bookmarkStart w:id="190" w:name="_Toc462741592"/>
      <w:bookmarkStart w:id="191" w:name="_Ref478472425"/>
      <w:bookmarkStart w:id="192" w:name="_Toc481051894"/>
      <w:r>
        <w:lastRenderedPageBreak/>
        <w:t>Constituent decisions</w:t>
      </w:r>
      <w:bookmarkEnd w:id="189"/>
      <w:bookmarkEnd w:id="190"/>
      <w:bookmarkEnd w:id="191"/>
      <w:bookmarkEnd w:id="192"/>
    </w:p>
    <w:p w:rsidR="00E82DCD" w:rsidRDefault="00E82DCD" w:rsidP="00E82DCD">
      <w:pPr>
        <w:numPr>
          <w:ilvl w:val="0"/>
          <w:numId w:val="24"/>
        </w:numPr>
      </w:pPr>
      <w:r>
        <w:t>Our final decision on TasNetworks' distribution determination includes the following constituent components:</w:t>
      </w:r>
      <w:r>
        <w:rPr>
          <w:rStyle w:val="FootnoteReference"/>
        </w:rPr>
        <w:footnoteReference w:id="113"/>
      </w:r>
    </w:p>
    <w:tbl>
      <w:tblPr>
        <w:tblStyle w:val="AERTable-Text"/>
        <w:tblW w:w="9242" w:type="dxa"/>
        <w:tblLook w:val="04A0" w:firstRow="1" w:lastRow="0" w:firstColumn="1" w:lastColumn="0" w:noHBand="0" w:noVBand="1"/>
      </w:tblPr>
      <w:tblGrid>
        <w:gridCol w:w="9242"/>
      </w:tblGrid>
      <w:tr w:rsidR="00E82DCD" w:rsidTr="008B40D8">
        <w:trPr>
          <w:cnfStyle w:val="100000000000" w:firstRow="1" w:lastRow="0" w:firstColumn="0" w:lastColumn="0" w:oddVBand="0" w:evenVBand="0" w:oddHBand="0" w:evenHBand="0" w:firstRowFirstColumn="0" w:firstRowLastColumn="0" w:lastRowFirstColumn="0" w:lastRowLastColumn="0"/>
          <w:tblHeader/>
        </w:trPr>
        <w:tc>
          <w:tcPr>
            <w:tcW w:w="9242" w:type="dxa"/>
          </w:tcPr>
          <w:p w:rsidR="00E82DCD" w:rsidRPr="00E82DCD" w:rsidRDefault="00E82DCD" w:rsidP="00E82DCD">
            <w:r w:rsidRPr="005402BE">
              <w:t>Constituent decision</w:t>
            </w:r>
          </w:p>
        </w:tc>
      </w:tr>
      <w:tr w:rsidR="00CE62F8" w:rsidTr="00A44A8B">
        <w:tc>
          <w:tcPr>
            <w:tcW w:w="9242" w:type="dxa"/>
          </w:tcPr>
          <w:p w:rsidR="00CE62F8" w:rsidRPr="00CE62F8" w:rsidRDefault="00CE62F8" w:rsidP="00345F95">
            <w:r w:rsidRPr="005402BE">
              <w:t xml:space="preserve">In accordance with clause 6.12.1(1) of the NER, </w:t>
            </w:r>
            <w:r w:rsidRPr="00345F95">
              <w:t>the following classification of services will apply</w:t>
            </w:r>
            <w:r w:rsidRPr="005402BE">
              <w:t xml:space="preserve"> to </w:t>
            </w:r>
            <w:r w:rsidRPr="00CE62F8">
              <w:t>TasNetworks for the 2017–19 regulatory control period (listed by service group):</w:t>
            </w:r>
          </w:p>
          <w:p w:rsidR="00CE62F8" w:rsidRPr="00CE62F8" w:rsidRDefault="00CE62F8" w:rsidP="00CE62F8">
            <w:pPr>
              <w:pStyle w:val="AERbulletlistfirststyle"/>
            </w:pPr>
            <w:r w:rsidRPr="005402BE">
              <w:t xml:space="preserve">Standard control services include network services, </w:t>
            </w:r>
            <w:r w:rsidRPr="00CE62F8">
              <w:t>and connection services requiring augmentation</w:t>
            </w:r>
          </w:p>
          <w:p w:rsidR="00CE62F8" w:rsidRPr="00CE62F8" w:rsidRDefault="00CE62F8" w:rsidP="00CE62F8">
            <w:pPr>
              <w:pStyle w:val="AERbulletlistfirststyle"/>
            </w:pPr>
            <w:r w:rsidRPr="005402BE">
              <w:t xml:space="preserve">Alternative control services include </w:t>
            </w:r>
            <w:r w:rsidRPr="00CE62F8">
              <w:t xml:space="preserve">basic connections, type 5–7 metering services, public lighting services (except new public lighting technology), ancillary network services (fee based and quoted services) </w:t>
            </w:r>
          </w:p>
          <w:p w:rsidR="00CE62F8" w:rsidRPr="00CE62F8" w:rsidRDefault="00CE62F8" w:rsidP="00CE62F8">
            <w:pPr>
              <w:pStyle w:val="AERbulletlistfirststyle"/>
            </w:pPr>
            <w:r w:rsidRPr="005402BE">
              <w:t xml:space="preserve">Negotiated distribution services include new public lighting </w:t>
            </w:r>
            <w:r w:rsidRPr="00CE62F8">
              <w:t>technology</w:t>
            </w:r>
          </w:p>
          <w:p w:rsidR="00CE62F8" w:rsidRPr="00CE62F8" w:rsidRDefault="00CE62F8" w:rsidP="00CE62F8">
            <w:pPr>
              <w:pStyle w:val="AERbulletlistfirststyle"/>
            </w:pPr>
            <w:r w:rsidRPr="005402BE">
              <w:t xml:space="preserve">Unregulated services include type 1 to 4 metering services, </w:t>
            </w:r>
            <w:r w:rsidRPr="00CE62F8">
              <w:t>PAYG metering services provided by Aurora Retail, emergency recoverable works.</w:t>
            </w:r>
          </w:p>
          <w:p w:rsidR="00CE62F8" w:rsidRPr="00CE62F8" w:rsidRDefault="00345F95" w:rsidP="00345F95">
            <w:r>
              <w:t xml:space="preserve">Section </w:t>
            </w:r>
            <w:r>
              <w:fldChar w:fldCharType="begin"/>
            </w:r>
            <w:r>
              <w:instrText xml:space="preserve"> REF _Ref478557094 \r \h </w:instrText>
            </w:r>
            <w:r>
              <w:fldChar w:fldCharType="separate"/>
            </w:r>
            <w:r w:rsidR="008B40D8">
              <w:t>4.1</w:t>
            </w:r>
            <w:r>
              <w:fldChar w:fldCharType="end"/>
            </w:r>
            <w:r w:rsidR="00CE62F8" w:rsidRPr="005402BE">
              <w:t xml:space="preserve"> of th</w:t>
            </w:r>
            <w:r>
              <w:t>is Overview</w:t>
            </w:r>
            <w:r w:rsidR="00CE62F8" w:rsidRPr="005402BE">
              <w:t xml:space="preserve"> </w:t>
            </w:r>
            <w:r w:rsidR="00CE62F8" w:rsidRPr="00CE62F8">
              <w:t>discusses classification of services.</w:t>
            </w:r>
          </w:p>
        </w:tc>
      </w:tr>
      <w:tr w:rsidR="00CE62F8" w:rsidTr="00A44A8B">
        <w:trPr>
          <w:cnfStyle w:val="000000010000" w:firstRow="0" w:lastRow="0" w:firstColumn="0" w:lastColumn="0" w:oddVBand="0" w:evenVBand="0" w:oddHBand="0" w:evenHBand="1" w:firstRowFirstColumn="0" w:firstRowLastColumn="0" w:lastRowFirstColumn="0" w:lastRowLastColumn="0"/>
        </w:trPr>
        <w:tc>
          <w:tcPr>
            <w:tcW w:w="9242" w:type="dxa"/>
          </w:tcPr>
          <w:p w:rsidR="00CE62F8" w:rsidRPr="00CE62F8" w:rsidRDefault="00CE62F8" w:rsidP="00345F95">
            <w:r w:rsidRPr="005402BE">
              <w:t xml:space="preserve">In accordance with clause 6.12.1(2)(i) of the NER, </w:t>
            </w:r>
            <w:r w:rsidRPr="00345F95">
              <w:t>the AER does not approve the annual revenue requirement set out in TasNetworks' building block proposal</w:t>
            </w:r>
            <w:r w:rsidRPr="00CE62F8">
              <w:t xml:space="preserve">. Our </w:t>
            </w:r>
            <w:r w:rsidR="00404707">
              <w:t>final</w:t>
            </w:r>
            <w:r w:rsidRPr="00CE62F8">
              <w:t xml:space="preserve"> decision on TasNetworks' annual revenue requirement for each year of the 2017–19 regulatory control period is set out in attachment 1 of the </w:t>
            </w:r>
            <w:r w:rsidR="00404707">
              <w:t>final</w:t>
            </w:r>
            <w:r w:rsidRPr="00CE62F8">
              <w:t xml:space="preserve"> decision.</w:t>
            </w:r>
          </w:p>
        </w:tc>
      </w:tr>
      <w:tr w:rsidR="00CE62F8" w:rsidTr="00A44A8B">
        <w:tc>
          <w:tcPr>
            <w:tcW w:w="9242" w:type="dxa"/>
          </w:tcPr>
          <w:p w:rsidR="00CE62F8" w:rsidRPr="00CE62F8" w:rsidRDefault="00CE62F8" w:rsidP="00CE62F8">
            <w:r w:rsidRPr="005402BE">
              <w:t xml:space="preserve">In accordance with clause 6.12.1(2)(ii) of the NER, the AER approves </w:t>
            </w:r>
            <w:r w:rsidRPr="00CE62F8">
              <w:t>TasNetworks' proposal that the regulatory control period will commence on 1 July 2017. Also in accordance with clause 6.12.1(2)(ii) of the NER, the AER approves TasNetworks' proposal that the length of the regulatory control period will be 2 years from 1 July 2017 to 30 June 2019.</w:t>
            </w:r>
          </w:p>
        </w:tc>
      </w:tr>
      <w:tr w:rsidR="00CE62F8" w:rsidTr="00A44A8B">
        <w:trPr>
          <w:cnfStyle w:val="000000010000" w:firstRow="0" w:lastRow="0" w:firstColumn="0" w:lastColumn="0" w:oddVBand="0" w:evenVBand="0" w:oddHBand="0" w:evenHBand="1" w:firstRowFirstColumn="0" w:firstRowLastColumn="0" w:lastRowFirstColumn="0" w:lastRowLastColumn="0"/>
        </w:trPr>
        <w:tc>
          <w:tcPr>
            <w:tcW w:w="9242" w:type="dxa"/>
          </w:tcPr>
          <w:p w:rsidR="00CE62F8" w:rsidRPr="00CE62F8" w:rsidRDefault="00CE62F8" w:rsidP="009F1FA2">
            <w:r w:rsidRPr="005402BE">
              <w:t>In accordance with clause 6.12.1(3)(i)</w:t>
            </w:r>
            <w:r w:rsidR="009F1FA2">
              <w:t>,</w:t>
            </w:r>
            <w:r w:rsidRPr="005402BE">
              <w:t xml:space="preserve"> and in accordance with clause 6.5.7(c), the AER accepts </w:t>
            </w:r>
            <w:r w:rsidRPr="00CE62F8">
              <w:t xml:space="preserve">TasNetworks' proposed total forecast capital expenditure of </w:t>
            </w:r>
            <w:r w:rsidRPr="00345F95">
              <w:t>$</w:t>
            </w:r>
            <w:r w:rsidR="00345F95" w:rsidRPr="00345F95">
              <w:t>213.4</w:t>
            </w:r>
            <w:r w:rsidRPr="00345F95">
              <w:t xml:space="preserve"> </w:t>
            </w:r>
            <w:r w:rsidRPr="00CE62F8">
              <w:t xml:space="preserve">million ($2016–17). This is discussed in </w:t>
            </w:r>
            <w:r>
              <w:t xml:space="preserve">section </w:t>
            </w:r>
            <w:r w:rsidR="00345F95">
              <w:fldChar w:fldCharType="begin"/>
            </w:r>
            <w:r w:rsidR="00345F95">
              <w:instrText xml:space="preserve"> REF _Ref451759130 \r \h </w:instrText>
            </w:r>
            <w:r w:rsidR="00345F95">
              <w:fldChar w:fldCharType="separate"/>
            </w:r>
            <w:r w:rsidR="008B40D8">
              <w:t>3.5</w:t>
            </w:r>
            <w:r w:rsidR="00345F95">
              <w:fldChar w:fldCharType="end"/>
            </w:r>
            <w:r>
              <w:t xml:space="preserve"> of this </w:t>
            </w:r>
            <w:r w:rsidR="00345F95">
              <w:t>O</w:t>
            </w:r>
            <w:r>
              <w:t>verview</w:t>
            </w:r>
            <w:r w:rsidRPr="00CE62F8">
              <w:t>.</w:t>
            </w:r>
          </w:p>
        </w:tc>
      </w:tr>
      <w:tr w:rsidR="00CE62F8" w:rsidTr="00A44A8B">
        <w:tc>
          <w:tcPr>
            <w:tcW w:w="9242" w:type="dxa"/>
          </w:tcPr>
          <w:p w:rsidR="00CE62F8" w:rsidRPr="00CE62F8" w:rsidRDefault="00CE62F8" w:rsidP="009F1FA2">
            <w:r w:rsidRPr="00EA7E80">
              <w:t>In accordance with clause 6.12.1(4)(i)</w:t>
            </w:r>
            <w:r w:rsidR="009F1FA2">
              <w:t>,</w:t>
            </w:r>
            <w:r w:rsidRPr="00EA7E80">
              <w:t xml:space="preserve"> and in accordance with clause 6.5.6(c), the AER accepts TasNetworks' proposed total forecast operating expenditure inclusive of debt raising costs and exclusive of DMIA of </w:t>
            </w:r>
            <w:r w:rsidRPr="00605C66">
              <w:t xml:space="preserve">$ </w:t>
            </w:r>
            <w:r w:rsidR="00605C66" w:rsidRPr="00605C66">
              <w:t>131.8</w:t>
            </w:r>
            <w:r w:rsidRPr="00EA7E80">
              <w:t xml:space="preserve"> million ($2016-17).</w:t>
            </w:r>
            <w:r w:rsidRPr="00CE62F8">
              <w:t xml:space="preserve"> This is discussed in </w:t>
            </w:r>
            <w:r>
              <w:t xml:space="preserve">section </w:t>
            </w:r>
            <w:r w:rsidR="00605C66">
              <w:rPr>
                <w:rStyle w:val="AERtexthighlight"/>
              </w:rPr>
              <w:fldChar w:fldCharType="begin"/>
            </w:r>
            <w:r w:rsidR="00605C66">
              <w:instrText xml:space="preserve"> REF _Ref451759140 \r \h </w:instrText>
            </w:r>
            <w:r w:rsidR="00605C66">
              <w:rPr>
                <w:rStyle w:val="AERtexthighlight"/>
              </w:rPr>
            </w:r>
            <w:r w:rsidR="00605C66">
              <w:rPr>
                <w:rStyle w:val="AERtexthighlight"/>
              </w:rPr>
              <w:fldChar w:fldCharType="separate"/>
            </w:r>
            <w:r w:rsidR="008B40D8">
              <w:t>3.6</w:t>
            </w:r>
            <w:r w:rsidR="00605C66">
              <w:rPr>
                <w:rStyle w:val="AERtexthighlight"/>
              </w:rPr>
              <w:fldChar w:fldCharType="end"/>
            </w:r>
            <w:r w:rsidRPr="00CE62F8">
              <w:t xml:space="preserve"> of th</w:t>
            </w:r>
            <w:r>
              <w:t>is Overview</w:t>
            </w:r>
            <w:r w:rsidRPr="00CE62F8">
              <w:t>.</w:t>
            </w:r>
          </w:p>
        </w:tc>
      </w:tr>
      <w:tr w:rsidR="00CE62F8" w:rsidTr="00A44A8B">
        <w:trPr>
          <w:cnfStyle w:val="000000010000" w:firstRow="0" w:lastRow="0" w:firstColumn="0" w:lastColumn="0" w:oddVBand="0" w:evenVBand="0" w:oddHBand="0" w:evenHBand="1" w:firstRowFirstColumn="0" w:firstRowLastColumn="0" w:lastRowFirstColumn="0" w:lastRowLastColumn="0"/>
        </w:trPr>
        <w:tc>
          <w:tcPr>
            <w:tcW w:w="9242" w:type="dxa"/>
          </w:tcPr>
          <w:p w:rsidR="00CE62F8" w:rsidRPr="00CE62F8" w:rsidRDefault="00CE62F8" w:rsidP="00CE62F8">
            <w:r w:rsidRPr="005402BE">
              <w:t>In accordance with clause 6.12.1(4A)(i) the AER determines that there are</w:t>
            </w:r>
            <w:r w:rsidRPr="00CE62F8">
              <w:t xml:space="preserve"> no contingent projects for the purposes of the distribution determination.</w:t>
            </w:r>
          </w:p>
        </w:tc>
      </w:tr>
      <w:tr w:rsidR="00CE62F8" w:rsidTr="00A44A8B">
        <w:tc>
          <w:tcPr>
            <w:tcW w:w="9242" w:type="dxa"/>
          </w:tcPr>
          <w:p w:rsidR="00CE62F8" w:rsidRPr="00CE62F8" w:rsidRDefault="00CE62F8" w:rsidP="00CE62F8">
            <w:r>
              <w:t>TasNetworks</w:t>
            </w:r>
            <w:r w:rsidRPr="00CE62F8">
              <w:t xml:space="preserve"> did not include any proposed contingent projects in its regulatory proposal for the 2017–19 regulatory control period. Therefore,</w:t>
            </w:r>
          </w:p>
          <w:p w:rsidR="00CE62F8" w:rsidRPr="00CE62F8" w:rsidRDefault="00CE62F8" w:rsidP="00CE62F8">
            <w:pPr>
              <w:pStyle w:val="AERbulletlistfirststyle"/>
            </w:pPr>
            <w:r w:rsidRPr="005402BE">
              <w:t xml:space="preserve">in accordance with clause 6.12.1(4A)(ii), the AER has not made an assessment of whether the </w:t>
            </w:r>
            <w:r w:rsidRPr="005402BE">
              <w:lastRenderedPageBreak/>
              <w:t>capital expenditure proposed in the context of each contingent project reflects the capital expenditure criteria and factors</w:t>
            </w:r>
          </w:p>
          <w:p w:rsidR="00CE62F8" w:rsidRPr="00CE62F8" w:rsidRDefault="00CE62F8" w:rsidP="00CE62F8">
            <w:pPr>
              <w:pStyle w:val="AERbulletlistfirststyle"/>
            </w:pPr>
            <w:r w:rsidRPr="005402BE">
              <w:t>in accordance with clause 6.12.1(4A)(iii), the AER does not specify any trigger events in relation to contingent projects</w:t>
            </w:r>
          </w:p>
          <w:p w:rsidR="00CE62F8" w:rsidRPr="00CE62F8" w:rsidRDefault="00CE62F8" w:rsidP="00CE62F8">
            <w:pPr>
              <w:pStyle w:val="AERbulletlistfirststyle"/>
            </w:pPr>
            <w:r w:rsidRPr="005402BE">
              <w:t>in accordance with clause 6.12.1(4A)(iv), the AER does not determine that any proposed contingent project is not a contingent project.</w:t>
            </w:r>
          </w:p>
        </w:tc>
      </w:tr>
      <w:tr w:rsidR="00CE62F8" w:rsidTr="00A44A8B">
        <w:trPr>
          <w:cnfStyle w:val="000000010000" w:firstRow="0" w:lastRow="0" w:firstColumn="0" w:lastColumn="0" w:oddVBand="0" w:evenVBand="0" w:oddHBand="0" w:evenHBand="1" w:firstRowFirstColumn="0" w:firstRowLastColumn="0" w:lastRowFirstColumn="0" w:lastRowLastColumn="0"/>
        </w:trPr>
        <w:tc>
          <w:tcPr>
            <w:tcW w:w="9242" w:type="dxa"/>
          </w:tcPr>
          <w:p w:rsidR="00CE62F8" w:rsidRPr="00CE62F8" w:rsidRDefault="00CE62F8" w:rsidP="00465A73">
            <w:r w:rsidRPr="005402BE">
              <w:lastRenderedPageBreak/>
              <w:t xml:space="preserve">In accordance with clause 6.12.1(5) the AER's </w:t>
            </w:r>
            <w:r w:rsidR="00404707">
              <w:t>final</w:t>
            </w:r>
            <w:r w:rsidRPr="00CE62F8">
              <w:t xml:space="preserve"> decision on the allowed rate of return for the first regulatory year of the regulatory control period in accordance with clause 6.5.2 is to not accept TasNetworks' proposal of </w:t>
            </w:r>
            <w:r w:rsidR="0059639B">
              <w:t>5.48</w:t>
            </w:r>
            <w:r w:rsidRPr="00CE62F8">
              <w:t xml:space="preserve"> per cent. Our </w:t>
            </w:r>
            <w:r w:rsidR="00404707">
              <w:t>final</w:t>
            </w:r>
            <w:r w:rsidRPr="00CE62F8">
              <w:t xml:space="preserve"> decision on the allowed rate of return for the first regulatory year of the regulatory control period is</w:t>
            </w:r>
            <w:r w:rsidR="00465A73">
              <w:t xml:space="preserve"> 6.02</w:t>
            </w:r>
            <w:r w:rsidRPr="00CE62F8">
              <w:t xml:space="preserve"> per cent as set out in attachment 3 of the </w:t>
            </w:r>
            <w:r w:rsidR="00404707">
              <w:t>final</w:t>
            </w:r>
            <w:r w:rsidRPr="00CE62F8">
              <w:t xml:space="preserve"> decision. This rate of return will be updated annually because our </w:t>
            </w:r>
            <w:r w:rsidR="00404707">
              <w:t>final</w:t>
            </w:r>
            <w:r w:rsidRPr="00CE62F8">
              <w:t xml:space="preserve"> decision is to apply a trailing average portfolio approach to estimating debt which incorporates annual updating of the allowed return on debt.</w:t>
            </w:r>
          </w:p>
        </w:tc>
      </w:tr>
      <w:tr w:rsidR="00CE62F8" w:rsidTr="00A44A8B">
        <w:tc>
          <w:tcPr>
            <w:tcW w:w="9242" w:type="dxa"/>
          </w:tcPr>
          <w:p w:rsidR="00CE62F8" w:rsidRPr="00CE62F8" w:rsidRDefault="00CE62F8" w:rsidP="0059639B">
            <w:r w:rsidRPr="005402BE">
              <w:t xml:space="preserve">In accordance with clause 6.12.1(5A) the AER's </w:t>
            </w:r>
            <w:r w:rsidR="00404707">
              <w:t>final</w:t>
            </w:r>
            <w:r w:rsidRPr="00CE62F8">
              <w:t xml:space="preserve"> decision is that the </w:t>
            </w:r>
            <w:r w:rsidRPr="0059639B">
              <w:t>return on debt is to be estimated using a methodology referred to in clause 6.5.2(i)(2) which is s</w:t>
            </w:r>
            <w:r w:rsidRPr="00CE62F8">
              <w:t xml:space="preserve">et out in attachment 3 of the </w:t>
            </w:r>
            <w:r w:rsidR="00404707">
              <w:t>final</w:t>
            </w:r>
            <w:r w:rsidRPr="00CE62F8">
              <w:t xml:space="preserve"> decision. For the purposes of clause 6.5.2(</w:t>
            </w:r>
            <w:r w:rsidR="009F1FA2">
              <w:t>l</w:t>
            </w:r>
            <w:r w:rsidRPr="00CE62F8">
              <w:t xml:space="preserve">), our </w:t>
            </w:r>
            <w:r w:rsidR="00404707">
              <w:t>final</w:t>
            </w:r>
            <w:r w:rsidRPr="00CE62F8">
              <w:t xml:space="preserve"> decision is that the resulting change to TasNetworks' annual building block revenue requirement is to be effected through:</w:t>
            </w:r>
          </w:p>
          <w:p w:rsidR="00CE62F8" w:rsidRPr="00CE62F8" w:rsidRDefault="00CE62F8" w:rsidP="00CE62F8">
            <w:r w:rsidRPr="006B0439">
              <w:t>•</w:t>
            </w:r>
            <w:r w:rsidRPr="006B0439">
              <w:tab/>
              <w:t>the automatic application of the return on debt methodology specified in this section</w:t>
            </w:r>
          </w:p>
          <w:p w:rsidR="00CE62F8" w:rsidRPr="00CE62F8" w:rsidRDefault="00CE62F8" w:rsidP="00CE62F8">
            <w:r w:rsidRPr="006B0439">
              <w:t>•</w:t>
            </w:r>
            <w:r w:rsidRPr="006B0439">
              <w:tab/>
              <w:t xml:space="preserve">using the return on debt averaging periods specified in </w:t>
            </w:r>
            <w:r w:rsidRPr="00CE62F8">
              <w:t xml:space="preserve">attachment 3 of the </w:t>
            </w:r>
            <w:r w:rsidR="00404707">
              <w:t>final</w:t>
            </w:r>
            <w:r w:rsidRPr="00CE62F8">
              <w:t xml:space="preserve"> decision</w:t>
            </w:r>
          </w:p>
          <w:p w:rsidR="00CE62F8" w:rsidRPr="00CE62F8" w:rsidRDefault="00CE62F8" w:rsidP="0059639B">
            <w:r w:rsidRPr="006B0439">
              <w:t>•</w:t>
            </w:r>
            <w:r w:rsidRPr="006B0439">
              <w:tab/>
            </w:r>
            <w:r w:rsidRPr="00CE62F8">
              <w:t xml:space="preserve">implemented using the control formulas specified in </w:t>
            </w:r>
            <w:r w:rsidRPr="0059639B">
              <w:t>attachments 14 and 16 to the</w:t>
            </w:r>
            <w:r w:rsidRPr="00CE62F8">
              <w:t xml:space="preserve"> </w:t>
            </w:r>
            <w:r w:rsidR="00404707">
              <w:t>final</w:t>
            </w:r>
            <w:r w:rsidRPr="00CE62F8">
              <w:t xml:space="preserve"> decision, and</w:t>
            </w:r>
          </w:p>
          <w:p w:rsidR="00CE62F8" w:rsidRPr="00CE62F8" w:rsidRDefault="00CE62F8" w:rsidP="00CE62F8">
            <w:r w:rsidRPr="006B0439">
              <w:t>•</w:t>
            </w:r>
            <w:r w:rsidRPr="006B0439">
              <w:tab/>
            </w:r>
            <w:r w:rsidRPr="00CE62F8">
              <w:t>implemented using TasNetworks' final determination post-tax revenue model (PTRM) in accordance with the AER's PTRM handbook.</w:t>
            </w:r>
          </w:p>
        </w:tc>
      </w:tr>
      <w:tr w:rsidR="00CE62F8" w:rsidTr="00A44A8B">
        <w:trPr>
          <w:cnfStyle w:val="000000010000" w:firstRow="0" w:lastRow="0" w:firstColumn="0" w:lastColumn="0" w:oddVBand="0" w:evenVBand="0" w:oddHBand="0" w:evenHBand="1" w:firstRowFirstColumn="0" w:firstRowLastColumn="0" w:lastRowFirstColumn="0" w:lastRowLastColumn="0"/>
        </w:trPr>
        <w:tc>
          <w:tcPr>
            <w:tcW w:w="9242" w:type="dxa"/>
          </w:tcPr>
          <w:p w:rsidR="00CE62F8" w:rsidRPr="00CE62F8" w:rsidRDefault="00CE62F8" w:rsidP="0059639B">
            <w:r w:rsidRPr="005402BE">
              <w:t xml:space="preserve">In accordance with clause 6.12.1(5B) the AER's </w:t>
            </w:r>
            <w:r w:rsidR="00404707">
              <w:t>final</w:t>
            </w:r>
            <w:r w:rsidRPr="00CE62F8">
              <w:t xml:space="preserve"> decision on the value of imputation credits as referred to in clause 6.5.3 is to adopt a </w:t>
            </w:r>
            <w:r w:rsidRPr="0059639B">
              <w:t>value of 0.4. This is discussed</w:t>
            </w:r>
            <w:r w:rsidRPr="00CE62F8">
              <w:t xml:space="preserve"> in attachment 4 of the </w:t>
            </w:r>
            <w:r w:rsidR="00404707">
              <w:t>final</w:t>
            </w:r>
            <w:r w:rsidRPr="00CE62F8">
              <w:t xml:space="preserve"> decision.</w:t>
            </w:r>
          </w:p>
        </w:tc>
      </w:tr>
      <w:tr w:rsidR="00CE62F8" w:rsidTr="00A44A8B">
        <w:tc>
          <w:tcPr>
            <w:tcW w:w="9242" w:type="dxa"/>
          </w:tcPr>
          <w:p w:rsidR="00CE62F8" w:rsidRPr="00CE62F8" w:rsidRDefault="00CE62F8" w:rsidP="00042F83">
            <w:r w:rsidRPr="005402BE">
              <w:t xml:space="preserve">In accordance with clause 6.12.1(6) the AER's </w:t>
            </w:r>
            <w:r w:rsidR="00404707">
              <w:t>final</w:t>
            </w:r>
            <w:r w:rsidRPr="00CE62F8">
              <w:t xml:space="preserve"> decision on TasNetworks' regulatory asset base as at 1 July 2017 in accordance with clause 6.5.1 and schedule 6.2 is $</w:t>
            </w:r>
            <w:r w:rsidR="00042F83">
              <w:t>1615.2</w:t>
            </w:r>
            <w:r w:rsidRPr="00CE62F8">
              <w:t xml:space="preserve"> million ($ nominal). This is discussed in </w:t>
            </w:r>
            <w:r>
              <w:t>section</w:t>
            </w:r>
            <w:r w:rsidR="0059639B">
              <w:t xml:space="preserve"> </w:t>
            </w:r>
            <w:r w:rsidR="0059639B">
              <w:fldChar w:fldCharType="begin"/>
            </w:r>
            <w:r w:rsidR="0059639B">
              <w:instrText xml:space="preserve"> REF _Ref451519510 \r \h </w:instrText>
            </w:r>
            <w:r w:rsidR="0059639B">
              <w:fldChar w:fldCharType="separate"/>
            </w:r>
            <w:r w:rsidR="008B40D8">
              <w:t>3.1</w:t>
            </w:r>
            <w:r w:rsidR="0059639B">
              <w:fldChar w:fldCharType="end"/>
            </w:r>
            <w:r>
              <w:t xml:space="preserve"> </w:t>
            </w:r>
            <w:r w:rsidRPr="00CE62F8">
              <w:t>of th</w:t>
            </w:r>
            <w:r>
              <w:t>is Overview</w:t>
            </w:r>
            <w:r w:rsidRPr="00CE62F8">
              <w:t xml:space="preserve">. </w:t>
            </w:r>
          </w:p>
        </w:tc>
      </w:tr>
      <w:tr w:rsidR="00CE62F8" w:rsidTr="00A44A8B">
        <w:trPr>
          <w:cnfStyle w:val="000000010000" w:firstRow="0" w:lastRow="0" w:firstColumn="0" w:lastColumn="0" w:oddVBand="0" w:evenVBand="0" w:oddHBand="0" w:evenHBand="1" w:firstRowFirstColumn="0" w:firstRowLastColumn="0" w:lastRowFirstColumn="0" w:lastRowLastColumn="0"/>
        </w:trPr>
        <w:tc>
          <w:tcPr>
            <w:tcW w:w="9242" w:type="dxa"/>
          </w:tcPr>
          <w:p w:rsidR="00CE62F8" w:rsidRPr="00CE62F8" w:rsidRDefault="00CE62F8" w:rsidP="005C0A1B">
            <w:r w:rsidRPr="005402BE">
              <w:t>In accordance with clause 6.12.1(7) the AER</w:t>
            </w:r>
            <w:r w:rsidRPr="00CE62F8">
              <w:t xml:space="preserve"> does not accept TasNetworks' proposed corporate income tax of $</w:t>
            </w:r>
            <w:r w:rsidR="003B7763">
              <w:t>18.6</w:t>
            </w:r>
            <w:r w:rsidRPr="00CE62F8">
              <w:t xml:space="preserve"> million ($ nominal). Our </w:t>
            </w:r>
            <w:r w:rsidR="00404707">
              <w:t>final</w:t>
            </w:r>
            <w:r w:rsidRPr="00CE62F8">
              <w:t xml:space="preserve"> decision on TasNetworks' corporate income tax is $</w:t>
            </w:r>
            <w:r w:rsidR="003B7763">
              <w:t>21.</w:t>
            </w:r>
            <w:r w:rsidR="005C0A1B">
              <w:t>0</w:t>
            </w:r>
            <w:r w:rsidRPr="00CE62F8">
              <w:t xml:space="preserve"> million ($ nominal). This is set out in </w:t>
            </w:r>
            <w:r>
              <w:t>section</w:t>
            </w:r>
            <w:r w:rsidR="003B7763">
              <w:t xml:space="preserve"> </w:t>
            </w:r>
            <w:r w:rsidR="003B7763">
              <w:fldChar w:fldCharType="begin"/>
            </w:r>
            <w:r w:rsidR="003B7763">
              <w:instrText xml:space="preserve"> REF _Ref478558300 \r \h </w:instrText>
            </w:r>
            <w:r w:rsidR="003B7763">
              <w:fldChar w:fldCharType="separate"/>
            </w:r>
            <w:r w:rsidR="008B40D8">
              <w:t>3.7</w:t>
            </w:r>
            <w:r w:rsidR="003B7763">
              <w:fldChar w:fldCharType="end"/>
            </w:r>
            <w:r>
              <w:t xml:space="preserve"> </w:t>
            </w:r>
            <w:r w:rsidRPr="00CE62F8">
              <w:t>of th</w:t>
            </w:r>
            <w:r>
              <w:t>is Overview</w:t>
            </w:r>
            <w:r w:rsidRPr="00CE62F8">
              <w:t>.</w:t>
            </w:r>
          </w:p>
        </w:tc>
      </w:tr>
      <w:tr w:rsidR="00CE62F8" w:rsidTr="00A44A8B">
        <w:tc>
          <w:tcPr>
            <w:tcW w:w="9242" w:type="dxa"/>
          </w:tcPr>
          <w:p w:rsidR="00CE62F8" w:rsidRPr="00CE62F8" w:rsidRDefault="00CE62F8" w:rsidP="003B7763">
            <w:r w:rsidRPr="005402BE">
              <w:t xml:space="preserve">In accordance with clause 6.12.1(8) the AER's </w:t>
            </w:r>
            <w:r w:rsidR="00404707">
              <w:t>final</w:t>
            </w:r>
            <w:r w:rsidRPr="00CE62F8">
              <w:t xml:space="preserve"> </w:t>
            </w:r>
            <w:r w:rsidRPr="003B7763">
              <w:t xml:space="preserve">decision is to not approve the depreciation schedules submitted by TasNetworks. Our </w:t>
            </w:r>
            <w:r w:rsidR="00404707" w:rsidRPr="003B7763">
              <w:t>final</w:t>
            </w:r>
            <w:r w:rsidRPr="00CE62F8">
              <w:t xml:space="preserve"> decision </w:t>
            </w:r>
            <w:proofErr w:type="gramStart"/>
            <w:r w:rsidRPr="00CE62F8">
              <w:t>substitutes</w:t>
            </w:r>
            <w:proofErr w:type="gramEnd"/>
            <w:r w:rsidRPr="00CE62F8">
              <w:t xml:space="preserve"> alternative depreciation schedules in accordance with clause 6.5.5(b) and this is set out in </w:t>
            </w:r>
            <w:r>
              <w:t xml:space="preserve">section </w:t>
            </w:r>
            <w:r w:rsidR="003B7763">
              <w:fldChar w:fldCharType="begin"/>
            </w:r>
            <w:r w:rsidR="003B7763">
              <w:instrText xml:space="preserve"> REF _Ref451759122 \r \h </w:instrText>
            </w:r>
            <w:r w:rsidR="003B7763">
              <w:fldChar w:fldCharType="separate"/>
            </w:r>
            <w:r w:rsidR="008B40D8">
              <w:t>3.4</w:t>
            </w:r>
            <w:r w:rsidR="003B7763">
              <w:fldChar w:fldCharType="end"/>
            </w:r>
            <w:r w:rsidRPr="00CE62F8">
              <w:t xml:space="preserve"> of th</w:t>
            </w:r>
            <w:r>
              <w:t>is</w:t>
            </w:r>
            <w:r w:rsidRPr="00CE62F8">
              <w:t xml:space="preserve"> </w:t>
            </w:r>
            <w:r>
              <w:t>Overview</w:t>
            </w:r>
            <w:r w:rsidRPr="00CE62F8">
              <w:t>.</w:t>
            </w:r>
          </w:p>
        </w:tc>
      </w:tr>
      <w:tr w:rsidR="00CE62F8" w:rsidTr="00A44A8B">
        <w:trPr>
          <w:cnfStyle w:val="000000010000" w:firstRow="0" w:lastRow="0" w:firstColumn="0" w:lastColumn="0" w:oddVBand="0" w:evenVBand="0" w:oddHBand="0" w:evenHBand="1" w:firstRowFirstColumn="0" w:firstRowLastColumn="0" w:lastRowFirstColumn="0" w:lastRowLastColumn="0"/>
        </w:trPr>
        <w:tc>
          <w:tcPr>
            <w:tcW w:w="9242" w:type="dxa"/>
          </w:tcPr>
          <w:p w:rsidR="00CE62F8" w:rsidRPr="00CE62F8" w:rsidRDefault="00CE62F8" w:rsidP="00CE62F8">
            <w:r w:rsidRPr="005402BE">
              <w:t xml:space="preserve">In accordance with clause 6.12.1(9) the AER makes the following </w:t>
            </w:r>
            <w:r w:rsidR="00404707">
              <w:t>final</w:t>
            </w:r>
            <w:r w:rsidRPr="00CE62F8">
              <w:t xml:space="preserve"> decisions on how any applicable efficiency benefit sharing scheme, capital expenditure sharing scheme, service target performance incentive scheme, demand management and embedded generation connection incentive scheme or small-scale incentive scheme is to apply:</w:t>
            </w:r>
          </w:p>
          <w:p w:rsidR="00CE62F8" w:rsidRPr="00CE62F8" w:rsidRDefault="00CE62F8" w:rsidP="003B7763">
            <w:pPr>
              <w:pStyle w:val="AERbulletlistfirststyle"/>
            </w:pPr>
            <w:r>
              <w:lastRenderedPageBreak/>
              <w:t>T</w:t>
            </w:r>
            <w:r w:rsidRPr="00CE62F8">
              <w:t xml:space="preserve">he AER's </w:t>
            </w:r>
            <w:r w:rsidR="00404707">
              <w:t>final</w:t>
            </w:r>
            <w:r w:rsidRPr="00CE62F8">
              <w:t xml:space="preserve"> decision is to </w:t>
            </w:r>
            <w:r w:rsidRPr="00605C66">
              <w:t>apply version two of the EBSS to</w:t>
            </w:r>
            <w:r w:rsidRPr="00CE62F8">
              <w:t xml:space="preserve"> TasNetworks in the 2017–19 regulatory control period. This is set out in attachment 9 of the </w:t>
            </w:r>
            <w:r w:rsidR="00404707">
              <w:t>final</w:t>
            </w:r>
            <w:r w:rsidRPr="00CE62F8">
              <w:t xml:space="preserve"> decision.</w:t>
            </w:r>
          </w:p>
          <w:p w:rsidR="00CE62F8" w:rsidRPr="00CE62F8" w:rsidRDefault="00CE62F8" w:rsidP="003B7763">
            <w:pPr>
              <w:pStyle w:val="AERbulletlistfirststyle"/>
            </w:pPr>
            <w:r>
              <w:t>W</w:t>
            </w:r>
            <w:r w:rsidRPr="00CE62F8">
              <w:t xml:space="preserve">e will apply </w:t>
            </w:r>
            <w:r w:rsidRPr="003B7763">
              <w:t>the CESS as set out in version 1 of the Capital</w:t>
            </w:r>
            <w:r w:rsidRPr="00CE62F8">
              <w:t xml:space="preserve"> Expenditure Incentives Guideline to TasNetworks in the 2017–19 regulatory control period. CESS is discussed in </w:t>
            </w:r>
            <w:r w:rsidR="003B7763">
              <w:t xml:space="preserve">section </w:t>
            </w:r>
            <w:r w:rsidR="003B7763">
              <w:fldChar w:fldCharType="begin"/>
            </w:r>
            <w:r w:rsidR="003B7763">
              <w:instrText xml:space="preserve"> REF _Ref478558572 \r \h </w:instrText>
            </w:r>
            <w:r w:rsidR="003B7763">
              <w:fldChar w:fldCharType="separate"/>
            </w:r>
            <w:r w:rsidR="008B40D8">
              <w:t>4.3.2</w:t>
            </w:r>
            <w:r w:rsidR="003B7763">
              <w:fldChar w:fldCharType="end"/>
            </w:r>
            <w:r w:rsidR="003B7763">
              <w:t xml:space="preserve"> of this Overview</w:t>
            </w:r>
            <w:r w:rsidRPr="00CE62F8">
              <w:t>.</w:t>
            </w:r>
          </w:p>
          <w:p w:rsidR="00CE62F8" w:rsidRPr="00CE62F8" w:rsidRDefault="00CE62F8" w:rsidP="00CE62F8">
            <w:pPr>
              <w:pStyle w:val="AERbulletlistfirststyle"/>
            </w:pPr>
            <w:r>
              <w:t>W</w:t>
            </w:r>
            <w:r w:rsidRPr="00CE62F8">
              <w:t>e will apply our Service Target Performance Incentive Scheme (STPIS) to TasNetworks for the 2017–19 regulatory control period.</w:t>
            </w:r>
          </w:p>
          <w:p w:rsidR="00CE62F8" w:rsidRPr="00CE62F8" w:rsidRDefault="00CE62F8" w:rsidP="00CE62F8">
            <w:pPr>
              <w:pStyle w:val="AERbulletlistfirststyle"/>
            </w:pPr>
            <w:r w:rsidRPr="005402BE">
              <w:t>We will apply the System Average Interruption Duration Index (SAIDI)</w:t>
            </w:r>
            <w:r w:rsidRPr="00CE62F8">
              <w:t xml:space="preserve"> and System Average Interruption Frequency Index (SAIFI) reliability of supply parameters. We will also apply the customer service telephone answering parameter. We will not apply a guaranteed service level scheme as TasNetworks must comply with an existing jurisdictional guaranteed service level scheme. </w:t>
            </w:r>
          </w:p>
          <w:p w:rsidR="00CE62F8" w:rsidRPr="00CE62F8" w:rsidRDefault="00CE62F8" w:rsidP="00CE62F8">
            <w:pPr>
              <w:pStyle w:val="AERbulletlistfirststyle"/>
            </w:pPr>
            <w:r w:rsidRPr="005402BE">
              <w:t>A beta of</w:t>
            </w:r>
            <w:r w:rsidR="00202C66">
              <w:t xml:space="preserve"> 2.5</w:t>
            </w:r>
            <w:r w:rsidRPr="005402BE">
              <w:t xml:space="preserve"> will be used to calculate the major event day boundary. </w:t>
            </w:r>
          </w:p>
          <w:p w:rsidR="00CE62F8" w:rsidRPr="00CE62F8" w:rsidRDefault="00CE62F8" w:rsidP="00CE62F8">
            <w:pPr>
              <w:pStyle w:val="AERbulletlistfirststyle"/>
            </w:pPr>
            <w:r w:rsidRPr="005402BE">
              <w:t xml:space="preserve">Our </w:t>
            </w:r>
            <w:r w:rsidR="00404707">
              <w:t>final</w:t>
            </w:r>
            <w:r w:rsidRPr="00CE62F8">
              <w:t xml:space="preserve"> decision on the SAIDI and SAIFI incentive rates and performance targets to apply to TasNetworks for the 2017–19 regulatory control </w:t>
            </w:r>
            <w:proofErr w:type="gramStart"/>
            <w:r w:rsidRPr="00CE62F8">
              <w:t>period</w:t>
            </w:r>
            <w:proofErr w:type="gramEnd"/>
            <w:r w:rsidRPr="00CE62F8">
              <w:t xml:space="preserve"> are set out in </w:t>
            </w:r>
            <w:r w:rsidR="003B7763">
              <w:t xml:space="preserve">section </w:t>
            </w:r>
            <w:r w:rsidR="003B7763">
              <w:fldChar w:fldCharType="begin"/>
            </w:r>
            <w:r w:rsidR="003B7763">
              <w:instrText xml:space="preserve"> REF _Ref478558668 \r \h </w:instrText>
            </w:r>
            <w:r w:rsidR="003B7763">
              <w:fldChar w:fldCharType="separate"/>
            </w:r>
            <w:r w:rsidR="008B40D8">
              <w:t>4.3.3</w:t>
            </w:r>
            <w:r w:rsidR="003B7763">
              <w:fldChar w:fldCharType="end"/>
            </w:r>
            <w:r w:rsidR="003B7763">
              <w:t xml:space="preserve"> of this Overview</w:t>
            </w:r>
            <w:r w:rsidRPr="00CE62F8">
              <w:t>.</w:t>
            </w:r>
          </w:p>
          <w:p w:rsidR="00CE62F8" w:rsidRPr="00CE62F8" w:rsidRDefault="00CE62F8" w:rsidP="00CE62F8">
            <w:pPr>
              <w:pStyle w:val="AERbulletlistfirststyle"/>
            </w:pPr>
            <w:r w:rsidRPr="005402BE">
              <w:t xml:space="preserve">Our </w:t>
            </w:r>
            <w:r w:rsidR="00404707">
              <w:t>final</w:t>
            </w:r>
            <w:r w:rsidRPr="00CE62F8">
              <w:t xml:space="preserve"> decision on the customer service incentive rate and performance target are set out in </w:t>
            </w:r>
            <w:r w:rsidR="003B7763">
              <w:t xml:space="preserve">section </w:t>
            </w:r>
            <w:r w:rsidR="003B7763" w:rsidRPr="003B7763">
              <w:fldChar w:fldCharType="begin"/>
            </w:r>
            <w:r w:rsidR="003B7763" w:rsidRPr="003B7763">
              <w:instrText xml:space="preserve"> REF _Ref478558668 \r \h </w:instrText>
            </w:r>
            <w:r w:rsidR="003B7763" w:rsidRPr="003B7763">
              <w:fldChar w:fldCharType="separate"/>
            </w:r>
            <w:r w:rsidR="008B40D8">
              <w:t>4.3.3</w:t>
            </w:r>
            <w:r w:rsidR="003B7763" w:rsidRPr="003B7763">
              <w:fldChar w:fldCharType="end"/>
            </w:r>
            <w:r w:rsidR="003B7763" w:rsidRPr="003B7763">
              <w:t xml:space="preserve"> of this Overview</w:t>
            </w:r>
            <w:r w:rsidRPr="00CE62F8">
              <w:t xml:space="preserve">. </w:t>
            </w:r>
          </w:p>
          <w:p w:rsidR="00CE62F8" w:rsidRPr="00CE62F8" w:rsidRDefault="00CE62F8" w:rsidP="00CE62F8">
            <w:pPr>
              <w:pStyle w:val="AERbulletlistfirststyle"/>
            </w:pPr>
            <w:r w:rsidRPr="005402BE">
              <w:t xml:space="preserve">The revenue at risk for </w:t>
            </w:r>
            <w:r w:rsidRPr="00CE62F8">
              <w:t>TasNetworks will be capped at ±5.0 per cent. Within this there will be a cap of ±0.5 per cent on the telephone answering parameter for performance.</w:t>
            </w:r>
          </w:p>
          <w:p w:rsidR="00CE62F8" w:rsidRPr="00CE62F8" w:rsidRDefault="00CE62F8" w:rsidP="00CE62F8">
            <w:pPr>
              <w:pStyle w:val="AERbulletlistfirststyle"/>
            </w:pPr>
            <w:r w:rsidRPr="005402BE">
              <w:t xml:space="preserve">Note: The meaning for year "t" under the price control formula for this determination is different to that in Appendix C of STPIS. Year "t+1" in Appendix C of STPIS is equivalent to year "t" in the price control formula of this </w:t>
            </w:r>
            <w:r w:rsidR="00404707">
              <w:t>final</w:t>
            </w:r>
            <w:r w:rsidRPr="00CE62F8">
              <w:t xml:space="preserve"> decision.</w:t>
            </w:r>
          </w:p>
          <w:p w:rsidR="00CE62F8" w:rsidRPr="00CE62F8" w:rsidRDefault="00CE62F8" w:rsidP="003B7763">
            <w:pPr>
              <w:pStyle w:val="AERbulletlistfirststyle"/>
            </w:pPr>
            <w:r w:rsidRPr="005402BE">
              <w:t xml:space="preserve">The AER has determined to continue Part A of the Demand Management Innovation Scheme (DMIS) for </w:t>
            </w:r>
            <w:r w:rsidRPr="00CE62F8">
              <w:t xml:space="preserve">TasNetworks in the 2017–19 regulatory control period (that is, the DMIA component). DMIS is discussed in </w:t>
            </w:r>
            <w:r w:rsidR="003B7763">
              <w:t xml:space="preserve">section </w:t>
            </w:r>
            <w:r w:rsidR="003B7763">
              <w:fldChar w:fldCharType="begin"/>
            </w:r>
            <w:r w:rsidR="003B7763">
              <w:instrText xml:space="preserve"> REF _Ref478558723 \r \h </w:instrText>
            </w:r>
            <w:r w:rsidR="003B7763">
              <w:fldChar w:fldCharType="separate"/>
            </w:r>
            <w:r w:rsidR="008B40D8">
              <w:t>4.3.4</w:t>
            </w:r>
            <w:r w:rsidR="003B7763">
              <w:fldChar w:fldCharType="end"/>
            </w:r>
            <w:r w:rsidR="003B7763">
              <w:t xml:space="preserve"> of this Overview</w:t>
            </w:r>
            <w:r w:rsidRPr="00CE62F8">
              <w:t>.</w:t>
            </w:r>
          </w:p>
        </w:tc>
      </w:tr>
      <w:tr w:rsidR="00CE62F8" w:rsidTr="00A44A8B">
        <w:tc>
          <w:tcPr>
            <w:tcW w:w="9242" w:type="dxa"/>
          </w:tcPr>
          <w:p w:rsidR="00CE62F8" w:rsidRPr="00CE62F8" w:rsidRDefault="00CE62F8" w:rsidP="00CE62F8">
            <w:r w:rsidRPr="005402BE">
              <w:lastRenderedPageBreak/>
              <w:t xml:space="preserve">In accordance with clause 6.12.1(10) the AER's </w:t>
            </w:r>
            <w:r w:rsidR="00404707">
              <w:t>final</w:t>
            </w:r>
            <w:r w:rsidRPr="00CE62F8">
              <w:t xml:space="preserve"> decision is that all appropriate amounts, values and inputs are as set out in this determination including attachments.</w:t>
            </w:r>
          </w:p>
        </w:tc>
      </w:tr>
      <w:tr w:rsidR="00CE62F8" w:rsidTr="00A44A8B">
        <w:trPr>
          <w:cnfStyle w:val="000000010000" w:firstRow="0" w:lastRow="0" w:firstColumn="0" w:lastColumn="0" w:oddVBand="0" w:evenVBand="0" w:oddHBand="0" w:evenHBand="1" w:firstRowFirstColumn="0" w:firstRowLastColumn="0" w:lastRowFirstColumn="0" w:lastRowLastColumn="0"/>
        </w:trPr>
        <w:tc>
          <w:tcPr>
            <w:tcW w:w="9242" w:type="dxa"/>
          </w:tcPr>
          <w:p w:rsidR="00CE62F8" w:rsidRPr="00CE62F8" w:rsidRDefault="00CE62F8" w:rsidP="00CE62F8">
            <w:r w:rsidRPr="005402BE">
              <w:t xml:space="preserve">In accordance with clause 6.12.1(11) the AER's </w:t>
            </w:r>
            <w:r w:rsidR="00404707">
              <w:t>final</w:t>
            </w:r>
            <w:r w:rsidRPr="00CE62F8">
              <w:t xml:space="preserve"> decision on the form of control mechanisms (including the X factor) for standard control services is a revenue cap. The revenue cap for TasNetworks for any given regulatory year is the total annual revenue calculated using the formula in attachment 14 plus any adjustment required to move the DUoS under/over account to zero. This is discussed at attachment 14 of the </w:t>
            </w:r>
            <w:r w:rsidR="00404707">
              <w:t>final</w:t>
            </w:r>
            <w:r w:rsidRPr="00CE62F8">
              <w:t xml:space="preserve"> decision.</w:t>
            </w:r>
          </w:p>
        </w:tc>
      </w:tr>
      <w:tr w:rsidR="00CE62F8" w:rsidTr="00A44A8B">
        <w:tc>
          <w:tcPr>
            <w:tcW w:w="9242" w:type="dxa"/>
          </w:tcPr>
          <w:p w:rsidR="00CE62F8" w:rsidRPr="00CE62F8" w:rsidRDefault="00CE62F8" w:rsidP="00CE62F8">
            <w:r w:rsidRPr="005402BE">
              <w:t xml:space="preserve">In accordance with clause 6.12.1(12) the AER's </w:t>
            </w:r>
            <w:r w:rsidR="00404707">
              <w:t>final</w:t>
            </w:r>
            <w:r w:rsidRPr="00CE62F8">
              <w:t xml:space="preserve"> decision on the form of the control mechanism for alternative control services is to apply price caps for all services. This is discussed in attachment 16 of the </w:t>
            </w:r>
            <w:r w:rsidR="00404707">
              <w:t>final</w:t>
            </w:r>
            <w:r w:rsidRPr="00CE62F8">
              <w:t xml:space="preserve"> decision.</w:t>
            </w:r>
          </w:p>
        </w:tc>
      </w:tr>
      <w:tr w:rsidR="00CE62F8" w:rsidTr="00A44A8B">
        <w:trPr>
          <w:cnfStyle w:val="000000010000" w:firstRow="0" w:lastRow="0" w:firstColumn="0" w:lastColumn="0" w:oddVBand="0" w:evenVBand="0" w:oddHBand="0" w:evenHBand="1" w:firstRowFirstColumn="0" w:firstRowLastColumn="0" w:lastRowFirstColumn="0" w:lastRowLastColumn="0"/>
        </w:trPr>
        <w:tc>
          <w:tcPr>
            <w:tcW w:w="9242" w:type="dxa"/>
          </w:tcPr>
          <w:p w:rsidR="00CE62F8" w:rsidRPr="00CE62F8" w:rsidRDefault="00CE62F8" w:rsidP="00CE62F8">
            <w:r w:rsidRPr="005402BE">
              <w:t xml:space="preserve">In accordance with clause 6.12.1(13), to demonstrate compliance with its distribution determination, the AER's </w:t>
            </w:r>
            <w:r w:rsidR="00404707">
              <w:t>final</w:t>
            </w:r>
            <w:r w:rsidRPr="00CE62F8">
              <w:t xml:space="preserve"> decision is TasNetworks must maintain a DUoS unders and overs account. It must provide information on this account to us in its annual pricing proposal. This is discussed in attachment 14 of the </w:t>
            </w:r>
            <w:r w:rsidR="00404707">
              <w:t>final</w:t>
            </w:r>
            <w:r w:rsidRPr="00CE62F8">
              <w:t xml:space="preserve"> decision.</w:t>
            </w:r>
          </w:p>
        </w:tc>
      </w:tr>
      <w:tr w:rsidR="00CE62F8" w:rsidTr="00A44A8B">
        <w:tc>
          <w:tcPr>
            <w:tcW w:w="9242" w:type="dxa"/>
          </w:tcPr>
          <w:p w:rsidR="00CE62F8" w:rsidRPr="00CE62F8" w:rsidRDefault="00CE62F8" w:rsidP="00CE62F8">
            <w:r w:rsidRPr="005402BE">
              <w:lastRenderedPageBreak/>
              <w:t>In accordance with clause 6.12.1(14) the AER</w:t>
            </w:r>
            <w:r w:rsidRPr="00CE62F8">
              <w:t xml:space="preserve"> has approved the following nominated pass through events to apply to TasNetworks for the 2017–19 regulatory control period in accordance with clause 6.6.1(a1)(5):</w:t>
            </w:r>
          </w:p>
          <w:p w:rsidR="00CE62F8" w:rsidRPr="00C2537B" w:rsidRDefault="00CE62F8" w:rsidP="00C2537B">
            <w:pPr>
              <w:pStyle w:val="AERbulletlistfirststyle"/>
            </w:pPr>
            <w:r w:rsidRPr="00C2537B">
              <w:t>terrorism event</w:t>
            </w:r>
          </w:p>
          <w:p w:rsidR="00CE62F8" w:rsidRPr="00C2537B" w:rsidRDefault="00CE62F8" w:rsidP="00C2537B">
            <w:pPr>
              <w:pStyle w:val="AERbulletlistfirststyle"/>
            </w:pPr>
            <w:r w:rsidRPr="00C2537B">
              <w:t>insurance cap event</w:t>
            </w:r>
          </w:p>
          <w:p w:rsidR="00CE62F8" w:rsidRPr="00C2537B" w:rsidRDefault="00CE62F8" w:rsidP="00C2537B">
            <w:pPr>
              <w:pStyle w:val="AERbulletlistfirststyle"/>
            </w:pPr>
            <w:r w:rsidRPr="00C2537B">
              <w:t xml:space="preserve">natural disaster event. </w:t>
            </w:r>
          </w:p>
          <w:p w:rsidR="00CE62F8" w:rsidRPr="00CE62F8" w:rsidRDefault="00CE62F8" w:rsidP="00C2537B">
            <w:r w:rsidRPr="00C170F0">
              <w:t>These events have the definitions</w:t>
            </w:r>
            <w:r w:rsidRPr="00CE62F8">
              <w:t xml:space="preserve"> set out in Attachment 15 of the </w:t>
            </w:r>
            <w:r w:rsidR="00C2537B">
              <w:t>draft</w:t>
            </w:r>
            <w:r w:rsidRPr="00CE62F8">
              <w:t xml:space="preserve"> decision.</w:t>
            </w:r>
          </w:p>
        </w:tc>
      </w:tr>
      <w:tr w:rsidR="00CE62F8" w:rsidTr="00A44A8B">
        <w:trPr>
          <w:cnfStyle w:val="000000010000" w:firstRow="0" w:lastRow="0" w:firstColumn="0" w:lastColumn="0" w:oddVBand="0" w:evenVBand="0" w:oddHBand="0" w:evenHBand="1" w:firstRowFirstColumn="0" w:firstRowLastColumn="0" w:lastRowFirstColumn="0" w:lastRowLastColumn="0"/>
        </w:trPr>
        <w:tc>
          <w:tcPr>
            <w:tcW w:w="9242" w:type="dxa"/>
          </w:tcPr>
          <w:p w:rsidR="00CE62F8" w:rsidRPr="00CE62F8" w:rsidRDefault="00CE62F8" w:rsidP="00D140D7">
            <w:r w:rsidRPr="00F7435C">
              <w:t xml:space="preserve">In accordance with clause 6.12.1(14A) the AER's </w:t>
            </w:r>
            <w:r w:rsidR="00404707">
              <w:t>final</w:t>
            </w:r>
            <w:r w:rsidRPr="00CE62F8">
              <w:t xml:space="preserve"> decision is </w:t>
            </w:r>
            <w:r w:rsidRPr="00D140D7">
              <w:t xml:space="preserve">to approve the tariff structure statement proposed by TasNetworks. </w:t>
            </w:r>
            <w:r w:rsidRPr="00CE62F8">
              <w:t>This is</w:t>
            </w:r>
            <w:r w:rsidR="00D140D7">
              <w:t xml:space="preserve"> </w:t>
            </w:r>
            <w:r w:rsidRPr="00CE62F8">
              <w:t xml:space="preserve">discussed in attachment 19 of the </w:t>
            </w:r>
            <w:r w:rsidR="00404707">
              <w:t>final</w:t>
            </w:r>
            <w:r w:rsidRPr="00CE62F8">
              <w:t xml:space="preserve"> decision.</w:t>
            </w:r>
          </w:p>
        </w:tc>
      </w:tr>
      <w:tr w:rsidR="00CE62F8" w:rsidTr="00A44A8B">
        <w:tc>
          <w:tcPr>
            <w:tcW w:w="9242" w:type="dxa"/>
          </w:tcPr>
          <w:p w:rsidR="00CE62F8" w:rsidRPr="00CE62F8" w:rsidRDefault="00CE62F8" w:rsidP="00C2537B">
            <w:r w:rsidRPr="005402BE">
              <w:t xml:space="preserve">In accordance with clause 6.12.1(15) the AER's </w:t>
            </w:r>
            <w:r w:rsidR="00404707">
              <w:t>final</w:t>
            </w:r>
            <w:r w:rsidRPr="00CE62F8">
              <w:t xml:space="preserve"> </w:t>
            </w:r>
            <w:r w:rsidRPr="00C2537B">
              <w:t>decision is to approve TasNetworks' proposed negotiating framework. The negotiating framework that</w:t>
            </w:r>
            <w:r w:rsidRPr="00CE62F8">
              <w:t xml:space="preserve"> is to apply to TasNetworks is set out in attachment 17 of the </w:t>
            </w:r>
            <w:r w:rsidR="00404707">
              <w:t>final</w:t>
            </w:r>
            <w:r w:rsidRPr="00CE62F8">
              <w:t xml:space="preserve"> decision.</w:t>
            </w:r>
          </w:p>
        </w:tc>
      </w:tr>
      <w:tr w:rsidR="00CE62F8" w:rsidTr="00A44A8B">
        <w:trPr>
          <w:cnfStyle w:val="000000010000" w:firstRow="0" w:lastRow="0" w:firstColumn="0" w:lastColumn="0" w:oddVBand="0" w:evenVBand="0" w:oddHBand="0" w:evenHBand="1" w:firstRowFirstColumn="0" w:firstRowLastColumn="0" w:lastRowFirstColumn="0" w:lastRowLastColumn="0"/>
        </w:trPr>
        <w:tc>
          <w:tcPr>
            <w:tcW w:w="9242" w:type="dxa"/>
          </w:tcPr>
          <w:p w:rsidR="00CE62F8" w:rsidRPr="00CE62F8" w:rsidRDefault="00CE62F8" w:rsidP="00C2537B">
            <w:r w:rsidRPr="005402BE">
              <w:t xml:space="preserve">In accordance with clause 6.12.1(16) the AER's </w:t>
            </w:r>
            <w:r w:rsidR="00404707">
              <w:t>final</w:t>
            </w:r>
            <w:r w:rsidRPr="00CE62F8">
              <w:t xml:space="preserve"> </w:t>
            </w:r>
            <w:r w:rsidRPr="00C2537B">
              <w:t>decision is to apply the negotiated distribution services criteria published in February 2016 to TasNetworks.</w:t>
            </w:r>
            <w:r w:rsidRPr="00CE62F8">
              <w:t xml:space="preserve"> This is set out in attachment 17 of the </w:t>
            </w:r>
            <w:r w:rsidR="00404707">
              <w:t>final</w:t>
            </w:r>
            <w:r w:rsidRPr="00CE62F8">
              <w:t xml:space="preserve"> decision.</w:t>
            </w:r>
          </w:p>
        </w:tc>
      </w:tr>
      <w:tr w:rsidR="00CE62F8" w:rsidTr="00A44A8B">
        <w:tc>
          <w:tcPr>
            <w:tcW w:w="9242" w:type="dxa"/>
          </w:tcPr>
          <w:p w:rsidR="00CE62F8" w:rsidRPr="00CE62F8" w:rsidRDefault="00CE62F8" w:rsidP="00C2537B">
            <w:r w:rsidRPr="005402BE">
              <w:t xml:space="preserve">In accordance with </w:t>
            </w:r>
            <w:r w:rsidRPr="00C2537B">
              <w:t xml:space="preserve">clause 6.12.1(17) the AER's </w:t>
            </w:r>
            <w:r w:rsidR="00404707" w:rsidRPr="00C2537B">
              <w:t>final</w:t>
            </w:r>
            <w:r w:rsidRPr="00C2537B">
              <w:t xml:space="preserve"> decision on the procedures for assigning retail customers to tariff classes for TasNetworks is set out in</w:t>
            </w:r>
            <w:r w:rsidRPr="00CE62F8">
              <w:t xml:space="preserve"> attachment 14 of the </w:t>
            </w:r>
            <w:r w:rsidR="00404707">
              <w:t>final</w:t>
            </w:r>
            <w:r w:rsidRPr="00CE62F8">
              <w:t xml:space="preserve"> decision.</w:t>
            </w:r>
          </w:p>
        </w:tc>
      </w:tr>
      <w:tr w:rsidR="00CE62F8" w:rsidTr="00A44A8B">
        <w:trPr>
          <w:cnfStyle w:val="000000010000" w:firstRow="0" w:lastRow="0" w:firstColumn="0" w:lastColumn="0" w:oddVBand="0" w:evenVBand="0" w:oddHBand="0" w:evenHBand="1" w:firstRowFirstColumn="0" w:firstRowLastColumn="0" w:lastRowFirstColumn="0" w:lastRowLastColumn="0"/>
        </w:trPr>
        <w:tc>
          <w:tcPr>
            <w:tcW w:w="9242" w:type="dxa"/>
          </w:tcPr>
          <w:p w:rsidR="00CE62F8" w:rsidRPr="00CE62F8" w:rsidRDefault="00CE62F8" w:rsidP="00C2537B">
            <w:r w:rsidRPr="005402BE">
              <w:t xml:space="preserve">In accordance with clause 6.12.1(18) the AER's </w:t>
            </w:r>
            <w:r w:rsidR="00404707">
              <w:t>final</w:t>
            </w:r>
            <w:r w:rsidRPr="00CE62F8">
              <w:t xml:space="preserve"> </w:t>
            </w:r>
            <w:r w:rsidRPr="00C2537B">
              <w:t>decision is that the depreciation approach based on forecast capex (forecast depreciation) is to be used to est</w:t>
            </w:r>
            <w:r w:rsidRPr="00CE62F8">
              <w:t xml:space="preserve">ablish the RAB at the commencement of TasNetworks' regulatory control period as at 1 July 2019. This is discussed in </w:t>
            </w:r>
            <w:r w:rsidR="00C2537B">
              <w:t xml:space="preserve">section </w:t>
            </w:r>
            <w:r w:rsidR="00C2537B">
              <w:fldChar w:fldCharType="begin"/>
            </w:r>
            <w:r w:rsidR="00C2537B">
              <w:instrText xml:space="preserve"> REF _Ref451519510 \r \h </w:instrText>
            </w:r>
            <w:r w:rsidR="00C2537B">
              <w:fldChar w:fldCharType="separate"/>
            </w:r>
            <w:r w:rsidR="008B40D8">
              <w:t>3.1</w:t>
            </w:r>
            <w:r w:rsidR="00C2537B">
              <w:fldChar w:fldCharType="end"/>
            </w:r>
            <w:r w:rsidR="00C2537B">
              <w:t xml:space="preserve"> of this Overview</w:t>
            </w:r>
            <w:r w:rsidRPr="00CE62F8">
              <w:t>.</w:t>
            </w:r>
          </w:p>
        </w:tc>
      </w:tr>
      <w:tr w:rsidR="00CE62F8" w:rsidTr="00A44A8B">
        <w:tc>
          <w:tcPr>
            <w:tcW w:w="9242" w:type="dxa"/>
          </w:tcPr>
          <w:p w:rsidR="00CE62F8" w:rsidRPr="00CE62F8" w:rsidRDefault="00CE62F8" w:rsidP="00C2537B">
            <w:r w:rsidRPr="005402BE">
              <w:t xml:space="preserve">In accordance with clause 6.12.1(19) the AER's </w:t>
            </w:r>
            <w:r w:rsidR="00404707">
              <w:t>final</w:t>
            </w:r>
            <w:r w:rsidRPr="00CE62F8">
              <w:t xml:space="preserve"> </w:t>
            </w:r>
            <w:r w:rsidRPr="00C2537B">
              <w:t>decision on how TasNetworks is to report to the AER on its recovery of designated pricing proposal charges is</w:t>
            </w:r>
            <w:r w:rsidRPr="00CE62F8">
              <w:t xml:space="preserve"> to set this out in its annual pricing proposal. The method to account for the under and over recovery of designated pricing proposal charges is discussed in attachment 14 of the </w:t>
            </w:r>
            <w:r w:rsidR="00404707">
              <w:t>final</w:t>
            </w:r>
            <w:r w:rsidRPr="00CE62F8">
              <w:t xml:space="preserve"> decision.</w:t>
            </w:r>
          </w:p>
        </w:tc>
      </w:tr>
      <w:tr w:rsidR="00CE62F8" w:rsidTr="00A44A8B">
        <w:trPr>
          <w:cnfStyle w:val="000000010000" w:firstRow="0" w:lastRow="0" w:firstColumn="0" w:lastColumn="0" w:oddVBand="0" w:evenVBand="0" w:oddHBand="0" w:evenHBand="1" w:firstRowFirstColumn="0" w:firstRowLastColumn="0" w:lastRowFirstColumn="0" w:lastRowLastColumn="0"/>
        </w:trPr>
        <w:tc>
          <w:tcPr>
            <w:tcW w:w="9242" w:type="dxa"/>
          </w:tcPr>
          <w:p w:rsidR="00CE62F8" w:rsidRPr="00CE62F8" w:rsidRDefault="00CE62F8" w:rsidP="00C2537B">
            <w:r w:rsidRPr="005402BE">
              <w:t xml:space="preserve">In accordance with clause 6.12.1(20) the AER's </w:t>
            </w:r>
            <w:r w:rsidR="00404707">
              <w:t>final</w:t>
            </w:r>
            <w:r w:rsidRPr="00CE62F8">
              <w:t xml:space="preserve"> decision is to </w:t>
            </w:r>
            <w:r w:rsidRPr="00C2537B">
              <w:t>require TasNetworks to maintain a jurisdictional scheme unders and overs account. It must provide infor</w:t>
            </w:r>
            <w:r w:rsidRPr="00CE62F8">
              <w:t xml:space="preserve">mation on this account to us in its annual pricing proposal as set out in attachment 14 of the </w:t>
            </w:r>
            <w:r w:rsidR="00404707">
              <w:t>final</w:t>
            </w:r>
            <w:r w:rsidRPr="00CE62F8">
              <w:t xml:space="preserve"> decision.</w:t>
            </w:r>
          </w:p>
        </w:tc>
      </w:tr>
      <w:tr w:rsidR="00CE62F8" w:rsidTr="00A44A8B">
        <w:tc>
          <w:tcPr>
            <w:tcW w:w="9242" w:type="dxa"/>
          </w:tcPr>
          <w:p w:rsidR="00CE62F8" w:rsidRPr="00CE62F8" w:rsidRDefault="00CE62F8" w:rsidP="00073075">
            <w:r>
              <w:t xml:space="preserve">In accordance with clause 6.12.1(21) </w:t>
            </w:r>
            <w:r w:rsidRPr="00CE62F8">
              <w:t xml:space="preserve">the AER's </w:t>
            </w:r>
            <w:r w:rsidR="00404707">
              <w:t>final</w:t>
            </w:r>
            <w:r w:rsidRPr="00CE62F8">
              <w:t xml:space="preserve"> </w:t>
            </w:r>
            <w:r w:rsidRPr="00C2537B">
              <w:t xml:space="preserve">decision is to </w:t>
            </w:r>
            <w:r w:rsidR="00073075">
              <w:t>apply</w:t>
            </w:r>
            <w:r w:rsidR="00073075" w:rsidRPr="00C2537B">
              <w:t xml:space="preserve"> </w:t>
            </w:r>
            <w:r w:rsidRPr="00C2537B">
              <w:t xml:space="preserve">the connection policy </w:t>
            </w:r>
            <w:r w:rsidR="00073075">
              <w:t>as modified by us and published in the draft decision</w:t>
            </w:r>
            <w:r w:rsidRPr="00C2537B">
              <w:t xml:space="preserve">. </w:t>
            </w:r>
            <w:r w:rsidR="00C2537B" w:rsidRPr="00C2537B">
              <w:t>TasNetworks</w:t>
            </w:r>
            <w:r w:rsidR="00073075">
              <w:t>'</w:t>
            </w:r>
            <w:r w:rsidR="00C2537B" w:rsidRPr="00C2537B">
              <w:t xml:space="preserve"> revised proposal acc</w:t>
            </w:r>
            <w:r w:rsidR="00C2537B">
              <w:t xml:space="preserve">epted our draft decision on the connection policy. </w:t>
            </w:r>
            <w:r w:rsidR="00CF07AB">
              <w:t xml:space="preserve">The reasons for our </w:t>
            </w:r>
            <w:r w:rsidR="00C2537B">
              <w:t xml:space="preserve">decision on TasNetworks' connection policy </w:t>
            </w:r>
            <w:r w:rsidR="00CF07AB">
              <w:t>are</w:t>
            </w:r>
            <w:r w:rsidR="00CF07AB" w:rsidRPr="00CE62F8">
              <w:t xml:space="preserve"> </w:t>
            </w:r>
            <w:r w:rsidRPr="00CE62F8">
              <w:t xml:space="preserve">set out in attachment 18 of </w:t>
            </w:r>
            <w:r w:rsidR="00CF07AB">
              <w:t>our draft</w:t>
            </w:r>
            <w:r w:rsidRPr="00CE62F8">
              <w:t xml:space="preserve"> decision. </w:t>
            </w:r>
          </w:p>
        </w:tc>
      </w:tr>
    </w:tbl>
    <w:p w:rsidR="00404707" w:rsidRDefault="00404707" w:rsidP="00404707">
      <w:pPr>
        <w:pStyle w:val="Heading7"/>
      </w:pPr>
      <w:bookmarkStart w:id="193" w:name="_Ref478472434"/>
      <w:bookmarkStart w:id="194" w:name="_Toc481051895"/>
      <w:r>
        <w:lastRenderedPageBreak/>
        <w:t>List of submissions</w:t>
      </w:r>
      <w:bookmarkEnd w:id="193"/>
      <w:bookmarkEnd w:id="194"/>
    </w:p>
    <w:p w:rsidR="00404707" w:rsidRDefault="00404707" w:rsidP="00404707">
      <w:r>
        <w:t xml:space="preserve">We received </w:t>
      </w:r>
      <w:r w:rsidR="005E73CE">
        <w:t>13</w:t>
      </w:r>
      <w:r>
        <w:t xml:space="preserve"> submissions in response to our draft decision and TasNetworks' revised regulatory proposal. These are listed below. </w:t>
      </w:r>
    </w:p>
    <w:tbl>
      <w:tblPr>
        <w:tblStyle w:val="AERTable-Text"/>
        <w:tblW w:w="0" w:type="auto"/>
        <w:tblLook w:val="04A0" w:firstRow="1" w:lastRow="0" w:firstColumn="1" w:lastColumn="0" w:noHBand="0" w:noVBand="1"/>
      </w:tblPr>
      <w:tblGrid>
        <w:gridCol w:w="5353"/>
        <w:gridCol w:w="3340"/>
      </w:tblGrid>
      <w:tr w:rsidR="00404707" w:rsidRPr="00B93074" w:rsidTr="00967C7F">
        <w:trPr>
          <w:cnfStyle w:val="100000000000" w:firstRow="1" w:lastRow="0" w:firstColumn="0" w:lastColumn="0" w:oddVBand="0" w:evenVBand="0" w:oddHBand="0" w:evenHBand="0" w:firstRowFirstColumn="0" w:firstRowLastColumn="0" w:lastRowFirstColumn="0" w:lastRowLastColumn="0"/>
        </w:trPr>
        <w:tc>
          <w:tcPr>
            <w:tcW w:w="5353" w:type="dxa"/>
          </w:tcPr>
          <w:p w:rsidR="00404707" w:rsidRPr="00404707" w:rsidRDefault="00404707" w:rsidP="00404707">
            <w:r w:rsidRPr="00B93074">
              <w:t>Submission from</w:t>
            </w:r>
          </w:p>
        </w:tc>
        <w:tc>
          <w:tcPr>
            <w:tcW w:w="3340" w:type="dxa"/>
          </w:tcPr>
          <w:p w:rsidR="00404707" w:rsidRPr="00404707" w:rsidRDefault="00404707" w:rsidP="00404707">
            <w:r w:rsidRPr="00B93074">
              <w:t>Date received</w:t>
            </w:r>
          </w:p>
        </w:tc>
      </w:tr>
      <w:tr w:rsidR="005E73CE" w:rsidRPr="003E1795" w:rsidTr="00967C7F">
        <w:tc>
          <w:tcPr>
            <w:tcW w:w="5353" w:type="dxa"/>
          </w:tcPr>
          <w:p w:rsidR="005E73CE" w:rsidRPr="005E73CE" w:rsidRDefault="005E73CE" w:rsidP="005E73CE">
            <w:r>
              <w:t>CCP (Jo De Silva)</w:t>
            </w:r>
          </w:p>
        </w:tc>
        <w:tc>
          <w:tcPr>
            <w:tcW w:w="3340" w:type="dxa"/>
          </w:tcPr>
          <w:p w:rsidR="005E73CE" w:rsidRPr="005E73CE" w:rsidRDefault="005E73CE" w:rsidP="005E73CE">
            <w:r>
              <w:t xml:space="preserve">29 </w:t>
            </w:r>
            <w:r w:rsidRPr="005E73CE">
              <w:t>November 2016</w:t>
            </w:r>
          </w:p>
        </w:tc>
      </w:tr>
      <w:tr w:rsidR="005E73CE" w:rsidRPr="003E1795" w:rsidTr="00967C7F">
        <w:trPr>
          <w:cnfStyle w:val="000000010000" w:firstRow="0" w:lastRow="0" w:firstColumn="0" w:lastColumn="0" w:oddVBand="0" w:evenVBand="0" w:oddHBand="0" w:evenHBand="1" w:firstRowFirstColumn="0" w:firstRowLastColumn="0" w:lastRowFirstColumn="0" w:lastRowLastColumn="0"/>
        </w:trPr>
        <w:tc>
          <w:tcPr>
            <w:tcW w:w="5353" w:type="dxa"/>
          </w:tcPr>
          <w:p w:rsidR="005E73CE" w:rsidRPr="005E73CE" w:rsidRDefault="005E73CE" w:rsidP="005E73CE">
            <w:r>
              <w:t>CCP (David Headberry)</w:t>
            </w:r>
          </w:p>
        </w:tc>
        <w:tc>
          <w:tcPr>
            <w:tcW w:w="3340" w:type="dxa"/>
          </w:tcPr>
          <w:p w:rsidR="005E73CE" w:rsidRPr="005E73CE" w:rsidRDefault="005E73CE" w:rsidP="005E73CE">
            <w:r>
              <w:t>3</w:t>
            </w:r>
            <w:r w:rsidRPr="005E73CE">
              <w:t>0 November 2016</w:t>
            </w:r>
          </w:p>
        </w:tc>
      </w:tr>
      <w:tr w:rsidR="005E73CE" w:rsidRPr="003E1795" w:rsidTr="00967C7F">
        <w:tc>
          <w:tcPr>
            <w:tcW w:w="5353" w:type="dxa"/>
          </w:tcPr>
          <w:p w:rsidR="005E73CE" w:rsidRPr="005E73CE" w:rsidRDefault="005E73CE" w:rsidP="005E73CE">
            <w:r>
              <w:t>Nekon Pty Ltd</w:t>
            </w:r>
          </w:p>
        </w:tc>
        <w:tc>
          <w:tcPr>
            <w:tcW w:w="3340" w:type="dxa"/>
          </w:tcPr>
          <w:p w:rsidR="005E73CE" w:rsidRPr="005E73CE" w:rsidRDefault="005E73CE" w:rsidP="005E73CE">
            <w:r>
              <w:t>3</w:t>
            </w:r>
            <w:r w:rsidRPr="005E73CE">
              <w:t>0 November 2016</w:t>
            </w:r>
          </w:p>
        </w:tc>
      </w:tr>
      <w:tr w:rsidR="005E73CE" w:rsidRPr="003E1795" w:rsidTr="00967C7F">
        <w:trPr>
          <w:cnfStyle w:val="000000010000" w:firstRow="0" w:lastRow="0" w:firstColumn="0" w:lastColumn="0" w:oddVBand="0" w:evenVBand="0" w:oddHBand="0" w:evenHBand="1" w:firstRowFirstColumn="0" w:firstRowLastColumn="0" w:lastRowFirstColumn="0" w:lastRowLastColumn="0"/>
        </w:trPr>
        <w:tc>
          <w:tcPr>
            <w:tcW w:w="5353" w:type="dxa"/>
          </w:tcPr>
          <w:p w:rsidR="005E73CE" w:rsidRPr="005E73CE" w:rsidRDefault="005E73CE" w:rsidP="005E73CE">
            <w:r>
              <w:t>Alternative Technology Association</w:t>
            </w:r>
          </w:p>
        </w:tc>
        <w:tc>
          <w:tcPr>
            <w:tcW w:w="3340" w:type="dxa"/>
          </w:tcPr>
          <w:p w:rsidR="005E73CE" w:rsidRPr="005E73CE" w:rsidRDefault="005E73CE" w:rsidP="005E73CE">
            <w:r>
              <w:t xml:space="preserve">1 </w:t>
            </w:r>
            <w:r w:rsidRPr="005E73CE">
              <w:t>December 2016</w:t>
            </w:r>
          </w:p>
        </w:tc>
      </w:tr>
      <w:tr w:rsidR="005E73CE" w:rsidRPr="006F3D43" w:rsidTr="00967C7F">
        <w:tc>
          <w:tcPr>
            <w:tcW w:w="5353" w:type="dxa"/>
          </w:tcPr>
          <w:p w:rsidR="005E73CE" w:rsidRPr="005E73CE" w:rsidRDefault="005E73CE" w:rsidP="005E73CE">
            <w:r>
              <w:t>Tasmanian Renewable Energy Alliance</w:t>
            </w:r>
          </w:p>
        </w:tc>
        <w:tc>
          <w:tcPr>
            <w:tcW w:w="3340" w:type="dxa"/>
          </w:tcPr>
          <w:p w:rsidR="005E73CE" w:rsidRPr="005E73CE" w:rsidRDefault="005E73CE" w:rsidP="005E73CE">
            <w:r>
              <w:t>1 December 2016</w:t>
            </w:r>
          </w:p>
        </w:tc>
      </w:tr>
      <w:tr w:rsidR="005E73CE" w:rsidRPr="006F3D43" w:rsidTr="00967C7F">
        <w:trPr>
          <w:cnfStyle w:val="000000010000" w:firstRow="0" w:lastRow="0" w:firstColumn="0" w:lastColumn="0" w:oddVBand="0" w:evenVBand="0" w:oddHBand="0" w:evenHBand="1" w:firstRowFirstColumn="0" w:firstRowLastColumn="0" w:lastRowFirstColumn="0" w:lastRowLastColumn="0"/>
        </w:trPr>
        <w:tc>
          <w:tcPr>
            <w:tcW w:w="5353" w:type="dxa"/>
          </w:tcPr>
          <w:p w:rsidR="005E73CE" w:rsidRPr="005E73CE" w:rsidRDefault="005E73CE" w:rsidP="005E73CE">
            <w:r>
              <w:t>Tasmanian Small Business Council</w:t>
            </w:r>
          </w:p>
        </w:tc>
        <w:tc>
          <w:tcPr>
            <w:tcW w:w="3340" w:type="dxa"/>
          </w:tcPr>
          <w:p w:rsidR="005E73CE" w:rsidRPr="005E73CE" w:rsidRDefault="005E73CE" w:rsidP="005E73CE">
            <w:r>
              <w:t>1</w:t>
            </w:r>
            <w:r w:rsidRPr="005E73CE">
              <w:t xml:space="preserve"> December 2016</w:t>
            </w:r>
          </w:p>
        </w:tc>
      </w:tr>
      <w:tr w:rsidR="005E73CE" w:rsidRPr="006F3D43" w:rsidTr="00967C7F">
        <w:tc>
          <w:tcPr>
            <w:tcW w:w="5353" w:type="dxa"/>
          </w:tcPr>
          <w:p w:rsidR="005E73CE" w:rsidRPr="005E73CE" w:rsidRDefault="005E73CE" w:rsidP="005E73CE">
            <w:r>
              <w:t xml:space="preserve">Nekon Pty Limited </w:t>
            </w:r>
          </w:p>
        </w:tc>
        <w:tc>
          <w:tcPr>
            <w:tcW w:w="3340" w:type="dxa"/>
          </w:tcPr>
          <w:p w:rsidR="005E73CE" w:rsidRPr="005E73CE" w:rsidRDefault="005E73CE" w:rsidP="005E73CE">
            <w:r>
              <w:t>1</w:t>
            </w:r>
            <w:r w:rsidRPr="005E73CE">
              <w:t>3 December 2016</w:t>
            </w:r>
          </w:p>
        </w:tc>
      </w:tr>
      <w:tr w:rsidR="005E73CE" w:rsidRPr="006F3D43" w:rsidTr="00967C7F">
        <w:trPr>
          <w:cnfStyle w:val="000000010000" w:firstRow="0" w:lastRow="0" w:firstColumn="0" w:lastColumn="0" w:oddVBand="0" w:evenVBand="0" w:oddHBand="0" w:evenHBand="1" w:firstRowFirstColumn="0" w:firstRowLastColumn="0" w:lastRowFirstColumn="0" w:lastRowLastColumn="0"/>
        </w:trPr>
        <w:tc>
          <w:tcPr>
            <w:tcW w:w="5353" w:type="dxa"/>
          </w:tcPr>
          <w:p w:rsidR="005E73CE" w:rsidRPr="005E73CE" w:rsidRDefault="005E73CE" w:rsidP="005E73CE">
            <w:r>
              <w:t>CCP (David Headberry)</w:t>
            </w:r>
          </w:p>
        </w:tc>
        <w:tc>
          <w:tcPr>
            <w:tcW w:w="3340" w:type="dxa"/>
          </w:tcPr>
          <w:p w:rsidR="005E73CE" w:rsidRPr="005E73CE" w:rsidRDefault="005E73CE" w:rsidP="005E73CE">
            <w:r>
              <w:t>21 December 2016</w:t>
            </w:r>
          </w:p>
        </w:tc>
      </w:tr>
      <w:tr w:rsidR="005E73CE" w:rsidRPr="006F3D43" w:rsidTr="00967C7F">
        <w:tc>
          <w:tcPr>
            <w:tcW w:w="5353" w:type="dxa"/>
          </w:tcPr>
          <w:p w:rsidR="005E73CE" w:rsidRPr="005E73CE" w:rsidRDefault="005E73CE" w:rsidP="005E73CE">
            <w:r>
              <w:t>CCP (Jo De Silva)</w:t>
            </w:r>
          </w:p>
        </w:tc>
        <w:tc>
          <w:tcPr>
            <w:tcW w:w="3340" w:type="dxa"/>
          </w:tcPr>
          <w:p w:rsidR="005E73CE" w:rsidRPr="005E73CE" w:rsidRDefault="005E73CE" w:rsidP="005E73CE">
            <w:r>
              <w:t>2</w:t>
            </w:r>
            <w:r w:rsidRPr="005E73CE">
              <w:t>2 December 2016</w:t>
            </w:r>
          </w:p>
        </w:tc>
      </w:tr>
      <w:tr w:rsidR="005E73CE" w:rsidRPr="006F3D43" w:rsidTr="00967C7F">
        <w:trPr>
          <w:cnfStyle w:val="000000010000" w:firstRow="0" w:lastRow="0" w:firstColumn="0" w:lastColumn="0" w:oddVBand="0" w:evenVBand="0" w:oddHBand="0" w:evenHBand="1" w:firstRowFirstColumn="0" w:firstRowLastColumn="0" w:lastRowFirstColumn="0" w:lastRowLastColumn="0"/>
        </w:trPr>
        <w:tc>
          <w:tcPr>
            <w:tcW w:w="5353" w:type="dxa"/>
          </w:tcPr>
          <w:p w:rsidR="005E73CE" w:rsidRPr="005E73CE" w:rsidRDefault="005E73CE" w:rsidP="005E73CE">
            <w:r>
              <w:t xml:space="preserve">Maisch, D. </w:t>
            </w:r>
          </w:p>
        </w:tc>
        <w:tc>
          <w:tcPr>
            <w:tcW w:w="3340" w:type="dxa"/>
          </w:tcPr>
          <w:p w:rsidR="005E73CE" w:rsidRPr="005E73CE" w:rsidRDefault="005E73CE" w:rsidP="005E73CE">
            <w:r>
              <w:t>2</w:t>
            </w:r>
            <w:r w:rsidRPr="005E73CE">
              <w:t>2 December 2016</w:t>
            </w:r>
          </w:p>
        </w:tc>
      </w:tr>
      <w:tr w:rsidR="005E73CE" w:rsidRPr="006F3D43" w:rsidTr="00967C7F">
        <w:tc>
          <w:tcPr>
            <w:tcW w:w="5353" w:type="dxa"/>
          </w:tcPr>
          <w:p w:rsidR="005E73CE" w:rsidRPr="005E73CE" w:rsidRDefault="005E73CE" w:rsidP="005E73CE">
            <w:r>
              <w:t>Tasmanian Farmers and Graziers Association</w:t>
            </w:r>
          </w:p>
        </w:tc>
        <w:tc>
          <w:tcPr>
            <w:tcW w:w="3340" w:type="dxa"/>
          </w:tcPr>
          <w:p w:rsidR="005E73CE" w:rsidRPr="005E73CE" w:rsidRDefault="005E73CE" w:rsidP="005E73CE">
            <w:r>
              <w:t>22 December 2016</w:t>
            </w:r>
          </w:p>
        </w:tc>
      </w:tr>
      <w:tr w:rsidR="005E73CE" w:rsidRPr="006F3D43" w:rsidTr="00967C7F">
        <w:trPr>
          <w:cnfStyle w:val="000000010000" w:firstRow="0" w:lastRow="0" w:firstColumn="0" w:lastColumn="0" w:oddVBand="0" w:evenVBand="0" w:oddHBand="0" w:evenHBand="1" w:firstRowFirstColumn="0" w:firstRowLastColumn="0" w:lastRowFirstColumn="0" w:lastRowLastColumn="0"/>
        </w:trPr>
        <w:tc>
          <w:tcPr>
            <w:tcW w:w="5353" w:type="dxa"/>
          </w:tcPr>
          <w:p w:rsidR="005E73CE" w:rsidRPr="005E73CE" w:rsidRDefault="005E73CE" w:rsidP="005E73CE">
            <w:r>
              <w:t xml:space="preserve">Herbst, J. </w:t>
            </w:r>
          </w:p>
        </w:tc>
        <w:tc>
          <w:tcPr>
            <w:tcW w:w="3340" w:type="dxa"/>
          </w:tcPr>
          <w:p w:rsidR="005E73CE" w:rsidRPr="005E73CE" w:rsidRDefault="005E73CE" w:rsidP="005E73CE">
            <w:r>
              <w:t xml:space="preserve">23 </w:t>
            </w:r>
            <w:r w:rsidRPr="005E73CE">
              <w:t>December 2016</w:t>
            </w:r>
          </w:p>
        </w:tc>
      </w:tr>
      <w:tr w:rsidR="005E73CE" w:rsidRPr="006F3D43" w:rsidTr="00967C7F">
        <w:tc>
          <w:tcPr>
            <w:tcW w:w="5353" w:type="dxa"/>
          </w:tcPr>
          <w:p w:rsidR="005E73CE" w:rsidRPr="005E73CE" w:rsidRDefault="005E73CE" w:rsidP="005E73CE">
            <w:r>
              <w:t>Powe, M.</w:t>
            </w:r>
          </w:p>
        </w:tc>
        <w:tc>
          <w:tcPr>
            <w:tcW w:w="3340" w:type="dxa"/>
          </w:tcPr>
          <w:p w:rsidR="005E73CE" w:rsidRPr="005E73CE" w:rsidRDefault="005E73CE" w:rsidP="005E73CE">
            <w:r>
              <w:t>2</w:t>
            </w:r>
            <w:r w:rsidRPr="005E73CE">
              <w:t>4 December 2016</w:t>
            </w:r>
          </w:p>
        </w:tc>
      </w:tr>
    </w:tbl>
    <w:p w:rsidR="00404707" w:rsidRPr="00BB14A0" w:rsidRDefault="00404707" w:rsidP="00404707"/>
    <w:p w:rsidR="00404707" w:rsidRPr="00404707" w:rsidRDefault="00404707" w:rsidP="00404707"/>
    <w:sectPr w:rsidR="00404707" w:rsidRPr="00404707" w:rsidSect="00B35352">
      <w:headerReference w:type="default" r:id="rId28"/>
      <w:footerReference w:type="even" r:id="rId29"/>
      <w:footerReference w:type="default" r:id="rId30"/>
      <w:footerReference w:type="first" r:id="rId31"/>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0D8" w:rsidRPr="00290C63" w:rsidRDefault="008B40D8" w:rsidP="00290C63">
      <w:r>
        <w:separator/>
      </w:r>
    </w:p>
    <w:p w:rsidR="008B40D8" w:rsidRDefault="008B40D8"/>
  </w:endnote>
  <w:endnote w:type="continuationSeparator" w:id="0">
    <w:p w:rsidR="008B40D8" w:rsidRPr="00290C63" w:rsidRDefault="008B40D8" w:rsidP="00290C63">
      <w:r>
        <w:continuationSeparator/>
      </w:r>
    </w:p>
    <w:p w:rsidR="008B40D8" w:rsidRDefault="008B4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0D8" w:rsidRPr="00290C63" w:rsidRDefault="008B40D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Pr>
        <w:rStyle w:val="PageNumber"/>
        <w:noProof/>
      </w:rPr>
      <w:t>56</w:t>
    </w:r>
    <w:r w:rsidRPr="00290C63">
      <w:rPr>
        <w:rStyle w:val="PageNumber"/>
      </w:rPr>
      <w:fldChar w:fldCharType="end"/>
    </w:r>
    <w:r w:rsidRPr="00290C63">
      <w:rPr>
        <w:rStyle w:val="PageNumber"/>
      </w:rPr>
      <w:tab/>
      <w:t>Xxx report—month/year</w:t>
    </w:r>
  </w:p>
  <w:p w:rsidR="008B40D8" w:rsidRDefault="008B40D8"/>
  <w:p w:rsidR="008B40D8" w:rsidRDefault="008B40D8"/>
  <w:p w:rsidR="008B40D8" w:rsidRDefault="008B40D8"/>
  <w:p w:rsidR="008B40D8" w:rsidRDefault="008B40D8"/>
  <w:p w:rsidR="008B40D8" w:rsidRDefault="008B40D8"/>
  <w:p w:rsidR="008B40D8" w:rsidRDefault="008B40D8"/>
  <w:p w:rsidR="008B40D8" w:rsidRDefault="008B40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8B40D8" w:rsidRPr="009B6F84" w:rsidRDefault="008B40D8">
        <w:pPr>
          <w:pStyle w:val="Footer"/>
          <w:rPr>
            <w:sz w:val="20"/>
          </w:rPr>
        </w:pPr>
        <w:r>
          <w:fldChar w:fldCharType="begin"/>
        </w:r>
        <w:r>
          <w:instrText xml:space="preserve"> PAGE   \* MERGEFORMAT </w:instrText>
        </w:r>
        <w:r>
          <w:fldChar w:fldCharType="separate"/>
        </w:r>
        <w:r w:rsidR="00D96B78">
          <w:rPr>
            <w:noProof/>
          </w:rPr>
          <w:t>2</w:t>
        </w:r>
        <w:r>
          <w:rPr>
            <w:noProof/>
          </w:rPr>
          <w:fldChar w:fldCharType="end"/>
        </w:r>
        <w:r>
          <w:rPr>
            <w:noProof/>
          </w:rPr>
          <w:t xml:space="preserve">  </w:t>
        </w:r>
        <w:r>
          <w:t>Overview</w:t>
        </w:r>
        <w:r w:rsidRPr="004523B2">
          <w:t xml:space="preserve"> | </w:t>
        </w:r>
        <w:r>
          <w:t>TasNetworks distribution final determination</w:t>
        </w:r>
        <w:r w:rsidRPr="004523B2">
          <w:t xml:space="preserve"> 201</w:t>
        </w:r>
        <w:r>
          <w:t>7</w:t>
        </w:r>
        <w:r w:rsidRPr="004523B2">
          <w:t>–</w:t>
        </w:r>
        <w:r>
          <w:t>19</w:t>
        </w:r>
      </w:p>
    </w:sdtContent>
  </w:sdt>
  <w:p w:rsidR="008B40D8" w:rsidRDefault="008B40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0D8" w:rsidRPr="00290C63" w:rsidRDefault="008B40D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Pr>
        <w:noProof/>
      </w:rPr>
      <w:t>56</w:t>
    </w:r>
    <w:r w:rsidRPr="00290C63">
      <w:fldChar w:fldCharType="end"/>
    </w:r>
  </w:p>
  <w:p w:rsidR="008B40D8" w:rsidRDefault="008B40D8">
    <w:pPr>
      <w:pStyle w:val="Footer"/>
    </w:pPr>
  </w:p>
  <w:p w:rsidR="008B40D8" w:rsidRDefault="008B40D8"/>
  <w:p w:rsidR="008B40D8" w:rsidRDefault="008B40D8"/>
  <w:p w:rsidR="008B40D8" w:rsidRDefault="008B40D8"/>
  <w:p w:rsidR="008B40D8" w:rsidRDefault="008B40D8"/>
  <w:p w:rsidR="008B40D8" w:rsidRDefault="008B40D8"/>
  <w:p w:rsidR="008B40D8" w:rsidRDefault="008B40D8"/>
  <w:p w:rsidR="008B40D8" w:rsidRDefault="008B40D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0D8" w:rsidRPr="00290C63" w:rsidRDefault="008B40D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Pr>
        <w:rStyle w:val="PageNumber"/>
        <w:noProof/>
      </w:rPr>
      <w:t>56</w:t>
    </w:r>
    <w:r w:rsidRPr="00290C63">
      <w:rPr>
        <w:rStyle w:val="PageNumber"/>
      </w:rPr>
      <w:fldChar w:fldCharType="end"/>
    </w:r>
    <w:r w:rsidRPr="00290C63">
      <w:rPr>
        <w:rStyle w:val="PageNumber"/>
      </w:rPr>
      <w:tab/>
      <w:t>Xxx report—month/year</w:t>
    </w:r>
  </w:p>
  <w:p w:rsidR="008B40D8" w:rsidRDefault="008B40D8"/>
  <w:p w:rsidR="008B40D8" w:rsidRDefault="008B40D8"/>
  <w:p w:rsidR="008B40D8" w:rsidRDefault="008B40D8"/>
  <w:p w:rsidR="008B40D8" w:rsidRDefault="008B40D8"/>
  <w:p w:rsidR="008B40D8" w:rsidRDefault="008B40D8"/>
  <w:p w:rsidR="008B40D8" w:rsidRDefault="008B40D8"/>
  <w:p w:rsidR="008B40D8" w:rsidRDefault="008B40D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8B40D8" w:rsidRPr="009B6F84" w:rsidRDefault="008B40D8">
        <w:pPr>
          <w:pStyle w:val="Footer"/>
          <w:rPr>
            <w:sz w:val="20"/>
          </w:rPr>
        </w:pPr>
        <w:r>
          <w:fldChar w:fldCharType="begin"/>
        </w:r>
        <w:r>
          <w:instrText xml:space="preserve"> PAGE   \* MERGEFORMAT </w:instrText>
        </w:r>
        <w:r>
          <w:fldChar w:fldCharType="separate"/>
        </w:r>
        <w:r w:rsidR="00D96B78">
          <w:rPr>
            <w:noProof/>
          </w:rPr>
          <w:t>12</w:t>
        </w:r>
        <w:r>
          <w:rPr>
            <w:noProof/>
          </w:rPr>
          <w:fldChar w:fldCharType="end"/>
        </w:r>
        <w:r>
          <w:rPr>
            <w:noProof/>
          </w:rPr>
          <w:t xml:space="preserve">  </w:t>
        </w:r>
        <w:r>
          <w:t xml:space="preserve">Overview </w:t>
        </w:r>
        <w:r w:rsidRPr="004523B2">
          <w:t xml:space="preserve">| </w:t>
        </w:r>
        <w:r>
          <w:t>TasNetworks distribution final determination</w:t>
        </w:r>
        <w:r w:rsidRPr="004523B2">
          <w:t xml:space="preserve"> 201</w:t>
        </w:r>
        <w:r>
          <w:t>7</w:t>
        </w:r>
        <w:r w:rsidRPr="004523B2">
          <w:t>–</w:t>
        </w:r>
        <w:r>
          <w:t>19</w:t>
        </w:r>
      </w:p>
    </w:sdtContent>
  </w:sdt>
  <w:p w:rsidR="008B40D8" w:rsidRDefault="008B40D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0D8" w:rsidRPr="00290C63" w:rsidRDefault="008B40D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Pr>
        <w:noProof/>
      </w:rPr>
      <w:t>56</w:t>
    </w:r>
    <w:r w:rsidRPr="00290C63">
      <w:fldChar w:fldCharType="end"/>
    </w:r>
  </w:p>
  <w:p w:rsidR="008B40D8" w:rsidRDefault="008B40D8">
    <w:pPr>
      <w:pStyle w:val="Footer"/>
    </w:pPr>
  </w:p>
  <w:p w:rsidR="008B40D8" w:rsidRDefault="008B40D8"/>
  <w:p w:rsidR="008B40D8" w:rsidRDefault="008B40D8"/>
  <w:p w:rsidR="008B40D8" w:rsidRDefault="008B40D8"/>
  <w:p w:rsidR="008B40D8" w:rsidRDefault="008B40D8"/>
  <w:p w:rsidR="008B40D8" w:rsidRDefault="008B40D8"/>
  <w:p w:rsidR="008B40D8" w:rsidRDefault="008B40D8"/>
  <w:p w:rsidR="008B40D8" w:rsidRDefault="008B40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0D8" w:rsidRPr="00290C63" w:rsidRDefault="008B40D8" w:rsidP="00290C63">
      <w:r>
        <w:separator/>
      </w:r>
    </w:p>
    <w:p w:rsidR="008B40D8" w:rsidRDefault="008B40D8"/>
  </w:footnote>
  <w:footnote w:type="continuationSeparator" w:id="0">
    <w:p w:rsidR="008B40D8" w:rsidRPr="00290C63" w:rsidRDefault="008B40D8" w:rsidP="00290C63">
      <w:r>
        <w:continuationSeparator/>
      </w:r>
    </w:p>
    <w:p w:rsidR="008B40D8" w:rsidRDefault="008B40D8"/>
  </w:footnote>
  <w:footnote w:id="1">
    <w:p w:rsidR="008B40D8" w:rsidRDefault="008B40D8" w:rsidP="008C5A21">
      <w:pPr>
        <w:pStyle w:val="FootnoteText"/>
      </w:pPr>
      <w:r>
        <w:rPr>
          <w:rStyle w:val="FootnoteReference"/>
        </w:rPr>
        <w:footnoteRef/>
      </w:r>
      <w:r>
        <w:t xml:space="preserve"> </w:t>
      </w:r>
      <w:r>
        <w:tab/>
      </w:r>
      <w:r w:rsidRPr="00C51788">
        <w:t xml:space="preserve">AEMC, </w:t>
      </w:r>
      <w:r w:rsidRPr="00997E73">
        <w:rPr>
          <w:rStyle w:val="Emphasis"/>
        </w:rPr>
        <w:t>Rule Determination: National Electricity Amendment (Aligning TasNetworks' regulatory control periods) Rule 2015</w:t>
      </w:r>
      <w:r w:rsidRPr="00C51788">
        <w:t>, 9 April 2015.</w:t>
      </w:r>
    </w:p>
  </w:footnote>
  <w:footnote w:id="2">
    <w:p w:rsidR="008B40D8" w:rsidRDefault="008B40D8" w:rsidP="008C5A21">
      <w:pPr>
        <w:pStyle w:val="FootnoteText"/>
      </w:pPr>
      <w:r>
        <w:rPr>
          <w:rStyle w:val="FootnoteReference"/>
        </w:rPr>
        <w:footnoteRef/>
      </w:r>
      <w:r>
        <w:t xml:space="preserve"> </w:t>
      </w:r>
      <w:r>
        <w:tab/>
        <w:t xml:space="preserve">NEL, s. 7. </w:t>
      </w:r>
    </w:p>
  </w:footnote>
  <w:footnote w:id="3">
    <w:p w:rsidR="008B40D8" w:rsidRDefault="008B40D8" w:rsidP="001D1371">
      <w:pPr>
        <w:pStyle w:val="FootnoteText"/>
      </w:pPr>
      <w:r>
        <w:rPr>
          <w:rStyle w:val="FootnoteReference"/>
        </w:rPr>
        <w:footnoteRef/>
      </w:r>
      <w:r>
        <w:t xml:space="preserve"> </w:t>
      </w:r>
      <w:r>
        <w:tab/>
        <w:t xml:space="preserve">The comparison of the average annual revenues between the 2017–19 and 2012–17 regulatory control periods is based on smoothed revenues. In nominal dollar terms, our final decision average annual revenues for the 2017–19 regulatory control period is </w:t>
      </w:r>
      <w:r w:rsidRPr="001D1371">
        <w:t>about $</w:t>
      </w:r>
      <w:r w:rsidRPr="001D1371">
        <w:rPr>
          <w:rStyle w:val="AERtexthighlight"/>
          <w:shd w:val="clear" w:color="auto" w:fill="auto"/>
        </w:rPr>
        <w:t>44.8</w:t>
      </w:r>
      <w:r w:rsidRPr="001D1371">
        <w:t xml:space="preserve"> million (or </w:t>
      </w:r>
      <w:r w:rsidRPr="001D1371">
        <w:rPr>
          <w:rStyle w:val="AERtexthighlight"/>
          <w:shd w:val="clear" w:color="auto" w:fill="auto"/>
        </w:rPr>
        <w:t>15.8</w:t>
      </w:r>
      <w:r w:rsidRPr="001D1371">
        <w:t xml:space="preserve"> per</w:t>
      </w:r>
      <w:r>
        <w:t xml:space="preserve"> cent) less than the average annual revenues approved for the 2012–17 regulatory control period.</w:t>
      </w:r>
    </w:p>
  </w:footnote>
  <w:footnote w:id="4">
    <w:p w:rsidR="008B40D8" w:rsidRDefault="008B40D8" w:rsidP="00E6218F">
      <w:pPr>
        <w:pStyle w:val="FootnoteText"/>
      </w:pPr>
      <w:r>
        <w:rPr>
          <w:rStyle w:val="FootnoteReference"/>
        </w:rPr>
        <w:footnoteRef/>
      </w:r>
      <w:r>
        <w:t xml:space="preserve"> </w:t>
      </w:r>
      <w:r>
        <w:tab/>
        <w:t xml:space="preserve">AEMC, </w:t>
      </w:r>
      <w:r w:rsidRPr="00BA5A89">
        <w:rPr>
          <w:rStyle w:val="AERtextitalic"/>
        </w:rPr>
        <w:t>Final report: 2016 Residential Electricity Price Trends</w:t>
      </w:r>
      <w:r>
        <w:t>, 14 December 2016, p. 160; AER analysis.</w:t>
      </w:r>
    </w:p>
  </w:footnote>
  <w:footnote w:id="5">
    <w:p w:rsidR="008B40D8" w:rsidRDefault="008B40D8" w:rsidP="00E6218F">
      <w:pPr>
        <w:pStyle w:val="FootnoteText"/>
      </w:pPr>
      <w:r>
        <w:rPr>
          <w:rStyle w:val="FootnoteReference"/>
        </w:rPr>
        <w:footnoteRef/>
      </w:r>
      <w:r>
        <w:t xml:space="preserve"> </w:t>
      </w:r>
      <w:r>
        <w:tab/>
      </w:r>
      <w:r w:rsidRPr="00373109">
        <w:t>It also assumes that actual energy demand will equal the forecast in our</w:t>
      </w:r>
      <w:r>
        <w:t xml:space="preserve"> final</w:t>
      </w:r>
      <w:r w:rsidRPr="00373109">
        <w:t xml:space="preserve"> decision. Since </w:t>
      </w:r>
      <w:r>
        <w:t xml:space="preserve">TasNetworks operates under a revenue cap, </w:t>
      </w:r>
      <w:r w:rsidRPr="00373109">
        <w:t>changes in demand will also affect annual electricity bills across the 201</w:t>
      </w:r>
      <w:r>
        <w:t>7</w:t>
      </w:r>
      <w:r w:rsidRPr="00373109">
        <w:t>–</w:t>
      </w:r>
      <w:r>
        <w:t>19</w:t>
      </w:r>
      <w:r w:rsidRPr="00373109">
        <w:t xml:space="preserve"> regulatory control period.</w:t>
      </w:r>
    </w:p>
  </w:footnote>
  <w:footnote w:id="6">
    <w:p w:rsidR="008B40D8" w:rsidRDefault="008B40D8">
      <w:pPr>
        <w:pStyle w:val="FootnoteText"/>
      </w:pPr>
      <w:r>
        <w:rPr>
          <w:rStyle w:val="FootnoteReference"/>
        </w:rPr>
        <w:footnoteRef/>
      </w:r>
      <w:r>
        <w:t xml:space="preserve"> </w:t>
      </w:r>
      <w:r>
        <w:tab/>
        <w:t xml:space="preserve">AEMC, </w:t>
      </w:r>
      <w:r w:rsidRPr="00132466">
        <w:rPr>
          <w:rStyle w:val="AERtextitalic"/>
        </w:rPr>
        <w:t>Final report: 2016 Residential Electricity Price Trends</w:t>
      </w:r>
      <w:r>
        <w:t xml:space="preserve">, 14 December 2016, p. 162. </w:t>
      </w:r>
    </w:p>
  </w:footnote>
  <w:footnote w:id="7">
    <w:p w:rsidR="008B40D8" w:rsidRDefault="008B40D8" w:rsidP="00FD3D76">
      <w:pPr>
        <w:pStyle w:val="FootnoteText"/>
      </w:pPr>
      <w:r>
        <w:rPr>
          <w:rStyle w:val="FootnoteReference"/>
        </w:rPr>
        <w:footnoteRef/>
      </w:r>
      <w:r>
        <w:t xml:space="preserve"> </w:t>
      </w:r>
      <w:r>
        <w:tab/>
        <w:t xml:space="preserve">NER, cll. 6.5.1 and S6.2. </w:t>
      </w:r>
    </w:p>
  </w:footnote>
  <w:footnote w:id="8">
    <w:p w:rsidR="008B40D8" w:rsidRDefault="008B40D8" w:rsidP="00FD3D76">
      <w:pPr>
        <w:pStyle w:val="FootnoteText"/>
      </w:pPr>
      <w:r>
        <w:rPr>
          <w:rStyle w:val="FootnoteReference"/>
        </w:rPr>
        <w:footnoteRef/>
      </w:r>
      <w:r>
        <w:t xml:space="preserve"> </w:t>
      </w:r>
      <w:r>
        <w:tab/>
        <w:t>The end of period adjustment will be positive (negative) if actual capex is higher (lower) than the estimate approved at the 2012–17</w:t>
      </w:r>
      <w:r w:rsidRPr="00A449A3">
        <w:t xml:space="preserve"> </w:t>
      </w:r>
      <w:r>
        <w:t>determination.</w:t>
      </w:r>
    </w:p>
  </w:footnote>
  <w:footnote w:id="9">
    <w:p w:rsidR="008B40D8" w:rsidRDefault="008B40D8" w:rsidP="00FE47F5">
      <w:pPr>
        <w:pStyle w:val="FootnoteText"/>
      </w:pPr>
      <w:r>
        <w:rPr>
          <w:rStyle w:val="FootnoteReference"/>
        </w:rPr>
        <w:footnoteRef/>
      </w:r>
      <w:r>
        <w:t xml:space="preserve"> </w:t>
      </w:r>
      <w:r>
        <w:tab/>
        <w:t>NER, cl. S6.2.1(e)(3).</w:t>
      </w:r>
    </w:p>
  </w:footnote>
  <w:footnote w:id="10">
    <w:p w:rsidR="008B40D8" w:rsidRDefault="008B40D8" w:rsidP="00CC5C26">
      <w:pPr>
        <w:pStyle w:val="FootnoteText"/>
      </w:pPr>
      <w:r>
        <w:rPr>
          <w:rStyle w:val="FootnoteReference"/>
        </w:rPr>
        <w:footnoteRef/>
      </w:r>
      <w:r>
        <w:t xml:space="preserve"> </w:t>
      </w:r>
      <w:r>
        <w:tab/>
        <w:t>NER, cl. 6.12.2(b).</w:t>
      </w:r>
    </w:p>
  </w:footnote>
  <w:footnote w:id="11">
    <w:p w:rsidR="008B40D8" w:rsidRDefault="008B40D8" w:rsidP="00CC5C26">
      <w:pPr>
        <w:pStyle w:val="FootnoteText"/>
      </w:pPr>
      <w:r>
        <w:rPr>
          <w:rStyle w:val="FootnoteReference"/>
        </w:rPr>
        <w:footnoteRef/>
      </w:r>
      <w:r>
        <w:t xml:space="preserve"> </w:t>
      </w:r>
      <w:r>
        <w:tab/>
        <w:t xml:space="preserve">AER, </w:t>
      </w:r>
      <w:r w:rsidRPr="003C057D">
        <w:rPr>
          <w:rStyle w:val="AERtextitalic"/>
        </w:rPr>
        <w:t xml:space="preserve">Draft decision </w:t>
      </w:r>
      <w:r>
        <w:rPr>
          <w:rStyle w:val="AERtextitalic"/>
        </w:rPr>
        <w:t>TasNetworks distribution</w:t>
      </w:r>
      <w:r w:rsidRPr="00D45393">
        <w:rPr>
          <w:rStyle w:val="AERtextitalic"/>
        </w:rPr>
        <w:t xml:space="preserve"> determination 2017</w:t>
      </w:r>
      <w:r w:rsidRPr="003C057D">
        <w:rPr>
          <w:rStyle w:val="AERtextitalic"/>
        </w:rPr>
        <w:t>–</w:t>
      </w:r>
      <w:r>
        <w:rPr>
          <w:rStyle w:val="AERtextitalic"/>
        </w:rPr>
        <w:t>18 to 2018–19</w:t>
      </w:r>
      <w:r w:rsidRPr="003C057D">
        <w:rPr>
          <w:rStyle w:val="AERtextitalic"/>
        </w:rPr>
        <w:t xml:space="preserve"> Attachment 2 – Regulatory asset base</w:t>
      </w:r>
      <w:r>
        <w:t>, p. 15.</w:t>
      </w:r>
    </w:p>
  </w:footnote>
  <w:footnote w:id="12">
    <w:p w:rsidR="008B40D8" w:rsidRDefault="008B40D8" w:rsidP="00CC5C26">
      <w:pPr>
        <w:pStyle w:val="FootnoteText"/>
      </w:pPr>
      <w:r>
        <w:rPr>
          <w:rStyle w:val="FootnoteReference"/>
        </w:rPr>
        <w:footnoteRef/>
      </w:r>
      <w:r>
        <w:t xml:space="preserve"> </w:t>
      </w:r>
      <w:r>
        <w:tab/>
        <w:t xml:space="preserve">TasNetworks' </w:t>
      </w:r>
      <w:r w:rsidRPr="004B1B8E">
        <w:t>actual cap</w:t>
      </w:r>
      <w:r>
        <w:t>ex</w:t>
      </w:r>
      <w:r w:rsidRPr="004B1B8E">
        <w:t xml:space="preserve"> in</w:t>
      </w:r>
      <w:r>
        <w:t>curred in</w:t>
      </w:r>
      <w:r w:rsidRPr="004B1B8E">
        <w:t xml:space="preserve"> 2014</w:t>
      </w:r>
      <w:r>
        <w:t>–</w:t>
      </w:r>
      <w:r w:rsidRPr="004B1B8E">
        <w:t xml:space="preserve">15 is below the </w:t>
      </w:r>
      <w:r>
        <w:t>forecast</w:t>
      </w:r>
      <w:r w:rsidRPr="004B1B8E">
        <w:t xml:space="preserve"> allowance </w:t>
      </w:r>
      <w:r>
        <w:t>set at the previous distribution determination; NER, cl. S6.2.2A(c).</w:t>
      </w:r>
    </w:p>
  </w:footnote>
  <w:footnote w:id="13">
    <w:p w:rsidR="008B40D8" w:rsidRDefault="008B40D8" w:rsidP="009A7997">
      <w:pPr>
        <w:pStyle w:val="FootnoteText"/>
      </w:pPr>
      <w:r>
        <w:rPr>
          <w:rStyle w:val="FootnoteReference"/>
        </w:rPr>
        <w:footnoteRef/>
      </w:r>
      <w:r>
        <w:t xml:space="preserve"> </w:t>
      </w:r>
      <w:r>
        <w:tab/>
        <w:t xml:space="preserve">NER, cl. </w:t>
      </w:r>
      <w:r w:rsidRPr="00916F9E">
        <w:t>S6.2.2A(a</w:t>
      </w:r>
      <w:r>
        <w:t>1). The NER requires that the last two years of the previous regulatory control period (for the purposes of this decision, the 2012–17 regulatory control period) are excluded from the ex-post assessment of past capex.</w:t>
      </w:r>
    </w:p>
  </w:footnote>
  <w:footnote w:id="14">
    <w:p w:rsidR="008B40D8" w:rsidRDefault="008B40D8" w:rsidP="009A7997">
      <w:pPr>
        <w:pStyle w:val="FootnoteText"/>
      </w:pPr>
      <w:r>
        <w:rPr>
          <w:rStyle w:val="FootnoteReference"/>
        </w:rPr>
        <w:footnoteRef/>
      </w:r>
      <w:r>
        <w:t xml:space="preserve"> </w:t>
      </w:r>
      <w:r>
        <w:tab/>
        <w:t xml:space="preserve">Here, 'inefficiency' of past capex refers to three specific assessments (labelled the overspending, margin and capitalisation requirements) detailed in NER, cl. S6.2.2A. The details of our ex post assessment approach for capex are set out in AER, </w:t>
      </w:r>
      <w:r w:rsidRPr="00965D78">
        <w:rPr>
          <w:rStyle w:val="Emphasis"/>
        </w:rPr>
        <w:t>Capital expenditure incentive guideline</w:t>
      </w:r>
      <w:r>
        <w:t>, November 2013, pp. 12–20.</w:t>
      </w:r>
    </w:p>
  </w:footnote>
  <w:footnote w:id="15">
    <w:p w:rsidR="008B40D8" w:rsidRPr="004E49E0" w:rsidRDefault="008B40D8" w:rsidP="00C04C3C">
      <w:pPr>
        <w:pStyle w:val="FootnoteText"/>
        <w:rPr>
          <w:i/>
        </w:rPr>
      </w:pPr>
      <w:r>
        <w:rPr>
          <w:rStyle w:val="FootnoteReference"/>
        </w:rPr>
        <w:footnoteRef/>
      </w:r>
      <w:r>
        <w:t xml:space="preserve"> </w:t>
      </w:r>
      <w:r>
        <w:tab/>
        <w:t xml:space="preserve">AER, </w:t>
      </w:r>
      <w:r w:rsidRPr="009C5305">
        <w:rPr>
          <w:rStyle w:val="AERtextitalic"/>
        </w:rPr>
        <w:t>Final distribution determination</w:t>
      </w:r>
      <w:r>
        <w:rPr>
          <w:rStyle w:val="AERtextitalic"/>
        </w:rPr>
        <w:t>:</w:t>
      </w:r>
      <w:r w:rsidRPr="009C5305">
        <w:rPr>
          <w:rStyle w:val="AERtextitalic"/>
        </w:rPr>
        <w:t xml:space="preserve"> Aurora Energ</w:t>
      </w:r>
      <w:r>
        <w:rPr>
          <w:rStyle w:val="AERtextitalic"/>
        </w:rPr>
        <w:t xml:space="preserve">y 2012–17, </w:t>
      </w:r>
      <w:r w:rsidRPr="004E49E0">
        <w:rPr>
          <w:rStyle w:val="AERtextitalic"/>
        </w:rPr>
        <w:t>April 2012, p. 106.</w:t>
      </w:r>
    </w:p>
  </w:footnote>
  <w:footnote w:id="16">
    <w:p w:rsidR="008B40D8" w:rsidRDefault="008B40D8" w:rsidP="00C04C3C">
      <w:pPr>
        <w:pStyle w:val="FootnoteText"/>
      </w:pPr>
      <w:r>
        <w:rPr>
          <w:rStyle w:val="FootnoteReference"/>
        </w:rPr>
        <w:footnoteRef/>
      </w:r>
      <w:r>
        <w:t xml:space="preserve"> </w:t>
      </w:r>
      <w:r>
        <w:tab/>
        <w:t>NER, cll. 6.4A(a), 65.7(a), 6.5.7(c) and 6.12.2(b).</w:t>
      </w:r>
    </w:p>
  </w:footnote>
  <w:footnote w:id="17">
    <w:p w:rsidR="008B40D8" w:rsidRDefault="008B40D8" w:rsidP="00655661">
      <w:pPr>
        <w:pStyle w:val="FootnoteText"/>
      </w:pPr>
      <w:r>
        <w:rPr>
          <w:rStyle w:val="FootnoteReference"/>
        </w:rPr>
        <w:footnoteRef/>
      </w:r>
      <w:r>
        <w:t xml:space="preserve"> </w:t>
      </w:r>
      <w:r>
        <w:tab/>
        <w:t xml:space="preserve">AER, </w:t>
      </w:r>
      <w:r w:rsidRPr="003C057D">
        <w:rPr>
          <w:rStyle w:val="AERtextitalic"/>
        </w:rPr>
        <w:t>Draft decision – Attachment 2 – Regulatory asset base</w:t>
      </w:r>
      <w:r>
        <w:t>, p. 17; TasNetworks</w:t>
      </w:r>
      <w:r w:rsidRPr="00747409">
        <w:t xml:space="preserve">, </w:t>
      </w:r>
      <w:r w:rsidRPr="00747409">
        <w:rPr>
          <w:rStyle w:val="AERtextitalic"/>
        </w:rPr>
        <w:t>Regulatory proposal</w:t>
      </w:r>
      <w:r w:rsidRPr="00747409">
        <w:t xml:space="preserve">, </w:t>
      </w:r>
      <w:r>
        <w:t xml:space="preserve">January 2016, </w:t>
      </w:r>
      <w:r w:rsidRPr="00747409">
        <w:t>p</w:t>
      </w:r>
      <w:r>
        <w:t xml:space="preserve">.113; AER, </w:t>
      </w:r>
      <w:r w:rsidRPr="00BC2C2F">
        <w:rPr>
          <w:rStyle w:val="AERtextitalic"/>
        </w:rPr>
        <w:t xml:space="preserve">Framework and </w:t>
      </w:r>
      <w:r>
        <w:rPr>
          <w:rStyle w:val="AERtextitalic"/>
        </w:rPr>
        <w:t>a</w:t>
      </w:r>
      <w:r w:rsidRPr="00BC2C2F">
        <w:rPr>
          <w:rStyle w:val="AERtextitalic"/>
        </w:rPr>
        <w:t xml:space="preserve">pproach for </w:t>
      </w:r>
      <w:r>
        <w:rPr>
          <w:rStyle w:val="AERtextitalic"/>
        </w:rPr>
        <w:t xml:space="preserve">TasNetworks Distribution for the regulatory control period commencing 1 July 2017, </w:t>
      </w:r>
      <w:r>
        <w:t>July 2015, p. 17.</w:t>
      </w:r>
    </w:p>
  </w:footnote>
  <w:footnote w:id="18">
    <w:p w:rsidR="008B40D8" w:rsidRPr="003547F6" w:rsidRDefault="008B40D8" w:rsidP="00835249">
      <w:pPr>
        <w:pStyle w:val="FootnoteText"/>
      </w:pPr>
      <w:r>
        <w:rPr>
          <w:rStyle w:val="FootnoteReference"/>
        </w:rPr>
        <w:footnoteRef/>
      </w:r>
      <w:r>
        <w:t xml:space="preserve"> </w:t>
      </w:r>
      <w:r>
        <w:tab/>
        <w:t xml:space="preserve">TasNetworks, </w:t>
      </w:r>
      <w:r>
        <w:rPr>
          <w:rStyle w:val="AERtextitalic"/>
        </w:rPr>
        <w:t xml:space="preserve">Tasmanian Distribution Revised Regulatory Proposal, </w:t>
      </w:r>
      <w:r w:rsidRPr="00DF30C3">
        <w:rPr>
          <w:rStyle w:val="AERtextitalic"/>
        </w:rPr>
        <w:t>2 December 2016, pp. 16-17.</w:t>
      </w:r>
    </w:p>
  </w:footnote>
  <w:footnote w:id="19">
    <w:p w:rsidR="008B40D8" w:rsidRDefault="008B40D8" w:rsidP="00835249">
      <w:pPr>
        <w:pStyle w:val="FootnoteText"/>
      </w:pPr>
      <w:r>
        <w:rPr>
          <w:rStyle w:val="FootnoteReference"/>
        </w:rPr>
        <w:footnoteRef/>
      </w:r>
      <w:r>
        <w:t xml:space="preserve"> </w:t>
      </w:r>
      <w:r>
        <w:tab/>
        <w:t>The Officer framework is discussed in detail in attachment 3.</w:t>
      </w:r>
    </w:p>
  </w:footnote>
  <w:footnote w:id="20">
    <w:p w:rsidR="008B40D8" w:rsidRDefault="008B40D8" w:rsidP="00835249">
      <w:pPr>
        <w:pStyle w:val="FootnoteText"/>
      </w:pPr>
      <w:r>
        <w:rPr>
          <w:rStyle w:val="FootnoteReference"/>
        </w:rPr>
        <w:footnoteRef/>
      </w:r>
      <w:r>
        <w:t xml:space="preserve"> </w:t>
      </w:r>
      <w:r>
        <w:tab/>
        <w:t>Post-tax refers to after company tax and before personal tax.</w:t>
      </w:r>
    </w:p>
  </w:footnote>
  <w:footnote w:id="21">
    <w:p w:rsidR="008B40D8" w:rsidRDefault="008B40D8" w:rsidP="00835249">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22">
    <w:p w:rsidR="008B40D8" w:rsidRDefault="008B40D8" w:rsidP="00835249">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23">
    <w:p w:rsidR="008B40D8" w:rsidRDefault="008B40D8" w:rsidP="00835249">
      <w:pPr>
        <w:pStyle w:val="FootnoteText"/>
      </w:pPr>
      <w:r>
        <w:rPr>
          <w:rStyle w:val="FootnoteReference"/>
        </w:rPr>
        <w:footnoteRef/>
      </w:r>
      <w:r>
        <w:t xml:space="preserve"> </w:t>
      </w:r>
      <w:r>
        <w:tab/>
        <w:t xml:space="preserve">These sub-parameters are discussed further in attachment 4. </w:t>
      </w:r>
    </w:p>
  </w:footnote>
  <w:footnote w:id="24">
    <w:p w:rsidR="008B40D8" w:rsidRDefault="008B40D8" w:rsidP="00FD3D76">
      <w:pPr>
        <w:pStyle w:val="FootnoteText"/>
      </w:pPr>
      <w:r>
        <w:rPr>
          <w:rStyle w:val="FootnoteReference"/>
        </w:rPr>
        <w:footnoteRef/>
      </w:r>
      <w:r>
        <w:t xml:space="preserve"> </w:t>
      </w:r>
      <w:r>
        <w:tab/>
      </w:r>
      <w:r w:rsidRPr="00ED18ED">
        <w:t>NER, cl. 6.</w:t>
      </w:r>
      <w:r>
        <w:t>12</w:t>
      </w:r>
      <w:r w:rsidRPr="00ED18ED">
        <w:t>.</w:t>
      </w:r>
      <w:r>
        <w:t>1</w:t>
      </w:r>
      <w:r w:rsidRPr="00ED18ED">
        <w:t>(</w:t>
      </w:r>
      <w:r>
        <w:t>8</w:t>
      </w:r>
      <w:r w:rsidRPr="00ED18ED">
        <w:t>).</w:t>
      </w:r>
    </w:p>
  </w:footnote>
  <w:footnote w:id="25">
    <w:p w:rsidR="008B40D8" w:rsidRPr="008E362E" w:rsidRDefault="008B40D8" w:rsidP="008E362E">
      <w:pPr>
        <w:pStyle w:val="FootnoteText"/>
        <w:rPr>
          <w:shd w:val="clear" w:color="auto" w:fill="FFFF00"/>
        </w:rPr>
      </w:pPr>
      <w:r>
        <w:rPr>
          <w:rStyle w:val="FootnoteReference"/>
        </w:rPr>
        <w:footnoteRef/>
      </w:r>
      <w:r>
        <w:t xml:space="preserve"> </w:t>
      </w:r>
      <w:r>
        <w:tab/>
        <w:t xml:space="preserve">TasNetworks, </w:t>
      </w:r>
      <w:r w:rsidRPr="001B1B9A">
        <w:rPr>
          <w:rStyle w:val="AERtextitalic"/>
        </w:rPr>
        <w:t>Revised r</w:t>
      </w:r>
      <w:r w:rsidRPr="003321D6">
        <w:rPr>
          <w:rStyle w:val="Emphasis"/>
        </w:rPr>
        <w:t>egulatory proposal</w:t>
      </w:r>
      <w:r w:rsidRPr="003321D6">
        <w:t xml:space="preserve">, </w:t>
      </w:r>
      <w:r>
        <w:rPr>
          <w:rStyle w:val="AERtextitalic"/>
        </w:rPr>
        <w:t>RT</w:t>
      </w:r>
      <w:r w:rsidRPr="006343F3">
        <w:rPr>
          <w:rStyle w:val="AERtextitalic"/>
        </w:rPr>
        <w:t>N0</w:t>
      </w:r>
      <w:r>
        <w:rPr>
          <w:rStyle w:val="AERtextitalic"/>
        </w:rPr>
        <w:t>06</w:t>
      </w:r>
      <w:r w:rsidRPr="006343F3">
        <w:rPr>
          <w:rStyle w:val="AERtextitalic"/>
        </w:rPr>
        <w:t>–</w:t>
      </w:r>
      <w:r w:rsidRPr="003321D6">
        <w:rPr>
          <w:rStyle w:val="Emphasis"/>
        </w:rPr>
        <w:t>PTRM</w:t>
      </w:r>
      <w:r>
        <w:rPr>
          <w:rStyle w:val="Emphasis"/>
        </w:rPr>
        <w:t>,</w:t>
      </w:r>
      <w:r>
        <w:t xml:space="preserve"> December 2016.</w:t>
      </w:r>
    </w:p>
  </w:footnote>
  <w:footnote w:id="26">
    <w:p w:rsidR="008B40D8" w:rsidRDefault="008B40D8" w:rsidP="00474B41">
      <w:pPr>
        <w:pStyle w:val="FootnoteText"/>
      </w:pPr>
      <w:r>
        <w:rPr>
          <w:rStyle w:val="FootnoteReference"/>
        </w:rPr>
        <w:footnoteRef/>
      </w:r>
      <w:r>
        <w:t xml:space="preserve"> </w:t>
      </w:r>
      <w:r>
        <w:tab/>
        <w:t>NER, cl. 6.5.5(b)(1).</w:t>
      </w:r>
    </w:p>
  </w:footnote>
  <w:footnote w:id="27">
    <w:p w:rsidR="008B40D8" w:rsidRDefault="008B40D8" w:rsidP="00474B41">
      <w:pPr>
        <w:pStyle w:val="FootnoteText"/>
      </w:pPr>
      <w:r>
        <w:rPr>
          <w:rStyle w:val="FootnoteReference"/>
        </w:rPr>
        <w:footnoteRef/>
      </w:r>
      <w:r>
        <w:t xml:space="preserve"> </w:t>
      </w:r>
      <w:r>
        <w:tab/>
        <w:t>NER, cl. 6.5.5(b)(2).</w:t>
      </w:r>
    </w:p>
  </w:footnote>
  <w:footnote w:id="28">
    <w:p w:rsidR="008B40D8" w:rsidRDefault="008B40D8" w:rsidP="00474B41">
      <w:pPr>
        <w:pStyle w:val="FootnoteText"/>
      </w:pPr>
      <w:r>
        <w:rPr>
          <w:rStyle w:val="FootnoteReference"/>
        </w:rPr>
        <w:footnoteRef/>
      </w:r>
      <w:r>
        <w:t xml:space="preserve"> </w:t>
      </w:r>
      <w:r>
        <w:tab/>
        <w:t xml:space="preserve">NER, </w:t>
      </w:r>
      <w:r w:rsidRPr="00DC4AD9">
        <w:t>cl. 6.5.5(b)(3)</w:t>
      </w:r>
      <w:r>
        <w:t>.</w:t>
      </w:r>
    </w:p>
  </w:footnote>
  <w:footnote w:id="29">
    <w:p w:rsidR="008B40D8" w:rsidRDefault="008B40D8" w:rsidP="00774EAA">
      <w:pPr>
        <w:pStyle w:val="FootnoteText"/>
      </w:pPr>
      <w:r>
        <w:rPr>
          <w:rStyle w:val="FootnoteReference"/>
        </w:rPr>
        <w:footnoteRef/>
      </w:r>
      <w:r>
        <w:t xml:space="preserve"> </w:t>
      </w:r>
      <w:r>
        <w:tab/>
        <w:t xml:space="preserve">NER, cll. 6.5.5(b)(1)–(2). </w:t>
      </w:r>
    </w:p>
  </w:footnote>
  <w:footnote w:id="30">
    <w:p w:rsidR="008B40D8" w:rsidRDefault="008B40D8">
      <w:pPr>
        <w:pStyle w:val="FootnoteText"/>
      </w:pPr>
      <w:r>
        <w:rPr>
          <w:rStyle w:val="FootnoteReference"/>
        </w:rPr>
        <w:footnoteRef/>
      </w:r>
      <w:r>
        <w:t xml:space="preserve"> </w:t>
      </w:r>
      <w:r>
        <w:tab/>
        <w:t>NER, cl. 6.5.5(a)(1).</w:t>
      </w:r>
    </w:p>
  </w:footnote>
  <w:footnote w:id="31">
    <w:p w:rsidR="008B40D8" w:rsidRDefault="008B40D8">
      <w:pPr>
        <w:pStyle w:val="FootnoteText"/>
      </w:pPr>
      <w:r>
        <w:rPr>
          <w:rStyle w:val="FootnoteReference"/>
        </w:rPr>
        <w:footnoteRef/>
      </w:r>
      <w:r>
        <w:t xml:space="preserve"> </w:t>
      </w:r>
      <w:r>
        <w:tab/>
        <w:t>CCP</w:t>
      </w:r>
      <w:r w:rsidR="00046930">
        <w:t>4</w:t>
      </w:r>
      <w:r>
        <w:t xml:space="preserve"> (David Headberry), </w:t>
      </w:r>
      <w:r w:rsidRPr="006E25BB">
        <w:rPr>
          <w:rStyle w:val="AERtextitalic"/>
        </w:rPr>
        <w:t>Response to the AER draft decision and revised proposal to Tasmania's electricity distribution network service provider (TasNetworks - TND) for a revenue reset for the 2017–2019 regulatory period</w:t>
      </w:r>
      <w:r>
        <w:t>,  25 November 2016, pp. 32–33.</w:t>
      </w:r>
    </w:p>
  </w:footnote>
  <w:footnote w:id="32">
    <w:p w:rsidR="008B40D8" w:rsidRDefault="008B40D8">
      <w:pPr>
        <w:pStyle w:val="FootnoteText"/>
      </w:pPr>
      <w:r>
        <w:rPr>
          <w:rStyle w:val="FootnoteReference"/>
        </w:rPr>
        <w:footnoteRef/>
      </w:r>
      <w:r>
        <w:t xml:space="preserve"> </w:t>
      </w:r>
      <w:r>
        <w:tab/>
        <w:t xml:space="preserve">TasNetworks, </w:t>
      </w:r>
      <w:r w:rsidRPr="006E25BB">
        <w:rPr>
          <w:rStyle w:val="AERtextitalic"/>
        </w:rPr>
        <w:t>TasNetworks integrated business solution project business case</w:t>
      </w:r>
      <w:r>
        <w:t>, 29 October 2015, p. 1.</w:t>
      </w:r>
    </w:p>
  </w:footnote>
  <w:footnote w:id="33">
    <w:p w:rsidR="008B40D8" w:rsidRDefault="008B40D8">
      <w:pPr>
        <w:pStyle w:val="FootnoteText"/>
      </w:pPr>
      <w:r>
        <w:rPr>
          <w:rStyle w:val="FootnoteReference"/>
        </w:rPr>
        <w:footnoteRef/>
      </w:r>
      <w:r>
        <w:t xml:space="preserve"> </w:t>
      </w:r>
      <w:r>
        <w:tab/>
        <w:t>CCP</w:t>
      </w:r>
      <w:r w:rsidR="00046930">
        <w:t>4</w:t>
      </w:r>
      <w:r>
        <w:t xml:space="preserve"> (David Headberry), </w:t>
      </w:r>
      <w:r w:rsidRPr="006E25BB">
        <w:rPr>
          <w:rStyle w:val="AERtextitalic"/>
        </w:rPr>
        <w:t>Response to the AER draft decision and revised proposal to Tasmania's electricity distribution network service provider (TasNetworks - TND) for a revenue reset for the 2017–2019 regulatory period</w:t>
      </w:r>
      <w:r>
        <w:t>,  25 November 2016, pp. 33–34.</w:t>
      </w:r>
    </w:p>
  </w:footnote>
  <w:footnote w:id="34">
    <w:p w:rsidR="008B40D8" w:rsidRDefault="008B40D8">
      <w:pPr>
        <w:pStyle w:val="FootnoteText"/>
      </w:pPr>
      <w:r>
        <w:rPr>
          <w:rStyle w:val="FootnoteReference"/>
        </w:rPr>
        <w:footnoteRef/>
      </w:r>
      <w:r>
        <w:t xml:space="preserve"> </w:t>
      </w:r>
      <w:r>
        <w:tab/>
      </w:r>
      <w:r w:rsidRPr="006B4CD9">
        <w:t xml:space="preserve">TasNetworks, </w:t>
      </w:r>
      <w:r w:rsidRPr="00086688">
        <w:rPr>
          <w:rStyle w:val="AERtextitalic"/>
        </w:rPr>
        <w:t>Distribution revised regulatory proposal 2017-2019</w:t>
      </w:r>
      <w:r w:rsidRPr="006B4CD9">
        <w:t>, December 2016, p. 13.</w:t>
      </w:r>
    </w:p>
  </w:footnote>
  <w:footnote w:id="35">
    <w:p w:rsidR="008B40D8" w:rsidRDefault="008B40D8">
      <w:pPr>
        <w:pStyle w:val="FootnoteText"/>
      </w:pPr>
      <w:r>
        <w:rPr>
          <w:rStyle w:val="FootnoteReference"/>
        </w:rPr>
        <w:footnoteRef/>
      </w:r>
      <w:r>
        <w:t xml:space="preserve"> </w:t>
      </w:r>
      <w:r>
        <w:tab/>
      </w:r>
      <w:r w:rsidRPr="006B4CD9">
        <w:t xml:space="preserve">AER, </w:t>
      </w:r>
      <w:r w:rsidRPr="00832AFF">
        <w:rPr>
          <w:rStyle w:val="Emphasis"/>
        </w:rPr>
        <w:t>Draft Decision -TasNetworks distribution determination - Attachment 7 - Operating expenditure</w:t>
      </w:r>
      <w:r>
        <w:t>, September 2016, p.7-6.</w:t>
      </w:r>
    </w:p>
  </w:footnote>
  <w:footnote w:id="36">
    <w:p w:rsidR="008B40D8" w:rsidRDefault="008B40D8">
      <w:pPr>
        <w:pStyle w:val="FootnoteText"/>
      </w:pPr>
      <w:r>
        <w:rPr>
          <w:rStyle w:val="FootnoteReference"/>
        </w:rPr>
        <w:footnoteRef/>
      </w:r>
      <w:r>
        <w:t xml:space="preserve"> </w:t>
      </w:r>
      <w:r>
        <w:tab/>
      </w:r>
      <w:r w:rsidRPr="006B4CD9">
        <w:t xml:space="preserve">TasNetworks, </w:t>
      </w:r>
      <w:r w:rsidRPr="00086688">
        <w:rPr>
          <w:rStyle w:val="AERtextitalic"/>
        </w:rPr>
        <w:t>Distribution revised regulatory proposal 2017-2019</w:t>
      </w:r>
      <w:r w:rsidRPr="006B4CD9">
        <w:t>, December 2016, p. 12.</w:t>
      </w:r>
    </w:p>
  </w:footnote>
  <w:footnote w:id="37">
    <w:p w:rsidR="008B40D8" w:rsidRDefault="008B40D8">
      <w:pPr>
        <w:pStyle w:val="FootnoteText"/>
      </w:pPr>
      <w:r>
        <w:rPr>
          <w:rStyle w:val="FootnoteReference"/>
        </w:rPr>
        <w:footnoteRef/>
      </w:r>
      <w:r>
        <w:t xml:space="preserve"> </w:t>
      </w:r>
      <w:r>
        <w:tab/>
      </w:r>
      <w:r w:rsidRPr="006B4CD9">
        <w:t xml:space="preserve">Consumer Challenge Panel Sub Panel 4 (CCP4) – David Headberry, </w:t>
      </w:r>
      <w:r w:rsidRPr="00086688">
        <w:rPr>
          <w:rStyle w:val="AERtextitalic"/>
        </w:rPr>
        <w:t>Submission on TasNetworks’ revised proposal</w:t>
      </w:r>
      <w:r w:rsidRPr="006B4CD9">
        <w:t>, 12 December 2016, p. 11.</w:t>
      </w:r>
    </w:p>
  </w:footnote>
  <w:footnote w:id="38">
    <w:p w:rsidR="008B40D8" w:rsidRDefault="008B40D8" w:rsidP="00804C91">
      <w:pPr>
        <w:pStyle w:val="FootnoteText"/>
      </w:pPr>
      <w:r>
        <w:rPr>
          <w:rStyle w:val="FootnoteReference"/>
        </w:rPr>
        <w:footnoteRef/>
      </w:r>
      <w:r>
        <w:t xml:space="preserve"> </w:t>
      </w:r>
      <w:r>
        <w:tab/>
        <w:t xml:space="preserve">CCP4 – David Headberry, </w:t>
      </w:r>
      <w:r>
        <w:rPr>
          <w:i/>
        </w:rPr>
        <w:t>Submission on TasNetworks’ revised proposal</w:t>
      </w:r>
      <w:r>
        <w:t>, 12 December 2016, p. 12.</w:t>
      </w:r>
    </w:p>
  </w:footnote>
  <w:footnote w:id="39">
    <w:p w:rsidR="008B40D8" w:rsidRDefault="008B40D8">
      <w:pPr>
        <w:pStyle w:val="FootnoteText"/>
      </w:pPr>
      <w:r>
        <w:rPr>
          <w:rStyle w:val="FootnoteReference"/>
        </w:rPr>
        <w:footnoteRef/>
      </w:r>
      <w:r>
        <w:t xml:space="preserve"> </w:t>
      </w:r>
      <w:r>
        <w:tab/>
      </w:r>
      <w:r w:rsidRPr="006B4CD9">
        <w:t xml:space="preserve">AER, </w:t>
      </w:r>
      <w:r w:rsidRPr="006B4CD9">
        <w:rPr>
          <w:rStyle w:val="Emphasis"/>
        </w:rPr>
        <w:t>Expenditure Forecast Assessment Guideline for Electricity Distribution</w:t>
      </w:r>
      <w:r w:rsidRPr="006B4CD9">
        <w:t>, November 2013, pp. 7–8.</w:t>
      </w:r>
    </w:p>
  </w:footnote>
  <w:footnote w:id="40">
    <w:p w:rsidR="008B40D8" w:rsidRDefault="008B40D8">
      <w:pPr>
        <w:pStyle w:val="FootnoteText"/>
      </w:pPr>
      <w:r>
        <w:rPr>
          <w:rStyle w:val="FootnoteReference"/>
        </w:rPr>
        <w:footnoteRef/>
      </w:r>
      <w:r>
        <w:t xml:space="preserve"> </w:t>
      </w:r>
      <w:r>
        <w:tab/>
      </w:r>
      <w:r w:rsidRPr="006B4CD9">
        <w:t xml:space="preserve">AER, </w:t>
      </w:r>
      <w:r w:rsidRPr="00832AFF">
        <w:rPr>
          <w:rStyle w:val="Emphasis"/>
        </w:rPr>
        <w:t>Draft Decision -TasNetworks distribution determination - Attachment 7 - Operating expenditure</w:t>
      </w:r>
      <w:r w:rsidRPr="006B4CD9">
        <w:t>, September 2016, p.</w:t>
      </w:r>
      <w:r>
        <w:t> 7-</w:t>
      </w:r>
      <w:r w:rsidRPr="006B4CD9">
        <w:t>14.</w:t>
      </w:r>
    </w:p>
  </w:footnote>
  <w:footnote w:id="41">
    <w:p w:rsidR="008B40D8" w:rsidRDefault="008B40D8">
      <w:pPr>
        <w:pStyle w:val="FootnoteText"/>
      </w:pPr>
      <w:r>
        <w:rPr>
          <w:rStyle w:val="FootnoteReference"/>
        </w:rPr>
        <w:footnoteRef/>
      </w:r>
      <w:r>
        <w:t xml:space="preserve"> </w:t>
      </w:r>
      <w:r>
        <w:tab/>
      </w:r>
      <w:r w:rsidRPr="00DE4DD5">
        <w:t xml:space="preserve">CCP4 – David Headberry, </w:t>
      </w:r>
      <w:r w:rsidRPr="00086688">
        <w:rPr>
          <w:rStyle w:val="AERtextitalic"/>
        </w:rPr>
        <w:t>Submission on TasNetworks’ revised proposal</w:t>
      </w:r>
      <w:r w:rsidRPr="00DE4DD5">
        <w:t>, 12 December 2016, p. 14.</w:t>
      </w:r>
    </w:p>
  </w:footnote>
  <w:footnote w:id="42">
    <w:p w:rsidR="008B40D8" w:rsidRDefault="008B40D8" w:rsidP="004130CF">
      <w:pPr>
        <w:pStyle w:val="FootnoteText"/>
      </w:pPr>
      <w:r>
        <w:rPr>
          <w:rStyle w:val="FootnoteReference"/>
        </w:rPr>
        <w:footnoteRef/>
      </w:r>
      <w:r>
        <w:t xml:space="preserve"> </w:t>
      </w:r>
      <w:r>
        <w:tab/>
        <w:t>Under the NER, w</w:t>
      </w:r>
      <w:r w:rsidRPr="004130CF">
        <w:t>e must consider whether the opex forecast is consistent with any relevant incentive scheme</w:t>
      </w:r>
      <w:r>
        <w:t xml:space="preserve"> (</w:t>
      </w:r>
      <w:r w:rsidRPr="00DE4DD5">
        <w:t>cl. 6.5.6(e)(8)</w:t>
      </w:r>
      <w:r>
        <w:t>).</w:t>
      </w:r>
    </w:p>
  </w:footnote>
  <w:footnote w:id="43">
    <w:p w:rsidR="008B40D8" w:rsidRDefault="008B40D8" w:rsidP="005375DB">
      <w:pPr>
        <w:pStyle w:val="FootnoteText"/>
      </w:pPr>
      <w:r>
        <w:rPr>
          <w:rStyle w:val="FootnoteReference"/>
        </w:rPr>
        <w:footnoteRef/>
      </w:r>
      <w:r>
        <w:t xml:space="preserve"> </w:t>
      </w:r>
      <w:r>
        <w:tab/>
      </w:r>
      <w:r w:rsidRPr="006B4CD9">
        <w:t xml:space="preserve">Tasmanian Small Business Council, </w:t>
      </w:r>
      <w:r w:rsidRPr="006B4CD9">
        <w:rPr>
          <w:rStyle w:val="Emphasis"/>
        </w:rPr>
        <w:t>Submission on TasNetworks’ draft decision and tariff structure statement</w:t>
      </w:r>
      <w:r w:rsidRPr="006B4CD9">
        <w:t>, November 2016, p. 14.</w:t>
      </w:r>
    </w:p>
  </w:footnote>
  <w:footnote w:id="44">
    <w:p w:rsidR="008B40D8" w:rsidRDefault="008B40D8" w:rsidP="0040283A">
      <w:pPr>
        <w:pStyle w:val="FootnoteText"/>
      </w:pPr>
      <w:r>
        <w:rPr>
          <w:rStyle w:val="FootnoteReference"/>
        </w:rPr>
        <w:footnoteRef/>
      </w:r>
      <w:r>
        <w:t xml:space="preserve"> </w:t>
      </w:r>
      <w:r>
        <w:tab/>
      </w:r>
      <w:r w:rsidRPr="006B4CD9">
        <w:t xml:space="preserve">Tasmanian Small Business Council, </w:t>
      </w:r>
      <w:r w:rsidRPr="006B4CD9">
        <w:rPr>
          <w:rStyle w:val="Emphasis"/>
        </w:rPr>
        <w:t>Submission on TasNetworks’ draft decision and tariff structure statement</w:t>
      </w:r>
      <w:r w:rsidRPr="006B4CD9">
        <w:t>, November 2016, p. 14.</w:t>
      </w:r>
    </w:p>
  </w:footnote>
  <w:footnote w:id="45">
    <w:p w:rsidR="008B40D8" w:rsidRDefault="008B40D8" w:rsidP="0040283A">
      <w:pPr>
        <w:pStyle w:val="FootnoteText"/>
      </w:pPr>
      <w:r>
        <w:rPr>
          <w:rStyle w:val="FootnoteReference"/>
        </w:rPr>
        <w:footnoteRef/>
      </w:r>
      <w:r>
        <w:t xml:space="preserve"> </w:t>
      </w:r>
      <w:r>
        <w:tab/>
      </w:r>
      <w:r w:rsidRPr="006B4CD9">
        <w:t xml:space="preserve">AER, </w:t>
      </w:r>
      <w:r w:rsidRPr="00832AFF">
        <w:rPr>
          <w:rStyle w:val="Emphasis"/>
        </w:rPr>
        <w:t>Draft Decision -TasNetworks distribution determination - Attachment 7 - Operating expenditure</w:t>
      </w:r>
      <w:r w:rsidRPr="006B4CD9">
        <w:t>, September 2016, p.</w:t>
      </w:r>
      <w:r>
        <w:t> </w:t>
      </w:r>
      <w:r w:rsidRPr="006B4CD9">
        <w:t>16.</w:t>
      </w:r>
    </w:p>
  </w:footnote>
  <w:footnote w:id="46">
    <w:p w:rsidR="008B40D8" w:rsidRDefault="008B40D8">
      <w:pPr>
        <w:pStyle w:val="FootnoteText"/>
      </w:pPr>
      <w:r>
        <w:rPr>
          <w:rStyle w:val="FootnoteReference"/>
        </w:rPr>
        <w:footnoteRef/>
      </w:r>
      <w:r>
        <w:t xml:space="preserve"> </w:t>
      </w:r>
      <w:r>
        <w:tab/>
      </w:r>
      <w:hyperlink r:id="rId1" w:history="1">
        <w:r w:rsidRPr="00677DBE">
          <w:rPr>
            <w:rStyle w:val="Hyperlink"/>
            <w:sz w:val="16"/>
          </w:rPr>
          <w:t>www.aer.gov.au/networks-pipelines/determinations-access-arrangements/tasnetworks-formerly-aurora-energy-2017-2019/draft-decision</w:t>
        </w:r>
      </w:hyperlink>
      <w:r>
        <w:t xml:space="preserve">. </w:t>
      </w:r>
    </w:p>
  </w:footnote>
  <w:footnote w:id="47">
    <w:p w:rsidR="008B40D8" w:rsidRDefault="008B40D8" w:rsidP="00FD3D76">
      <w:pPr>
        <w:pStyle w:val="FootnoteText"/>
      </w:pPr>
      <w:r>
        <w:rPr>
          <w:rStyle w:val="FootnoteReference"/>
        </w:rPr>
        <w:footnoteRef/>
      </w:r>
      <w:r>
        <w:t xml:space="preserve"> </w:t>
      </w:r>
      <w:r>
        <w:tab/>
        <w:t xml:space="preserve">NER, cl. 6.4.3(a)(4). </w:t>
      </w:r>
    </w:p>
  </w:footnote>
  <w:footnote w:id="48">
    <w:p w:rsidR="008B40D8" w:rsidRDefault="008B40D8" w:rsidP="00725F66">
      <w:pPr>
        <w:pStyle w:val="FootnoteText"/>
      </w:pPr>
      <w:r>
        <w:rPr>
          <w:rStyle w:val="FootnoteReference"/>
        </w:rPr>
        <w:footnoteRef/>
      </w:r>
      <w:r>
        <w:t xml:space="preserve"> </w:t>
      </w:r>
      <w:r>
        <w:tab/>
        <w:t>NER, cl. 6.5.3.</w:t>
      </w:r>
    </w:p>
  </w:footnote>
  <w:footnote w:id="49">
    <w:p w:rsidR="008B40D8" w:rsidRDefault="008B40D8" w:rsidP="00725F66">
      <w:pPr>
        <w:pStyle w:val="FootnoteText"/>
      </w:pPr>
      <w:r>
        <w:rPr>
          <w:rStyle w:val="FootnoteReference"/>
        </w:rPr>
        <w:footnoteRef/>
      </w:r>
      <w:r>
        <w:t xml:space="preserve"> </w:t>
      </w:r>
      <w:r>
        <w:tab/>
      </w:r>
      <w:r w:rsidRPr="00A652CF">
        <w:t xml:space="preserve">Remaining </w:t>
      </w:r>
      <w:r>
        <w:t xml:space="preserve">tax </w:t>
      </w:r>
      <w:r w:rsidRPr="00A652CF">
        <w:t>asse</w:t>
      </w:r>
      <w:r>
        <w:t>t lives as at 1 July</w:t>
      </w:r>
      <w:r w:rsidRPr="00A652CF">
        <w:t xml:space="preserve"> 201</w:t>
      </w:r>
      <w:r>
        <w:t>2</w:t>
      </w:r>
      <w:r w:rsidRPr="00A652CF">
        <w:t xml:space="preserve"> </w:t>
      </w:r>
      <w:r>
        <w:t xml:space="preserve">and standard tax asset lives </w:t>
      </w:r>
      <w:r w:rsidRPr="00A652CF">
        <w:t xml:space="preserve">are used </w:t>
      </w:r>
      <w:r>
        <w:t>in</w:t>
      </w:r>
      <w:r w:rsidRPr="00A652CF">
        <w:t xml:space="preserve"> the year-by-year tracking </w:t>
      </w:r>
      <w:r>
        <w:t>method</w:t>
      </w:r>
      <w:r w:rsidRPr="00A652CF">
        <w:t>, and these are consistent with our 201</w:t>
      </w:r>
      <w:r>
        <w:t>2 distribution</w:t>
      </w:r>
      <w:r w:rsidRPr="00A652CF">
        <w:t xml:space="preserve"> determination.</w:t>
      </w:r>
    </w:p>
  </w:footnote>
  <w:footnote w:id="50">
    <w:p w:rsidR="008B40D8" w:rsidRDefault="008B40D8">
      <w:pPr>
        <w:pStyle w:val="FootnoteText"/>
      </w:pPr>
      <w:r>
        <w:rPr>
          <w:rStyle w:val="FootnoteReference"/>
        </w:rPr>
        <w:footnoteRef/>
      </w:r>
      <w:r>
        <w:t xml:space="preserve"> </w:t>
      </w:r>
      <w:r>
        <w:tab/>
      </w:r>
      <w:r w:rsidRPr="00D91018">
        <w:t xml:space="preserve">AER, </w:t>
      </w:r>
      <w:r w:rsidRPr="00D91018">
        <w:rPr>
          <w:rStyle w:val="Emphasis"/>
        </w:rPr>
        <w:t>Draft decision, TasNetworks distribution determination 2017–18 to 2018–19: Attachment 13–Classification of services</w:t>
      </w:r>
      <w:r w:rsidRPr="00D91018">
        <w:t>, September 2016.</w:t>
      </w:r>
    </w:p>
  </w:footnote>
  <w:footnote w:id="51">
    <w:p w:rsidR="008B40D8" w:rsidRDefault="008B40D8" w:rsidP="00D91018">
      <w:pPr>
        <w:pStyle w:val="FootnoteText"/>
      </w:pPr>
      <w:r>
        <w:rPr>
          <w:rStyle w:val="FootnoteReference"/>
        </w:rPr>
        <w:footnoteRef/>
      </w:r>
      <w:r>
        <w:t xml:space="preserve"> </w:t>
      </w:r>
      <w:r>
        <w:tab/>
      </w:r>
      <w:r w:rsidRPr="00C2369A">
        <w:t xml:space="preserve">AER, </w:t>
      </w:r>
      <w:r w:rsidRPr="00C2369A">
        <w:rPr>
          <w:i/>
        </w:rPr>
        <w:t>Final framework and approach for TasNetworks distribution regulatory control period 2017-19</w:t>
      </w:r>
      <w:r w:rsidRPr="00C2369A">
        <w:t>, 9 July 2015</w:t>
      </w:r>
      <w:r>
        <w:t>.</w:t>
      </w:r>
    </w:p>
  </w:footnote>
  <w:footnote w:id="52">
    <w:p w:rsidR="008B40D8" w:rsidRDefault="008B40D8">
      <w:pPr>
        <w:pStyle w:val="FootnoteText"/>
      </w:pPr>
      <w:r>
        <w:rPr>
          <w:rStyle w:val="FootnoteReference"/>
        </w:rPr>
        <w:footnoteRef/>
      </w:r>
      <w:r>
        <w:t xml:space="preserve"> </w:t>
      </w:r>
      <w:r>
        <w:tab/>
      </w:r>
      <w:r w:rsidRPr="00F97D06">
        <w:t>Consumer Challenge Panel (David Headberry), Response to the AER Draft Decision and Revised Proposal, 12 December 2016, p. 38.</w:t>
      </w:r>
    </w:p>
  </w:footnote>
  <w:footnote w:id="53">
    <w:p w:rsidR="008B40D8" w:rsidRDefault="008B40D8">
      <w:pPr>
        <w:pStyle w:val="FootnoteText"/>
      </w:pPr>
      <w:r>
        <w:rPr>
          <w:rStyle w:val="FootnoteReference"/>
        </w:rPr>
        <w:footnoteRef/>
      </w:r>
      <w:r>
        <w:t xml:space="preserve"> </w:t>
      </w:r>
      <w:r>
        <w:tab/>
      </w:r>
      <w:r w:rsidRPr="00F97D06">
        <w:t>TasNetworks, TasNetworks response to questions raised by the AER (IR#021), 15 February 2017, p. 6.</w:t>
      </w:r>
    </w:p>
  </w:footnote>
  <w:footnote w:id="54">
    <w:p w:rsidR="008B40D8" w:rsidRDefault="008B40D8" w:rsidP="00E67F2A">
      <w:pPr>
        <w:pStyle w:val="FootnoteText"/>
      </w:pPr>
      <w:r>
        <w:rPr>
          <w:rStyle w:val="FootnoteReference"/>
        </w:rPr>
        <w:footnoteRef/>
      </w:r>
      <w:r>
        <w:t xml:space="preserve"> </w:t>
      </w:r>
      <w:r>
        <w:tab/>
      </w:r>
      <w:r w:rsidRPr="00DA4EED">
        <w:t>AER</w:t>
      </w:r>
      <w:r w:rsidRPr="00DA4EED">
        <w:rPr>
          <w:rStyle w:val="AERtextitalic"/>
        </w:rPr>
        <w:t>, Framework and approach for TasNetworks Distribution for the Regulatory control period commencing 1 July 2017</w:t>
      </w:r>
      <w:r w:rsidRPr="00DA4EED">
        <w:t>, July 2015, p. 14</w:t>
      </w:r>
      <w:r>
        <w:t>.</w:t>
      </w:r>
      <w:r w:rsidRPr="00DA4EED">
        <w:t xml:space="preserve"> </w:t>
      </w:r>
    </w:p>
  </w:footnote>
  <w:footnote w:id="55">
    <w:p w:rsidR="008B40D8" w:rsidRDefault="008B40D8" w:rsidP="00E67F2A">
      <w:pPr>
        <w:pStyle w:val="FootnoteText"/>
      </w:pPr>
      <w:r>
        <w:rPr>
          <w:rStyle w:val="FootnoteReference"/>
        </w:rPr>
        <w:footnoteRef/>
      </w:r>
      <w:r>
        <w:t xml:space="preserve"> </w:t>
      </w:r>
      <w:r>
        <w:tab/>
      </w:r>
      <w:r w:rsidRPr="00DA4EED">
        <w:t xml:space="preserve">TasNetworks, </w:t>
      </w:r>
      <w:r w:rsidRPr="00DA4EED">
        <w:rPr>
          <w:rStyle w:val="AERtextitalic"/>
        </w:rPr>
        <w:t>AER information request: TasNetworks response to questions raised by the AER</w:t>
      </w:r>
      <w:r w:rsidRPr="00DA4EED">
        <w:t>, 7 March 2016, p.</w:t>
      </w:r>
      <w:r>
        <w:t> </w:t>
      </w:r>
      <w:r w:rsidRPr="00DA4EED">
        <w:t xml:space="preserve">4 (TasNetworks, </w:t>
      </w:r>
      <w:r w:rsidRPr="00DA4EED">
        <w:rPr>
          <w:rStyle w:val="AERtextitalic"/>
        </w:rPr>
        <w:t>Response to questions raised by the AER</w:t>
      </w:r>
      <w:r w:rsidRPr="00DA4EED">
        <w:t>, 7 March 2016).</w:t>
      </w:r>
    </w:p>
  </w:footnote>
  <w:footnote w:id="56">
    <w:p w:rsidR="008B40D8" w:rsidRDefault="008B40D8" w:rsidP="00E67F2A">
      <w:pPr>
        <w:pStyle w:val="FootnoteText"/>
      </w:pPr>
      <w:r>
        <w:rPr>
          <w:rStyle w:val="FootnoteReference"/>
        </w:rPr>
        <w:footnoteRef/>
      </w:r>
      <w:r>
        <w:t xml:space="preserve"> </w:t>
      </w:r>
      <w:r>
        <w:tab/>
        <w:t>AER</w:t>
      </w:r>
      <w:r w:rsidRPr="000C1DDC">
        <w:rPr>
          <w:rStyle w:val="AERtextitalic"/>
        </w:rPr>
        <w:t>, Draft decision, TasNetworks distribution determination 2017–18 to 2018–19: Attachment 14–Control mechanisms</w:t>
      </w:r>
      <w:r>
        <w:t>, September 2016.</w:t>
      </w:r>
    </w:p>
  </w:footnote>
  <w:footnote w:id="57">
    <w:p w:rsidR="008B40D8" w:rsidRDefault="008B40D8">
      <w:pPr>
        <w:pStyle w:val="FootnoteText"/>
      </w:pPr>
      <w:r>
        <w:rPr>
          <w:rStyle w:val="FootnoteReference"/>
        </w:rPr>
        <w:footnoteRef/>
      </w:r>
      <w:r>
        <w:t xml:space="preserve"> </w:t>
      </w:r>
      <w:r>
        <w:tab/>
        <w:t xml:space="preserve">TasNetworks, </w:t>
      </w:r>
      <w:r w:rsidRPr="00353B7C">
        <w:rPr>
          <w:rStyle w:val="AERtextitalic"/>
        </w:rPr>
        <w:t>Tasmanian distribution revised regulatory proposal–Regulatory control period 1 July 2017 to 30 June 2019</w:t>
      </w:r>
      <w:r>
        <w:t>, December 2016, pp. 16–17.</w:t>
      </w:r>
    </w:p>
  </w:footnote>
  <w:footnote w:id="58">
    <w:p w:rsidR="008B40D8" w:rsidRDefault="008B40D8" w:rsidP="00A52CE1">
      <w:pPr>
        <w:pStyle w:val="FootnoteText"/>
      </w:pPr>
      <w:r>
        <w:rPr>
          <w:rStyle w:val="FootnoteReference"/>
        </w:rPr>
        <w:footnoteRef/>
      </w:r>
      <w:r>
        <w:t xml:space="preserve"> </w:t>
      </w:r>
      <w:r>
        <w:tab/>
      </w:r>
      <w:r w:rsidRPr="00DA4EED">
        <w:t>AER</w:t>
      </w:r>
      <w:r w:rsidRPr="00DA4EED">
        <w:rPr>
          <w:rStyle w:val="AERtextitalic"/>
        </w:rPr>
        <w:t>, Framework and approach for TasNetworks Distribution for the Regulatory control period commencing 1 July 2017</w:t>
      </w:r>
      <w:r w:rsidRPr="00DA4EED">
        <w:t>, July 2015, p. 14</w:t>
      </w:r>
      <w:r>
        <w:t>.</w:t>
      </w:r>
      <w:r w:rsidRPr="00DA4EED">
        <w:t xml:space="preserve"> </w:t>
      </w:r>
    </w:p>
  </w:footnote>
  <w:footnote w:id="59">
    <w:p w:rsidR="008B40D8" w:rsidRDefault="008B40D8" w:rsidP="00A52CE1">
      <w:pPr>
        <w:pStyle w:val="FootnoteText"/>
      </w:pPr>
      <w:r>
        <w:rPr>
          <w:rStyle w:val="FootnoteReference"/>
        </w:rPr>
        <w:footnoteRef/>
      </w:r>
      <w:r>
        <w:t xml:space="preserve"> </w:t>
      </w:r>
      <w:r>
        <w:tab/>
      </w:r>
      <w:r w:rsidRPr="00C06F0E">
        <w:t xml:space="preserve">TasNetworks, </w:t>
      </w:r>
      <w:r w:rsidRPr="00C06F0E">
        <w:rPr>
          <w:rStyle w:val="AERtextitalic"/>
        </w:rPr>
        <w:t>Alternative control services descriptions paper: Regulatory control period 1 July 2017 to 30 June 2019</w:t>
      </w:r>
      <w:r w:rsidRPr="00C06F0E">
        <w:t>, January 2016, p</w:t>
      </w:r>
      <w:r>
        <w:t>p</w:t>
      </w:r>
      <w:r w:rsidRPr="00C06F0E">
        <w:t xml:space="preserve">. </w:t>
      </w:r>
      <w:r>
        <w:t xml:space="preserve">6, 8, </w:t>
      </w:r>
      <w:r w:rsidRPr="00C06F0E">
        <w:t>19</w:t>
      </w:r>
      <w:r>
        <w:t>, 34.</w:t>
      </w:r>
    </w:p>
  </w:footnote>
  <w:footnote w:id="60">
    <w:p w:rsidR="008B40D8" w:rsidRDefault="008B40D8" w:rsidP="00A52CE1">
      <w:pPr>
        <w:pStyle w:val="FootnoteText"/>
      </w:pPr>
      <w:r>
        <w:rPr>
          <w:rStyle w:val="FootnoteReference"/>
        </w:rPr>
        <w:footnoteRef/>
      </w:r>
      <w:r>
        <w:t xml:space="preserve"> </w:t>
      </w:r>
      <w:r>
        <w:tab/>
        <w:t>AER</w:t>
      </w:r>
      <w:r w:rsidRPr="000C1DDC">
        <w:rPr>
          <w:rStyle w:val="AERtextitalic"/>
        </w:rPr>
        <w:t>, Draft decision, TasNetworks distribution determination 2017–18 to 2018–19: Attachment 1</w:t>
      </w:r>
      <w:r>
        <w:rPr>
          <w:rStyle w:val="AERtextitalic"/>
        </w:rPr>
        <w:t>6</w:t>
      </w:r>
      <w:r w:rsidRPr="000C1DDC">
        <w:rPr>
          <w:rStyle w:val="AERtextitalic"/>
        </w:rPr>
        <w:t>–</w:t>
      </w:r>
      <w:r>
        <w:rPr>
          <w:rStyle w:val="AERtextitalic"/>
        </w:rPr>
        <w:t>Alternative c</w:t>
      </w:r>
      <w:r w:rsidRPr="000C1DDC">
        <w:rPr>
          <w:rStyle w:val="AERtextitalic"/>
        </w:rPr>
        <w:t xml:space="preserve">ontrol </w:t>
      </w:r>
      <w:r>
        <w:rPr>
          <w:rStyle w:val="AERtextitalic"/>
        </w:rPr>
        <w:t>service</w:t>
      </w:r>
      <w:r w:rsidRPr="000C1DDC">
        <w:rPr>
          <w:rStyle w:val="AERtextitalic"/>
        </w:rPr>
        <w:t>s</w:t>
      </w:r>
      <w:r>
        <w:t>, September 2016.</w:t>
      </w:r>
    </w:p>
  </w:footnote>
  <w:footnote w:id="61">
    <w:p w:rsidR="008B40D8" w:rsidRDefault="008B40D8" w:rsidP="0015634D">
      <w:pPr>
        <w:pStyle w:val="FootnoteText"/>
      </w:pPr>
      <w:r>
        <w:rPr>
          <w:rStyle w:val="FootnoteReference"/>
        </w:rPr>
        <w:footnoteRef/>
      </w:r>
      <w:r>
        <w:t xml:space="preserve"> </w:t>
      </w:r>
      <w:r>
        <w:tab/>
        <w:t xml:space="preserve">TasNetworks, </w:t>
      </w:r>
      <w:r w:rsidRPr="00353B7C">
        <w:rPr>
          <w:rStyle w:val="AERtextitalic"/>
        </w:rPr>
        <w:t>Tasmanian distribution revised regulatory proposal–Regulatory control period 1 July 2017 to 30 June 2019</w:t>
      </w:r>
      <w:r>
        <w:t>, December 2016, pp. 24–26.</w:t>
      </w:r>
    </w:p>
  </w:footnote>
  <w:footnote w:id="62">
    <w:p w:rsidR="008B40D8" w:rsidRDefault="008B40D8">
      <w:pPr>
        <w:pStyle w:val="FootnoteText"/>
      </w:pPr>
      <w:r>
        <w:rPr>
          <w:rStyle w:val="FootnoteReference"/>
        </w:rPr>
        <w:footnoteRef/>
      </w:r>
      <w:r>
        <w:t xml:space="preserve"> </w:t>
      </w:r>
      <w:r>
        <w:tab/>
      </w:r>
      <w:r w:rsidRPr="009F73F3">
        <w:t>The service provider keeps any efficiency gains in the year it makes them. The service provider then keeps those gains for the length of the carryover period. The carryover length is usually five years so the service provider keeps efficiency gains for a total of six years.</w:t>
      </w:r>
    </w:p>
  </w:footnote>
  <w:footnote w:id="63">
    <w:p w:rsidR="008B40D8" w:rsidRPr="009F73F3" w:rsidRDefault="008B40D8" w:rsidP="009F73F3">
      <w:pPr>
        <w:pStyle w:val="FootnoteText"/>
      </w:pPr>
      <w:r>
        <w:rPr>
          <w:rStyle w:val="FootnoteReference"/>
        </w:rPr>
        <w:footnoteRef/>
      </w:r>
      <w:r>
        <w:t xml:space="preserve"> </w:t>
      </w:r>
      <w:r>
        <w:tab/>
      </w:r>
      <w:r w:rsidRPr="009F73F3">
        <w:t xml:space="preserve">AER, </w:t>
      </w:r>
      <w:r w:rsidRPr="008B40D8">
        <w:rPr>
          <w:rStyle w:val="AERtextitalic"/>
        </w:rPr>
        <w:t>Electricity distribution network service providers—Efficiency benefit sharing scheme</w:t>
      </w:r>
      <w:r w:rsidRPr="009F73F3">
        <w:t xml:space="preserve">, June 2008. </w:t>
      </w:r>
    </w:p>
    <w:p w:rsidR="008B40D8" w:rsidRDefault="008B40D8" w:rsidP="009F73F3">
      <w:pPr>
        <w:pStyle w:val="FootnoteText"/>
      </w:pPr>
      <w:r w:rsidRPr="009F73F3">
        <w:t xml:space="preserve">        AER, </w:t>
      </w:r>
      <w:r w:rsidRPr="008B40D8">
        <w:rPr>
          <w:rStyle w:val="AERtextitalic"/>
        </w:rPr>
        <w:t>Final distribution determination for Aurora Energy 2012–17 - Attachments</w:t>
      </w:r>
      <w:r w:rsidRPr="009F73F3">
        <w:t>, April 2012, p. 273.</w:t>
      </w:r>
    </w:p>
  </w:footnote>
  <w:footnote w:id="64">
    <w:p w:rsidR="008B40D8" w:rsidRDefault="008B40D8">
      <w:pPr>
        <w:pStyle w:val="FootnoteText"/>
      </w:pPr>
      <w:r>
        <w:rPr>
          <w:rStyle w:val="FootnoteReference"/>
        </w:rPr>
        <w:footnoteRef/>
      </w:r>
      <w:r>
        <w:t xml:space="preserve"> </w:t>
      </w:r>
      <w:r>
        <w:tab/>
      </w:r>
      <w:r w:rsidRPr="009F73F3">
        <w:t xml:space="preserve">AER, </w:t>
      </w:r>
      <w:r w:rsidRPr="008B40D8">
        <w:rPr>
          <w:rStyle w:val="AERtextitalic"/>
        </w:rPr>
        <w:t>Electricity distribution network service providers—Efficiency benefit sharing scheme</w:t>
      </w:r>
      <w:r w:rsidRPr="009F73F3">
        <w:t>, June 2008.</w:t>
      </w:r>
    </w:p>
  </w:footnote>
  <w:footnote w:id="65">
    <w:p w:rsidR="008B40D8" w:rsidRDefault="008B40D8">
      <w:pPr>
        <w:pStyle w:val="FootnoteText"/>
      </w:pPr>
      <w:r>
        <w:rPr>
          <w:rStyle w:val="FootnoteReference"/>
        </w:rPr>
        <w:footnoteRef/>
      </w:r>
      <w:r>
        <w:t xml:space="preserve"> </w:t>
      </w:r>
      <w:r>
        <w:tab/>
      </w:r>
      <w:r w:rsidRPr="009F73F3">
        <w:t>AER, Efficiency benefit sharing scheme for electricity network service providers, November 2013.</w:t>
      </w:r>
    </w:p>
  </w:footnote>
  <w:footnote w:id="66">
    <w:p w:rsidR="008B40D8" w:rsidRDefault="008B40D8">
      <w:pPr>
        <w:pStyle w:val="FootnoteText"/>
      </w:pPr>
      <w:r>
        <w:rPr>
          <w:rStyle w:val="FootnoteReference"/>
        </w:rPr>
        <w:footnoteRef/>
      </w:r>
      <w:r>
        <w:t xml:space="preserve"> </w:t>
      </w:r>
      <w:r>
        <w:tab/>
      </w:r>
      <w:r w:rsidRPr="009F73F3">
        <w:t>AER, Draft Decision - TasNetworks distribution determination 2017–19 - Attachment 9 – EBSS, September 2016, p. 9-7.</w:t>
      </w:r>
    </w:p>
  </w:footnote>
  <w:footnote w:id="67">
    <w:p w:rsidR="008B40D8" w:rsidRDefault="008B40D8" w:rsidP="00F83919">
      <w:pPr>
        <w:pStyle w:val="FootnoteText"/>
      </w:pPr>
      <w:r>
        <w:rPr>
          <w:rStyle w:val="FootnoteReference"/>
        </w:rPr>
        <w:footnoteRef/>
      </w:r>
      <w:r>
        <w:t xml:space="preserve"> </w:t>
      </w:r>
      <w:r>
        <w:tab/>
        <w:t xml:space="preserve">AER, </w:t>
      </w:r>
      <w:r>
        <w:rPr>
          <w:rStyle w:val="AERtextitalic"/>
        </w:rPr>
        <w:t>Capex incentive guideline</w:t>
      </w:r>
      <w:r>
        <w:t>, November 2013, pp. 5</w:t>
      </w:r>
      <w:r>
        <w:rPr>
          <w:rFonts w:cs="Gautami"/>
        </w:rPr>
        <w:t>–</w:t>
      </w:r>
      <w:r>
        <w:t>9.</w:t>
      </w:r>
    </w:p>
  </w:footnote>
  <w:footnote w:id="68">
    <w:p w:rsidR="008B40D8" w:rsidRDefault="008B40D8" w:rsidP="00F83919">
      <w:pPr>
        <w:pStyle w:val="FootnoteText"/>
      </w:pPr>
      <w:r>
        <w:rPr>
          <w:rStyle w:val="FootnoteReference"/>
        </w:rPr>
        <w:footnoteRef/>
      </w:r>
      <w:r>
        <w:t xml:space="preserve"> </w:t>
      </w:r>
      <w:r>
        <w:tab/>
        <w:t xml:space="preserve">AER, </w:t>
      </w:r>
      <w:r w:rsidRPr="00465A73">
        <w:rPr>
          <w:rStyle w:val="AERtextitalic"/>
        </w:rPr>
        <w:t>Framework and approach for TasNetworks Distribution for the Regulatory control period commencing 1 July 2017</w:t>
      </w:r>
      <w:r>
        <w:t xml:space="preserve">, July 2015, p. 15; AER, </w:t>
      </w:r>
      <w:r w:rsidRPr="00465A73">
        <w:rPr>
          <w:rStyle w:val="AERtextitalic"/>
        </w:rPr>
        <w:t>Draft decision, TasNetworks distribution determination 2017–18 to 2018–19</w:t>
      </w:r>
      <w:r>
        <w:t xml:space="preserve">, Attachment 10, September 2016. </w:t>
      </w:r>
    </w:p>
  </w:footnote>
  <w:footnote w:id="69">
    <w:p w:rsidR="008B40D8" w:rsidRDefault="008B40D8" w:rsidP="00E04EF0">
      <w:pPr>
        <w:pStyle w:val="FootnoteText"/>
      </w:pPr>
      <w:r>
        <w:rPr>
          <w:rStyle w:val="FootnoteReference"/>
        </w:rPr>
        <w:footnoteRef/>
      </w:r>
      <w:r>
        <w:t xml:space="preserve"> </w:t>
      </w:r>
      <w:r>
        <w:tab/>
        <w:t xml:space="preserve">TasNetworks, </w:t>
      </w:r>
      <w:r w:rsidRPr="00465A73">
        <w:rPr>
          <w:rStyle w:val="AERtextitalic"/>
        </w:rPr>
        <w:t>Distribution Revised Regulatory Proposal 2017 - 2019</w:t>
      </w:r>
      <w:r>
        <w:t xml:space="preserve">, December 2016, p. 23. </w:t>
      </w:r>
    </w:p>
  </w:footnote>
  <w:footnote w:id="70">
    <w:p w:rsidR="008B40D8" w:rsidRDefault="008B40D8" w:rsidP="00E04EF0">
      <w:pPr>
        <w:pStyle w:val="FootnoteText"/>
      </w:pPr>
      <w:r>
        <w:rPr>
          <w:rStyle w:val="FootnoteReference"/>
        </w:rPr>
        <w:footnoteRef/>
      </w:r>
      <w:r>
        <w:t xml:space="preserve"> </w:t>
      </w:r>
      <w:r>
        <w:tab/>
        <w:t xml:space="preserve">TasNetworks, </w:t>
      </w:r>
      <w:r w:rsidRPr="00465A73">
        <w:rPr>
          <w:rStyle w:val="AERtextitalic"/>
        </w:rPr>
        <w:t>TasNetworks response to AER Information Request #019</w:t>
      </w:r>
      <w:r>
        <w:t xml:space="preserve">, 20 January, 2017, pp. 7-9; TasNetworks, </w:t>
      </w:r>
      <w:r w:rsidRPr="00465A73">
        <w:rPr>
          <w:rStyle w:val="AERtextitalic"/>
        </w:rPr>
        <w:t>TasNetworks response to AER Information Request #018</w:t>
      </w:r>
      <w:r>
        <w:t>, GHD Report, 21 December 2016.</w:t>
      </w:r>
    </w:p>
  </w:footnote>
  <w:footnote w:id="71">
    <w:p w:rsidR="008B40D8" w:rsidRDefault="008B40D8" w:rsidP="00E04EF0">
      <w:pPr>
        <w:pStyle w:val="FootnoteText"/>
      </w:pPr>
      <w:r>
        <w:rPr>
          <w:rStyle w:val="FootnoteReference"/>
        </w:rPr>
        <w:footnoteRef/>
      </w:r>
      <w:r>
        <w:t xml:space="preserve"> </w:t>
      </w:r>
      <w:r>
        <w:tab/>
      </w:r>
      <w:r w:rsidRPr="00851F4E">
        <w:t>Tasmanian Small Business Council</w:t>
      </w:r>
      <w:r>
        <w:t xml:space="preserve">, </w:t>
      </w:r>
      <w:r w:rsidRPr="00465A73">
        <w:rPr>
          <w:rStyle w:val="AERtextitalic"/>
        </w:rPr>
        <w:t>Submission on TasNetworks' draft decision and tariff structure statement (TSS)</w:t>
      </w:r>
      <w:r w:rsidRPr="00851F4E">
        <w:t xml:space="preserve"> - November 2016</w:t>
      </w:r>
      <w:r>
        <w:t>, p. 16.</w:t>
      </w:r>
    </w:p>
  </w:footnote>
  <w:footnote w:id="72">
    <w:p w:rsidR="008B40D8" w:rsidRDefault="008B40D8" w:rsidP="00E04EF0">
      <w:pPr>
        <w:pStyle w:val="FootnoteText"/>
      </w:pPr>
      <w:r>
        <w:rPr>
          <w:rStyle w:val="FootnoteReference"/>
        </w:rPr>
        <w:footnoteRef/>
      </w:r>
      <w:r>
        <w:t xml:space="preserve"> </w:t>
      </w:r>
      <w:r>
        <w:tab/>
        <w:t xml:space="preserve">CCP4 - David Headberry, </w:t>
      </w:r>
      <w:r w:rsidRPr="00465A73">
        <w:rPr>
          <w:rStyle w:val="AERtextitalic"/>
        </w:rPr>
        <w:t>Submission on TasNetworks' draft decision and tariff structure statement (TSS)</w:t>
      </w:r>
      <w:r w:rsidRPr="00E57022">
        <w:t xml:space="preserve"> - November 2016</w:t>
      </w:r>
      <w:r>
        <w:t>, p. 27.</w:t>
      </w:r>
    </w:p>
  </w:footnote>
  <w:footnote w:id="73">
    <w:p w:rsidR="008B40D8" w:rsidRDefault="008B40D8" w:rsidP="00E04EF0">
      <w:pPr>
        <w:pStyle w:val="FootnoteText"/>
      </w:pPr>
      <w:r>
        <w:rPr>
          <w:rStyle w:val="FootnoteReference"/>
        </w:rPr>
        <w:footnoteRef/>
      </w:r>
      <w:r>
        <w:t xml:space="preserve"> </w:t>
      </w:r>
      <w:r>
        <w:tab/>
        <w:t xml:space="preserve">AER, </w:t>
      </w:r>
      <w:r w:rsidRPr="00465A73">
        <w:rPr>
          <w:rStyle w:val="AERtextitalic"/>
        </w:rPr>
        <w:t>TasNetworks distribution draft determination 2017–19, Attachment 11 – STPIS</w:t>
      </w:r>
      <w:r>
        <w:t>, September 2016, p. 12.</w:t>
      </w:r>
    </w:p>
  </w:footnote>
  <w:footnote w:id="74">
    <w:p w:rsidR="008B40D8" w:rsidRDefault="008B40D8" w:rsidP="00E04EF0">
      <w:pPr>
        <w:pStyle w:val="FootnoteText"/>
      </w:pPr>
      <w:r>
        <w:rPr>
          <w:rStyle w:val="FootnoteReference"/>
        </w:rPr>
        <w:footnoteRef/>
      </w:r>
      <w:r>
        <w:t xml:space="preserve"> </w:t>
      </w:r>
      <w:r>
        <w:tab/>
        <w:t xml:space="preserve">OTTER, </w:t>
      </w:r>
      <w:r w:rsidRPr="001D5B65">
        <w:rPr>
          <w:rStyle w:val="AERtextitalic"/>
        </w:rPr>
        <w:t>Guideline - Guaranteed Service Level Scheme,</w:t>
      </w:r>
      <w:r>
        <w:t xml:space="preserve"> December 2007. </w:t>
      </w:r>
    </w:p>
  </w:footnote>
  <w:footnote w:id="75">
    <w:p w:rsidR="008B40D8" w:rsidRDefault="008B40D8" w:rsidP="00E04EF0">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TasNetworks Distribution—</w:t>
      </w:r>
      <w:r w:rsidRPr="008C1606">
        <w:rPr>
          <w:rStyle w:val="AERtextitalic"/>
        </w:rPr>
        <w:t>Regulatory control period commencing 1</w:t>
      </w:r>
      <w:r>
        <w:rPr>
          <w:rStyle w:val="AERtextitalic"/>
        </w:rPr>
        <w:t> </w:t>
      </w:r>
      <w:r w:rsidRPr="008C1606">
        <w:rPr>
          <w:rStyle w:val="AERtextitalic"/>
        </w:rPr>
        <w:t>J</w:t>
      </w:r>
      <w:r>
        <w:rPr>
          <w:rStyle w:val="AERtextitalic"/>
        </w:rPr>
        <w:t xml:space="preserve">uly </w:t>
      </w:r>
      <w:r w:rsidRPr="008C1606">
        <w:rPr>
          <w:rStyle w:val="AERtextitalic"/>
        </w:rPr>
        <w:t>201</w:t>
      </w:r>
      <w:r>
        <w:rPr>
          <w:rStyle w:val="AERtextitalic"/>
        </w:rPr>
        <w:t>7</w:t>
      </w:r>
      <w:r>
        <w:t>, July 2015</w:t>
      </w:r>
      <w:r w:rsidRPr="009274DD">
        <w:t>,</w:t>
      </w:r>
      <w:r>
        <w:t xml:space="preserve"> p. 15.</w:t>
      </w:r>
    </w:p>
  </w:footnote>
  <w:footnote w:id="76">
    <w:p w:rsidR="008B40D8" w:rsidRDefault="008B40D8" w:rsidP="00E04EF0">
      <w:pPr>
        <w:pStyle w:val="FootnoteText"/>
      </w:pPr>
      <w:r>
        <w:rPr>
          <w:rStyle w:val="FootnoteReference"/>
        </w:rPr>
        <w:footnoteRef/>
      </w:r>
      <w:r>
        <w:t xml:space="preserve"> </w:t>
      </w:r>
      <w:r>
        <w:tab/>
      </w:r>
      <w:r w:rsidRPr="00F75DD0">
        <w:t xml:space="preserve">AER, </w:t>
      </w:r>
      <w:r w:rsidRPr="00F75DD0">
        <w:rPr>
          <w:rStyle w:val="AERtextitalic"/>
        </w:rPr>
        <w:t>STPIS</w:t>
      </w:r>
      <w:r>
        <w:t xml:space="preserve">, November 2009, cl. </w:t>
      </w:r>
      <w:r w:rsidRPr="00F75DD0">
        <w:t>5.3.2(a).</w:t>
      </w:r>
    </w:p>
  </w:footnote>
  <w:footnote w:id="77">
    <w:p w:rsidR="008B40D8" w:rsidRDefault="008B40D8" w:rsidP="00621FE0">
      <w:pPr>
        <w:pStyle w:val="FootnoteText"/>
      </w:pPr>
      <w:r>
        <w:rPr>
          <w:rStyle w:val="FootnoteReference"/>
        </w:rPr>
        <w:footnoteRef/>
      </w:r>
      <w:r>
        <w:t xml:space="preserve"> </w:t>
      </w:r>
      <w:r>
        <w:tab/>
        <w:t xml:space="preserve">AER, </w:t>
      </w:r>
      <w:r>
        <w:rPr>
          <w:rStyle w:val="AERtextitalic"/>
        </w:rPr>
        <w:t>Framework and approach for TasNetworks Distribution for the Regulatory control period commencing 1 July 2017</w:t>
      </w:r>
      <w:r>
        <w:t>, July 2015, p. 73.</w:t>
      </w:r>
    </w:p>
  </w:footnote>
  <w:footnote w:id="78">
    <w:p w:rsidR="008B40D8" w:rsidRDefault="008B40D8" w:rsidP="00621FE0">
      <w:pPr>
        <w:pStyle w:val="FootnoteText"/>
      </w:pPr>
      <w:r>
        <w:rPr>
          <w:rStyle w:val="FootnoteReference"/>
        </w:rPr>
        <w:footnoteRef/>
      </w:r>
      <w:r>
        <w:t xml:space="preserve"> </w:t>
      </w:r>
      <w:r>
        <w:tab/>
        <w:t>AER</w:t>
      </w:r>
      <w:r w:rsidRPr="000C1DDC">
        <w:rPr>
          <w:rStyle w:val="AERtextitalic"/>
        </w:rPr>
        <w:t xml:space="preserve">, Draft decision, TasNetworks distribution determination </w:t>
      </w:r>
      <w:r>
        <w:rPr>
          <w:rStyle w:val="AERtextitalic"/>
        </w:rPr>
        <w:t>2017–18 to 2018–19: Attachment 12</w:t>
      </w:r>
      <w:r w:rsidRPr="000C1DDC">
        <w:rPr>
          <w:rStyle w:val="AERtextitalic"/>
        </w:rPr>
        <w:t>–</w:t>
      </w:r>
      <w:r>
        <w:rPr>
          <w:rStyle w:val="AERtextitalic"/>
        </w:rPr>
        <w:t>Demand Management incentive scheme</w:t>
      </w:r>
      <w:r>
        <w:t>, September 2016, p. 7.</w:t>
      </w:r>
    </w:p>
  </w:footnote>
  <w:footnote w:id="79">
    <w:p w:rsidR="008B40D8" w:rsidRDefault="008B40D8" w:rsidP="004D2CF7">
      <w:pPr>
        <w:pStyle w:val="FootnoteText"/>
      </w:pPr>
      <w:r>
        <w:rPr>
          <w:rStyle w:val="FootnoteReference"/>
        </w:rPr>
        <w:footnoteRef/>
      </w:r>
      <w:r>
        <w:t xml:space="preserve"> </w:t>
      </w:r>
      <w:r>
        <w:tab/>
      </w:r>
      <w:r w:rsidRPr="009E6CA1">
        <w:t>NER, cl. 6.18.5.</w:t>
      </w:r>
    </w:p>
  </w:footnote>
  <w:footnote w:id="80">
    <w:p w:rsidR="008B40D8" w:rsidRDefault="008B40D8" w:rsidP="004D2CF7">
      <w:pPr>
        <w:pStyle w:val="FootnoteText"/>
      </w:pPr>
      <w:r>
        <w:rPr>
          <w:rStyle w:val="FootnoteReference"/>
        </w:rPr>
        <w:footnoteRef/>
      </w:r>
      <w:r>
        <w:t xml:space="preserve"> </w:t>
      </w:r>
      <w:r>
        <w:tab/>
      </w:r>
      <w:r w:rsidRPr="009E6CA1">
        <w:t>NER, cl. 6.12.3(k).</w:t>
      </w:r>
    </w:p>
  </w:footnote>
  <w:footnote w:id="81">
    <w:p w:rsidR="008B40D8" w:rsidRDefault="008B40D8" w:rsidP="00011FE4">
      <w:pPr>
        <w:pStyle w:val="FootnoteText"/>
      </w:pPr>
      <w:r>
        <w:rPr>
          <w:rStyle w:val="FootnoteReference"/>
        </w:rPr>
        <w:footnoteRef/>
      </w:r>
      <w:r>
        <w:t xml:space="preserve"> </w:t>
      </w:r>
      <w:r>
        <w:tab/>
      </w:r>
      <w:r w:rsidRPr="0014442D">
        <w:t>AER, Draft decision, TasNetworks distribution determination 2017–18 to 2018–19: Attachment 1</w:t>
      </w:r>
      <w:r>
        <w:t>9</w:t>
      </w:r>
      <w:r w:rsidRPr="0014442D">
        <w:t>–</w:t>
      </w:r>
      <w:r>
        <w:t>Tariff structure statement</w:t>
      </w:r>
      <w:r w:rsidRPr="0014442D">
        <w:t>, September 2016, p.</w:t>
      </w:r>
      <w:r>
        <w:t> 9</w:t>
      </w:r>
      <w:r w:rsidRPr="0014442D">
        <w:t>.</w:t>
      </w:r>
    </w:p>
  </w:footnote>
  <w:footnote w:id="82">
    <w:p w:rsidR="008B40D8" w:rsidRDefault="008B40D8" w:rsidP="00B94545">
      <w:pPr>
        <w:pStyle w:val="FootnoteText"/>
      </w:pPr>
      <w:r>
        <w:rPr>
          <w:rStyle w:val="FootnoteReference"/>
        </w:rPr>
        <w:footnoteRef/>
      </w:r>
      <w:r>
        <w:t xml:space="preserve"> </w:t>
      </w:r>
      <w:r>
        <w:tab/>
      </w:r>
      <w:r w:rsidRPr="004C48BD">
        <w:t xml:space="preserve">TasNetworks, </w:t>
      </w:r>
      <w:r w:rsidRPr="00030AAA">
        <w:rPr>
          <w:rStyle w:val="AERtextitalic"/>
        </w:rPr>
        <w:t xml:space="preserve">Tariff structure statement: </w:t>
      </w:r>
      <w:r>
        <w:rPr>
          <w:rStyle w:val="AERtextitalic"/>
        </w:rPr>
        <w:t>Background and explanation</w:t>
      </w:r>
      <w:r w:rsidRPr="00030AAA">
        <w:rPr>
          <w:rStyle w:val="AERtextitalic"/>
        </w:rPr>
        <w:t xml:space="preserve"> – Regulatory control period 1 July 2017 to 30 June 2019</w:t>
      </w:r>
      <w:r>
        <w:t>, December</w:t>
      </w:r>
      <w:r w:rsidRPr="004C48BD">
        <w:t> 2016, p</w:t>
      </w:r>
      <w:r>
        <w:t>p</w:t>
      </w:r>
      <w:r w:rsidRPr="004C48BD">
        <w:t>.</w:t>
      </w:r>
      <w:r>
        <w:t> 14–16</w:t>
      </w:r>
      <w:r w:rsidRPr="004C48BD">
        <w:t>.</w:t>
      </w:r>
    </w:p>
  </w:footnote>
  <w:footnote w:id="83">
    <w:p w:rsidR="008B40D8" w:rsidRDefault="008B40D8">
      <w:pPr>
        <w:pStyle w:val="FootnoteText"/>
      </w:pPr>
      <w:r>
        <w:rPr>
          <w:rStyle w:val="FootnoteReference"/>
        </w:rPr>
        <w:footnoteRef/>
      </w:r>
      <w:r>
        <w:t xml:space="preserve"> Tasmanian Farmers and Graziers Association, </w:t>
      </w:r>
      <w:r w:rsidRPr="00705E62">
        <w:rPr>
          <w:rStyle w:val="AERtextitalic"/>
        </w:rPr>
        <w:t>Submission on</w:t>
      </w:r>
      <w:r>
        <w:rPr>
          <w:rStyle w:val="AERtextitalic"/>
        </w:rPr>
        <w:t xml:space="preserve"> TasNetworks' revised proposal</w:t>
      </w:r>
      <w:r>
        <w:t>, December 2016,  p. 1.</w:t>
      </w:r>
    </w:p>
  </w:footnote>
  <w:footnote w:id="84">
    <w:p w:rsidR="008B40D8" w:rsidRDefault="008B40D8" w:rsidP="0012534C">
      <w:pPr>
        <w:pStyle w:val="FootnoteText"/>
      </w:pPr>
      <w:r>
        <w:rPr>
          <w:rStyle w:val="FootnoteReference"/>
        </w:rPr>
        <w:footnoteRef/>
      </w:r>
      <w:r>
        <w:t xml:space="preserve"> </w:t>
      </w:r>
      <w:r>
        <w:tab/>
        <w:t>NEL, section 7.</w:t>
      </w:r>
    </w:p>
  </w:footnote>
  <w:footnote w:id="85">
    <w:p w:rsidR="008B40D8" w:rsidRDefault="008B40D8" w:rsidP="0012534C">
      <w:pPr>
        <w:pStyle w:val="FootnoteText"/>
      </w:pPr>
      <w:r>
        <w:rPr>
          <w:rStyle w:val="FootnoteReference"/>
        </w:rPr>
        <w:footnoteRef/>
      </w:r>
      <w:r>
        <w:t xml:space="preserve"> </w:t>
      </w:r>
      <w:r>
        <w:tab/>
        <w:t xml:space="preserve">Hansard, </w:t>
      </w:r>
      <w:r w:rsidRPr="004922F8">
        <w:rPr>
          <w:rStyle w:val="AERtextitalic"/>
        </w:rPr>
        <w:t xml:space="preserve">SA House of Assembly, </w:t>
      </w:r>
      <w:r>
        <w:t xml:space="preserve">9 February 2005, pp. 1451–1460; Hansard, </w:t>
      </w:r>
      <w:r w:rsidRPr="004922F8">
        <w:rPr>
          <w:rStyle w:val="AERtextitalic"/>
        </w:rPr>
        <w:t xml:space="preserve">SA House of Assembly, </w:t>
      </w:r>
      <w:r>
        <w:t xml:space="preserve">27 September 2007, pp. 963–972; Hansard, </w:t>
      </w:r>
      <w:r w:rsidRPr="004922F8">
        <w:rPr>
          <w:rStyle w:val="AERtextitalic"/>
        </w:rPr>
        <w:t xml:space="preserve">SA House of Assembly, </w:t>
      </w:r>
      <w:r>
        <w:t>26 September 2013, pp. 7171–7176.</w:t>
      </w:r>
    </w:p>
  </w:footnote>
  <w:footnote w:id="86">
    <w:p w:rsidR="008B40D8" w:rsidRDefault="008B40D8" w:rsidP="0012534C">
      <w:pPr>
        <w:pStyle w:val="FootnoteText"/>
      </w:pPr>
      <w:r>
        <w:rPr>
          <w:rStyle w:val="FootnoteReference"/>
        </w:rPr>
        <w:footnoteRef/>
      </w:r>
      <w:r>
        <w:t xml:space="preserve"> </w:t>
      </w:r>
      <w:r>
        <w:tab/>
        <w:t xml:space="preserve">Hansard, </w:t>
      </w:r>
      <w:r w:rsidRPr="004922F8">
        <w:rPr>
          <w:rStyle w:val="AERtextitalic"/>
        </w:rPr>
        <w:t xml:space="preserve">SA House of Assembly, </w:t>
      </w:r>
      <w:r>
        <w:t>26 September 2013, p. 7173.</w:t>
      </w:r>
    </w:p>
  </w:footnote>
  <w:footnote w:id="87">
    <w:p w:rsidR="008B40D8" w:rsidRDefault="008B40D8" w:rsidP="0012534C">
      <w:pPr>
        <w:pStyle w:val="FootnoteText"/>
      </w:pPr>
      <w:r>
        <w:rPr>
          <w:rStyle w:val="FootnoteReference"/>
        </w:rPr>
        <w:footnoteRef/>
      </w:r>
      <w:r>
        <w:t xml:space="preserve"> </w:t>
      </w:r>
      <w:r>
        <w:tab/>
        <w:t xml:space="preserve">Hansard, </w:t>
      </w:r>
      <w:r w:rsidRPr="004922F8">
        <w:rPr>
          <w:rStyle w:val="AERtextitalic"/>
        </w:rPr>
        <w:t xml:space="preserve">SA House of Assembly, </w:t>
      </w:r>
      <w:r>
        <w:t>9 February 2005, p. 1452.</w:t>
      </w:r>
    </w:p>
  </w:footnote>
  <w:footnote w:id="88">
    <w:p w:rsidR="008B40D8" w:rsidRDefault="008B40D8" w:rsidP="0012534C">
      <w:pPr>
        <w:pStyle w:val="FootnoteText"/>
      </w:pPr>
      <w:r>
        <w:rPr>
          <w:rStyle w:val="FootnoteReference"/>
        </w:rPr>
        <w:footnoteRef/>
      </w:r>
      <w:r>
        <w:t xml:space="preserve"> </w:t>
      </w:r>
      <w:r>
        <w:tab/>
      </w:r>
      <w:r w:rsidRPr="008B40D8">
        <w:rPr>
          <w:rStyle w:val="AERtextitalic"/>
        </w:rPr>
        <w:t>Re Michael: Ex parte Epic Energy</w:t>
      </w:r>
      <w:r>
        <w:t xml:space="preserve"> [2002] WASCA 231 at [143]. </w:t>
      </w:r>
    </w:p>
    <w:p w:rsidR="008B40D8" w:rsidRDefault="008B40D8" w:rsidP="0012534C">
      <w:pPr>
        <w:pStyle w:val="FootnoteText"/>
      </w:pPr>
      <w:r>
        <w:tab/>
        <w:t xml:space="preserve">Energy Ministers also accept this view – see Hansard, </w:t>
      </w:r>
      <w:r w:rsidRPr="00C11B13">
        <w:rPr>
          <w:rStyle w:val="AERtextitalic"/>
        </w:rPr>
        <w:t>SA House of Assembly,</w:t>
      </w:r>
      <w:r>
        <w:t xml:space="preserve"> 26 September 2013, p. 7172. </w:t>
      </w:r>
    </w:p>
    <w:p w:rsidR="008B40D8" w:rsidRDefault="008B40D8" w:rsidP="0012534C">
      <w:pPr>
        <w:pStyle w:val="FootnoteText"/>
      </w:pPr>
      <w:r>
        <w:tab/>
        <w:t>AEMC</w:t>
      </w:r>
      <w:r w:rsidRPr="00C11B13">
        <w:rPr>
          <w:rStyle w:val="AERtextitalic"/>
        </w:rPr>
        <w:t xml:space="preserve">, Rule </w:t>
      </w:r>
      <w:r>
        <w:rPr>
          <w:rStyle w:val="AERtextitalic"/>
        </w:rPr>
        <w:t>d</w:t>
      </w:r>
      <w:r w:rsidRPr="00C11B13">
        <w:rPr>
          <w:rStyle w:val="AERtextitalic"/>
        </w:rPr>
        <w:t>etermination</w:t>
      </w:r>
      <w:r>
        <w:rPr>
          <w:rStyle w:val="AERtextitalic"/>
        </w:rPr>
        <w:t>,</w:t>
      </w:r>
      <w:r w:rsidRPr="00C11B13">
        <w:rPr>
          <w:rStyle w:val="AERtextitalic"/>
        </w:rPr>
        <w:t xml:space="preserve"> National Electricity Amendment (Economic Regulation of Transmission Services) Rule 2006 No. 18</w:t>
      </w:r>
      <w:r>
        <w:t xml:space="preserve">, 16 November 2006, p. 50. </w:t>
      </w:r>
    </w:p>
  </w:footnote>
  <w:footnote w:id="89">
    <w:p w:rsidR="008B40D8" w:rsidRDefault="008B40D8" w:rsidP="0012534C">
      <w:pPr>
        <w:pStyle w:val="FootnoteText"/>
      </w:pPr>
      <w:r>
        <w:rPr>
          <w:rStyle w:val="FootnoteReference"/>
        </w:rPr>
        <w:footnoteRef/>
      </w:r>
      <w:r>
        <w:t xml:space="preserve"> </w:t>
      </w:r>
      <w:r>
        <w:tab/>
        <w:t>NEL, s. 7A(7).</w:t>
      </w:r>
    </w:p>
  </w:footnote>
  <w:footnote w:id="90">
    <w:p w:rsidR="008B40D8" w:rsidRDefault="008B40D8" w:rsidP="0012534C">
      <w:pPr>
        <w:pStyle w:val="FootnoteText"/>
      </w:pPr>
      <w:r>
        <w:rPr>
          <w:rStyle w:val="FootnoteReference"/>
        </w:rPr>
        <w:footnoteRef/>
      </w:r>
      <w:r>
        <w:t xml:space="preserve"> </w:t>
      </w:r>
      <w:r>
        <w:tab/>
        <w:t xml:space="preserve">NEL, s. 7A(6). </w:t>
      </w:r>
    </w:p>
  </w:footnote>
  <w:footnote w:id="91">
    <w:p w:rsidR="008B40D8" w:rsidRDefault="008B40D8" w:rsidP="0012534C">
      <w:pPr>
        <w:pStyle w:val="FootnoteText"/>
      </w:pPr>
      <w:r>
        <w:rPr>
          <w:rStyle w:val="FootnoteReference"/>
        </w:rPr>
        <w:footnoteRef/>
      </w:r>
      <w:r>
        <w:t xml:space="preserve"> </w:t>
      </w:r>
      <w:r>
        <w:tab/>
        <w:t xml:space="preserve">NEL, s. 7A. </w:t>
      </w:r>
    </w:p>
  </w:footnote>
  <w:footnote w:id="92">
    <w:p w:rsidR="008B40D8" w:rsidRDefault="008B40D8" w:rsidP="0012534C">
      <w:pPr>
        <w:pStyle w:val="FootnoteText"/>
      </w:pPr>
      <w:r>
        <w:rPr>
          <w:rStyle w:val="FootnoteReference"/>
        </w:rPr>
        <w:footnoteRef/>
      </w:r>
      <w:r>
        <w:t xml:space="preserve"> </w:t>
      </w:r>
      <w:r>
        <w:tab/>
        <w:t xml:space="preserve">NEL, s. 16(2). </w:t>
      </w:r>
    </w:p>
  </w:footnote>
  <w:footnote w:id="93">
    <w:p w:rsidR="008B40D8" w:rsidRDefault="008B40D8" w:rsidP="0012534C">
      <w:pPr>
        <w:pStyle w:val="FootnoteText"/>
      </w:pPr>
      <w:r>
        <w:rPr>
          <w:rStyle w:val="FootnoteReference"/>
        </w:rPr>
        <w:footnoteRef/>
      </w:r>
      <w:r>
        <w:t xml:space="preserve"> </w:t>
      </w:r>
      <w:r>
        <w:tab/>
        <w:t xml:space="preserve">Hansard, </w:t>
      </w:r>
      <w:r w:rsidRPr="004922F8">
        <w:rPr>
          <w:rStyle w:val="AERtextitalic"/>
        </w:rPr>
        <w:t xml:space="preserve">SA House of Assembly, </w:t>
      </w:r>
      <w:r>
        <w:t xml:space="preserve">27 September 2007, p. 965; Hansard, </w:t>
      </w:r>
      <w:r w:rsidRPr="004922F8">
        <w:rPr>
          <w:rStyle w:val="AERtextitalic"/>
        </w:rPr>
        <w:t xml:space="preserve">SA House of Assembly, </w:t>
      </w:r>
      <w:r>
        <w:t>26 September 2013, p. 7173.</w:t>
      </w:r>
    </w:p>
  </w:footnote>
  <w:footnote w:id="94">
    <w:p w:rsidR="008B40D8" w:rsidRDefault="008B40D8" w:rsidP="0012534C">
      <w:pPr>
        <w:pStyle w:val="FootnoteText"/>
      </w:pPr>
      <w:r>
        <w:rPr>
          <w:rStyle w:val="FootnoteReference"/>
        </w:rPr>
        <w:footnoteRef/>
      </w:r>
      <w:r>
        <w:t xml:space="preserve"> </w:t>
      </w:r>
      <w:r>
        <w:tab/>
        <w:t xml:space="preserve">AEMC, </w:t>
      </w:r>
      <w:r w:rsidRPr="00E76DC2">
        <w:rPr>
          <w:rStyle w:val="AERtextitalic"/>
        </w:rPr>
        <w:t>Rule determination, National Electricity Amendment (Economic Regulation of Transmission Services) Rule 2006 No. 18</w:t>
      </w:r>
      <w:r>
        <w:t xml:space="preserve">, 16 November 2006, p. 52. </w:t>
      </w:r>
    </w:p>
  </w:footnote>
  <w:footnote w:id="95">
    <w:p w:rsidR="008B40D8" w:rsidRDefault="008B40D8" w:rsidP="0012534C">
      <w:pPr>
        <w:pStyle w:val="FootnoteText"/>
      </w:pPr>
      <w:r>
        <w:rPr>
          <w:rStyle w:val="FootnoteReference"/>
        </w:rPr>
        <w:footnoteRef/>
      </w:r>
      <w:r>
        <w:t xml:space="preserve"> </w:t>
      </w:r>
      <w:r>
        <w:tab/>
        <w:t xml:space="preserve">NEL, s. 88. </w:t>
      </w:r>
    </w:p>
    <w:p w:rsidR="008B40D8" w:rsidRDefault="008B40D8" w:rsidP="0012534C">
      <w:pPr>
        <w:pStyle w:val="FootnoteText"/>
        <w:ind w:left="0" w:firstLine="0"/>
      </w:pPr>
    </w:p>
  </w:footnote>
  <w:footnote w:id="96">
    <w:p w:rsidR="008B40D8" w:rsidRDefault="008B40D8" w:rsidP="0012534C">
      <w:pPr>
        <w:pStyle w:val="FootnoteText"/>
      </w:pPr>
      <w:r>
        <w:rPr>
          <w:rStyle w:val="FootnoteReference"/>
        </w:rPr>
        <w:footnoteRef/>
      </w:r>
      <w:r>
        <w:t xml:space="preserve"> </w:t>
      </w:r>
      <w:r>
        <w:tab/>
      </w:r>
      <w:r w:rsidRPr="00F17280">
        <w:t xml:space="preserve">AEMC, </w:t>
      </w:r>
      <w:r w:rsidRPr="00045769">
        <w:rPr>
          <w:rStyle w:val="AERtextitalic"/>
        </w:rPr>
        <w:t>Rule Determination: National Electricity Amendment (Economic Regulation of Transmission Services) Rule 2006,</w:t>
      </w:r>
      <w:r w:rsidRPr="00F17280">
        <w:t xml:space="preserve"> (16 November 2006), 52.</w:t>
      </w:r>
    </w:p>
  </w:footnote>
  <w:footnote w:id="97">
    <w:p w:rsidR="008B40D8" w:rsidRDefault="008B40D8" w:rsidP="0012534C">
      <w:pPr>
        <w:pStyle w:val="FootnoteText"/>
      </w:pPr>
      <w:r>
        <w:rPr>
          <w:rStyle w:val="FootnoteReference"/>
        </w:rPr>
        <w:footnoteRef/>
      </w:r>
      <w:r>
        <w:t xml:space="preserve"> </w:t>
      </w:r>
      <w:r>
        <w:tab/>
        <w:t xml:space="preserve">NEL, s. 16(1)(d). </w:t>
      </w:r>
    </w:p>
  </w:footnote>
  <w:footnote w:id="98">
    <w:p w:rsidR="008B40D8" w:rsidRDefault="008B40D8" w:rsidP="0012534C">
      <w:pPr>
        <w:pStyle w:val="FootnoteText"/>
      </w:pPr>
      <w:r>
        <w:rPr>
          <w:rStyle w:val="FootnoteReference"/>
        </w:rPr>
        <w:footnoteRef/>
      </w:r>
      <w:r>
        <w:t xml:space="preserve"> </w:t>
      </w:r>
      <w:r>
        <w:tab/>
        <w:t xml:space="preserve">SCER, </w:t>
      </w:r>
      <w:r w:rsidRPr="00F30747">
        <w:rPr>
          <w:rStyle w:val="AERtextitalic"/>
        </w:rPr>
        <w:t>Regulation impact statement: Limited merits review of decision-making in the electricity and gas regulatory frameworks, Decision paper,</w:t>
      </w:r>
      <w:r>
        <w:t xml:space="preserve"> 6 June 2013, p. 6</w:t>
      </w:r>
    </w:p>
  </w:footnote>
  <w:footnote w:id="99">
    <w:p w:rsidR="008B40D8" w:rsidRDefault="008B40D8" w:rsidP="00CF6376">
      <w:pPr>
        <w:pStyle w:val="FootnoteText"/>
      </w:pPr>
      <w:r>
        <w:rPr>
          <w:rStyle w:val="FootnoteReference"/>
        </w:rPr>
        <w:footnoteRef/>
      </w:r>
      <w:r>
        <w:t xml:space="preserve"> </w:t>
      </w:r>
      <w:r>
        <w:tab/>
        <w:t xml:space="preserve">AER, </w:t>
      </w:r>
      <w:r w:rsidRPr="00C833B1">
        <w:rPr>
          <w:rStyle w:val="AERtextitalic"/>
        </w:rPr>
        <w:t>Overview of the Better Regulation reform package</w:t>
      </w:r>
      <w:r>
        <w:t xml:space="preserve">, April 2014, pp. 4 &amp; 7–13. </w:t>
      </w:r>
    </w:p>
  </w:footnote>
  <w:footnote w:id="100">
    <w:p w:rsidR="008B40D8" w:rsidRDefault="008B40D8" w:rsidP="00CF6376">
      <w:pPr>
        <w:pStyle w:val="FootnoteText"/>
      </w:pPr>
      <w:r>
        <w:rPr>
          <w:rStyle w:val="FootnoteReference"/>
        </w:rPr>
        <w:footnoteRef/>
      </w:r>
      <w:r>
        <w:t xml:space="preserve"> </w:t>
      </w:r>
      <w:r>
        <w:tab/>
      </w:r>
      <w:hyperlink r:id="rId2" w:history="1">
        <w:r w:rsidRPr="00C373EA">
          <w:rPr>
            <w:rStyle w:val="Hyperlink"/>
            <w:sz w:val="16"/>
          </w:rPr>
          <w:t>www.aer.gov.au/better-regulation-reform-program</w:t>
        </w:r>
      </w:hyperlink>
    </w:p>
  </w:footnote>
  <w:footnote w:id="101">
    <w:p w:rsidR="008B40D8" w:rsidRDefault="008B40D8" w:rsidP="00CF6376">
      <w:pPr>
        <w:pStyle w:val="FootnoteText"/>
      </w:pPr>
      <w:r>
        <w:rPr>
          <w:rStyle w:val="FootnoteReference"/>
        </w:rPr>
        <w:footnoteRef/>
      </w:r>
      <w:r>
        <w:t xml:space="preserve"> </w:t>
      </w:r>
      <w:r>
        <w:tab/>
        <w:t xml:space="preserve">AEMC, </w:t>
      </w:r>
      <w:r w:rsidRPr="001724F2">
        <w:rPr>
          <w:rStyle w:val="AERtextitalic"/>
        </w:rPr>
        <w:t>Rule determination, National Electricity Amendment (Economic Regulation of Network Service Providers),</w:t>
      </w:r>
      <w:r>
        <w:t xml:space="preserve"> Rule 2012. </w:t>
      </w:r>
    </w:p>
  </w:footnote>
  <w:footnote w:id="102">
    <w:p w:rsidR="008B40D8" w:rsidRDefault="008B40D8" w:rsidP="00CF6376">
      <w:pPr>
        <w:pStyle w:val="FootnoteText"/>
      </w:pPr>
      <w:r>
        <w:rPr>
          <w:rStyle w:val="FootnoteReference"/>
        </w:rPr>
        <w:footnoteRef/>
      </w:r>
      <w:r>
        <w:t xml:space="preserve"> </w:t>
      </w:r>
      <w:r>
        <w:tab/>
        <w:t>NER, cl. 6.8.2(c1)(2).</w:t>
      </w:r>
    </w:p>
  </w:footnote>
  <w:footnote w:id="103">
    <w:p w:rsidR="008B40D8" w:rsidRDefault="008B40D8" w:rsidP="00CF6376">
      <w:pPr>
        <w:pStyle w:val="FootnoteText"/>
      </w:pPr>
      <w:r>
        <w:rPr>
          <w:rStyle w:val="FootnoteReference"/>
        </w:rPr>
        <w:footnoteRef/>
      </w:r>
      <w:r>
        <w:t xml:space="preserve"> </w:t>
      </w:r>
      <w:r>
        <w:tab/>
        <w:t xml:space="preserve">NER, cl. 6.9.3(b). </w:t>
      </w:r>
    </w:p>
  </w:footnote>
  <w:footnote w:id="104">
    <w:p w:rsidR="008B40D8" w:rsidRDefault="008B40D8" w:rsidP="00CF6376">
      <w:pPr>
        <w:pStyle w:val="FootnoteText"/>
      </w:pPr>
      <w:r>
        <w:rPr>
          <w:rStyle w:val="FootnoteReference"/>
        </w:rPr>
        <w:footnoteRef/>
      </w:r>
      <w:r>
        <w:t xml:space="preserve"> </w:t>
      </w:r>
      <w:r>
        <w:tab/>
        <w:t xml:space="preserve">AEMC, </w:t>
      </w:r>
      <w:r w:rsidRPr="00894155">
        <w:rPr>
          <w:rStyle w:val="AERtextitalic"/>
        </w:rPr>
        <w:t>Rule determination, National Electricity Amendment (Economic Regulation of Network Service Providers),</w:t>
      </w:r>
      <w:r>
        <w:t xml:space="preserve"> Rule 2012.</w:t>
      </w:r>
    </w:p>
  </w:footnote>
  <w:footnote w:id="105">
    <w:p w:rsidR="008B40D8" w:rsidRDefault="008B40D8" w:rsidP="00CF6376">
      <w:pPr>
        <w:pStyle w:val="FootnoteText"/>
      </w:pPr>
      <w:r>
        <w:rPr>
          <w:rStyle w:val="FootnoteReference"/>
        </w:rPr>
        <w:footnoteRef/>
      </w:r>
      <w:r>
        <w:t xml:space="preserve"> </w:t>
      </w:r>
      <w:r>
        <w:tab/>
        <w:t xml:space="preserve">NER, cll. 6.5.6(e)(5A) and 6.5.7(e)(5A). </w:t>
      </w:r>
    </w:p>
  </w:footnote>
  <w:footnote w:id="106">
    <w:p w:rsidR="008B40D8" w:rsidRDefault="008B40D8" w:rsidP="00CF6376">
      <w:pPr>
        <w:pStyle w:val="FootnoteText"/>
      </w:pPr>
      <w:r>
        <w:rPr>
          <w:rStyle w:val="FootnoteReference"/>
        </w:rPr>
        <w:footnoteRef/>
      </w:r>
      <w:r>
        <w:t xml:space="preserve"> </w:t>
      </w:r>
      <w:r>
        <w:tab/>
        <w:t xml:space="preserve">AER, </w:t>
      </w:r>
      <w:r w:rsidRPr="001D7738">
        <w:rPr>
          <w:rStyle w:val="AERtextitalic"/>
        </w:rPr>
        <w:t>Better Regulation: Consumer engagement guideline for network service providers,</w:t>
      </w:r>
      <w:r>
        <w:t xml:space="preserve"> November 2013, p. 5.</w:t>
      </w:r>
    </w:p>
  </w:footnote>
  <w:footnote w:id="107">
    <w:p w:rsidR="008B40D8" w:rsidRDefault="008B40D8" w:rsidP="00CF6376">
      <w:pPr>
        <w:pStyle w:val="FootnoteText"/>
      </w:pPr>
      <w:r>
        <w:rPr>
          <w:rStyle w:val="FootnoteReference"/>
        </w:rPr>
        <w:footnoteRef/>
      </w:r>
      <w:r>
        <w:t xml:space="preserve"> </w:t>
      </w:r>
      <w:r>
        <w:tab/>
        <w:t xml:space="preserve">AER, </w:t>
      </w:r>
      <w:r w:rsidRPr="001D7738">
        <w:rPr>
          <w:rStyle w:val="AERtextitalic"/>
        </w:rPr>
        <w:t>Better Regulation: Consumer engagement guideline for network service providers,</w:t>
      </w:r>
      <w:r>
        <w:t xml:space="preserve"> November 2013, p. 12.</w:t>
      </w:r>
    </w:p>
  </w:footnote>
  <w:footnote w:id="108">
    <w:p w:rsidR="008B40D8" w:rsidRDefault="008B40D8" w:rsidP="00CF6376">
      <w:pPr>
        <w:pStyle w:val="FootnoteText"/>
      </w:pPr>
      <w:r>
        <w:rPr>
          <w:rStyle w:val="FootnoteReference"/>
        </w:rPr>
        <w:footnoteRef/>
      </w:r>
      <w:r>
        <w:t xml:space="preserve"> </w:t>
      </w:r>
      <w:r>
        <w:tab/>
        <w:t xml:space="preserve">AER, </w:t>
      </w:r>
      <w:r w:rsidRPr="001D7738">
        <w:rPr>
          <w:rStyle w:val="AERtextitalic"/>
        </w:rPr>
        <w:t>Better Regulation: Consumer engagement guideline for network service providers,</w:t>
      </w:r>
      <w:r>
        <w:t xml:space="preserve"> November 2013, p. 12.</w:t>
      </w:r>
    </w:p>
  </w:footnote>
  <w:footnote w:id="109">
    <w:p w:rsidR="008B40D8" w:rsidRDefault="008B40D8" w:rsidP="0025728D">
      <w:pPr>
        <w:pStyle w:val="FootnoteText"/>
      </w:pPr>
      <w:r>
        <w:rPr>
          <w:rStyle w:val="FootnoteReference"/>
        </w:rPr>
        <w:footnoteRef/>
      </w:r>
      <w:r>
        <w:t xml:space="preserve"> </w:t>
      </w:r>
      <w:r>
        <w:tab/>
        <w:t xml:space="preserve">AER, </w:t>
      </w:r>
      <w:r w:rsidRPr="005050FB">
        <w:rPr>
          <w:rStyle w:val="AERtextitalic"/>
        </w:rPr>
        <w:t xml:space="preserve">Draft decision, </w:t>
      </w:r>
      <w:r>
        <w:rPr>
          <w:rStyle w:val="AERtextitalic"/>
        </w:rPr>
        <w:t>TasNetworks distribution determination 2017–18 to 2018–19, Overview,</w:t>
      </w:r>
      <w:r>
        <w:t xml:space="preserve"> September 2016, pp. 48–50. </w:t>
      </w:r>
    </w:p>
  </w:footnote>
  <w:footnote w:id="110">
    <w:p w:rsidR="008B40D8" w:rsidRDefault="008B40D8" w:rsidP="0025728D">
      <w:pPr>
        <w:pStyle w:val="FootnoteText"/>
      </w:pPr>
      <w:r>
        <w:rPr>
          <w:rStyle w:val="FootnoteReference"/>
        </w:rPr>
        <w:footnoteRef/>
      </w:r>
      <w:r>
        <w:t xml:space="preserve"> </w:t>
      </w:r>
      <w:r>
        <w:tab/>
        <w:t xml:space="preserve">TasNetworks, </w:t>
      </w:r>
      <w:r>
        <w:rPr>
          <w:rStyle w:val="AERtextitalic"/>
        </w:rPr>
        <w:t xml:space="preserve">Tasmanian distribution revised regulatory proposal, Regulatory control period 1 July 2017 to 30 June 2019, </w:t>
      </w:r>
      <w:r>
        <w:t xml:space="preserve">December 2016, p. 8. </w:t>
      </w:r>
    </w:p>
  </w:footnote>
  <w:footnote w:id="111">
    <w:p w:rsidR="008B40D8" w:rsidRDefault="008B40D8" w:rsidP="0025728D">
      <w:pPr>
        <w:pStyle w:val="FootnoteText"/>
      </w:pPr>
      <w:r>
        <w:rPr>
          <w:rStyle w:val="FootnoteReference"/>
        </w:rPr>
        <w:footnoteRef/>
      </w:r>
      <w:r>
        <w:t xml:space="preserve"> </w:t>
      </w:r>
      <w:r>
        <w:tab/>
        <w:t xml:space="preserve">TasNetworks, </w:t>
      </w:r>
      <w:r>
        <w:rPr>
          <w:rStyle w:val="AERtextitalic"/>
        </w:rPr>
        <w:t xml:space="preserve">Tasmanian distribution revised regulatory proposal, Regulatory control period 1 July 2017 to 30 June 2019, </w:t>
      </w:r>
      <w:r>
        <w:t xml:space="preserve">December 2016, p. 8. </w:t>
      </w:r>
    </w:p>
  </w:footnote>
  <w:footnote w:id="112">
    <w:p w:rsidR="008B40D8" w:rsidRDefault="008B40D8">
      <w:pPr>
        <w:pStyle w:val="FootnoteText"/>
      </w:pPr>
      <w:r>
        <w:rPr>
          <w:rStyle w:val="FootnoteReference"/>
        </w:rPr>
        <w:footnoteRef/>
      </w:r>
      <w:r>
        <w:t xml:space="preserve"> </w:t>
      </w:r>
      <w:r>
        <w:tab/>
        <w:t>CCP</w:t>
      </w:r>
      <w:r w:rsidR="00046930">
        <w:t>4</w:t>
      </w:r>
      <w:r>
        <w:t xml:space="preserve"> (Jo De Silva), </w:t>
      </w:r>
      <w:r w:rsidRPr="00263579">
        <w:rPr>
          <w:rStyle w:val="AERtextitalic"/>
        </w:rPr>
        <w:t>Submission to the AER on the draft decision for the TasNetworks distribution determination 2017–19</w:t>
      </w:r>
      <w:r>
        <w:t>, November 2016, p. 11; CCP</w:t>
      </w:r>
      <w:r w:rsidR="00046930">
        <w:t>4</w:t>
      </w:r>
      <w:r>
        <w:t xml:space="preserve"> (David Headberry), </w:t>
      </w:r>
      <w:r w:rsidRPr="00263579">
        <w:rPr>
          <w:rStyle w:val="AERtextitalic"/>
        </w:rPr>
        <w:t>Response to the AER draft decision and revised proposal to TasNetworks revenue reset for the 2017–19 regulatory period,</w:t>
      </w:r>
      <w:r>
        <w:t xml:space="preserve"> November 2016, p. 5; Tasmanian Small Business Council, </w:t>
      </w:r>
      <w:r w:rsidRPr="00263579">
        <w:rPr>
          <w:rStyle w:val="AERtextitalic"/>
        </w:rPr>
        <w:t>TasNetworks Distribution - Draft regulatory and TSS determinations, 1 July 2017 to 30 June 2019,</w:t>
      </w:r>
      <w:r>
        <w:t xml:space="preserve"> November 2016, pp. 18–19. </w:t>
      </w:r>
    </w:p>
  </w:footnote>
  <w:footnote w:id="113">
    <w:p w:rsidR="008B40D8" w:rsidRDefault="008B40D8" w:rsidP="00E82DCD">
      <w:pPr>
        <w:pStyle w:val="FootnoteText"/>
      </w:pPr>
      <w:r>
        <w:rPr>
          <w:rStyle w:val="FootnoteReference"/>
        </w:rPr>
        <w:footnoteRef/>
      </w:r>
      <w:r>
        <w:t xml:space="preserve"> </w:t>
      </w:r>
      <w:r>
        <w:tab/>
        <w:t>NER, cl. 6.12.1.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0D8" w:rsidRDefault="008B40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9ECC7B0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1">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19"/>
  </w:num>
  <w:num w:numId="14">
    <w:abstractNumId w:val="11"/>
  </w:num>
  <w:num w:numId="15">
    <w:abstractNumId w:val="14"/>
  </w:num>
  <w:num w:numId="16">
    <w:abstractNumId w:val="22"/>
  </w:num>
  <w:num w:numId="17">
    <w:abstractNumId w:val="10"/>
  </w:num>
  <w:num w:numId="18">
    <w:abstractNumId w:val="16"/>
  </w:num>
  <w:num w:numId="19">
    <w:abstractNumId w:val="23"/>
  </w:num>
  <w:num w:numId="20">
    <w:abstractNumId w:val="29"/>
  </w:num>
  <w:num w:numId="21">
    <w:abstractNumId w:val="26"/>
  </w:num>
  <w:num w:numId="22">
    <w:abstractNumId w:val="24"/>
  </w:num>
  <w:num w:numId="23">
    <w:abstractNumId w:val="17"/>
  </w:num>
  <w:num w:numId="24">
    <w:abstractNumId w:val="25"/>
  </w:num>
  <w:num w:numId="25">
    <w:abstractNumId w:val="27"/>
  </w:num>
  <w:num w:numId="26">
    <w:abstractNumId w:val="18"/>
  </w:num>
  <w:num w:numId="27">
    <w:abstractNumId w:val="15"/>
  </w:num>
  <w:num w:numId="28">
    <w:abstractNumId w:val="31"/>
  </w:num>
  <w:num w:numId="29">
    <w:abstractNumId w:val="20"/>
  </w:num>
  <w:num w:numId="30">
    <w:abstractNumId w:val="9"/>
  </w:num>
  <w:num w:numId="31">
    <w:abstractNumId w:val="3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num>
  <w:num w:numId="38">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J2QCGE30JQX21O9qfvTQ8l1Mj8giiuuy9ABf3LCtMJY=" w:saltValue="TOmKW7ChQ23/WRCsTlH2Zw==" w:algorithmName="SHA-256"/>
  <w:defaultTabStop w:val="340"/>
  <w:characterSpacingControl w:val="doNotCompress"/>
  <w:hdrShapeDefaults>
    <o:shapedefaults v:ext="edit" spidmax="483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tasnetworks distribution determination - overview - april 2017 (D2016-00009260).docx"/>
  </w:docVars>
  <w:rsids>
    <w:rsidRoot w:val="00961A4A"/>
    <w:rsid w:val="00001DD1"/>
    <w:rsid w:val="00003D9C"/>
    <w:rsid w:val="00004217"/>
    <w:rsid w:val="000051DC"/>
    <w:rsid w:val="0000658F"/>
    <w:rsid w:val="00011FE4"/>
    <w:rsid w:val="0001507B"/>
    <w:rsid w:val="00020016"/>
    <w:rsid w:val="00021202"/>
    <w:rsid w:val="00021C2B"/>
    <w:rsid w:val="0002498B"/>
    <w:rsid w:val="0002517F"/>
    <w:rsid w:val="00026187"/>
    <w:rsid w:val="000266FC"/>
    <w:rsid w:val="000273B3"/>
    <w:rsid w:val="00027E2D"/>
    <w:rsid w:val="000328F5"/>
    <w:rsid w:val="0003578C"/>
    <w:rsid w:val="00036A24"/>
    <w:rsid w:val="00037630"/>
    <w:rsid w:val="00040AA0"/>
    <w:rsid w:val="00042F83"/>
    <w:rsid w:val="00044079"/>
    <w:rsid w:val="00044DA3"/>
    <w:rsid w:val="00045EFB"/>
    <w:rsid w:val="000463A2"/>
    <w:rsid w:val="00046930"/>
    <w:rsid w:val="000474DF"/>
    <w:rsid w:val="00052476"/>
    <w:rsid w:val="00055A67"/>
    <w:rsid w:val="00063247"/>
    <w:rsid w:val="0006624E"/>
    <w:rsid w:val="00070F9F"/>
    <w:rsid w:val="0007137B"/>
    <w:rsid w:val="00073075"/>
    <w:rsid w:val="00073B74"/>
    <w:rsid w:val="00073D92"/>
    <w:rsid w:val="00075113"/>
    <w:rsid w:val="00076416"/>
    <w:rsid w:val="000805A8"/>
    <w:rsid w:val="00080D06"/>
    <w:rsid w:val="0008190B"/>
    <w:rsid w:val="000836D9"/>
    <w:rsid w:val="00085663"/>
    <w:rsid w:val="00085EBF"/>
    <w:rsid w:val="00086688"/>
    <w:rsid w:val="00091B15"/>
    <w:rsid w:val="00095186"/>
    <w:rsid w:val="0009569D"/>
    <w:rsid w:val="000A0E71"/>
    <w:rsid w:val="000A111F"/>
    <w:rsid w:val="000A1641"/>
    <w:rsid w:val="000A1C0C"/>
    <w:rsid w:val="000A3020"/>
    <w:rsid w:val="000A4840"/>
    <w:rsid w:val="000A62C1"/>
    <w:rsid w:val="000A6A79"/>
    <w:rsid w:val="000A6C7B"/>
    <w:rsid w:val="000B0A7B"/>
    <w:rsid w:val="000B1173"/>
    <w:rsid w:val="000B239F"/>
    <w:rsid w:val="000B4287"/>
    <w:rsid w:val="000B4625"/>
    <w:rsid w:val="000B4628"/>
    <w:rsid w:val="000B5827"/>
    <w:rsid w:val="000B5FA9"/>
    <w:rsid w:val="000B66ED"/>
    <w:rsid w:val="000B7037"/>
    <w:rsid w:val="000B73B0"/>
    <w:rsid w:val="000C02D1"/>
    <w:rsid w:val="000C0C63"/>
    <w:rsid w:val="000C1DDC"/>
    <w:rsid w:val="000C2B40"/>
    <w:rsid w:val="000C5255"/>
    <w:rsid w:val="000C782E"/>
    <w:rsid w:val="000D07A7"/>
    <w:rsid w:val="000D0DB8"/>
    <w:rsid w:val="000D122C"/>
    <w:rsid w:val="000D51AC"/>
    <w:rsid w:val="000D61EC"/>
    <w:rsid w:val="000D75B0"/>
    <w:rsid w:val="000E1819"/>
    <w:rsid w:val="000E4821"/>
    <w:rsid w:val="000E4AA9"/>
    <w:rsid w:val="000E6C72"/>
    <w:rsid w:val="000E74A7"/>
    <w:rsid w:val="000E7F39"/>
    <w:rsid w:val="000F47F9"/>
    <w:rsid w:val="00100EA2"/>
    <w:rsid w:val="00101AA1"/>
    <w:rsid w:val="00101EA4"/>
    <w:rsid w:val="00102338"/>
    <w:rsid w:val="00104566"/>
    <w:rsid w:val="00104FF6"/>
    <w:rsid w:val="001114AA"/>
    <w:rsid w:val="00111D49"/>
    <w:rsid w:val="00112E04"/>
    <w:rsid w:val="001135CB"/>
    <w:rsid w:val="0011519E"/>
    <w:rsid w:val="001156FB"/>
    <w:rsid w:val="00115743"/>
    <w:rsid w:val="0011590C"/>
    <w:rsid w:val="00116EB2"/>
    <w:rsid w:val="0012132C"/>
    <w:rsid w:val="00123864"/>
    <w:rsid w:val="00124609"/>
    <w:rsid w:val="0012534C"/>
    <w:rsid w:val="00126A4C"/>
    <w:rsid w:val="001270E3"/>
    <w:rsid w:val="001272E4"/>
    <w:rsid w:val="001315F4"/>
    <w:rsid w:val="00132466"/>
    <w:rsid w:val="00132712"/>
    <w:rsid w:val="00132D43"/>
    <w:rsid w:val="00132FF1"/>
    <w:rsid w:val="00133366"/>
    <w:rsid w:val="00133F47"/>
    <w:rsid w:val="00134029"/>
    <w:rsid w:val="00134073"/>
    <w:rsid w:val="00135B53"/>
    <w:rsid w:val="001373BB"/>
    <w:rsid w:val="00142C2D"/>
    <w:rsid w:val="0014442D"/>
    <w:rsid w:val="00144C96"/>
    <w:rsid w:val="0014573B"/>
    <w:rsid w:val="001463A3"/>
    <w:rsid w:val="0015050F"/>
    <w:rsid w:val="001506EC"/>
    <w:rsid w:val="0015073A"/>
    <w:rsid w:val="00154755"/>
    <w:rsid w:val="0015634D"/>
    <w:rsid w:val="001573E4"/>
    <w:rsid w:val="00160756"/>
    <w:rsid w:val="00161DC8"/>
    <w:rsid w:val="00166760"/>
    <w:rsid w:val="0017232E"/>
    <w:rsid w:val="001729B2"/>
    <w:rsid w:val="00174102"/>
    <w:rsid w:val="001754EE"/>
    <w:rsid w:val="001774AF"/>
    <w:rsid w:val="00180157"/>
    <w:rsid w:val="001809BC"/>
    <w:rsid w:val="00180E97"/>
    <w:rsid w:val="001820B4"/>
    <w:rsid w:val="00184351"/>
    <w:rsid w:val="00184AC8"/>
    <w:rsid w:val="00185BA5"/>
    <w:rsid w:val="00185CB9"/>
    <w:rsid w:val="00185DBE"/>
    <w:rsid w:val="00186ADC"/>
    <w:rsid w:val="00186F77"/>
    <w:rsid w:val="001877A4"/>
    <w:rsid w:val="00190D47"/>
    <w:rsid w:val="00190DEE"/>
    <w:rsid w:val="0019258B"/>
    <w:rsid w:val="001926A4"/>
    <w:rsid w:val="001929E7"/>
    <w:rsid w:val="00192AD5"/>
    <w:rsid w:val="00193967"/>
    <w:rsid w:val="00194597"/>
    <w:rsid w:val="00194E00"/>
    <w:rsid w:val="0019745E"/>
    <w:rsid w:val="00197B16"/>
    <w:rsid w:val="001A10B5"/>
    <w:rsid w:val="001A530D"/>
    <w:rsid w:val="001A5FB3"/>
    <w:rsid w:val="001A61E9"/>
    <w:rsid w:val="001A6F2F"/>
    <w:rsid w:val="001A7155"/>
    <w:rsid w:val="001B3686"/>
    <w:rsid w:val="001B37D2"/>
    <w:rsid w:val="001B38D9"/>
    <w:rsid w:val="001B45A0"/>
    <w:rsid w:val="001B680E"/>
    <w:rsid w:val="001B7796"/>
    <w:rsid w:val="001C1A62"/>
    <w:rsid w:val="001C289E"/>
    <w:rsid w:val="001C2DC3"/>
    <w:rsid w:val="001C34E9"/>
    <w:rsid w:val="001C3804"/>
    <w:rsid w:val="001C663B"/>
    <w:rsid w:val="001C7026"/>
    <w:rsid w:val="001D055E"/>
    <w:rsid w:val="001D1371"/>
    <w:rsid w:val="001D4284"/>
    <w:rsid w:val="001D4AB6"/>
    <w:rsid w:val="001E1B3F"/>
    <w:rsid w:val="001E61B8"/>
    <w:rsid w:val="001E7161"/>
    <w:rsid w:val="001F05A4"/>
    <w:rsid w:val="001F3A8B"/>
    <w:rsid w:val="001F3D4A"/>
    <w:rsid w:val="001F492E"/>
    <w:rsid w:val="001F56D5"/>
    <w:rsid w:val="001F64EF"/>
    <w:rsid w:val="001F6DA3"/>
    <w:rsid w:val="00200C37"/>
    <w:rsid w:val="002010BC"/>
    <w:rsid w:val="002016E7"/>
    <w:rsid w:val="00202C66"/>
    <w:rsid w:val="00202E03"/>
    <w:rsid w:val="002033B9"/>
    <w:rsid w:val="002043D0"/>
    <w:rsid w:val="0020492C"/>
    <w:rsid w:val="00204EC9"/>
    <w:rsid w:val="00206505"/>
    <w:rsid w:val="002069C9"/>
    <w:rsid w:val="0020743F"/>
    <w:rsid w:val="00215A5E"/>
    <w:rsid w:val="00215F7A"/>
    <w:rsid w:val="00216315"/>
    <w:rsid w:val="00216C93"/>
    <w:rsid w:val="00216FD5"/>
    <w:rsid w:val="0022005C"/>
    <w:rsid w:val="00223051"/>
    <w:rsid w:val="00224DB9"/>
    <w:rsid w:val="00225175"/>
    <w:rsid w:val="0022569A"/>
    <w:rsid w:val="0023005C"/>
    <w:rsid w:val="00231012"/>
    <w:rsid w:val="00233775"/>
    <w:rsid w:val="0023414B"/>
    <w:rsid w:val="002377DB"/>
    <w:rsid w:val="00242A90"/>
    <w:rsid w:val="0024314F"/>
    <w:rsid w:val="00243635"/>
    <w:rsid w:val="00247079"/>
    <w:rsid w:val="00251622"/>
    <w:rsid w:val="00251745"/>
    <w:rsid w:val="00253574"/>
    <w:rsid w:val="0025443E"/>
    <w:rsid w:val="002552BA"/>
    <w:rsid w:val="0025728D"/>
    <w:rsid w:val="00260016"/>
    <w:rsid w:val="00263579"/>
    <w:rsid w:val="00263AC0"/>
    <w:rsid w:val="00264264"/>
    <w:rsid w:val="00265DCE"/>
    <w:rsid w:val="0026689B"/>
    <w:rsid w:val="0026772D"/>
    <w:rsid w:val="00271DF2"/>
    <w:rsid w:val="002730B2"/>
    <w:rsid w:val="00274C7E"/>
    <w:rsid w:val="002777CF"/>
    <w:rsid w:val="002810F2"/>
    <w:rsid w:val="0028222B"/>
    <w:rsid w:val="00283803"/>
    <w:rsid w:val="00286874"/>
    <w:rsid w:val="00287384"/>
    <w:rsid w:val="00290C63"/>
    <w:rsid w:val="00290F66"/>
    <w:rsid w:val="00291A99"/>
    <w:rsid w:val="00293B6D"/>
    <w:rsid w:val="00294B08"/>
    <w:rsid w:val="0029518C"/>
    <w:rsid w:val="00295603"/>
    <w:rsid w:val="002963DD"/>
    <w:rsid w:val="00296B65"/>
    <w:rsid w:val="002A7DEF"/>
    <w:rsid w:val="002B0696"/>
    <w:rsid w:val="002B2187"/>
    <w:rsid w:val="002C0222"/>
    <w:rsid w:val="002C1499"/>
    <w:rsid w:val="002C233C"/>
    <w:rsid w:val="002C517B"/>
    <w:rsid w:val="002C67F2"/>
    <w:rsid w:val="002C7623"/>
    <w:rsid w:val="002D3096"/>
    <w:rsid w:val="002D3509"/>
    <w:rsid w:val="002D48E6"/>
    <w:rsid w:val="002D5457"/>
    <w:rsid w:val="002D72E8"/>
    <w:rsid w:val="002D7799"/>
    <w:rsid w:val="002D79AD"/>
    <w:rsid w:val="002E268F"/>
    <w:rsid w:val="002E2924"/>
    <w:rsid w:val="002E78DD"/>
    <w:rsid w:val="002E7B22"/>
    <w:rsid w:val="002F12EC"/>
    <w:rsid w:val="002F7986"/>
    <w:rsid w:val="00300802"/>
    <w:rsid w:val="00301B40"/>
    <w:rsid w:val="00301C82"/>
    <w:rsid w:val="003029EE"/>
    <w:rsid w:val="00302CC4"/>
    <w:rsid w:val="00304D38"/>
    <w:rsid w:val="00305CC8"/>
    <w:rsid w:val="00307F3A"/>
    <w:rsid w:val="00307F6D"/>
    <w:rsid w:val="00314D83"/>
    <w:rsid w:val="0031571F"/>
    <w:rsid w:val="003177A2"/>
    <w:rsid w:val="00317E02"/>
    <w:rsid w:val="003214AE"/>
    <w:rsid w:val="003238EE"/>
    <w:rsid w:val="003271B5"/>
    <w:rsid w:val="00327A1E"/>
    <w:rsid w:val="00327E28"/>
    <w:rsid w:val="00331264"/>
    <w:rsid w:val="00333490"/>
    <w:rsid w:val="00334C8D"/>
    <w:rsid w:val="00334D03"/>
    <w:rsid w:val="003356B9"/>
    <w:rsid w:val="00336223"/>
    <w:rsid w:val="003378BD"/>
    <w:rsid w:val="003424EA"/>
    <w:rsid w:val="00342989"/>
    <w:rsid w:val="00342C2F"/>
    <w:rsid w:val="003436EB"/>
    <w:rsid w:val="00343A18"/>
    <w:rsid w:val="00345744"/>
    <w:rsid w:val="00345F95"/>
    <w:rsid w:val="003518B3"/>
    <w:rsid w:val="00351A6E"/>
    <w:rsid w:val="00353B7C"/>
    <w:rsid w:val="00353E79"/>
    <w:rsid w:val="00354F7C"/>
    <w:rsid w:val="00355274"/>
    <w:rsid w:val="00356047"/>
    <w:rsid w:val="003576D0"/>
    <w:rsid w:val="00364EA0"/>
    <w:rsid w:val="00366981"/>
    <w:rsid w:val="00370678"/>
    <w:rsid w:val="0037214E"/>
    <w:rsid w:val="00372C85"/>
    <w:rsid w:val="00373845"/>
    <w:rsid w:val="003744E3"/>
    <w:rsid w:val="00374D61"/>
    <w:rsid w:val="00375F71"/>
    <w:rsid w:val="00376219"/>
    <w:rsid w:val="0037663E"/>
    <w:rsid w:val="0037699E"/>
    <w:rsid w:val="00377A29"/>
    <w:rsid w:val="00377C69"/>
    <w:rsid w:val="00380EE0"/>
    <w:rsid w:val="00383056"/>
    <w:rsid w:val="0038415D"/>
    <w:rsid w:val="0038461C"/>
    <w:rsid w:val="003846F1"/>
    <w:rsid w:val="00390DD5"/>
    <w:rsid w:val="00390E6A"/>
    <w:rsid w:val="0039387B"/>
    <w:rsid w:val="00393ABE"/>
    <w:rsid w:val="00395DB6"/>
    <w:rsid w:val="00397398"/>
    <w:rsid w:val="00397997"/>
    <w:rsid w:val="003A371A"/>
    <w:rsid w:val="003A37B6"/>
    <w:rsid w:val="003A3819"/>
    <w:rsid w:val="003A5175"/>
    <w:rsid w:val="003A59CD"/>
    <w:rsid w:val="003A6B00"/>
    <w:rsid w:val="003B2A58"/>
    <w:rsid w:val="003B30B2"/>
    <w:rsid w:val="003B3F1A"/>
    <w:rsid w:val="003B484F"/>
    <w:rsid w:val="003B504B"/>
    <w:rsid w:val="003B5179"/>
    <w:rsid w:val="003B685C"/>
    <w:rsid w:val="003B7763"/>
    <w:rsid w:val="003B7FBA"/>
    <w:rsid w:val="003C5A87"/>
    <w:rsid w:val="003C6537"/>
    <w:rsid w:val="003C6A13"/>
    <w:rsid w:val="003C6A8C"/>
    <w:rsid w:val="003C764A"/>
    <w:rsid w:val="003C78BA"/>
    <w:rsid w:val="003D2FBD"/>
    <w:rsid w:val="003D41F1"/>
    <w:rsid w:val="003D42AB"/>
    <w:rsid w:val="003D45A6"/>
    <w:rsid w:val="003D5B94"/>
    <w:rsid w:val="003E0D3A"/>
    <w:rsid w:val="003E1885"/>
    <w:rsid w:val="003E3AAB"/>
    <w:rsid w:val="003E7FE9"/>
    <w:rsid w:val="003F07D4"/>
    <w:rsid w:val="003F174D"/>
    <w:rsid w:val="003F2329"/>
    <w:rsid w:val="00400FD2"/>
    <w:rsid w:val="0040283A"/>
    <w:rsid w:val="004029A3"/>
    <w:rsid w:val="00403711"/>
    <w:rsid w:val="00404707"/>
    <w:rsid w:val="00404C52"/>
    <w:rsid w:val="00410E95"/>
    <w:rsid w:val="004130CF"/>
    <w:rsid w:val="00414A8C"/>
    <w:rsid w:val="004156D5"/>
    <w:rsid w:val="00415BA9"/>
    <w:rsid w:val="00415F31"/>
    <w:rsid w:val="0041691D"/>
    <w:rsid w:val="0042000C"/>
    <w:rsid w:val="0042039E"/>
    <w:rsid w:val="0042090E"/>
    <w:rsid w:val="00421F27"/>
    <w:rsid w:val="004238D8"/>
    <w:rsid w:val="00423A77"/>
    <w:rsid w:val="00425233"/>
    <w:rsid w:val="0042717D"/>
    <w:rsid w:val="004324F4"/>
    <w:rsid w:val="004337F2"/>
    <w:rsid w:val="00434544"/>
    <w:rsid w:val="00436FEE"/>
    <w:rsid w:val="00441F4E"/>
    <w:rsid w:val="004426D2"/>
    <w:rsid w:val="00445990"/>
    <w:rsid w:val="00445D43"/>
    <w:rsid w:val="00446CD2"/>
    <w:rsid w:val="00447D0D"/>
    <w:rsid w:val="004523B2"/>
    <w:rsid w:val="00453534"/>
    <w:rsid w:val="0045777E"/>
    <w:rsid w:val="004611BC"/>
    <w:rsid w:val="00461E83"/>
    <w:rsid w:val="004620D2"/>
    <w:rsid w:val="00465258"/>
    <w:rsid w:val="00465A73"/>
    <w:rsid w:val="00471BC6"/>
    <w:rsid w:val="004733D5"/>
    <w:rsid w:val="00474B41"/>
    <w:rsid w:val="00476221"/>
    <w:rsid w:val="004766F5"/>
    <w:rsid w:val="00480B4B"/>
    <w:rsid w:val="004838D8"/>
    <w:rsid w:val="00484536"/>
    <w:rsid w:val="00485DC4"/>
    <w:rsid w:val="00494198"/>
    <w:rsid w:val="00494D04"/>
    <w:rsid w:val="004A0866"/>
    <w:rsid w:val="004A2F57"/>
    <w:rsid w:val="004A3BC0"/>
    <w:rsid w:val="004A40BA"/>
    <w:rsid w:val="004A43D1"/>
    <w:rsid w:val="004A492B"/>
    <w:rsid w:val="004B374C"/>
    <w:rsid w:val="004B4412"/>
    <w:rsid w:val="004B6269"/>
    <w:rsid w:val="004C2E10"/>
    <w:rsid w:val="004C30D5"/>
    <w:rsid w:val="004C348C"/>
    <w:rsid w:val="004C3D1C"/>
    <w:rsid w:val="004C462E"/>
    <w:rsid w:val="004C6CA3"/>
    <w:rsid w:val="004C7F5E"/>
    <w:rsid w:val="004D0620"/>
    <w:rsid w:val="004D2CF7"/>
    <w:rsid w:val="004D2DF6"/>
    <w:rsid w:val="004D343C"/>
    <w:rsid w:val="004D372A"/>
    <w:rsid w:val="004D4440"/>
    <w:rsid w:val="004D4E39"/>
    <w:rsid w:val="004D55BA"/>
    <w:rsid w:val="004D720C"/>
    <w:rsid w:val="004E0FA7"/>
    <w:rsid w:val="004E22EC"/>
    <w:rsid w:val="004E2F04"/>
    <w:rsid w:val="004E3DEC"/>
    <w:rsid w:val="004F0B8A"/>
    <w:rsid w:val="004F0BFA"/>
    <w:rsid w:val="004F13DA"/>
    <w:rsid w:val="004F2D17"/>
    <w:rsid w:val="004F4D69"/>
    <w:rsid w:val="004F6883"/>
    <w:rsid w:val="004F6A0E"/>
    <w:rsid w:val="004F6BB3"/>
    <w:rsid w:val="005009CD"/>
    <w:rsid w:val="005014C2"/>
    <w:rsid w:val="00504E5F"/>
    <w:rsid w:val="0051337E"/>
    <w:rsid w:val="00513FA7"/>
    <w:rsid w:val="0051768F"/>
    <w:rsid w:val="00522DC2"/>
    <w:rsid w:val="00522F23"/>
    <w:rsid w:val="0052479B"/>
    <w:rsid w:val="00530128"/>
    <w:rsid w:val="00531BDA"/>
    <w:rsid w:val="00532467"/>
    <w:rsid w:val="005332A9"/>
    <w:rsid w:val="0053603C"/>
    <w:rsid w:val="005375DB"/>
    <w:rsid w:val="00537871"/>
    <w:rsid w:val="00542FE9"/>
    <w:rsid w:val="00544598"/>
    <w:rsid w:val="00544C8D"/>
    <w:rsid w:val="00544DFD"/>
    <w:rsid w:val="005462A4"/>
    <w:rsid w:val="00547ABE"/>
    <w:rsid w:val="00551261"/>
    <w:rsid w:val="0055327E"/>
    <w:rsid w:val="00554A93"/>
    <w:rsid w:val="00555C5C"/>
    <w:rsid w:val="00556AEA"/>
    <w:rsid w:val="00556B1E"/>
    <w:rsid w:val="005571D4"/>
    <w:rsid w:val="00560A92"/>
    <w:rsid w:val="00564A4D"/>
    <w:rsid w:val="0056598C"/>
    <w:rsid w:val="00566E0B"/>
    <w:rsid w:val="00567BA5"/>
    <w:rsid w:val="00571B35"/>
    <w:rsid w:val="00571B43"/>
    <w:rsid w:val="00571D57"/>
    <w:rsid w:val="00573A3B"/>
    <w:rsid w:val="00575942"/>
    <w:rsid w:val="00577716"/>
    <w:rsid w:val="00577A09"/>
    <w:rsid w:val="005829C2"/>
    <w:rsid w:val="00583169"/>
    <w:rsid w:val="00584D8F"/>
    <w:rsid w:val="00587A18"/>
    <w:rsid w:val="00587ADE"/>
    <w:rsid w:val="00594174"/>
    <w:rsid w:val="0059639B"/>
    <w:rsid w:val="00596988"/>
    <w:rsid w:val="005A0BEC"/>
    <w:rsid w:val="005A2793"/>
    <w:rsid w:val="005A404D"/>
    <w:rsid w:val="005A70FB"/>
    <w:rsid w:val="005B1E3C"/>
    <w:rsid w:val="005B5F7B"/>
    <w:rsid w:val="005B6518"/>
    <w:rsid w:val="005B663E"/>
    <w:rsid w:val="005B704A"/>
    <w:rsid w:val="005B72D7"/>
    <w:rsid w:val="005C045F"/>
    <w:rsid w:val="005C0A1B"/>
    <w:rsid w:val="005C16FE"/>
    <w:rsid w:val="005C1B8C"/>
    <w:rsid w:val="005C1FAB"/>
    <w:rsid w:val="005C21A4"/>
    <w:rsid w:val="005C26CC"/>
    <w:rsid w:val="005C4463"/>
    <w:rsid w:val="005C6477"/>
    <w:rsid w:val="005C7EBA"/>
    <w:rsid w:val="005D353D"/>
    <w:rsid w:val="005D3B1E"/>
    <w:rsid w:val="005D3D88"/>
    <w:rsid w:val="005D4692"/>
    <w:rsid w:val="005D48C4"/>
    <w:rsid w:val="005D6208"/>
    <w:rsid w:val="005D6366"/>
    <w:rsid w:val="005D6BA2"/>
    <w:rsid w:val="005D7BA2"/>
    <w:rsid w:val="005E36C2"/>
    <w:rsid w:val="005E4AF4"/>
    <w:rsid w:val="005E633D"/>
    <w:rsid w:val="005E6983"/>
    <w:rsid w:val="005E71C7"/>
    <w:rsid w:val="005E7298"/>
    <w:rsid w:val="005E73CE"/>
    <w:rsid w:val="005F2823"/>
    <w:rsid w:val="005F387E"/>
    <w:rsid w:val="005F40A8"/>
    <w:rsid w:val="005F6E56"/>
    <w:rsid w:val="00601E0B"/>
    <w:rsid w:val="0060258B"/>
    <w:rsid w:val="006033F7"/>
    <w:rsid w:val="00604A74"/>
    <w:rsid w:val="00605C66"/>
    <w:rsid w:val="00606869"/>
    <w:rsid w:val="00610EF9"/>
    <w:rsid w:val="00612F4F"/>
    <w:rsid w:val="00614EA0"/>
    <w:rsid w:val="00615C6B"/>
    <w:rsid w:val="00617D4C"/>
    <w:rsid w:val="00621DCE"/>
    <w:rsid w:val="00621FC5"/>
    <w:rsid w:val="00621FE0"/>
    <w:rsid w:val="00624F2C"/>
    <w:rsid w:val="00632D6D"/>
    <w:rsid w:val="006332DA"/>
    <w:rsid w:val="00635311"/>
    <w:rsid w:val="00636569"/>
    <w:rsid w:val="00636EF9"/>
    <w:rsid w:val="00640E44"/>
    <w:rsid w:val="006415FE"/>
    <w:rsid w:val="00642C3E"/>
    <w:rsid w:val="00644A01"/>
    <w:rsid w:val="006513C3"/>
    <w:rsid w:val="00651E2D"/>
    <w:rsid w:val="00652324"/>
    <w:rsid w:val="00655661"/>
    <w:rsid w:val="006577FB"/>
    <w:rsid w:val="00657EDA"/>
    <w:rsid w:val="0066104A"/>
    <w:rsid w:val="00663066"/>
    <w:rsid w:val="00663DAD"/>
    <w:rsid w:val="00664206"/>
    <w:rsid w:val="006649E7"/>
    <w:rsid w:val="00666634"/>
    <w:rsid w:val="00667CE7"/>
    <w:rsid w:val="00670B51"/>
    <w:rsid w:val="00671692"/>
    <w:rsid w:val="00675E20"/>
    <w:rsid w:val="00676679"/>
    <w:rsid w:val="00683C89"/>
    <w:rsid w:val="00686972"/>
    <w:rsid w:val="00691B53"/>
    <w:rsid w:val="006977EF"/>
    <w:rsid w:val="00697D0B"/>
    <w:rsid w:val="006A12BA"/>
    <w:rsid w:val="006A2657"/>
    <w:rsid w:val="006A422A"/>
    <w:rsid w:val="006A4739"/>
    <w:rsid w:val="006A498D"/>
    <w:rsid w:val="006A66A1"/>
    <w:rsid w:val="006A759F"/>
    <w:rsid w:val="006B032D"/>
    <w:rsid w:val="006B1140"/>
    <w:rsid w:val="006B2395"/>
    <w:rsid w:val="006B3A35"/>
    <w:rsid w:val="006B40AC"/>
    <w:rsid w:val="006B4CD9"/>
    <w:rsid w:val="006B4CF9"/>
    <w:rsid w:val="006B797C"/>
    <w:rsid w:val="006B7AC8"/>
    <w:rsid w:val="006C1736"/>
    <w:rsid w:val="006C1C11"/>
    <w:rsid w:val="006C1E7A"/>
    <w:rsid w:val="006C329B"/>
    <w:rsid w:val="006C6303"/>
    <w:rsid w:val="006C665C"/>
    <w:rsid w:val="006D5057"/>
    <w:rsid w:val="006D550F"/>
    <w:rsid w:val="006D6146"/>
    <w:rsid w:val="006D79B0"/>
    <w:rsid w:val="006D7F7E"/>
    <w:rsid w:val="006E0CFF"/>
    <w:rsid w:val="006E25BB"/>
    <w:rsid w:val="006F0D92"/>
    <w:rsid w:val="006F267D"/>
    <w:rsid w:val="006F29C4"/>
    <w:rsid w:val="0070011E"/>
    <w:rsid w:val="00701CAB"/>
    <w:rsid w:val="007023BB"/>
    <w:rsid w:val="00704DD7"/>
    <w:rsid w:val="00707563"/>
    <w:rsid w:val="00715F61"/>
    <w:rsid w:val="00716E34"/>
    <w:rsid w:val="0071756C"/>
    <w:rsid w:val="00722132"/>
    <w:rsid w:val="007228F7"/>
    <w:rsid w:val="0072348C"/>
    <w:rsid w:val="00724A37"/>
    <w:rsid w:val="00725F66"/>
    <w:rsid w:val="007275DB"/>
    <w:rsid w:val="007303C3"/>
    <w:rsid w:val="00731188"/>
    <w:rsid w:val="00732ED2"/>
    <w:rsid w:val="00735603"/>
    <w:rsid w:val="007356CC"/>
    <w:rsid w:val="00736233"/>
    <w:rsid w:val="007367CB"/>
    <w:rsid w:val="007368E6"/>
    <w:rsid w:val="007375DF"/>
    <w:rsid w:val="007429BE"/>
    <w:rsid w:val="00743223"/>
    <w:rsid w:val="00743349"/>
    <w:rsid w:val="0074403A"/>
    <w:rsid w:val="00746E01"/>
    <w:rsid w:val="007478FA"/>
    <w:rsid w:val="00751DCD"/>
    <w:rsid w:val="0075216C"/>
    <w:rsid w:val="00753427"/>
    <w:rsid w:val="007538D0"/>
    <w:rsid w:val="00754E0A"/>
    <w:rsid w:val="00755084"/>
    <w:rsid w:val="00755AA9"/>
    <w:rsid w:val="00756C70"/>
    <w:rsid w:val="00757364"/>
    <w:rsid w:val="00757A77"/>
    <w:rsid w:val="00757BDF"/>
    <w:rsid w:val="007609B8"/>
    <w:rsid w:val="007609D0"/>
    <w:rsid w:val="00761454"/>
    <w:rsid w:val="0076193D"/>
    <w:rsid w:val="00763E5D"/>
    <w:rsid w:val="00764464"/>
    <w:rsid w:val="00767740"/>
    <w:rsid w:val="00767B5E"/>
    <w:rsid w:val="00770064"/>
    <w:rsid w:val="007709C6"/>
    <w:rsid w:val="00771863"/>
    <w:rsid w:val="00771F5E"/>
    <w:rsid w:val="00774EAA"/>
    <w:rsid w:val="00775460"/>
    <w:rsid w:val="00775A41"/>
    <w:rsid w:val="00777EE6"/>
    <w:rsid w:val="00781828"/>
    <w:rsid w:val="007822F0"/>
    <w:rsid w:val="00782BDD"/>
    <w:rsid w:val="00782EEA"/>
    <w:rsid w:val="00786CA4"/>
    <w:rsid w:val="007909B4"/>
    <w:rsid w:val="00790E86"/>
    <w:rsid w:val="007949D7"/>
    <w:rsid w:val="0079769A"/>
    <w:rsid w:val="007A0143"/>
    <w:rsid w:val="007A195D"/>
    <w:rsid w:val="007A34C2"/>
    <w:rsid w:val="007A396C"/>
    <w:rsid w:val="007A4B02"/>
    <w:rsid w:val="007A6328"/>
    <w:rsid w:val="007B0BE3"/>
    <w:rsid w:val="007B1816"/>
    <w:rsid w:val="007B186E"/>
    <w:rsid w:val="007B25DC"/>
    <w:rsid w:val="007B2C72"/>
    <w:rsid w:val="007B3789"/>
    <w:rsid w:val="007B51DC"/>
    <w:rsid w:val="007B6131"/>
    <w:rsid w:val="007B651F"/>
    <w:rsid w:val="007B7BB5"/>
    <w:rsid w:val="007C1C53"/>
    <w:rsid w:val="007C284C"/>
    <w:rsid w:val="007C3170"/>
    <w:rsid w:val="007C4B82"/>
    <w:rsid w:val="007C4B9E"/>
    <w:rsid w:val="007C74BB"/>
    <w:rsid w:val="007C7F64"/>
    <w:rsid w:val="007D0A95"/>
    <w:rsid w:val="007D0EB5"/>
    <w:rsid w:val="007D456E"/>
    <w:rsid w:val="007D564A"/>
    <w:rsid w:val="007D5837"/>
    <w:rsid w:val="007D64C4"/>
    <w:rsid w:val="007E0352"/>
    <w:rsid w:val="007E4904"/>
    <w:rsid w:val="007E4CB5"/>
    <w:rsid w:val="007E4DAE"/>
    <w:rsid w:val="007E767B"/>
    <w:rsid w:val="007F03EA"/>
    <w:rsid w:val="007F066B"/>
    <w:rsid w:val="007F4EAB"/>
    <w:rsid w:val="007F5658"/>
    <w:rsid w:val="007F5B16"/>
    <w:rsid w:val="007F5BF4"/>
    <w:rsid w:val="007F7C9D"/>
    <w:rsid w:val="00800742"/>
    <w:rsid w:val="008033C4"/>
    <w:rsid w:val="00804C91"/>
    <w:rsid w:val="00806731"/>
    <w:rsid w:val="00806C88"/>
    <w:rsid w:val="0081034E"/>
    <w:rsid w:val="00810806"/>
    <w:rsid w:val="0081097E"/>
    <w:rsid w:val="0081213E"/>
    <w:rsid w:val="00815882"/>
    <w:rsid w:val="00820454"/>
    <w:rsid w:val="008213B3"/>
    <w:rsid w:val="00822AC7"/>
    <w:rsid w:val="00822E86"/>
    <w:rsid w:val="00823FA9"/>
    <w:rsid w:val="00831098"/>
    <w:rsid w:val="0083124C"/>
    <w:rsid w:val="0083174F"/>
    <w:rsid w:val="00832DF4"/>
    <w:rsid w:val="00834348"/>
    <w:rsid w:val="008344F6"/>
    <w:rsid w:val="0083510F"/>
    <w:rsid w:val="00835249"/>
    <w:rsid w:val="00837BF3"/>
    <w:rsid w:val="00840AD6"/>
    <w:rsid w:val="008415DE"/>
    <w:rsid w:val="008420DE"/>
    <w:rsid w:val="008441F8"/>
    <w:rsid w:val="00845865"/>
    <w:rsid w:val="00845972"/>
    <w:rsid w:val="0084799B"/>
    <w:rsid w:val="00850C90"/>
    <w:rsid w:val="00851209"/>
    <w:rsid w:val="0085171F"/>
    <w:rsid w:val="00851F4E"/>
    <w:rsid w:val="00852498"/>
    <w:rsid w:val="00860955"/>
    <w:rsid w:val="008658A1"/>
    <w:rsid w:val="0086716A"/>
    <w:rsid w:val="00870397"/>
    <w:rsid w:val="00870613"/>
    <w:rsid w:val="0087380F"/>
    <w:rsid w:val="0087648F"/>
    <w:rsid w:val="00876612"/>
    <w:rsid w:val="0087718C"/>
    <w:rsid w:val="00880B6E"/>
    <w:rsid w:val="00882BB1"/>
    <w:rsid w:val="008837AC"/>
    <w:rsid w:val="008900CF"/>
    <w:rsid w:val="008909DC"/>
    <w:rsid w:val="00894255"/>
    <w:rsid w:val="008945AD"/>
    <w:rsid w:val="00894D32"/>
    <w:rsid w:val="0089566B"/>
    <w:rsid w:val="008A0645"/>
    <w:rsid w:val="008A1C02"/>
    <w:rsid w:val="008A370D"/>
    <w:rsid w:val="008A3D7D"/>
    <w:rsid w:val="008A587D"/>
    <w:rsid w:val="008B0CFE"/>
    <w:rsid w:val="008B16B0"/>
    <w:rsid w:val="008B1BD5"/>
    <w:rsid w:val="008B35CD"/>
    <w:rsid w:val="008B4093"/>
    <w:rsid w:val="008B40D8"/>
    <w:rsid w:val="008B5FCC"/>
    <w:rsid w:val="008B7F36"/>
    <w:rsid w:val="008C22EC"/>
    <w:rsid w:val="008C357F"/>
    <w:rsid w:val="008C5486"/>
    <w:rsid w:val="008C5A21"/>
    <w:rsid w:val="008D1661"/>
    <w:rsid w:val="008D27E0"/>
    <w:rsid w:val="008D5F90"/>
    <w:rsid w:val="008D6800"/>
    <w:rsid w:val="008D72F1"/>
    <w:rsid w:val="008E1691"/>
    <w:rsid w:val="008E362E"/>
    <w:rsid w:val="008E4089"/>
    <w:rsid w:val="008E5AFF"/>
    <w:rsid w:val="008E7031"/>
    <w:rsid w:val="008E77DE"/>
    <w:rsid w:val="008F040C"/>
    <w:rsid w:val="008F07A3"/>
    <w:rsid w:val="008F13F3"/>
    <w:rsid w:val="008F1BD3"/>
    <w:rsid w:val="008F3322"/>
    <w:rsid w:val="008F3519"/>
    <w:rsid w:val="008F3A0D"/>
    <w:rsid w:val="008F45DA"/>
    <w:rsid w:val="008F45F6"/>
    <w:rsid w:val="008F6188"/>
    <w:rsid w:val="009001B6"/>
    <w:rsid w:val="00900E1B"/>
    <w:rsid w:val="0090131F"/>
    <w:rsid w:val="009055EE"/>
    <w:rsid w:val="00905DEA"/>
    <w:rsid w:val="0090664E"/>
    <w:rsid w:val="00907683"/>
    <w:rsid w:val="0091232C"/>
    <w:rsid w:val="009132B7"/>
    <w:rsid w:val="00916A2C"/>
    <w:rsid w:val="00922E11"/>
    <w:rsid w:val="009233EE"/>
    <w:rsid w:val="00930B1A"/>
    <w:rsid w:val="00932612"/>
    <w:rsid w:val="009327DC"/>
    <w:rsid w:val="009335B3"/>
    <w:rsid w:val="009338D9"/>
    <w:rsid w:val="009339BD"/>
    <w:rsid w:val="009356CF"/>
    <w:rsid w:val="00945E53"/>
    <w:rsid w:val="009460AA"/>
    <w:rsid w:val="00951978"/>
    <w:rsid w:val="00952C8B"/>
    <w:rsid w:val="00957496"/>
    <w:rsid w:val="00961A4A"/>
    <w:rsid w:val="00963761"/>
    <w:rsid w:val="009661DE"/>
    <w:rsid w:val="00967C7F"/>
    <w:rsid w:val="009710DD"/>
    <w:rsid w:val="00972C7C"/>
    <w:rsid w:val="009769E3"/>
    <w:rsid w:val="009776F4"/>
    <w:rsid w:val="009800CB"/>
    <w:rsid w:val="009828AB"/>
    <w:rsid w:val="00982DA2"/>
    <w:rsid w:val="00983C25"/>
    <w:rsid w:val="0098466D"/>
    <w:rsid w:val="009847D6"/>
    <w:rsid w:val="009856B7"/>
    <w:rsid w:val="009859D6"/>
    <w:rsid w:val="00985C86"/>
    <w:rsid w:val="009A061B"/>
    <w:rsid w:val="009A5FC3"/>
    <w:rsid w:val="009A7997"/>
    <w:rsid w:val="009B078D"/>
    <w:rsid w:val="009B6F84"/>
    <w:rsid w:val="009B74B0"/>
    <w:rsid w:val="009C0152"/>
    <w:rsid w:val="009C1A74"/>
    <w:rsid w:val="009C3D42"/>
    <w:rsid w:val="009C491E"/>
    <w:rsid w:val="009D0DF1"/>
    <w:rsid w:val="009D22D6"/>
    <w:rsid w:val="009D2C84"/>
    <w:rsid w:val="009D3906"/>
    <w:rsid w:val="009D5E35"/>
    <w:rsid w:val="009D6B46"/>
    <w:rsid w:val="009E1096"/>
    <w:rsid w:val="009E25BD"/>
    <w:rsid w:val="009E35B6"/>
    <w:rsid w:val="009E45B0"/>
    <w:rsid w:val="009E5279"/>
    <w:rsid w:val="009E5ABC"/>
    <w:rsid w:val="009E7F94"/>
    <w:rsid w:val="009F188C"/>
    <w:rsid w:val="009F1FA2"/>
    <w:rsid w:val="009F3BBA"/>
    <w:rsid w:val="009F3DD3"/>
    <w:rsid w:val="009F43B4"/>
    <w:rsid w:val="009F4910"/>
    <w:rsid w:val="009F4940"/>
    <w:rsid w:val="009F5BA1"/>
    <w:rsid w:val="009F73F3"/>
    <w:rsid w:val="00A00E9F"/>
    <w:rsid w:val="00A02A88"/>
    <w:rsid w:val="00A04012"/>
    <w:rsid w:val="00A046FA"/>
    <w:rsid w:val="00A05185"/>
    <w:rsid w:val="00A0562E"/>
    <w:rsid w:val="00A0726D"/>
    <w:rsid w:val="00A073AE"/>
    <w:rsid w:val="00A12204"/>
    <w:rsid w:val="00A12750"/>
    <w:rsid w:val="00A12913"/>
    <w:rsid w:val="00A13CB0"/>
    <w:rsid w:val="00A14E85"/>
    <w:rsid w:val="00A1561F"/>
    <w:rsid w:val="00A1562B"/>
    <w:rsid w:val="00A16544"/>
    <w:rsid w:val="00A1693D"/>
    <w:rsid w:val="00A22A4E"/>
    <w:rsid w:val="00A234AA"/>
    <w:rsid w:val="00A252A0"/>
    <w:rsid w:val="00A30BE7"/>
    <w:rsid w:val="00A30BF5"/>
    <w:rsid w:val="00A31BE6"/>
    <w:rsid w:val="00A32FBB"/>
    <w:rsid w:val="00A336A8"/>
    <w:rsid w:val="00A3436F"/>
    <w:rsid w:val="00A35D03"/>
    <w:rsid w:val="00A40068"/>
    <w:rsid w:val="00A40BE9"/>
    <w:rsid w:val="00A428EE"/>
    <w:rsid w:val="00A443C2"/>
    <w:rsid w:val="00A44585"/>
    <w:rsid w:val="00A4478A"/>
    <w:rsid w:val="00A4481B"/>
    <w:rsid w:val="00A44852"/>
    <w:rsid w:val="00A44A8B"/>
    <w:rsid w:val="00A44EE4"/>
    <w:rsid w:val="00A45E52"/>
    <w:rsid w:val="00A50502"/>
    <w:rsid w:val="00A5087B"/>
    <w:rsid w:val="00A515E0"/>
    <w:rsid w:val="00A52CE1"/>
    <w:rsid w:val="00A52DAF"/>
    <w:rsid w:val="00A53409"/>
    <w:rsid w:val="00A53796"/>
    <w:rsid w:val="00A53848"/>
    <w:rsid w:val="00A54F49"/>
    <w:rsid w:val="00A56945"/>
    <w:rsid w:val="00A56A6E"/>
    <w:rsid w:val="00A570A3"/>
    <w:rsid w:val="00A57D04"/>
    <w:rsid w:val="00A57D52"/>
    <w:rsid w:val="00A60A26"/>
    <w:rsid w:val="00A60E95"/>
    <w:rsid w:val="00A61598"/>
    <w:rsid w:val="00A61777"/>
    <w:rsid w:val="00A63646"/>
    <w:rsid w:val="00A63914"/>
    <w:rsid w:val="00A80730"/>
    <w:rsid w:val="00A82D68"/>
    <w:rsid w:val="00A84A99"/>
    <w:rsid w:val="00A84F46"/>
    <w:rsid w:val="00A85E87"/>
    <w:rsid w:val="00A86AEA"/>
    <w:rsid w:val="00A871F4"/>
    <w:rsid w:val="00A87333"/>
    <w:rsid w:val="00A9103D"/>
    <w:rsid w:val="00A93D8B"/>
    <w:rsid w:val="00A9431A"/>
    <w:rsid w:val="00A95988"/>
    <w:rsid w:val="00A959DF"/>
    <w:rsid w:val="00A97A1B"/>
    <w:rsid w:val="00A97FE5"/>
    <w:rsid w:val="00AA0B82"/>
    <w:rsid w:val="00AA2927"/>
    <w:rsid w:val="00AB0B78"/>
    <w:rsid w:val="00AB1CEF"/>
    <w:rsid w:val="00AB2CB8"/>
    <w:rsid w:val="00AB4617"/>
    <w:rsid w:val="00AB65D7"/>
    <w:rsid w:val="00AC1B2C"/>
    <w:rsid w:val="00AC3264"/>
    <w:rsid w:val="00AC46AD"/>
    <w:rsid w:val="00AC4D2D"/>
    <w:rsid w:val="00AC58EC"/>
    <w:rsid w:val="00AC7282"/>
    <w:rsid w:val="00AC7961"/>
    <w:rsid w:val="00AD1C8C"/>
    <w:rsid w:val="00AD2A77"/>
    <w:rsid w:val="00AD314E"/>
    <w:rsid w:val="00AD5255"/>
    <w:rsid w:val="00AD5FCD"/>
    <w:rsid w:val="00AD6B37"/>
    <w:rsid w:val="00AD6B48"/>
    <w:rsid w:val="00AD7A3A"/>
    <w:rsid w:val="00AE1BF1"/>
    <w:rsid w:val="00AE23AB"/>
    <w:rsid w:val="00AE2619"/>
    <w:rsid w:val="00AE560F"/>
    <w:rsid w:val="00AE58FB"/>
    <w:rsid w:val="00AE5AF0"/>
    <w:rsid w:val="00AE6268"/>
    <w:rsid w:val="00AE663D"/>
    <w:rsid w:val="00AE73B3"/>
    <w:rsid w:val="00AF03F7"/>
    <w:rsid w:val="00AF07E7"/>
    <w:rsid w:val="00AF0DD2"/>
    <w:rsid w:val="00AF0E73"/>
    <w:rsid w:val="00AF1CB2"/>
    <w:rsid w:val="00AF31E1"/>
    <w:rsid w:val="00AF3BBA"/>
    <w:rsid w:val="00AF4231"/>
    <w:rsid w:val="00AF6AC6"/>
    <w:rsid w:val="00B00B0E"/>
    <w:rsid w:val="00B00B26"/>
    <w:rsid w:val="00B02385"/>
    <w:rsid w:val="00B02F9D"/>
    <w:rsid w:val="00B05766"/>
    <w:rsid w:val="00B1062E"/>
    <w:rsid w:val="00B11B08"/>
    <w:rsid w:val="00B13048"/>
    <w:rsid w:val="00B13883"/>
    <w:rsid w:val="00B1716D"/>
    <w:rsid w:val="00B17A1D"/>
    <w:rsid w:val="00B207A0"/>
    <w:rsid w:val="00B20D84"/>
    <w:rsid w:val="00B2123A"/>
    <w:rsid w:val="00B21C21"/>
    <w:rsid w:val="00B22F54"/>
    <w:rsid w:val="00B242D0"/>
    <w:rsid w:val="00B24A7E"/>
    <w:rsid w:val="00B24B39"/>
    <w:rsid w:val="00B256E2"/>
    <w:rsid w:val="00B25C0C"/>
    <w:rsid w:val="00B25FF0"/>
    <w:rsid w:val="00B27B42"/>
    <w:rsid w:val="00B304B5"/>
    <w:rsid w:val="00B308A9"/>
    <w:rsid w:val="00B31047"/>
    <w:rsid w:val="00B33148"/>
    <w:rsid w:val="00B35352"/>
    <w:rsid w:val="00B35CDF"/>
    <w:rsid w:val="00B403C2"/>
    <w:rsid w:val="00B405A1"/>
    <w:rsid w:val="00B40905"/>
    <w:rsid w:val="00B415B1"/>
    <w:rsid w:val="00B4223E"/>
    <w:rsid w:val="00B4438A"/>
    <w:rsid w:val="00B45AA2"/>
    <w:rsid w:val="00B4782D"/>
    <w:rsid w:val="00B479CA"/>
    <w:rsid w:val="00B5084F"/>
    <w:rsid w:val="00B51035"/>
    <w:rsid w:val="00B514DD"/>
    <w:rsid w:val="00B52AF0"/>
    <w:rsid w:val="00B53AC9"/>
    <w:rsid w:val="00B53D5F"/>
    <w:rsid w:val="00B54051"/>
    <w:rsid w:val="00B561BD"/>
    <w:rsid w:val="00B56949"/>
    <w:rsid w:val="00B56E03"/>
    <w:rsid w:val="00B62765"/>
    <w:rsid w:val="00B65DF5"/>
    <w:rsid w:val="00B6731A"/>
    <w:rsid w:val="00B7090E"/>
    <w:rsid w:val="00B76622"/>
    <w:rsid w:val="00B7679F"/>
    <w:rsid w:val="00B77159"/>
    <w:rsid w:val="00B8080B"/>
    <w:rsid w:val="00B82223"/>
    <w:rsid w:val="00B847F4"/>
    <w:rsid w:val="00B87BA5"/>
    <w:rsid w:val="00B87C39"/>
    <w:rsid w:val="00B93891"/>
    <w:rsid w:val="00B94545"/>
    <w:rsid w:val="00B9562D"/>
    <w:rsid w:val="00B96999"/>
    <w:rsid w:val="00BA21DA"/>
    <w:rsid w:val="00BA2B60"/>
    <w:rsid w:val="00BA3C93"/>
    <w:rsid w:val="00BA4665"/>
    <w:rsid w:val="00BA51E5"/>
    <w:rsid w:val="00BA7FD7"/>
    <w:rsid w:val="00BB1681"/>
    <w:rsid w:val="00BB2D1F"/>
    <w:rsid w:val="00BB2FB2"/>
    <w:rsid w:val="00BB3304"/>
    <w:rsid w:val="00BB6551"/>
    <w:rsid w:val="00BC4A10"/>
    <w:rsid w:val="00BC6D1C"/>
    <w:rsid w:val="00BD29D3"/>
    <w:rsid w:val="00BD30F4"/>
    <w:rsid w:val="00BD32B7"/>
    <w:rsid w:val="00BD3446"/>
    <w:rsid w:val="00BD55DD"/>
    <w:rsid w:val="00BD59CF"/>
    <w:rsid w:val="00BD6539"/>
    <w:rsid w:val="00BE1312"/>
    <w:rsid w:val="00BE1F1B"/>
    <w:rsid w:val="00BE1FD6"/>
    <w:rsid w:val="00BE3F89"/>
    <w:rsid w:val="00BE47B5"/>
    <w:rsid w:val="00BE5FCE"/>
    <w:rsid w:val="00BF3DB2"/>
    <w:rsid w:val="00BF424E"/>
    <w:rsid w:val="00BF44A9"/>
    <w:rsid w:val="00BF4768"/>
    <w:rsid w:val="00BF47DF"/>
    <w:rsid w:val="00BF5F7B"/>
    <w:rsid w:val="00BF6029"/>
    <w:rsid w:val="00BF7003"/>
    <w:rsid w:val="00BF77EE"/>
    <w:rsid w:val="00C0079E"/>
    <w:rsid w:val="00C04C3C"/>
    <w:rsid w:val="00C0572A"/>
    <w:rsid w:val="00C0656C"/>
    <w:rsid w:val="00C06C82"/>
    <w:rsid w:val="00C06F0E"/>
    <w:rsid w:val="00C13EBD"/>
    <w:rsid w:val="00C13FD2"/>
    <w:rsid w:val="00C1631B"/>
    <w:rsid w:val="00C163AB"/>
    <w:rsid w:val="00C170F0"/>
    <w:rsid w:val="00C206D4"/>
    <w:rsid w:val="00C2537B"/>
    <w:rsid w:val="00C25962"/>
    <w:rsid w:val="00C25FA6"/>
    <w:rsid w:val="00C3099D"/>
    <w:rsid w:val="00C33011"/>
    <w:rsid w:val="00C352B4"/>
    <w:rsid w:val="00C362C1"/>
    <w:rsid w:val="00C405BF"/>
    <w:rsid w:val="00C41950"/>
    <w:rsid w:val="00C41A5D"/>
    <w:rsid w:val="00C42C3B"/>
    <w:rsid w:val="00C441F6"/>
    <w:rsid w:val="00C51672"/>
    <w:rsid w:val="00C538A9"/>
    <w:rsid w:val="00C53B5A"/>
    <w:rsid w:val="00C53CB4"/>
    <w:rsid w:val="00C53E41"/>
    <w:rsid w:val="00C54909"/>
    <w:rsid w:val="00C54AF3"/>
    <w:rsid w:val="00C54F5A"/>
    <w:rsid w:val="00C569B4"/>
    <w:rsid w:val="00C57DDE"/>
    <w:rsid w:val="00C606F6"/>
    <w:rsid w:val="00C61468"/>
    <w:rsid w:val="00C61A97"/>
    <w:rsid w:val="00C61E44"/>
    <w:rsid w:val="00C61F0E"/>
    <w:rsid w:val="00C64B44"/>
    <w:rsid w:val="00C64FF3"/>
    <w:rsid w:val="00C662AD"/>
    <w:rsid w:val="00C67028"/>
    <w:rsid w:val="00C67A92"/>
    <w:rsid w:val="00C67BD8"/>
    <w:rsid w:val="00C71280"/>
    <w:rsid w:val="00C7148A"/>
    <w:rsid w:val="00C717BF"/>
    <w:rsid w:val="00C76178"/>
    <w:rsid w:val="00C818B5"/>
    <w:rsid w:val="00C84560"/>
    <w:rsid w:val="00C86679"/>
    <w:rsid w:val="00C8792F"/>
    <w:rsid w:val="00C90472"/>
    <w:rsid w:val="00C91213"/>
    <w:rsid w:val="00C91D6E"/>
    <w:rsid w:val="00C9343F"/>
    <w:rsid w:val="00CA009B"/>
    <w:rsid w:val="00CA1138"/>
    <w:rsid w:val="00CA1A8A"/>
    <w:rsid w:val="00CA489E"/>
    <w:rsid w:val="00CA7414"/>
    <w:rsid w:val="00CB0279"/>
    <w:rsid w:val="00CB666B"/>
    <w:rsid w:val="00CB734B"/>
    <w:rsid w:val="00CC058C"/>
    <w:rsid w:val="00CC36D8"/>
    <w:rsid w:val="00CC41B6"/>
    <w:rsid w:val="00CC5C26"/>
    <w:rsid w:val="00CC5C59"/>
    <w:rsid w:val="00CC6473"/>
    <w:rsid w:val="00CC771C"/>
    <w:rsid w:val="00CC7ADA"/>
    <w:rsid w:val="00CC7F1D"/>
    <w:rsid w:val="00CD0A88"/>
    <w:rsid w:val="00CD125D"/>
    <w:rsid w:val="00CD283C"/>
    <w:rsid w:val="00CD3641"/>
    <w:rsid w:val="00CD66EA"/>
    <w:rsid w:val="00CD7432"/>
    <w:rsid w:val="00CE0FA5"/>
    <w:rsid w:val="00CE2A23"/>
    <w:rsid w:val="00CE31C8"/>
    <w:rsid w:val="00CE484B"/>
    <w:rsid w:val="00CE513E"/>
    <w:rsid w:val="00CE62F8"/>
    <w:rsid w:val="00CE73C6"/>
    <w:rsid w:val="00CE7627"/>
    <w:rsid w:val="00CE7CBA"/>
    <w:rsid w:val="00CF07AB"/>
    <w:rsid w:val="00CF0826"/>
    <w:rsid w:val="00CF09D8"/>
    <w:rsid w:val="00CF0DEE"/>
    <w:rsid w:val="00CF42AA"/>
    <w:rsid w:val="00CF48F6"/>
    <w:rsid w:val="00CF5EAA"/>
    <w:rsid w:val="00CF6376"/>
    <w:rsid w:val="00CF6AE3"/>
    <w:rsid w:val="00CF7564"/>
    <w:rsid w:val="00CF77BB"/>
    <w:rsid w:val="00CF7D3D"/>
    <w:rsid w:val="00D006AE"/>
    <w:rsid w:val="00D00905"/>
    <w:rsid w:val="00D010C1"/>
    <w:rsid w:val="00D01CF0"/>
    <w:rsid w:val="00D0442A"/>
    <w:rsid w:val="00D07B55"/>
    <w:rsid w:val="00D10FA4"/>
    <w:rsid w:val="00D12A7B"/>
    <w:rsid w:val="00D12ADB"/>
    <w:rsid w:val="00D13F51"/>
    <w:rsid w:val="00D140D7"/>
    <w:rsid w:val="00D15E63"/>
    <w:rsid w:val="00D2369C"/>
    <w:rsid w:val="00D25A39"/>
    <w:rsid w:val="00D27CFA"/>
    <w:rsid w:val="00D304CB"/>
    <w:rsid w:val="00D310FA"/>
    <w:rsid w:val="00D315B7"/>
    <w:rsid w:val="00D325C6"/>
    <w:rsid w:val="00D34149"/>
    <w:rsid w:val="00D37213"/>
    <w:rsid w:val="00D42FB7"/>
    <w:rsid w:val="00D4360D"/>
    <w:rsid w:val="00D43975"/>
    <w:rsid w:val="00D454CD"/>
    <w:rsid w:val="00D5607F"/>
    <w:rsid w:val="00D61388"/>
    <w:rsid w:val="00D61A54"/>
    <w:rsid w:val="00D62108"/>
    <w:rsid w:val="00D64AA4"/>
    <w:rsid w:val="00D64DEA"/>
    <w:rsid w:val="00D64F84"/>
    <w:rsid w:val="00D663CD"/>
    <w:rsid w:val="00D6726A"/>
    <w:rsid w:val="00D7001B"/>
    <w:rsid w:val="00D71440"/>
    <w:rsid w:val="00D7160D"/>
    <w:rsid w:val="00D7168E"/>
    <w:rsid w:val="00D71E57"/>
    <w:rsid w:val="00D72D27"/>
    <w:rsid w:val="00D7633F"/>
    <w:rsid w:val="00D7786B"/>
    <w:rsid w:val="00D8067B"/>
    <w:rsid w:val="00D80893"/>
    <w:rsid w:val="00D80EB3"/>
    <w:rsid w:val="00D8209E"/>
    <w:rsid w:val="00D82519"/>
    <w:rsid w:val="00D84854"/>
    <w:rsid w:val="00D84982"/>
    <w:rsid w:val="00D875F5"/>
    <w:rsid w:val="00D901BB"/>
    <w:rsid w:val="00D905B8"/>
    <w:rsid w:val="00D91018"/>
    <w:rsid w:val="00D924AE"/>
    <w:rsid w:val="00D92CF1"/>
    <w:rsid w:val="00D92D38"/>
    <w:rsid w:val="00D950F5"/>
    <w:rsid w:val="00D964B9"/>
    <w:rsid w:val="00D96B78"/>
    <w:rsid w:val="00D97379"/>
    <w:rsid w:val="00DA0A90"/>
    <w:rsid w:val="00DA23E9"/>
    <w:rsid w:val="00DA458C"/>
    <w:rsid w:val="00DA4620"/>
    <w:rsid w:val="00DA4752"/>
    <w:rsid w:val="00DA4C09"/>
    <w:rsid w:val="00DA4EED"/>
    <w:rsid w:val="00DA61F3"/>
    <w:rsid w:val="00DA7CB3"/>
    <w:rsid w:val="00DB0D00"/>
    <w:rsid w:val="00DB0F93"/>
    <w:rsid w:val="00DB1A67"/>
    <w:rsid w:val="00DB3721"/>
    <w:rsid w:val="00DB4639"/>
    <w:rsid w:val="00DB5074"/>
    <w:rsid w:val="00DB5445"/>
    <w:rsid w:val="00DB7432"/>
    <w:rsid w:val="00DC019E"/>
    <w:rsid w:val="00DC0281"/>
    <w:rsid w:val="00DC1930"/>
    <w:rsid w:val="00DC1C76"/>
    <w:rsid w:val="00DC4DBF"/>
    <w:rsid w:val="00DC4E19"/>
    <w:rsid w:val="00DC65FE"/>
    <w:rsid w:val="00DC6BB0"/>
    <w:rsid w:val="00DC7981"/>
    <w:rsid w:val="00DD2B58"/>
    <w:rsid w:val="00DD489F"/>
    <w:rsid w:val="00DD4C07"/>
    <w:rsid w:val="00DD577D"/>
    <w:rsid w:val="00DD5ADC"/>
    <w:rsid w:val="00DD6541"/>
    <w:rsid w:val="00DE1093"/>
    <w:rsid w:val="00DE4DD5"/>
    <w:rsid w:val="00DE4EFA"/>
    <w:rsid w:val="00DE53D7"/>
    <w:rsid w:val="00DE5520"/>
    <w:rsid w:val="00DE563D"/>
    <w:rsid w:val="00DE7AB5"/>
    <w:rsid w:val="00DF0152"/>
    <w:rsid w:val="00DF1958"/>
    <w:rsid w:val="00DF3EFE"/>
    <w:rsid w:val="00DF4608"/>
    <w:rsid w:val="00E04818"/>
    <w:rsid w:val="00E04EF0"/>
    <w:rsid w:val="00E06442"/>
    <w:rsid w:val="00E06952"/>
    <w:rsid w:val="00E1015F"/>
    <w:rsid w:val="00E11E61"/>
    <w:rsid w:val="00E128EA"/>
    <w:rsid w:val="00E157B2"/>
    <w:rsid w:val="00E15A10"/>
    <w:rsid w:val="00E16055"/>
    <w:rsid w:val="00E2332D"/>
    <w:rsid w:val="00E23993"/>
    <w:rsid w:val="00E239E4"/>
    <w:rsid w:val="00E2574F"/>
    <w:rsid w:val="00E25951"/>
    <w:rsid w:val="00E25B8C"/>
    <w:rsid w:val="00E25C61"/>
    <w:rsid w:val="00E27E31"/>
    <w:rsid w:val="00E30BB4"/>
    <w:rsid w:val="00E31CF6"/>
    <w:rsid w:val="00E34A4A"/>
    <w:rsid w:val="00E35AFC"/>
    <w:rsid w:val="00E41D39"/>
    <w:rsid w:val="00E44852"/>
    <w:rsid w:val="00E506CC"/>
    <w:rsid w:val="00E50A02"/>
    <w:rsid w:val="00E54106"/>
    <w:rsid w:val="00E54697"/>
    <w:rsid w:val="00E560BE"/>
    <w:rsid w:val="00E57022"/>
    <w:rsid w:val="00E57A08"/>
    <w:rsid w:val="00E607FC"/>
    <w:rsid w:val="00E6218F"/>
    <w:rsid w:val="00E62739"/>
    <w:rsid w:val="00E63631"/>
    <w:rsid w:val="00E64C2A"/>
    <w:rsid w:val="00E65C85"/>
    <w:rsid w:val="00E66199"/>
    <w:rsid w:val="00E665AA"/>
    <w:rsid w:val="00E67F2A"/>
    <w:rsid w:val="00E70526"/>
    <w:rsid w:val="00E748BC"/>
    <w:rsid w:val="00E754B4"/>
    <w:rsid w:val="00E755EC"/>
    <w:rsid w:val="00E7624D"/>
    <w:rsid w:val="00E77762"/>
    <w:rsid w:val="00E81724"/>
    <w:rsid w:val="00E819A4"/>
    <w:rsid w:val="00E82DCD"/>
    <w:rsid w:val="00E833FA"/>
    <w:rsid w:val="00E84B74"/>
    <w:rsid w:val="00E87066"/>
    <w:rsid w:val="00E966BF"/>
    <w:rsid w:val="00E96798"/>
    <w:rsid w:val="00E97139"/>
    <w:rsid w:val="00EA0C04"/>
    <w:rsid w:val="00EA25BA"/>
    <w:rsid w:val="00EA3996"/>
    <w:rsid w:val="00EA3D42"/>
    <w:rsid w:val="00EA6B1B"/>
    <w:rsid w:val="00EB1CBD"/>
    <w:rsid w:val="00EB3A34"/>
    <w:rsid w:val="00EB3C3F"/>
    <w:rsid w:val="00EB6DBF"/>
    <w:rsid w:val="00EC04F1"/>
    <w:rsid w:val="00EC1850"/>
    <w:rsid w:val="00EC18D0"/>
    <w:rsid w:val="00EC237F"/>
    <w:rsid w:val="00EC2A8D"/>
    <w:rsid w:val="00EC573A"/>
    <w:rsid w:val="00EC6D84"/>
    <w:rsid w:val="00ED1152"/>
    <w:rsid w:val="00ED35C8"/>
    <w:rsid w:val="00ED3968"/>
    <w:rsid w:val="00ED7323"/>
    <w:rsid w:val="00EE141C"/>
    <w:rsid w:val="00EE28F3"/>
    <w:rsid w:val="00EE47F3"/>
    <w:rsid w:val="00EE50D1"/>
    <w:rsid w:val="00EE7614"/>
    <w:rsid w:val="00EF21AC"/>
    <w:rsid w:val="00EF2A82"/>
    <w:rsid w:val="00EF44F5"/>
    <w:rsid w:val="00EF5048"/>
    <w:rsid w:val="00EF5110"/>
    <w:rsid w:val="00EF5890"/>
    <w:rsid w:val="00EF76BA"/>
    <w:rsid w:val="00F0231A"/>
    <w:rsid w:val="00F03463"/>
    <w:rsid w:val="00F036B7"/>
    <w:rsid w:val="00F03B48"/>
    <w:rsid w:val="00F0700F"/>
    <w:rsid w:val="00F0734D"/>
    <w:rsid w:val="00F07A1A"/>
    <w:rsid w:val="00F07F1F"/>
    <w:rsid w:val="00F10411"/>
    <w:rsid w:val="00F10A9A"/>
    <w:rsid w:val="00F11B2D"/>
    <w:rsid w:val="00F11D86"/>
    <w:rsid w:val="00F121C2"/>
    <w:rsid w:val="00F1485B"/>
    <w:rsid w:val="00F15882"/>
    <w:rsid w:val="00F170C7"/>
    <w:rsid w:val="00F171E0"/>
    <w:rsid w:val="00F20BD3"/>
    <w:rsid w:val="00F238A0"/>
    <w:rsid w:val="00F25C7F"/>
    <w:rsid w:val="00F2722C"/>
    <w:rsid w:val="00F3095A"/>
    <w:rsid w:val="00F31477"/>
    <w:rsid w:val="00F322E9"/>
    <w:rsid w:val="00F3231B"/>
    <w:rsid w:val="00F33808"/>
    <w:rsid w:val="00F373A5"/>
    <w:rsid w:val="00F3744D"/>
    <w:rsid w:val="00F37864"/>
    <w:rsid w:val="00F404F9"/>
    <w:rsid w:val="00F41713"/>
    <w:rsid w:val="00F4207D"/>
    <w:rsid w:val="00F42B97"/>
    <w:rsid w:val="00F44840"/>
    <w:rsid w:val="00F44B0A"/>
    <w:rsid w:val="00F47559"/>
    <w:rsid w:val="00F50049"/>
    <w:rsid w:val="00F50B30"/>
    <w:rsid w:val="00F51F5F"/>
    <w:rsid w:val="00F52D75"/>
    <w:rsid w:val="00F55582"/>
    <w:rsid w:val="00F57647"/>
    <w:rsid w:val="00F62601"/>
    <w:rsid w:val="00F62A14"/>
    <w:rsid w:val="00F63F7E"/>
    <w:rsid w:val="00F644AB"/>
    <w:rsid w:val="00F64C7B"/>
    <w:rsid w:val="00F65366"/>
    <w:rsid w:val="00F67500"/>
    <w:rsid w:val="00F676DD"/>
    <w:rsid w:val="00F67AB6"/>
    <w:rsid w:val="00F70028"/>
    <w:rsid w:val="00F70434"/>
    <w:rsid w:val="00F71B06"/>
    <w:rsid w:val="00F71E0B"/>
    <w:rsid w:val="00F72397"/>
    <w:rsid w:val="00F74CE8"/>
    <w:rsid w:val="00F75A26"/>
    <w:rsid w:val="00F76706"/>
    <w:rsid w:val="00F77D6D"/>
    <w:rsid w:val="00F80206"/>
    <w:rsid w:val="00F83034"/>
    <w:rsid w:val="00F83919"/>
    <w:rsid w:val="00F83FAD"/>
    <w:rsid w:val="00F844C6"/>
    <w:rsid w:val="00F85E40"/>
    <w:rsid w:val="00F9005F"/>
    <w:rsid w:val="00F9138A"/>
    <w:rsid w:val="00F92FA6"/>
    <w:rsid w:val="00F9353B"/>
    <w:rsid w:val="00F937F1"/>
    <w:rsid w:val="00F952A0"/>
    <w:rsid w:val="00F97D06"/>
    <w:rsid w:val="00FA0BFA"/>
    <w:rsid w:val="00FA31B1"/>
    <w:rsid w:val="00FA3320"/>
    <w:rsid w:val="00FA3C7F"/>
    <w:rsid w:val="00FA41F6"/>
    <w:rsid w:val="00FA6246"/>
    <w:rsid w:val="00FA7210"/>
    <w:rsid w:val="00FB24ED"/>
    <w:rsid w:val="00FB3304"/>
    <w:rsid w:val="00FB48A7"/>
    <w:rsid w:val="00FB4E7E"/>
    <w:rsid w:val="00FB5005"/>
    <w:rsid w:val="00FB60FE"/>
    <w:rsid w:val="00FB74E2"/>
    <w:rsid w:val="00FB778B"/>
    <w:rsid w:val="00FC2738"/>
    <w:rsid w:val="00FC2BA2"/>
    <w:rsid w:val="00FD0A4E"/>
    <w:rsid w:val="00FD3D76"/>
    <w:rsid w:val="00FD5614"/>
    <w:rsid w:val="00FD5E78"/>
    <w:rsid w:val="00FE03AE"/>
    <w:rsid w:val="00FE0BE1"/>
    <w:rsid w:val="00FE11BB"/>
    <w:rsid w:val="00FE1DE9"/>
    <w:rsid w:val="00FE36AF"/>
    <w:rsid w:val="00FE39C2"/>
    <w:rsid w:val="00FE3C32"/>
    <w:rsid w:val="00FE47F5"/>
    <w:rsid w:val="00FE64AE"/>
    <w:rsid w:val="00FE69E8"/>
    <w:rsid w:val="00FF440F"/>
    <w:rsid w:val="00FF5046"/>
    <w:rsid w:val="00FF51F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83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A52CE1"/>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A52CE1"/>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61418181">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diagramQuickStyle" Target="diagrams/quickStyle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diagramLayout" Target="diagrams/layout1.xm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diagramData" Target="diagrams/data1.xml"/><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9.emf"/><Relationship Id="rId27" Type="http://schemas.microsoft.com/office/2007/relationships/diagramDrawing" Target="diagrams/drawing1.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www.aer.gov.au/better-regulation-reform-program" TargetMode="External"/><Relationship Id="rId1" Type="http://schemas.openxmlformats.org/officeDocument/2006/relationships/hyperlink" Target="http://www.aer.gov.au/networks-pipelines/determinations-access-arrangements/tasnetworks-formerly-aurora-energy-2017-2019/draft-decisio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800" y="0"/>
          <a:ext cx="5485599" cy="47493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Tasmanian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510467"/>
          <a:ext cx="3127650" cy="474933"/>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1019942"/>
          <a:ext cx="1530581" cy="474933"/>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(general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1019942"/>
          <a:ext cx="1530581" cy="474933"/>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510467"/>
          <a:ext cx="1082839" cy="474933"/>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510467"/>
          <a:ext cx="1082839" cy="474933"/>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399918" y="1019942"/>
          <a:ext cx="1078615" cy="474933"/>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4116" y="1529417"/>
          <a:ext cx="1070217" cy="26939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a:t>
          </a:r>
        </a:p>
        <a:p>
          <a:pPr algn="l"/>
          <a:r>
            <a:rPr lang="en-AU">
              <a:solidFill>
                <a:sysClr val="windowText" lastClr="000000"/>
              </a:solidFill>
              <a:latin typeface="Calibri"/>
              <a:ea typeface="+mn-ea"/>
              <a:cs typeface="+mn-cs"/>
            </a:rPr>
            <a:t>PAYG metering services provided by Aurora Retail</a:t>
          </a:r>
        </a:p>
        <a:p>
          <a:pPr algn="l"/>
          <a:r>
            <a:rPr lang="en-AU">
              <a:solidFill>
                <a:sysClr val="windowText" lastClr="000000"/>
              </a:solidFill>
              <a:latin typeface="Calibri"/>
              <a:ea typeface="+mn-ea"/>
              <a:cs typeface="+mn-cs"/>
            </a:rPr>
            <a:t>Emergency recoverable works</a:t>
          </a: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26904" y="1529654"/>
          <a:ext cx="1505369" cy="26939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Standard network services</a:t>
          </a:r>
        </a:p>
        <a:p>
          <a:pPr algn="l"/>
          <a:r>
            <a:rPr lang="en-AU">
              <a:solidFill>
                <a:sysClr val="windowText" lastClr="000000"/>
              </a:solidFill>
              <a:latin typeface="Calibri"/>
              <a:ea typeface="+mn-ea"/>
              <a:cs typeface="+mn-cs"/>
            </a:rPr>
            <a:t>Connections requiring augmentations</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4035" y="1529417"/>
          <a:ext cx="1506840" cy="26939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Basic connection services</a:t>
          </a:r>
        </a:p>
        <a:p>
          <a:pPr algn="l"/>
          <a:r>
            <a:rPr lang="en-AU">
              <a:solidFill>
                <a:sysClr val="windowText" lastClr="000000"/>
              </a:solidFill>
              <a:latin typeface="Calibri"/>
              <a:ea typeface="+mn-ea"/>
              <a:cs typeface="+mn-cs"/>
            </a:rPr>
            <a:t>Type 5-7 metering services</a:t>
          </a:r>
        </a:p>
        <a:p>
          <a:pPr algn="l"/>
          <a:r>
            <a:rPr lang="en-AU">
              <a:solidFill>
                <a:sysClr val="windowText" lastClr="000000"/>
              </a:solidFill>
              <a:latin typeface="Calibri"/>
              <a:ea typeface="+mn-ea"/>
              <a:cs typeface="+mn-cs"/>
            </a:rPr>
            <a:t>Public lighting services (except new public lighting technology)</a:t>
          </a:r>
        </a:p>
        <a:p>
          <a:pPr algn="l"/>
          <a:r>
            <a:rPr lang="en-AU">
              <a:solidFill>
                <a:sysClr val="windowText" lastClr="000000"/>
              </a:solidFill>
              <a:latin typeface="Calibri"/>
              <a:ea typeface="+mn-ea"/>
              <a:cs typeface="+mn-cs"/>
            </a:rPr>
            <a:t>Ancillary network services (fee based and quoted services)</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1019942"/>
          <a:ext cx="1075458" cy="474933"/>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529417"/>
          <a:ext cx="1060847" cy="2693967"/>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New public lighting technology</a:t>
          </a: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pt>
    <dgm:pt modelId="{62961143-FF02-4A14-8E52-6DDE89741CBC}" type="pres">
      <dgm:prSet presAssocID="{55A47DEC-5BD8-43FF-92F5-E186C868192C}" presName="horzOne" presStyleCnt="0"/>
      <dgm:spPr/>
    </dgm:pt>
    <dgm:pt modelId="{1F53BA3A-0466-4B3E-925E-C15B3723B3C0}" type="pres">
      <dgm:prSet presAssocID="{7E1F13C2-8303-4BE6-BD51-58E6E2D0CCBD}" presName="vertTwo" presStyleCnt="0"/>
      <dgm:spPr/>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pt>
    <dgm:pt modelId="{8F5464E6-689E-4C8F-9DDF-15E1198A2ED4}" type="pres">
      <dgm:prSet presAssocID="{7E1F13C2-8303-4BE6-BD51-58E6E2D0CCBD}" presName="horzTwo" presStyleCnt="0"/>
      <dgm:spPr/>
    </dgm:pt>
    <dgm:pt modelId="{5751DC98-1DFA-492E-A07A-076714AE6B8F}" type="pres">
      <dgm:prSet presAssocID="{3DA4D3B1-BDC4-4286-BC76-1975308602A3}" presName="vertThree" presStyleCnt="0"/>
      <dgm:spPr/>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pt>
    <dgm:pt modelId="{27752314-A407-4A36-B678-E9A5970E0BD4}" type="pres">
      <dgm:prSet presAssocID="{3DA4D3B1-BDC4-4286-BC76-1975308602A3}" presName="horzThree" presStyleCnt="0"/>
      <dgm:spPr/>
    </dgm:pt>
    <dgm:pt modelId="{5FE697D5-3E9B-415A-AD1C-37D5386A2B41}" type="pres">
      <dgm:prSet presAssocID="{264E86EB-59BD-459B-85BB-BF64ACA0608A}" presName="vertFour" presStyleCnt="0">
        <dgm:presLayoutVars>
          <dgm:chPref val="3"/>
        </dgm:presLayoutVars>
      </dgm:prSet>
      <dgm:spPr/>
    </dgm:pt>
    <dgm:pt modelId="{A02E9E10-9EFD-4B93-9024-F27DFA07DAF0}" type="pres">
      <dgm:prSet presAssocID="{264E86EB-59BD-459B-85BB-BF64ACA0608A}" presName="txFour" presStyleLbl="node4" presStyleIdx="0" presStyleCnt="4" custScaleX="142319" custScaleY="567231"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pt>
    <dgm:pt modelId="{C94DD181-18DE-470D-A9B9-F490FAFE6562}" type="pres">
      <dgm:prSet presAssocID="{9D399AB0-BE5D-49EA-BD3F-0BBD5D2E1CAA}" presName="sibSpaceThree" presStyleCnt="0"/>
      <dgm:spPr/>
    </dgm:pt>
    <dgm:pt modelId="{8E950F4B-09F2-451B-9D7F-BB86301BF180}" type="pres">
      <dgm:prSet presAssocID="{9A1AA23F-C1C0-4477-B302-3E60A402D137}" presName="vertThree" presStyleCnt="0"/>
      <dgm:spPr/>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pt>
    <dgm:pt modelId="{81394379-5A0F-434F-92B0-B3898F744DBE}" type="pres">
      <dgm:prSet presAssocID="{9A1AA23F-C1C0-4477-B302-3E60A402D137}" presName="horzThree" presStyleCnt="0"/>
      <dgm:spPr/>
    </dgm:pt>
    <dgm:pt modelId="{52D88C3F-C342-4D0B-A570-AB44121EF5CF}" type="pres">
      <dgm:prSet presAssocID="{A49C721B-AC5B-441C-AFA9-A644FC358A66}" presName="vertFour" presStyleCnt="0">
        <dgm:presLayoutVars>
          <dgm:chPref val="3"/>
        </dgm:presLayoutVars>
      </dgm:prSet>
      <dgm:spPr/>
    </dgm:pt>
    <dgm:pt modelId="{0FD70A2D-5363-4F60-8857-8DCBA108EC51}" type="pres">
      <dgm:prSet presAssocID="{A49C721B-AC5B-441C-AFA9-A644FC358A66}" presName="txFour" presStyleLbl="node4" presStyleIdx="1" presStyleCnt="4" custScaleX="142319" custScaleY="567231">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pt>
    <dgm:pt modelId="{B79FC79B-95B0-460F-A9E2-C9EC7326C334}" type="pres">
      <dgm:prSet presAssocID="{8034AC81-1C30-4867-B0A4-C93CEE24174C}" presName="sibSpaceTwo" presStyleCnt="0"/>
      <dgm:spPr/>
    </dgm:pt>
    <dgm:pt modelId="{43B3714E-05D4-4C8D-8010-CAEF93055560}" type="pres">
      <dgm:prSet presAssocID="{D5ED0B09-3CC2-406A-A1A9-488AFBB60D8B}" presName="vertTwo" presStyleCnt="0"/>
      <dgm:spPr/>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pt>
    <dgm:pt modelId="{92627873-E9AE-43DA-938C-C750A1BF6B61}" type="pres">
      <dgm:prSet presAssocID="{D5ED0B09-3CC2-406A-A1A9-488AFBB60D8B}" presName="horzTwo" presStyleCnt="0"/>
      <dgm:spPr/>
    </dgm:pt>
    <dgm:pt modelId="{30C202DA-B487-4874-988E-FD2E70174694}" type="pres">
      <dgm:prSet presAssocID="{3EB5BBF6-FCA7-4E3A-BDFE-A4AAE3DDDAAA}" presName="vertThree" presStyleCnt="0"/>
      <dgm:spPr/>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pt>
    <dgm:pt modelId="{F9FFAB89-C2E1-4D4A-BB80-DE08B2354399}" type="pres">
      <dgm:prSet presAssocID="{3EB5BBF6-FCA7-4E3A-BDFE-A4AAE3DDDAAA}" presName="horzThree" presStyleCnt="0"/>
      <dgm:spPr/>
    </dgm:pt>
    <dgm:pt modelId="{E49FC716-2969-4249-B96F-E553B1D9E20F}" type="pres">
      <dgm:prSet presAssocID="{F3E2F0B6-E4F5-49C8-A3B6-DCE119FE3F90}" presName="vertFour" presStyleCnt="0">
        <dgm:presLayoutVars>
          <dgm:chPref val="3"/>
        </dgm:presLayoutVars>
      </dgm:prSet>
      <dgm:spPr/>
    </dgm:pt>
    <dgm:pt modelId="{BB868717-16F5-4D38-9AD8-7855AA823BED}" type="pres">
      <dgm:prSet presAssocID="{F3E2F0B6-E4F5-49C8-A3B6-DCE119FE3F90}" presName="txFour" presStyleLbl="node4" presStyleIdx="2" presStyleCnt="4" custScaleY="567231">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pt>
    <dgm:pt modelId="{3F7F9B29-69DD-4DA1-B75D-C864E8FFB799}" type="pres">
      <dgm:prSet presAssocID="{7E7E5946-21F8-4169-B807-028B5A69728C}" presName="sibSpaceTwo" presStyleCnt="0"/>
      <dgm:spPr/>
    </dgm:pt>
    <dgm:pt modelId="{6B1DACA4-D9F0-43F8-AF5D-7FD7AF71CAEB}" type="pres">
      <dgm:prSet presAssocID="{0972259D-A07B-4081-9258-26BA55892F25}" presName="vertTwo" presStyleCnt="0"/>
      <dgm:spPr/>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pt>
    <dgm:pt modelId="{FAF863C0-70D2-4D0A-B57B-2126794BD37E}" type="pres">
      <dgm:prSet presAssocID="{0972259D-A07B-4081-9258-26BA55892F25}" presName="horzTwo" presStyleCnt="0"/>
      <dgm:spPr/>
    </dgm:pt>
    <dgm:pt modelId="{47211008-5016-4889-8A6D-235708A54ED8}" type="pres">
      <dgm:prSet presAssocID="{C7D5A529-3A7D-47FC-8FBB-0B536C37E55D}" presName="vertThree" presStyleCnt="0"/>
      <dgm:spPr/>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pt>
    <dgm:pt modelId="{303155D3-7ACE-435F-B5DA-330DDE50428B}" type="pres">
      <dgm:prSet presAssocID="{C7D5A529-3A7D-47FC-8FBB-0B536C37E55D}" presName="horzThree" presStyleCnt="0"/>
      <dgm:spPr/>
    </dgm:pt>
    <dgm:pt modelId="{B80F9211-0144-43E5-A826-E5B32CA7BF5C}" type="pres">
      <dgm:prSet presAssocID="{7620C068-1A7C-40DE-8116-5F3CCBB61608}" presName="vertFour" presStyleCnt="0">
        <dgm:presLayoutVars>
          <dgm:chPref val="3"/>
        </dgm:presLayoutVars>
      </dgm:prSet>
      <dgm:spPr/>
    </dgm:pt>
    <dgm:pt modelId="{D2DAAA64-C9BC-43E6-9DE3-61A114420CF1}" type="pres">
      <dgm:prSet presAssocID="{7620C068-1A7C-40DE-8116-5F3CCBB61608}" presName="txFour" presStyleLbl="node4" presStyleIdx="3" presStyleCnt="4" custScaleY="56723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pt>
  </dgm:ptLst>
  <dgm:cxnLst>
    <dgm:cxn modelId="{D6B884B1-833C-4361-9EF8-47A2EAE788DE}" type="presOf" srcId="{F3E2F0B6-E4F5-49C8-A3B6-DCE119FE3F90}" destId="{BB868717-16F5-4D38-9AD8-7855AA823BED}" srcOrd="0" destOrd="0" presId="urn:microsoft.com/office/officeart/2005/8/layout/hierarchy4"/>
    <dgm:cxn modelId="{A253ABBE-229B-4568-A12D-C4D90627365A}" type="presOf" srcId="{264E86EB-59BD-459B-85BB-BF64ACA0608A}" destId="{A02E9E10-9EFD-4B93-9024-F27DFA07DAF0}" srcOrd="0" destOrd="0" presId="urn:microsoft.com/office/officeart/2005/8/layout/hierarchy4"/>
    <dgm:cxn modelId="{3D7FF409-8D0E-45B1-85C1-FEF0680B791B}" srcId="{55A47DEC-5BD8-43FF-92F5-E186C868192C}" destId="{D5ED0B09-3CC2-406A-A1A9-488AFBB60D8B}" srcOrd="1" destOrd="0" parTransId="{CCEC452A-D0A3-4815-B0F9-2E4410381E4D}" sibTransId="{7E7E5946-21F8-4169-B807-028B5A69728C}"/>
    <dgm:cxn modelId="{A338B58B-C2F8-41D9-A775-781CB6D84F8C}" srcId="{0972259D-A07B-4081-9258-26BA55892F25}" destId="{C7D5A529-3A7D-47FC-8FBB-0B536C37E55D}" srcOrd="0" destOrd="0" parTransId="{DD226C01-D0F2-4093-9E74-75CE0BFFF02B}" sibTransId="{38302B12-0698-48A4-80A0-F728C945A3FD}"/>
    <dgm:cxn modelId="{1A57219C-B6E0-45E4-BBAA-F1E6074A5C73}" srcId="{55A47DEC-5BD8-43FF-92F5-E186C868192C}" destId="{7E1F13C2-8303-4BE6-BD51-58E6E2D0CCBD}" srcOrd="0" destOrd="0" parTransId="{90AD1E71-36FD-4205-8A17-796C347C9A11}" sibTransId="{8034AC81-1C30-4867-B0A4-C93CEE24174C}"/>
    <dgm:cxn modelId="{BA273C55-D46A-4A1F-A830-8AAB0621ACB4}" type="presOf" srcId="{6C9654DF-EAAD-41C9-9A04-63DC7DFBB9B5}" destId="{7281DBB9-4EE7-4A14-9CDA-9DB944766842}" srcOrd="0" destOrd="0" presId="urn:microsoft.com/office/officeart/2005/8/layout/hierarchy4"/>
    <dgm:cxn modelId="{3191D7C4-5818-4DDF-A800-0101A9B38B91}" type="presOf" srcId="{7620C068-1A7C-40DE-8116-5F3CCBB61608}" destId="{D2DAAA64-C9BC-43E6-9DE3-61A114420CF1}" srcOrd="0" destOrd="0" presId="urn:microsoft.com/office/officeart/2005/8/layout/hierarchy4"/>
    <dgm:cxn modelId="{83704F26-5D64-418B-ACAF-F6827AEBC27A}" srcId="{7E1F13C2-8303-4BE6-BD51-58E6E2D0CCBD}" destId="{3DA4D3B1-BDC4-4286-BC76-1975308602A3}" srcOrd="0" destOrd="0" parTransId="{4A944CA0-B3AB-4B98-9DD0-F02C72063072}" sibTransId="{9D399AB0-BE5D-49EA-BD3F-0BBD5D2E1CAA}"/>
    <dgm:cxn modelId="{681EA3A1-0F08-47BB-B531-64FF74448D8E}" type="presOf" srcId="{3DA4D3B1-BDC4-4286-BC76-1975308602A3}" destId="{1B6E1A6C-15B5-4415-95F1-F7162486BD52}" srcOrd="0" destOrd="0" presId="urn:microsoft.com/office/officeart/2005/8/layout/hierarchy4"/>
    <dgm:cxn modelId="{E6E171AC-F4CF-48A8-8EF4-ADA2B8622541}" type="presOf" srcId="{0972259D-A07B-4081-9258-26BA55892F25}" destId="{91A38FA1-A5BD-4AEA-88BE-34EC6ABDEDE5}" srcOrd="0" destOrd="0" presId="urn:microsoft.com/office/officeart/2005/8/layout/hierarchy4"/>
    <dgm:cxn modelId="{A359B6DE-7C48-487F-98F7-3938F9D858EE}" type="presOf" srcId="{9A1AA23F-C1C0-4477-B302-3E60A402D137}" destId="{D2325AFA-C9C0-4A75-A6B5-BA5F65ED3BB1}" srcOrd="0" destOrd="0" presId="urn:microsoft.com/office/officeart/2005/8/layout/hierarchy4"/>
    <dgm:cxn modelId="{5224FC53-85B9-419E-945A-9075006BEB13}" type="presOf" srcId="{55A47DEC-5BD8-43FF-92F5-E186C868192C}" destId="{718D3AC5-6553-4309-AF42-FCECAFABA656}" srcOrd="0" destOrd="0" presId="urn:microsoft.com/office/officeart/2005/8/layout/hierarchy4"/>
    <dgm:cxn modelId="{673B63C1-65BE-46B4-AF32-5DE07B5BEBA4}" srcId="{6C9654DF-EAAD-41C9-9A04-63DC7DFBB9B5}" destId="{55A47DEC-5BD8-43FF-92F5-E186C868192C}" srcOrd="0" destOrd="0" parTransId="{40DBC75D-7719-446D-9DE5-D46B0AB99411}" sibTransId="{8D5F0354-CDBD-4C47-9193-51362C6B9B55}"/>
    <dgm:cxn modelId="{C9D89844-750A-4332-8074-F077C1D3A1E9}" type="presOf" srcId="{7E1F13C2-8303-4BE6-BD51-58E6E2D0CCBD}" destId="{F9A5BDCA-160C-4D0D-BC3B-46DBFB70E008}"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049743E3-CB29-4510-AB22-C5C7CD7530EB}" srcId="{9A1AA23F-C1C0-4477-B302-3E60A402D137}" destId="{A49C721B-AC5B-441C-AFA9-A644FC358A66}" srcOrd="0" destOrd="0" parTransId="{AA1CEBFC-9415-46ED-8830-648A985C84FE}" sibTransId="{CACA051E-2660-4797-9B54-CCF23A474144}"/>
    <dgm:cxn modelId="{C0E19848-446F-4B7D-9925-6F751B4FCEF4}" type="presOf" srcId="{3EB5BBF6-FCA7-4E3A-BDFE-A4AAE3DDDAAA}" destId="{DBA12B8F-CFD6-40CA-A43B-751407D3F421}" srcOrd="0" destOrd="0" presId="urn:microsoft.com/office/officeart/2005/8/layout/hierarchy4"/>
    <dgm:cxn modelId="{8496A4DC-A5DB-4928-B5C5-81BB1CD84BF4}" srcId="{7E1F13C2-8303-4BE6-BD51-58E6E2D0CCBD}" destId="{9A1AA23F-C1C0-4477-B302-3E60A402D137}" srcOrd="1" destOrd="0" parTransId="{28A8273E-3008-463E-B6B1-241EC867AB43}" sibTransId="{4F13A9A4-4E77-4919-AC40-17A56A38EE26}"/>
    <dgm:cxn modelId="{C9C92AB6-6F86-44ED-92B3-9E87CC4E4664}" srcId="{3EB5BBF6-FCA7-4E3A-BDFE-A4AAE3DDDAAA}" destId="{F3E2F0B6-E4F5-49C8-A3B6-DCE119FE3F90}" srcOrd="0" destOrd="0" parTransId="{196183CE-F8A3-4787-9EDA-7A991E6301BD}" sibTransId="{5828DA98-FD56-4BC8-8B5C-496113443C5D}"/>
    <dgm:cxn modelId="{BF1A8EB7-EEBD-499C-B4CB-20B2B75BCC2D}" srcId="{3DA4D3B1-BDC4-4286-BC76-1975308602A3}" destId="{264E86EB-59BD-459B-85BB-BF64ACA0608A}" srcOrd="0" destOrd="0" parTransId="{8255ADAA-8291-4A8C-BF8E-4046836270FD}" sibTransId="{7BC419A3-1CF9-4C3A-81EB-E3BDD0029413}"/>
    <dgm:cxn modelId="{7E623B88-E872-4502-A6CF-DC887C4638C7}" srcId="{D5ED0B09-3CC2-406A-A1A9-488AFBB60D8B}" destId="{3EB5BBF6-FCA7-4E3A-BDFE-A4AAE3DDDAAA}" srcOrd="0" destOrd="0" parTransId="{7B91A456-4B53-4FBE-B958-29A89FFC7A7C}" sibTransId="{A25CB7E6-0DA2-4002-B9A6-C3787F309536}"/>
    <dgm:cxn modelId="{7AD09FD8-8B09-4F3B-B3AF-8EBB53539881}" type="presOf" srcId="{A49C721B-AC5B-441C-AFA9-A644FC358A66}" destId="{0FD70A2D-5363-4F60-8857-8DCBA108EC51}" srcOrd="0" destOrd="0" presId="urn:microsoft.com/office/officeart/2005/8/layout/hierarchy4"/>
    <dgm:cxn modelId="{88E630CE-96D6-481C-B0AB-D3CE0C74F68C}" srcId="{C7D5A529-3A7D-47FC-8FBB-0B536C37E55D}" destId="{7620C068-1A7C-40DE-8116-5F3CCBB61608}" srcOrd="0" destOrd="0" parTransId="{A507DD36-7E8A-42C6-86C5-0668F87BDAAB}" sibTransId="{21A58F11-2D42-4FC0-BF01-E8BD93057A2B}"/>
    <dgm:cxn modelId="{A849E5CA-7515-4043-8BD5-F684875D8E1A}" type="presOf" srcId="{C7D5A529-3A7D-47FC-8FBB-0B536C37E55D}" destId="{4F70EE44-0EE9-4D32-9F6E-0E663D7B1797}" srcOrd="0" destOrd="0" presId="urn:microsoft.com/office/officeart/2005/8/layout/hierarchy4"/>
    <dgm:cxn modelId="{E83731A9-DC14-4AE5-85D0-E7375945AE3A}" type="presOf" srcId="{D5ED0B09-3CC2-406A-A1A9-488AFBB60D8B}" destId="{CF2E5284-F5F8-48E4-B373-A24D35776BE0}" srcOrd="0" destOrd="0" presId="urn:microsoft.com/office/officeart/2005/8/layout/hierarchy4"/>
    <dgm:cxn modelId="{92215D6A-334F-4B9F-B19B-B8322C68D795}" type="presParOf" srcId="{7281DBB9-4EE7-4A14-9CDA-9DB944766842}" destId="{2F1E9DB6-F239-464B-8978-85171DC6A13C}" srcOrd="0" destOrd="0" presId="urn:microsoft.com/office/officeart/2005/8/layout/hierarchy4"/>
    <dgm:cxn modelId="{6AC04926-5150-47E4-83F3-574D2E1F2A0B}" type="presParOf" srcId="{2F1E9DB6-F239-464B-8978-85171DC6A13C}" destId="{718D3AC5-6553-4309-AF42-FCECAFABA656}" srcOrd="0" destOrd="0" presId="urn:microsoft.com/office/officeart/2005/8/layout/hierarchy4"/>
    <dgm:cxn modelId="{1DC19FF2-CD69-45F5-922F-DD4BFB169704}" type="presParOf" srcId="{2F1E9DB6-F239-464B-8978-85171DC6A13C}" destId="{FD3DD701-7BAE-4724-86FD-7A411C0BA911}" srcOrd="1" destOrd="0" presId="urn:microsoft.com/office/officeart/2005/8/layout/hierarchy4"/>
    <dgm:cxn modelId="{7B42A0FD-2439-4746-B98C-3D3880798B80}" type="presParOf" srcId="{2F1E9DB6-F239-464B-8978-85171DC6A13C}" destId="{62961143-FF02-4A14-8E52-6DDE89741CBC}" srcOrd="2" destOrd="0" presId="urn:microsoft.com/office/officeart/2005/8/layout/hierarchy4"/>
    <dgm:cxn modelId="{4AC4CE2F-7F9A-41B0-8BBE-EAE9B87C8BC6}" type="presParOf" srcId="{62961143-FF02-4A14-8E52-6DDE89741CBC}" destId="{1F53BA3A-0466-4B3E-925E-C15B3723B3C0}" srcOrd="0" destOrd="0" presId="urn:microsoft.com/office/officeart/2005/8/layout/hierarchy4"/>
    <dgm:cxn modelId="{2842142F-6D29-4D20-9F14-DECDD6FDD373}" type="presParOf" srcId="{1F53BA3A-0466-4B3E-925E-C15B3723B3C0}" destId="{F9A5BDCA-160C-4D0D-BC3B-46DBFB70E008}" srcOrd="0" destOrd="0" presId="urn:microsoft.com/office/officeart/2005/8/layout/hierarchy4"/>
    <dgm:cxn modelId="{1CAB5A7B-E45F-4588-9F30-029ABCB4CBF5}" type="presParOf" srcId="{1F53BA3A-0466-4B3E-925E-C15B3723B3C0}" destId="{9FCD82B5-B882-4A54-B7E4-3D0E0B87FAFA}" srcOrd="1" destOrd="0" presId="urn:microsoft.com/office/officeart/2005/8/layout/hierarchy4"/>
    <dgm:cxn modelId="{A75298C9-F861-46CB-B696-872CFBB2980D}" type="presParOf" srcId="{1F53BA3A-0466-4B3E-925E-C15B3723B3C0}" destId="{8F5464E6-689E-4C8F-9DDF-15E1198A2ED4}" srcOrd="2" destOrd="0" presId="urn:microsoft.com/office/officeart/2005/8/layout/hierarchy4"/>
    <dgm:cxn modelId="{630363C0-BF99-4CA3-AE6A-B758D78FA070}" type="presParOf" srcId="{8F5464E6-689E-4C8F-9DDF-15E1198A2ED4}" destId="{5751DC98-1DFA-492E-A07A-076714AE6B8F}" srcOrd="0" destOrd="0" presId="urn:microsoft.com/office/officeart/2005/8/layout/hierarchy4"/>
    <dgm:cxn modelId="{EAA5FBCB-A4D2-42D7-882B-FB7BC64BF1AF}" type="presParOf" srcId="{5751DC98-1DFA-492E-A07A-076714AE6B8F}" destId="{1B6E1A6C-15B5-4415-95F1-F7162486BD52}" srcOrd="0" destOrd="0" presId="urn:microsoft.com/office/officeart/2005/8/layout/hierarchy4"/>
    <dgm:cxn modelId="{C397D13B-EA7B-4ECC-8E14-2A84FCF06187}" type="presParOf" srcId="{5751DC98-1DFA-492E-A07A-076714AE6B8F}" destId="{98BB3AC5-EC44-4547-8B72-499A2C81DBE5}" srcOrd="1" destOrd="0" presId="urn:microsoft.com/office/officeart/2005/8/layout/hierarchy4"/>
    <dgm:cxn modelId="{B2A9F8FE-A9F2-48A7-BA65-05E5BECC6C72}" type="presParOf" srcId="{5751DC98-1DFA-492E-A07A-076714AE6B8F}" destId="{27752314-A407-4A36-B678-E9A5970E0BD4}" srcOrd="2" destOrd="0" presId="urn:microsoft.com/office/officeart/2005/8/layout/hierarchy4"/>
    <dgm:cxn modelId="{551B2104-5159-442F-B908-4529E8A3F592}" type="presParOf" srcId="{27752314-A407-4A36-B678-E9A5970E0BD4}" destId="{5FE697D5-3E9B-415A-AD1C-37D5386A2B41}" srcOrd="0" destOrd="0" presId="urn:microsoft.com/office/officeart/2005/8/layout/hierarchy4"/>
    <dgm:cxn modelId="{28D13FAE-EA12-4533-A79D-EAED3D52D66C}" type="presParOf" srcId="{5FE697D5-3E9B-415A-AD1C-37D5386A2B41}" destId="{A02E9E10-9EFD-4B93-9024-F27DFA07DAF0}" srcOrd="0" destOrd="0" presId="urn:microsoft.com/office/officeart/2005/8/layout/hierarchy4"/>
    <dgm:cxn modelId="{1F16CDDD-5AE4-4D78-8BF8-4A8D2F948734}" type="presParOf" srcId="{5FE697D5-3E9B-415A-AD1C-37D5386A2B41}" destId="{A18FEA76-7BB6-4958-A44A-692E6FBEE75A}" srcOrd="1" destOrd="0" presId="urn:microsoft.com/office/officeart/2005/8/layout/hierarchy4"/>
    <dgm:cxn modelId="{209F0234-6F08-4115-BCFD-94FC377F3465}" type="presParOf" srcId="{8F5464E6-689E-4C8F-9DDF-15E1198A2ED4}" destId="{C94DD181-18DE-470D-A9B9-F490FAFE6562}" srcOrd="1" destOrd="0" presId="urn:microsoft.com/office/officeart/2005/8/layout/hierarchy4"/>
    <dgm:cxn modelId="{D467CB41-AC61-4BBC-9597-EC95A71859F5}" type="presParOf" srcId="{8F5464E6-689E-4C8F-9DDF-15E1198A2ED4}" destId="{8E950F4B-09F2-451B-9D7F-BB86301BF180}" srcOrd="2" destOrd="0" presId="urn:microsoft.com/office/officeart/2005/8/layout/hierarchy4"/>
    <dgm:cxn modelId="{1AF2E4B3-E498-4A97-9A69-AC2F7B11F82C}" type="presParOf" srcId="{8E950F4B-09F2-451B-9D7F-BB86301BF180}" destId="{D2325AFA-C9C0-4A75-A6B5-BA5F65ED3BB1}" srcOrd="0" destOrd="0" presId="urn:microsoft.com/office/officeart/2005/8/layout/hierarchy4"/>
    <dgm:cxn modelId="{8911BD1C-3423-45E0-88C4-777539F26915}" type="presParOf" srcId="{8E950F4B-09F2-451B-9D7F-BB86301BF180}" destId="{4708C78F-9FF7-4395-B346-8CE5B835B19A}" srcOrd="1" destOrd="0" presId="urn:microsoft.com/office/officeart/2005/8/layout/hierarchy4"/>
    <dgm:cxn modelId="{828608E5-09F3-47A6-AF49-23834BC4ACE9}" type="presParOf" srcId="{8E950F4B-09F2-451B-9D7F-BB86301BF180}" destId="{81394379-5A0F-434F-92B0-B3898F744DBE}" srcOrd="2" destOrd="0" presId="urn:microsoft.com/office/officeart/2005/8/layout/hierarchy4"/>
    <dgm:cxn modelId="{C997D4C5-DCB4-40EB-BED1-063EACE5B144}" type="presParOf" srcId="{81394379-5A0F-434F-92B0-B3898F744DBE}" destId="{52D88C3F-C342-4D0B-A570-AB44121EF5CF}" srcOrd="0" destOrd="0" presId="urn:microsoft.com/office/officeart/2005/8/layout/hierarchy4"/>
    <dgm:cxn modelId="{63D422B3-501E-47FB-992D-7D65448B905E}" type="presParOf" srcId="{52D88C3F-C342-4D0B-A570-AB44121EF5CF}" destId="{0FD70A2D-5363-4F60-8857-8DCBA108EC51}" srcOrd="0" destOrd="0" presId="urn:microsoft.com/office/officeart/2005/8/layout/hierarchy4"/>
    <dgm:cxn modelId="{484AD18C-5E60-41BA-B5A3-78B536F8BD09}" type="presParOf" srcId="{52D88C3F-C342-4D0B-A570-AB44121EF5CF}" destId="{9AC65157-1D3A-4B1B-9642-FE486F292B72}" srcOrd="1" destOrd="0" presId="urn:microsoft.com/office/officeart/2005/8/layout/hierarchy4"/>
    <dgm:cxn modelId="{8B6B9AA1-658B-49E3-93AD-0D02B4F552C3}" type="presParOf" srcId="{62961143-FF02-4A14-8E52-6DDE89741CBC}" destId="{B79FC79B-95B0-460F-A9E2-C9EC7326C334}" srcOrd="1" destOrd="0" presId="urn:microsoft.com/office/officeart/2005/8/layout/hierarchy4"/>
    <dgm:cxn modelId="{DB712523-B23F-4D3E-AF75-B14887712C60}" type="presParOf" srcId="{62961143-FF02-4A14-8E52-6DDE89741CBC}" destId="{43B3714E-05D4-4C8D-8010-CAEF93055560}" srcOrd="2" destOrd="0" presId="urn:microsoft.com/office/officeart/2005/8/layout/hierarchy4"/>
    <dgm:cxn modelId="{7E620A44-16BF-4BAA-97A0-4E7AD9BA2CA6}" type="presParOf" srcId="{43B3714E-05D4-4C8D-8010-CAEF93055560}" destId="{CF2E5284-F5F8-48E4-B373-A24D35776BE0}" srcOrd="0" destOrd="0" presId="urn:microsoft.com/office/officeart/2005/8/layout/hierarchy4"/>
    <dgm:cxn modelId="{2F043752-0FF9-4999-8D24-22C9CFEA360D}" type="presParOf" srcId="{43B3714E-05D4-4C8D-8010-CAEF93055560}" destId="{598B938B-8160-45F2-ABAD-795190621085}" srcOrd="1" destOrd="0" presId="urn:microsoft.com/office/officeart/2005/8/layout/hierarchy4"/>
    <dgm:cxn modelId="{6647D1C0-640E-4C11-BEA0-125EC81D80A9}" type="presParOf" srcId="{43B3714E-05D4-4C8D-8010-CAEF93055560}" destId="{92627873-E9AE-43DA-938C-C750A1BF6B61}" srcOrd="2" destOrd="0" presId="urn:microsoft.com/office/officeart/2005/8/layout/hierarchy4"/>
    <dgm:cxn modelId="{1E5DAC3A-9225-4AF5-B648-C2F0273979B6}" type="presParOf" srcId="{92627873-E9AE-43DA-938C-C750A1BF6B61}" destId="{30C202DA-B487-4874-988E-FD2E70174694}" srcOrd="0" destOrd="0" presId="urn:microsoft.com/office/officeart/2005/8/layout/hierarchy4"/>
    <dgm:cxn modelId="{7B7F1759-9F35-4710-A010-BAE851540247}" type="presParOf" srcId="{30C202DA-B487-4874-988E-FD2E70174694}" destId="{DBA12B8F-CFD6-40CA-A43B-751407D3F421}" srcOrd="0" destOrd="0" presId="urn:microsoft.com/office/officeart/2005/8/layout/hierarchy4"/>
    <dgm:cxn modelId="{22D33590-EB80-4C94-8F9A-3BD93119F889}" type="presParOf" srcId="{30C202DA-B487-4874-988E-FD2E70174694}" destId="{4F972BE5-0A80-41B5-9C7F-4EF86D596E94}" srcOrd="1" destOrd="0" presId="urn:microsoft.com/office/officeart/2005/8/layout/hierarchy4"/>
    <dgm:cxn modelId="{B474D7B3-F07F-4D4D-9473-27F28C0B1010}" type="presParOf" srcId="{30C202DA-B487-4874-988E-FD2E70174694}" destId="{F9FFAB89-C2E1-4D4A-BB80-DE08B2354399}" srcOrd="2" destOrd="0" presId="urn:microsoft.com/office/officeart/2005/8/layout/hierarchy4"/>
    <dgm:cxn modelId="{3115DE93-548B-459C-9082-265C836436B3}" type="presParOf" srcId="{F9FFAB89-C2E1-4D4A-BB80-DE08B2354399}" destId="{E49FC716-2969-4249-B96F-E553B1D9E20F}" srcOrd="0" destOrd="0" presId="urn:microsoft.com/office/officeart/2005/8/layout/hierarchy4"/>
    <dgm:cxn modelId="{F49CB33B-43D8-4B81-BBCC-5AF95839A055}" type="presParOf" srcId="{E49FC716-2969-4249-B96F-E553B1D9E20F}" destId="{BB868717-16F5-4D38-9AD8-7855AA823BED}" srcOrd="0" destOrd="0" presId="urn:microsoft.com/office/officeart/2005/8/layout/hierarchy4"/>
    <dgm:cxn modelId="{E1CAAF1C-1769-4632-A801-F1A755202636}" type="presParOf" srcId="{E49FC716-2969-4249-B96F-E553B1D9E20F}" destId="{F4189AA5-702F-4BCC-BFBB-9C2B34F784A9}" srcOrd="1" destOrd="0" presId="urn:microsoft.com/office/officeart/2005/8/layout/hierarchy4"/>
    <dgm:cxn modelId="{26D51493-40E9-421B-86BA-608E9AAD7BB8}" type="presParOf" srcId="{62961143-FF02-4A14-8E52-6DDE89741CBC}" destId="{3F7F9B29-69DD-4DA1-B75D-C864E8FFB799}" srcOrd="3" destOrd="0" presId="urn:microsoft.com/office/officeart/2005/8/layout/hierarchy4"/>
    <dgm:cxn modelId="{DEBE18B1-2BC4-4A8E-BD06-DEC385A5F404}" type="presParOf" srcId="{62961143-FF02-4A14-8E52-6DDE89741CBC}" destId="{6B1DACA4-D9F0-43F8-AF5D-7FD7AF71CAEB}" srcOrd="4" destOrd="0" presId="urn:microsoft.com/office/officeart/2005/8/layout/hierarchy4"/>
    <dgm:cxn modelId="{D8526D1B-32FF-4574-B0E8-4CEBC277C3B6}" type="presParOf" srcId="{6B1DACA4-D9F0-43F8-AF5D-7FD7AF71CAEB}" destId="{91A38FA1-A5BD-4AEA-88BE-34EC6ABDEDE5}" srcOrd="0" destOrd="0" presId="urn:microsoft.com/office/officeart/2005/8/layout/hierarchy4"/>
    <dgm:cxn modelId="{C637C1DB-C1AB-455B-BE6F-49736B1B1C11}" type="presParOf" srcId="{6B1DACA4-D9F0-43F8-AF5D-7FD7AF71CAEB}" destId="{5CB34F75-835A-4F62-98BD-B8F2D06F5796}" srcOrd="1" destOrd="0" presId="urn:microsoft.com/office/officeart/2005/8/layout/hierarchy4"/>
    <dgm:cxn modelId="{84D307CF-EE94-4B00-B8D8-70C7DF308FE8}" type="presParOf" srcId="{6B1DACA4-D9F0-43F8-AF5D-7FD7AF71CAEB}" destId="{FAF863C0-70D2-4D0A-B57B-2126794BD37E}" srcOrd="2" destOrd="0" presId="urn:microsoft.com/office/officeart/2005/8/layout/hierarchy4"/>
    <dgm:cxn modelId="{26E23FF4-D0EF-40EF-A03A-CE07A8D725C0}" type="presParOf" srcId="{FAF863C0-70D2-4D0A-B57B-2126794BD37E}" destId="{47211008-5016-4889-8A6D-235708A54ED8}" srcOrd="0" destOrd="0" presId="urn:microsoft.com/office/officeart/2005/8/layout/hierarchy4"/>
    <dgm:cxn modelId="{09EE1348-54C8-4DFB-BA9B-AC68671961C5}" type="presParOf" srcId="{47211008-5016-4889-8A6D-235708A54ED8}" destId="{4F70EE44-0EE9-4D32-9F6E-0E663D7B1797}" srcOrd="0" destOrd="0" presId="urn:microsoft.com/office/officeart/2005/8/layout/hierarchy4"/>
    <dgm:cxn modelId="{D13293C0-34CF-4F96-92B7-7686F2D54089}" type="presParOf" srcId="{47211008-5016-4889-8A6D-235708A54ED8}" destId="{0791ECCB-842F-4007-9194-D8A01E5A40D2}" srcOrd="1" destOrd="0" presId="urn:microsoft.com/office/officeart/2005/8/layout/hierarchy4"/>
    <dgm:cxn modelId="{E5B6ACF3-902D-46CB-8988-49F1892F0EDD}" type="presParOf" srcId="{47211008-5016-4889-8A6D-235708A54ED8}" destId="{303155D3-7ACE-435F-B5DA-330DDE50428B}" srcOrd="2" destOrd="0" presId="urn:microsoft.com/office/officeart/2005/8/layout/hierarchy4"/>
    <dgm:cxn modelId="{7F2646D0-360D-4C95-8D91-D2456144648D}" type="presParOf" srcId="{303155D3-7ACE-435F-B5DA-330DDE50428B}" destId="{B80F9211-0144-43E5-A826-E5B32CA7BF5C}" srcOrd="0" destOrd="0" presId="urn:microsoft.com/office/officeart/2005/8/layout/hierarchy4"/>
    <dgm:cxn modelId="{837E98EF-C76A-43B8-AA6B-2BEC4ECB0E72}" type="presParOf" srcId="{B80F9211-0144-43E5-A826-E5B32CA7BF5C}" destId="{D2DAAA64-C9BC-43E6-9DE3-61A114420CF1}" srcOrd="0" destOrd="0" presId="urn:microsoft.com/office/officeart/2005/8/layout/hierarchy4"/>
    <dgm:cxn modelId="{4939E7E1-5E92-48C7-BD88-F8F25836CA26}"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785" y="0"/>
          <a:ext cx="5382109" cy="4659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Tasmanian distribution services</a:t>
          </a:r>
        </a:p>
      </dsp:txBody>
      <dsp:txXfrm>
        <a:off x="14432" y="13647"/>
        <a:ext cx="5354815" cy="438639"/>
      </dsp:txXfrm>
    </dsp:sp>
    <dsp:sp modelId="{F9A5BDCA-160C-4D0D-BC3B-46DBFB70E008}">
      <dsp:nvSpPr>
        <dsp:cNvPr id="0" name=""/>
        <dsp:cNvSpPr/>
      </dsp:nvSpPr>
      <dsp:spPr>
        <a:xfrm>
          <a:off x="5646" y="500793"/>
          <a:ext cx="3068645" cy="465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293" y="514440"/>
        <a:ext cx="3041351" cy="438639"/>
      </dsp:txXfrm>
    </dsp:sp>
    <dsp:sp modelId="{1B6E1A6C-15B5-4415-95F1-F7162486BD52}">
      <dsp:nvSpPr>
        <dsp:cNvPr id="0" name=""/>
        <dsp:cNvSpPr/>
      </dsp:nvSpPr>
      <dsp:spPr>
        <a:xfrm>
          <a:off x="16104" y="1000617"/>
          <a:ext cx="1501706" cy="465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(general network charges)</a:t>
          </a:r>
        </a:p>
      </dsp:txBody>
      <dsp:txXfrm>
        <a:off x="29751" y="1014264"/>
        <a:ext cx="1474412" cy="438639"/>
      </dsp:txXfrm>
    </dsp:sp>
    <dsp:sp modelId="{A02E9E10-9EFD-4B93-9024-F27DFA07DAF0}">
      <dsp:nvSpPr>
        <dsp:cNvPr id="0" name=""/>
        <dsp:cNvSpPr/>
      </dsp:nvSpPr>
      <dsp:spPr>
        <a:xfrm>
          <a:off x="31444" y="1500674"/>
          <a:ext cx="1466902" cy="2642920"/>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Standard 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Connections requiring augmentations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74408" y="1543638"/>
        <a:ext cx="1380974" cy="2556992"/>
      </dsp:txXfrm>
    </dsp:sp>
    <dsp:sp modelId="{D2325AFA-C9C0-4A75-A6B5-BA5F65ED3BB1}">
      <dsp:nvSpPr>
        <dsp:cNvPr id="0" name=""/>
        <dsp:cNvSpPr/>
      </dsp:nvSpPr>
      <dsp:spPr>
        <a:xfrm>
          <a:off x="1562127" y="1000617"/>
          <a:ext cx="1501706" cy="465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575774" y="1014264"/>
        <a:ext cx="1474412" cy="438639"/>
      </dsp:txXfrm>
    </dsp:sp>
    <dsp:sp modelId="{0FD70A2D-5363-4F60-8857-8DCBA108EC51}">
      <dsp:nvSpPr>
        <dsp:cNvPr id="0" name=""/>
        <dsp:cNvSpPr/>
      </dsp:nvSpPr>
      <dsp:spPr>
        <a:xfrm>
          <a:off x="1572328" y="1500441"/>
          <a:ext cx="1481304" cy="2642920"/>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Basic connection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5-7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Public lighting services (except new public lighting technology)</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network services (fee based and quoted services)</a:t>
          </a:r>
        </a:p>
      </dsp:txBody>
      <dsp:txXfrm>
        <a:off x="1615714" y="1543827"/>
        <a:ext cx="1394532" cy="2556148"/>
      </dsp:txXfrm>
    </dsp:sp>
    <dsp:sp modelId="{CF2E5284-F5F8-48E4-B373-A24D35776BE0}">
      <dsp:nvSpPr>
        <dsp:cNvPr id="0" name=""/>
        <dsp:cNvSpPr/>
      </dsp:nvSpPr>
      <dsp:spPr>
        <a:xfrm>
          <a:off x="3163359" y="500793"/>
          <a:ext cx="1062410" cy="465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177006" y="514440"/>
        <a:ext cx="1035116" cy="438639"/>
      </dsp:txXfrm>
    </dsp:sp>
    <dsp:sp modelId="{DBA12B8F-CFD6-40CA-A43B-751407D3F421}">
      <dsp:nvSpPr>
        <dsp:cNvPr id="0" name=""/>
        <dsp:cNvSpPr/>
      </dsp:nvSpPr>
      <dsp:spPr>
        <a:xfrm>
          <a:off x="3166980" y="1000617"/>
          <a:ext cx="1055169" cy="46593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180627" y="1014264"/>
        <a:ext cx="1027875" cy="438639"/>
      </dsp:txXfrm>
    </dsp:sp>
    <dsp:sp modelId="{BB868717-16F5-4D38-9AD8-7855AA823BED}">
      <dsp:nvSpPr>
        <dsp:cNvPr id="0" name=""/>
        <dsp:cNvSpPr/>
      </dsp:nvSpPr>
      <dsp:spPr>
        <a:xfrm>
          <a:off x="3174147" y="1500441"/>
          <a:ext cx="1040834" cy="2642920"/>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New public lighting technology</a:t>
          </a:r>
        </a:p>
      </dsp:txBody>
      <dsp:txXfrm>
        <a:off x="3204632" y="1530926"/>
        <a:ext cx="979864" cy="2581950"/>
      </dsp:txXfrm>
    </dsp:sp>
    <dsp:sp modelId="{91A38FA1-A5BD-4AEA-88BE-34EC6ABDEDE5}">
      <dsp:nvSpPr>
        <dsp:cNvPr id="0" name=""/>
        <dsp:cNvSpPr/>
      </dsp:nvSpPr>
      <dsp:spPr>
        <a:xfrm>
          <a:off x="4314838" y="500793"/>
          <a:ext cx="1062410" cy="465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328485" y="514440"/>
        <a:ext cx="1035116" cy="438639"/>
      </dsp:txXfrm>
    </dsp:sp>
    <dsp:sp modelId="{4F70EE44-0EE9-4D32-9F6E-0E663D7B1797}">
      <dsp:nvSpPr>
        <dsp:cNvPr id="0" name=""/>
        <dsp:cNvSpPr/>
      </dsp:nvSpPr>
      <dsp:spPr>
        <a:xfrm>
          <a:off x="4317943" y="1000617"/>
          <a:ext cx="1056200" cy="46593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331590" y="1014264"/>
        <a:ext cx="1028906" cy="438639"/>
      </dsp:txXfrm>
    </dsp:sp>
    <dsp:sp modelId="{D2DAAA64-C9BC-43E6-9DE3-61A114420CF1}">
      <dsp:nvSpPr>
        <dsp:cNvPr id="0" name=""/>
        <dsp:cNvSpPr/>
      </dsp:nvSpPr>
      <dsp:spPr>
        <a:xfrm>
          <a:off x="4324098" y="1500441"/>
          <a:ext cx="1043889" cy="2642920"/>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1-4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PAYG metering services provided by Aurora Retail</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Emergency recoverable works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4354672" y="1531015"/>
        <a:ext cx="982741" cy="258177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4C5240-A0AA-4C1C-8EC5-A9527587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D0067127.dotm</Template>
  <TotalTime>2</TotalTime>
  <Pages>61</Pages>
  <Words>16476</Words>
  <Characters>93917</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AER final decision - TasNetworks - Overview</vt:lpstr>
    </vt:vector>
  </TitlesOfParts>
  <Company>ACCC</Company>
  <LinksUpToDate>false</LinksUpToDate>
  <CharactersWithSpaces>110173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TasNetworks - Overview</dc:title>
  <dc:creator>AER</dc:creator>
  <cp:lastModifiedBy>Le Cornu, Matthew</cp:lastModifiedBy>
  <cp:revision>3</cp:revision>
  <cp:lastPrinted>2017-04-26T01:59:00Z</cp:lastPrinted>
  <dcterms:created xsi:type="dcterms:W3CDTF">2017-04-27T00:23:00Z</dcterms:created>
  <dcterms:modified xsi:type="dcterms:W3CDTF">2017-04-27T00:48:00Z</dcterms:modified>
</cp:coreProperties>
</file>