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A5" w:rsidRDefault="003B42A5" w:rsidP="003B42A5"/>
    <w:p w:rsidR="003B42A5" w:rsidRDefault="003B42A5" w:rsidP="003B42A5">
      <w:pPr>
        <w:pStyle w:val="AERtitle1"/>
        <w:jc w:val="left"/>
      </w:pPr>
      <w:r>
        <w:rPr>
          <w:noProof/>
        </w:rPr>
        <w:drawing>
          <wp:inline distT="0" distB="0" distL="0" distR="0">
            <wp:extent cx="2114550" cy="533400"/>
            <wp:effectExtent l="0" t="0" r="0" b="0"/>
            <wp:docPr id="1" name="Picture 1" descr="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0" cy="533400"/>
                    </a:xfrm>
                    <a:prstGeom prst="rect">
                      <a:avLst/>
                    </a:prstGeom>
                    <a:noFill/>
                    <a:ln>
                      <a:noFill/>
                    </a:ln>
                  </pic:spPr>
                </pic:pic>
              </a:graphicData>
            </a:graphic>
          </wp:inline>
        </w:drawing>
      </w:r>
    </w:p>
    <w:p w:rsidR="003B42A5" w:rsidRPr="00733788" w:rsidRDefault="003B42A5" w:rsidP="003B42A5">
      <w:pPr>
        <w:pStyle w:val="AERtitle2"/>
        <w:spacing w:after="120"/>
        <w:rPr>
          <w:rFonts w:ascii="Verdana" w:hAnsi="Verdana"/>
        </w:rPr>
      </w:pPr>
      <w:r>
        <w:rPr>
          <w:rFonts w:ascii="Verdana" w:hAnsi="Verdana"/>
        </w:rPr>
        <w:t>TransGrid</w:t>
      </w:r>
      <w:r w:rsidRPr="00733788">
        <w:rPr>
          <w:rFonts w:ascii="Verdana" w:hAnsi="Verdana"/>
        </w:rPr>
        <w:t xml:space="preserve"> electricity </w:t>
      </w:r>
      <w:r>
        <w:rPr>
          <w:rFonts w:ascii="Verdana" w:hAnsi="Verdana"/>
        </w:rPr>
        <w:t>transmission</w:t>
      </w:r>
      <w:r w:rsidRPr="00733788">
        <w:rPr>
          <w:rFonts w:ascii="Verdana" w:hAnsi="Verdana"/>
        </w:rPr>
        <w:t xml:space="preserve"> </w:t>
      </w:r>
      <w:r w:rsidRPr="00733788">
        <w:rPr>
          <w:rFonts w:ascii="Verdana" w:hAnsi="Verdana" w:cs="Gautami"/>
        </w:rPr>
        <w:t>—</w:t>
      </w:r>
      <w:r w:rsidRPr="00733788">
        <w:rPr>
          <w:rFonts w:ascii="Verdana" w:hAnsi="Verdana"/>
        </w:rPr>
        <w:t xml:space="preserve"> Framework and approach</w:t>
      </w:r>
    </w:p>
    <w:p w:rsidR="003B42A5" w:rsidRPr="00733788" w:rsidRDefault="003B42A5" w:rsidP="003B42A5">
      <w:pPr>
        <w:pStyle w:val="AERtitle2"/>
        <w:spacing w:after="120"/>
        <w:rPr>
          <w:rFonts w:ascii="Verdana" w:hAnsi="Verdana"/>
        </w:rPr>
      </w:pPr>
      <w:r w:rsidRPr="00733788">
        <w:rPr>
          <w:rFonts w:ascii="Verdana" w:hAnsi="Verdana"/>
        </w:rPr>
        <w:t>Information sheet</w:t>
      </w:r>
    </w:p>
    <w:p w:rsidR="003B42A5" w:rsidRPr="00733788" w:rsidRDefault="003B42A5" w:rsidP="003B42A5">
      <w:pPr>
        <w:pStyle w:val="HeadingBoldBlue"/>
        <w:numPr>
          <w:ilvl w:val="0"/>
          <w:numId w:val="31"/>
        </w:numPr>
        <w:rPr>
          <w:rStyle w:val="AERtextorange"/>
          <w:rFonts w:ascii="Verdana" w:hAnsi="Verdana"/>
          <w:color w:val="2473FF" w:themeColor="text2" w:themeTint="99"/>
          <w:sz w:val="18"/>
          <w:szCs w:val="18"/>
        </w:rPr>
      </w:pPr>
      <w:r w:rsidRPr="00733788">
        <w:rPr>
          <w:rStyle w:val="AERtextorange"/>
          <w:rFonts w:ascii="Verdana" w:hAnsi="Verdana"/>
          <w:color w:val="2473FF" w:themeColor="text2" w:themeTint="99"/>
          <w:sz w:val="18"/>
          <w:szCs w:val="18"/>
        </w:rPr>
        <w:t>Who is the AER?</w:t>
      </w:r>
    </w:p>
    <w:p w:rsidR="003B42A5" w:rsidRPr="00733788" w:rsidRDefault="003B42A5" w:rsidP="003B42A5">
      <w:pPr>
        <w:spacing w:line="276" w:lineRule="auto"/>
        <w:rPr>
          <w:rFonts w:ascii="Verdana" w:hAnsi="Verdana"/>
          <w:sz w:val="18"/>
          <w:szCs w:val="18"/>
        </w:rPr>
      </w:pPr>
      <w:r w:rsidRPr="00733788">
        <w:rPr>
          <w:rFonts w:ascii="Verdana" w:hAnsi="Verdana"/>
          <w:sz w:val="18"/>
          <w:szCs w:val="18"/>
        </w:rPr>
        <w:t xml:space="preserve">The Australian Energy Regulator (AER) is responsible for the economic regulation of electricity transmission and distribution services in Australia's national electricity market. We are an independent statutory authority funded by the Australian Government. Our powers and functions are set out in the National Electricity Law and the National Electricity Rules (NER).  </w:t>
      </w:r>
    </w:p>
    <w:p w:rsidR="003B42A5" w:rsidRDefault="003B42A5" w:rsidP="003B42A5">
      <w:pPr>
        <w:pStyle w:val="HeadingBoldBlue"/>
        <w:numPr>
          <w:ilvl w:val="0"/>
          <w:numId w:val="31"/>
        </w:numPr>
        <w:spacing w:after="0"/>
        <w:rPr>
          <w:rStyle w:val="AERtextorange"/>
          <w:rFonts w:ascii="Verdana" w:hAnsi="Verdana"/>
          <w:color w:val="2473FF" w:themeColor="text2" w:themeTint="99"/>
          <w:sz w:val="18"/>
          <w:szCs w:val="18"/>
        </w:rPr>
      </w:pPr>
    </w:p>
    <w:p w:rsidR="003B42A5" w:rsidRPr="00733788" w:rsidRDefault="003B42A5" w:rsidP="003B42A5">
      <w:pPr>
        <w:pStyle w:val="HeadingBoldBlue"/>
        <w:numPr>
          <w:ilvl w:val="0"/>
          <w:numId w:val="31"/>
        </w:numPr>
        <w:rPr>
          <w:rStyle w:val="AERtextorange"/>
          <w:rFonts w:ascii="Verdana" w:hAnsi="Verdana"/>
          <w:color w:val="2473FF" w:themeColor="text2" w:themeTint="99"/>
          <w:sz w:val="18"/>
          <w:szCs w:val="18"/>
        </w:rPr>
      </w:pPr>
      <w:r w:rsidRPr="00733788">
        <w:rPr>
          <w:rStyle w:val="AERtextorange"/>
          <w:rFonts w:ascii="Verdana" w:hAnsi="Verdana"/>
          <w:color w:val="2473FF" w:themeColor="text2" w:themeTint="99"/>
          <w:sz w:val="18"/>
          <w:szCs w:val="18"/>
        </w:rPr>
        <w:t>What is a Framework and approach?</w:t>
      </w:r>
    </w:p>
    <w:p w:rsidR="003B42A5" w:rsidRPr="00733788" w:rsidRDefault="003B42A5" w:rsidP="003B42A5">
      <w:pPr>
        <w:spacing w:line="276" w:lineRule="auto"/>
        <w:rPr>
          <w:rFonts w:ascii="Verdana" w:hAnsi="Verdana"/>
          <w:sz w:val="18"/>
          <w:szCs w:val="18"/>
        </w:rPr>
      </w:pPr>
      <w:r w:rsidRPr="00733788">
        <w:rPr>
          <w:rFonts w:ascii="Verdana" w:hAnsi="Verdana"/>
          <w:sz w:val="18"/>
          <w:szCs w:val="18"/>
        </w:rPr>
        <w:t xml:space="preserve">The framework and approach (F&amp;A) is the first step in the process to determine efficient prices for electricity </w:t>
      </w:r>
      <w:r>
        <w:rPr>
          <w:rFonts w:ascii="Verdana" w:hAnsi="Verdana"/>
          <w:sz w:val="18"/>
          <w:szCs w:val="18"/>
        </w:rPr>
        <w:t>transmission</w:t>
      </w:r>
      <w:r w:rsidRPr="00733788">
        <w:rPr>
          <w:rFonts w:ascii="Verdana" w:hAnsi="Verdana"/>
          <w:sz w:val="18"/>
          <w:szCs w:val="18"/>
        </w:rPr>
        <w:t xml:space="preserve"> services. The F&amp;A determines, amongst other things, </w:t>
      </w:r>
      <w:r w:rsidRPr="008402FE">
        <w:rPr>
          <w:rFonts w:ascii="Verdana" w:hAnsi="Verdana"/>
          <w:bCs/>
          <w:sz w:val="18"/>
          <w:szCs w:val="18"/>
          <w:lang w:val="en"/>
        </w:rPr>
        <w:t xml:space="preserve">how the AER will set prices for electricity </w:t>
      </w:r>
      <w:r>
        <w:rPr>
          <w:rFonts w:ascii="Verdana" w:hAnsi="Verdana"/>
          <w:bCs/>
          <w:sz w:val="18"/>
          <w:szCs w:val="18"/>
          <w:lang w:val="en"/>
        </w:rPr>
        <w:t>transmission</w:t>
      </w:r>
      <w:r w:rsidRPr="008402FE">
        <w:rPr>
          <w:rFonts w:ascii="Verdana" w:hAnsi="Verdana"/>
          <w:bCs/>
          <w:sz w:val="18"/>
          <w:szCs w:val="18"/>
          <w:lang w:val="en"/>
        </w:rPr>
        <w:t xml:space="preserve"> services and the application of any incentive schemes</w:t>
      </w:r>
      <w:r>
        <w:rPr>
          <w:rFonts w:ascii="Verdana" w:hAnsi="Verdana"/>
          <w:sz w:val="18"/>
          <w:szCs w:val="18"/>
        </w:rPr>
        <w:t xml:space="preserve">. </w:t>
      </w:r>
      <w:r w:rsidRPr="00733788">
        <w:rPr>
          <w:rFonts w:ascii="Verdana" w:hAnsi="Verdana"/>
          <w:sz w:val="18"/>
          <w:szCs w:val="18"/>
        </w:rPr>
        <w:t xml:space="preserve">The F&amp;A also facilitates early consultation with consumers and other stakeholders and assists electricity businesses to prepare expenditure proposals. </w:t>
      </w:r>
    </w:p>
    <w:p w:rsidR="003B42A5" w:rsidRDefault="003B42A5" w:rsidP="003B42A5">
      <w:pPr>
        <w:pStyle w:val="HeadingBoldBlue"/>
        <w:numPr>
          <w:ilvl w:val="0"/>
          <w:numId w:val="30"/>
        </w:numPr>
        <w:spacing w:after="0"/>
        <w:rPr>
          <w:rStyle w:val="AERtextorange"/>
          <w:rFonts w:ascii="Verdana" w:hAnsi="Verdana"/>
          <w:color w:val="2473FF" w:themeColor="text2" w:themeTint="99"/>
          <w:sz w:val="18"/>
          <w:szCs w:val="18"/>
        </w:rPr>
      </w:pPr>
    </w:p>
    <w:p w:rsidR="003B42A5" w:rsidRPr="00733788" w:rsidRDefault="003B42A5" w:rsidP="003B42A5">
      <w:pPr>
        <w:pStyle w:val="HeadingBoldBlue"/>
        <w:numPr>
          <w:ilvl w:val="0"/>
          <w:numId w:val="30"/>
        </w:numPr>
        <w:spacing w:after="0"/>
        <w:rPr>
          <w:rStyle w:val="AERtextorange"/>
          <w:rFonts w:ascii="Verdana" w:hAnsi="Verdana"/>
          <w:color w:val="2473FF" w:themeColor="text2" w:themeTint="99"/>
          <w:sz w:val="18"/>
          <w:szCs w:val="18"/>
        </w:rPr>
      </w:pPr>
      <w:r w:rsidRPr="00733788">
        <w:rPr>
          <w:rStyle w:val="AERtextorange"/>
          <w:rFonts w:ascii="Verdana" w:hAnsi="Verdana"/>
          <w:color w:val="2473FF" w:themeColor="text2" w:themeTint="99"/>
          <w:sz w:val="18"/>
          <w:szCs w:val="18"/>
        </w:rPr>
        <w:t>Which electricity business does this process affect?</w:t>
      </w:r>
    </w:p>
    <w:p w:rsidR="003B42A5" w:rsidRDefault="003B42A5" w:rsidP="003B42A5">
      <w:pPr>
        <w:spacing w:line="276" w:lineRule="auto"/>
        <w:rPr>
          <w:rFonts w:ascii="Verdana" w:hAnsi="Verdana"/>
          <w:sz w:val="18"/>
          <w:szCs w:val="18"/>
        </w:rPr>
      </w:pPr>
    </w:p>
    <w:p w:rsidR="003B42A5" w:rsidRPr="00733788" w:rsidRDefault="003B42A5" w:rsidP="003B42A5">
      <w:pPr>
        <w:spacing w:line="276" w:lineRule="auto"/>
        <w:rPr>
          <w:rFonts w:ascii="Verdana" w:hAnsi="Verdana"/>
          <w:sz w:val="18"/>
          <w:szCs w:val="18"/>
        </w:rPr>
      </w:pPr>
      <w:r w:rsidRPr="00733788">
        <w:rPr>
          <w:rFonts w:ascii="Verdana" w:hAnsi="Verdana"/>
          <w:sz w:val="18"/>
          <w:szCs w:val="18"/>
        </w:rPr>
        <w:t>We are taking steps to determine if a new</w:t>
      </w:r>
      <w:r>
        <w:rPr>
          <w:rFonts w:ascii="Verdana" w:hAnsi="Verdana"/>
          <w:sz w:val="18"/>
          <w:szCs w:val="18"/>
        </w:rPr>
        <w:t xml:space="preserve"> or amended</w:t>
      </w:r>
      <w:r w:rsidRPr="00733788">
        <w:rPr>
          <w:rFonts w:ascii="Verdana" w:hAnsi="Verdana"/>
          <w:sz w:val="18"/>
          <w:szCs w:val="18"/>
        </w:rPr>
        <w:t xml:space="preserve"> F&amp;A is required for </w:t>
      </w:r>
      <w:r>
        <w:rPr>
          <w:rFonts w:ascii="Verdana" w:hAnsi="Verdana"/>
          <w:sz w:val="18"/>
          <w:szCs w:val="18"/>
        </w:rPr>
        <w:t>New South Wales’ electricity transmission</w:t>
      </w:r>
      <w:r w:rsidRPr="00733788">
        <w:rPr>
          <w:rFonts w:ascii="Verdana" w:hAnsi="Verdana"/>
          <w:sz w:val="18"/>
          <w:szCs w:val="18"/>
        </w:rPr>
        <w:t xml:space="preserve"> network service provider, </w:t>
      </w:r>
      <w:r>
        <w:rPr>
          <w:rFonts w:ascii="Verdana" w:hAnsi="Verdana"/>
          <w:sz w:val="18"/>
          <w:szCs w:val="18"/>
        </w:rPr>
        <w:t>TransGrid.</w:t>
      </w:r>
      <w:r w:rsidRPr="00733788">
        <w:rPr>
          <w:rFonts w:ascii="Verdana" w:hAnsi="Verdana"/>
          <w:sz w:val="18"/>
          <w:szCs w:val="18"/>
        </w:rPr>
        <w:t xml:space="preserve"> T</w:t>
      </w:r>
      <w:r>
        <w:rPr>
          <w:rFonts w:ascii="Verdana" w:hAnsi="Verdana"/>
          <w:sz w:val="18"/>
          <w:szCs w:val="18"/>
        </w:rPr>
        <w:t>ransGrid</w:t>
      </w:r>
      <w:r w:rsidRPr="00733788">
        <w:rPr>
          <w:rFonts w:ascii="Verdana" w:hAnsi="Verdana"/>
          <w:sz w:val="18"/>
          <w:szCs w:val="18"/>
        </w:rPr>
        <w:t xml:space="preserve"> designs, constructs, operates and maintains a </w:t>
      </w:r>
      <w:r>
        <w:rPr>
          <w:rFonts w:ascii="Verdana" w:hAnsi="Verdana"/>
          <w:sz w:val="18"/>
          <w:szCs w:val="18"/>
        </w:rPr>
        <w:t xml:space="preserve">high voltage electricity transmission </w:t>
      </w:r>
      <w:r w:rsidRPr="00733788">
        <w:rPr>
          <w:rFonts w:ascii="Verdana" w:hAnsi="Verdana"/>
          <w:sz w:val="18"/>
          <w:szCs w:val="18"/>
        </w:rPr>
        <w:t xml:space="preserve">network for </w:t>
      </w:r>
      <w:r>
        <w:rPr>
          <w:rFonts w:ascii="Verdana" w:hAnsi="Verdana"/>
          <w:sz w:val="18"/>
          <w:szCs w:val="18"/>
        </w:rPr>
        <w:t>New South Wales</w:t>
      </w:r>
      <w:r w:rsidRPr="00733788">
        <w:rPr>
          <w:rFonts w:ascii="Verdana" w:hAnsi="Verdana"/>
          <w:sz w:val="18"/>
          <w:szCs w:val="18"/>
        </w:rPr>
        <w:t xml:space="preserve"> electricity consumers. T</w:t>
      </w:r>
      <w:r>
        <w:rPr>
          <w:rFonts w:ascii="Verdana" w:hAnsi="Verdana"/>
          <w:sz w:val="18"/>
          <w:szCs w:val="18"/>
        </w:rPr>
        <w:t>ransGrid’s</w:t>
      </w:r>
      <w:r w:rsidRPr="00733788">
        <w:rPr>
          <w:rFonts w:ascii="Verdana" w:hAnsi="Verdana"/>
          <w:sz w:val="18"/>
          <w:szCs w:val="18"/>
        </w:rPr>
        <w:t xml:space="preserve"> next regulatory control period commences on 1 July 201</w:t>
      </w:r>
      <w:r>
        <w:rPr>
          <w:rFonts w:ascii="Verdana" w:hAnsi="Verdana"/>
          <w:sz w:val="18"/>
          <w:szCs w:val="18"/>
        </w:rPr>
        <w:t>8</w:t>
      </w:r>
      <w:r w:rsidRPr="00733788">
        <w:rPr>
          <w:rFonts w:ascii="Verdana" w:hAnsi="Verdana"/>
          <w:sz w:val="18"/>
          <w:szCs w:val="18"/>
        </w:rPr>
        <w:t xml:space="preserve">. </w:t>
      </w:r>
    </w:p>
    <w:p w:rsidR="003B42A5" w:rsidRDefault="003B42A5" w:rsidP="003B42A5">
      <w:pPr>
        <w:pStyle w:val="HeadingBoldBlue"/>
        <w:numPr>
          <w:ilvl w:val="0"/>
          <w:numId w:val="30"/>
        </w:numPr>
        <w:spacing w:after="0"/>
        <w:rPr>
          <w:rStyle w:val="AERtextorange"/>
          <w:rFonts w:ascii="Verdana" w:hAnsi="Verdana"/>
          <w:color w:val="2473FF" w:themeColor="text2" w:themeTint="99"/>
          <w:sz w:val="18"/>
          <w:szCs w:val="18"/>
        </w:rPr>
      </w:pPr>
    </w:p>
    <w:p w:rsidR="003B42A5" w:rsidRPr="00733788" w:rsidRDefault="003B42A5" w:rsidP="003B42A5">
      <w:pPr>
        <w:pStyle w:val="HeadingBoldBlue"/>
        <w:numPr>
          <w:ilvl w:val="0"/>
          <w:numId w:val="30"/>
        </w:numPr>
        <w:spacing w:after="0"/>
        <w:rPr>
          <w:rStyle w:val="AERtextorange"/>
          <w:rFonts w:ascii="Verdana" w:hAnsi="Verdana"/>
          <w:color w:val="2473FF" w:themeColor="text2" w:themeTint="99"/>
          <w:sz w:val="18"/>
          <w:szCs w:val="18"/>
        </w:rPr>
      </w:pPr>
      <w:r w:rsidRPr="00733788">
        <w:rPr>
          <w:rStyle w:val="AERtextorange"/>
          <w:rFonts w:ascii="Verdana" w:hAnsi="Verdana"/>
          <w:color w:val="2473FF" w:themeColor="text2" w:themeTint="99"/>
          <w:sz w:val="18"/>
          <w:szCs w:val="18"/>
        </w:rPr>
        <w:t>Why is a Framework and approach important?</w:t>
      </w:r>
    </w:p>
    <w:p w:rsidR="003B42A5" w:rsidRDefault="003B42A5" w:rsidP="003B42A5">
      <w:pPr>
        <w:spacing w:line="276" w:lineRule="auto"/>
        <w:rPr>
          <w:rFonts w:ascii="Verdana" w:hAnsi="Verdana"/>
          <w:sz w:val="18"/>
          <w:szCs w:val="18"/>
        </w:rPr>
      </w:pPr>
      <w:r w:rsidRPr="00733788">
        <w:rPr>
          <w:rFonts w:ascii="Verdana" w:hAnsi="Verdana"/>
          <w:sz w:val="18"/>
          <w:szCs w:val="18"/>
        </w:rPr>
        <w:t xml:space="preserve">The F&amp;A is important because it provides an opportunity for interested parties to have a say in which </w:t>
      </w:r>
      <w:r>
        <w:rPr>
          <w:rFonts w:ascii="Verdana" w:hAnsi="Verdana"/>
          <w:sz w:val="18"/>
          <w:szCs w:val="18"/>
        </w:rPr>
        <w:t>incentive schemes should apply to TransGrid to encourage efficient investment and performance and how we should apply our Expenditure Forecast Assessment Guideline when assessing its expenditure proposal</w:t>
      </w:r>
      <w:r w:rsidRPr="00733788">
        <w:rPr>
          <w:rFonts w:ascii="Verdana" w:hAnsi="Verdana"/>
          <w:sz w:val="18"/>
          <w:szCs w:val="18"/>
        </w:rPr>
        <w:t>. The sort of issue we might consider in a</w:t>
      </w:r>
      <w:r>
        <w:rPr>
          <w:rFonts w:ascii="Verdana" w:hAnsi="Verdana"/>
          <w:sz w:val="18"/>
          <w:szCs w:val="18"/>
        </w:rPr>
        <w:t>n</w:t>
      </w:r>
      <w:r w:rsidRPr="00733788">
        <w:rPr>
          <w:rFonts w:ascii="Verdana" w:hAnsi="Verdana"/>
          <w:sz w:val="18"/>
          <w:szCs w:val="18"/>
        </w:rPr>
        <w:t xml:space="preserve"> F&amp;A include</w:t>
      </w:r>
      <w:r>
        <w:rPr>
          <w:rFonts w:ascii="Verdana" w:hAnsi="Verdana"/>
          <w:sz w:val="18"/>
          <w:szCs w:val="18"/>
        </w:rPr>
        <w:t>s</w:t>
      </w:r>
      <w:r w:rsidRPr="00733788">
        <w:rPr>
          <w:rFonts w:ascii="Verdana" w:hAnsi="Verdana"/>
          <w:sz w:val="18"/>
          <w:szCs w:val="18"/>
        </w:rPr>
        <w:t>:</w:t>
      </w:r>
    </w:p>
    <w:p w:rsidR="003B42A5" w:rsidRPr="00733788" w:rsidRDefault="003B42A5" w:rsidP="003B42A5">
      <w:pPr>
        <w:rPr>
          <w:rFonts w:ascii="Verdana" w:hAnsi="Verdana"/>
          <w:sz w:val="18"/>
          <w:szCs w:val="18"/>
        </w:rPr>
      </w:pPr>
    </w:p>
    <w:p w:rsidR="003B42A5" w:rsidRPr="00733788" w:rsidRDefault="003B42A5" w:rsidP="003B42A5">
      <w:pPr>
        <w:pStyle w:val="AERbulletlistfirststyle"/>
        <w:numPr>
          <w:ilvl w:val="0"/>
          <w:numId w:val="29"/>
        </w:numPr>
        <w:tabs>
          <w:tab w:val="clear" w:pos="567"/>
          <w:tab w:val="left" w:pos="357"/>
        </w:tabs>
        <w:spacing w:after="200" w:line="288" w:lineRule="auto"/>
        <w:ind w:left="357" w:hanging="357"/>
        <w:jc w:val="both"/>
        <w:rPr>
          <w:rFonts w:ascii="Verdana" w:hAnsi="Verdana"/>
          <w:sz w:val="18"/>
          <w:szCs w:val="18"/>
        </w:rPr>
      </w:pPr>
      <w:r w:rsidRPr="00733788">
        <w:rPr>
          <w:rFonts w:ascii="Verdana" w:hAnsi="Verdana"/>
          <w:sz w:val="18"/>
          <w:szCs w:val="18"/>
        </w:rPr>
        <w:t>Setting out whether incentive schemes will apply, for example, to</w:t>
      </w:r>
      <w:r w:rsidRPr="00733788" w:rsidDel="00A134B8">
        <w:rPr>
          <w:rFonts w:ascii="Verdana" w:hAnsi="Verdana"/>
          <w:sz w:val="18"/>
          <w:szCs w:val="18"/>
        </w:rPr>
        <w:t xml:space="preserve"> </w:t>
      </w:r>
      <w:r w:rsidRPr="00733788">
        <w:rPr>
          <w:rFonts w:ascii="Verdana" w:hAnsi="Verdana"/>
          <w:sz w:val="18"/>
          <w:szCs w:val="18"/>
        </w:rPr>
        <w:t xml:space="preserve">service quality, improvements in network reliability or capital and operating expenditure. The purpose of incentive schemes is to encourage distribution businesses to manage their business in a safe, reliable manner that serves the long term interests of consumers. The schemes provide distribution businesses with incentives to only incur efficient costs in meeting their service quality targets. Distribution businesses may incur a financial penalty if they fail to meet set targets. </w:t>
      </w:r>
      <w:bookmarkStart w:id="0" w:name="_GoBack"/>
      <w:bookmarkEnd w:id="0"/>
    </w:p>
    <w:p w:rsidR="003B42A5" w:rsidRPr="00733788" w:rsidRDefault="003B42A5" w:rsidP="003B42A5">
      <w:pPr>
        <w:pStyle w:val="HeadingBoldBlue"/>
        <w:numPr>
          <w:ilvl w:val="0"/>
          <w:numId w:val="31"/>
        </w:numPr>
        <w:spacing w:after="0"/>
        <w:rPr>
          <w:rStyle w:val="AERtextorange"/>
          <w:rFonts w:ascii="Verdana" w:hAnsi="Verdana"/>
          <w:color w:val="2473FF" w:themeColor="text2" w:themeTint="99"/>
          <w:sz w:val="18"/>
          <w:szCs w:val="18"/>
        </w:rPr>
      </w:pPr>
      <w:r w:rsidRPr="00733788">
        <w:rPr>
          <w:rStyle w:val="AERtextorange"/>
          <w:rFonts w:ascii="Verdana" w:hAnsi="Verdana"/>
          <w:color w:val="2473FF" w:themeColor="text2" w:themeTint="99"/>
          <w:sz w:val="18"/>
          <w:szCs w:val="18"/>
        </w:rPr>
        <w:t>What are the next steps?</w:t>
      </w:r>
    </w:p>
    <w:p w:rsidR="003B42A5" w:rsidRDefault="003B42A5" w:rsidP="003B42A5">
      <w:pPr>
        <w:spacing w:line="276" w:lineRule="auto"/>
        <w:rPr>
          <w:rFonts w:ascii="Verdana" w:hAnsi="Verdana"/>
          <w:sz w:val="18"/>
          <w:szCs w:val="18"/>
        </w:rPr>
      </w:pPr>
      <w:r w:rsidRPr="00733788">
        <w:rPr>
          <w:rFonts w:ascii="Verdana" w:hAnsi="Verdana"/>
          <w:sz w:val="18"/>
          <w:szCs w:val="18"/>
        </w:rPr>
        <w:t xml:space="preserve">We are calling for submissions on whether we need to amend or replace the current F&amp;A for </w:t>
      </w:r>
      <w:r>
        <w:rPr>
          <w:rFonts w:ascii="Verdana" w:hAnsi="Verdana"/>
          <w:sz w:val="18"/>
          <w:szCs w:val="18"/>
        </w:rPr>
        <w:t>TransGrid</w:t>
      </w:r>
      <w:r w:rsidRPr="00733788">
        <w:rPr>
          <w:rFonts w:ascii="Verdana" w:hAnsi="Verdana"/>
          <w:sz w:val="18"/>
          <w:szCs w:val="18"/>
        </w:rPr>
        <w:t xml:space="preserve">. </w:t>
      </w:r>
      <w:r w:rsidRPr="00733788">
        <w:rPr>
          <w:rStyle w:val="AERtextbold"/>
          <w:rFonts w:ascii="Verdana" w:hAnsi="Verdana"/>
          <w:sz w:val="18"/>
          <w:szCs w:val="18"/>
        </w:rPr>
        <w:t xml:space="preserve">Submissions close on </w:t>
      </w:r>
      <w:r>
        <w:rPr>
          <w:rStyle w:val="AERtextbold"/>
          <w:rFonts w:ascii="Verdana" w:hAnsi="Verdana"/>
          <w:sz w:val="18"/>
          <w:szCs w:val="18"/>
        </w:rPr>
        <w:t>4 December</w:t>
      </w:r>
      <w:r w:rsidRPr="00733788">
        <w:rPr>
          <w:rStyle w:val="AERtextbold"/>
          <w:rFonts w:ascii="Verdana" w:hAnsi="Verdana"/>
          <w:sz w:val="18"/>
          <w:szCs w:val="18"/>
        </w:rPr>
        <w:t xml:space="preserve"> 2015</w:t>
      </w:r>
      <w:r w:rsidRPr="00733788">
        <w:rPr>
          <w:rFonts w:ascii="Verdana" w:hAnsi="Verdana"/>
          <w:sz w:val="18"/>
          <w:szCs w:val="18"/>
        </w:rPr>
        <w:t xml:space="preserve">. If we decide to amend or replace the current F&amp;A we </w:t>
      </w:r>
      <w:r>
        <w:rPr>
          <w:rFonts w:ascii="Verdana" w:hAnsi="Verdana"/>
          <w:sz w:val="18"/>
          <w:szCs w:val="18"/>
        </w:rPr>
        <w:t>will</w:t>
      </w:r>
      <w:r w:rsidRPr="00733788">
        <w:rPr>
          <w:rFonts w:ascii="Verdana" w:hAnsi="Verdana"/>
          <w:sz w:val="18"/>
          <w:szCs w:val="18"/>
        </w:rPr>
        <w:t xml:space="preserve"> publish an issues/preliminary positions paper </w:t>
      </w:r>
      <w:r>
        <w:rPr>
          <w:rFonts w:ascii="Verdana" w:hAnsi="Verdana"/>
          <w:sz w:val="18"/>
          <w:szCs w:val="18"/>
        </w:rPr>
        <w:t xml:space="preserve">in early 2016 </w:t>
      </w:r>
      <w:r w:rsidRPr="00733788">
        <w:rPr>
          <w:rFonts w:ascii="Verdana" w:hAnsi="Verdana"/>
          <w:sz w:val="18"/>
          <w:szCs w:val="18"/>
        </w:rPr>
        <w:t>and consult on what amendments should be made. If a new F&amp;A is required we will publish it by 31 July 201</w:t>
      </w:r>
      <w:r>
        <w:rPr>
          <w:rFonts w:ascii="Verdana" w:hAnsi="Verdana"/>
          <w:sz w:val="18"/>
          <w:szCs w:val="18"/>
        </w:rPr>
        <w:t>6</w:t>
      </w:r>
      <w:r w:rsidRPr="00733788">
        <w:rPr>
          <w:rFonts w:ascii="Verdana" w:hAnsi="Verdana"/>
          <w:sz w:val="18"/>
          <w:szCs w:val="18"/>
        </w:rPr>
        <w:t xml:space="preserve">. </w:t>
      </w:r>
    </w:p>
    <w:p w:rsidR="00303C4A" w:rsidRDefault="00303C4A"/>
    <w:sectPr w:rsidR="00303C4A" w:rsidSect="00691616">
      <w:footerReference w:type="firs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2A5" w:rsidRDefault="003B42A5" w:rsidP="004B4412">
      <w:r>
        <w:separator/>
      </w:r>
    </w:p>
  </w:endnote>
  <w:endnote w:type="continuationSeparator" w:id="0">
    <w:p w:rsidR="003B42A5" w:rsidRDefault="003B42A5"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2A5" w:rsidRDefault="003B42A5" w:rsidP="004B4412">
      <w:r>
        <w:separator/>
      </w:r>
    </w:p>
  </w:footnote>
  <w:footnote w:type="continuationSeparator" w:id="0">
    <w:p w:rsidR="003B42A5" w:rsidRDefault="003B42A5" w:rsidP="004B4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9">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1487971"/>
    <w:multiLevelType w:val="multilevel"/>
    <w:tmpl w:val="B478DFE6"/>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2">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6">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7">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8">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9">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30"/>
  </w:num>
  <w:num w:numId="3">
    <w:abstractNumId w:val="7"/>
  </w:num>
  <w:num w:numId="4">
    <w:abstractNumId w:val="6"/>
  </w:num>
  <w:num w:numId="5">
    <w:abstractNumId w:val="5"/>
  </w:num>
  <w:num w:numId="6">
    <w:abstractNumId w:val="4"/>
  </w:num>
  <w:num w:numId="7">
    <w:abstractNumId w:val="1"/>
  </w:num>
  <w:num w:numId="8">
    <w:abstractNumId w:val="0"/>
  </w:num>
  <w:num w:numId="9">
    <w:abstractNumId w:val="24"/>
  </w:num>
  <w:num w:numId="10">
    <w:abstractNumId w:val="16"/>
  </w:num>
  <w:num w:numId="11">
    <w:abstractNumId w:val="9"/>
  </w:num>
  <w:num w:numId="12">
    <w:abstractNumId w:val="13"/>
  </w:num>
  <w:num w:numId="13">
    <w:abstractNumId w:val="15"/>
  </w:num>
  <w:num w:numId="14">
    <w:abstractNumId w:val="2"/>
  </w:num>
  <w:num w:numId="15">
    <w:abstractNumId w:val="25"/>
  </w:num>
  <w:num w:numId="16">
    <w:abstractNumId w:val="28"/>
  </w:num>
  <w:num w:numId="17">
    <w:abstractNumId w:val="27"/>
  </w:num>
  <w:num w:numId="18">
    <w:abstractNumId w:val="21"/>
  </w:num>
  <w:num w:numId="19">
    <w:abstractNumId w:val="14"/>
  </w:num>
  <w:num w:numId="20">
    <w:abstractNumId w:val="18"/>
  </w:num>
  <w:num w:numId="21">
    <w:abstractNumId w:val="26"/>
  </w:num>
  <w:num w:numId="22">
    <w:abstractNumId w:val="22"/>
  </w:num>
  <w:num w:numId="23">
    <w:abstractNumId w:val="8"/>
  </w:num>
  <w:num w:numId="24">
    <w:abstractNumId w:val="3"/>
  </w:num>
  <w:num w:numId="25">
    <w:abstractNumId w:val="19"/>
  </w:num>
  <w:num w:numId="26">
    <w:abstractNumId w:val="12"/>
  </w:num>
  <w:num w:numId="27">
    <w:abstractNumId w:val="23"/>
  </w:num>
  <w:num w:numId="28">
    <w:abstractNumId w:val="29"/>
  </w:num>
  <w:num w:numId="29">
    <w:abstractNumId w:val="17"/>
  </w:num>
  <w:num w:numId="30">
    <w:abstractNumId w:val="20"/>
  </w:num>
  <w:num w:numId="31">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2"/>
  </w:docVars>
  <w:rsids>
    <w:rsidRoot w:val="003B42A5"/>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42A5"/>
    <w:rsid w:val="003B5A70"/>
    <w:rsid w:val="00475DDE"/>
    <w:rsid w:val="00480B4B"/>
    <w:rsid w:val="00485DC4"/>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538A9"/>
    <w:rsid w:val="00C53B5A"/>
    <w:rsid w:val="00C54F5A"/>
    <w:rsid w:val="00C755AD"/>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B60AA"/>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42A5"/>
    <w:pPr>
      <w:spacing w:before="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AERbulletlistfirststyle">
    <w:name w:val="AER bullet list (first style)"/>
    <w:basedOn w:val="Normal"/>
    <w:qFormat/>
    <w:rsid w:val="003B42A5"/>
    <w:pPr>
      <w:numPr>
        <w:numId w:val="28"/>
      </w:numPr>
      <w:tabs>
        <w:tab w:val="left" w:pos="567"/>
      </w:tabs>
      <w:spacing w:after="240" w:line="240" w:lineRule="atLeast"/>
    </w:pPr>
    <w:rPr>
      <w:lang w:eastAsia="en-US"/>
    </w:rPr>
  </w:style>
  <w:style w:type="character" w:customStyle="1" w:styleId="AERtextbold">
    <w:name w:val="AER text bold"/>
    <w:qFormat/>
    <w:rsid w:val="003B42A5"/>
    <w:rPr>
      <w:b/>
    </w:rPr>
  </w:style>
  <w:style w:type="numbering" w:customStyle="1" w:styleId="AERnumberedlist">
    <w:name w:val="AER numbered list"/>
    <w:uiPriority w:val="99"/>
    <w:rsid w:val="003B42A5"/>
    <w:pPr>
      <w:numPr>
        <w:numId w:val="30"/>
      </w:numPr>
    </w:pPr>
  </w:style>
  <w:style w:type="character" w:customStyle="1" w:styleId="AERtextorange">
    <w:name w:val="AER text orange"/>
    <w:uiPriority w:val="1"/>
    <w:qFormat/>
    <w:rsid w:val="003B42A5"/>
    <w:rPr>
      <w:color w:val="E36C0A"/>
    </w:rPr>
  </w:style>
  <w:style w:type="paragraph" w:customStyle="1" w:styleId="AERtitle1">
    <w:name w:val="AER title 1"/>
    <w:qFormat/>
    <w:rsid w:val="003B42A5"/>
    <w:pPr>
      <w:spacing w:before="0"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3B42A5"/>
    <w:pPr>
      <w:spacing w:before="0" w:after="240" w:line="288" w:lineRule="auto"/>
      <w:jc w:val="center"/>
    </w:pPr>
    <w:rPr>
      <w:rFonts w:ascii="Gautami" w:eastAsia="Times New Roman" w:hAnsi="Gautami" w:cs="Times New Roman"/>
      <w:sz w:val="32"/>
      <w:szCs w:val="24"/>
    </w:rPr>
  </w:style>
  <w:style w:type="paragraph" w:customStyle="1" w:styleId="HeadingBoldBlue">
    <w:name w:val="Heading Bold Blue"/>
    <w:basedOn w:val="Normal"/>
    <w:next w:val="Normal"/>
    <w:link w:val="HeadingBoldBlueChar"/>
    <w:qFormat/>
    <w:rsid w:val="003B42A5"/>
    <w:pPr>
      <w:keepNext/>
      <w:tabs>
        <w:tab w:val="num" w:pos="0"/>
      </w:tabs>
      <w:spacing w:after="240" w:line="288" w:lineRule="auto"/>
      <w:jc w:val="both"/>
    </w:pPr>
    <w:rPr>
      <w:rFonts w:ascii="Gautami" w:hAnsi="Gautami"/>
      <w:b/>
      <w:color w:val="365F91"/>
      <w:sz w:val="22"/>
      <w:lang w:eastAsia="en-US"/>
    </w:rPr>
  </w:style>
  <w:style w:type="character" w:customStyle="1" w:styleId="HeadingBoldBlueChar">
    <w:name w:val="Heading Bold Blue Char"/>
    <w:link w:val="HeadingBoldBlue"/>
    <w:rsid w:val="003B42A5"/>
    <w:rPr>
      <w:rFonts w:ascii="Gautami" w:eastAsia="Times New Roman" w:hAnsi="Gautami" w:cs="Times New Roman"/>
      <w:b/>
      <w:color w:val="365F9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42A5"/>
    <w:pPr>
      <w:spacing w:before="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AERbulletlistfirststyle">
    <w:name w:val="AER bullet list (first style)"/>
    <w:basedOn w:val="Normal"/>
    <w:qFormat/>
    <w:rsid w:val="003B42A5"/>
    <w:pPr>
      <w:numPr>
        <w:numId w:val="28"/>
      </w:numPr>
      <w:tabs>
        <w:tab w:val="left" w:pos="567"/>
      </w:tabs>
      <w:spacing w:after="240" w:line="240" w:lineRule="atLeast"/>
    </w:pPr>
    <w:rPr>
      <w:lang w:eastAsia="en-US"/>
    </w:rPr>
  </w:style>
  <w:style w:type="character" w:customStyle="1" w:styleId="AERtextbold">
    <w:name w:val="AER text bold"/>
    <w:qFormat/>
    <w:rsid w:val="003B42A5"/>
    <w:rPr>
      <w:b/>
    </w:rPr>
  </w:style>
  <w:style w:type="numbering" w:customStyle="1" w:styleId="AERnumberedlist">
    <w:name w:val="AER numbered list"/>
    <w:uiPriority w:val="99"/>
    <w:rsid w:val="003B42A5"/>
    <w:pPr>
      <w:numPr>
        <w:numId w:val="30"/>
      </w:numPr>
    </w:pPr>
  </w:style>
  <w:style w:type="character" w:customStyle="1" w:styleId="AERtextorange">
    <w:name w:val="AER text orange"/>
    <w:uiPriority w:val="1"/>
    <w:qFormat/>
    <w:rsid w:val="003B42A5"/>
    <w:rPr>
      <w:color w:val="E36C0A"/>
    </w:rPr>
  </w:style>
  <w:style w:type="paragraph" w:customStyle="1" w:styleId="AERtitle1">
    <w:name w:val="AER title 1"/>
    <w:qFormat/>
    <w:rsid w:val="003B42A5"/>
    <w:pPr>
      <w:spacing w:before="0"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3B42A5"/>
    <w:pPr>
      <w:spacing w:before="0" w:after="240" w:line="288" w:lineRule="auto"/>
      <w:jc w:val="center"/>
    </w:pPr>
    <w:rPr>
      <w:rFonts w:ascii="Gautami" w:eastAsia="Times New Roman" w:hAnsi="Gautami" w:cs="Times New Roman"/>
      <w:sz w:val="32"/>
      <w:szCs w:val="24"/>
    </w:rPr>
  </w:style>
  <w:style w:type="paragraph" w:customStyle="1" w:styleId="HeadingBoldBlue">
    <w:name w:val="Heading Bold Blue"/>
    <w:basedOn w:val="Normal"/>
    <w:next w:val="Normal"/>
    <w:link w:val="HeadingBoldBlueChar"/>
    <w:qFormat/>
    <w:rsid w:val="003B42A5"/>
    <w:pPr>
      <w:keepNext/>
      <w:tabs>
        <w:tab w:val="num" w:pos="0"/>
      </w:tabs>
      <w:spacing w:after="240" w:line="288" w:lineRule="auto"/>
      <w:jc w:val="both"/>
    </w:pPr>
    <w:rPr>
      <w:rFonts w:ascii="Gautami" w:hAnsi="Gautami"/>
      <w:b/>
      <w:color w:val="365F91"/>
      <w:sz w:val="22"/>
      <w:lang w:eastAsia="en-US"/>
    </w:rPr>
  </w:style>
  <w:style w:type="character" w:customStyle="1" w:styleId="HeadingBoldBlueChar">
    <w:name w:val="Heading Bold Blue Char"/>
    <w:link w:val="HeadingBoldBlue"/>
    <w:rsid w:val="003B42A5"/>
    <w:rPr>
      <w:rFonts w:ascii="Gautami" w:eastAsia="Times New Roman" w:hAnsi="Gautami" w:cs="Times New Roman"/>
      <w:b/>
      <w:color w:val="365F9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FCFF14-EA31-451C-82E0-4B2E5B6E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EBCC0730</Template>
  <TotalTime>0</TotalTime>
  <Pages>1</Pages>
  <Words>407</Words>
  <Characters>2311</Characters>
  <Application>Microsoft Office Word</Application>
  <DocSecurity>0</DocSecurity>
  <Lines>43</Lines>
  <Paragraphs>15</Paragraphs>
  <ScaleCrop>false</ScaleCrop>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2015-11-12T23:27:00Z</dcterms:created>
  <dcterms:modified xsi:type="dcterms:W3CDTF">2015-11-12T23:27:00Z</dcterms:modified>
</cp:coreProperties>
</file>