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99676627"/>
        <w:docPartObj>
          <w:docPartGallery w:val="Cover Pages"/>
          <w:docPartUnique/>
        </w:docPartObj>
      </w:sdtPr>
      <w:sdtEndPr>
        <w:rPr>
          <w:rFonts w:eastAsiaTheme="majorEastAsia" w:cstheme="majorBidi"/>
          <w:b/>
          <w:noProof/>
          <w:sz w:val="72"/>
          <w:szCs w:val="72"/>
          <w:lang w:eastAsia="en-AU"/>
        </w:rPr>
      </w:sdtEndPr>
      <w:sdtContent>
        <w:p w:rsidR="00DB723B" w:rsidRPr="00DB723B" w:rsidRDefault="00DB723B" w:rsidP="00951978">
          <w:r w:rsidRPr="00DB723B">
            <w:rPr>
              <w:noProof/>
              <w:lang w:eastAsia="en-AU"/>
            </w:rPr>
            <w:drawing>
              <wp:anchor distT="0" distB="0" distL="114300" distR="114300" simplePos="0" relativeHeight="251659264" behindDoc="1" locked="0" layoutInCell="1" allowOverlap="1" wp14:anchorId="65AB45F0" wp14:editId="76A6EA31">
                <wp:simplePos x="0" y="0"/>
                <wp:positionH relativeFrom="column">
                  <wp:posOffset>-1107440</wp:posOffset>
                </wp:positionH>
                <wp:positionV relativeFrom="paragraph">
                  <wp:posOffset>-928370</wp:posOffset>
                </wp:positionV>
                <wp:extent cx="7572375" cy="10703560"/>
                <wp:effectExtent l="0" t="0" r="952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2375" cy="10703560"/>
                        </a:xfrm>
                        <a:prstGeom prst="rect">
                          <a:avLst/>
                        </a:prstGeom>
                        <a:noFill/>
                      </pic:spPr>
                    </pic:pic>
                  </a:graphicData>
                </a:graphic>
                <wp14:sizeRelH relativeFrom="page">
                  <wp14:pctWidth>0</wp14:pctWidth>
                </wp14:sizeRelH>
                <wp14:sizeRelV relativeFrom="page">
                  <wp14:pctHeight>0</wp14:pctHeight>
                </wp14:sizeRelV>
              </wp:anchor>
            </w:drawing>
          </w:r>
        </w:p>
        <w:p w:rsidR="00DB723B" w:rsidRPr="00DB723B" w:rsidRDefault="00DB723B" w:rsidP="00F171E0"/>
        <w:p w:rsidR="00DB723B" w:rsidRPr="00DB723B" w:rsidRDefault="00DB723B" w:rsidP="00F171E0"/>
        <w:p w:rsidR="00DB723B" w:rsidRPr="00DB723B" w:rsidRDefault="00DB723B" w:rsidP="00F171E0"/>
        <w:p w:rsidR="00DB723B" w:rsidRPr="00DB723B" w:rsidRDefault="00DB723B" w:rsidP="00F171E0"/>
        <w:p w:rsidR="00DB723B" w:rsidRPr="00DB723B" w:rsidRDefault="00DB723B" w:rsidP="00D226C7"/>
        <w:p w:rsidR="00DB723B" w:rsidRPr="00DB723B" w:rsidRDefault="00DB723B" w:rsidP="00D226C7"/>
        <w:p w:rsidR="00DB723B" w:rsidRPr="00DB723B" w:rsidRDefault="00DB723B" w:rsidP="00D226C7"/>
        <w:p w:rsidR="00DB723B" w:rsidRPr="00DB723B" w:rsidRDefault="00DB723B" w:rsidP="00D226C7"/>
        <w:p w:rsidR="007A3DA4" w:rsidRDefault="007A3DA4" w:rsidP="007A3DA4">
          <w:pPr>
            <w:pStyle w:val="ReportTitle"/>
          </w:pPr>
          <w:r>
            <w:t xml:space="preserve">Annual report on the performance of the retail energy market </w:t>
          </w:r>
        </w:p>
        <w:p w:rsidR="007A3DA4" w:rsidRPr="0059458D" w:rsidRDefault="007A3DA4" w:rsidP="007A3DA4"/>
        <w:p w:rsidR="00DB723B" w:rsidRPr="00DB723B" w:rsidRDefault="007A3DA4" w:rsidP="00327A1E">
          <w:pPr>
            <w:pStyle w:val="ReportSubtitle"/>
          </w:pPr>
          <w:r>
            <w:t>2014-15</w:t>
          </w:r>
        </w:p>
        <w:p w:rsidR="00DB723B" w:rsidRPr="00DB723B" w:rsidRDefault="00DB723B" w:rsidP="00DB723B">
          <w:r w:rsidRPr="00DB723B">
            <w:br w:type="page"/>
          </w:r>
        </w:p>
        <w:p w:rsidR="00DB723B" w:rsidRDefault="005D380E">
          <w:pPr>
            <w:spacing w:line="240" w:lineRule="auto"/>
            <w:rPr>
              <w:rFonts w:eastAsiaTheme="majorEastAsia" w:cstheme="majorBidi"/>
              <w:b/>
              <w:noProof/>
              <w:sz w:val="72"/>
              <w:szCs w:val="72"/>
              <w:lang w:eastAsia="en-AU"/>
            </w:rPr>
          </w:pPr>
        </w:p>
      </w:sdtContent>
    </w:sdt>
    <w:p w:rsidR="00327A1E" w:rsidRPr="00FE3C32" w:rsidRDefault="00327A1E">
      <w:pPr>
        <w:spacing w:line="240" w:lineRule="auto"/>
      </w:pPr>
    </w:p>
    <w:p w:rsidR="000A6C7B" w:rsidRDefault="000A6C7B" w:rsidP="00327A1E">
      <w:pPr>
        <w:pStyle w:val="Copyright"/>
      </w:pPr>
      <w:r>
        <w:t>© Commonwealth of Australia 201</w:t>
      </w:r>
      <w:r w:rsidR="00D81EF4">
        <w:t>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Default="000A6C7B" w:rsidP="00DD0F4D">
      <w:pPr>
        <w:pStyle w:val="StyleCopyrightBefore0pt"/>
        <w:numPr>
          <w:ilvl w:val="0"/>
          <w:numId w:val="22"/>
        </w:numPr>
      </w:pPr>
      <w:r>
        <w:t>the Commonwealth Coat of Arms</w:t>
      </w:r>
    </w:p>
    <w:p w:rsidR="000A6C7B" w:rsidRDefault="000A6C7B" w:rsidP="00DD0F4D">
      <w:pPr>
        <w:pStyle w:val="StyleCopyrightBefore0pt"/>
        <w:numPr>
          <w:ilvl w:val="0"/>
          <w:numId w:val="22"/>
        </w:numPr>
      </w:pPr>
      <w:r>
        <w:t>the ACCC and AER logos</w:t>
      </w:r>
    </w:p>
    <w:p w:rsidR="000A6C7B" w:rsidRPr="00B927D8" w:rsidRDefault="000A6C7B" w:rsidP="00DD0F4D">
      <w:pPr>
        <w:pStyle w:val="ListBullet"/>
        <w:numPr>
          <w:ilvl w:val="0"/>
          <w:numId w:val="22"/>
        </w:numPr>
        <w:rPr>
          <w:sz w:val="20"/>
          <w:szCs w:val="20"/>
        </w:rPr>
      </w:pPr>
      <w:r w:rsidRPr="007A4D1F">
        <w:rPr>
          <w:sz w:val="20"/>
          <w:szCs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0A6C7B" w:rsidRDefault="000A6C7B" w:rsidP="000A6C7B">
      <w:pPr>
        <w:pStyle w:val="Copyright"/>
      </w:pPr>
      <w:r>
        <w:t xml:space="preserve">Requests and inquiries concerning reproduction and rights should be addressed to the </w:t>
      </w:r>
      <w:r w:rsidR="007A4D1F">
        <w:br/>
      </w:r>
      <w:r>
        <w:t xml:space="preserve">Director, Corporate Communications, </w:t>
      </w:r>
      <w:r w:rsidR="007A4D1F">
        <w:br/>
      </w:r>
      <w:r>
        <w:t xml:space="preserve">Australian Competition and Consumer Commission, </w:t>
      </w:r>
      <w:r w:rsidR="007A4D1F">
        <w:br/>
      </w:r>
      <w:r>
        <w:t xml:space="preserve">GPO Box 4141, </w:t>
      </w:r>
      <w:r w:rsidR="007A4D1F">
        <w:br/>
      </w:r>
      <w:r>
        <w:t xml:space="preserve">Canberra ACT 2601 </w:t>
      </w:r>
      <w:r w:rsidR="007A4D1F">
        <w:br/>
      </w:r>
      <w:r>
        <w:t>or publishing.unit@accc.gov.au.</w:t>
      </w:r>
    </w:p>
    <w:p w:rsidR="00951978" w:rsidRDefault="000A6C7B" w:rsidP="00A02A88">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proofErr w:type="gramStart"/>
      <w:r>
        <w:t>Melbourne  Vic</w:t>
      </w:r>
      <w:proofErr w:type="gramEnd"/>
      <w:r>
        <w:t xml:space="preserve">  3001</w:t>
      </w:r>
    </w:p>
    <w:p w:rsidR="000A6C7B" w:rsidRDefault="000A6C7B" w:rsidP="000A6C7B">
      <w:pPr>
        <w:pStyle w:val="Copyright"/>
      </w:pPr>
      <w:r>
        <w:t>Tel: (03) 9290 1444</w:t>
      </w:r>
      <w:r w:rsidR="00951978">
        <w:br/>
      </w:r>
      <w:r>
        <w:t>Fax: (03) 9290 1457</w:t>
      </w:r>
    </w:p>
    <w:p w:rsidR="000A6C7B" w:rsidRPr="00951978" w:rsidRDefault="000A6C7B" w:rsidP="000A6C7B">
      <w:pPr>
        <w:pStyle w:val="Copyright"/>
        <w:rPr>
          <w:color w:val="0000FF"/>
          <w:sz w:val="22"/>
          <w:u w:val="single"/>
        </w:rPr>
      </w:pPr>
      <w:r>
        <w:t xml:space="preserve">Email: </w:t>
      </w:r>
      <w:hyperlink r:id="rId11" w:history="1">
        <w:r w:rsidRPr="00D64888">
          <w:rPr>
            <w:rStyle w:val="Hyperlink"/>
          </w:rPr>
          <w:t>AERInquiry@aer.gov.au</w:t>
        </w:r>
      </w:hyperlink>
      <w:r w:rsidR="00951978">
        <w:rPr>
          <w:rStyle w:val="Hyperlink"/>
        </w:rPr>
        <w:br/>
      </w:r>
      <w:r>
        <w:t xml:space="preserve">AER Reference: </w:t>
      </w:r>
      <w:r w:rsidR="00C073F6">
        <w:t>58066</w:t>
      </w:r>
    </w:p>
    <w:p w:rsidR="000A6C7B" w:rsidRDefault="000A6C7B" w:rsidP="000A6C7B"/>
    <w:p w:rsidR="000A6C7B" w:rsidRPr="00C569B4" w:rsidRDefault="000A6C7B" w:rsidP="000A6C7B">
      <w:r w:rsidRPr="00C569B4">
        <w:t>Amendment Record</w:t>
      </w:r>
    </w:p>
    <w:tbl>
      <w:tblPr>
        <w:tblStyle w:val="AERTable-Text"/>
        <w:tblW w:w="0" w:type="auto"/>
        <w:tblLook w:val="04A0" w:firstRow="1" w:lastRow="0" w:firstColumn="1" w:lastColumn="0" w:noHBand="0" w:noVBand="1"/>
      </w:tblPr>
      <w:tblGrid>
        <w:gridCol w:w="3080"/>
        <w:gridCol w:w="3081"/>
        <w:gridCol w:w="3081"/>
      </w:tblGrid>
      <w:tr w:rsidR="000A6C7B" w:rsidTr="00D226C7">
        <w:trPr>
          <w:cnfStyle w:val="100000000000" w:firstRow="1" w:lastRow="0" w:firstColumn="0" w:lastColumn="0" w:oddVBand="0" w:evenVBand="0" w:oddHBand="0" w:evenHBand="0" w:firstRowFirstColumn="0" w:firstRowLastColumn="0" w:lastRowFirstColumn="0" w:lastRowLastColumn="0"/>
        </w:trPr>
        <w:tc>
          <w:tcPr>
            <w:tcW w:w="3080" w:type="dxa"/>
          </w:tcPr>
          <w:p w:rsidR="000A6C7B" w:rsidRDefault="000A6C7B" w:rsidP="00FE3C32">
            <w:r>
              <w:t>Version</w:t>
            </w:r>
          </w:p>
        </w:tc>
        <w:tc>
          <w:tcPr>
            <w:tcW w:w="3081" w:type="dxa"/>
          </w:tcPr>
          <w:p w:rsidR="000A6C7B" w:rsidRDefault="000A6C7B" w:rsidP="00FE3C32">
            <w:r>
              <w:t>Date</w:t>
            </w:r>
          </w:p>
        </w:tc>
        <w:tc>
          <w:tcPr>
            <w:tcW w:w="3081" w:type="dxa"/>
          </w:tcPr>
          <w:p w:rsidR="000A6C7B" w:rsidRDefault="000A6C7B" w:rsidP="00FE3C32">
            <w:r>
              <w:t>Pages</w:t>
            </w:r>
          </w:p>
        </w:tc>
      </w:tr>
      <w:tr w:rsidR="000A6C7B" w:rsidTr="00D226C7">
        <w:tc>
          <w:tcPr>
            <w:tcW w:w="3080" w:type="dxa"/>
          </w:tcPr>
          <w:p w:rsidR="000A6C7B" w:rsidRDefault="00597772" w:rsidP="00D226C7">
            <w:pPr>
              <w:spacing w:before="0" w:after="200"/>
            </w:pPr>
            <w:r>
              <w:t>Final</w:t>
            </w:r>
          </w:p>
        </w:tc>
        <w:tc>
          <w:tcPr>
            <w:tcW w:w="3081" w:type="dxa"/>
          </w:tcPr>
          <w:p w:rsidR="000A6C7B" w:rsidRDefault="00597772" w:rsidP="00597772">
            <w:pPr>
              <w:spacing w:before="0" w:after="200"/>
            </w:pPr>
            <w:r>
              <w:t>23</w:t>
            </w:r>
            <w:r w:rsidR="00BB4F5F">
              <w:t>/</w:t>
            </w:r>
            <w:r w:rsidR="00E8677A">
              <w:t>11</w:t>
            </w:r>
            <w:r w:rsidR="00C073F6">
              <w:t>/2015</w:t>
            </w:r>
          </w:p>
        </w:tc>
        <w:tc>
          <w:tcPr>
            <w:tcW w:w="3081" w:type="dxa"/>
          </w:tcPr>
          <w:p w:rsidR="000A6C7B" w:rsidRDefault="00C073F6" w:rsidP="00D226C7">
            <w:pPr>
              <w:spacing w:before="0" w:after="200"/>
            </w:pPr>
            <w:r>
              <w:t>10</w:t>
            </w:r>
            <w:r w:rsidR="00BB4F5F">
              <w:t>4</w:t>
            </w:r>
          </w:p>
        </w:tc>
      </w:tr>
    </w:tbl>
    <w:p w:rsidR="000A6C7B" w:rsidRDefault="000A6C7B" w:rsidP="009D6B46"/>
    <w:p w:rsidR="002010BC" w:rsidRDefault="002010BC">
      <w:pPr>
        <w:spacing w:line="240" w:lineRule="auto"/>
      </w:pPr>
      <w:r>
        <w:br w:type="page"/>
      </w:r>
    </w:p>
    <w:p w:rsidR="002010BC" w:rsidRDefault="00A75077" w:rsidP="00A75077">
      <w:pPr>
        <w:pStyle w:val="TOCHeading"/>
      </w:pPr>
      <w:r>
        <w:lastRenderedPageBreak/>
        <w:t>Contents</w:t>
      </w:r>
    </w:p>
    <w:p w:rsidR="00C75DB1" w:rsidRDefault="00A75077">
      <w:pPr>
        <w:pStyle w:val="TOC1"/>
        <w:rPr>
          <w:rFonts w:asciiTheme="minorHAnsi" w:eastAsiaTheme="minorEastAsia" w:hAnsiTheme="minorHAnsi"/>
          <w:b w:val="0"/>
          <w:color w:val="auto"/>
          <w:sz w:val="22"/>
          <w:lang w:val="en-AU" w:eastAsia="en-AU"/>
        </w:rPr>
      </w:pPr>
      <w:r>
        <w:fldChar w:fldCharType="begin"/>
      </w:r>
      <w:r>
        <w:instrText xml:space="preserve"> TOC \o "1-3" \h \z \u </w:instrText>
      </w:r>
      <w:r>
        <w:fldChar w:fldCharType="separate"/>
      </w:r>
      <w:hyperlink w:anchor="_Toc433026799" w:history="1">
        <w:r w:rsidR="00C75DB1" w:rsidRPr="005F49F9">
          <w:rPr>
            <w:rStyle w:val="Hyperlink"/>
          </w:rPr>
          <w:t>About this report</w:t>
        </w:r>
        <w:r w:rsidR="00C75DB1">
          <w:rPr>
            <w:webHidden/>
          </w:rPr>
          <w:tab/>
        </w:r>
        <w:r w:rsidR="00C75DB1">
          <w:rPr>
            <w:webHidden/>
          </w:rPr>
          <w:fldChar w:fldCharType="begin"/>
        </w:r>
        <w:r w:rsidR="00C75DB1">
          <w:rPr>
            <w:webHidden/>
          </w:rPr>
          <w:instrText xml:space="preserve"> PAGEREF _Toc433026799 \h </w:instrText>
        </w:r>
        <w:r w:rsidR="00C75DB1">
          <w:rPr>
            <w:webHidden/>
          </w:rPr>
        </w:r>
        <w:r w:rsidR="00C75DB1">
          <w:rPr>
            <w:webHidden/>
          </w:rPr>
          <w:fldChar w:fldCharType="separate"/>
        </w:r>
        <w:r w:rsidR="00BB4F5F">
          <w:rPr>
            <w:webHidden/>
          </w:rPr>
          <w:t>4</w:t>
        </w:r>
        <w:r w:rsidR="00C75DB1">
          <w:rPr>
            <w:webHidden/>
          </w:rPr>
          <w:fldChar w:fldCharType="end"/>
        </w:r>
      </w:hyperlink>
    </w:p>
    <w:p w:rsidR="00C75DB1" w:rsidRDefault="005D380E">
      <w:pPr>
        <w:pStyle w:val="TOC1"/>
        <w:rPr>
          <w:rFonts w:asciiTheme="minorHAnsi" w:eastAsiaTheme="minorEastAsia" w:hAnsiTheme="minorHAnsi"/>
          <w:b w:val="0"/>
          <w:color w:val="auto"/>
          <w:sz w:val="22"/>
          <w:lang w:val="en-AU" w:eastAsia="en-AU"/>
        </w:rPr>
      </w:pPr>
      <w:hyperlink w:anchor="_Toc433026800" w:history="1">
        <w:r w:rsidR="00C75DB1" w:rsidRPr="005F49F9">
          <w:rPr>
            <w:rStyle w:val="Hyperlink"/>
          </w:rPr>
          <w:t>Key findings in 2014-15</w:t>
        </w:r>
        <w:r w:rsidR="00C75DB1">
          <w:rPr>
            <w:webHidden/>
          </w:rPr>
          <w:tab/>
        </w:r>
        <w:r w:rsidR="00C75DB1">
          <w:rPr>
            <w:webHidden/>
          </w:rPr>
          <w:fldChar w:fldCharType="begin"/>
        </w:r>
        <w:r w:rsidR="00C75DB1">
          <w:rPr>
            <w:webHidden/>
          </w:rPr>
          <w:instrText xml:space="preserve"> PAGEREF _Toc433026800 \h </w:instrText>
        </w:r>
        <w:r w:rsidR="00C75DB1">
          <w:rPr>
            <w:webHidden/>
          </w:rPr>
        </w:r>
        <w:r w:rsidR="00C75DB1">
          <w:rPr>
            <w:webHidden/>
          </w:rPr>
          <w:fldChar w:fldCharType="separate"/>
        </w:r>
        <w:r w:rsidR="00BB4F5F">
          <w:rPr>
            <w:webHidden/>
          </w:rPr>
          <w:t>7</w:t>
        </w:r>
        <w:r w:rsidR="00C75DB1">
          <w:rPr>
            <w:webHidden/>
          </w:rPr>
          <w:fldChar w:fldCharType="end"/>
        </w:r>
      </w:hyperlink>
    </w:p>
    <w:p w:rsidR="00C75DB1" w:rsidRDefault="005D380E">
      <w:pPr>
        <w:pStyle w:val="TOC1"/>
        <w:rPr>
          <w:rFonts w:asciiTheme="minorHAnsi" w:eastAsiaTheme="minorEastAsia" w:hAnsiTheme="minorHAnsi"/>
          <w:b w:val="0"/>
          <w:color w:val="auto"/>
          <w:sz w:val="22"/>
          <w:lang w:val="en-AU" w:eastAsia="en-AU"/>
        </w:rPr>
      </w:pPr>
      <w:hyperlink w:anchor="_Toc433026801" w:history="1">
        <w:r w:rsidR="00C75DB1" w:rsidRPr="005F49F9">
          <w:rPr>
            <w:rStyle w:val="Hyperlink"/>
          </w:rPr>
          <w:t>1</w:t>
        </w:r>
        <w:r w:rsidR="00C75DB1">
          <w:rPr>
            <w:rFonts w:asciiTheme="minorHAnsi" w:eastAsiaTheme="minorEastAsia" w:hAnsiTheme="minorHAnsi"/>
            <w:b w:val="0"/>
            <w:color w:val="auto"/>
            <w:sz w:val="22"/>
            <w:lang w:val="en-AU" w:eastAsia="en-AU"/>
          </w:rPr>
          <w:tab/>
        </w:r>
        <w:r w:rsidR="00C75DB1" w:rsidRPr="005F49F9">
          <w:rPr>
            <w:rStyle w:val="Hyperlink"/>
          </w:rPr>
          <w:t>Retail market overview</w:t>
        </w:r>
        <w:r w:rsidR="00C75DB1">
          <w:rPr>
            <w:webHidden/>
          </w:rPr>
          <w:tab/>
        </w:r>
        <w:r w:rsidR="00C75DB1">
          <w:rPr>
            <w:webHidden/>
          </w:rPr>
          <w:fldChar w:fldCharType="begin"/>
        </w:r>
        <w:r w:rsidR="00C75DB1">
          <w:rPr>
            <w:webHidden/>
          </w:rPr>
          <w:instrText xml:space="preserve"> PAGEREF _Toc433026801 \h </w:instrText>
        </w:r>
        <w:r w:rsidR="00C75DB1">
          <w:rPr>
            <w:webHidden/>
          </w:rPr>
        </w:r>
        <w:r w:rsidR="00C75DB1">
          <w:rPr>
            <w:webHidden/>
          </w:rPr>
          <w:fldChar w:fldCharType="separate"/>
        </w:r>
        <w:r w:rsidR="00BB4F5F">
          <w:rPr>
            <w:webHidden/>
          </w:rPr>
          <w:t>11</w:t>
        </w:r>
        <w:r w:rsidR="00C75DB1">
          <w:rPr>
            <w:webHidden/>
          </w:rPr>
          <w:fldChar w:fldCharType="end"/>
        </w:r>
      </w:hyperlink>
    </w:p>
    <w:p w:rsidR="00C75DB1" w:rsidRDefault="005D380E">
      <w:pPr>
        <w:pStyle w:val="TOC2"/>
        <w:rPr>
          <w:rFonts w:asciiTheme="minorHAnsi" w:eastAsiaTheme="minorEastAsia" w:hAnsiTheme="minorHAnsi"/>
          <w:b w:val="0"/>
          <w:color w:val="auto"/>
          <w:sz w:val="22"/>
          <w:lang w:eastAsia="en-AU"/>
        </w:rPr>
      </w:pPr>
      <w:hyperlink w:anchor="_Toc433026802" w:history="1">
        <w:r w:rsidR="00C75DB1" w:rsidRPr="005F49F9">
          <w:rPr>
            <w:rStyle w:val="Hyperlink"/>
          </w:rPr>
          <w:t>1.1</w:t>
        </w:r>
        <w:r w:rsidR="00C75DB1">
          <w:rPr>
            <w:rFonts w:asciiTheme="minorHAnsi" w:eastAsiaTheme="minorEastAsia" w:hAnsiTheme="minorHAnsi"/>
            <w:b w:val="0"/>
            <w:color w:val="auto"/>
            <w:sz w:val="22"/>
            <w:lang w:eastAsia="en-AU"/>
          </w:rPr>
          <w:tab/>
        </w:r>
        <w:r w:rsidR="00C75DB1" w:rsidRPr="005F49F9">
          <w:rPr>
            <w:rStyle w:val="Hyperlink"/>
          </w:rPr>
          <w:t>Retail competition</w:t>
        </w:r>
        <w:r w:rsidR="00C75DB1">
          <w:rPr>
            <w:webHidden/>
          </w:rPr>
          <w:tab/>
        </w:r>
        <w:r w:rsidR="00C75DB1">
          <w:rPr>
            <w:webHidden/>
          </w:rPr>
          <w:fldChar w:fldCharType="begin"/>
        </w:r>
        <w:r w:rsidR="00C75DB1">
          <w:rPr>
            <w:webHidden/>
          </w:rPr>
          <w:instrText xml:space="preserve"> PAGEREF _Toc433026802 \h </w:instrText>
        </w:r>
        <w:r w:rsidR="00C75DB1">
          <w:rPr>
            <w:webHidden/>
          </w:rPr>
        </w:r>
        <w:r w:rsidR="00C75DB1">
          <w:rPr>
            <w:webHidden/>
          </w:rPr>
          <w:fldChar w:fldCharType="separate"/>
        </w:r>
        <w:r w:rsidR="00BB4F5F">
          <w:rPr>
            <w:webHidden/>
          </w:rPr>
          <w:t>12</w:t>
        </w:r>
        <w:r w:rsidR="00C75DB1">
          <w:rPr>
            <w:webHidden/>
          </w:rPr>
          <w:fldChar w:fldCharType="end"/>
        </w:r>
      </w:hyperlink>
    </w:p>
    <w:p w:rsidR="00C75DB1" w:rsidRDefault="005D380E">
      <w:pPr>
        <w:pStyle w:val="TOC2"/>
        <w:rPr>
          <w:rFonts w:asciiTheme="minorHAnsi" w:eastAsiaTheme="minorEastAsia" w:hAnsiTheme="minorHAnsi"/>
          <w:b w:val="0"/>
          <w:color w:val="auto"/>
          <w:sz w:val="22"/>
          <w:lang w:eastAsia="en-AU"/>
        </w:rPr>
      </w:pPr>
      <w:hyperlink w:anchor="_Toc433026805" w:history="1">
        <w:r w:rsidR="00C75DB1" w:rsidRPr="005F49F9">
          <w:rPr>
            <w:rStyle w:val="Hyperlink"/>
          </w:rPr>
          <w:t>1.2</w:t>
        </w:r>
        <w:r w:rsidR="00C75DB1">
          <w:rPr>
            <w:rFonts w:asciiTheme="minorHAnsi" w:eastAsiaTheme="minorEastAsia" w:hAnsiTheme="minorHAnsi"/>
            <w:b w:val="0"/>
            <w:color w:val="auto"/>
            <w:sz w:val="22"/>
            <w:lang w:eastAsia="en-AU"/>
          </w:rPr>
          <w:tab/>
        </w:r>
        <w:r w:rsidR="00C75DB1" w:rsidRPr="005F49F9">
          <w:rPr>
            <w:rStyle w:val="Hyperlink"/>
          </w:rPr>
          <w:t>Standard and market retail contracts</w:t>
        </w:r>
        <w:r w:rsidR="00C75DB1">
          <w:rPr>
            <w:webHidden/>
          </w:rPr>
          <w:tab/>
        </w:r>
        <w:r w:rsidR="00C75DB1">
          <w:rPr>
            <w:webHidden/>
          </w:rPr>
          <w:fldChar w:fldCharType="begin"/>
        </w:r>
        <w:r w:rsidR="00C75DB1">
          <w:rPr>
            <w:webHidden/>
          </w:rPr>
          <w:instrText xml:space="preserve"> PAGEREF _Toc433026805 \h </w:instrText>
        </w:r>
        <w:r w:rsidR="00C75DB1">
          <w:rPr>
            <w:webHidden/>
          </w:rPr>
        </w:r>
        <w:r w:rsidR="00C75DB1">
          <w:rPr>
            <w:webHidden/>
          </w:rPr>
          <w:fldChar w:fldCharType="separate"/>
        </w:r>
        <w:r w:rsidR="00BB4F5F">
          <w:rPr>
            <w:webHidden/>
          </w:rPr>
          <w:t>15</w:t>
        </w:r>
        <w:r w:rsidR="00C75DB1">
          <w:rPr>
            <w:webHidden/>
          </w:rPr>
          <w:fldChar w:fldCharType="end"/>
        </w:r>
      </w:hyperlink>
    </w:p>
    <w:p w:rsidR="00C75DB1" w:rsidRDefault="005D380E">
      <w:pPr>
        <w:pStyle w:val="TOC2"/>
        <w:rPr>
          <w:rFonts w:asciiTheme="minorHAnsi" w:eastAsiaTheme="minorEastAsia" w:hAnsiTheme="minorHAnsi"/>
          <w:b w:val="0"/>
          <w:color w:val="auto"/>
          <w:sz w:val="22"/>
          <w:lang w:eastAsia="en-AU"/>
        </w:rPr>
      </w:pPr>
      <w:hyperlink w:anchor="_Toc433026806" w:history="1">
        <w:r w:rsidR="00C75DB1" w:rsidRPr="005F49F9">
          <w:rPr>
            <w:rStyle w:val="Hyperlink"/>
          </w:rPr>
          <w:t>1.3</w:t>
        </w:r>
        <w:r w:rsidR="00C75DB1">
          <w:rPr>
            <w:rFonts w:asciiTheme="minorHAnsi" w:eastAsiaTheme="minorEastAsia" w:hAnsiTheme="minorHAnsi"/>
            <w:b w:val="0"/>
            <w:color w:val="auto"/>
            <w:sz w:val="22"/>
            <w:lang w:eastAsia="en-AU"/>
          </w:rPr>
          <w:tab/>
        </w:r>
        <w:r w:rsidR="00C75DB1" w:rsidRPr="005F49F9">
          <w:rPr>
            <w:rStyle w:val="Hyperlink"/>
          </w:rPr>
          <w:t>Customer switching rates</w:t>
        </w:r>
        <w:r w:rsidR="00C75DB1">
          <w:rPr>
            <w:webHidden/>
          </w:rPr>
          <w:tab/>
        </w:r>
        <w:r w:rsidR="00C75DB1">
          <w:rPr>
            <w:webHidden/>
          </w:rPr>
          <w:fldChar w:fldCharType="begin"/>
        </w:r>
        <w:r w:rsidR="00C75DB1">
          <w:rPr>
            <w:webHidden/>
          </w:rPr>
          <w:instrText xml:space="preserve"> PAGEREF _Toc433026806 \h </w:instrText>
        </w:r>
        <w:r w:rsidR="00C75DB1">
          <w:rPr>
            <w:webHidden/>
          </w:rPr>
        </w:r>
        <w:r w:rsidR="00C75DB1">
          <w:rPr>
            <w:webHidden/>
          </w:rPr>
          <w:fldChar w:fldCharType="separate"/>
        </w:r>
        <w:r w:rsidR="00BB4F5F">
          <w:rPr>
            <w:webHidden/>
          </w:rPr>
          <w:t>17</w:t>
        </w:r>
        <w:r w:rsidR="00C75DB1">
          <w:rPr>
            <w:webHidden/>
          </w:rPr>
          <w:fldChar w:fldCharType="end"/>
        </w:r>
      </w:hyperlink>
    </w:p>
    <w:p w:rsidR="00C75DB1" w:rsidRDefault="005D380E">
      <w:pPr>
        <w:pStyle w:val="TOC1"/>
        <w:rPr>
          <w:rFonts w:asciiTheme="minorHAnsi" w:eastAsiaTheme="minorEastAsia" w:hAnsiTheme="minorHAnsi"/>
          <w:b w:val="0"/>
          <w:color w:val="auto"/>
          <w:sz w:val="22"/>
          <w:lang w:val="en-AU" w:eastAsia="en-AU"/>
        </w:rPr>
      </w:pPr>
      <w:hyperlink w:anchor="_Toc433026807" w:history="1">
        <w:r w:rsidR="00C75DB1" w:rsidRPr="005F49F9">
          <w:rPr>
            <w:rStyle w:val="Hyperlink"/>
          </w:rPr>
          <w:t>2</w:t>
        </w:r>
        <w:r w:rsidR="00C75DB1">
          <w:rPr>
            <w:rFonts w:asciiTheme="minorHAnsi" w:eastAsiaTheme="minorEastAsia" w:hAnsiTheme="minorHAnsi"/>
            <w:b w:val="0"/>
            <w:color w:val="auto"/>
            <w:sz w:val="22"/>
            <w:lang w:val="en-AU" w:eastAsia="en-AU"/>
          </w:rPr>
          <w:tab/>
        </w:r>
        <w:r w:rsidR="00C75DB1" w:rsidRPr="005F49F9">
          <w:rPr>
            <w:rStyle w:val="Hyperlink"/>
          </w:rPr>
          <w:t>Energy retailer performance</w:t>
        </w:r>
        <w:r w:rsidR="00C75DB1">
          <w:rPr>
            <w:webHidden/>
          </w:rPr>
          <w:tab/>
        </w:r>
        <w:r w:rsidR="00C75DB1">
          <w:rPr>
            <w:webHidden/>
          </w:rPr>
          <w:fldChar w:fldCharType="begin"/>
        </w:r>
        <w:r w:rsidR="00C75DB1">
          <w:rPr>
            <w:webHidden/>
          </w:rPr>
          <w:instrText xml:space="preserve"> PAGEREF _Toc433026807 \h </w:instrText>
        </w:r>
        <w:r w:rsidR="00C75DB1">
          <w:rPr>
            <w:webHidden/>
          </w:rPr>
        </w:r>
        <w:r w:rsidR="00C75DB1">
          <w:rPr>
            <w:webHidden/>
          </w:rPr>
          <w:fldChar w:fldCharType="separate"/>
        </w:r>
        <w:r w:rsidR="00BB4F5F">
          <w:rPr>
            <w:webHidden/>
          </w:rPr>
          <w:t>21</w:t>
        </w:r>
        <w:r w:rsidR="00C75DB1">
          <w:rPr>
            <w:webHidden/>
          </w:rPr>
          <w:fldChar w:fldCharType="end"/>
        </w:r>
      </w:hyperlink>
    </w:p>
    <w:p w:rsidR="00C75DB1" w:rsidRDefault="005D380E">
      <w:pPr>
        <w:pStyle w:val="TOC2"/>
        <w:rPr>
          <w:rFonts w:asciiTheme="minorHAnsi" w:eastAsiaTheme="minorEastAsia" w:hAnsiTheme="minorHAnsi"/>
          <w:b w:val="0"/>
          <w:color w:val="auto"/>
          <w:sz w:val="22"/>
          <w:lang w:eastAsia="en-AU"/>
        </w:rPr>
      </w:pPr>
      <w:hyperlink w:anchor="_Toc433026808" w:history="1">
        <w:r w:rsidR="00C75DB1" w:rsidRPr="005F49F9">
          <w:rPr>
            <w:rStyle w:val="Hyperlink"/>
          </w:rPr>
          <w:t>2.1</w:t>
        </w:r>
        <w:r w:rsidR="00C75DB1">
          <w:rPr>
            <w:rFonts w:asciiTheme="minorHAnsi" w:eastAsiaTheme="minorEastAsia" w:hAnsiTheme="minorHAnsi"/>
            <w:b w:val="0"/>
            <w:color w:val="auto"/>
            <w:sz w:val="22"/>
            <w:lang w:eastAsia="en-AU"/>
          </w:rPr>
          <w:tab/>
        </w:r>
        <w:r w:rsidR="00C75DB1" w:rsidRPr="005F49F9">
          <w:rPr>
            <w:rStyle w:val="Hyperlink"/>
          </w:rPr>
          <w:t>Customer service</w:t>
        </w:r>
        <w:r w:rsidR="00C75DB1">
          <w:rPr>
            <w:webHidden/>
          </w:rPr>
          <w:tab/>
        </w:r>
        <w:r w:rsidR="00C75DB1">
          <w:rPr>
            <w:webHidden/>
          </w:rPr>
          <w:fldChar w:fldCharType="begin"/>
        </w:r>
        <w:r w:rsidR="00C75DB1">
          <w:rPr>
            <w:webHidden/>
          </w:rPr>
          <w:instrText xml:space="preserve"> PAGEREF _Toc433026808 \h </w:instrText>
        </w:r>
        <w:r w:rsidR="00C75DB1">
          <w:rPr>
            <w:webHidden/>
          </w:rPr>
        </w:r>
        <w:r w:rsidR="00C75DB1">
          <w:rPr>
            <w:webHidden/>
          </w:rPr>
          <w:fldChar w:fldCharType="separate"/>
        </w:r>
        <w:r w:rsidR="00BB4F5F">
          <w:rPr>
            <w:webHidden/>
          </w:rPr>
          <w:t>22</w:t>
        </w:r>
        <w:r w:rsidR="00C75DB1">
          <w:rPr>
            <w:webHidden/>
          </w:rPr>
          <w:fldChar w:fldCharType="end"/>
        </w:r>
      </w:hyperlink>
    </w:p>
    <w:p w:rsidR="00C75DB1" w:rsidRDefault="005D380E">
      <w:pPr>
        <w:pStyle w:val="TOC2"/>
        <w:rPr>
          <w:rFonts w:asciiTheme="minorHAnsi" w:eastAsiaTheme="minorEastAsia" w:hAnsiTheme="minorHAnsi"/>
          <w:b w:val="0"/>
          <w:color w:val="auto"/>
          <w:sz w:val="22"/>
          <w:lang w:eastAsia="en-AU"/>
        </w:rPr>
      </w:pPr>
      <w:hyperlink w:anchor="_Toc433026809" w:history="1">
        <w:r w:rsidR="00C75DB1" w:rsidRPr="005F49F9">
          <w:rPr>
            <w:rStyle w:val="Hyperlink"/>
          </w:rPr>
          <w:t>2.2</w:t>
        </w:r>
        <w:r w:rsidR="00C75DB1">
          <w:rPr>
            <w:rFonts w:asciiTheme="minorHAnsi" w:eastAsiaTheme="minorEastAsia" w:hAnsiTheme="minorHAnsi"/>
            <w:b w:val="0"/>
            <w:color w:val="auto"/>
            <w:sz w:val="22"/>
            <w:lang w:eastAsia="en-AU"/>
          </w:rPr>
          <w:tab/>
        </w:r>
        <w:r w:rsidR="00C75DB1" w:rsidRPr="005F49F9">
          <w:rPr>
            <w:rStyle w:val="Hyperlink"/>
          </w:rPr>
          <w:t>Complaints</w:t>
        </w:r>
        <w:r w:rsidR="00C75DB1">
          <w:rPr>
            <w:webHidden/>
          </w:rPr>
          <w:tab/>
        </w:r>
        <w:r w:rsidR="00C75DB1">
          <w:rPr>
            <w:webHidden/>
          </w:rPr>
          <w:fldChar w:fldCharType="begin"/>
        </w:r>
        <w:r w:rsidR="00C75DB1">
          <w:rPr>
            <w:webHidden/>
          </w:rPr>
          <w:instrText xml:space="preserve"> PAGEREF _Toc433026809 \h </w:instrText>
        </w:r>
        <w:r w:rsidR="00C75DB1">
          <w:rPr>
            <w:webHidden/>
          </w:rPr>
        </w:r>
        <w:r w:rsidR="00C75DB1">
          <w:rPr>
            <w:webHidden/>
          </w:rPr>
          <w:fldChar w:fldCharType="separate"/>
        </w:r>
        <w:r w:rsidR="00BB4F5F">
          <w:rPr>
            <w:webHidden/>
          </w:rPr>
          <w:t>23</w:t>
        </w:r>
        <w:r w:rsidR="00C75DB1">
          <w:rPr>
            <w:webHidden/>
          </w:rPr>
          <w:fldChar w:fldCharType="end"/>
        </w:r>
      </w:hyperlink>
    </w:p>
    <w:p w:rsidR="00C75DB1" w:rsidRDefault="005D380E">
      <w:pPr>
        <w:pStyle w:val="TOC2"/>
        <w:rPr>
          <w:rFonts w:asciiTheme="minorHAnsi" w:eastAsiaTheme="minorEastAsia" w:hAnsiTheme="minorHAnsi"/>
          <w:b w:val="0"/>
          <w:color w:val="auto"/>
          <w:sz w:val="22"/>
          <w:lang w:eastAsia="en-AU"/>
        </w:rPr>
      </w:pPr>
      <w:hyperlink w:anchor="_Toc433026810" w:history="1">
        <w:r w:rsidR="00C75DB1" w:rsidRPr="005F49F9">
          <w:rPr>
            <w:rStyle w:val="Hyperlink"/>
          </w:rPr>
          <w:t>2.3</w:t>
        </w:r>
        <w:r w:rsidR="00C75DB1">
          <w:rPr>
            <w:rFonts w:asciiTheme="minorHAnsi" w:eastAsiaTheme="minorEastAsia" w:hAnsiTheme="minorHAnsi"/>
            <w:b w:val="0"/>
            <w:color w:val="auto"/>
            <w:sz w:val="22"/>
            <w:lang w:eastAsia="en-AU"/>
          </w:rPr>
          <w:tab/>
        </w:r>
        <w:r w:rsidR="00C75DB1" w:rsidRPr="005F49F9">
          <w:rPr>
            <w:rStyle w:val="Hyperlink"/>
          </w:rPr>
          <w:t>Energy bill debt</w:t>
        </w:r>
        <w:r w:rsidR="00C75DB1">
          <w:rPr>
            <w:webHidden/>
          </w:rPr>
          <w:tab/>
        </w:r>
        <w:r w:rsidR="00C75DB1">
          <w:rPr>
            <w:webHidden/>
          </w:rPr>
          <w:fldChar w:fldCharType="begin"/>
        </w:r>
        <w:r w:rsidR="00C75DB1">
          <w:rPr>
            <w:webHidden/>
          </w:rPr>
          <w:instrText xml:space="preserve"> PAGEREF _Toc433026810 \h </w:instrText>
        </w:r>
        <w:r w:rsidR="00C75DB1">
          <w:rPr>
            <w:webHidden/>
          </w:rPr>
        </w:r>
        <w:r w:rsidR="00C75DB1">
          <w:rPr>
            <w:webHidden/>
          </w:rPr>
          <w:fldChar w:fldCharType="separate"/>
        </w:r>
        <w:r w:rsidR="00BB4F5F">
          <w:rPr>
            <w:webHidden/>
          </w:rPr>
          <w:t>29</w:t>
        </w:r>
        <w:r w:rsidR="00C75DB1">
          <w:rPr>
            <w:webHidden/>
          </w:rPr>
          <w:fldChar w:fldCharType="end"/>
        </w:r>
      </w:hyperlink>
    </w:p>
    <w:p w:rsidR="00C75DB1" w:rsidRDefault="005D380E">
      <w:pPr>
        <w:pStyle w:val="TOC2"/>
        <w:rPr>
          <w:rFonts w:asciiTheme="minorHAnsi" w:eastAsiaTheme="minorEastAsia" w:hAnsiTheme="minorHAnsi"/>
          <w:b w:val="0"/>
          <w:color w:val="auto"/>
          <w:sz w:val="22"/>
          <w:lang w:eastAsia="en-AU"/>
        </w:rPr>
      </w:pPr>
      <w:hyperlink w:anchor="_Toc433026811" w:history="1">
        <w:r w:rsidR="00C75DB1" w:rsidRPr="005F49F9">
          <w:rPr>
            <w:rStyle w:val="Hyperlink"/>
          </w:rPr>
          <w:t>2.4</w:t>
        </w:r>
        <w:r w:rsidR="00C75DB1">
          <w:rPr>
            <w:rFonts w:asciiTheme="minorHAnsi" w:eastAsiaTheme="minorEastAsia" w:hAnsiTheme="minorHAnsi"/>
            <w:b w:val="0"/>
            <w:color w:val="auto"/>
            <w:sz w:val="22"/>
            <w:lang w:eastAsia="en-AU"/>
          </w:rPr>
          <w:tab/>
        </w:r>
        <w:r w:rsidR="00C75DB1" w:rsidRPr="005F49F9">
          <w:rPr>
            <w:rStyle w:val="Hyperlink"/>
          </w:rPr>
          <w:t>Payment plans</w:t>
        </w:r>
        <w:r w:rsidR="00C75DB1">
          <w:rPr>
            <w:webHidden/>
          </w:rPr>
          <w:tab/>
        </w:r>
        <w:r w:rsidR="00C75DB1">
          <w:rPr>
            <w:webHidden/>
          </w:rPr>
          <w:fldChar w:fldCharType="begin"/>
        </w:r>
        <w:r w:rsidR="00C75DB1">
          <w:rPr>
            <w:webHidden/>
          </w:rPr>
          <w:instrText xml:space="preserve"> PAGEREF _Toc433026811 \h </w:instrText>
        </w:r>
        <w:r w:rsidR="00C75DB1">
          <w:rPr>
            <w:webHidden/>
          </w:rPr>
        </w:r>
        <w:r w:rsidR="00C75DB1">
          <w:rPr>
            <w:webHidden/>
          </w:rPr>
          <w:fldChar w:fldCharType="separate"/>
        </w:r>
        <w:r w:rsidR="00BB4F5F">
          <w:rPr>
            <w:webHidden/>
          </w:rPr>
          <w:t>32</w:t>
        </w:r>
        <w:r w:rsidR="00C75DB1">
          <w:rPr>
            <w:webHidden/>
          </w:rPr>
          <w:fldChar w:fldCharType="end"/>
        </w:r>
      </w:hyperlink>
    </w:p>
    <w:p w:rsidR="00C75DB1" w:rsidRDefault="005D380E">
      <w:pPr>
        <w:pStyle w:val="TOC2"/>
        <w:rPr>
          <w:rFonts w:asciiTheme="minorHAnsi" w:eastAsiaTheme="minorEastAsia" w:hAnsiTheme="minorHAnsi"/>
          <w:b w:val="0"/>
          <w:color w:val="auto"/>
          <w:sz w:val="22"/>
          <w:lang w:eastAsia="en-AU"/>
        </w:rPr>
      </w:pPr>
      <w:hyperlink w:anchor="_Toc433026812" w:history="1">
        <w:r w:rsidR="00C75DB1" w:rsidRPr="005F49F9">
          <w:rPr>
            <w:rStyle w:val="Hyperlink"/>
          </w:rPr>
          <w:t>2.5</w:t>
        </w:r>
        <w:r w:rsidR="00C75DB1">
          <w:rPr>
            <w:rFonts w:asciiTheme="minorHAnsi" w:eastAsiaTheme="minorEastAsia" w:hAnsiTheme="minorHAnsi"/>
            <w:b w:val="0"/>
            <w:color w:val="auto"/>
            <w:sz w:val="22"/>
            <w:lang w:eastAsia="en-AU"/>
          </w:rPr>
          <w:tab/>
        </w:r>
        <w:r w:rsidR="00C75DB1" w:rsidRPr="005F49F9">
          <w:rPr>
            <w:rStyle w:val="Hyperlink"/>
          </w:rPr>
          <w:t>Hardship programs</w:t>
        </w:r>
        <w:r w:rsidR="00C75DB1">
          <w:rPr>
            <w:webHidden/>
          </w:rPr>
          <w:tab/>
        </w:r>
        <w:r w:rsidR="00C75DB1">
          <w:rPr>
            <w:webHidden/>
          </w:rPr>
          <w:fldChar w:fldCharType="begin"/>
        </w:r>
        <w:r w:rsidR="00C75DB1">
          <w:rPr>
            <w:webHidden/>
          </w:rPr>
          <w:instrText xml:space="preserve"> PAGEREF _Toc433026812 \h </w:instrText>
        </w:r>
        <w:r w:rsidR="00C75DB1">
          <w:rPr>
            <w:webHidden/>
          </w:rPr>
        </w:r>
        <w:r w:rsidR="00C75DB1">
          <w:rPr>
            <w:webHidden/>
          </w:rPr>
          <w:fldChar w:fldCharType="separate"/>
        </w:r>
        <w:r w:rsidR="00BB4F5F">
          <w:rPr>
            <w:webHidden/>
          </w:rPr>
          <w:t>33</w:t>
        </w:r>
        <w:r w:rsidR="00C75DB1">
          <w:rPr>
            <w:webHidden/>
          </w:rPr>
          <w:fldChar w:fldCharType="end"/>
        </w:r>
      </w:hyperlink>
    </w:p>
    <w:p w:rsidR="00C75DB1" w:rsidRDefault="005D380E">
      <w:pPr>
        <w:pStyle w:val="TOC2"/>
        <w:rPr>
          <w:rFonts w:asciiTheme="minorHAnsi" w:eastAsiaTheme="minorEastAsia" w:hAnsiTheme="minorHAnsi"/>
          <w:b w:val="0"/>
          <w:color w:val="auto"/>
          <w:sz w:val="22"/>
          <w:lang w:eastAsia="en-AU"/>
        </w:rPr>
      </w:pPr>
      <w:hyperlink w:anchor="_Toc433026818" w:history="1">
        <w:r w:rsidR="00C75DB1" w:rsidRPr="005F49F9">
          <w:rPr>
            <w:rStyle w:val="Hyperlink"/>
          </w:rPr>
          <w:t>2.6</w:t>
        </w:r>
        <w:r w:rsidR="00C75DB1">
          <w:rPr>
            <w:rFonts w:asciiTheme="minorHAnsi" w:eastAsiaTheme="minorEastAsia" w:hAnsiTheme="minorHAnsi"/>
            <w:b w:val="0"/>
            <w:color w:val="auto"/>
            <w:sz w:val="22"/>
            <w:lang w:eastAsia="en-AU"/>
          </w:rPr>
          <w:tab/>
        </w:r>
        <w:r w:rsidR="00C75DB1" w:rsidRPr="005F49F9">
          <w:rPr>
            <w:rStyle w:val="Hyperlink"/>
          </w:rPr>
          <w:t>Disconnections and reconnections</w:t>
        </w:r>
        <w:r w:rsidR="00C75DB1">
          <w:rPr>
            <w:webHidden/>
          </w:rPr>
          <w:tab/>
        </w:r>
        <w:r w:rsidR="00C75DB1">
          <w:rPr>
            <w:webHidden/>
          </w:rPr>
          <w:fldChar w:fldCharType="begin"/>
        </w:r>
        <w:r w:rsidR="00C75DB1">
          <w:rPr>
            <w:webHidden/>
          </w:rPr>
          <w:instrText xml:space="preserve"> PAGEREF _Toc433026818 \h </w:instrText>
        </w:r>
        <w:r w:rsidR="00C75DB1">
          <w:rPr>
            <w:webHidden/>
          </w:rPr>
        </w:r>
        <w:r w:rsidR="00C75DB1">
          <w:rPr>
            <w:webHidden/>
          </w:rPr>
          <w:fldChar w:fldCharType="separate"/>
        </w:r>
        <w:r w:rsidR="00BB4F5F">
          <w:rPr>
            <w:webHidden/>
          </w:rPr>
          <w:t>44</w:t>
        </w:r>
        <w:r w:rsidR="00C75DB1">
          <w:rPr>
            <w:webHidden/>
          </w:rPr>
          <w:fldChar w:fldCharType="end"/>
        </w:r>
      </w:hyperlink>
    </w:p>
    <w:p w:rsidR="00C75DB1" w:rsidRDefault="005D380E">
      <w:pPr>
        <w:pStyle w:val="TOC2"/>
        <w:rPr>
          <w:rFonts w:asciiTheme="minorHAnsi" w:eastAsiaTheme="minorEastAsia" w:hAnsiTheme="minorHAnsi"/>
          <w:b w:val="0"/>
          <w:color w:val="auto"/>
          <w:sz w:val="22"/>
          <w:lang w:eastAsia="en-AU"/>
        </w:rPr>
      </w:pPr>
      <w:hyperlink w:anchor="_Toc433026820" w:history="1">
        <w:r w:rsidR="00C75DB1" w:rsidRPr="005F49F9">
          <w:rPr>
            <w:rStyle w:val="Hyperlink"/>
          </w:rPr>
          <w:t>2.7</w:t>
        </w:r>
        <w:r w:rsidR="00C75DB1">
          <w:rPr>
            <w:rFonts w:asciiTheme="minorHAnsi" w:eastAsiaTheme="minorEastAsia" w:hAnsiTheme="minorHAnsi"/>
            <w:b w:val="0"/>
            <w:color w:val="auto"/>
            <w:sz w:val="22"/>
            <w:lang w:eastAsia="en-AU"/>
          </w:rPr>
          <w:tab/>
        </w:r>
        <w:r w:rsidR="00C75DB1" w:rsidRPr="005F49F9">
          <w:rPr>
            <w:rStyle w:val="Hyperlink"/>
          </w:rPr>
          <w:t>Energy concessions</w:t>
        </w:r>
        <w:r w:rsidR="00C75DB1">
          <w:rPr>
            <w:webHidden/>
          </w:rPr>
          <w:tab/>
        </w:r>
        <w:r w:rsidR="00C75DB1">
          <w:rPr>
            <w:webHidden/>
          </w:rPr>
          <w:fldChar w:fldCharType="begin"/>
        </w:r>
        <w:r w:rsidR="00C75DB1">
          <w:rPr>
            <w:webHidden/>
          </w:rPr>
          <w:instrText xml:space="preserve"> PAGEREF _Toc433026820 \h </w:instrText>
        </w:r>
        <w:r w:rsidR="00C75DB1">
          <w:rPr>
            <w:webHidden/>
          </w:rPr>
        </w:r>
        <w:r w:rsidR="00C75DB1">
          <w:rPr>
            <w:webHidden/>
          </w:rPr>
          <w:fldChar w:fldCharType="separate"/>
        </w:r>
        <w:r w:rsidR="00BB4F5F">
          <w:rPr>
            <w:webHidden/>
          </w:rPr>
          <w:t>49</w:t>
        </w:r>
        <w:r w:rsidR="00C75DB1">
          <w:rPr>
            <w:webHidden/>
          </w:rPr>
          <w:fldChar w:fldCharType="end"/>
        </w:r>
      </w:hyperlink>
    </w:p>
    <w:p w:rsidR="00C75DB1" w:rsidRDefault="005D380E">
      <w:pPr>
        <w:pStyle w:val="TOC2"/>
        <w:rPr>
          <w:rFonts w:asciiTheme="minorHAnsi" w:eastAsiaTheme="minorEastAsia" w:hAnsiTheme="minorHAnsi"/>
          <w:b w:val="0"/>
          <w:color w:val="auto"/>
          <w:sz w:val="22"/>
          <w:lang w:eastAsia="en-AU"/>
        </w:rPr>
      </w:pPr>
      <w:hyperlink w:anchor="_Toc433026821" w:history="1">
        <w:r w:rsidR="00C75DB1" w:rsidRPr="005F49F9">
          <w:rPr>
            <w:rStyle w:val="Hyperlink"/>
          </w:rPr>
          <w:t>2.8</w:t>
        </w:r>
        <w:r w:rsidR="00C75DB1">
          <w:rPr>
            <w:rFonts w:asciiTheme="minorHAnsi" w:eastAsiaTheme="minorEastAsia" w:hAnsiTheme="minorHAnsi"/>
            <w:b w:val="0"/>
            <w:color w:val="auto"/>
            <w:sz w:val="22"/>
            <w:lang w:eastAsia="en-AU"/>
          </w:rPr>
          <w:tab/>
        </w:r>
        <w:r w:rsidR="00C75DB1" w:rsidRPr="005F49F9">
          <w:rPr>
            <w:rStyle w:val="Hyperlink"/>
          </w:rPr>
          <w:t>Security deposits</w:t>
        </w:r>
        <w:r w:rsidR="00C75DB1">
          <w:rPr>
            <w:webHidden/>
          </w:rPr>
          <w:tab/>
        </w:r>
        <w:r w:rsidR="00C75DB1">
          <w:rPr>
            <w:webHidden/>
          </w:rPr>
          <w:fldChar w:fldCharType="begin"/>
        </w:r>
        <w:r w:rsidR="00C75DB1">
          <w:rPr>
            <w:webHidden/>
          </w:rPr>
          <w:instrText xml:space="preserve"> PAGEREF _Toc433026821 \h </w:instrText>
        </w:r>
        <w:r w:rsidR="00C75DB1">
          <w:rPr>
            <w:webHidden/>
          </w:rPr>
        </w:r>
        <w:r w:rsidR="00C75DB1">
          <w:rPr>
            <w:webHidden/>
          </w:rPr>
          <w:fldChar w:fldCharType="separate"/>
        </w:r>
        <w:r w:rsidR="00BB4F5F">
          <w:rPr>
            <w:webHidden/>
          </w:rPr>
          <w:t>50</w:t>
        </w:r>
        <w:r w:rsidR="00C75DB1">
          <w:rPr>
            <w:webHidden/>
          </w:rPr>
          <w:fldChar w:fldCharType="end"/>
        </w:r>
      </w:hyperlink>
    </w:p>
    <w:p w:rsidR="00C75DB1" w:rsidRDefault="005D380E">
      <w:pPr>
        <w:pStyle w:val="TOC1"/>
        <w:rPr>
          <w:rFonts w:asciiTheme="minorHAnsi" w:eastAsiaTheme="minorEastAsia" w:hAnsiTheme="minorHAnsi"/>
          <w:b w:val="0"/>
          <w:color w:val="auto"/>
          <w:sz w:val="22"/>
          <w:lang w:val="en-AU" w:eastAsia="en-AU"/>
        </w:rPr>
      </w:pPr>
      <w:hyperlink w:anchor="_Toc433026822" w:history="1">
        <w:r w:rsidR="00C75DB1" w:rsidRPr="005F49F9">
          <w:rPr>
            <w:rStyle w:val="Hyperlink"/>
          </w:rPr>
          <w:t>3</w:t>
        </w:r>
        <w:r w:rsidR="00C75DB1">
          <w:rPr>
            <w:rFonts w:asciiTheme="minorHAnsi" w:eastAsiaTheme="minorEastAsia" w:hAnsiTheme="minorHAnsi"/>
            <w:b w:val="0"/>
            <w:color w:val="auto"/>
            <w:sz w:val="22"/>
            <w:lang w:val="en-AU" w:eastAsia="en-AU"/>
          </w:rPr>
          <w:tab/>
        </w:r>
        <w:r w:rsidR="00C75DB1" w:rsidRPr="005F49F9">
          <w:rPr>
            <w:rStyle w:val="Hyperlink"/>
          </w:rPr>
          <w:t>Energy affordability</w:t>
        </w:r>
        <w:r w:rsidR="00C75DB1">
          <w:rPr>
            <w:webHidden/>
          </w:rPr>
          <w:tab/>
        </w:r>
        <w:r w:rsidR="00C75DB1">
          <w:rPr>
            <w:webHidden/>
          </w:rPr>
          <w:fldChar w:fldCharType="begin"/>
        </w:r>
        <w:r w:rsidR="00C75DB1">
          <w:rPr>
            <w:webHidden/>
          </w:rPr>
          <w:instrText xml:space="preserve"> PAGEREF _Toc433026822 \h </w:instrText>
        </w:r>
        <w:r w:rsidR="00C75DB1">
          <w:rPr>
            <w:webHidden/>
          </w:rPr>
        </w:r>
        <w:r w:rsidR="00C75DB1">
          <w:rPr>
            <w:webHidden/>
          </w:rPr>
          <w:fldChar w:fldCharType="separate"/>
        </w:r>
        <w:r w:rsidR="00BB4F5F">
          <w:rPr>
            <w:webHidden/>
          </w:rPr>
          <w:t>51</w:t>
        </w:r>
        <w:r w:rsidR="00C75DB1">
          <w:rPr>
            <w:webHidden/>
          </w:rPr>
          <w:fldChar w:fldCharType="end"/>
        </w:r>
      </w:hyperlink>
    </w:p>
    <w:p w:rsidR="00C75DB1" w:rsidRDefault="005D380E">
      <w:pPr>
        <w:pStyle w:val="TOC2"/>
        <w:rPr>
          <w:rFonts w:asciiTheme="minorHAnsi" w:eastAsiaTheme="minorEastAsia" w:hAnsiTheme="minorHAnsi"/>
          <w:b w:val="0"/>
          <w:color w:val="auto"/>
          <w:sz w:val="22"/>
          <w:lang w:eastAsia="en-AU"/>
        </w:rPr>
      </w:pPr>
      <w:hyperlink w:anchor="_Toc433026823" w:history="1">
        <w:r w:rsidR="00C75DB1" w:rsidRPr="005F49F9">
          <w:rPr>
            <w:rStyle w:val="Hyperlink"/>
          </w:rPr>
          <w:t>3.1</w:t>
        </w:r>
        <w:r w:rsidR="00C75DB1">
          <w:rPr>
            <w:rFonts w:asciiTheme="minorHAnsi" w:eastAsiaTheme="minorEastAsia" w:hAnsiTheme="minorHAnsi"/>
            <w:b w:val="0"/>
            <w:color w:val="auto"/>
            <w:sz w:val="22"/>
            <w:lang w:eastAsia="en-AU"/>
          </w:rPr>
          <w:tab/>
        </w:r>
        <w:r w:rsidR="00C75DB1" w:rsidRPr="005F49F9">
          <w:rPr>
            <w:rStyle w:val="Hyperlink"/>
          </w:rPr>
          <w:t>How we report on energy affordability</w:t>
        </w:r>
        <w:r w:rsidR="00C75DB1">
          <w:rPr>
            <w:webHidden/>
          </w:rPr>
          <w:tab/>
        </w:r>
        <w:r w:rsidR="00C75DB1">
          <w:rPr>
            <w:webHidden/>
          </w:rPr>
          <w:fldChar w:fldCharType="begin"/>
        </w:r>
        <w:r w:rsidR="00C75DB1">
          <w:rPr>
            <w:webHidden/>
          </w:rPr>
          <w:instrText xml:space="preserve"> PAGEREF _Toc433026823 \h </w:instrText>
        </w:r>
        <w:r w:rsidR="00C75DB1">
          <w:rPr>
            <w:webHidden/>
          </w:rPr>
        </w:r>
        <w:r w:rsidR="00C75DB1">
          <w:rPr>
            <w:webHidden/>
          </w:rPr>
          <w:fldChar w:fldCharType="separate"/>
        </w:r>
        <w:r w:rsidR="00BB4F5F">
          <w:rPr>
            <w:webHidden/>
          </w:rPr>
          <w:t>51</w:t>
        </w:r>
        <w:r w:rsidR="00C75DB1">
          <w:rPr>
            <w:webHidden/>
          </w:rPr>
          <w:fldChar w:fldCharType="end"/>
        </w:r>
      </w:hyperlink>
    </w:p>
    <w:p w:rsidR="00C75DB1" w:rsidRDefault="005D380E">
      <w:pPr>
        <w:pStyle w:val="TOC2"/>
        <w:rPr>
          <w:rFonts w:asciiTheme="minorHAnsi" w:eastAsiaTheme="minorEastAsia" w:hAnsiTheme="minorHAnsi"/>
          <w:b w:val="0"/>
          <w:color w:val="auto"/>
          <w:sz w:val="22"/>
          <w:lang w:eastAsia="en-AU"/>
        </w:rPr>
      </w:pPr>
      <w:hyperlink w:anchor="_Toc433026824" w:history="1">
        <w:r w:rsidR="00C75DB1" w:rsidRPr="005F49F9">
          <w:rPr>
            <w:rStyle w:val="Hyperlink"/>
          </w:rPr>
          <w:t>3.2</w:t>
        </w:r>
        <w:r w:rsidR="00C75DB1">
          <w:rPr>
            <w:rFonts w:asciiTheme="minorHAnsi" w:eastAsiaTheme="minorEastAsia" w:hAnsiTheme="minorHAnsi"/>
            <w:b w:val="0"/>
            <w:color w:val="auto"/>
            <w:sz w:val="22"/>
            <w:lang w:eastAsia="en-AU"/>
          </w:rPr>
          <w:tab/>
        </w:r>
        <w:r w:rsidR="00C75DB1" w:rsidRPr="005F49F9">
          <w:rPr>
            <w:rStyle w:val="Hyperlink"/>
          </w:rPr>
          <w:t>National comparison</w:t>
        </w:r>
        <w:r w:rsidR="00C75DB1">
          <w:rPr>
            <w:webHidden/>
          </w:rPr>
          <w:tab/>
        </w:r>
        <w:r w:rsidR="00C75DB1">
          <w:rPr>
            <w:webHidden/>
          </w:rPr>
          <w:fldChar w:fldCharType="begin"/>
        </w:r>
        <w:r w:rsidR="00C75DB1">
          <w:rPr>
            <w:webHidden/>
          </w:rPr>
          <w:instrText xml:space="preserve"> PAGEREF _Toc433026824 \h </w:instrText>
        </w:r>
        <w:r w:rsidR="00C75DB1">
          <w:rPr>
            <w:webHidden/>
          </w:rPr>
        </w:r>
        <w:r w:rsidR="00C75DB1">
          <w:rPr>
            <w:webHidden/>
          </w:rPr>
          <w:fldChar w:fldCharType="separate"/>
        </w:r>
        <w:r w:rsidR="00BB4F5F">
          <w:rPr>
            <w:webHidden/>
          </w:rPr>
          <w:t>52</w:t>
        </w:r>
        <w:r w:rsidR="00C75DB1">
          <w:rPr>
            <w:webHidden/>
          </w:rPr>
          <w:fldChar w:fldCharType="end"/>
        </w:r>
      </w:hyperlink>
    </w:p>
    <w:p w:rsidR="00C75DB1" w:rsidRDefault="005D380E">
      <w:pPr>
        <w:pStyle w:val="TOC2"/>
        <w:rPr>
          <w:rFonts w:asciiTheme="minorHAnsi" w:eastAsiaTheme="minorEastAsia" w:hAnsiTheme="minorHAnsi"/>
          <w:b w:val="0"/>
          <w:color w:val="auto"/>
          <w:sz w:val="22"/>
          <w:lang w:eastAsia="en-AU"/>
        </w:rPr>
      </w:pPr>
      <w:hyperlink w:anchor="_Toc433026825" w:history="1">
        <w:r w:rsidR="00C75DB1" w:rsidRPr="005F49F9">
          <w:rPr>
            <w:rStyle w:val="Hyperlink"/>
          </w:rPr>
          <w:t>3.3</w:t>
        </w:r>
        <w:r w:rsidR="00C75DB1">
          <w:rPr>
            <w:rFonts w:asciiTheme="minorHAnsi" w:eastAsiaTheme="minorEastAsia" w:hAnsiTheme="minorHAnsi"/>
            <w:b w:val="0"/>
            <w:color w:val="auto"/>
            <w:sz w:val="22"/>
            <w:lang w:eastAsia="en-AU"/>
          </w:rPr>
          <w:tab/>
        </w:r>
        <w:r w:rsidR="00C75DB1" w:rsidRPr="005F49F9">
          <w:rPr>
            <w:rStyle w:val="Hyperlink"/>
          </w:rPr>
          <w:t>Queensland</w:t>
        </w:r>
        <w:r w:rsidR="00C75DB1">
          <w:rPr>
            <w:webHidden/>
          </w:rPr>
          <w:tab/>
        </w:r>
        <w:r w:rsidR="00C75DB1">
          <w:rPr>
            <w:webHidden/>
          </w:rPr>
          <w:fldChar w:fldCharType="begin"/>
        </w:r>
        <w:r w:rsidR="00C75DB1">
          <w:rPr>
            <w:webHidden/>
          </w:rPr>
          <w:instrText xml:space="preserve"> PAGEREF _Toc433026825 \h </w:instrText>
        </w:r>
        <w:r w:rsidR="00C75DB1">
          <w:rPr>
            <w:webHidden/>
          </w:rPr>
        </w:r>
        <w:r w:rsidR="00C75DB1">
          <w:rPr>
            <w:webHidden/>
          </w:rPr>
          <w:fldChar w:fldCharType="separate"/>
        </w:r>
        <w:r w:rsidR="00BB4F5F">
          <w:rPr>
            <w:webHidden/>
          </w:rPr>
          <w:t>54</w:t>
        </w:r>
        <w:r w:rsidR="00C75DB1">
          <w:rPr>
            <w:webHidden/>
          </w:rPr>
          <w:fldChar w:fldCharType="end"/>
        </w:r>
      </w:hyperlink>
    </w:p>
    <w:p w:rsidR="00C75DB1" w:rsidRDefault="005D380E">
      <w:pPr>
        <w:pStyle w:val="TOC2"/>
        <w:rPr>
          <w:rFonts w:asciiTheme="minorHAnsi" w:eastAsiaTheme="minorEastAsia" w:hAnsiTheme="minorHAnsi"/>
          <w:b w:val="0"/>
          <w:color w:val="auto"/>
          <w:sz w:val="22"/>
          <w:lang w:eastAsia="en-AU"/>
        </w:rPr>
      </w:pPr>
      <w:hyperlink w:anchor="_Toc433026829" w:history="1">
        <w:r w:rsidR="00C75DB1" w:rsidRPr="005F49F9">
          <w:rPr>
            <w:rStyle w:val="Hyperlink"/>
          </w:rPr>
          <w:t>3.4</w:t>
        </w:r>
        <w:r w:rsidR="00C75DB1">
          <w:rPr>
            <w:rFonts w:asciiTheme="minorHAnsi" w:eastAsiaTheme="minorEastAsia" w:hAnsiTheme="minorHAnsi"/>
            <w:b w:val="0"/>
            <w:color w:val="auto"/>
            <w:sz w:val="22"/>
            <w:lang w:eastAsia="en-AU"/>
          </w:rPr>
          <w:tab/>
        </w:r>
        <w:r w:rsidR="00C75DB1" w:rsidRPr="005F49F9">
          <w:rPr>
            <w:rStyle w:val="Hyperlink"/>
          </w:rPr>
          <w:t>New South Wales</w:t>
        </w:r>
        <w:r w:rsidR="00C75DB1">
          <w:rPr>
            <w:webHidden/>
          </w:rPr>
          <w:tab/>
        </w:r>
        <w:r w:rsidR="00C75DB1">
          <w:rPr>
            <w:webHidden/>
          </w:rPr>
          <w:fldChar w:fldCharType="begin"/>
        </w:r>
        <w:r w:rsidR="00C75DB1">
          <w:rPr>
            <w:webHidden/>
          </w:rPr>
          <w:instrText xml:space="preserve"> PAGEREF _Toc433026829 \h </w:instrText>
        </w:r>
        <w:r w:rsidR="00C75DB1">
          <w:rPr>
            <w:webHidden/>
          </w:rPr>
        </w:r>
        <w:r w:rsidR="00C75DB1">
          <w:rPr>
            <w:webHidden/>
          </w:rPr>
          <w:fldChar w:fldCharType="separate"/>
        </w:r>
        <w:r w:rsidR="00BB4F5F">
          <w:rPr>
            <w:webHidden/>
          </w:rPr>
          <w:t>59</w:t>
        </w:r>
        <w:r w:rsidR="00C75DB1">
          <w:rPr>
            <w:webHidden/>
          </w:rPr>
          <w:fldChar w:fldCharType="end"/>
        </w:r>
      </w:hyperlink>
    </w:p>
    <w:p w:rsidR="00C75DB1" w:rsidRDefault="005D380E">
      <w:pPr>
        <w:pStyle w:val="TOC2"/>
        <w:rPr>
          <w:rFonts w:asciiTheme="minorHAnsi" w:eastAsiaTheme="minorEastAsia" w:hAnsiTheme="minorHAnsi"/>
          <w:b w:val="0"/>
          <w:color w:val="auto"/>
          <w:sz w:val="22"/>
          <w:lang w:eastAsia="en-AU"/>
        </w:rPr>
      </w:pPr>
      <w:hyperlink w:anchor="_Toc433026833" w:history="1">
        <w:r w:rsidR="00C75DB1" w:rsidRPr="005F49F9">
          <w:rPr>
            <w:rStyle w:val="Hyperlink"/>
          </w:rPr>
          <w:t>3.5</w:t>
        </w:r>
        <w:r w:rsidR="00C75DB1">
          <w:rPr>
            <w:rFonts w:asciiTheme="minorHAnsi" w:eastAsiaTheme="minorEastAsia" w:hAnsiTheme="minorHAnsi"/>
            <w:b w:val="0"/>
            <w:color w:val="auto"/>
            <w:sz w:val="22"/>
            <w:lang w:eastAsia="en-AU"/>
          </w:rPr>
          <w:tab/>
        </w:r>
        <w:r w:rsidR="00C75DB1" w:rsidRPr="005F49F9">
          <w:rPr>
            <w:rStyle w:val="Hyperlink"/>
          </w:rPr>
          <w:t>Victoria</w:t>
        </w:r>
        <w:r w:rsidR="00C75DB1">
          <w:rPr>
            <w:webHidden/>
          </w:rPr>
          <w:tab/>
        </w:r>
        <w:r w:rsidR="00C75DB1">
          <w:rPr>
            <w:webHidden/>
          </w:rPr>
          <w:fldChar w:fldCharType="begin"/>
        </w:r>
        <w:r w:rsidR="00C75DB1">
          <w:rPr>
            <w:webHidden/>
          </w:rPr>
          <w:instrText xml:space="preserve"> PAGEREF _Toc433026833 \h </w:instrText>
        </w:r>
        <w:r w:rsidR="00C75DB1">
          <w:rPr>
            <w:webHidden/>
          </w:rPr>
        </w:r>
        <w:r w:rsidR="00C75DB1">
          <w:rPr>
            <w:webHidden/>
          </w:rPr>
          <w:fldChar w:fldCharType="separate"/>
        </w:r>
        <w:r w:rsidR="00BB4F5F">
          <w:rPr>
            <w:webHidden/>
          </w:rPr>
          <w:t>64</w:t>
        </w:r>
        <w:r w:rsidR="00C75DB1">
          <w:rPr>
            <w:webHidden/>
          </w:rPr>
          <w:fldChar w:fldCharType="end"/>
        </w:r>
      </w:hyperlink>
    </w:p>
    <w:p w:rsidR="00C75DB1" w:rsidRDefault="005D380E">
      <w:pPr>
        <w:pStyle w:val="TOC2"/>
        <w:rPr>
          <w:rFonts w:asciiTheme="minorHAnsi" w:eastAsiaTheme="minorEastAsia" w:hAnsiTheme="minorHAnsi"/>
          <w:b w:val="0"/>
          <w:color w:val="auto"/>
          <w:sz w:val="22"/>
          <w:lang w:eastAsia="en-AU"/>
        </w:rPr>
      </w:pPr>
      <w:hyperlink w:anchor="_Toc433026837" w:history="1">
        <w:r w:rsidR="00C75DB1" w:rsidRPr="005F49F9">
          <w:rPr>
            <w:rStyle w:val="Hyperlink"/>
          </w:rPr>
          <w:t>3.6</w:t>
        </w:r>
        <w:r w:rsidR="00C75DB1">
          <w:rPr>
            <w:rFonts w:asciiTheme="minorHAnsi" w:eastAsiaTheme="minorEastAsia" w:hAnsiTheme="minorHAnsi"/>
            <w:b w:val="0"/>
            <w:color w:val="auto"/>
            <w:sz w:val="22"/>
            <w:lang w:eastAsia="en-AU"/>
          </w:rPr>
          <w:tab/>
        </w:r>
        <w:r w:rsidR="00C75DB1" w:rsidRPr="005F49F9">
          <w:rPr>
            <w:rStyle w:val="Hyperlink"/>
          </w:rPr>
          <w:t>South Australia</w:t>
        </w:r>
        <w:r w:rsidR="00C75DB1">
          <w:rPr>
            <w:webHidden/>
          </w:rPr>
          <w:tab/>
        </w:r>
        <w:r w:rsidR="00C75DB1">
          <w:rPr>
            <w:webHidden/>
          </w:rPr>
          <w:fldChar w:fldCharType="begin"/>
        </w:r>
        <w:r w:rsidR="00C75DB1">
          <w:rPr>
            <w:webHidden/>
          </w:rPr>
          <w:instrText xml:space="preserve"> PAGEREF _Toc433026837 \h </w:instrText>
        </w:r>
        <w:r w:rsidR="00C75DB1">
          <w:rPr>
            <w:webHidden/>
          </w:rPr>
        </w:r>
        <w:r w:rsidR="00C75DB1">
          <w:rPr>
            <w:webHidden/>
          </w:rPr>
          <w:fldChar w:fldCharType="separate"/>
        </w:r>
        <w:r w:rsidR="00BB4F5F">
          <w:rPr>
            <w:webHidden/>
          </w:rPr>
          <w:t>69</w:t>
        </w:r>
        <w:r w:rsidR="00C75DB1">
          <w:rPr>
            <w:webHidden/>
          </w:rPr>
          <w:fldChar w:fldCharType="end"/>
        </w:r>
      </w:hyperlink>
    </w:p>
    <w:p w:rsidR="00C75DB1" w:rsidRDefault="005D380E">
      <w:pPr>
        <w:pStyle w:val="TOC2"/>
        <w:rPr>
          <w:rFonts w:asciiTheme="minorHAnsi" w:eastAsiaTheme="minorEastAsia" w:hAnsiTheme="minorHAnsi"/>
          <w:b w:val="0"/>
          <w:color w:val="auto"/>
          <w:sz w:val="22"/>
          <w:lang w:eastAsia="en-AU"/>
        </w:rPr>
      </w:pPr>
      <w:hyperlink w:anchor="_Toc433026841" w:history="1">
        <w:r w:rsidR="00C75DB1" w:rsidRPr="005F49F9">
          <w:rPr>
            <w:rStyle w:val="Hyperlink"/>
          </w:rPr>
          <w:t>3.7</w:t>
        </w:r>
        <w:r w:rsidR="00C75DB1">
          <w:rPr>
            <w:rFonts w:asciiTheme="minorHAnsi" w:eastAsiaTheme="minorEastAsia" w:hAnsiTheme="minorHAnsi"/>
            <w:b w:val="0"/>
            <w:color w:val="auto"/>
            <w:sz w:val="22"/>
            <w:lang w:eastAsia="en-AU"/>
          </w:rPr>
          <w:tab/>
        </w:r>
        <w:r w:rsidR="00C75DB1" w:rsidRPr="005F49F9">
          <w:rPr>
            <w:rStyle w:val="Hyperlink"/>
          </w:rPr>
          <w:t>Tasmania</w:t>
        </w:r>
        <w:r w:rsidR="00C75DB1">
          <w:rPr>
            <w:webHidden/>
          </w:rPr>
          <w:tab/>
        </w:r>
        <w:r w:rsidR="00C75DB1">
          <w:rPr>
            <w:webHidden/>
          </w:rPr>
          <w:fldChar w:fldCharType="begin"/>
        </w:r>
        <w:r w:rsidR="00C75DB1">
          <w:rPr>
            <w:webHidden/>
          </w:rPr>
          <w:instrText xml:space="preserve"> PAGEREF _Toc433026841 \h </w:instrText>
        </w:r>
        <w:r w:rsidR="00C75DB1">
          <w:rPr>
            <w:webHidden/>
          </w:rPr>
        </w:r>
        <w:r w:rsidR="00C75DB1">
          <w:rPr>
            <w:webHidden/>
          </w:rPr>
          <w:fldChar w:fldCharType="separate"/>
        </w:r>
        <w:r w:rsidR="00BB4F5F">
          <w:rPr>
            <w:webHidden/>
          </w:rPr>
          <w:t>74</w:t>
        </w:r>
        <w:r w:rsidR="00C75DB1">
          <w:rPr>
            <w:webHidden/>
          </w:rPr>
          <w:fldChar w:fldCharType="end"/>
        </w:r>
      </w:hyperlink>
    </w:p>
    <w:p w:rsidR="00C75DB1" w:rsidRPr="00E530C9" w:rsidRDefault="005D380E" w:rsidP="00E530C9">
      <w:pPr>
        <w:pStyle w:val="TOC2"/>
        <w:rPr>
          <w:rFonts w:asciiTheme="minorHAnsi" w:eastAsiaTheme="minorEastAsia" w:hAnsiTheme="minorHAnsi"/>
          <w:b w:val="0"/>
          <w:color w:val="auto"/>
          <w:sz w:val="22"/>
          <w:lang w:eastAsia="en-AU"/>
        </w:rPr>
      </w:pPr>
      <w:hyperlink w:anchor="_Toc433026844" w:history="1">
        <w:r w:rsidR="00C75DB1" w:rsidRPr="005F49F9">
          <w:rPr>
            <w:rStyle w:val="Hyperlink"/>
          </w:rPr>
          <w:t>3.8</w:t>
        </w:r>
        <w:r w:rsidR="00C75DB1">
          <w:rPr>
            <w:rFonts w:asciiTheme="minorHAnsi" w:eastAsiaTheme="minorEastAsia" w:hAnsiTheme="minorHAnsi"/>
            <w:b w:val="0"/>
            <w:color w:val="auto"/>
            <w:sz w:val="22"/>
            <w:lang w:eastAsia="en-AU"/>
          </w:rPr>
          <w:tab/>
        </w:r>
        <w:r w:rsidR="00C75DB1" w:rsidRPr="005F49F9">
          <w:rPr>
            <w:rStyle w:val="Hyperlink"/>
          </w:rPr>
          <w:t>ACT</w:t>
        </w:r>
        <w:r w:rsidR="00C75DB1">
          <w:rPr>
            <w:webHidden/>
          </w:rPr>
          <w:tab/>
        </w:r>
        <w:r w:rsidR="00C75DB1">
          <w:rPr>
            <w:webHidden/>
          </w:rPr>
          <w:fldChar w:fldCharType="begin"/>
        </w:r>
        <w:r w:rsidR="00C75DB1">
          <w:rPr>
            <w:webHidden/>
          </w:rPr>
          <w:instrText xml:space="preserve"> PAGEREF _Toc433026844 \h </w:instrText>
        </w:r>
        <w:r w:rsidR="00C75DB1">
          <w:rPr>
            <w:webHidden/>
          </w:rPr>
        </w:r>
        <w:r w:rsidR="00C75DB1">
          <w:rPr>
            <w:webHidden/>
          </w:rPr>
          <w:fldChar w:fldCharType="separate"/>
        </w:r>
        <w:r w:rsidR="00BB4F5F">
          <w:rPr>
            <w:webHidden/>
          </w:rPr>
          <w:t>76</w:t>
        </w:r>
        <w:r w:rsidR="00C75DB1">
          <w:rPr>
            <w:webHidden/>
          </w:rPr>
          <w:fldChar w:fldCharType="end"/>
        </w:r>
      </w:hyperlink>
    </w:p>
    <w:p w:rsidR="0020492C" w:rsidRPr="00E530C9" w:rsidRDefault="005D380E" w:rsidP="00E530C9">
      <w:pPr>
        <w:pStyle w:val="TOC1"/>
        <w:rPr>
          <w:rFonts w:asciiTheme="minorHAnsi" w:eastAsiaTheme="minorEastAsia" w:hAnsiTheme="minorHAnsi"/>
          <w:b w:val="0"/>
          <w:color w:val="auto"/>
          <w:sz w:val="22"/>
          <w:lang w:val="en-AU" w:eastAsia="en-AU"/>
        </w:rPr>
      </w:pPr>
      <w:hyperlink w:anchor="_Toc433026848" w:history="1">
        <w:r w:rsidR="00C75DB1" w:rsidRPr="005F49F9">
          <w:rPr>
            <w:rStyle w:val="Hyperlink"/>
          </w:rPr>
          <w:t>4</w:t>
        </w:r>
        <w:r w:rsidR="00C75DB1">
          <w:rPr>
            <w:rFonts w:asciiTheme="minorHAnsi" w:eastAsiaTheme="minorEastAsia" w:hAnsiTheme="minorHAnsi"/>
            <w:b w:val="0"/>
            <w:color w:val="auto"/>
            <w:sz w:val="22"/>
            <w:lang w:val="en-AU" w:eastAsia="en-AU"/>
          </w:rPr>
          <w:tab/>
        </w:r>
        <w:r w:rsidR="00C75DB1" w:rsidRPr="005F49F9">
          <w:rPr>
            <w:rStyle w:val="Hyperlink"/>
          </w:rPr>
          <w:t>Appendices</w:t>
        </w:r>
        <w:r w:rsidR="00C75DB1">
          <w:rPr>
            <w:webHidden/>
          </w:rPr>
          <w:tab/>
        </w:r>
        <w:r w:rsidR="00C75DB1">
          <w:rPr>
            <w:webHidden/>
          </w:rPr>
          <w:fldChar w:fldCharType="begin"/>
        </w:r>
        <w:r w:rsidR="00C75DB1">
          <w:rPr>
            <w:webHidden/>
          </w:rPr>
          <w:instrText xml:space="preserve"> PAGEREF _Toc433026848 \h </w:instrText>
        </w:r>
        <w:r w:rsidR="00C75DB1">
          <w:rPr>
            <w:webHidden/>
          </w:rPr>
        </w:r>
        <w:r w:rsidR="00C75DB1">
          <w:rPr>
            <w:webHidden/>
          </w:rPr>
          <w:fldChar w:fldCharType="separate"/>
        </w:r>
        <w:r w:rsidR="00BB4F5F">
          <w:rPr>
            <w:webHidden/>
          </w:rPr>
          <w:t>81</w:t>
        </w:r>
        <w:r w:rsidR="00C75DB1">
          <w:rPr>
            <w:webHidden/>
          </w:rPr>
          <w:fldChar w:fldCharType="end"/>
        </w:r>
      </w:hyperlink>
      <w:r w:rsidR="00A75077">
        <w:fldChar w:fldCharType="end"/>
      </w:r>
      <w:r w:rsidR="0020492C">
        <w:tab/>
      </w:r>
    </w:p>
    <w:p w:rsidR="0020492C" w:rsidRDefault="0020492C" w:rsidP="0020492C">
      <w:bookmarkStart w:id="0" w:name="_Toc213047617"/>
    </w:p>
    <w:p w:rsidR="00164030" w:rsidRDefault="00164030" w:rsidP="00164030">
      <w:pPr>
        <w:pStyle w:val="Heading1"/>
        <w:numPr>
          <w:ilvl w:val="0"/>
          <w:numId w:val="0"/>
        </w:numPr>
        <w:ind w:left="680" w:hanging="680"/>
      </w:pPr>
      <w:bookmarkStart w:id="1" w:name="_Toc433026799"/>
      <w:r>
        <w:lastRenderedPageBreak/>
        <w:t>About this report</w:t>
      </w:r>
      <w:bookmarkEnd w:id="1"/>
      <w:r>
        <w:t xml:space="preserve"> </w:t>
      </w:r>
    </w:p>
    <w:p w:rsidR="00164030" w:rsidRPr="00164030" w:rsidRDefault="00164030" w:rsidP="00164030">
      <w:r>
        <w:t>The Australian Energy Regulator (AER) is responsible for reporting on energy retailers’ performance under the National Energy Retail Law (Retail Law).</w:t>
      </w:r>
      <w:r w:rsidRPr="00164030">
        <w:rPr>
          <w:rStyle w:val="FootnoteReference"/>
        </w:rPr>
        <w:footnoteReference w:id="2"/>
      </w:r>
      <w:r w:rsidRPr="00164030">
        <w:t xml:space="preserve">  Performance reporting enhances transparency and accountability, and provides incentives for businesses to improve performance. It helps identify emerging issues requiring a compliance or enforcement response, and brings transparency and integrity to the market.</w:t>
      </w:r>
    </w:p>
    <w:p w:rsidR="00164030" w:rsidRDefault="00164030" w:rsidP="00164030">
      <w:r>
        <w:t>This is our third annual retail market performance report and it covers:</w:t>
      </w:r>
    </w:p>
    <w:p w:rsidR="00164030" w:rsidRDefault="00164030" w:rsidP="00164030">
      <w:pPr>
        <w:pStyle w:val="ListBullet"/>
      </w:pPr>
      <w:r>
        <w:t>an overview of the retail market</w:t>
      </w:r>
    </w:p>
    <w:p w:rsidR="00164030" w:rsidRDefault="00164030" w:rsidP="00164030">
      <w:pPr>
        <w:pStyle w:val="ListBullet"/>
      </w:pPr>
      <w:r>
        <w:t>customer service and complaints</w:t>
      </w:r>
    </w:p>
    <w:p w:rsidR="00164030" w:rsidRPr="00164030" w:rsidRDefault="00876A9F" w:rsidP="00164030">
      <w:pPr>
        <w:pStyle w:val="ListBullet"/>
      </w:pPr>
      <w:r>
        <w:t>assistance provided to</w:t>
      </w:r>
      <w:r w:rsidR="00164030">
        <w:t xml:space="preserve"> customers experiencing payment difficulties</w:t>
      </w:r>
      <w:r w:rsidR="00164030" w:rsidRPr="00164030">
        <w:t>, including hardship programs</w:t>
      </w:r>
    </w:p>
    <w:p w:rsidR="00164030" w:rsidRDefault="00164030" w:rsidP="00164030">
      <w:pPr>
        <w:pStyle w:val="ListBullet"/>
      </w:pPr>
      <w:r>
        <w:t>disconnections and reconnections</w:t>
      </w:r>
    </w:p>
    <w:p w:rsidR="00164030" w:rsidRDefault="00164030" w:rsidP="00164030">
      <w:pPr>
        <w:pStyle w:val="ListBullet"/>
      </w:pPr>
      <w:r>
        <w:t>energy affordability</w:t>
      </w:r>
    </w:p>
    <w:p w:rsidR="00164030" w:rsidRDefault="00164030" w:rsidP="00164030">
      <w:pPr>
        <w:pStyle w:val="ListBullet"/>
      </w:pPr>
      <w:r>
        <w:t>distribution businesses’ performance against network service standards.</w:t>
      </w:r>
    </w:p>
    <w:p w:rsidR="00164030" w:rsidRPr="00164030" w:rsidRDefault="00164030" w:rsidP="00164030">
      <w:r>
        <w:t xml:space="preserve">Energy is an essential service, necessary for a reasonable standard of living. Energy is also a </w:t>
      </w:r>
      <w:r w:rsidRPr="00164030">
        <w:t>big expense for many households. Monitoring and reporting on how energy retailers assist customers experiencing payment difficulties, together with our annual analysis of energy bills for low income households make an important contribution to the national conversation on issues of energy affordability.</w:t>
      </w:r>
    </w:p>
    <w:p w:rsidR="00164030" w:rsidRPr="00164030" w:rsidRDefault="00164030" w:rsidP="00164030">
      <w:r>
        <w:t>This report is structured as follows:</w:t>
      </w:r>
    </w:p>
    <w:p w:rsidR="00164030" w:rsidRPr="00164030" w:rsidRDefault="004A3AF6" w:rsidP="00164030">
      <w:pPr>
        <w:pStyle w:val="ListParagraph"/>
      </w:pPr>
      <w:r>
        <w:t>Retail market overview</w:t>
      </w:r>
      <w:r w:rsidR="00164030" w:rsidRPr="00164030">
        <w:t>: this chapter looks at retailers’ shares in small and large customer markets, the number of customers on standard and market retail contracts in each jurisdiction</w:t>
      </w:r>
      <w:r w:rsidR="00BE7B6F">
        <w:t xml:space="preserve"> that has applied the Retail Law </w:t>
      </w:r>
      <w:r w:rsidR="002E6A40">
        <w:rPr>
          <w:rStyle w:val="FootnoteReference"/>
        </w:rPr>
        <w:footnoteReference w:id="3"/>
      </w:r>
      <w:r w:rsidR="00164030" w:rsidRPr="00164030">
        <w:t xml:space="preserve"> and switching rates in all National Electricity Market (NEM) jurisdictions (Chapter 1). </w:t>
      </w:r>
    </w:p>
    <w:p w:rsidR="00164030" w:rsidRPr="00164030" w:rsidRDefault="00164030" w:rsidP="00164030">
      <w:pPr>
        <w:pStyle w:val="ListParagraph"/>
      </w:pPr>
      <w:r w:rsidRPr="00164030">
        <w:t xml:space="preserve">Energy retailer performance: this chapter discusses key performance indicators of energy retailers with small customers in jurisdictions </w:t>
      </w:r>
      <w:r w:rsidR="00475A0D">
        <w:t>that have applied</w:t>
      </w:r>
      <w:r w:rsidR="00475A0D" w:rsidRPr="00164030">
        <w:t xml:space="preserve"> </w:t>
      </w:r>
      <w:r w:rsidRPr="00164030">
        <w:t>the Retail Law</w:t>
      </w:r>
      <w:r w:rsidR="00475A0D">
        <w:t>.</w:t>
      </w:r>
      <w:r w:rsidRPr="00164030">
        <w:t xml:space="preserve"> Indicators include customer service levels, the assistance given to customers experiencing payment difficulties (for example payment plans and hardship programs) and the number of customers disconnected for non-payment (Chapter 2). </w:t>
      </w:r>
    </w:p>
    <w:p w:rsidR="00164030" w:rsidRPr="00164030" w:rsidRDefault="00164030" w:rsidP="00164030">
      <w:pPr>
        <w:pStyle w:val="ListParagraph"/>
      </w:pPr>
      <w:r w:rsidRPr="00164030">
        <w:t xml:space="preserve">Energy affordability: this chapter considers how much households in NEM jurisdictions </w:t>
      </w:r>
      <w:r w:rsidR="00387165">
        <w:t xml:space="preserve">spent </w:t>
      </w:r>
      <w:r w:rsidRPr="00164030">
        <w:t xml:space="preserve">on electricity and gas in 2014-15, annual bills as a proportion of household disposable income, and whether </w:t>
      </w:r>
      <w:r w:rsidR="00876A9F">
        <w:t>energy</w:t>
      </w:r>
      <w:r w:rsidRPr="00164030">
        <w:t xml:space="preserve"> has become more or less affordable compared with the last two years (Chapter 3). </w:t>
      </w:r>
    </w:p>
    <w:p w:rsidR="00164030" w:rsidRDefault="00164030" w:rsidP="00164030">
      <w:r>
        <w:lastRenderedPageBreak/>
        <w:t xml:space="preserve">We are also required to report on: </w:t>
      </w:r>
    </w:p>
    <w:p w:rsidR="00164030" w:rsidRPr="00164030" w:rsidRDefault="00164030" w:rsidP="00164030">
      <w:pPr>
        <w:pStyle w:val="ListParagraph"/>
      </w:pPr>
      <w:r>
        <w:t xml:space="preserve">South Australian retailers’ performance against jurisdictional service standards </w:t>
      </w:r>
      <w:r w:rsidRPr="00164030">
        <w:t xml:space="preserve">(Appendix 2), and </w:t>
      </w:r>
    </w:p>
    <w:p w:rsidR="00164030" w:rsidRPr="00164030" w:rsidRDefault="00164030" w:rsidP="00164030">
      <w:pPr>
        <w:pStyle w:val="ListParagraph"/>
      </w:pPr>
      <w:r w:rsidRPr="00A87E8A">
        <w:t>Distribution network service providers’ performance against certain service standards and Guaranteed Service Level schemes</w:t>
      </w:r>
      <w:r w:rsidR="00387165">
        <w:rPr>
          <w:rStyle w:val="FootnoteReference"/>
        </w:rPr>
        <w:footnoteReference w:id="4"/>
      </w:r>
      <w:r w:rsidRPr="00A87E8A">
        <w:t xml:space="preserve"> (Appendix 3).     </w:t>
      </w:r>
    </w:p>
    <w:p w:rsidR="00164030" w:rsidRDefault="00164030">
      <w:pPr>
        <w:spacing w:line="240" w:lineRule="auto"/>
      </w:pPr>
      <w:r>
        <w:br w:type="page"/>
      </w:r>
      <w:r w:rsidR="005D380E" w:rsidRPr="005D380E">
        <w:lastRenderedPageBreak/>
        <w:drawing>
          <wp:inline distT="0" distB="0" distL="0" distR="0" wp14:anchorId="274B56C0" wp14:editId="104BDD4B">
            <wp:extent cx="5619115" cy="8229600"/>
            <wp:effectExtent l="0" t="0" r="635" b="0"/>
            <wp:docPr id="8" name="Picture 8" descr="Market overview:&#10;- 17 electricity retailers to choose from in NSW, 14 to choose from in South Australia&#10;- 7 gas retailers to choose from in NSW, 5 to choose from in South Australia&#10;- The 'Big 3' retailers supply 91% of households with electricity and 97% of households with gas in NSW&#10;- The 'Big 3' retailers supply 77% of households with electricity and 88% of households with gas in South Australia&#10;- Around 1,000,000 electricity customers and 300,000 gas customers remain on a standard retail contract in NSW&#10;- Aurora Energy supplies 100% of households in Tasmania&#10;- ActewAGL supplies over 95% of households in the ACT&#10;&#10;Debt, hardship and disconnections:&#10;- 3.9% of households owe an electricity debt and 4.5% of households owe a gas debt to their energy retailer&#10;- 22% of electricity customers with debt and 11% of gas customers with debt are on hardship programs&#10;&#10;Households disconnected for non-payment:&#10;31,979 electricity and 7,555 in NSW&#10;10,179 electricity and 4,575 gas in South Australia&#10;345 electricity and 1,404 gas in the ACT&#10;1,046 electricity in Tasmania" title="Retail Energy Markets in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9115" cy="8229600"/>
                    </a:xfrm>
                    <a:prstGeom prst="rect">
                      <a:avLst/>
                    </a:prstGeom>
                  </pic:spPr>
                </pic:pic>
              </a:graphicData>
            </a:graphic>
          </wp:inline>
        </w:drawing>
      </w:r>
    </w:p>
    <w:p w:rsidR="00164030" w:rsidRDefault="00164030">
      <w:pPr>
        <w:spacing w:line="240" w:lineRule="auto"/>
      </w:pPr>
      <w:r>
        <w:br w:type="page"/>
      </w:r>
    </w:p>
    <w:p w:rsidR="00164030" w:rsidRDefault="00164030" w:rsidP="00164030">
      <w:pPr>
        <w:pStyle w:val="Heading1"/>
        <w:numPr>
          <w:ilvl w:val="0"/>
          <w:numId w:val="0"/>
        </w:numPr>
        <w:ind w:left="680" w:hanging="680"/>
      </w:pPr>
      <w:bookmarkStart w:id="2" w:name="_Toc433026800"/>
      <w:r>
        <w:lastRenderedPageBreak/>
        <w:t>Key findin</w:t>
      </w:r>
      <w:bookmarkStart w:id="3" w:name="_GoBack"/>
      <w:bookmarkEnd w:id="3"/>
      <w:r>
        <w:t>gs in 2014-15</w:t>
      </w:r>
      <w:bookmarkEnd w:id="2"/>
    </w:p>
    <w:p w:rsidR="00164030" w:rsidRPr="00164030" w:rsidRDefault="00164030" w:rsidP="00164030">
      <w:pPr>
        <w:rPr>
          <w:rStyle w:val="Strong"/>
        </w:rPr>
      </w:pPr>
      <w:r w:rsidRPr="00164030">
        <w:rPr>
          <w:rStyle w:val="Strong"/>
        </w:rPr>
        <w:t>Customer engagement with the market</w:t>
      </w:r>
    </w:p>
    <w:p w:rsidR="00164030" w:rsidRPr="00164030" w:rsidRDefault="00164030" w:rsidP="00164030">
      <w:pPr>
        <w:rPr>
          <w:rStyle w:val="Emphasis"/>
        </w:rPr>
      </w:pPr>
      <w:r w:rsidRPr="00164030">
        <w:rPr>
          <w:rStyle w:val="Emphasis"/>
        </w:rPr>
        <w:t xml:space="preserve">Choice in energy markets provides consumers with more opportunities, and greater incentives, to be actively engaged in finding an energy offer to meet their needs. </w:t>
      </w:r>
    </w:p>
    <w:p w:rsidR="00164030" w:rsidRPr="00164030" w:rsidRDefault="00164030" w:rsidP="00164030">
      <w:r>
        <w:t>Despite the relatively large number of</w:t>
      </w:r>
      <w:r w:rsidRPr="00164030">
        <w:t xml:space="preserve"> electricity retailers in New South Wales (21) and South Australia (17), both markets are still heavily concentrated with the </w:t>
      </w:r>
      <w:r w:rsidR="00A63F7A">
        <w:t>'</w:t>
      </w:r>
      <w:r w:rsidRPr="00164030">
        <w:t>big three</w:t>
      </w:r>
      <w:r w:rsidR="00A63F7A">
        <w:t>'</w:t>
      </w:r>
      <w:r w:rsidRPr="00164030">
        <w:t xml:space="preserve"> retailers </w:t>
      </w:r>
      <w:r w:rsidR="00044CF3">
        <w:t xml:space="preserve">(AGL, EnergyAustralia and Origin Energy) </w:t>
      </w:r>
      <w:r w:rsidRPr="00164030">
        <w:t xml:space="preserve">supplying a significant majority of customers (90 per cent and 76 per cent respectively). The smaller markets are even more concentrated: ActewAGL supplies over 95 </w:t>
      </w:r>
      <w:r w:rsidR="00A93603">
        <w:t xml:space="preserve">per cent of </w:t>
      </w:r>
      <w:r w:rsidRPr="00164030">
        <w:t>ACT households</w:t>
      </w:r>
      <w:r w:rsidR="00396B49">
        <w:t xml:space="preserve">. </w:t>
      </w:r>
      <w:r w:rsidRPr="00164030">
        <w:t xml:space="preserve"> Tasmanian households are still waiting for a new entrant to compete with monopolist Aurora to provide choice. While the market for gas is smaller in each of these jurisdictions, the big three still dominate the South Australian and New South Wales gas markets, as does ActewAGL in the ACT. </w:t>
      </w:r>
    </w:p>
    <w:p w:rsidR="00164030" w:rsidRPr="00164030" w:rsidRDefault="00164030" w:rsidP="00164030">
      <w:r w:rsidRPr="00D17E75">
        <w:t xml:space="preserve">The declining rate of customer switching suggests that energy retailers may be shifting their focus away from customer acquisition </w:t>
      </w:r>
      <w:r w:rsidR="00822F95" w:rsidRPr="00D17E75">
        <w:t xml:space="preserve">and </w:t>
      </w:r>
      <w:r w:rsidR="00822F95">
        <w:t>towards</w:t>
      </w:r>
      <w:r w:rsidRPr="00D17E75">
        <w:t xml:space="preserve"> customer retention</w:t>
      </w:r>
      <w:r w:rsidRPr="00164030">
        <w:t xml:space="preserve">. </w:t>
      </w:r>
      <w:r>
        <w:t xml:space="preserve">It is encouraging to see an increasing proportion of </w:t>
      </w:r>
      <w:r w:rsidRPr="00164030">
        <w:t xml:space="preserve">customers have moved off standing (or regulated) offers to market retail contracts, which are typically </w:t>
      </w:r>
      <w:r w:rsidR="00751791">
        <w:t>lower priced</w:t>
      </w:r>
      <w:r w:rsidRPr="00164030">
        <w:t>. In South Australia, 84 per cent of electricity customers and 83 per cent of gas customers are on market retail contracts. It is slightly lower in New South Wales at 69 per cent and 76 per cent respectively. In the ACT and Tasmania, the significant majority of consumers remain on standing offers, although we will look to next year to see the impact of new retailers entering the ACT market, and possibly Tasmania.</w:t>
      </w:r>
    </w:p>
    <w:p w:rsidR="00164030" w:rsidRPr="00164030" w:rsidRDefault="00164030" w:rsidP="00164030">
      <w:r>
        <w:t xml:space="preserve">Complaints to energy retailers increased in 2014-15, with billing (which includes pricing) the leading cause for concern. In what could be seen as a sign of improved complaint management by retailers, however, energy ombudsman schemes received </w:t>
      </w:r>
      <w:r w:rsidR="004A3AF6">
        <w:t xml:space="preserve">generally </w:t>
      </w:r>
      <w:r>
        <w:t xml:space="preserve">fewer complaints in 2014-15 compared with 2013-14. </w:t>
      </w:r>
    </w:p>
    <w:p w:rsidR="00164030" w:rsidRPr="00164030" w:rsidRDefault="00164030" w:rsidP="00164030">
      <w:pPr>
        <w:rPr>
          <w:rStyle w:val="Strong"/>
        </w:rPr>
      </w:pPr>
      <w:r w:rsidRPr="00164030">
        <w:rPr>
          <w:rStyle w:val="Strong"/>
        </w:rPr>
        <w:t xml:space="preserve">Energy debt and payment difficulties </w:t>
      </w:r>
    </w:p>
    <w:p w:rsidR="00164030" w:rsidRPr="00164030" w:rsidRDefault="00164030" w:rsidP="00164030">
      <w:r w:rsidRPr="00164030">
        <w:rPr>
          <w:rStyle w:val="Emphasis"/>
        </w:rPr>
        <w:t>The Retail Law provides protections for customers experiencing payment difficulties and it is important that retailers and customers share responsibility for identifying and managing payment difficulties as early as possible</w:t>
      </w:r>
      <w:r w:rsidRPr="00164030">
        <w:t>.</w:t>
      </w:r>
      <w:r w:rsidR="00751791">
        <w:t xml:space="preserve"> </w:t>
      </w:r>
    </w:p>
    <w:p w:rsidR="000C35C1" w:rsidRPr="000C35C1" w:rsidRDefault="000C35C1" w:rsidP="000C35C1">
      <w:r w:rsidRPr="000C35C1">
        <w:t>The proportion of residential and small business customers who were repaying an electricity debt fell between 2014 and 2015 in South Australia, New South Wales, the ACT and Tasmania. However, South Australia has a higher proportion of customers with debt than the other jurisdictions.</w:t>
      </w:r>
    </w:p>
    <w:p w:rsidR="000C35C1" w:rsidRPr="000C35C1" w:rsidRDefault="000C35C1" w:rsidP="000C35C1">
      <w:r w:rsidRPr="000C35C1">
        <w:t>The proportion of residential and small business customers who were repaying a gas debt fell between 2014 and 2015 in South Australia and New S</w:t>
      </w:r>
      <w:r w:rsidR="009B226F">
        <w:t xml:space="preserve">outh Wales but rose in the ACT. </w:t>
      </w:r>
      <w:r w:rsidRPr="000C35C1">
        <w:t>The ACT also had the highest proportion of customers with a gas debt.</w:t>
      </w:r>
    </w:p>
    <w:p w:rsidR="000C35C1" w:rsidRPr="000C35C1" w:rsidRDefault="00A06712" w:rsidP="000C35C1">
      <w:r>
        <w:t xml:space="preserve">By subtracting the number of customers on a hardship program from the total number of customers with debt, we find customers that may be on a payment plan or receiving no retailer assistance. </w:t>
      </w:r>
      <w:r w:rsidR="006E121D">
        <w:t xml:space="preserve">Despite </w:t>
      </w:r>
      <w:r>
        <w:t>hav</w:t>
      </w:r>
      <w:r w:rsidR="006E121D">
        <w:t>ing</w:t>
      </w:r>
      <w:r>
        <w:t xml:space="preserve"> lower debts, </w:t>
      </w:r>
      <w:r w:rsidR="006E121D">
        <w:t xml:space="preserve">these customers are still </w:t>
      </w:r>
      <w:r>
        <w:t xml:space="preserve">in financial difficulty </w:t>
      </w:r>
      <w:r w:rsidR="006E121D">
        <w:lastRenderedPageBreak/>
        <w:t xml:space="preserve">and need </w:t>
      </w:r>
      <w:r>
        <w:t xml:space="preserve">the right type of assistance. We found that </w:t>
      </w:r>
      <w:r w:rsidR="000C35C1" w:rsidRPr="000C35C1">
        <w:t xml:space="preserve">the proportion of residential customers with an </w:t>
      </w:r>
      <w:r w:rsidR="009B226F">
        <w:t>electricity debt (</w:t>
      </w:r>
      <w:r w:rsidR="000C35C1" w:rsidRPr="000C35C1">
        <w:t>but who were not on a hardship program) fell between 2</w:t>
      </w:r>
      <w:r w:rsidR="009B226F">
        <w:t xml:space="preserve">014 and 2015. </w:t>
      </w:r>
      <w:r w:rsidR="000C35C1" w:rsidRPr="000C35C1">
        <w:t>South Australia had the highest proporti</w:t>
      </w:r>
      <w:r w:rsidR="009B226F">
        <w:t>on of these customers at over 4 per cent, compared to around 2.7 per cent</w:t>
      </w:r>
      <w:r w:rsidR="000C35C1" w:rsidRPr="000C35C1">
        <w:t xml:space="preserve"> i</w:t>
      </w:r>
      <w:r w:rsidR="009B226F">
        <w:t xml:space="preserve">n New South Wales and the ACT. </w:t>
      </w:r>
      <w:r w:rsidR="000C35C1" w:rsidRPr="000C35C1">
        <w:t>Average debts were also higher in South Australia. Tasmania had the lowest proportion of customers with an ele</w:t>
      </w:r>
      <w:r w:rsidR="009B226F">
        <w:t>ctricity debt (2 per cent</w:t>
      </w:r>
      <w:r w:rsidR="000C35C1" w:rsidRPr="000C35C1">
        <w:t>, after allowing for the number on hardship programs).</w:t>
      </w:r>
      <w:r w:rsidR="009B226F">
        <w:t xml:space="preserve"> This number has decreased from around 3 per cent in the last two years. </w:t>
      </w:r>
    </w:p>
    <w:p w:rsidR="000C35C1" w:rsidRPr="000C35C1" w:rsidRDefault="000C35C1" w:rsidP="000C35C1">
      <w:r w:rsidRPr="000C35C1">
        <w:t>The proportion of resident</w:t>
      </w:r>
      <w:r w:rsidR="009B226F">
        <w:t>ial customers with a gas debt (but not on a hardship program</w:t>
      </w:r>
      <w:r w:rsidRPr="000C35C1">
        <w:t>) fell to 3% in South Australia and 4% in New South Wales between 2014 and 2015, but increased to around 7</w:t>
      </w:r>
      <w:r>
        <w:t>% in the ACT.</w:t>
      </w:r>
    </w:p>
    <w:p w:rsidR="00164030" w:rsidRPr="00164030" w:rsidRDefault="00164030" w:rsidP="00164030">
      <w:pPr>
        <w:rPr>
          <w:rStyle w:val="Strong"/>
        </w:rPr>
      </w:pPr>
      <w:r w:rsidRPr="00164030">
        <w:rPr>
          <w:rStyle w:val="Strong"/>
        </w:rPr>
        <w:t>Managing payment difficulties through payment plans and hardship programs</w:t>
      </w:r>
    </w:p>
    <w:p w:rsidR="00164030" w:rsidRPr="00164030" w:rsidRDefault="00164030" w:rsidP="00D94878">
      <w:pPr>
        <w:rPr>
          <w:rStyle w:val="Emphasis"/>
        </w:rPr>
      </w:pPr>
      <w:r w:rsidRPr="00164030">
        <w:rPr>
          <w:rStyle w:val="Emphasis"/>
        </w:rPr>
        <w:t xml:space="preserve">Customers who are experiencing payment difficulties must be able to access timely and appropriate assistance. Retailers must offer different levels of assistance, including a payment plan or hardship program, depending on the severity of the customer’s payment difficulties. </w:t>
      </w:r>
    </w:p>
    <w:p w:rsidR="0056517D" w:rsidRDefault="0056517D" w:rsidP="00D94878">
      <w:r>
        <w:t>Payment plans are typically the first line of assistance offered to customers that are showing signs of payment difficulties</w:t>
      </w:r>
      <w:r w:rsidR="00A06712">
        <w:t xml:space="preserve">, and are often </w:t>
      </w:r>
      <w:r w:rsidR="00E71B70">
        <w:t>enough</w:t>
      </w:r>
      <w:r w:rsidR="00A06712">
        <w:t xml:space="preserve"> to help customers repay their energy debt</w:t>
      </w:r>
      <w:r>
        <w:t xml:space="preserve">. In 2014-15, we observed a small decrease in the number of </w:t>
      </w:r>
      <w:r w:rsidR="000A4932">
        <w:t xml:space="preserve">South Australian and Tasmanian </w:t>
      </w:r>
      <w:r>
        <w:t>customers being assisted through a payment plan</w:t>
      </w:r>
      <w:r w:rsidR="00607EDC">
        <w:t>. This may be due to the decrease in the number of customers with an energy debt.</w:t>
      </w:r>
      <w:r w:rsidR="000A4932">
        <w:t xml:space="preserve"> There was an increase in 2014-15 in the number of households in New South Wales and the ACT on payment plans.</w:t>
      </w:r>
    </w:p>
    <w:p w:rsidR="00164030" w:rsidRPr="00164030" w:rsidRDefault="00607EDC" w:rsidP="00D94878">
      <w:r>
        <w:t xml:space="preserve">In addition, the number of customers with an energy debt who entered a hardship program also increased. </w:t>
      </w:r>
      <w:r w:rsidR="00A8443D">
        <w:t xml:space="preserve"> In South Australia, the number of electricity and gas customers on hardship programs increased by around 2,500 (30 per cent) and 1,200 (43 per cent) respectively. South Australia</w:t>
      </w:r>
      <w:r w:rsidR="00164030" w:rsidRPr="00164030">
        <w:t xml:space="preserve"> ha</w:t>
      </w:r>
      <w:r w:rsidR="00E71B70">
        <w:t>d</w:t>
      </w:r>
      <w:r w:rsidR="00164030" w:rsidRPr="00164030">
        <w:t xml:space="preserve"> the highest proportion of customers on a hardship program (at 1.5 per cent for electricity and 1 per cent for gas). The </w:t>
      </w:r>
      <w:r w:rsidR="00751AA4">
        <w:t>number</w:t>
      </w:r>
      <w:r w:rsidR="00751AA4" w:rsidRPr="00164030">
        <w:t xml:space="preserve"> </w:t>
      </w:r>
      <w:r w:rsidR="00164030" w:rsidRPr="00164030">
        <w:t xml:space="preserve">of hardship customers in New South Wales </w:t>
      </w:r>
      <w:r w:rsidR="00E71B70">
        <w:t xml:space="preserve">was </w:t>
      </w:r>
      <w:r w:rsidR="00751AA4">
        <w:t xml:space="preserve">lower, but </w:t>
      </w:r>
      <w:r w:rsidR="00E71B70">
        <w:t>rose</w:t>
      </w:r>
      <w:r w:rsidR="00164030" w:rsidRPr="00164030">
        <w:t xml:space="preserve"> slightly in 2014-15, </w:t>
      </w:r>
      <w:r w:rsidR="00751AA4">
        <w:t xml:space="preserve">to </w:t>
      </w:r>
      <w:r w:rsidR="00164030" w:rsidRPr="00164030">
        <w:t xml:space="preserve">0.74 per cent </w:t>
      </w:r>
      <w:r w:rsidR="00751AA4">
        <w:t>of electricity customers and 0.36 per cent of gas customers.</w:t>
      </w:r>
      <w:r w:rsidR="00751AA4" w:rsidRPr="00164030">
        <w:t xml:space="preserve"> </w:t>
      </w:r>
      <w:r w:rsidR="004A3AF6">
        <w:t xml:space="preserve">The number of customers on hardship programs in Tasmania increased by </w:t>
      </w:r>
      <w:r w:rsidR="00693226">
        <w:t>around 700 (</w:t>
      </w:r>
      <w:r w:rsidR="004A3AF6">
        <w:t>65 per cent</w:t>
      </w:r>
      <w:r w:rsidR="00693226">
        <w:t>),</w:t>
      </w:r>
      <w:r w:rsidR="00751AA4">
        <w:t xml:space="preserve"> to 0.7 per cent of customers</w:t>
      </w:r>
      <w:r w:rsidR="00556A9C">
        <w:t>,</w:t>
      </w:r>
      <w:r w:rsidR="004A3AF6">
        <w:t xml:space="preserve"> but </w:t>
      </w:r>
      <w:r w:rsidR="00751AA4">
        <w:t xml:space="preserve">remained </w:t>
      </w:r>
      <w:r w:rsidR="004A3AF6">
        <w:t>steady in the ACT.</w:t>
      </w:r>
      <w:r w:rsidR="00396B49">
        <w:t xml:space="preserve"> </w:t>
      </w:r>
    </w:p>
    <w:p w:rsidR="0056517D" w:rsidRDefault="00607EDC" w:rsidP="00D94878">
      <w:r>
        <w:t xml:space="preserve">The increase in the number of customers on a hardship program suggests that retailers are now willing to offer this high level of assistance </w:t>
      </w:r>
      <w:r w:rsidR="00A06712">
        <w:t>earlier and also that customers are seeking assistance from their retailer</w:t>
      </w:r>
      <w:r w:rsidR="00C41B7F">
        <w:t>s</w:t>
      </w:r>
      <w:r w:rsidR="00A06712">
        <w:t xml:space="preserve"> when they need it. We expect retailers to offer, and customers to ask for, assistance as soon payment difficulties are identified</w:t>
      </w:r>
      <w:r>
        <w:t xml:space="preserve">. </w:t>
      </w:r>
    </w:p>
    <w:p w:rsidR="00164030" w:rsidRPr="00164030" w:rsidRDefault="00164030" w:rsidP="00D94878">
      <w:r w:rsidRPr="006A4EC9">
        <w:t>Debt on entry</w:t>
      </w:r>
      <w:r w:rsidRPr="00164030">
        <w:t xml:space="preserve"> to a hardship program is therefore an important indicator of how readily a retailer identifies, and moves to assist, a customer experiencing severe payment difficulties. </w:t>
      </w:r>
      <w:r w:rsidR="003F6607">
        <w:t>Many retailers continue to report a significant number of customers entering hardship programs with high levels of debt. A</w:t>
      </w:r>
      <w:r w:rsidR="003B70B6">
        <w:t>GL and Origin Energy reported that a</w:t>
      </w:r>
      <w:r w:rsidR="003F6607">
        <w:t xml:space="preserve">lmost 20 per cent of </w:t>
      </w:r>
      <w:r w:rsidR="003B70B6">
        <w:t xml:space="preserve">customers </w:t>
      </w:r>
      <w:r w:rsidR="00A8443D">
        <w:t xml:space="preserve">that </w:t>
      </w:r>
      <w:r w:rsidR="003B70B6">
        <w:t xml:space="preserve">entered </w:t>
      </w:r>
      <w:r w:rsidR="00E71B70">
        <w:t xml:space="preserve">their </w:t>
      </w:r>
      <w:r w:rsidR="003B70B6">
        <w:t>hardship programs in 2014-15</w:t>
      </w:r>
      <w:r w:rsidR="00E71B70">
        <w:t xml:space="preserve"> (around 1,200 each)</w:t>
      </w:r>
      <w:r w:rsidR="00A8443D">
        <w:t>,</w:t>
      </w:r>
      <w:r w:rsidR="003B70B6">
        <w:t xml:space="preserve"> </w:t>
      </w:r>
      <w:r w:rsidR="00A8443D">
        <w:t xml:space="preserve">had </w:t>
      </w:r>
      <w:r w:rsidR="003B70B6">
        <w:t xml:space="preserve">electricity debts of over $2,500. </w:t>
      </w:r>
      <w:r w:rsidR="00A63F7A">
        <w:t xml:space="preserve">We expect that retailers </w:t>
      </w:r>
      <w:r w:rsidR="001F5CED">
        <w:t xml:space="preserve">should be </w:t>
      </w:r>
      <w:r w:rsidR="00A63F7A">
        <w:t xml:space="preserve">identifying customers having trouble and offering assistance before this point and were pleased to see that </w:t>
      </w:r>
      <w:r w:rsidRPr="00164030">
        <w:t>some retailers</w:t>
      </w:r>
      <w:r w:rsidR="003B70B6">
        <w:t xml:space="preserve">, such as Red Energy, </w:t>
      </w:r>
      <w:r w:rsidRPr="00164030">
        <w:t>are entering a high proportion of customers (</w:t>
      </w:r>
      <w:r w:rsidR="003B70B6">
        <w:t>up to</w:t>
      </w:r>
      <w:r w:rsidRPr="00164030">
        <w:t xml:space="preserve"> 86 per cent) with debt below $500</w:t>
      </w:r>
      <w:r w:rsidR="00396B49">
        <w:t xml:space="preserve"> </w:t>
      </w:r>
      <w:r w:rsidR="00396B49" w:rsidRPr="00164030">
        <w:t>onto a hardship program</w:t>
      </w:r>
      <w:r w:rsidRPr="00164030">
        <w:t xml:space="preserve">.  </w:t>
      </w:r>
    </w:p>
    <w:p w:rsidR="00164030" w:rsidRPr="0016552F" w:rsidRDefault="00164030" w:rsidP="00D94878">
      <w:r w:rsidRPr="0016552F">
        <w:lastRenderedPageBreak/>
        <w:t xml:space="preserve">While the number of hardship customers using Centrepay has increased, the proportion of hardship customers using Centrepay has actually fallen. While we would </w:t>
      </w:r>
      <w:r w:rsidR="00E71B70">
        <w:t xml:space="preserve">like to see greater use of Centrepay, </w:t>
      </w:r>
      <w:r w:rsidRPr="0016552F">
        <w:t xml:space="preserve"> </w:t>
      </w:r>
      <w:r w:rsidR="00E71B70">
        <w:t xml:space="preserve">it is restricted to </w:t>
      </w:r>
      <w:r w:rsidRPr="0016552F">
        <w:t>customers receiving Centrelink payments</w:t>
      </w:r>
      <w:r w:rsidR="00E71B70">
        <w:t xml:space="preserve">. </w:t>
      </w:r>
      <w:r w:rsidRPr="0016552F">
        <w:t xml:space="preserve"> </w:t>
      </w:r>
      <w:r w:rsidR="005E6547">
        <w:t xml:space="preserve">Centrepay may be poorly promoted by some retailers, or not favoured by customers.  It is also possible that more customers </w:t>
      </w:r>
      <w:r w:rsidR="00C41B7F">
        <w:t xml:space="preserve">who are not on low incomes and do not have the option of Centrepay are now </w:t>
      </w:r>
      <w:r w:rsidR="005E6547">
        <w:t xml:space="preserve">entering hardship programs. </w:t>
      </w:r>
    </w:p>
    <w:p w:rsidR="00164030" w:rsidRPr="0016552F" w:rsidRDefault="00164030" w:rsidP="00D94878">
      <w:r w:rsidRPr="0016552F">
        <w:t xml:space="preserve">The </w:t>
      </w:r>
      <w:r w:rsidR="004A3AF6">
        <w:t xml:space="preserve">declining </w:t>
      </w:r>
      <w:r w:rsidRPr="0016552F">
        <w:t xml:space="preserve">number of </w:t>
      </w:r>
      <w:r w:rsidR="004A3AF6">
        <w:t xml:space="preserve">concession customers accessing hardship programs </w:t>
      </w:r>
      <w:r w:rsidRPr="0016552F">
        <w:t xml:space="preserve">also lends support to the plausibility </w:t>
      </w:r>
      <w:r>
        <w:t>of this scenario</w:t>
      </w:r>
      <w:r w:rsidRPr="0016552F">
        <w:t xml:space="preserve">. </w:t>
      </w:r>
      <w:r w:rsidR="004A3AF6">
        <w:t>Concession customers as a proportion of customers on hardship programs</w:t>
      </w:r>
      <w:r w:rsidRPr="0016552F">
        <w:t xml:space="preserve"> for both electricity and gas </w:t>
      </w:r>
      <w:r w:rsidR="00966E66" w:rsidRPr="0016552F">
        <w:t>also</w:t>
      </w:r>
      <w:r w:rsidR="00B579DF">
        <w:t xml:space="preserve"> decreased in most jurisdictions.</w:t>
      </w:r>
      <w:r w:rsidR="00966E66" w:rsidRPr="0016552F">
        <w:t xml:space="preserve"> </w:t>
      </w:r>
    </w:p>
    <w:p w:rsidR="00164030" w:rsidRPr="00164030" w:rsidRDefault="00396B49" w:rsidP="00D94878">
      <w:r>
        <w:t>On the other hand, i</w:t>
      </w:r>
      <w:r w:rsidR="00164030">
        <w:t xml:space="preserve">t is encouraging </w:t>
      </w:r>
      <w:r w:rsidR="00164030" w:rsidRPr="00164030">
        <w:t>that the</w:t>
      </w:r>
      <w:r w:rsidR="00693226">
        <w:t xml:space="preserve"> proportion of electricity customers successfully repaying their debt on a hardship program</w:t>
      </w:r>
      <w:r w:rsidR="00164030" w:rsidRPr="00164030">
        <w:t xml:space="preserve"> increased from 19 per cent in 2013-14 to 24 per cent in 2014-15. However, over this period the rate of exclusion from a hardship program </w:t>
      </w:r>
      <w:r w:rsidR="001F5CED">
        <w:t xml:space="preserve">(for not meeting repayments) </w:t>
      </w:r>
      <w:r w:rsidR="00164030" w:rsidRPr="00164030">
        <w:t xml:space="preserve">increased slightly from 54 to 57 per cent. The rates for gas customers are similar, with the </w:t>
      </w:r>
      <w:r w:rsidR="00E71B70">
        <w:t>"</w:t>
      </w:r>
      <w:r w:rsidR="00164030" w:rsidRPr="00164030">
        <w:t>success rate</w:t>
      </w:r>
      <w:r w:rsidR="00E71B70">
        <w:t>"</w:t>
      </w:r>
      <w:r w:rsidR="00164030" w:rsidRPr="00164030">
        <w:t xml:space="preserve"> increasing from 19 per cent to 22 per cent and the exclusion rate also increasing from 54 to 57 per cent.</w:t>
      </w:r>
    </w:p>
    <w:p w:rsidR="00164030" w:rsidRPr="00D94878" w:rsidRDefault="00164030" w:rsidP="00D94878">
      <w:pPr>
        <w:rPr>
          <w:rStyle w:val="Strong"/>
        </w:rPr>
      </w:pPr>
      <w:r w:rsidRPr="00D94878">
        <w:rPr>
          <w:rStyle w:val="Strong"/>
        </w:rPr>
        <w:t xml:space="preserve">Disconnecting customers for non-payment </w:t>
      </w:r>
    </w:p>
    <w:p w:rsidR="00164030" w:rsidRPr="00D94878" w:rsidRDefault="00164030" w:rsidP="00D94878">
      <w:pPr>
        <w:rPr>
          <w:rStyle w:val="Emphasis"/>
        </w:rPr>
      </w:pPr>
      <w:r w:rsidRPr="00D94878">
        <w:rPr>
          <w:rStyle w:val="Emphasis"/>
        </w:rPr>
        <w:t>Disconnection is serious and should be a last resort for retailers when customers are unable to pay their energy bills. Retailers have to follow a number of steps before they disconnect a customer</w:t>
      </w:r>
      <w:r w:rsidR="00693226">
        <w:rPr>
          <w:rStyle w:val="Emphasis"/>
        </w:rPr>
        <w:t>. Our observation is that for the most part, retailers do this.</w:t>
      </w:r>
    </w:p>
    <w:p w:rsidR="0010438B" w:rsidRDefault="00164030" w:rsidP="00D94878">
      <w:r>
        <w:t>Electricity disconnections decreased</w:t>
      </w:r>
      <w:r w:rsidR="00D62679">
        <w:t xml:space="preserve"> in Tasmania (</w:t>
      </w:r>
      <w:r w:rsidR="00A63F7A">
        <w:t xml:space="preserve">by </w:t>
      </w:r>
      <w:r>
        <w:t xml:space="preserve">34 per cent), New South Wales (5 per cent), and South Australia (1 per cent) but increased in the ACT (by 27 per cent). </w:t>
      </w:r>
      <w:r w:rsidR="00A2568E">
        <w:t xml:space="preserve">Proportionally, </w:t>
      </w:r>
      <w:r w:rsidR="00693226">
        <w:t xml:space="preserve">South Australia had the most electricity customers disconnected for non-payment (1.36 per cent), followed by New South Wales (1.06 per cent), Tasmania (0.45 per cent) and the ACT (0.21 per cent). </w:t>
      </w:r>
    </w:p>
    <w:p w:rsidR="00164030" w:rsidRPr="00164030" w:rsidRDefault="00164030" w:rsidP="00D94878">
      <w:r w:rsidRPr="00164030">
        <w:t xml:space="preserve">Gas disconnections for non-payment increased by 49 per cent in New South Wales, 31 per cent in South Australia and 28 per cent in the ACT in 2014-15. </w:t>
      </w:r>
      <w:r w:rsidR="00D62679">
        <w:t>Gas disconnections in South Australia have increased to levels similar to 2011-12</w:t>
      </w:r>
      <w:r w:rsidR="0010438B">
        <w:t xml:space="preserve">, however gas disconnections in New South Wales and the ACT are not high </w:t>
      </w:r>
      <w:r w:rsidR="00475A0D">
        <w:t>compared with previous</w:t>
      </w:r>
      <w:r w:rsidR="0010438B">
        <w:t xml:space="preserve"> years.</w:t>
      </w:r>
      <w:r w:rsidR="00A2568E">
        <w:t xml:space="preserve"> Proportionally, the ACT had the most gas customers disconnected for non-payment (1.2 per cent), followed by South Australia (1.12 per cent) and New South Wales (0.62 per cent). </w:t>
      </w:r>
    </w:p>
    <w:p w:rsidR="00164030" w:rsidRPr="00D94878" w:rsidRDefault="00164030" w:rsidP="00164030">
      <w:pPr>
        <w:rPr>
          <w:rStyle w:val="Strong"/>
        </w:rPr>
      </w:pPr>
      <w:r w:rsidRPr="00D94878">
        <w:rPr>
          <w:rStyle w:val="Strong"/>
        </w:rPr>
        <w:t xml:space="preserve">Energy affordability </w:t>
      </w:r>
    </w:p>
    <w:p w:rsidR="00164030" w:rsidRPr="00D94878" w:rsidRDefault="00427583" w:rsidP="00D94878">
      <w:pPr>
        <w:rPr>
          <w:rStyle w:val="Emphasis"/>
        </w:rPr>
      </w:pPr>
      <w:r>
        <w:rPr>
          <w:rStyle w:val="Emphasis"/>
        </w:rPr>
        <w:t xml:space="preserve">While our analysis shows modest falls in energy prices </w:t>
      </w:r>
      <w:r w:rsidR="00A814CD">
        <w:rPr>
          <w:rStyle w:val="Emphasis"/>
        </w:rPr>
        <w:t xml:space="preserve">and general improvements in energy affordability </w:t>
      </w:r>
      <w:r>
        <w:rPr>
          <w:rStyle w:val="Emphasis"/>
        </w:rPr>
        <w:t xml:space="preserve">over the last 12 months (in line with the removal of the carbon tax), growth in energy prices in </w:t>
      </w:r>
      <w:r w:rsidR="00A814CD">
        <w:rPr>
          <w:rStyle w:val="Emphasis"/>
        </w:rPr>
        <w:t xml:space="preserve">previous </w:t>
      </w:r>
      <w:r>
        <w:rPr>
          <w:rStyle w:val="Emphasis"/>
        </w:rPr>
        <w:t xml:space="preserve">years has outstripped growth in incomes. </w:t>
      </w:r>
      <w:r w:rsidR="00A06712">
        <w:rPr>
          <w:rStyle w:val="Emphasis"/>
        </w:rPr>
        <w:t>Energy remains a big expense for many households, and e</w:t>
      </w:r>
      <w:r>
        <w:rPr>
          <w:rStyle w:val="Emphasis"/>
        </w:rPr>
        <w:t xml:space="preserve">nergy debt and disconnection figures also </w:t>
      </w:r>
      <w:r w:rsidR="00A2568E">
        <w:rPr>
          <w:rStyle w:val="Emphasis"/>
        </w:rPr>
        <w:t xml:space="preserve">suggest </w:t>
      </w:r>
      <w:r>
        <w:rPr>
          <w:rStyle w:val="Emphasis"/>
        </w:rPr>
        <w:t xml:space="preserve">that many households struggle to pay their energy bills.  </w:t>
      </w:r>
      <w:r w:rsidR="00164030" w:rsidRPr="00D94878">
        <w:rPr>
          <w:rStyle w:val="Emphasis"/>
        </w:rPr>
        <w:t xml:space="preserve"> </w:t>
      </w:r>
    </w:p>
    <w:p w:rsidR="00164030" w:rsidRPr="00164030" w:rsidRDefault="00A63F7A" w:rsidP="00D94878">
      <w:r>
        <w:t>Following</w:t>
      </w:r>
      <w:r w:rsidR="00044CF3">
        <w:t xml:space="preserve"> </w:t>
      </w:r>
      <w:r w:rsidR="00164030">
        <w:t xml:space="preserve">the removal of the </w:t>
      </w:r>
      <w:r w:rsidR="00D62679">
        <w:t>carbon tax</w:t>
      </w:r>
      <w:r w:rsidR="00164030">
        <w:t>, electricity bills d</w:t>
      </w:r>
      <w:r w:rsidR="00A91A3F">
        <w:t xml:space="preserve">ecreased in most jurisdictions, </w:t>
      </w:r>
      <w:r w:rsidR="00164030">
        <w:t>by between 3.5 per cent in South Australia and 15 per cent in the ACT (for low income households</w:t>
      </w:r>
      <w:r w:rsidR="00751791">
        <w:t xml:space="preserve"> on market offers</w:t>
      </w:r>
      <w:r w:rsidR="00164030" w:rsidRPr="00164030">
        <w:t>). The exception was in Queensland, where bills increased by 4 per cent.</w:t>
      </w:r>
      <w:r w:rsidR="00A93603">
        <w:t xml:space="preserve"> This was largely due to wholesale energy costs and the costs of feed-in tariffs from </w:t>
      </w:r>
      <w:r w:rsidR="00A93603">
        <w:lastRenderedPageBreak/>
        <w:t>the Queensland Solar Bonus Scheme.</w:t>
      </w:r>
      <w:r w:rsidR="00164030" w:rsidRPr="00164030">
        <w:rPr>
          <w:rStyle w:val="FootnoteReference"/>
        </w:rPr>
        <w:t xml:space="preserve"> </w:t>
      </w:r>
      <w:r w:rsidR="00164030" w:rsidRPr="00164030">
        <w:t>Gas bills decreased in Victoria and the ACT (by between 4 and 5 per cent), but increased in New South Wales (7 per cent), Queensland and South Australia (both 1 per cent).</w:t>
      </w:r>
      <w:r w:rsidR="00164030" w:rsidRPr="00164030">
        <w:rPr>
          <w:rStyle w:val="FootnoteReference"/>
        </w:rPr>
        <w:footnoteReference w:id="5"/>
      </w:r>
      <w:r w:rsidR="00427583">
        <w:t xml:space="preserve"> </w:t>
      </w:r>
      <w:r w:rsidR="00607EDC">
        <w:t xml:space="preserve">Reduced network charges will contribute to lower electricity bills in the future. However, electricity bills are also influenced by wholesale and retail costs. </w:t>
      </w:r>
      <w:r w:rsidR="00164030" w:rsidRPr="00164030">
        <w:t xml:space="preserve">  </w:t>
      </w:r>
    </w:p>
    <w:p w:rsidR="00164030" w:rsidRDefault="00164030" w:rsidP="00D94878">
      <w:r>
        <w:t>Annual e</w:t>
      </w:r>
      <w:r w:rsidRPr="0091580E">
        <w:t>lectricity bills remained highest in Tasmania ($</w:t>
      </w:r>
      <w:r w:rsidR="00D62679">
        <w:t>1</w:t>
      </w:r>
      <w:r w:rsidR="00A91A3F">
        <w:t>927</w:t>
      </w:r>
      <w:r w:rsidRPr="0091580E">
        <w:t>)</w:t>
      </w:r>
      <w:r>
        <w:t xml:space="preserve"> and lowest in Victoria ($1</w:t>
      </w:r>
      <w:r w:rsidR="00A91A3F">
        <w:t>188) for low income households</w:t>
      </w:r>
      <w:r w:rsidR="00D62679">
        <w:t>.</w:t>
      </w:r>
      <w:r>
        <w:t xml:space="preserve"> Annual </w:t>
      </w:r>
      <w:r w:rsidRPr="006B0360">
        <w:t xml:space="preserve">gas bills were highest in the ACT </w:t>
      </w:r>
      <w:r w:rsidR="00A91A3F">
        <w:t>($1532).</w:t>
      </w:r>
      <w:r w:rsidR="008127F4">
        <w:t xml:space="preserve"> Households in Tasmania typically consume the most electricity, and households in the ACT consume the most gas.</w:t>
      </w:r>
    </w:p>
    <w:p w:rsidR="00164030" w:rsidRPr="00C86E1A" w:rsidRDefault="00164030" w:rsidP="00D94878">
      <w:pPr>
        <w:rPr>
          <w:highlight w:val="lightGray"/>
        </w:rPr>
      </w:pPr>
      <w:r w:rsidRPr="0091580E">
        <w:t xml:space="preserve">Electricity bills again accounted for the smallest share of disposable income </w:t>
      </w:r>
      <w:r>
        <w:t xml:space="preserve">in the ACT </w:t>
      </w:r>
      <w:r w:rsidRPr="006B0360">
        <w:t>(3.6</w:t>
      </w:r>
      <w:r w:rsidRPr="0091580E">
        <w:t xml:space="preserve"> per cent </w:t>
      </w:r>
      <w:r>
        <w:t xml:space="preserve">for a low income household). This is due to lower electricity charges and higher incomes relative to other jurisdictions. Low income Tasmanian households spent the highest proportion of their income on electricity at </w:t>
      </w:r>
      <w:r w:rsidR="00A91A3F">
        <w:t>8.4</w:t>
      </w:r>
      <w:r>
        <w:t xml:space="preserve"> per cent (</w:t>
      </w:r>
      <w:r w:rsidR="00A91A3F">
        <w:t xml:space="preserve">6.4 per cent with a concession) </w:t>
      </w:r>
      <w:r>
        <w:t xml:space="preserve">which is not surprising given most households </w:t>
      </w:r>
      <w:r w:rsidR="00B40F1E">
        <w:t xml:space="preserve">rely on electricity for all their household energy needs </w:t>
      </w:r>
      <w:r w:rsidR="002D5AA8">
        <w:t xml:space="preserve">(i.e. </w:t>
      </w:r>
      <w:r>
        <w:t>do not have gas</w:t>
      </w:r>
      <w:r w:rsidR="002D5AA8">
        <w:t>)</w:t>
      </w:r>
      <w:r>
        <w:t xml:space="preserve">. </w:t>
      </w:r>
      <w:r w:rsidRPr="0091580E">
        <w:t xml:space="preserve"> </w:t>
      </w:r>
    </w:p>
    <w:p w:rsidR="00164030" w:rsidRDefault="00164030" w:rsidP="00D94878">
      <w:r w:rsidRPr="004F253A">
        <w:t xml:space="preserve">Despite low gas </w:t>
      </w:r>
      <w:r>
        <w:t>prices</w:t>
      </w:r>
      <w:r w:rsidRPr="004F253A">
        <w:t xml:space="preserve"> in Victoria, gas bills made up the greatest proportion of household income</w:t>
      </w:r>
      <w:r>
        <w:t xml:space="preserve"> (for a low income household)</w:t>
      </w:r>
      <w:r w:rsidRPr="004F253A">
        <w:t xml:space="preserve"> relative to other jurisdictions </w:t>
      </w:r>
      <w:r>
        <w:t>at</w:t>
      </w:r>
      <w:r w:rsidR="00A91A3F">
        <w:t xml:space="preserve"> 4.8 per cent. </w:t>
      </w:r>
      <w:r>
        <w:t>T</w:t>
      </w:r>
      <w:r w:rsidRPr="004F253A">
        <w:t>his is driven by higher gas consumption.</w:t>
      </w:r>
      <w:r>
        <w:t xml:space="preserve"> </w:t>
      </w:r>
      <w:r w:rsidR="00A91A3F">
        <w:t xml:space="preserve">Households in Queensland have low gas consumption, with gas bills representing 2.9 per cent of a low income household's income. </w:t>
      </w:r>
    </w:p>
    <w:p w:rsidR="00164030" w:rsidRPr="0067697C" w:rsidRDefault="00164030" w:rsidP="00D94878">
      <w:r>
        <w:t>Our analysis showed that c</w:t>
      </w:r>
      <w:r w:rsidRPr="0067697C">
        <w:t xml:space="preserve">ustomers on standing offers can make considerable savings by switching to a market offer. </w:t>
      </w:r>
      <w:r w:rsidR="00206965">
        <w:t>In</w:t>
      </w:r>
      <w:r w:rsidRPr="0067697C">
        <w:t xml:space="preserve"> jurisdictions </w:t>
      </w:r>
      <w:r w:rsidR="00206965">
        <w:t xml:space="preserve">where </w:t>
      </w:r>
      <w:r w:rsidRPr="0067697C">
        <w:t xml:space="preserve">electricity market offers </w:t>
      </w:r>
      <w:r w:rsidR="00206965">
        <w:t xml:space="preserve">are </w:t>
      </w:r>
      <w:r w:rsidRPr="0067697C">
        <w:t>available, the median market offer was between 5 and 20 per cent cheaper per year than the standing offer. The potential savings were slightly smaller for gas market offers</w:t>
      </w:r>
      <w:r>
        <w:t xml:space="preserve"> (but still up to 16 per cent)</w:t>
      </w:r>
      <w:r w:rsidRPr="0067697C">
        <w:t xml:space="preserve">. </w:t>
      </w:r>
    </w:p>
    <w:p w:rsidR="00164030" w:rsidRDefault="00164030" w:rsidP="00D94878">
      <w:r>
        <w:t>The range between the cheapest and most expensive market offers was</w:t>
      </w:r>
      <w:r w:rsidRPr="00432DFE">
        <w:t xml:space="preserve"> around $</w:t>
      </w:r>
      <w:r>
        <w:t>4</w:t>
      </w:r>
      <w:r w:rsidRPr="00432DFE">
        <w:t xml:space="preserve">00 in </w:t>
      </w:r>
      <w:r w:rsidR="00A814CD">
        <w:t xml:space="preserve">some areas of </w:t>
      </w:r>
      <w:r w:rsidRPr="00432DFE">
        <w:t>New South Wales and around $</w:t>
      </w:r>
      <w:r>
        <w:t>2</w:t>
      </w:r>
      <w:r w:rsidRPr="00432DFE">
        <w:t>00 to $</w:t>
      </w:r>
      <w:r>
        <w:t>350</w:t>
      </w:r>
      <w:r w:rsidRPr="00432DFE">
        <w:t xml:space="preserve"> in Victoria and South Australia. Potential savings in Queensland and the ACT </w:t>
      </w:r>
      <w:r w:rsidR="00A814CD">
        <w:t xml:space="preserve">are </w:t>
      </w:r>
      <w:r w:rsidR="004A3AF6">
        <w:t xml:space="preserve">less </w:t>
      </w:r>
      <w:r w:rsidR="00D62679">
        <w:t>significant</w:t>
      </w:r>
      <w:r w:rsidR="00A814CD">
        <w:t>, w</w:t>
      </w:r>
      <w:r w:rsidR="00BC772B">
        <w:t>ith fewer electricity offers to choose from.</w:t>
      </w:r>
      <w:r w:rsidR="00A814CD">
        <w:t xml:space="preserve"> </w:t>
      </w:r>
    </w:p>
    <w:p w:rsidR="00164030" w:rsidRPr="00432DFE" w:rsidRDefault="00164030" w:rsidP="00D94878">
      <w:r w:rsidRPr="003B40F1">
        <w:t>The potential savings on gas are smaller. Compared with the median gas market offer, the cheapest gas market offers were around</w:t>
      </w:r>
      <w:r>
        <w:t xml:space="preserve"> $100 to $150 per year cheaper in Victoria and the ACT, but only around $20 to $70 cheaper in Queensland, New South Wales and South Australia.  </w:t>
      </w:r>
    </w:p>
    <w:p w:rsidR="00D94878" w:rsidRDefault="00D94878">
      <w:pPr>
        <w:spacing w:line="240" w:lineRule="auto"/>
      </w:pPr>
      <w:r>
        <w:br w:type="page"/>
      </w:r>
    </w:p>
    <w:p w:rsidR="00D94878" w:rsidRDefault="004A3AF6" w:rsidP="00D94878">
      <w:pPr>
        <w:pStyle w:val="Heading1"/>
      </w:pPr>
      <w:bookmarkStart w:id="4" w:name="_Toc433026801"/>
      <w:r>
        <w:lastRenderedPageBreak/>
        <w:t>Retail market overview</w:t>
      </w:r>
      <w:bookmarkEnd w:id="4"/>
    </w:p>
    <w:p w:rsidR="00D94878" w:rsidRPr="00D94878" w:rsidRDefault="00D94878" w:rsidP="00D94878">
      <w:r w:rsidRPr="00D94878">
        <w:t>This chapter provides an overview of competition in the retail energy markets in New South Wales, South Australia, Australian Capital Territory and Tasmania, with a focus on:</w:t>
      </w:r>
    </w:p>
    <w:p w:rsidR="00D94878" w:rsidRPr="00D94878" w:rsidRDefault="00D94878" w:rsidP="00D94878">
      <w:pPr>
        <w:pStyle w:val="Bulletpoint"/>
      </w:pPr>
      <w:r w:rsidRPr="00D94878">
        <w:t>the number of active retailers selling energy to different types of customers</w:t>
      </w:r>
    </w:p>
    <w:p w:rsidR="00D94878" w:rsidRPr="00D94878" w:rsidRDefault="00D94878" w:rsidP="00D94878">
      <w:pPr>
        <w:pStyle w:val="Bulletpoint"/>
      </w:pPr>
      <w:r w:rsidRPr="00D94878">
        <w:t>the proportion of small customers on standard and market retail contracts</w:t>
      </w:r>
    </w:p>
    <w:p w:rsidR="00D94878" w:rsidRPr="00D94878" w:rsidRDefault="00D94878" w:rsidP="00D94878">
      <w:pPr>
        <w:pStyle w:val="Bulletpoint"/>
      </w:pPr>
      <w:r w:rsidRPr="00D94878">
        <w:t>customers switching between retailers</w:t>
      </w:r>
      <w:r w:rsidR="00F14DD1">
        <w:t xml:space="preserve"> (in all NEM jurisdictions)</w:t>
      </w:r>
    </w:p>
    <w:p w:rsidR="00D94878" w:rsidRPr="00D94878" w:rsidRDefault="00D94878" w:rsidP="00D94878">
      <w:pPr>
        <w:pStyle w:val="Bulletpoint"/>
      </w:pPr>
      <w:r w:rsidRPr="00D94878">
        <w:t>customers using prepayment meters</w:t>
      </w:r>
    </w:p>
    <w:p w:rsidR="00D94878" w:rsidRDefault="00D94878">
      <w:pPr>
        <w:spacing w:line="240" w:lineRule="auto"/>
      </w:pPr>
      <w:r>
        <w:br w:type="page"/>
      </w:r>
    </w:p>
    <w:p w:rsidR="00D94878" w:rsidRPr="00D17E75" w:rsidRDefault="00D94878" w:rsidP="00D94878">
      <w:pPr>
        <w:pStyle w:val="Heading2"/>
      </w:pPr>
      <w:bookmarkStart w:id="5" w:name="_Toc433026802"/>
      <w:r w:rsidRPr="00D17E75">
        <w:lastRenderedPageBreak/>
        <w:t>Retail competition</w:t>
      </w:r>
      <w:bookmarkEnd w:id="5"/>
    </w:p>
    <w:p w:rsidR="00D94878" w:rsidRPr="00D94878" w:rsidRDefault="00D94878" w:rsidP="00D94878">
      <w:r w:rsidRPr="00D17E75">
        <w:t>In June 2015 the Australian Energy Market Commission (AEMC) released its 2015 Retail Competition Review</w:t>
      </w:r>
      <w:r w:rsidRPr="00891A88">
        <w:rPr>
          <w:rStyle w:val="Superscript"/>
        </w:rPr>
        <w:footnoteReference w:id="6"/>
      </w:r>
      <w:r w:rsidRPr="00D94878">
        <w:t xml:space="preserve">. It found that: </w:t>
      </w:r>
    </w:p>
    <w:p w:rsidR="00D94878" w:rsidRPr="00D17E75" w:rsidRDefault="00D94878" w:rsidP="00D94878">
      <w:pPr>
        <w:pStyle w:val="Bulletpoint"/>
      </w:pPr>
      <w:r w:rsidRPr="00D17E75">
        <w:t xml:space="preserve">competition is providing consumers more opportunities to choose an energy retailer and offer that best meets their needs. Further developments are expected over time as this evolution continues and new technologies are taken up. </w:t>
      </w:r>
    </w:p>
    <w:p w:rsidR="00D94878" w:rsidRPr="00D17E75" w:rsidRDefault="00D94878" w:rsidP="00D94878">
      <w:pPr>
        <w:pStyle w:val="Bulletpoint"/>
      </w:pPr>
      <w:r w:rsidRPr="00D17E75">
        <w:t>electricity retail competition is effective in New South Wales and South Australia, less effective in the ACT and yet to emerge in Tasmania</w:t>
      </w:r>
    </w:p>
    <w:p w:rsidR="00D94878" w:rsidRPr="00D17E75" w:rsidRDefault="00D94878" w:rsidP="00D94878">
      <w:pPr>
        <w:pStyle w:val="Bulletpoint"/>
      </w:pPr>
      <w:r w:rsidRPr="00D17E75">
        <w:t>gas retail competition is effective in most of New South Wales and South Australia, and yet to emerge in the ACT.</w:t>
      </w:r>
    </w:p>
    <w:p w:rsidR="00D94878" w:rsidRPr="00D17E75" w:rsidRDefault="00D94878" w:rsidP="00D94878">
      <w:r w:rsidRPr="00D17E75">
        <w:t xml:space="preserve">The report also states that government policies and regulation can influence how quickly a market transitions through competition stages, and that regulation of retail markets has changed over time to promote greater competition. </w:t>
      </w:r>
    </w:p>
    <w:p w:rsidR="00D94878" w:rsidRPr="00D94878" w:rsidRDefault="00D94878" w:rsidP="00D94878">
      <w:r w:rsidRPr="00D17E75">
        <w:t xml:space="preserve">Figure 1.1 shows the different stages of regulatory reform in retail energy markets of </w:t>
      </w:r>
      <w:r w:rsidRPr="00D94878">
        <w:t xml:space="preserve">Australia.  </w:t>
      </w:r>
    </w:p>
    <w:p w:rsidR="00D94878" w:rsidRPr="00D17E75" w:rsidRDefault="00D94878" w:rsidP="00D94878">
      <w:pPr>
        <w:pStyle w:val="Tabletitle"/>
      </w:pPr>
      <w:r w:rsidRPr="00D17E75">
        <w:t>Figure 1.1: Stages of energy retail market reform</w:t>
      </w:r>
    </w:p>
    <w:p w:rsidR="00D94878" w:rsidRPr="00D94878" w:rsidRDefault="00D94878" w:rsidP="00D94878">
      <w:r w:rsidRPr="00D94878">
        <w:rPr>
          <w:noProof/>
          <w:lang w:eastAsia="en-AU"/>
        </w:rPr>
        <w:drawing>
          <wp:inline distT="0" distB="0" distL="0" distR="0" wp14:anchorId="22800140" wp14:editId="23BCB2D1">
            <wp:extent cx="5825862" cy="3040912"/>
            <wp:effectExtent l="0" t="0" r="3810" b="7620"/>
            <wp:docPr id="40" name="Picture 40" descr="Queensland has full retail contestability, with regulated electricity prices and deregulated gas prices. Victoria and South Australia have full retail contestability and deregulated electricity and gas prices. New South Wales has full retail contestability, with deregulated electricity prices and regulated gas prices. The ACT has full retail contestability, with regulated electricity prices and deregulated gas prices. Tasmania has full retail contestability, with regulated electricity prices."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6896" cy="3041452"/>
                    </a:xfrm>
                    <a:prstGeom prst="rect">
                      <a:avLst/>
                    </a:prstGeom>
                    <a:noFill/>
                  </pic:spPr>
                </pic:pic>
              </a:graphicData>
            </a:graphic>
          </wp:inline>
        </w:drawing>
      </w:r>
    </w:p>
    <w:p w:rsidR="00EF3EFE" w:rsidRDefault="00EF3EFE" w:rsidP="00EF3EFE">
      <w:pPr>
        <w:pStyle w:val="Heading3"/>
        <w:numPr>
          <w:ilvl w:val="0"/>
          <w:numId w:val="0"/>
        </w:numPr>
        <w:ind w:left="720"/>
      </w:pPr>
      <w:bookmarkStart w:id="6" w:name="_Toc432765948"/>
      <w:bookmarkStart w:id="7" w:name="_Toc433026803"/>
    </w:p>
    <w:p w:rsidR="00EF3EFE" w:rsidRDefault="00EF3EFE" w:rsidP="00EF3EFE">
      <w:pPr>
        <w:pStyle w:val="Heading3"/>
        <w:numPr>
          <w:ilvl w:val="0"/>
          <w:numId w:val="0"/>
        </w:numPr>
        <w:ind w:left="720"/>
      </w:pPr>
    </w:p>
    <w:p w:rsidR="00D94878" w:rsidRPr="00D17E75" w:rsidRDefault="00D94878" w:rsidP="00D94878">
      <w:pPr>
        <w:pStyle w:val="Heading3"/>
      </w:pPr>
      <w:r w:rsidRPr="00D17E75">
        <w:lastRenderedPageBreak/>
        <w:t>Electricity</w:t>
      </w:r>
      <w:bookmarkEnd w:id="6"/>
      <w:bookmarkEnd w:id="7"/>
    </w:p>
    <w:p w:rsidR="00D94878" w:rsidRPr="00D17E75" w:rsidRDefault="00D94878" w:rsidP="00D94878">
      <w:r w:rsidRPr="00D17E75">
        <w:t>Figure 1.2 shows the market share held by electricity retailers in South Australia, the ACT, Tasmania and New South Wales for residential and small business customers as at 30 June 2015.</w:t>
      </w:r>
    </w:p>
    <w:p w:rsidR="00D94878" w:rsidRPr="00D17E75" w:rsidRDefault="00D94878" w:rsidP="00D94878">
      <w:pPr>
        <w:pStyle w:val="Tabletitle"/>
      </w:pPr>
      <w:r w:rsidRPr="00D17E75">
        <w:t xml:space="preserve">Figure 1.2: Retail market share, residential and small business customers – electricity </w:t>
      </w:r>
    </w:p>
    <w:p w:rsidR="00D94878" w:rsidRPr="00D94878" w:rsidRDefault="00D94878" w:rsidP="00D94878">
      <w:r w:rsidRPr="00D94878">
        <w:rPr>
          <w:noProof/>
          <w:lang w:eastAsia="en-AU"/>
        </w:rPr>
        <w:drawing>
          <wp:inline distT="0" distB="0" distL="0" distR="0" wp14:anchorId="1924C91B" wp14:editId="3343C7BB">
            <wp:extent cx="5547995" cy="3883660"/>
            <wp:effectExtent l="0" t="0" r="0" b="2540"/>
            <wp:docPr id="41" name="Picture 41" descr="In South Australia, AGL holds 46 per cent of residential electricity customers and 49 per cent of small business electricity customers. In New South Wales, Origin Energy holds 37 per cent of small electricity customers. In the ACT, ActewAGL holds around 95 per cent of small electricity customers. In Tasmania, Aurora Energy holds all residential electricity customers and almost all small business electricity customers."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7995" cy="3883660"/>
                    </a:xfrm>
                    <a:prstGeom prst="rect">
                      <a:avLst/>
                    </a:prstGeom>
                    <a:noFill/>
                  </pic:spPr>
                </pic:pic>
              </a:graphicData>
            </a:graphic>
          </wp:inline>
        </w:drawing>
      </w:r>
    </w:p>
    <w:p w:rsidR="00D94878" w:rsidRPr="00D94878" w:rsidRDefault="00D94878" w:rsidP="00D226C7">
      <w:pPr>
        <w:pStyle w:val="Note"/>
      </w:pPr>
      <w:r w:rsidRPr="00D94878">
        <w:t xml:space="preserve">Note: ‘Other retailers’ are those with less than 10 per cent market share in each customer market. </w:t>
      </w:r>
    </w:p>
    <w:p w:rsidR="00D94878" w:rsidRPr="00D17E75" w:rsidRDefault="00D94878" w:rsidP="00D94878">
      <w:r w:rsidRPr="00D17E75">
        <w:t xml:space="preserve">Seventeen retailers supply electricity to small customers in South Australia. 76 per cent of these customers are supplied by the ‘big three’ retailers: AGL (47 per cent), Origin Energy (19 per cent) and EnergyAustralia (10 per cent).    </w:t>
      </w:r>
    </w:p>
    <w:p w:rsidR="00D94878" w:rsidRPr="00D17E75" w:rsidRDefault="00D94878" w:rsidP="00D94878">
      <w:r w:rsidRPr="00D17E75">
        <w:t xml:space="preserve">21 retailers supply electricity to small customers in New South Wales. 90 per cent of these customers are supplied by AGL (23 per cent), Origin Energy (37 per cent) and EnergyAustralia (31 per cent). Retailers that entered the market in 2014-15 include Powershop, Next Business Energy and Pooled Energy.    </w:t>
      </w:r>
    </w:p>
    <w:p w:rsidR="00D94878" w:rsidRPr="00D17E75" w:rsidRDefault="00D94878" w:rsidP="00D94878">
      <w:r w:rsidRPr="00D17E75">
        <w:t xml:space="preserve">ActewAGL remains the dominant retailer for small customers in the ACT, supplying 95 per cent of small customers. However, there are signs that competition is </w:t>
      </w:r>
      <w:r w:rsidR="00876A9F" w:rsidRPr="00D17E75">
        <w:t>increasing</w:t>
      </w:r>
      <w:r w:rsidR="007275AF">
        <w:t xml:space="preserve"> </w:t>
      </w:r>
      <w:r w:rsidR="007275AF" w:rsidRPr="00D42745">
        <w:t>–</w:t>
      </w:r>
      <w:r w:rsidR="00876A9F">
        <w:t xml:space="preserve"> </w:t>
      </w:r>
      <w:r w:rsidR="00876A9F" w:rsidRPr="00D17E75">
        <w:t>with</w:t>
      </w:r>
      <w:r w:rsidRPr="00D17E75">
        <w:t xml:space="preserve"> Origin Energy entering the market in September 2014</w:t>
      </w:r>
      <w:r w:rsidR="00971923">
        <w:t xml:space="preserve"> </w:t>
      </w:r>
      <w:r w:rsidR="00876A9F">
        <w:t>there are now</w:t>
      </w:r>
      <w:r w:rsidR="00971923">
        <w:t xml:space="preserve"> </w:t>
      </w:r>
      <w:r w:rsidR="007B0F4C">
        <w:t xml:space="preserve">three </w:t>
      </w:r>
      <w:r w:rsidR="00971923">
        <w:t>retailers selling</w:t>
      </w:r>
      <w:r w:rsidR="00876A9F">
        <w:t xml:space="preserve"> to residential customers </w:t>
      </w:r>
      <w:r w:rsidR="00971923">
        <w:t>in the ACT</w:t>
      </w:r>
      <w:r w:rsidRPr="00D17E75">
        <w:t>.</w:t>
      </w:r>
    </w:p>
    <w:p w:rsidR="00D94878" w:rsidRPr="00D17E75" w:rsidRDefault="00D94878" w:rsidP="00D94878">
      <w:r w:rsidRPr="00D17E75">
        <w:t xml:space="preserve">The Tasmanian Government-owned incumbent, Aurora Energy, sells electricity to all residential customers and almost all small business customers in the state.    </w:t>
      </w:r>
    </w:p>
    <w:p w:rsidR="00D94878" w:rsidRPr="00D17E75" w:rsidRDefault="00D94878" w:rsidP="00D94878">
      <w:pPr>
        <w:pStyle w:val="Heading3"/>
      </w:pPr>
      <w:bookmarkStart w:id="8" w:name="_Toc432765949"/>
      <w:bookmarkStart w:id="9" w:name="_Toc433026804"/>
      <w:r w:rsidRPr="00D17E75">
        <w:lastRenderedPageBreak/>
        <w:t>Gas</w:t>
      </w:r>
      <w:bookmarkEnd w:id="8"/>
      <w:bookmarkEnd w:id="9"/>
    </w:p>
    <w:p w:rsidR="00D94878" w:rsidRPr="00D94878" w:rsidRDefault="00D94878" w:rsidP="00D94878">
      <w:r w:rsidRPr="00D17E75">
        <w:t xml:space="preserve">The availability and uptake of gas varies across jurisdictions. In the </w:t>
      </w:r>
      <w:r w:rsidRPr="00D94878">
        <w:t>ACT, 72 per cent of households are also supplied with gas. 54 per cent of households in South Australia and 41 per cent in New South Wales are supplied with gas. It is estimated that fewer than 5 per cent of households in Tasmania are supplied with gas.</w:t>
      </w:r>
      <w:r w:rsidRPr="00891A88">
        <w:rPr>
          <w:rStyle w:val="Superscript"/>
        </w:rPr>
        <w:footnoteReference w:id="7"/>
      </w:r>
      <w:r w:rsidRPr="00D94878">
        <w:t xml:space="preserve">   </w:t>
      </w:r>
    </w:p>
    <w:p w:rsidR="00D94878" w:rsidRPr="00D17E75" w:rsidRDefault="00D94878" w:rsidP="00D94878">
      <w:r w:rsidRPr="00D17E75">
        <w:t xml:space="preserve">Figure 1.3 shows the market share held by gas retailers in South Australia, the ACT and New South Wales as at 30 June 2015.  </w:t>
      </w:r>
    </w:p>
    <w:p w:rsidR="00D94878" w:rsidRPr="00D17E75" w:rsidRDefault="00D94878" w:rsidP="00D94878">
      <w:pPr>
        <w:pStyle w:val="Tabletitle"/>
      </w:pPr>
      <w:r w:rsidRPr="00D17E75">
        <w:t xml:space="preserve">Figure 1.3: Retail market share, residential and small business customers – gas </w:t>
      </w:r>
    </w:p>
    <w:p w:rsidR="00D94878" w:rsidRPr="00D94878" w:rsidRDefault="00D94878" w:rsidP="00D94878">
      <w:r w:rsidRPr="00D94878">
        <w:rPr>
          <w:noProof/>
          <w:lang w:eastAsia="en-AU"/>
        </w:rPr>
        <w:drawing>
          <wp:inline distT="0" distB="0" distL="0" distR="0" wp14:anchorId="4A52303E" wp14:editId="4E119629">
            <wp:extent cx="5541645" cy="3938270"/>
            <wp:effectExtent l="0" t="0" r="1905" b="5080"/>
            <wp:docPr id="42" name="Picture 42" descr="In South Australia, Origin Energy holds 44 per cent of residential gas customers and 64 per cent of small business gas customers. In New South Wales, AGL holds 54 per cent of residential gas customers and 53 per cent of small business gas customers. In the ACT, ActewAGL holds around 95 per cent of residential gas customers. "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1645" cy="3938270"/>
                    </a:xfrm>
                    <a:prstGeom prst="rect">
                      <a:avLst/>
                    </a:prstGeom>
                    <a:noFill/>
                  </pic:spPr>
                </pic:pic>
              </a:graphicData>
            </a:graphic>
          </wp:inline>
        </w:drawing>
      </w:r>
    </w:p>
    <w:p w:rsidR="00D94878" w:rsidRPr="00D94878" w:rsidRDefault="00D94878" w:rsidP="00D226C7">
      <w:pPr>
        <w:pStyle w:val="Note"/>
      </w:pPr>
      <w:r w:rsidRPr="00D94878">
        <w:t xml:space="preserve">Note: ‘Other retailers’ are those with less than 10 per cent market share in each customer market. </w:t>
      </w:r>
    </w:p>
    <w:p w:rsidR="00D94878" w:rsidRPr="00D17E75" w:rsidRDefault="00D94878" w:rsidP="00D94878">
      <w:r w:rsidRPr="00D17E75">
        <w:t>Five retailers supply gas to small customers in South Australia. 88 per cent of customers are supplied by the big three retailers, with 12 per cent supplied by Alinta Energy and Simply Energy.</w:t>
      </w:r>
    </w:p>
    <w:p w:rsidR="00D94878" w:rsidRPr="00D17E75" w:rsidRDefault="00D94878" w:rsidP="00D94878">
      <w:r w:rsidRPr="00D17E75">
        <w:t xml:space="preserve">Seven retailers supply gas to small customers in New South Wales. Despite the number of retailers, the big three retailers collectively supply over 96 per cent of all small customers.  </w:t>
      </w:r>
    </w:p>
    <w:p w:rsidR="00D94878" w:rsidRDefault="00D94878" w:rsidP="00D94878">
      <w:r w:rsidRPr="00D17E75">
        <w:t xml:space="preserve">As with the electricity market, ActewAGL is the main retailer of gas for customers in the ACT. </w:t>
      </w:r>
    </w:p>
    <w:p w:rsidR="00D94878" w:rsidRPr="00D17E75" w:rsidRDefault="00D94878" w:rsidP="00D94878">
      <w:pPr>
        <w:pStyle w:val="Heading2"/>
      </w:pPr>
      <w:bookmarkStart w:id="10" w:name="_Toc433026805"/>
      <w:r w:rsidRPr="00D17E75">
        <w:lastRenderedPageBreak/>
        <w:t>Standard and market retail contracts</w:t>
      </w:r>
      <w:bookmarkEnd w:id="10"/>
    </w:p>
    <w:p w:rsidR="00D94878" w:rsidRPr="00D17E75" w:rsidRDefault="00D94878" w:rsidP="00D94878">
      <w:r w:rsidRPr="00D17E75">
        <w:t xml:space="preserve">Residential and small business customers can choose between two types of energy contracts. </w:t>
      </w:r>
    </w:p>
    <w:p w:rsidR="00D94878" w:rsidRPr="00D17E75" w:rsidRDefault="00D94878" w:rsidP="00D94878">
      <w:r w:rsidRPr="00D17E75">
        <w:t xml:space="preserve">Standard retail contracts </w:t>
      </w:r>
      <w:r w:rsidR="00BC772B">
        <w:t xml:space="preserve">(standing offers) </w:t>
      </w:r>
      <w:r w:rsidRPr="00D17E75">
        <w:t>are basic contracts with terms and conditions that cannot be varied by the retailer. In some jurisdictions, these contracts have regulated prices (Figure 1.1). They provide the full suite of protections to customers and do not have a fixed contract term</w:t>
      </w:r>
      <w:r w:rsidR="006C0219">
        <w:t>. Standing offer tariffs are generally</w:t>
      </w:r>
      <w:r w:rsidRPr="00D17E75">
        <w:t xml:space="preserve"> higher </w:t>
      </w:r>
      <w:r w:rsidR="006C0219">
        <w:t xml:space="preserve">than those offered under </w:t>
      </w:r>
      <w:r w:rsidRPr="00D17E75">
        <w:t xml:space="preserve">market retail contracts.  </w:t>
      </w:r>
    </w:p>
    <w:p w:rsidR="00D94878" w:rsidRPr="00D17E75" w:rsidRDefault="00D94878" w:rsidP="00D94878">
      <w:r w:rsidRPr="00D17E75">
        <w:t>Market retail contracts have minimum terms and conditions but these vary from contract to contract. Under market contracts retailers can tailor their different energy offers through:</w:t>
      </w:r>
    </w:p>
    <w:p w:rsidR="00D94878" w:rsidRPr="00D17E75" w:rsidRDefault="00D94878" w:rsidP="00D94878">
      <w:pPr>
        <w:pStyle w:val="Bulletpoint"/>
      </w:pPr>
      <w:r w:rsidRPr="00D17E75">
        <w:t>discounted prices</w:t>
      </w:r>
    </w:p>
    <w:p w:rsidR="00D94878" w:rsidRPr="00D17E75" w:rsidRDefault="00D94878" w:rsidP="00D94878">
      <w:pPr>
        <w:pStyle w:val="Bulletpoint"/>
      </w:pPr>
      <w:r w:rsidRPr="00D17E75">
        <w:t>non-price incentives</w:t>
      </w:r>
    </w:p>
    <w:p w:rsidR="00D94878" w:rsidRPr="00D17E75" w:rsidRDefault="00D94878" w:rsidP="00D94878">
      <w:pPr>
        <w:pStyle w:val="Bulletpoint"/>
      </w:pPr>
      <w:r w:rsidRPr="00D17E75">
        <w:t>different billing periods</w:t>
      </w:r>
    </w:p>
    <w:p w:rsidR="00D94878" w:rsidRPr="00D17E75" w:rsidRDefault="00D94878" w:rsidP="00D94878">
      <w:pPr>
        <w:pStyle w:val="Bulletpoint"/>
      </w:pPr>
      <w:r w:rsidRPr="00D17E75">
        <w:t>different payment options</w:t>
      </w:r>
    </w:p>
    <w:p w:rsidR="00D94878" w:rsidRPr="00D17E75" w:rsidRDefault="00D94878" w:rsidP="00D94878">
      <w:pPr>
        <w:pStyle w:val="Bulletpoint"/>
      </w:pPr>
      <w:r w:rsidRPr="00D17E75">
        <w:t>fixed term durations</w:t>
      </w:r>
    </w:p>
    <w:p w:rsidR="00D94878" w:rsidRPr="00D17E75" w:rsidRDefault="00D94878" w:rsidP="00D94878">
      <w:pPr>
        <w:pStyle w:val="Bulletpoint"/>
      </w:pPr>
      <w:r w:rsidRPr="00D17E75">
        <w:t>fees and charges, such as establishment or exit fees.</w:t>
      </w:r>
    </w:p>
    <w:p w:rsidR="00D94878" w:rsidRPr="00D17E75" w:rsidRDefault="00D94878" w:rsidP="00D94878">
      <w:r w:rsidRPr="00D17E75">
        <w:t xml:space="preserve">Market retail contracts also include renewable energy contracts (such as solar power). </w:t>
      </w:r>
    </w:p>
    <w:p w:rsidR="00D94878" w:rsidRPr="00D94878" w:rsidRDefault="00D94878" w:rsidP="00D94878">
      <w:r w:rsidRPr="00D17E75">
        <w:t>Electricity retail price tariffs were deregulated in New South Wales on 1 July 2014, and customers that were on regulated offers at that time were transferred to a ‘transitional tariff’. At the end of June 2015, 69 per cent of electricity customers were on market retail contracts. There remains over one million small electricity customers on standard retail contracts in New South Wales, most of which are customers of the local area retailers</w:t>
      </w:r>
      <w:r w:rsidRPr="00891A88">
        <w:rPr>
          <w:rStyle w:val="Superscript"/>
        </w:rPr>
        <w:footnoteReference w:id="8"/>
      </w:r>
      <w:r w:rsidRPr="00D94878">
        <w:t xml:space="preserve"> Origin Energy (561,000 customers) and EnergyAustralia (396,000 customers).</w:t>
      </w:r>
    </w:p>
    <w:p w:rsidR="00D94878" w:rsidRPr="00D17E75" w:rsidRDefault="00D94878" w:rsidP="00D94878">
      <w:r w:rsidRPr="00D17E75">
        <w:t xml:space="preserve">At the end of June 2015, 76 per cent of gas customers in New South Wales were on market retail contracts. New South Wales gas consumers can choose standard retail contacts with regulated prices. The Independent Pricing and Regulatory Tribunal (IPART) sets the average regulated prices upon request from the New South Wales Government by assessing price proposals from the regulated suppliers for each area of the state. AGL is the regulated supplier for most of New South Wales (including Sydney, Wollongong, Dubbo, Orange, Parkes and parts of the Riverina), and has over two thirds of the 297,000 customers on regulated (standard) contracts. </w:t>
      </w:r>
    </w:p>
    <w:p w:rsidR="00D94878" w:rsidRPr="00D17E75" w:rsidRDefault="00D94878" w:rsidP="00D94878">
      <w:r w:rsidRPr="00D17E75">
        <w:t xml:space="preserve">In South Australia a high proportion of customers are on market retail contracts (84% of electricity customers and 83% of gas customers). The majority of electricity customers that remain on standard contracts are those of the local area retailer AGL (119,000 customers). </w:t>
      </w:r>
    </w:p>
    <w:p w:rsidR="00D94878" w:rsidRPr="00D94878" w:rsidRDefault="00D94878" w:rsidP="00D94878">
      <w:r w:rsidRPr="00D17E75">
        <w:lastRenderedPageBreak/>
        <w:t xml:space="preserve">In the ACT most small customers are on standard retail contracts (76 per cent of electricity customers and 73 per cent of gas customers), however this number decreased in 2014-15 </w:t>
      </w:r>
      <w:r w:rsidRPr="00D94878">
        <w:t>with Origin Energy’s entry into the retail market.</w:t>
      </w:r>
    </w:p>
    <w:p w:rsidR="00D94878" w:rsidRDefault="00D94878" w:rsidP="00D94878">
      <w:r w:rsidRPr="00D17E75">
        <w:t>There is still a lack of choice for small customers in Tasmania, despite the introduction of full retail competition on 1 July 2014</w:t>
      </w:r>
      <w:r w:rsidR="00A53EB0">
        <w:t>.</w:t>
      </w:r>
      <w:r w:rsidRPr="00D17E75">
        <w:t xml:space="preserve"> 88 per cent of small customers remain on standard retail contracts with Aurora Energy, at the regulated prices approved by the Tasmanian Economic Regulator. </w:t>
      </w:r>
      <w:r w:rsidR="00BC772B">
        <w:t>The remaining 12 per cent of customers (</w:t>
      </w:r>
      <w:r w:rsidRPr="00D17E75">
        <w:t>around 30,000 residential customers</w:t>
      </w:r>
      <w:r w:rsidR="00BC772B">
        <w:t>)</w:t>
      </w:r>
      <w:r w:rsidRPr="00D17E75">
        <w:t xml:space="preserve"> us</w:t>
      </w:r>
      <w:r w:rsidR="00BC772B">
        <w:t>e</w:t>
      </w:r>
      <w:r w:rsidRPr="00D17E75">
        <w:t xml:space="preserve"> prepayment</w:t>
      </w:r>
      <w:r w:rsidR="00C75DB1">
        <w:t xml:space="preserve"> </w:t>
      </w:r>
      <w:r w:rsidR="00C75DB1" w:rsidRPr="00C75DB1">
        <w:t xml:space="preserve">meters (PAYG systems) to purchase electricity, however this number is decreasing as no new PAYG </w:t>
      </w:r>
      <w:r w:rsidR="009E6C3A" w:rsidRPr="00C75DB1">
        <w:t>systems</w:t>
      </w:r>
      <w:r w:rsidR="009E6C3A" w:rsidRPr="00C75DB1" w:rsidDel="009E6C3A">
        <w:t xml:space="preserve"> </w:t>
      </w:r>
      <w:r w:rsidR="00C75DB1" w:rsidRPr="00C75DB1">
        <w:t>are being installed.</w:t>
      </w:r>
      <w:r w:rsidRPr="00D17E75">
        <w:t xml:space="preserve"> </w:t>
      </w:r>
    </w:p>
    <w:p w:rsidR="002E6A40" w:rsidRPr="00D17E75" w:rsidRDefault="002E6A40" w:rsidP="00D94878">
      <w:r>
        <w:rPr>
          <w:noProof/>
          <w:lang w:eastAsia="en-AU"/>
        </w:rPr>
        <mc:AlternateContent>
          <mc:Choice Requires="wps">
            <w:drawing>
              <wp:anchor distT="0" distB="0" distL="114300" distR="114300" simplePos="0" relativeHeight="251669504" behindDoc="0" locked="0" layoutInCell="1" allowOverlap="1" wp14:anchorId="13BA825B" wp14:editId="7527A044">
                <wp:simplePos x="0" y="0"/>
                <wp:positionH relativeFrom="column">
                  <wp:posOffset>11430</wp:posOffset>
                </wp:positionH>
                <wp:positionV relativeFrom="paragraph">
                  <wp:posOffset>549910</wp:posOffset>
                </wp:positionV>
                <wp:extent cx="5605145" cy="5711190"/>
                <wp:effectExtent l="0" t="0" r="14605" b="22860"/>
                <wp:wrapTopAndBottom/>
                <wp:docPr id="2" name="Text Box 2"/>
                <wp:cNvGraphicFramePr/>
                <a:graphic xmlns:a="http://schemas.openxmlformats.org/drawingml/2006/main">
                  <a:graphicData uri="http://schemas.microsoft.com/office/word/2010/wordprocessingShape">
                    <wps:wsp>
                      <wps:cNvSpPr txBox="1"/>
                      <wps:spPr>
                        <a:xfrm>
                          <a:off x="0" y="0"/>
                          <a:ext cx="5605145" cy="57111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71FC" w:rsidRPr="00C75DB1" w:rsidRDefault="000B71FC" w:rsidP="00C75DB1">
                            <w:pPr>
                              <w:pStyle w:val="Tabletitle"/>
                            </w:pPr>
                            <w:bookmarkStart w:id="11" w:name="_Toc432765951"/>
                            <w:r w:rsidRPr="00C75DB1">
                              <w:t>Why are some customers still on standard retail contracts?</w:t>
                            </w:r>
                            <w:bookmarkEnd w:id="11"/>
                          </w:p>
                          <w:p w:rsidR="000B71FC" w:rsidRPr="00C75DB1" w:rsidRDefault="000B71FC" w:rsidP="00C75DB1">
                            <w:r w:rsidRPr="00C75DB1">
                              <w:t>As mentioned above, the conditions of standard retail contracts (standing offers) cannot be varied by energy retailers, and standing offers are generally higher priced. Therefore the fact that some customers remain on standing offers indicates that competition may simply not be effective in their area. Our previous reports on energy affordability have shown that standing offers have been historically cheaper in some areas, such as in the ACT. Chapter 3 of this report shows the differences in annual energy bills faced by customers on market offers compared to standing offers. Residential customers on standing offers pay up to 20 per cent more each year for electricity and between up to 16 per cent more for gas. Therefore there are cheaper alternatives to standing offers, but customers simply may not know this.</w:t>
                            </w:r>
                          </w:p>
                          <w:p w:rsidR="000B71FC" w:rsidRPr="00C75DB1" w:rsidRDefault="000B71FC" w:rsidP="00C75DB1">
                            <w:r w:rsidRPr="00C75DB1">
                              <w:t xml:space="preserve">The </w:t>
                            </w:r>
                            <w:r>
                              <w:t xml:space="preserve">AEMC's </w:t>
                            </w:r>
                            <w:r w:rsidRPr="00C75DB1">
                              <w:t xml:space="preserve">2015 Competition Review found that in Victoria, South East Queensland and New South Wales, customers on standing offers are more likely to be customers who are older or living in regional areas. In Melbourne and Sydney, higher income areas are more likely to have customers on standing offers, and the reverse applies in many regional areas where lower income areas are more likely to have customers on standing offers.  </w:t>
                            </w:r>
                          </w:p>
                          <w:p w:rsidR="000B71FC" w:rsidRPr="00C75DB1" w:rsidRDefault="000B71FC" w:rsidP="00C75DB1">
                            <w:r w:rsidRPr="00C75DB1">
                              <w:t xml:space="preserve">The findings of the Competition Review </w:t>
                            </w:r>
                            <w:r>
                              <w:t xml:space="preserve">identify where there are </w:t>
                            </w:r>
                            <w:r w:rsidRPr="00C75DB1">
                              <w:t xml:space="preserve">opportunities to </w:t>
                            </w:r>
                            <w:r>
                              <w:t xml:space="preserve">better </w:t>
                            </w:r>
                            <w:r w:rsidRPr="00C75DB1">
                              <w:t xml:space="preserve">engage with and target </w:t>
                            </w:r>
                            <w:r>
                              <w:t>particular</w:t>
                            </w:r>
                            <w:r w:rsidRPr="00C75DB1">
                              <w:t xml:space="preserve"> customer groups. Older customers and customers with low incomes may not be making a conscious choice to remain on a standing offer. They may also not have access to tools to search for and compare energy offers online using price comparator websites (or knowledge of such websites). It is possible that some assume that by receiving an energy concession, they are receiving the best possible deal. Other customers may be aware of their ability to switch, but may be confused by too much information or perceive the cost to be too high. </w:t>
                            </w:r>
                          </w:p>
                          <w:p w:rsidR="000B71FC" w:rsidRDefault="000B71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pt;margin-top:43.3pt;width:441.35pt;height:44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" fillcolor="white [3201]" strokeweight=".5pt">
                <v:textbox>
                  <w:txbxContent>
                    <w:p w:rsidR="000B71FC" w:rsidRPr="00C75DB1" w:rsidRDefault="000B71FC" w:rsidP="00C75DB1">
                      <w:pPr>
                        <w:pStyle w:val="Tabletitle"/>
                      </w:pPr>
                      <w:bookmarkStart w:id="12" w:name="_Toc432765951"/>
                      <w:r w:rsidRPr="00C75DB1">
                        <w:t>Why are some customers still on standard retail contracts?</w:t>
                      </w:r>
                      <w:bookmarkEnd w:id="12"/>
                    </w:p>
                    <w:p w:rsidR="000B71FC" w:rsidRPr="00C75DB1" w:rsidRDefault="000B71FC" w:rsidP="00C75DB1">
                      <w:r w:rsidRPr="00C75DB1">
                        <w:t>As mentioned above, the conditions of standard retail contracts (standing offers) cannot be varied by energy retailers, and standing offers are generally higher priced. Therefore the fact that some customers remain on standing offers indicates that competition may simply not be effective in their area. Our previous reports on energy affordability have shown that standing offers have been historically cheaper in some areas, such as in the ACT. Chapter 3 of this report shows the differences in annual energy bills faced by customers on market offers compared to standing offers. Residential customers on standing offers pay up to 20 per cent more each year for electricity and between up to 16 per cent more for gas. Therefore there are cheaper alternatives to standing offers, but customers simply may not know this.</w:t>
                      </w:r>
                    </w:p>
                    <w:p w:rsidR="000B71FC" w:rsidRPr="00C75DB1" w:rsidRDefault="000B71FC" w:rsidP="00C75DB1">
                      <w:r w:rsidRPr="00C75DB1">
                        <w:t xml:space="preserve">The </w:t>
                      </w:r>
                      <w:r>
                        <w:t xml:space="preserve">AEMC's </w:t>
                      </w:r>
                      <w:r w:rsidRPr="00C75DB1">
                        <w:t xml:space="preserve">2015 Competition Review found that in Victoria, South East Queensland and New South Wales, customers on standing offers are more likely to be customers who are older or living in regional areas. In Melbourne and Sydney, higher income areas are more likely to have customers on standing offers, and the reverse applies in many regional areas where lower income areas are more likely to have customers on standing offers.  </w:t>
                      </w:r>
                    </w:p>
                    <w:p w:rsidR="000B71FC" w:rsidRPr="00C75DB1" w:rsidRDefault="000B71FC" w:rsidP="00C75DB1">
                      <w:r w:rsidRPr="00C75DB1">
                        <w:t xml:space="preserve">The findings of the Competition Review </w:t>
                      </w:r>
                      <w:r>
                        <w:t xml:space="preserve">identify where there are </w:t>
                      </w:r>
                      <w:r w:rsidRPr="00C75DB1">
                        <w:t xml:space="preserve">opportunities to </w:t>
                      </w:r>
                      <w:r>
                        <w:t xml:space="preserve">better </w:t>
                      </w:r>
                      <w:r w:rsidRPr="00C75DB1">
                        <w:t xml:space="preserve">engage with and target </w:t>
                      </w:r>
                      <w:r>
                        <w:t>particular</w:t>
                      </w:r>
                      <w:r w:rsidRPr="00C75DB1">
                        <w:t xml:space="preserve"> customer groups. Older customers and customers with low incomes may not be making a conscious choice to remain on a standing offer. They may also not have access to tools to search for and compare energy offers online using price comparator websites (or knowledge of such websites). It is possible that some assume that by receiving an energy concession, they are receiving the best possible deal. Other customers may be aware of their ability to switch, but may be confused by too much information or perceive the cost to be too high. </w:t>
                      </w:r>
                    </w:p>
                    <w:p w:rsidR="000B71FC" w:rsidRDefault="000B71FC"/>
                  </w:txbxContent>
                </v:textbox>
                <w10:wrap type="topAndBottom"/>
              </v:shape>
            </w:pict>
          </mc:Fallback>
        </mc:AlternateContent>
      </w:r>
      <w:r>
        <w:t>Figure 1.4 compares the proportions of customers on standard and market retail contracts in New South Wales, South Australia, the ACT and Tasmania.</w:t>
      </w:r>
    </w:p>
    <w:p w:rsidR="00C75DB1" w:rsidRDefault="00C75DB1" w:rsidP="00D94878"/>
    <w:p w:rsidR="00D94878" w:rsidRPr="00D17E75" w:rsidRDefault="00D94878" w:rsidP="00D94878">
      <w:pPr>
        <w:pStyle w:val="Tabletitle"/>
      </w:pPr>
      <w:r w:rsidRPr="00D17E75">
        <w:lastRenderedPageBreak/>
        <w:t xml:space="preserve">Figure 1.4: Small customers on standard and market retail contracts – by jurisdiction </w:t>
      </w:r>
    </w:p>
    <w:p w:rsidR="00D94878" w:rsidRPr="00D94878" w:rsidRDefault="00D94878" w:rsidP="00D94878">
      <w:r w:rsidRPr="00D94878">
        <w:rPr>
          <w:noProof/>
          <w:lang w:eastAsia="en-AU"/>
        </w:rPr>
        <w:drawing>
          <wp:inline distT="0" distB="0" distL="0" distR="0" wp14:anchorId="0C3C4E49" wp14:editId="00940A7C">
            <wp:extent cx="5760000" cy="4104000"/>
            <wp:effectExtent l="0" t="0" r="0" b="0"/>
            <wp:docPr id="43" name="Picture 43" descr="In New South Wales, 69 per cent of electricity customers and 76 per cent of gas customers are on market retail contracts. In South Australia, 84 per cent of electricity customers and 83 per cent of gas customers are on market retail contracts. In Tasmania, 88 per cent of customers are on standard retail contracts. In the ACT, 76 per cent of electricity customers and 73 per cent of gas customers are on standard retail contracts. "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4104000"/>
                    </a:xfrm>
                    <a:prstGeom prst="rect">
                      <a:avLst/>
                    </a:prstGeom>
                    <a:noFill/>
                  </pic:spPr>
                </pic:pic>
              </a:graphicData>
            </a:graphic>
          </wp:inline>
        </w:drawing>
      </w:r>
    </w:p>
    <w:p w:rsidR="00D226C7" w:rsidRDefault="00D226C7" w:rsidP="00A91A3F">
      <w:pPr>
        <w:pStyle w:val="Heading2"/>
        <w:numPr>
          <w:ilvl w:val="0"/>
          <w:numId w:val="0"/>
        </w:numPr>
      </w:pPr>
    </w:p>
    <w:p w:rsidR="00D94878" w:rsidRPr="00D17E75" w:rsidRDefault="00D94878" w:rsidP="00D94878">
      <w:pPr>
        <w:pStyle w:val="Heading2"/>
      </w:pPr>
      <w:bookmarkStart w:id="12" w:name="_Toc433026806"/>
      <w:r w:rsidRPr="00D17E75">
        <w:t>Customer switching rates</w:t>
      </w:r>
      <w:bookmarkEnd w:id="12"/>
    </w:p>
    <w:p w:rsidR="00D94878" w:rsidRPr="00D94878" w:rsidRDefault="00D94878" w:rsidP="00D94878">
      <w:r w:rsidRPr="00D17E75">
        <w:t xml:space="preserve">The rate at which customers switch their energy retailer is an indication of customer participation in the retail market. </w:t>
      </w:r>
      <w:r w:rsidR="004778A5">
        <w:t>Switching rates do not necessarily indicate the level of competition in a particular market. For example, if customer satisfaction is high there may be less incentive to switch, even in competitive markets.</w:t>
      </w:r>
      <w:r w:rsidR="00211332">
        <w:t xml:space="preserve"> </w:t>
      </w:r>
      <w:r w:rsidRPr="00D17E75">
        <w:t xml:space="preserve">In addition, switching statistics exclude customers that </w:t>
      </w:r>
      <w:r w:rsidRPr="00D94878">
        <w:t>switch between contracts with their current retailer.</w:t>
      </w:r>
    </w:p>
    <w:p w:rsidR="00D94878" w:rsidRPr="00D94878" w:rsidRDefault="00D94878" w:rsidP="00D94878">
      <w:r w:rsidRPr="00D17E75">
        <w:t>Figures 1.5 and 1.6 show the percentage of electricity and gas customers (respectively) that switched retailers over the past five years in Queensland, New South Wales, Victoria and South Australia.</w:t>
      </w:r>
      <w:r w:rsidRPr="00891A88">
        <w:rPr>
          <w:rStyle w:val="Superscript"/>
        </w:rPr>
        <w:footnoteReference w:id="9"/>
      </w:r>
      <w:r w:rsidRPr="00D94878">
        <w:t xml:space="preserve"> Switching rates were flat or declined across these states in 2014-15. </w:t>
      </w:r>
    </w:p>
    <w:p w:rsidR="00D94878" w:rsidRDefault="00D94878" w:rsidP="00D94878">
      <w:pPr>
        <w:pStyle w:val="Tabletitle"/>
      </w:pPr>
    </w:p>
    <w:p w:rsidR="00BB4F5F" w:rsidRDefault="00BB4F5F" w:rsidP="00D94878">
      <w:pPr>
        <w:pStyle w:val="Tabletitle"/>
      </w:pPr>
    </w:p>
    <w:p w:rsidR="00D94878" w:rsidRPr="00D17E75" w:rsidRDefault="00D94878" w:rsidP="00D94878">
      <w:pPr>
        <w:pStyle w:val="Tabletitle"/>
      </w:pPr>
      <w:r w:rsidRPr="00D17E75">
        <w:lastRenderedPageBreak/>
        <w:t xml:space="preserve">Figure 1.5: Electricity customer switching rates – by jurisdiction </w:t>
      </w:r>
    </w:p>
    <w:p w:rsidR="00D94878" w:rsidRPr="00D94878" w:rsidRDefault="00D94878" w:rsidP="00D94878">
      <w:r w:rsidRPr="00D94878">
        <w:rPr>
          <w:noProof/>
          <w:lang w:eastAsia="en-AU"/>
        </w:rPr>
        <w:drawing>
          <wp:inline distT="0" distB="0" distL="0" distR="0" wp14:anchorId="4A62E0DB" wp14:editId="4E591909">
            <wp:extent cx="5760000" cy="2973600"/>
            <wp:effectExtent l="0" t="0" r="0" b="0"/>
            <wp:docPr id="44" name="Picture 44" descr="In Victoria, between 6 and 8 per cent of electricity customers switched retailer in each quarter of 2014-15. In New South Wales and South Austalia, around 4 to 5 per cent of electricity customers switched retailer in each quarter of 2014-15. In Queensland, fewer than 3 per cent of electricity customers switched retailer in each quarter of 2014-15. "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2973600"/>
                    </a:xfrm>
                    <a:prstGeom prst="rect">
                      <a:avLst/>
                    </a:prstGeom>
                    <a:noFill/>
                  </pic:spPr>
                </pic:pic>
              </a:graphicData>
            </a:graphic>
          </wp:inline>
        </w:drawing>
      </w:r>
    </w:p>
    <w:p w:rsidR="00D94878" w:rsidRPr="00D17E75" w:rsidRDefault="00D94878" w:rsidP="00D94878">
      <w:pPr>
        <w:pStyle w:val="Tabletitle"/>
      </w:pPr>
      <w:r w:rsidRPr="00D17E75">
        <w:t xml:space="preserve">Figure 1.6: Gas customer switching rates – by jurisdiction </w:t>
      </w:r>
    </w:p>
    <w:p w:rsidR="00D94878" w:rsidRPr="00D94878" w:rsidRDefault="00D94878" w:rsidP="00D94878">
      <w:r w:rsidRPr="00D94878">
        <w:rPr>
          <w:noProof/>
          <w:lang w:eastAsia="en-AU"/>
        </w:rPr>
        <w:drawing>
          <wp:inline distT="0" distB="0" distL="0" distR="0" wp14:anchorId="4B224DA7" wp14:editId="7E09E245">
            <wp:extent cx="5760000" cy="3002400"/>
            <wp:effectExtent l="0" t="0" r="0" b="7620"/>
            <wp:docPr id="45" name="Picture 45" descr="In Victoria, between 5 and 6 per cent of gas customers switched retailer in each quarter of 2014-15. In New South Wales and South Australia, around 3.5 per cent of gas customers switched retailer in each quarter of 2014-15. In Queensland, around 2 per cent of gas customers switched retailer in each quarter of 2014-15. "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3002400"/>
                    </a:xfrm>
                    <a:prstGeom prst="rect">
                      <a:avLst/>
                    </a:prstGeom>
                    <a:noFill/>
                  </pic:spPr>
                </pic:pic>
              </a:graphicData>
            </a:graphic>
          </wp:inline>
        </w:drawing>
      </w:r>
    </w:p>
    <w:p w:rsidR="00D4640D" w:rsidRDefault="00D94878" w:rsidP="00D94878">
      <w:r w:rsidRPr="00D17E75">
        <w:t xml:space="preserve">The declining </w:t>
      </w:r>
      <w:r w:rsidR="00A91A3F">
        <w:t xml:space="preserve">or flat </w:t>
      </w:r>
      <w:r w:rsidRPr="00D17E75">
        <w:t>rate</w:t>
      </w:r>
      <w:r w:rsidR="00A91A3F">
        <w:t>s of customer switching suggest</w:t>
      </w:r>
      <w:r w:rsidRPr="00D17E75">
        <w:t xml:space="preserve"> that energy retailers may be shifting their focus away from customer acquisition and towards customer retention. </w:t>
      </w:r>
      <w:r w:rsidR="00D4640D">
        <w:t>Origin Energy noted in its submission to the 2015 Competition Review:</w:t>
      </w:r>
      <w:r w:rsidR="00E97160">
        <w:t xml:space="preserve"> </w:t>
      </w:r>
      <w:r w:rsidR="00D4640D">
        <w:t>"As price competition becomes more intense, retailers need to invest to retain customers. Improving customer service is one of the best ways to hold onto existing customers and promote a brand reputation that leads to new acquisitions".</w:t>
      </w:r>
    </w:p>
    <w:p w:rsidR="00D94878" w:rsidRPr="00D94878" w:rsidRDefault="00D94878" w:rsidP="00D94878">
      <w:r w:rsidRPr="00D17E75">
        <w:t xml:space="preserve">Retailers may </w:t>
      </w:r>
      <w:r w:rsidR="00592A0A">
        <w:t xml:space="preserve">also </w:t>
      </w:r>
      <w:r w:rsidRPr="00D17E75">
        <w:t xml:space="preserve">seek to retain customers by offering longer contract terms, with discounts that are conditional </w:t>
      </w:r>
      <w:r w:rsidRPr="00D94878">
        <w:t xml:space="preserve">on them remaining with the retailer for a period of time. Some retailers </w:t>
      </w:r>
      <w:r w:rsidRPr="00D94878">
        <w:lastRenderedPageBreak/>
        <w:t>have also changed their marketing practices, and ceased door-knocking prospective customers. The 2015 Competition Review found that the average proportion of customers who were approached by retailers reduced across the NEM from 53 to 39 per cent</w:t>
      </w:r>
      <w:r w:rsidR="009E6C3A">
        <w:t xml:space="preserve"> in 2015</w:t>
      </w:r>
      <w:r w:rsidRPr="00D94878">
        <w:t>. However this is unlikely to be the sole driver of lower switching rates, with some research suggesting that most switches are customer-led, rather than being driven by the retailer.</w:t>
      </w:r>
      <w:r w:rsidRPr="00891A88">
        <w:rPr>
          <w:rStyle w:val="Superscript"/>
        </w:rPr>
        <w:footnoteReference w:id="10"/>
      </w:r>
      <w:r w:rsidRPr="00D94878">
        <w:t xml:space="preserve"> </w:t>
      </w:r>
    </w:p>
    <w:p w:rsidR="00D94878" w:rsidRPr="00D94878" w:rsidRDefault="00D94878" w:rsidP="00D94878">
      <w:r w:rsidRPr="00D17E75">
        <w:t xml:space="preserve">Small customers in Victoria more actively switch between energy retailers </w:t>
      </w:r>
      <w:r w:rsidRPr="00D94878">
        <w:t xml:space="preserve">compared with customers in other jurisdictions. This is likely due to </w:t>
      </w:r>
      <w:r w:rsidR="00A23E97">
        <w:t xml:space="preserve">more choice of products (due to the use of smart meters) and greater awareness of these choices. There is also more competition in the retail gas market, with </w:t>
      </w:r>
      <w:r w:rsidR="00556A9C">
        <w:t>nine</w:t>
      </w:r>
      <w:r w:rsidR="00A23E97">
        <w:t xml:space="preserve"> </w:t>
      </w:r>
      <w:r w:rsidR="000D555C">
        <w:t xml:space="preserve">gas </w:t>
      </w:r>
      <w:r w:rsidR="00A23E97">
        <w:t xml:space="preserve">retailers available to </w:t>
      </w:r>
      <w:r w:rsidR="000D555C">
        <w:t xml:space="preserve">Victorian </w:t>
      </w:r>
      <w:r w:rsidR="00A23E97">
        <w:t xml:space="preserve">households. Our analysis of energy affordability (Chapter 3) also shows that the range in energy bills was generally largest in Victoria, and therefore the potential savings from switching are greatest. </w:t>
      </w:r>
    </w:p>
    <w:p w:rsidR="00E97160" w:rsidRDefault="00D94878" w:rsidP="00D94878">
      <w:r w:rsidRPr="00D17E75">
        <w:t xml:space="preserve">A customer that finds a preferable offer may still </w:t>
      </w:r>
      <w:r w:rsidRPr="00D94878">
        <w:t xml:space="preserve">have to pay an early exit fee if </w:t>
      </w:r>
      <w:r w:rsidR="00F3464A">
        <w:t>they</w:t>
      </w:r>
      <w:r w:rsidR="009E6C3A" w:rsidRPr="00D94878">
        <w:t xml:space="preserve"> </w:t>
      </w:r>
      <w:r w:rsidRPr="00D94878">
        <w:t xml:space="preserve">choose to switch energy retailers. </w:t>
      </w:r>
      <w:r w:rsidR="00E97160">
        <w:t>Exit fees can only be charged in a market retail contract that is a fixed period contract and if the contract is terminated in that fixed period. The amount of the fee must be a reasonable estimate of the costs to the retailer resulting from early termination.</w:t>
      </w:r>
      <w:r w:rsidR="00E97160">
        <w:rPr>
          <w:rStyle w:val="FootnoteReference"/>
        </w:rPr>
        <w:footnoteReference w:id="11"/>
      </w:r>
      <w:r w:rsidR="00E97160">
        <w:t xml:space="preserve"> Some jurisdictions have separate regulatory requirements governing exit fees. For example, in New South Wales retailers must waive exit fees for hardship and certain other customers experiencing financial difficulty.</w:t>
      </w:r>
    </w:p>
    <w:p w:rsidR="00D94878" w:rsidRPr="00D94878" w:rsidRDefault="00D94878" w:rsidP="00D94878">
      <w:r w:rsidRPr="00D94878">
        <w:t xml:space="preserve">Despite the recent increased availability of market contracts without these exit fees, they still </w:t>
      </w:r>
      <w:r w:rsidR="004778A5">
        <w:t xml:space="preserve">may </w:t>
      </w:r>
      <w:r w:rsidRPr="00D94878">
        <w:t xml:space="preserve">act as a barrier to customer switching. Table 1.1 summarises the range in exit fees across different jurisdictions, and shows that in some areas exit fees can be as </w:t>
      </w:r>
      <w:r w:rsidR="006C0219">
        <w:t>high</w:t>
      </w:r>
      <w:r w:rsidR="006C0219" w:rsidRPr="00D94878">
        <w:t xml:space="preserve"> </w:t>
      </w:r>
      <w:r w:rsidRPr="00D94878">
        <w:t xml:space="preserve">as $187.  </w:t>
      </w:r>
    </w:p>
    <w:p w:rsidR="00D94878" w:rsidRPr="00D17E75" w:rsidRDefault="00D94878" w:rsidP="00D94878">
      <w:pPr>
        <w:pStyle w:val="Tabletitle"/>
      </w:pPr>
      <w:r w:rsidRPr="00D17E75">
        <w:t>Table 1.1: Early exit fees, residential electricity and gas offers</w:t>
      </w:r>
    </w:p>
    <w:tbl>
      <w:tblPr>
        <w:tblW w:w="0" w:type="auto"/>
        <w:tblLook w:val="04A0" w:firstRow="1" w:lastRow="0" w:firstColumn="1" w:lastColumn="0" w:noHBand="0" w:noVBand="1"/>
      </w:tblPr>
      <w:tblGrid>
        <w:gridCol w:w="3652"/>
        <w:gridCol w:w="1418"/>
        <w:gridCol w:w="2835"/>
        <w:gridCol w:w="1337"/>
      </w:tblGrid>
      <w:tr w:rsidR="00D94878" w:rsidRPr="00D17E75" w:rsidTr="00D226C7">
        <w:tc>
          <w:tcPr>
            <w:tcW w:w="3652" w:type="dxa"/>
            <w:shd w:val="clear" w:color="auto" w:fill="F2F2F2" w:themeFill="background1" w:themeFillShade="F2"/>
          </w:tcPr>
          <w:p w:rsidR="00D94878" w:rsidRPr="00A35B80" w:rsidRDefault="00D94878" w:rsidP="00E92189">
            <w:pPr>
              <w:pStyle w:val="Tabletext"/>
              <w:rPr>
                <w:rStyle w:val="Strong"/>
              </w:rPr>
            </w:pPr>
            <w:r w:rsidRPr="00A35B80">
              <w:rPr>
                <w:rStyle w:val="Strong"/>
              </w:rPr>
              <w:t>Electricity (supply area)</w:t>
            </w:r>
          </w:p>
        </w:tc>
        <w:tc>
          <w:tcPr>
            <w:tcW w:w="1418" w:type="dxa"/>
            <w:shd w:val="clear" w:color="auto" w:fill="F2F2F2" w:themeFill="background1" w:themeFillShade="F2"/>
          </w:tcPr>
          <w:p w:rsidR="00D94878" w:rsidRPr="00A35B80" w:rsidRDefault="00D94878" w:rsidP="00E92189">
            <w:pPr>
              <w:pStyle w:val="Tabletext"/>
              <w:rPr>
                <w:rStyle w:val="Strong"/>
              </w:rPr>
            </w:pPr>
            <w:r w:rsidRPr="00A35B80">
              <w:rPr>
                <w:rStyle w:val="Strong"/>
              </w:rPr>
              <w:t>Exit fee</w:t>
            </w:r>
          </w:p>
        </w:tc>
        <w:tc>
          <w:tcPr>
            <w:tcW w:w="2835" w:type="dxa"/>
            <w:shd w:val="clear" w:color="auto" w:fill="F2F2F2" w:themeFill="background1" w:themeFillShade="F2"/>
          </w:tcPr>
          <w:p w:rsidR="00D94878" w:rsidRPr="00A35B80" w:rsidRDefault="00D94878" w:rsidP="00E92189">
            <w:pPr>
              <w:pStyle w:val="Tabletext"/>
              <w:rPr>
                <w:rStyle w:val="Strong"/>
              </w:rPr>
            </w:pPr>
            <w:r w:rsidRPr="00A35B80">
              <w:rPr>
                <w:rStyle w:val="Strong"/>
              </w:rPr>
              <w:t>Gas (supply area)</w:t>
            </w:r>
          </w:p>
        </w:tc>
        <w:tc>
          <w:tcPr>
            <w:tcW w:w="1337" w:type="dxa"/>
            <w:shd w:val="clear" w:color="auto" w:fill="F2F2F2" w:themeFill="background1" w:themeFillShade="F2"/>
          </w:tcPr>
          <w:p w:rsidR="00D94878" w:rsidRPr="00A35B80" w:rsidRDefault="00D94878" w:rsidP="00E92189">
            <w:pPr>
              <w:pStyle w:val="Tabletext"/>
              <w:rPr>
                <w:rStyle w:val="Strong"/>
              </w:rPr>
            </w:pPr>
            <w:r w:rsidRPr="00A35B80">
              <w:rPr>
                <w:rStyle w:val="Strong"/>
              </w:rPr>
              <w:t>Exit fee</w:t>
            </w:r>
          </w:p>
        </w:tc>
      </w:tr>
      <w:tr w:rsidR="00D94878" w:rsidRPr="00D17E75" w:rsidTr="00D226C7">
        <w:tc>
          <w:tcPr>
            <w:tcW w:w="3652" w:type="dxa"/>
            <w:tcBorders>
              <w:top w:val="single" w:sz="4" w:space="0" w:color="BFBFBF" w:themeColor="background1" w:themeShade="BF"/>
              <w:bottom w:val="single" w:sz="4" w:space="0" w:color="auto"/>
            </w:tcBorders>
          </w:tcPr>
          <w:p w:rsidR="00D94878" w:rsidRPr="00D94878" w:rsidRDefault="00D94878" w:rsidP="00E92189">
            <w:pPr>
              <w:pStyle w:val="Tabletext"/>
            </w:pPr>
            <w:r w:rsidRPr="00D94878">
              <w:t>NSW (Ausgrid)</w:t>
            </w:r>
          </w:p>
        </w:tc>
        <w:tc>
          <w:tcPr>
            <w:tcW w:w="1418" w:type="dxa"/>
            <w:tcBorders>
              <w:top w:val="single" w:sz="4" w:space="0" w:color="BFBFBF" w:themeColor="background1" w:themeShade="BF"/>
              <w:bottom w:val="single" w:sz="4" w:space="0" w:color="auto"/>
            </w:tcBorders>
          </w:tcPr>
          <w:p w:rsidR="00D94878" w:rsidRPr="00D17E75" w:rsidRDefault="00D94878" w:rsidP="00E92189">
            <w:pPr>
              <w:pStyle w:val="Tabletext"/>
            </w:pPr>
            <w:r w:rsidRPr="00D17E75">
              <w:t>$22-157.50</w:t>
            </w:r>
          </w:p>
        </w:tc>
        <w:tc>
          <w:tcPr>
            <w:tcW w:w="2835" w:type="dxa"/>
            <w:tcBorders>
              <w:top w:val="single" w:sz="4" w:space="0" w:color="BFBFBF" w:themeColor="background1" w:themeShade="BF"/>
              <w:bottom w:val="single" w:sz="4" w:space="0" w:color="auto"/>
            </w:tcBorders>
          </w:tcPr>
          <w:p w:rsidR="00D94878" w:rsidRPr="00D17E75" w:rsidRDefault="00D94878" w:rsidP="00E92189">
            <w:pPr>
              <w:pStyle w:val="Tabletext"/>
            </w:pPr>
            <w:r w:rsidRPr="00D17E75">
              <w:t>NSW (urban)</w:t>
            </w:r>
          </w:p>
        </w:tc>
        <w:tc>
          <w:tcPr>
            <w:tcW w:w="1337" w:type="dxa"/>
            <w:tcBorders>
              <w:top w:val="single" w:sz="4" w:space="0" w:color="BFBFBF" w:themeColor="background1" w:themeShade="BF"/>
              <w:bottom w:val="single" w:sz="4" w:space="0" w:color="auto"/>
            </w:tcBorders>
          </w:tcPr>
          <w:p w:rsidR="00D94878" w:rsidRPr="00D17E75" w:rsidRDefault="00D94878" w:rsidP="00E92189">
            <w:pPr>
              <w:pStyle w:val="Tabletext"/>
            </w:pPr>
            <w:r w:rsidRPr="00D17E75">
              <w:t>$50-90</w:t>
            </w:r>
          </w:p>
        </w:tc>
      </w:tr>
      <w:tr w:rsidR="00D94878" w:rsidRPr="00D17E75" w:rsidTr="00D226C7">
        <w:tc>
          <w:tcPr>
            <w:tcW w:w="3652" w:type="dxa"/>
            <w:tcBorders>
              <w:top w:val="single" w:sz="4" w:space="0" w:color="auto"/>
              <w:bottom w:val="single" w:sz="4" w:space="0" w:color="auto"/>
            </w:tcBorders>
          </w:tcPr>
          <w:p w:rsidR="00D94878" w:rsidRPr="00D94878" w:rsidRDefault="00D94878" w:rsidP="00E92189">
            <w:pPr>
              <w:pStyle w:val="Tabletext"/>
            </w:pPr>
            <w:r w:rsidRPr="00D94878">
              <w:t>NSW (Endeavour Energy)</w:t>
            </w:r>
          </w:p>
        </w:tc>
        <w:tc>
          <w:tcPr>
            <w:tcW w:w="1418" w:type="dxa"/>
            <w:tcBorders>
              <w:top w:val="single" w:sz="4" w:space="0" w:color="auto"/>
              <w:bottom w:val="single" w:sz="4" w:space="0" w:color="auto"/>
            </w:tcBorders>
          </w:tcPr>
          <w:p w:rsidR="00D94878" w:rsidRPr="00D17E75" w:rsidRDefault="00D94878" w:rsidP="00E92189">
            <w:pPr>
              <w:pStyle w:val="Tabletext"/>
            </w:pPr>
            <w:r w:rsidRPr="00D17E75">
              <w:t>$22-157.50</w:t>
            </w:r>
          </w:p>
        </w:tc>
        <w:tc>
          <w:tcPr>
            <w:tcW w:w="2835" w:type="dxa"/>
            <w:tcBorders>
              <w:top w:val="single" w:sz="4" w:space="0" w:color="auto"/>
              <w:bottom w:val="single" w:sz="4" w:space="0" w:color="auto"/>
            </w:tcBorders>
          </w:tcPr>
          <w:p w:rsidR="00D94878" w:rsidRPr="00D17E75" w:rsidRDefault="00D94878" w:rsidP="00E92189">
            <w:pPr>
              <w:pStyle w:val="Tabletext"/>
            </w:pPr>
            <w:r w:rsidRPr="00D17E75">
              <w:t>NSW (rural)</w:t>
            </w:r>
          </w:p>
        </w:tc>
        <w:tc>
          <w:tcPr>
            <w:tcW w:w="1337" w:type="dxa"/>
            <w:tcBorders>
              <w:top w:val="single" w:sz="4" w:space="0" w:color="auto"/>
              <w:bottom w:val="single" w:sz="4" w:space="0" w:color="auto"/>
            </w:tcBorders>
          </w:tcPr>
          <w:p w:rsidR="00D94878" w:rsidRPr="00D17E75" w:rsidRDefault="00D94878" w:rsidP="00E92189">
            <w:pPr>
              <w:pStyle w:val="Tabletext"/>
            </w:pPr>
            <w:r w:rsidRPr="00D17E75">
              <w:t>-</w:t>
            </w:r>
          </w:p>
        </w:tc>
      </w:tr>
      <w:tr w:rsidR="00D94878" w:rsidRPr="00D17E75" w:rsidTr="00D226C7">
        <w:tc>
          <w:tcPr>
            <w:tcW w:w="3652" w:type="dxa"/>
            <w:tcBorders>
              <w:top w:val="single" w:sz="4" w:space="0" w:color="auto"/>
              <w:bottom w:val="single" w:sz="4" w:space="0" w:color="auto"/>
            </w:tcBorders>
          </w:tcPr>
          <w:p w:rsidR="00D94878" w:rsidRPr="00D94878" w:rsidRDefault="00D94878" w:rsidP="00E92189">
            <w:pPr>
              <w:pStyle w:val="Tabletext"/>
            </w:pPr>
            <w:r w:rsidRPr="00D94878">
              <w:t>NSW (Essential Energy)</w:t>
            </w:r>
          </w:p>
        </w:tc>
        <w:tc>
          <w:tcPr>
            <w:tcW w:w="1418" w:type="dxa"/>
            <w:tcBorders>
              <w:top w:val="single" w:sz="4" w:space="0" w:color="auto"/>
              <w:bottom w:val="single" w:sz="4" w:space="0" w:color="auto"/>
            </w:tcBorders>
          </w:tcPr>
          <w:p w:rsidR="00D94878" w:rsidRPr="00D17E75" w:rsidRDefault="00D94878" w:rsidP="00E92189">
            <w:pPr>
              <w:pStyle w:val="Tabletext"/>
            </w:pPr>
            <w:r w:rsidRPr="00D17E75">
              <w:t>$22-187</w:t>
            </w:r>
          </w:p>
        </w:tc>
        <w:tc>
          <w:tcPr>
            <w:tcW w:w="2835" w:type="dxa"/>
            <w:tcBorders>
              <w:top w:val="single" w:sz="4" w:space="0" w:color="auto"/>
              <w:bottom w:val="single" w:sz="4" w:space="0" w:color="auto"/>
            </w:tcBorders>
          </w:tcPr>
          <w:p w:rsidR="00D94878" w:rsidRPr="00D17E75" w:rsidRDefault="00D94878" w:rsidP="00E92189">
            <w:pPr>
              <w:pStyle w:val="Tabletext"/>
            </w:pPr>
            <w:r w:rsidRPr="00D17E75">
              <w:t>South Australia (urban)</w:t>
            </w:r>
          </w:p>
        </w:tc>
        <w:tc>
          <w:tcPr>
            <w:tcW w:w="1337" w:type="dxa"/>
            <w:tcBorders>
              <w:top w:val="single" w:sz="4" w:space="0" w:color="auto"/>
              <w:bottom w:val="single" w:sz="4" w:space="0" w:color="auto"/>
            </w:tcBorders>
          </w:tcPr>
          <w:p w:rsidR="00D94878" w:rsidRPr="00D17E75" w:rsidRDefault="00D94878" w:rsidP="00E92189">
            <w:pPr>
              <w:pStyle w:val="Tabletext"/>
            </w:pPr>
            <w:r w:rsidRPr="00D17E75">
              <w:t>$50-90</w:t>
            </w:r>
          </w:p>
        </w:tc>
      </w:tr>
      <w:tr w:rsidR="00D94878" w:rsidRPr="00D17E75" w:rsidTr="00D226C7">
        <w:tc>
          <w:tcPr>
            <w:tcW w:w="3652" w:type="dxa"/>
            <w:tcBorders>
              <w:top w:val="single" w:sz="4" w:space="0" w:color="auto"/>
              <w:bottom w:val="single" w:sz="4" w:space="0" w:color="auto"/>
            </w:tcBorders>
          </w:tcPr>
          <w:p w:rsidR="00D94878" w:rsidRPr="00D94878" w:rsidRDefault="00D94878" w:rsidP="00E92189">
            <w:pPr>
              <w:pStyle w:val="Tabletext"/>
            </w:pPr>
            <w:r w:rsidRPr="00D94878">
              <w:t>South Australia (SAPN)</w:t>
            </w:r>
          </w:p>
        </w:tc>
        <w:tc>
          <w:tcPr>
            <w:tcW w:w="1418" w:type="dxa"/>
            <w:tcBorders>
              <w:top w:val="single" w:sz="4" w:space="0" w:color="auto"/>
              <w:bottom w:val="single" w:sz="4" w:space="0" w:color="auto"/>
            </w:tcBorders>
          </w:tcPr>
          <w:p w:rsidR="00D94878" w:rsidRPr="00D17E75" w:rsidRDefault="00D94878" w:rsidP="00E92189">
            <w:pPr>
              <w:pStyle w:val="Tabletext"/>
            </w:pPr>
            <w:r w:rsidRPr="00D17E75">
              <w:t>$22-157.50</w:t>
            </w:r>
          </w:p>
        </w:tc>
        <w:tc>
          <w:tcPr>
            <w:tcW w:w="2835" w:type="dxa"/>
            <w:tcBorders>
              <w:top w:val="single" w:sz="4" w:space="0" w:color="auto"/>
              <w:bottom w:val="single" w:sz="4" w:space="0" w:color="auto"/>
            </w:tcBorders>
          </w:tcPr>
          <w:p w:rsidR="00D94878" w:rsidRPr="00D17E75" w:rsidRDefault="00D94878" w:rsidP="00E92189">
            <w:pPr>
              <w:pStyle w:val="Tabletext"/>
            </w:pPr>
            <w:r w:rsidRPr="00D17E75">
              <w:t>South Australia (rural)</w:t>
            </w:r>
          </w:p>
        </w:tc>
        <w:tc>
          <w:tcPr>
            <w:tcW w:w="1337" w:type="dxa"/>
            <w:tcBorders>
              <w:top w:val="single" w:sz="4" w:space="0" w:color="auto"/>
              <w:bottom w:val="single" w:sz="4" w:space="0" w:color="auto"/>
            </w:tcBorders>
          </w:tcPr>
          <w:p w:rsidR="00D94878" w:rsidRPr="00D17E75" w:rsidRDefault="00D94878" w:rsidP="00E92189">
            <w:pPr>
              <w:pStyle w:val="Tabletext"/>
            </w:pPr>
            <w:r w:rsidRPr="00D17E75">
              <w:t>-</w:t>
            </w:r>
          </w:p>
        </w:tc>
      </w:tr>
      <w:tr w:rsidR="00D94878" w:rsidRPr="00D17E75" w:rsidTr="00D226C7">
        <w:tc>
          <w:tcPr>
            <w:tcW w:w="3652" w:type="dxa"/>
            <w:tcBorders>
              <w:top w:val="single" w:sz="4" w:space="0" w:color="auto"/>
              <w:bottom w:val="single" w:sz="4" w:space="0" w:color="auto"/>
            </w:tcBorders>
          </w:tcPr>
          <w:p w:rsidR="00D94878" w:rsidRPr="00D94878" w:rsidRDefault="00D94878" w:rsidP="00E92189">
            <w:pPr>
              <w:pStyle w:val="Tabletext"/>
            </w:pPr>
            <w:r w:rsidRPr="00D94878">
              <w:t>ACT (ActewAGL)</w:t>
            </w:r>
          </w:p>
        </w:tc>
        <w:tc>
          <w:tcPr>
            <w:tcW w:w="1418" w:type="dxa"/>
            <w:tcBorders>
              <w:top w:val="single" w:sz="4" w:space="0" w:color="auto"/>
              <w:bottom w:val="single" w:sz="4" w:space="0" w:color="auto"/>
            </w:tcBorders>
          </w:tcPr>
          <w:p w:rsidR="00D94878" w:rsidRPr="00D17E75" w:rsidRDefault="00D94878" w:rsidP="00E92189">
            <w:pPr>
              <w:pStyle w:val="Tabletext"/>
            </w:pPr>
            <w:r w:rsidRPr="00D17E75">
              <w:t>$50-90</w:t>
            </w:r>
          </w:p>
        </w:tc>
        <w:tc>
          <w:tcPr>
            <w:tcW w:w="2835" w:type="dxa"/>
            <w:tcBorders>
              <w:top w:val="single" w:sz="4" w:space="0" w:color="auto"/>
              <w:bottom w:val="single" w:sz="4" w:space="0" w:color="auto"/>
            </w:tcBorders>
          </w:tcPr>
          <w:p w:rsidR="00D94878" w:rsidRPr="00D17E75" w:rsidRDefault="00D94878" w:rsidP="00E92189">
            <w:pPr>
              <w:pStyle w:val="Tabletext"/>
            </w:pPr>
            <w:r w:rsidRPr="00D17E75">
              <w:t>ACT (ActewAGL)</w:t>
            </w:r>
          </w:p>
        </w:tc>
        <w:tc>
          <w:tcPr>
            <w:tcW w:w="1337" w:type="dxa"/>
            <w:tcBorders>
              <w:top w:val="single" w:sz="4" w:space="0" w:color="auto"/>
              <w:bottom w:val="single" w:sz="4" w:space="0" w:color="auto"/>
            </w:tcBorders>
          </w:tcPr>
          <w:p w:rsidR="00D94878" w:rsidRPr="00D17E75" w:rsidRDefault="00D94878" w:rsidP="00E92189">
            <w:pPr>
              <w:pStyle w:val="Tabletext"/>
            </w:pPr>
            <w:r w:rsidRPr="00D17E75">
              <w:t>$50-90</w:t>
            </w:r>
          </w:p>
        </w:tc>
      </w:tr>
      <w:tr w:rsidR="00D94878" w:rsidRPr="00D17E75" w:rsidTr="00D226C7">
        <w:tc>
          <w:tcPr>
            <w:tcW w:w="3652" w:type="dxa"/>
            <w:tcBorders>
              <w:top w:val="single" w:sz="4" w:space="0" w:color="auto"/>
              <w:bottom w:val="single" w:sz="4" w:space="0" w:color="auto"/>
            </w:tcBorders>
          </w:tcPr>
          <w:p w:rsidR="00D94878" w:rsidRPr="00D94878" w:rsidRDefault="00D94878" w:rsidP="00E92189">
            <w:pPr>
              <w:pStyle w:val="Tabletext"/>
            </w:pPr>
            <w:r w:rsidRPr="00D94878">
              <w:t>Tasmania (TasNetworks)</w:t>
            </w:r>
          </w:p>
        </w:tc>
        <w:tc>
          <w:tcPr>
            <w:tcW w:w="1418" w:type="dxa"/>
            <w:tcBorders>
              <w:top w:val="single" w:sz="4" w:space="0" w:color="auto"/>
              <w:bottom w:val="single" w:sz="4" w:space="0" w:color="auto"/>
            </w:tcBorders>
          </w:tcPr>
          <w:p w:rsidR="00D94878" w:rsidRPr="00D17E75" w:rsidRDefault="00D94878" w:rsidP="00E92189">
            <w:pPr>
              <w:pStyle w:val="Tabletext"/>
            </w:pPr>
            <w:r w:rsidRPr="00D17E75">
              <w:t>-</w:t>
            </w:r>
          </w:p>
        </w:tc>
        <w:tc>
          <w:tcPr>
            <w:tcW w:w="2835" w:type="dxa"/>
            <w:tcBorders>
              <w:top w:val="single" w:sz="4" w:space="0" w:color="auto"/>
              <w:bottom w:val="single" w:sz="4" w:space="0" w:color="auto"/>
            </w:tcBorders>
          </w:tcPr>
          <w:p w:rsidR="00D94878" w:rsidRPr="00D17E75" w:rsidRDefault="00D94878" w:rsidP="00E92189">
            <w:pPr>
              <w:pStyle w:val="Tabletext"/>
            </w:pPr>
            <w:r w:rsidRPr="00D17E75">
              <w:t>Victoria (urban)</w:t>
            </w:r>
          </w:p>
        </w:tc>
        <w:tc>
          <w:tcPr>
            <w:tcW w:w="1337" w:type="dxa"/>
            <w:tcBorders>
              <w:top w:val="single" w:sz="4" w:space="0" w:color="auto"/>
              <w:bottom w:val="single" w:sz="4" w:space="0" w:color="auto"/>
            </w:tcBorders>
          </w:tcPr>
          <w:p w:rsidR="00D94878" w:rsidRPr="00D17E75" w:rsidRDefault="00D94878" w:rsidP="00E92189">
            <w:pPr>
              <w:pStyle w:val="Tabletext"/>
            </w:pPr>
            <w:r w:rsidRPr="00D17E75">
              <w:t>$22-157.50</w:t>
            </w:r>
          </w:p>
        </w:tc>
      </w:tr>
      <w:tr w:rsidR="00D94878" w:rsidRPr="00D17E75" w:rsidTr="00D226C7">
        <w:tc>
          <w:tcPr>
            <w:tcW w:w="3652" w:type="dxa"/>
            <w:tcBorders>
              <w:top w:val="single" w:sz="4" w:space="0" w:color="auto"/>
              <w:bottom w:val="single" w:sz="4" w:space="0" w:color="auto"/>
            </w:tcBorders>
          </w:tcPr>
          <w:p w:rsidR="00D94878" w:rsidRPr="00D94878" w:rsidRDefault="00C073F6" w:rsidP="00C073F6">
            <w:pPr>
              <w:pStyle w:val="Tabletext"/>
            </w:pPr>
            <w:r>
              <w:t>Victoria (CitiP</w:t>
            </w:r>
            <w:r w:rsidR="00D94878" w:rsidRPr="00D94878">
              <w:t>ower)</w:t>
            </w:r>
          </w:p>
        </w:tc>
        <w:tc>
          <w:tcPr>
            <w:tcW w:w="1418" w:type="dxa"/>
            <w:tcBorders>
              <w:top w:val="single" w:sz="4" w:space="0" w:color="auto"/>
              <w:bottom w:val="single" w:sz="4" w:space="0" w:color="auto"/>
            </w:tcBorders>
          </w:tcPr>
          <w:p w:rsidR="00D94878" w:rsidRPr="00D17E75" w:rsidRDefault="00D94878" w:rsidP="00E92189">
            <w:pPr>
              <w:pStyle w:val="Tabletext"/>
            </w:pPr>
            <w:r w:rsidRPr="00D17E75">
              <w:t>$20-157.50</w:t>
            </w:r>
          </w:p>
        </w:tc>
        <w:tc>
          <w:tcPr>
            <w:tcW w:w="2835" w:type="dxa"/>
            <w:tcBorders>
              <w:top w:val="single" w:sz="4" w:space="0" w:color="auto"/>
              <w:bottom w:val="single" w:sz="4" w:space="0" w:color="auto"/>
            </w:tcBorders>
          </w:tcPr>
          <w:p w:rsidR="00D94878" w:rsidRPr="00D17E75" w:rsidRDefault="00D94878" w:rsidP="00E92189">
            <w:pPr>
              <w:pStyle w:val="Tabletext"/>
            </w:pPr>
            <w:r w:rsidRPr="00D17E75">
              <w:t>Victoria (rural)</w:t>
            </w:r>
          </w:p>
        </w:tc>
        <w:tc>
          <w:tcPr>
            <w:tcW w:w="1337" w:type="dxa"/>
            <w:tcBorders>
              <w:top w:val="single" w:sz="4" w:space="0" w:color="auto"/>
              <w:bottom w:val="single" w:sz="4" w:space="0" w:color="auto"/>
            </w:tcBorders>
          </w:tcPr>
          <w:p w:rsidR="00D94878" w:rsidRPr="00D17E75" w:rsidRDefault="00D94878" w:rsidP="00E92189">
            <w:pPr>
              <w:pStyle w:val="Tabletext"/>
            </w:pPr>
            <w:r w:rsidRPr="00D17E75">
              <w:t>$22-157.50</w:t>
            </w:r>
          </w:p>
        </w:tc>
      </w:tr>
      <w:tr w:rsidR="00D94878" w:rsidRPr="00D17E75" w:rsidTr="00D226C7">
        <w:tc>
          <w:tcPr>
            <w:tcW w:w="3652" w:type="dxa"/>
            <w:tcBorders>
              <w:top w:val="single" w:sz="4" w:space="0" w:color="auto"/>
              <w:bottom w:val="single" w:sz="4" w:space="0" w:color="BFBFBF" w:themeColor="background1" w:themeShade="BF"/>
            </w:tcBorders>
          </w:tcPr>
          <w:p w:rsidR="00D94878" w:rsidRPr="00D94878" w:rsidRDefault="00D94878" w:rsidP="00E92189">
            <w:pPr>
              <w:pStyle w:val="Tabletext"/>
            </w:pPr>
            <w:r w:rsidRPr="00D94878">
              <w:t>Victoria (other)</w:t>
            </w:r>
          </w:p>
        </w:tc>
        <w:tc>
          <w:tcPr>
            <w:tcW w:w="1418" w:type="dxa"/>
            <w:tcBorders>
              <w:top w:val="single" w:sz="4" w:space="0" w:color="auto"/>
              <w:bottom w:val="single" w:sz="4" w:space="0" w:color="BFBFBF" w:themeColor="background1" w:themeShade="BF"/>
            </w:tcBorders>
          </w:tcPr>
          <w:p w:rsidR="00D94878" w:rsidRPr="00D17E75" w:rsidRDefault="00D94878" w:rsidP="00E92189">
            <w:pPr>
              <w:pStyle w:val="Tabletext"/>
            </w:pPr>
            <w:r w:rsidRPr="00D17E75">
              <w:t>$20-157.50</w:t>
            </w:r>
          </w:p>
        </w:tc>
        <w:tc>
          <w:tcPr>
            <w:tcW w:w="2835" w:type="dxa"/>
            <w:tcBorders>
              <w:top w:val="single" w:sz="4" w:space="0" w:color="auto"/>
              <w:bottom w:val="single" w:sz="4" w:space="0" w:color="BFBFBF" w:themeColor="background1" w:themeShade="BF"/>
            </w:tcBorders>
          </w:tcPr>
          <w:p w:rsidR="00D94878" w:rsidRPr="00D17E75" w:rsidRDefault="00D94878" w:rsidP="00E92189">
            <w:pPr>
              <w:pStyle w:val="Tabletext"/>
            </w:pPr>
          </w:p>
        </w:tc>
        <w:tc>
          <w:tcPr>
            <w:tcW w:w="1337" w:type="dxa"/>
            <w:tcBorders>
              <w:top w:val="single" w:sz="4" w:space="0" w:color="auto"/>
              <w:bottom w:val="single" w:sz="4" w:space="0" w:color="BFBFBF" w:themeColor="background1" w:themeShade="BF"/>
            </w:tcBorders>
          </w:tcPr>
          <w:p w:rsidR="00D94878" w:rsidRPr="00D17E75" w:rsidRDefault="00D94878" w:rsidP="00E92189">
            <w:pPr>
              <w:pStyle w:val="Tabletext"/>
            </w:pPr>
          </w:p>
        </w:tc>
      </w:tr>
    </w:tbl>
    <w:p w:rsidR="00E97160" w:rsidRDefault="00E97160" w:rsidP="00E97160">
      <w:pPr>
        <w:pStyle w:val="Note"/>
      </w:pPr>
      <w:r>
        <w:t>Source: AEMC 2015 Retail Competition Review</w:t>
      </w:r>
    </w:p>
    <w:p w:rsidR="00D94878" w:rsidRPr="00D94878" w:rsidRDefault="00D94878" w:rsidP="00D94878">
      <w:r w:rsidRPr="00D17E75">
        <w:lastRenderedPageBreak/>
        <w:t xml:space="preserve">Figure 1.7 shows switching rates in the ACT over the last three years for electricity and gas. Historically, switching has been very low, as ActewAGL only competed with EnergyAustralia for electricity and gas. Origin Energy entered the ACT market in September 2014, and has attracted a small but </w:t>
      </w:r>
      <w:r w:rsidRPr="00D94878">
        <w:t xml:space="preserve">growing share of the market through its market offers. Chapter 3 of this report shows that market offers are now cheaper than standing offers for both electricity and gas in the ACT.     </w:t>
      </w:r>
    </w:p>
    <w:p w:rsidR="00D94878" w:rsidRPr="00D94878" w:rsidRDefault="00D94878" w:rsidP="00D94878">
      <w:pPr>
        <w:pStyle w:val="Tabletitle"/>
      </w:pPr>
      <w:r w:rsidRPr="00D94878">
        <w:t>Figure 1.7: Electricity and gas customer switching rates in the ACT</w:t>
      </w:r>
    </w:p>
    <w:p w:rsidR="00D94878" w:rsidRPr="00D94878" w:rsidRDefault="00A91A3F" w:rsidP="00D94878">
      <w:r w:rsidRPr="00D94878">
        <w:rPr>
          <w:noProof/>
          <w:lang w:eastAsia="en-AU"/>
        </w:rPr>
        <mc:AlternateContent>
          <mc:Choice Requires="wps">
            <w:drawing>
              <wp:anchor distT="0" distB="0" distL="114300" distR="114300" simplePos="0" relativeHeight="251663360" behindDoc="0" locked="0" layoutInCell="1" allowOverlap="1" wp14:anchorId="5C3A72C4" wp14:editId="4951B33A">
                <wp:simplePos x="0" y="0"/>
                <wp:positionH relativeFrom="column">
                  <wp:posOffset>3985260</wp:posOffset>
                </wp:positionH>
                <wp:positionV relativeFrom="paragraph">
                  <wp:posOffset>25400</wp:posOffset>
                </wp:positionV>
                <wp:extent cx="1360170" cy="615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360170" cy="615950"/>
                        </a:xfrm>
                        <a:prstGeom prst="rect">
                          <a:avLst/>
                        </a:prstGeom>
                        <a:noFill/>
                        <a:ln w="6350">
                          <a:noFill/>
                        </a:ln>
                        <a:effectLst/>
                      </wps:spPr>
                      <wps:txbx>
                        <w:txbxContent>
                          <w:p w:rsidR="000B71FC" w:rsidRPr="00CE49A7" w:rsidRDefault="000B71FC" w:rsidP="00D94878">
                            <w:pPr>
                              <w:rPr>
                                <w:rFonts w:ascii="Calibri" w:hAnsi="Calibri"/>
                              </w:rPr>
                            </w:pPr>
                            <w:r>
                              <w:rPr>
                                <w:rFonts w:ascii="Calibri" w:hAnsi="Calibri"/>
                              </w:rPr>
                              <w:t>Third retailer enters (</w:t>
                            </w:r>
                            <w:r w:rsidRPr="00CE49A7">
                              <w:rPr>
                                <w:rFonts w:ascii="Calibri" w:hAnsi="Calibri"/>
                              </w:rPr>
                              <w:t>Origin Energy</w:t>
                            </w:r>
                            <w:r>
                              <w:rPr>
                                <w:rFonts w:ascii="Calibri" w:hAnsi="Calibri"/>
                              </w:rPr>
                              <w:t>)</w:t>
                            </w:r>
                            <w:r w:rsidRPr="00CE49A7">
                              <w:rPr>
                                <w:rFonts w:ascii="Calibri" w:hAnsi="Calibri"/>
                              </w:rPr>
                              <w:t xml:space="preserve"> </w:t>
                            </w:r>
                            <w:r w:rsidRPr="00CE49A7">
                              <w:rPr>
                                <w:rFonts w:ascii="Calibri" w:hAnsi="Calibr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27" type="#_x0000_t202" style="position:absolute;margin-left:313.8pt;margin-top:2pt;width:107.1pt;height: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" filled="f" stroked="f" strokeweight=".5pt">
                <v:textbox>
                  <w:txbxContent>
                    <w:p w:rsidR="000B71FC" w:rsidRPr="00CE49A7" w:rsidRDefault="000B71FC" w:rsidP="00D94878">
                      <w:pPr>
                        <w:rPr>
                          <w:rFonts w:ascii="Calibri" w:hAnsi="Calibri"/>
                        </w:rPr>
                      </w:pPr>
                      <w:r>
                        <w:rPr>
                          <w:rFonts w:ascii="Calibri" w:hAnsi="Calibri"/>
                        </w:rPr>
                        <w:t>Third retailer enters (</w:t>
                      </w:r>
                      <w:r w:rsidRPr="00CE49A7">
                        <w:rPr>
                          <w:rFonts w:ascii="Calibri" w:hAnsi="Calibri"/>
                        </w:rPr>
                        <w:t>Origin Energy</w:t>
                      </w:r>
                      <w:r>
                        <w:rPr>
                          <w:rFonts w:ascii="Calibri" w:hAnsi="Calibri"/>
                        </w:rPr>
                        <w:t>)</w:t>
                      </w:r>
                      <w:r w:rsidRPr="00CE49A7">
                        <w:rPr>
                          <w:rFonts w:ascii="Calibri" w:hAnsi="Calibri"/>
                        </w:rPr>
                        <w:t xml:space="preserve"> </w:t>
                      </w:r>
                      <w:r w:rsidRPr="00CE49A7">
                        <w:rPr>
                          <w:rFonts w:ascii="Calibri" w:hAnsi="Calibri"/>
                        </w:rPr>
                        <w:br/>
                      </w:r>
                    </w:p>
                  </w:txbxContent>
                </v:textbox>
              </v:shape>
            </w:pict>
          </mc:Fallback>
        </mc:AlternateContent>
      </w:r>
      <w:r w:rsidR="00D94878" w:rsidRPr="00D94878">
        <w:rPr>
          <w:noProof/>
          <w:lang w:eastAsia="en-AU"/>
        </w:rPr>
        <mc:AlternateContent>
          <mc:Choice Requires="wps">
            <w:drawing>
              <wp:anchor distT="0" distB="0" distL="114300" distR="114300" simplePos="0" relativeHeight="251662336" behindDoc="0" locked="0" layoutInCell="1" allowOverlap="1" wp14:anchorId="5E5592BB" wp14:editId="13EB07E6">
                <wp:simplePos x="0" y="0"/>
                <wp:positionH relativeFrom="column">
                  <wp:posOffset>520995</wp:posOffset>
                </wp:positionH>
                <wp:positionV relativeFrom="paragraph">
                  <wp:posOffset>60886</wp:posOffset>
                </wp:positionV>
                <wp:extent cx="3465963" cy="435876"/>
                <wp:effectExtent l="0" t="0" r="0" b="2540"/>
                <wp:wrapNone/>
                <wp:docPr id="39" name="Text Box 39"/>
                <wp:cNvGraphicFramePr/>
                <a:graphic xmlns:a="http://schemas.openxmlformats.org/drawingml/2006/main">
                  <a:graphicData uri="http://schemas.microsoft.com/office/word/2010/wordprocessingShape">
                    <wps:wsp>
                      <wps:cNvSpPr txBox="1"/>
                      <wps:spPr>
                        <a:xfrm>
                          <a:off x="0" y="0"/>
                          <a:ext cx="3465963" cy="435876"/>
                        </a:xfrm>
                        <a:prstGeom prst="rect">
                          <a:avLst/>
                        </a:prstGeom>
                        <a:noFill/>
                        <a:ln w="6350">
                          <a:noFill/>
                        </a:ln>
                        <a:effectLst/>
                      </wps:spPr>
                      <wps:txbx>
                        <w:txbxContent>
                          <w:p w:rsidR="000B71FC" w:rsidRPr="00CE49A7" w:rsidRDefault="000B71FC" w:rsidP="00D94878">
                            <w:pPr>
                              <w:rPr>
                                <w:rFonts w:ascii="Calibri" w:hAnsi="Calibri"/>
                              </w:rPr>
                            </w:pPr>
                            <w:r>
                              <w:rPr>
                                <w:rFonts w:ascii="Calibri" w:hAnsi="Calibri"/>
                              </w:rPr>
                              <w:t>Two retailers competing (Act</w:t>
                            </w:r>
                            <w:r w:rsidRPr="00CE49A7">
                              <w:rPr>
                                <w:rFonts w:ascii="Calibri" w:hAnsi="Calibri"/>
                              </w:rPr>
                              <w:t xml:space="preserve">ewAGL </w:t>
                            </w:r>
                            <w:r>
                              <w:rPr>
                                <w:rFonts w:ascii="Calibri" w:hAnsi="Calibri"/>
                              </w:rPr>
                              <w:t xml:space="preserve">and </w:t>
                            </w:r>
                            <w:r w:rsidRPr="00CE49A7">
                              <w:rPr>
                                <w:rFonts w:ascii="Calibri" w:hAnsi="Calibri"/>
                              </w:rPr>
                              <w:t>EnergyAustralia</w:t>
                            </w:r>
                            <w:r>
                              <w:rPr>
                                <w:rFonts w:ascii="Calibri"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28" type="#_x0000_t202" style="position:absolute;margin-left:41pt;margin-top:4.8pt;width:272.9pt;height:3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" filled="f" stroked="f" strokeweight=".5pt">
                <v:textbox>
                  <w:txbxContent>
                    <w:p w:rsidR="000B71FC" w:rsidRPr="00CE49A7" w:rsidRDefault="000B71FC" w:rsidP="00D94878">
                      <w:pPr>
                        <w:rPr>
                          <w:rFonts w:ascii="Calibri" w:hAnsi="Calibri"/>
                        </w:rPr>
                      </w:pPr>
                      <w:r>
                        <w:rPr>
                          <w:rFonts w:ascii="Calibri" w:hAnsi="Calibri"/>
                        </w:rPr>
                        <w:t>Two retailers competing (Act</w:t>
                      </w:r>
                      <w:r w:rsidRPr="00CE49A7">
                        <w:rPr>
                          <w:rFonts w:ascii="Calibri" w:hAnsi="Calibri"/>
                        </w:rPr>
                        <w:t xml:space="preserve">ewAGL </w:t>
                      </w:r>
                      <w:r>
                        <w:rPr>
                          <w:rFonts w:ascii="Calibri" w:hAnsi="Calibri"/>
                        </w:rPr>
                        <w:t xml:space="preserve">and </w:t>
                      </w:r>
                      <w:r w:rsidRPr="00CE49A7">
                        <w:rPr>
                          <w:rFonts w:ascii="Calibri" w:hAnsi="Calibri"/>
                        </w:rPr>
                        <w:t>EnergyAustralia</w:t>
                      </w:r>
                      <w:r>
                        <w:rPr>
                          <w:rFonts w:ascii="Calibri" w:hAnsi="Calibri"/>
                        </w:rPr>
                        <w:t>)</w:t>
                      </w:r>
                    </w:p>
                  </w:txbxContent>
                </v:textbox>
              </v:shape>
            </w:pict>
          </mc:Fallback>
        </mc:AlternateContent>
      </w:r>
      <w:r w:rsidR="00D94878" w:rsidRPr="00D94878">
        <w:rPr>
          <w:noProof/>
          <w:lang w:eastAsia="en-AU"/>
        </w:rPr>
        <mc:AlternateContent>
          <mc:Choice Requires="wps">
            <w:drawing>
              <wp:anchor distT="0" distB="0" distL="114300" distR="114300" simplePos="0" relativeHeight="251661312" behindDoc="0" locked="0" layoutInCell="1" allowOverlap="1" wp14:anchorId="3A9AAE9D" wp14:editId="5B298F61">
                <wp:simplePos x="0" y="0"/>
                <wp:positionH relativeFrom="column">
                  <wp:posOffset>3987209</wp:posOffset>
                </wp:positionH>
                <wp:positionV relativeFrom="paragraph">
                  <wp:posOffset>285912</wp:posOffset>
                </wp:positionV>
                <wp:extent cx="0" cy="1690416"/>
                <wp:effectExtent l="0" t="0" r="19050" b="24130"/>
                <wp:wrapNone/>
                <wp:docPr id="18" name="Straight Connector 18"/>
                <wp:cNvGraphicFramePr/>
                <a:graphic xmlns:a="http://schemas.openxmlformats.org/drawingml/2006/main">
                  <a:graphicData uri="http://schemas.microsoft.com/office/word/2010/wordprocessingShape">
                    <wps:wsp>
                      <wps:cNvCnPr/>
                      <wps:spPr>
                        <a:xfrm flipV="1">
                          <a:off x="0" y="0"/>
                          <a:ext cx="0" cy="1690416"/>
                        </a:xfrm>
                        <a:prstGeom prst="line">
                          <a:avLst/>
                        </a:prstGeom>
                        <a:noFill/>
                        <a:ln w="19050" cap="flat" cmpd="sng" algn="ctr">
                          <a:solidFill>
                            <a:srgbClr val="51626F">
                              <a:shade val="48000"/>
                              <a:satMod val="110000"/>
                            </a:srgbClr>
                          </a:solidFill>
                          <a:prstDash val="sysDot"/>
                        </a:ln>
                        <a:effectLst/>
                      </wps:spPr>
                      <wps:bodyPr/>
                    </wps:wsp>
                  </a:graphicData>
                </a:graphic>
                <wp14:sizeRelV relativeFrom="margin">
                  <wp14:pctHeight>0</wp14:pctHeight>
                </wp14:sizeRelV>
              </wp:anchor>
            </w:drawing>
          </mc:Choice>
          <mc:Fallback>
            <w:pict>
              <v:line id="Straight Connector 18"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3.95pt,22.5pt" to="313.95pt,1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" strokecolor="#37454f" strokeweight="1.5pt">
                <v:stroke dashstyle="1 1"/>
              </v:line>
            </w:pict>
          </mc:Fallback>
        </mc:AlternateContent>
      </w:r>
      <w:r w:rsidR="00D94878" w:rsidRPr="00D94878">
        <w:rPr>
          <w:noProof/>
          <w:lang w:eastAsia="en-AU"/>
        </w:rPr>
        <w:drawing>
          <wp:inline distT="0" distB="0" distL="0" distR="0" wp14:anchorId="646E6DFA" wp14:editId="7B7E05AE">
            <wp:extent cx="5760000" cy="2952000"/>
            <wp:effectExtent l="0" t="0" r="0" b="1270"/>
            <wp:docPr id="46" name="Picture 46" descr="Both electricity and gas customer switching in the ACT was at or below 0.3 per cent of customers each month from July 2012 to October 2014. Thereafter, switching rates increased to around 0.5 per cent of customers each month. "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2952000"/>
                    </a:xfrm>
                    <a:prstGeom prst="rect">
                      <a:avLst/>
                    </a:prstGeom>
                    <a:noFill/>
                  </pic:spPr>
                </pic:pic>
              </a:graphicData>
            </a:graphic>
          </wp:inline>
        </w:drawing>
      </w:r>
      <w:r w:rsidR="00D94878" w:rsidRPr="00D94878">
        <w:t xml:space="preserve"> </w:t>
      </w:r>
    </w:p>
    <w:p w:rsidR="00D94878" w:rsidRDefault="00D94878">
      <w:pPr>
        <w:spacing w:line="240" w:lineRule="auto"/>
      </w:pPr>
      <w:r>
        <w:br w:type="page"/>
      </w:r>
    </w:p>
    <w:p w:rsidR="00D226C7" w:rsidRPr="00D226C7" w:rsidRDefault="00D226C7" w:rsidP="00D226C7">
      <w:pPr>
        <w:pStyle w:val="Heading1"/>
      </w:pPr>
      <w:bookmarkStart w:id="13" w:name="_Toc433026807"/>
      <w:r>
        <w:lastRenderedPageBreak/>
        <w:t>Energy retailer performance</w:t>
      </w:r>
      <w:bookmarkEnd w:id="13"/>
    </w:p>
    <w:p w:rsidR="00D226C7" w:rsidRPr="00D226C7" w:rsidRDefault="00D226C7" w:rsidP="00D226C7">
      <w:r w:rsidRPr="00D42745">
        <w:t xml:space="preserve">There are a number of reasons why a customer may </w:t>
      </w:r>
      <w:r w:rsidR="006C0219">
        <w:t xml:space="preserve"> contact</w:t>
      </w:r>
      <w:r w:rsidRPr="00D42745">
        <w:t xml:space="preserve"> their retailer. For example, customers </w:t>
      </w:r>
      <w:r w:rsidRPr="00D226C7">
        <w:t xml:space="preserve">may contact </w:t>
      </w:r>
      <w:r w:rsidR="006C0219">
        <w:t>them</w:t>
      </w:r>
      <w:r w:rsidRPr="00D226C7">
        <w:t xml:space="preserve"> to pay their bill, to </w:t>
      </w:r>
      <w:r w:rsidR="006C0219">
        <w:t>ask</w:t>
      </w:r>
      <w:r w:rsidRPr="00D226C7">
        <w:t xml:space="preserve"> about their bill</w:t>
      </w:r>
      <w:r w:rsidR="006C0219">
        <w:t xml:space="preserve"> or</w:t>
      </w:r>
      <w:r w:rsidRPr="00D226C7">
        <w:t xml:space="preserve"> </w:t>
      </w:r>
      <w:r w:rsidR="001C01EE">
        <w:t xml:space="preserve">a better deal, </w:t>
      </w:r>
      <w:r w:rsidRPr="00D226C7">
        <w:t xml:space="preserve">to ask for payment assistance and sometimes to make a complaint. </w:t>
      </w:r>
    </w:p>
    <w:p w:rsidR="00D226C7" w:rsidRPr="00D42745" w:rsidRDefault="00D226C7" w:rsidP="00876A9F">
      <w:r w:rsidRPr="00D42745">
        <w:t>Price is important to customers, but so too is good customer service. This chapter discusses the customer experience with energy retailers, including:</w:t>
      </w:r>
    </w:p>
    <w:p w:rsidR="00D226C7" w:rsidRPr="00D42745" w:rsidRDefault="00D226C7" w:rsidP="00D226C7">
      <w:pPr>
        <w:pStyle w:val="Bulletpoint"/>
      </w:pPr>
      <w:r w:rsidRPr="00D42745">
        <w:t>customer service and complaints</w:t>
      </w:r>
    </w:p>
    <w:p w:rsidR="00D226C7" w:rsidRPr="00D42745" w:rsidRDefault="00D226C7" w:rsidP="00D226C7">
      <w:pPr>
        <w:pStyle w:val="Bulletpoint"/>
      </w:pPr>
      <w:r w:rsidRPr="00D42745">
        <w:t>assistance provided to customers with energy debt, such as energy concessions, payment plans and hardship programs</w:t>
      </w:r>
    </w:p>
    <w:p w:rsidR="00D226C7" w:rsidRDefault="00D226C7" w:rsidP="00D226C7">
      <w:pPr>
        <w:pStyle w:val="Bulletpoint"/>
      </w:pPr>
      <w:r w:rsidRPr="00D42745">
        <w:t>the disconnection and reconnection of an energy service.</w:t>
      </w:r>
    </w:p>
    <w:p w:rsidR="00D226C7" w:rsidRDefault="00D226C7">
      <w:pPr>
        <w:spacing w:line="240" w:lineRule="auto"/>
        <w:rPr>
          <w:rFonts w:cs="Times New Roman"/>
        </w:rPr>
      </w:pPr>
      <w:r>
        <w:br w:type="page"/>
      </w:r>
    </w:p>
    <w:p w:rsidR="00D226C7" w:rsidRPr="00D226C7" w:rsidRDefault="00D226C7" w:rsidP="00D226C7">
      <w:pPr>
        <w:pStyle w:val="Heading2"/>
      </w:pPr>
      <w:bookmarkStart w:id="14" w:name="_Toc433026808"/>
      <w:r w:rsidRPr="00D226C7">
        <w:lastRenderedPageBreak/>
        <w:t>Customer service</w:t>
      </w:r>
      <w:bookmarkEnd w:id="14"/>
    </w:p>
    <w:p w:rsidR="00D226C7" w:rsidRPr="00D42745" w:rsidRDefault="00D226C7" w:rsidP="00D226C7">
      <w:r w:rsidRPr="00D42745">
        <w:t xml:space="preserve">Retailers’ responsiveness to inquiries and complaints is an important measure of customer service. </w:t>
      </w:r>
      <w:r w:rsidR="00751791">
        <w:t xml:space="preserve">Table 2.1 shows </w:t>
      </w:r>
      <w:r w:rsidRPr="00D42745">
        <w:t xml:space="preserve">call centre responsiveness, specifically: </w:t>
      </w:r>
    </w:p>
    <w:p w:rsidR="00273EF8" w:rsidRDefault="00D226C7" w:rsidP="00D226C7">
      <w:pPr>
        <w:pStyle w:val="Bulletpoint"/>
      </w:pPr>
      <w:r w:rsidRPr="00D42745">
        <w:t>percentage of calls answered within 30 seconds</w:t>
      </w:r>
      <w:r w:rsidR="00556A9C">
        <w:t xml:space="preserve"> </w:t>
      </w:r>
    </w:p>
    <w:p w:rsidR="00D226C7" w:rsidRDefault="00D226C7" w:rsidP="00D226C7">
      <w:pPr>
        <w:pStyle w:val="Bulletpoint"/>
      </w:pPr>
      <w:r w:rsidRPr="00D42745">
        <w:t>average time before a call is answered</w:t>
      </w:r>
      <w:r w:rsidRPr="00D226C7">
        <w:rPr>
          <w:rStyle w:val="Superscript"/>
        </w:rPr>
        <w:footnoteReference w:id="12"/>
      </w:r>
      <w:r w:rsidRPr="00D226C7">
        <w:t xml:space="preserve"> </w:t>
      </w:r>
    </w:p>
    <w:p w:rsidR="009275E8" w:rsidRPr="00D42745" w:rsidRDefault="009275E8" w:rsidP="009275E8">
      <w:pPr>
        <w:pStyle w:val="Bulletpoint"/>
      </w:pPr>
      <w:r w:rsidRPr="00D42745">
        <w:t>percentage of calls abandoned before being answered</w:t>
      </w:r>
      <w:r>
        <w:t>.</w:t>
      </w:r>
    </w:p>
    <w:p w:rsidR="00D226C7" w:rsidRPr="00D42745" w:rsidRDefault="00D226C7" w:rsidP="00D226C7">
      <w:pPr>
        <w:pStyle w:val="Tabletitle"/>
      </w:pPr>
      <w:r w:rsidRPr="00D42745">
        <w:t>Table 2.1: Phone calls to retailers in 2014-15, with percentage of calls answered in 30 seconds, average wait time and percentage of calls abandoned before being answered</w:t>
      </w:r>
    </w:p>
    <w:tbl>
      <w:tblPr>
        <w:tblW w:w="0" w:type="auto"/>
        <w:tblLayout w:type="fixed"/>
        <w:tblLook w:val="04A0" w:firstRow="1" w:lastRow="0" w:firstColumn="1" w:lastColumn="0" w:noHBand="0" w:noVBand="1"/>
      </w:tblPr>
      <w:tblGrid>
        <w:gridCol w:w="2271"/>
        <w:gridCol w:w="1161"/>
        <w:gridCol w:w="1162"/>
        <w:gridCol w:w="1162"/>
        <w:gridCol w:w="1162"/>
        <w:gridCol w:w="1162"/>
        <w:gridCol w:w="1162"/>
      </w:tblGrid>
      <w:tr w:rsidR="00D226C7" w:rsidRPr="00D42745" w:rsidTr="00D226C7">
        <w:tc>
          <w:tcPr>
            <w:tcW w:w="2271" w:type="dxa"/>
            <w:tcBorders>
              <w:bottom w:val="single" w:sz="4" w:space="0" w:color="auto"/>
            </w:tcBorders>
            <w:shd w:val="clear" w:color="auto" w:fill="F2F2F2" w:themeFill="background1" w:themeFillShade="F2"/>
          </w:tcPr>
          <w:p w:rsidR="00D226C7" w:rsidRPr="00A35B80" w:rsidRDefault="00D226C7" w:rsidP="00D226C7">
            <w:pPr>
              <w:pStyle w:val="Tabletext"/>
              <w:rPr>
                <w:rStyle w:val="Strong"/>
              </w:rPr>
            </w:pPr>
            <w:r w:rsidRPr="00A35B80">
              <w:rPr>
                <w:rStyle w:val="Strong"/>
              </w:rPr>
              <w:t>Retailer</w:t>
            </w:r>
          </w:p>
        </w:tc>
        <w:tc>
          <w:tcPr>
            <w:tcW w:w="2323" w:type="dxa"/>
            <w:gridSpan w:val="2"/>
            <w:tcBorders>
              <w:bottom w:val="single" w:sz="4" w:space="0" w:color="auto"/>
            </w:tcBorders>
            <w:shd w:val="clear" w:color="auto" w:fill="F2F2F2" w:themeFill="background1" w:themeFillShade="F2"/>
          </w:tcPr>
          <w:p w:rsidR="00D226C7" w:rsidRPr="00A35B80" w:rsidRDefault="00D226C7" w:rsidP="00D226C7">
            <w:pPr>
              <w:pStyle w:val="Tabletext"/>
              <w:rPr>
                <w:rStyle w:val="Strong"/>
              </w:rPr>
            </w:pPr>
            <w:r w:rsidRPr="00A35B80">
              <w:rPr>
                <w:rStyle w:val="Strong"/>
              </w:rPr>
              <w:t>Calls taken in 30 secs (%)</w:t>
            </w:r>
            <w:r w:rsidRPr="00A35B80">
              <w:rPr>
                <w:rStyle w:val="Strong"/>
              </w:rPr>
              <w:br/>
            </w:r>
          </w:p>
        </w:tc>
        <w:tc>
          <w:tcPr>
            <w:tcW w:w="2324" w:type="dxa"/>
            <w:gridSpan w:val="2"/>
            <w:tcBorders>
              <w:bottom w:val="single" w:sz="4" w:space="0" w:color="auto"/>
            </w:tcBorders>
            <w:shd w:val="clear" w:color="auto" w:fill="F2F2F2" w:themeFill="background1" w:themeFillShade="F2"/>
          </w:tcPr>
          <w:p w:rsidR="00D226C7" w:rsidRPr="00A35B80" w:rsidRDefault="00D226C7" w:rsidP="00D226C7">
            <w:pPr>
              <w:pStyle w:val="Tabletext"/>
              <w:rPr>
                <w:rStyle w:val="Strong"/>
              </w:rPr>
            </w:pPr>
            <w:r w:rsidRPr="00A35B80">
              <w:rPr>
                <w:rStyle w:val="Strong"/>
              </w:rPr>
              <w:t>Average wait time (secs)</w:t>
            </w:r>
            <w:r w:rsidRPr="00A35B80">
              <w:rPr>
                <w:rStyle w:val="Strong"/>
              </w:rPr>
              <w:br/>
            </w:r>
          </w:p>
        </w:tc>
        <w:tc>
          <w:tcPr>
            <w:tcW w:w="2324" w:type="dxa"/>
            <w:gridSpan w:val="2"/>
            <w:tcBorders>
              <w:bottom w:val="single" w:sz="4" w:space="0" w:color="auto"/>
            </w:tcBorders>
            <w:shd w:val="clear" w:color="auto" w:fill="F2F2F2" w:themeFill="background1" w:themeFillShade="F2"/>
          </w:tcPr>
          <w:p w:rsidR="00D226C7" w:rsidRPr="00A35B80" w:rsidRDefault="00D226C7" w:rsidP="00D226C7">
            <w:pPr>
              <w:pStyle w:val="Tabletext"/>
              <w:rPr>
                <w:rStyle w:val="Strong"/>
              </w:rPr>
            </w:pPr>
            <w:r w:rsidRPr="00A35B80">
              <w:rPr>
                <w:rStyle w:val="Strong"/>
              </w:rPr>
              <w:t>Calls abandoned before being answered (%)</w:t>
            </w:r>
          </w:p>
        </w:tc>
      </w:tr>
      <w:tr w:rsidR="00D226C7" w:rsidRPr="00D42745" w:rsidTr="00D226C7">
        <w:trPr>
          <w:trHeight w:hRule="exact" w:val="312"/>
        </w:trPr>
        <w:tc>
          <w:tcPr>
            <w:tcW w:w="2271" w:type="dxa"/>
            <w:tcBorders>
              <w:top w:val="single" w:sz="4" w:space="0" w:color="auto"/>
              <w:bottom w:val="single" w:sz="4" w:space="0" w:color="auto"/>
            </w:tcBorders>
            <w:shd w:val="clear" w:color="auto" w:fill="FFFFFF" w:themeFill="background1"/>
          </w:tcPr>
          <w:p w:rsidR="00D226C7" w:rsidRPr="00D226C7" w:rsidRDefault="00D226C7" w:rsidP="00D226C7">
            <w:pPr>
              <w:pStyle w:val="Tabletext"/>
            </w:pPr>
            <w:r w:rsidRPr="00D226C7">
              <w:t>ActewAGL</w:t>
            </w:r>
          </w:p>
        </w:tc>
        <w:tc>
          <w:tcPr>
            <w:tcW w:w="1161" w:type="dxa"/>
            <w:tcBorders>
              <w:top w:val="single" w:sz="4" w:space="0" w:color="auto"/>
              <w:bottom w:val="single" w:sz="4" w:space="0" w:color="auto"/>
            </w:tcBorders>
            <w:shd w:val="clear" w:color="auto" w:fill="FFFFFF" w:themeFill="background1"/>
          </w:tcPr>
          <w:p w:rsidR="00D226C7" w:rsidRPr="00D42745" w:rsidRDefault="00D226C7" w:rsidP="00D226C7">
            <w:pPr>
              <w:pStyle w:val="Tabletext"/>
            </w:pPr>
            <w:r w:rsidRPr="00D42745">
              <w:t>71%</w:t>
            </w:r>
          </w:p>
        </w:tc>
        <w:tc>
          <w:tcPr>
            <w:tcW w:w="1162" w:type="dxa"/>
            <w:tcBorders>
              <w:top w:val="single" w:sz="4" w:space="0" w:color="auto"/>
              <w:bottom w:val="single" w:sz="4" w:space="0" w:color="auto"/>
            </w:tcBorders>
            <w:shd w:val="clear" w:color="auto" w:fill="FFFFFF" w:themeFill="background1"/>
          </w:tcPr>
          <w:p w:rsidR="00D226C7" w:rsidRPr="00D226C7" w:rsidRDefault="00D226C7" w:rsidP="00D226C7">
            <w:pPr>
              <w:pStyle w:val="Tabletext"/>
            </w:pPr>
            <w:r w:rsidRPr="00D226C7">
              <w:t>▼7%</w:t>
            </w:r>
          </w:p>
        </w:tc>
        <w:tc>
          <w:tcPr>
            <w:tcW w:w="1162" w:type="dxa"/>
            <w:tcBorders>
              <w:top w:val="single" w:sz="4" w:space="0" w:color="auto"/>
              <w:bottom w:val="single" w:sz="4" w:space="0" w:color="auto"/>
            </w:tcBorders>
            <w:shd w:val="clear" w:color="auto" w:fill="FFFFFF" w:themeFill="background1"/>
          </w:tcPr>
          <w:p w:rsidR="00D226C7" w:rsidRPr="00D42745" w:rsidRDefault="00D226C7" w:rsidP="00D226C7">
            <w:pPr>
              <w:pStyle w:val="Tabletext"/>
            </w:pPr>
            <w:r w:rsidRPr="00D42745">
              <w:t>158</w:t>
            </w:r>
          </w:p>
        </w:tc>
        <w:tc>
          <w:tcPr>
            <w:tcW w:w="1162" w:type="dxa"/>
            <w:tcBorders>
              <w:top w:val="single" w:sz="4" w:space="0" w:color="auto"/>
              <w:bottom w:val="single" w:sz="4" w:space="0" w:color="auto"/>
            </w:tcBorders>
            <w:shd w:val="clear" w:color="auto" w:fill="FFFFFF" w:themeFill="background1"/>
          </w:tcPr>
          <w:p w:rsidR="00D226C7" w:rsidRPr="00D226C7" w:rsidRDefault="00D226C7" w:rsidP="00D226C7">
            <w:pPr>
              <w:pStyle w:val="Tabletext"/>
            </w:pPr>
            <w:r w:rsidRPr="00D226C7">
              <w:t>▲16</w:t>
            </w:r>
          </w:p>
        </w:tc>
        <w:tc>
          <w:tcPr>
            <w:tcW w:w="1162" w:type="dxa"/>
            <w:tcBorders>
              <w:top w:val="single" w:sz="4" w:space="0" w:color="auto"/>
              <w:bottom w:val="single" w:sz="4" w:space="0" w:color="auto"/>
            </w:tcBorders>
            <w:shd w:val="clear" w:color="auto" w:fill="FFFFFF" w:themeFill="background1"/>
          </w:tcPr>
          <w:p w:rsidR="00D226C7" w:rsidRPr="00D226C7" w:rsidRDefault="00D226C7" w:rsidP="00D226C7">
            <w:pPr>
              <w:pStyle w:val="Tabletext"/>
            </w:pPr>
            <w:r w:rsidRPr="00D226C7">
              <w:t>4%</w:t>
            </w:r>
          </w:p>
        </w:tc>
        <w:tc>
          <w:tcPr>
            <w:tcW w:w="1162" w:type="dxa"/>
            <w:tcBorders>
              <w:top w:val="single" w:sz="4" w:space="0" w:color="auto"/>
              <w:bottom w:val="single" w:sz="4" w:space="0" w:color="auto"/>
            </w:tcBorders>
            <w:shd w:val="clear" w:color="auto" w:fill="FFFFFF" w:themeFill="background1"/>
          </w:tcPr>
          <w:p w:rsidR="00D226C7" w:rsidRPr="00D226C7" w:rsidRDefault="00D226C7" w:rsidP="00D226C7">
            <w:pPr>
              <w:pStyle w:val="Tabletext"/>
            </w:pPr>
            <w:r w:rsidRPr="00D226C7">
              <w:t>▲1%</w:t>
            </w:r>
          </w:p>
        </w:tc>
      </w:tr>
      <w:tr w:rsidR="00D226C7" w:rsidRPr="00D42745" w:rsidTr="00D226C7">
        <w:trPr>
          <w:trHeight w:hRule="exact" w:val="312"/>
        </w:trPr>
        <w:tc>
          <w:tcPr>
            <w:tcW w:w="2271" w:type="dxa"/>
            <w:tcBorders>
              <w:top w:val="single" w:sz="4" w:space="0" w:color="auto"/>
              <w:bottom w:val="single" w:sz="4" w:space="0" w:color="auto"/>
            </w:tcBorders>
          </w:tcPr>
          <w:p w:rsidR="00D226C7" w:rsidRPr="00D226C7" w:rsidRDefault="00D226C7" w:rsidP="00D226C7">
            <w:pPr>
              <w:pStyle w:val="Tabletext"/>
            </w:pPr>
            <w:r w:rsidRPr="00D226C7">
              <w:t>AGL</w:t>
            </w:r>
          </w:p>
        </w:tc>
        <w:tc>
          <w:tcPr>
            <w:tcW w:w="1161" w:type="dxa"/>
            <w:tcBorders>
              <w:top w:val="single" w:sz="4" w:space="0" w:color="auto"/>
              <w:bottom w:val="single" w:sz="4" w:space="0" w:color="auto"/>
            </w:tcBorders>
          </w:tcPr>
          <w:p w:rsidR="00D226C7" w:rsidRPr="00D42745" w:rsidRDefault="00D226C7" w:rsidP="00D226C7">
            <w:pPr>
              <w:pStyle w:val="Tabletext"/>
            </w:pPr>
            <w:r w:rsidRPr="00D42745">
              <w:t>87%</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▲2%</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17</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2%</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w:t>
            </w:r>
          </w:p>
        </w:tc>
      </w:tr>
      <w:tr w:rsidR="00D226C7" w:rsidRPr="00D42745" w:rsidTr="00D226C7">
        <w:trPr>
          <w:trHeight w:hRule="exact" w:val="312"/>
        </w:trPr>
        <w:tc>
          <w:tcPr>
            <w:tcW w:w="2271" w:type="dxa"/>
            <w:tcBorders>
              <w:top w:val="single" w:sz="4" w:space="0" w:color="auto"/>
              <w:bottom w:val="single" w:sz="4" w:space="0" w:color="auto"/>
            </w:tcBorders>
          </w:tcPr>
          <w:p w:rsidR="00D226C7" w:rsidRPr="00D226C7" w:rsidRDefault="00D226C7" w:rsidP="00D226C7">
            <w:pPr>
              <w:pStyle w:val="Tabletext"/>
            </w:pPr>
            <w:r w:rsidRPr="00D226C7">
              <w:t xml:space="preserve">Alinta Energy </w:t>
            </w:r>
          </w:p>
        </w:tc>
        <w:tc>
          <w:tcPr>
            <w:tcW w:w="1161" w:type="dxa"/>
            <w:tcBorders>
              <w:top w:val="single" w:sz="4" w:space="0" w:color="auto"/>
              <w:bottom w:val="single" w:sz="4" w:space="0" w:color="auto"/>
            </w:tcBorders>
          </w:tcPr>
          <w:p w:rsidR="00D226C7" w:rsidRPr="00D42745" w:rsidRDefault="00D226C7" w:rsidP="00D226C7">
            <w:pPr>
              <w:pStyle w:val="Tabletext"/>
            </w:pPr>
            <w:r w:rsidRPr="00D42745">
              <w:t>77%</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36</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▼7</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2%</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▼1%</w:t>
            </w:r>
          </w:p>
        </w:tc>
      </w:tr>
      <w:tr w:rsidR="00D226C7" w:rsidRPr="00D42745" w:rsidTr="00D226C7">
        <w:trPr>
          <w:trHeight w:hRule="exact" w:val="312"/>
        </w:trPr>
        <w:tc>
          <w:tcPr>
            <w:tcW w:w="2271" w:type="dxa"/>
            <w:tcBorders>
              <w:top w:val="single" w:sz="4" w:space="0" w:color="auto"/>
              <w:bottom w:val="single" w:sz="4" w:space="0" w:color="auto"/>
            </w:tcBorders>
          </w:tcPr>
          <w:p w:rsidR="00D226C7" w:rsidRPr="00D226C7" w:rsidRDefault="00D226C7" w:rsidP="00D226C7">
            <w:pPr>
              <w:pStyle w:val="Tabletext"/>
            </w:pPr>
            <w:r w:rsidRPr="00D226C7">
              <w:t xml:space="preserve">Aurora Energy </w:t>
            </w:r>
          </w:p>
        </w:tc>
        <w:tc>
          <w:tcPr>
            <w:tcW w:w="1161" w:type="dxa"/>
            <w:tcBorders>
              <w:top w:val="single" w:sz="4" w:space="0" w:color="auto"/>
              <w:bottom w:val="single" w:sz="4" w:space="0" w:color="auto"/>
            </w:tcBorders>
          </w:tcPr>
          <w:p w:rsidR="00D226C7" w:rsidRPr="00D42745" w:rsidRDefault="00D226C7" w:rsidP="00D226C7">
            <w:pPr>
              <w:pStyle w:val="Tabletext"/>
            </w:pPr>
            <w:r w:rsidRPr="00D42745">
              <w:t>71%</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▼3%</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46</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▲12</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3%</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▲1%</w:t>
            </w:r>
          </w:p>
        </w:tc>
      </w:tr>
      <w:tr w:rsidR="00D226C7" w:rsidRPr="00D42745" w:rsidTr="00D226C7">
        <w:trPr>
          <w:trHeight w:hRule="exact" w:val="312"/>
        </w:trPr>
        <w:tc>
          <w:tcPr>
            <w:tcW w:w="2271" w:type="dxa"/>
            <w:tcBorders>
              <w:top w:val="single" w:sz="4" w:space="0" w:color="auto"/>
              <w:bottom w:val="single" w:sz="4" w:space="0" w:color="auto"/>
            </w:tcBorders>
          </w:tcPr>
          <w:p w:rsidR="00D226C7" w:rsidRPr="00D226C7" w:rsidRDefault="00D226C7" w:rsidP="00D226C7">
            <w:pPr>
              <w:pStyle w:val="Tabletext"/>
            </w:pPr>
            <w:r w:rsidRPr="00D226C7">
              <w:t xml:space="preserve">Blue NRG </w:t>
            </w:r>
          </w:p>
        </w:tc>
        <w:tc>
          <w:tcPr>
            <w:tcW w:w="1161" w:type="dxa"/>
            <w:tcBorders>
              <w:top w:val="single" w:sz="4" w:space="0" w:color="auto"/>
              <w:bottom w:val="single" w:sz="4" w:space="0" w:color="auto"/>
            </w:tcBorders>
          </w:tcPr>
          <w:p w:rsidR="00D226C7" w:rsidRPr="00D42745" w:rsidRDefault="00D226C7" w:rsidP="00D226C7">
            <w:pPr>
              <w:pStyle w:val="Tabletext"/>
            </w:pPr>
            <w:r w:rsidRPr="00D42745">
              <w:t>97%</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▼3%</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30</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N/A</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3%</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▲3%</w:t>
            </w:r>
          </w:p>
        </w:tc>
      </w:tr>
      <w:tr w:rsidR="00D226C7" w:rsidRPr="00D42745" w:rsidTr="00D226C7">
        <w:trPr>
          <w:trHeight w:hRule="exact" w:val="312"/>
        </w:trPr>
        <w:tc>
          <w:tcPr>
            <w:tcW w:w="2271" w:type="dxa"/>
            <w:tcBorders>
              <w:top w:val="single" w:sz="4" w:space="0" w:color="auto"/>
              <w:bottom w:val="single" w:sz="4" w:space="0" w:color="auto"/>
            </w:tcBorders>
          </w:tcPr>
          <w:p w:rsidR="00D226C7" w:rsidRPr="00D226C7" w:rsidRDefault="00D226C7" w:rsidP="00D226C7">
            <w:pPr>
              <w:pStyle w:val="Tabletext"/>
            </w:pPr>
            <w:r w:rsidRPr="00D226C7">
              <w:t xml:space="preserve">Click Energy </w:t>
            </w:r>
          </w:p>
        </w:tc>
        <w:tc>
          <w:tcPr>
            <w:tcW w:w="1161" w:type="dxa"/>
            <w:tcBorders>
              <w:top w:val="single" w:sz="4" w:space="0" w:color="auto"/>
              <w:bottom w:val="single" w:sz="4" w:space="0" w:color="auto"/>
            </w:tcBorders>
          </w:tcPr>
          <w:p w:rsidR="00D226C7" w:rsidRPr="00D42745" w:rsidRDefault="00D226C7" w:rsidP="00D226C7">
            <w:pPr>
              <w:pStyle w:val="Tabletext"/>
            </w:pPr>
            <w:r w:rsidRPr="00D42745">
              <w:t>75%</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▲6%</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50</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▼7</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3%</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▼1%</w:t>
            </w:r>
          </w:p>
        </w:tc>
      </w:tr>
      <w:tr w:rsidR="00D226C7" w:rsidRPr="00D42745" w:rsidTr="00D226C7">
        <w:trPr>
          <w:trHeight w:hRule="exact" w:val="312"/>
        </w:trPr>
        <w:tc>
          <w:tcPr>
            <w:tcW w:w="2271" w:type="dxa"/>
            <w:tcBorders>
              <w:top w:val="single" w:sz="4" w:space="0" w:color="auto"/>
              <w:bottom w:val="single" w:sz="4" w:space="0" w:color="auto"/>
            </w:tcBorders>
          </w:tcPr>
          <w:p w:rsidR="00D226C7" w:rsidRPr="00D226C7" w:rsidRDefault="00D226C7" w:rsidP="00D226C7">
            <w:pPr>
              <w:pStyle w:val="Tabletext"/>
            </w:pPr>
            <w:r w:rsidRPr="00D226C7">
              <w:t xml:space="preserve">CovaU </w:t>
            </w:r>
          </w:p>
        </w:tc>
        <w:tc>
          <w:tcPr>
            <w:tcW w:w="1161" w:type="dxa"/>
            <w:tcBorders>
              <w:top w:val="single" w:sz="4" w:space="0" w:color="auto"/>
              <w:bottom w:val="single" w:sz="4" w:space="0" w:color="auto"/>
            </w:tcBorders>
          </w:tcPr>
          <w:p w:rsidR="00D226C7" w:rsidRPr="00D42745" w:rsidRDefault="00D226C7" w:rsidP="00D226C7">
            <w:pPr>
              <w:pStyle w:val="Tabletext"/>
            </w:pPr>
            <w:r w:rsidRPr="00D42745">
              <w:t>93%</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▲6%</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3</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▼4</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5%</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▼4%</w:t>
            </w:r>
          </w:p>
        </w:tc>
      </w:tr>
      <w:tr w:rsidR="00D226C7" w:rsidRPr="00D42745" w:rsidTr="00D226C7">
        <w:trPr>
          <w:trHeight w:hRule="exact" w:val="312"/>
        </w:trPr>
        <w:tc>
          <w:tcPr>
            <w:tcW w:w="2271" w:type="dxa"/>
            <w:tcBorders>
              <w:top w:val="single" w:sz="4" w:space="0" w:color="auto"/>
              <w:bottom w:val="single" w:sz="4" w:space="0" w:color="auto"/>
            </w:tcBorders>
          </w:tcPr>
          <w:p w:rsidR="00D226C7" w:rsidRPr="00D226C7" w:rsidRDefault="00D226C7" w:rsidP="00D226C7">
            <w:pPr>
              <w:pStyle w:val="Tabletext"/>
            </w:pPr>
            <w:r w:rsidRPr="00D226C7">
              <w:t>Diamond Energy</w:t>
            </w:r>
          </w:p>
        </w:tc>
        <w:tc>
          <w:tcPr>
            <w:tcW w:w="1161" w:type="dxa"/>
            <w:tcBorders>
              <w:top w:val="single" w:sz="4" w:space="0" w:color="auto"/>
              <w:bottom w:val="single" w:sz="4" w:space="0" w:color="auto"/>
            </w:tcBorders>
          </w:tcPr>
          <w:p w:rsidR="00D226C7" w:rsidRPr="00D42745" w:rsidRDefault="00D226C7" w:rsidP="00D226C7">
            <w:pPr>
              <w:pStyle w:val="Tabletext"/>
            </w:pPr>
            <w:r w:rsidRPr="00D42745">
              <w:t>100%</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0</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N/A</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0%</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w:t>
            </w:r>
          </w:p>
        </w:tc>
      </w:tr>
      <w:tr w:rsidR="00D226C7" w:rsidRPr="00D42745" w:rsidTr="00D226C7">
        <w:trPr>
          <w:trHeight w:hRule="exact" w:val="312"/>
        </w:trPr>
        <w:tc>
          <w:tcPr>
            <w:tcW w:w="2271" w:type="dxa"/>
            <w:tcBorders>
              <w:top w:val="single" w:sz="4" w:space="0" w:color="auto"/>
              <w:bottom w:val="single" w:sz="4" w:space="0" w:color="auto"/>
            </w:tcBorders>
          </w:tcPr>
          <w:p w:rsidR="00D226C7" w:rsidRPr="00D226C7" w:rsidRDefault="00D226C7" w:rsidP="00D226C7">
            <w:pPr>
              <w:pStyle w:val="Tabletext"/>
            </w:pPr>
            <w:r w:rsidRPr="00D226C7">
              <w:t>EnergyAustralia</w:t>
            </w:r>
          </w:p>
        </w:tc>
        <w:tc>
          <w:tcPr>
            <w:tcW w:w="1161" w:type="dxa"/>
            <w:tcBorders>
              <w:top w:val="single" w:sz="4" w:space="0" w:color="auto"/>
              <w:bottom w:val="single" w:sz="4" w:space="0" w:color="auto"/>
            </w:tcBorders>
          </w:tcPr>
          <w:p w:rsidR="00D226C7" w:rsidRPr="00D42745" w:rsidRDefault="00D226C7" w:rsidP="00D226C7">
            <w:pPr>
              <w:pStyle w:val="Tabletext"/>
            </w:pPr>
            <w:r w:rsidRPr="00D42745">
              <w:t>92%</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▲21%</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9</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▼72</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2%</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▼4%</w:t>
            </w:r>
          </w:p>
        </w:tc>
      </w:tr>
      <w:tr w:rsidR="00D226C7" w:rsidRPr="00D42745" w:rsidTr="00D226C7">
        <w:trPr>
          <w:trHeight w:hRule="exact" w:val="312"/>
        </w:trPr>
        <w:tc>
          <w:tcPr>
            <w:tcW w:w="2271" w:type="dxa"/>
            <w:tcBorders>
              <w:top w:val="single" w:sz="4" w:space="0" w:color="auto"/>
              <w:bottom w:val="single" w:sz="4" w:space="0" w:color="auto"/>
            </w:tcBorders>
          </w:tcPr>
          <w:p w:rsidR="00D226C7" w:rsidRPr="00D226C7" w:rsidRDefault="00D226C7" w:rsidP="00D226C7">
            <w:pPr>
              <w:pStyle w:val="Tabletext"/>
            </w:pPr>
            <w:r w:rsidRPr="00D226C7">
              <w:t xml:space="preserve">ERM Power </w:t>
            </w:r>
          </w:p>
        </w:tc>
        <w:tc>
          <w:tcPr>
            <w:tcW w:w="1161" w:type="dxa"/>
            <w:tcBorders>
              <w:top w:val="single" w:sz="4" w:space="0" w:color="auto"/>
              <w:bottom w:val="single" w:sz="4" w:space="0" w:color="auto"/>
            </w:tcBorders>
          </w:tcPr>
          <w:p w:rsidR="00D226C7" w:rsidRPr="00D42745" w:rsidRDefault="00D226C7" w:rsidP="00D226C7">
            <w:pPr>
              <w:pStyle w:val="Tabletext"/>
            </w:pPr>
            <w:r w:rsidRPr="00D42745">
              <w:t>94%</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▲12%</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12</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▼26</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6%</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▼8%</w:t>
            </w:r>
          </w:p>
        </w:tc>
      </w:tr>
      <w:tr w:rsidR="00D226C7" w:rsidRPr="00D42745" w:rsidTr="00D226C7">
        <w:trPr>
          <w:trHeight w:hRule="exact" w:val="312"/>
        </w:trPr>
        <w:tc>
          <w:tcPr>
            <w:tcW w:w="2271" w:type="dxa"/>
            <w:tcBorders>
              <w:top w:val="single" w:sz="4" w:space="0" w:color="auto"/>
              <w:bottom w:val="single" w:sz="4" w:space="0" w:color="auto"/>
            </w:tcBorders>
          </w:tcPr>
          <w:p w:rsidR="00D226C7" w:rsidRPr="00D226C7" w:rsidRDefault="00D226C7" w:rsidP="00D226C7">
            <w:pPr>
              <w:pStyle w:val="Tabletext"/>
            </w:pPr>
            <w:r w:rsidRPr="00D226C7">
              <w:t>Lumo Energy</w:t>
            </w:r>
          </w:p>
        </w:tc>
        <w:tc>
          <w:tcPr>
            <w:tcW w:w="1161" w:type="dxa"/>
            <w:tcBorders>
              <w:top w:val="single" w:sz="4" w:space="0" w:color="auto"/>
              <w:bottom w:val="single" w:sz="4" w:space="0" w:color="auto"/>
            </w:tcBorders>
          </w:tcPr>
          <w:p w:rsidR="00D226C7" w:rsidRPr="00D42745" w:rsidRDefault="00D226C7" w:rsidP="00D226C7">
            <w:pPr>
              <w:pStyle w:val="Tabletext"/>
            </w:pPr>
            <w:r w:rsidRPr="00D42745">
              <w:t>86%</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▲5%</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19</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▼13</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1%</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▼1%</w:t>
            </w:r>
          </w:p>
        </w:tc>
      </w:tr>
      <w:tr w:rsidR="00D226C7" w:rsidRPr="00D42745" w:rsidTr="00D226C7">
        <w:trPr>
          <w:trHeight w:hRule="exact" w:val="312"/>
        </w:trPr>
        <w:tc>
          <w:tcPr>
            <w:tcW w:w="2271" w:type="dxa"/>
            <w:tcBorders>
              <w:top w:val="single" w:sz="4" w:space="0" w:color="auto"/>
              <w:bottom w:val="single" w:sz="4" w:space="0" w:color="auto"/>
            </w:tcBorders>
          </w:tcPr>
          <w:p w:rsidR="00D226C7" w:rsidRPr="00D226C7" w:rsidRDefault="00D226C7" w:rsidP="00D226C7">
            <w:pPr>
              <w:pStyle w:val="Tabletext"/>
            </w:pPr>
            <w:r w:rsidRPr="00D226C7">
              <w:t xml:space="preserve">M2 Energy </w:t>
            </w:r>
          </w:p>
        </w:tc>
        <w:tc>
          <w:tcPr>
            <w:tcW w:w="1161" w:type="dxa"/>
            <w:tcBorders>
              <w:top w:val="single" w:sz="4" w:space="0" w:color="auto"/>
              <w:bottom w:val="single" w:sz="4" w:space="0" w:color="auto"/>
            </w:tcBorders>
          </w:tcPr>
          <w:p w:rsidR="00D226C7" w:rsidRPr="00D42745" w:rsidRDefault="00D226C7" w:rsidP="00D226C7">
            <w:pPr>
              <w:pStyle w:val="Tabletext"/>
            </w:pPr>
            <w:r w:rsidRPr="00D42745">
              <w:t>79%</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▲2%</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20</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▼16</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3%</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▲1%</w:t>
            </w:r>
          </w:p>
        </w:tc>
      </w:tr>
      <w:tr w:rsidR="00D226C7" w:rsidRPr="00D42745" w:rsidTr="00D226C7">
        <w:trPr>
          <w:trHeight w:hRule="exact" w:val="312"/>
        </w:trPr>
        <w:tc>
          <w:tcPr>
            <w:tcW w:w="2271" w:type="dxa"/>
            <w:tcBorders>
              <w:top w:val="single" w:sz="4" w:space="0" w:color="auto"/>
              <w:bottom w:val="single" w:sz="4" w:space="0" w:color="auto"/>
            </w:tcBorders>
          </w:tcPr>
          <w:p w:rsidR="00D226C7" w:rsidRPr="00D226C7" w:rsidRDefault="00D226C7" w:rsidP="00D226C7">
            <w:pPr>
              <w:pStyle w:val="Tabletext"/>
            </w:pPr>
            <w:r w:rsidRPr="00D226C7">
              <w:t>Momentum Energy</w:t>
            </w:r>
          </w:p>
        </w:tc>
        <w:tc>
          <w:tcPr>
            <w:tcW w:w="1161" w:type="dxa"/>
            <w:tcBorders>
              <w:top w:val="single" w:sz="4" w:space="0" w:color="auto"/>
              <w:bottom w:val="single" w:sz="4" w:space="0" w:color="auto"/>
            </w:tcBorders>
          </w:tcPr>
          <w:p w:rsidR="00D226C7" w:rsidRPr="00D42745" w:rsidRDefault="00D226C7" w:rsidP="00D226C7">
            <w:pPr>
              <w:pStyle w:val="Tabletext"/>
            </w:pPr>
            <w:r w:rsidRPr="00D42745">
              <w:t>76%</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▲9%</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109</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▲59</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3%</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▲2%</w:t>
            </w:r>
          </w:p>
        </w:tc>
      </w:tr>
      <w:tr w:rsidR="00D226C7" w:rsidRPr="00D42745" w:rsidTr="00D226C7">
        <w:trPr>
          <w:trHeight w:hRule="exact" w:val="312"/>
        </w:trPr>
        <w:tc>
          <w:tcPr>
            <w:tcW w:w="2271" w:type="dxa"/>
            <w:tcBorders>
              <w:top w:val="single" w:sz="4" w:space="0" w:color="auto"/>
              <w:bottom w:val="single" w:sz="4" w:space="0" w:color="auto"/>
            </w:tcBorders>
          </w:tcPr>
          <w:p w:rsidR="00D226C7" w:rsidRPr="00D226C7" w:rsidRDefault="00D226C7" w:rsidP="00D226C7">
            <w:pPr>
              <w:pStyle w:val="Tabletext"/>
            </w:pPr>
            <w:r w:rsidRPr="00D226C7">
              <w:t>Next Business Energy</w:t>
            </w:r>
          </w:p>
        </w:tc>
        <w:tc>
          <w:tcPr>
            <w:tcW w:w="1161" w:type="dxa"/>
            <w:tcBorders>
              <w:top w:val="single" w:sz="4" w:space="0" w:color="auto"/>
              <w:bottom w:val="single" w:sz="4" w:space="0" w:color="auto"/>
            </w:tcBorders>
          </w:tcPr>
          <w:p w:rsidR="00D226C7" w:rsidRPr="00D42745" w:rsidRDefault="00D226C7" w:rsidP="00D226C7">
            <w:pPr>
              <w:pStyle w:val="Tabletext"/>
            </w:pPr>
            <w:r w:rsidRPr="00D42745">
              <w:t>92%</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N/A</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12</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N/A</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0%</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N/A</w:t>
            </w:r>
          </w:p>
        </w:tc>
      </w:tr>
      <w:tr w:rsidR="00D226C7" w:rsidRPr="00D42745" w:rsidTr="00D226C7">
        <w:trPr>
          <w:trHeight w:hRule="exact" w:val="312"/>
        </w:trPr>
        <w:tc>
          <w:tcPr>
            <w:tcW w:w="2271" w:type="dxa"/>
            <w:tcBorders>
              <w:top w:val="single" w:sz="4" w:space="0" w:color="auto"/>
              <w:bottom w:val="single" w:sz="4" w:space="0" w:color="auto"/>
            </w:tcBorders>
          </w:tcPr>
          <w:p w:rsidR="00D226C7" w:rsidRPr="00D226C7" w:rsidRDefault="00D226C7" w:rsidP="00D226C7">
            <w:pPr>
              <w:pStyle w:val="Tabletext"/>
            </w:pPr>
            <w:r w:rsidRPr="00D226C7">
              <w:t xml:space="preserve">Origin Energy </w:t>
            </w:r>
          </w:p>
        </w:tc>
        <w:tc>
          <w:tcPr>
            <w:tcW w:w="1161" w:type="dxa"/>
            <w:tcBorders>
              <w:top w:val="single" w:sz="4" w:space="0" w:color="auto"/>
              <w:bottom w:val="single" w:sz="4" w:space="0" w:color="auto"/>
            </w:tcBorders>
          </w:tcPr>
          <w:p w:rsidR="00D226C7" w:rsidRPr="00D42745" w:rsidRDefault="00D226C7" w:rsidP="00D226C7">
            <w:pPr>
              <w:pStyle w:val="Tabletext"/>
            </w:pPr>
            <w:r w:rsidRPr="00D42745">
              <w:t>59%</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▼10%</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78</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▲31</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7%</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▲2%</w:t>
            </w:r>
          </w:p>
        </w:tc>
      </w:tr>
      <w:tr w:rsidR="00D226C7" w:rsidRPr="00D42745" w:rsidTr="00D226C7">
        <w:trPr>
          <w:trHeight w:hRule="exact" w:val="312"/>
        </w:trPr>
        <w:tc>
          <w:tcPr>
            <w:tcW w:w="2271" w:type="dxa"/>
            <w:tcBorders>
              <w:top w:val="single" w:sz="4" w:space="0" w:color="auto"/>
              <w:bottom w:val="single" w:sz="4" w:space="0" w:color="auto"/>
            </w:tcBorders>
          </w:tcPr>
          <w:p w:rsidR="00D226C7" w:rsidRPr="00D226C7" w:rsidRDefault="00D226C7" w:rsidP="00D226C7">
            <w:pPr>
              <w:pStyle w:val="Tabletext"/>
            </w:pPr>
            <w:r w:rsidRPr="00D226C7">
              <w:t>Pacific Hydro Retail</w:t>
            </w:r>
          </w:p>
        </w:tc>
        <w:tc>
          <w:tcPr>
            <w:tcW w:w="1161" w:type="dxa"/>
            <w:tcBorders>
              <w:top w:val="single" w:sz="4" w:space="0" w:color="auto"/>
              <w:bottom w:val="single" w:sz="4" w:space="0" w:color="auto"/>
            </w:tcBorders>
          </w:tcPr>
          <w:p w:rsidR="00D226C7" w:rsidRPr="00D42745" w:rsidRDefault="00D226C7" w:rsidP="00D226C7">
            <w:pPr>
              <w:pStyle w:val="Tabletext"/>
            </w:pPr>
            <w:r w:rsidRPr="00D42745">
              <w:t>97%</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▼3%</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4</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N/A</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3%</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▼28%</w:t>
            </w:r>
          </w:p>
        </w:tc>
      </w:tr>
      <w:tr w:rsidR="00D226C7" w:rsidRPr="00D42745" w:rsidTr="00D226C7">
        <w:trPr>
          <w:trHeight w:hRule="exact" w:val="312"/>
        </w:trPr>
        <w:tc>
          <w:tcPr>
            <w:tcW w:w="2271" w:type="dxa"/>
            <w:tcBorders>
              <w:top w:val="single" w:sz="4" w:space="0" w:color="auto"/>
              <w:bottom w:val="single" w:sz="4" w:space="0" w:color="auto"/>
            </w:tcBorders>
          </w:tcPr>
          <w:p w:rsidR="00D226C7" w:rsidRPr="00D226C7" w:rsidRDefault="00D226C7" w:rsidP="00D226C7">
            <w:pPr>
              <w:pStyle w:val="Tabletext"/>
            </w:pPr>
            <w:r w:rsidRPr="00D226C7">
              <w:t xml:space="preserve">Pooled Energy </w:t>
            </w:r>
          </w:p>
        </w:tc>
        <w:tc>
          <w:tcPr>
            <w:tcW w:w="1161" w:type="dxa"/>
            <w:tcBorders>
              <w:top w:val="single" w:sz="4" w:space="0" w:color="auto"/>
              <w:bottom w:val="single" w:sz="4" w:space="0" w:color="auto"/>
            </w:tcBorders>
          </w:tcPr>
          <w:p w:rsidR="00D226C7" w:rsidRPr="00D42745" w:rsidRDefault="00D226C7" w:rsidP="00D226C7">
            <w:pPr>
              <w:pStyle w:val="Tabletext"/>
            </w:pPr>
            <w:r w:rsidRPr="00D42745">
              <w:t>96%</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N/A</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8</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N/A</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4%</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N/A</w:t>
            </w:r>
          </w:p>
        </w:tc>
      </w:tr>
      <w:tr w:rsidR="00D226C7" w:rsidRPr="00D42745" w:rsidTr="00D226C7">
        <w:trPr>
          <w:trHeight w:hRule="exact" w:val="312"/>
        </w:trPr>
        <w:tc>
          <w:tcPr>
            <w:tcW w:w="2271" w:type="dxa"/>
            <w:tcBorders>
              <w:top w:val="single" w:sz="4" w:space="0" w:color="auto"/>
              <w:bottom w:val="single" w:sz="4" w:space="0" w:color="auto"/>
            </w:tcBorders>
          </w:tcPr>
          <w:p w:rsidR="00D226C7" w:rsidRPr="00D226C7" w:rsidRDefault="00D226C7" w:rsidP="00D226C7">
            <w:pPr>
              <w:pStyle w:val="Tabletext"/>
            </w:pPr>
            <w:r w:rsidRPr="00D226C7">
              <w:t xml:space="preserve">Powerdirect </w:t>
            </w:r>
          </w:p>
        </w:tc>
        <w:tc>
          <w:tcPr>
            <w:tcW w:w="1161" w:type="dxa"/>
            <w:tcBorders>
              <w:top w:val="single" w:sz="4" w:space="0" w:color="auto"/>
              <w:bottom w:val="single" w:sz="4" w:space="0" w:color="auto"/>
            </w:tcBorders>
          </w:tcPr>
          <w:p w:rsidR="00D226C7" w:rsidRPr="00D42745" w:rsidRDefault="00D226C7" w:rsidP="00D226C7">
            <w:pPr>
              <w:pStyle w:val="Tabletext"/>
            </w:pPr>
            <w:r w:rsidRPr="00D42745">
              <w:t>80%</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▲21%</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33</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▼84</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2%</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▼5%</w:t>
            </w:r>
          </w:p>
        </w:tc>
      </w:tr>
      <w:tr w:rsidR="00D226C7" w:rsidRPr="00D42745" w:rsidTr="00D226C7">
        <w:trPr>
          <w:trHeight w:hRule="exact" w:val="312"/>
        </w:trPr>
        <w:tc>
          <w:tcPr>
            <w:tcW w:w="2271" w:type="dxa"/>
            <w:tcBorders>
              <w:top w:val="single" w:sz="4" w:space="0" w:color="auto"/>
              <w:bottom w:val="single" w:sz="4" w:space="0" w:color="auto"/>
            </w:tcBorders>
          </w:tcPr>
          <w:p w:rsidR="00D226C7" w:rsidRPr="00D226C7" w:rsidRDefault="00D226C7" w:rsidP="00D226C7">
            <w:pPr>
              <w:pStyle w:val="Tabletext"/>
            </w:pPr>
            <w:r w:rsidRPr="00D226C7">
              <w:t xml:space="preserve">Powershop </w:t>
            </w:r>
          </w:p>
        </w:tc>
        <w:tc>
          <w:tcPr>
            <w:tcW w:w="1161" w:type="dxa"/>
            <w:tcBorders>
              <w:top w:val="single" w:sz="4" w:space="0" w:color="auto"/>
              <w:bottom w:val="single" w:sz="4" w:space="0" w:color="auto"/>
            </w:tcBorders>
          </w:tcPr>
          <w:p w:rsidR="00D226C7" w:rsidRPr="00D42745" w:rsidRDefault="00D226C7" w:rsidP="00D226C7">
            <w:pPr>
              <w:pStyle w:val="Tabletext"/>
            </w:pPr>
            <w:r w:rsidRPr="00D42745">
              <w:t>79%</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N/A</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31</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N/A</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3%</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N/A</w:t>
            </w:r>
          </w:p>
        </w:tc>
      </w:tr>
      <w:tr w:rsidR="00D226C7" w:rsidRPr="00D42745" w:rsidTr="00D226C7">
        <w:trPr>
          <w:trHeight w:hRule="exact" w:val="312"/>
        </w:trPr>
        <w:tc>
          <w:tcPr>
            <w:tcW w:w="2271" w:type="dxa"/>
            <w:tcBorders>
              <w:top w:val="single" w:sz="4" w:space="0" w:color="auto"/>
              <w:bottom w:val="single" w:sz="4" w:space="0" w:color="auto"/>
            </w:tcBorders>
          </w:tcPr>
          <w:p w:rsidR="00D226C7" w:rsidRPr="00D226C7" w:rsidRDefault="00D226C7" w:rsidP="00D226C7">
            <w:pPr>
              <w:pStyle w:val="Tabletext"/>
            </w:pPr>
            <w:r w:rsidRPr="00D226C7">
              <w:t xml:space="preserve">QEnergy </w:t>
            </w:r>
          </w:p>
        </w:tc>
        <w:tc>
          <w:tcPr>
            <w:tcW w:w="1161" w:type="dxa"/>
            <w:tcBorders>
              <w:top w:val="single" w:sz="4" w:space="0" w:color="auto"/>
              <w:bottom w:val="single" w:sz="4" w:space="0" w:color="auto"/>
            </w:tcBorders>
          </w:tcPr>
          <w:p w:rsidR="00D226C7" w:rsidRPr="00D42745" w:rsidRDefault="00D226C7" w:rsidP="00D226C7">
            <w:pPr>
              <w:pStyle w:val="Tabletext"/>
            </w:pPr>
            <w:r w:rsidRPr="00D42745">
              <w:t>95%</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▼5%</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4</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▼26</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5%</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▼3%</w:t>
            </w:r>
          </w:p>
        </w:tc>
      </w:tr>
      <w:tr w:rsidR="00D226C7" w:rsidRPr="00D42745" w:rsidTr="00D226C7">
        <w:trPr>
          <w:trHeight w:hRule="exact" w:val="312"/>
        </w:trPr>
        <w:tc>
          <w:tcPr>
            <w:tcW w:w="2271" w:type="dxa"/>
            <w:tcBorders>
              <w:top w:val="single" w:sz="4" w:space="0" w:color="auto"/>
              <w:bottom w:val="single" w:sz="4" w:space="0" w:color="auto"/>
            </w:tcBorders>
          </w:tcPr>
          <w:p w:rsidR="00D226C7" w:rsidRPr="00D226C7" w:rsidRDefault="00D226C7" w:rsidP="00D226C7">
            <w:pPr>
              <w:pStyle w:val="Tabletext"/>
            </w:pPr>
            <w:r w:rsidRPr="00D226C7">
              <w:t xml:space="preserve">Red Energy </w:t>
            </w:r>
          </w:p>
        </w:tc>
        <w:tc>
          <w:tcPr>
            <w:tcW w:w="1161" w:type="dxa"/>
            <w:tcBorders>
              <w:top w:val="single" w:sz="4" w:space="0" w:color="auto"/>
              <w:bottom w:val="single" w:sz="4" w:space="0" w:color="auto"/>
            </w:tcBorders>
          </w:tcPr>
          <w:p w:rsidR="00D226C7" w:rsidRPr="00D42745" w:rsidRDefault="00D226C7" w:rsidP="00D226C7">
            <w:pPr>
              <w:pStyle w:val="Tabletext"/>
            </w:pPr>
            <w:r w:rsidRPr="00D42745">
              <w:t>79%</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▼5%</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34</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▲11</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2%</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▲1%</w:t>
            </w:r>
          </w:p>
        </w:tc>
      </w:tr>
      <w:tr w:rsidR="00D226C7" w:rsidRPr="00D42745" w:rsidTr="00D226C7">
        <w:trPr>
          <w:trHeight w:hRule="exact" w:val="312"/>
        </w:trPr>
        <w:tc>
          <w:tcPr>
            <w:tcW w:w="2271" w:type="dxa"/>
            <w:tcBorders>
              <w:top w:val="single" w:sz="4" w:space="0" w:color="auto"/>
              <w:bottom w:val="single" w:sz="4" w:space="0" w:color="auto"/>
            </w:tcBorders>
          </w:tcPr>
          <w:p w:rsidR="00D226C7" w:rsidRPr="00D226C7" w:rsidRDefault="00D226C7" w:rsidP="00D226C7">
            <w:pPr>
              <w:pStyle w:val="Tabletext"/>
            </w:pPr>
            <w:r w:rsidRPr="00D226C7">
              <w:t xml:space="preserve">Sanctuary Energy </w:t>
            </w:r>
          </w:p>
        </w:tc>
        <w:tc>
          <w:tcPr>
            <w:tcW w:w="1161" w:type="dxa"/>
            <w:tcBorders>
              <w:top w:val="single" w:sz="4" w:space="0" w:color="auto"/>
              <w:bottom w:val="single" w:sz="4" w:space="0" w:color="auto"/>
            </w:tcBorders>
          </w:tcPr>
          <w:p w:rsidR="00D226C7" w:rsidRPr="00D42745" w:rsidRDefault="00D226C7" w:rsidP="00D226C7">
            <w:pPr>
              <w:pStyle w:val="Tabletext"/>
            </w:pPr>
            <w:r w:rsidRPr="00D42745">
              <w:t>90%</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▲4%</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13</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▼13</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1%</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▼1%</w:t>
            </w:r>
          </w:p>
        </w:tc>
      </w:tr>
      <w:tr w:rsidR="00D226C7" w:rsidRPr="00D42745" w:rsidTr="00D226C7">
        <w:trPr>
          <w:trHeight w:hRule="exact" w:val="312"/>
        </w:trPr>
        <w:tc>
          <w:tcPr>
            <w:tcW w:w="2271" w:type="dxa"/>
            <w:tcBorders>
              <w:top w:val="single" w:sz="4" w:space="0" w:color="auto"/>
              <w:bottom w:val="single" w:sz="4" w:space="0" w:color="auto"/>
            </w:tcBorders>
          </w:tcPr>
          <w:p w:rsidR="00D226C7" w:rsidRPr="00D226C7" w:rsidRDefault="00D226C7" w:rsidP="00D226C7">
            <w:pPr>
              <w:pStyle w:val="Tabletext"/>
            </w:pPr>
            <w:r w:rsidRPr="00D226C7">
              <w:t>Simply Energy</w:t>
            </w:r>
          </w:p>
        </w:tc>
        <w:tc>
          <w:tcPr>
            <w:tcW w:w="1161" w:type="dxa"/>
            <w:tcBorders>
              <w:top w:val="single" w:sz="4" w:space="0" w:color="auto"/>
              <w:bottom w:val="single" w:sz="4" w:space="0" w:color="auto"/>
            </w:tcBorders>
          </w:tcPr>
          <w:p w:rsidR="00D226C7" w:rsidRPr="00D42745" w:rsidRDefault="00D226C7" w:rsidP="00D226C7">
            <w:pPr>
              <w:pStyle w:val="Tabletext"/>
            </w:pPr>
            <w:r w:rsidRPr="00D42745">
              <w:t>92%</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▲1%</w:t>
            </w:r>
          </w:p>
        </w:tc>
        <w:tc>
          <w:tcPr>
            <w:tcW w:w="1162" w:type="dxa"/>
            <w:tcBorders>
              <w:top w:val="single" w:sz="4" w:space="0" w:color="auto"/>
              <w:bottom w:val="single" w:sz="4" w:space="0" w:color="auto"/>
            </w:tcBorders>
          </w:tcPr>
          <w:p w:rsidR="00D226C7" w:rsidRPr="00D42745" w:rsidRDefault="00D226C7" w:rsidP="00D226C7">
            <w:pPr>
              <w:pStyle w:val="Tabletext"/>
            </w:pPr>
            <w:r w:rsidRPr="00D42745">
              <w:t>20</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▲5</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2%</w:t>
            </w:r>
          </w:p>
        </w:tc>
        <w:tc>
          <w:tcPr>
            <w:tcW w:w="1162" w:type="dxa"/>
            <w:tcBorders>
              <w:top w:val="single" w:sz="4" w:space="0" w:color="auto"/>
              <w:bottom w:val="single" w:sz="4" w:space="0" w:color="auto"/>
            </w:tcBorders>
          </w:tcPr>
          <w:p w:rsidR="00D226C7" w:rsidRPr="00D226C7" w:rsidRDefault="00D226C7" w:rsidP="00D226C7">
            <w:pPr>
              <w:pStyle w:val="Tabletext"/>
            </w:pPr>
            <w:r w:rsidRPr="00D226C7">
              <w:t>▲1%</w:t>
            </w:r>
          </w:p>
        </w:tc>
      </w:tr>
    </w:tbl>
    <w:p w:rsidR="00D226C7" w:rsidRPr="00D226C7" w:rsidRDefault="00D226C7" w:rsidP="00D226C7">
      <w:r w:rsidRPr="00D42745">
        <w:lastRenderedPageBreak/>
        <w:t>Most energy retailers answered at least 80 per cent of calls within 30 seconds, and had average waiting times of less than one minute. EnergyAustralia and Powerdirect significantly improved their performance in the l</w:t>
      </w:r>
      <w:r w:rsidRPr="00D226C7">
        <w:t>ast year.</w:t>
      </w:r>
      <w:r w:rsidR="008E1728">
        <w:t xml:space="preserve"> ActewAGL, Momentum Energy and Origin Energy had the longest call waiting times.</w:t>
      </w:r>
      <w:r w:rsidR="009275E8">
        <w:t xml:space="preserve"> </w:t>
      </w:r>
    </w:p>
    <w:p w:rsidR="00D226C7" w:rsidRPr="00D226C7" w:rsidRDefault="00273EF8" w:rsidP="00D226C7">
      <w:r>
        <w:t>The South Australian Government requires r</w:t>
      </w:r>
      <w:r w:rsidR="00D226C7" w:rsidRPr="00D42745">
        <w:t xml:space="preserve">etailers </w:t>
      </w:r>
      <w:r w:rsidR="00A471C1">
        <w:t xml:space="preserve">selling energy to small customers </w:t>
      </w:r>
      <w:r>
        <w:t>to meet</w:t>
      </w:r>
      <w:r w:rsidR="00D226C7" w:rsidRPr="00D42745">
        <w:t xml:space="preserve"> </w:t>
      </w:r>
      <w:r w:rsidR="00A471C1">
        <w:t xml:space="preserve">minimum </w:t>
      </w:r>
      <w:r w:rsidR="00D226C7" w:rsidRPr="00D42745">
        <w:t xml:space="preserve">customer service standards </w:t>
      </w:r>
      <w:r w:rsidR="00A471C1">
        <w:t>(</w:t>
      </w:r>
      <w:r w:rsidR="008E1728">
        <w:t>National Energy Retail (Local Provisions) Regulations.</w:t>
      </w:r>
      <w:r w:rsidR="00D226C7" w:rsidRPr="00D226C7">
        <w:rPr>
          <w:rStyle w:val="Superscript"/>
        </w:rPr>
        <w:footnoteReference w:id="13"/>
      </w:r>
      <w:r w:rsidR="00A471C1">
        <w:t>)</w:t>
      </w:r>
      <w:r w:rsidR="00D226C7" w:rsidRPr="00D226C7">
        <w:t xml:space="preserve"> These are reported in Appendix 2. </w:t>
      </w:r>
    </w:p>
    <w:p w:rsidR="00D226C7" w:rsidRPr="00D226C7" w:rsidRDefault="00D226C7" w:rsidP="00D226C7">
      <w:pPr>
        <w:pStyle w:val="Heading2"/>
      </w:pPr>
      <w:bookmarkStart w:id="15" w:name="_Toc433026809"/>
      <w:r w:rsidRPr="00D226C7">
        <w:t>Complaints</w:t>
      </w:r>
      <w:bookmarkEnd w:id="15"/>
    </w:p>
    <w:p w:rsidR="00D226C7" w:rsidRPr="00D42745" w:rsidRDefault="00D226C7" w:rsidP="00D226C7">
      <w:r w:rsidRPr="00D42745">
        <w:t>Energy retailers must report the number of small customer complaints they receive against the following categories:</w:t>
      </w:r>
    </w:p>
    <w:p w:rsidR="00D226C7" w:rsidRPr="00D42745" w:rsidRDefault="00D226C7" w:rsidP="00D226C7">
      <w:pPr>
        <w:pStyle w:val="Bulletpoint"/>
      </w:pPr>
      <w:r w:rsidRPr="00D42745">
        <w:t xml:space="preserve">billing – includes complaints about prices, billing errors, payment arrangements, debt recovery practices and disconnections </w:t>
      </w:r>
    </w:p>
    <w:p w:rsidR="00D226C7" w:rsidRPr="00D42745" w:rsidRDefault="00D226C7" w:rsidP="00D226C7">
      <w:pPr>
        <w:pStyle w:val="Bulletpoint"/>
      </w:pPr>
      <w:r w:rsidRPr="00D42745">
        <w:t>energy marketing – includes complaints about sales practices, advertising, contract terms and misleading conduct</w:t>
      </w:r>
    </w:p>
    <w:p w:rsidR="00D226C7" w:rsidRPr="00D42745" w:rsidRDefault="00D226C7" w:rsidP="00D226C7">
      <w:pPr>
        <w:pStyle w:val="Bulletpoint"/>
      </w:pPr>
      <w:r w:rsidRPr="00D42745">
        <w:t>customer transfer – includes complaints about timeliness of transfer, disruption of supply due to transfer and billing problems directly associated with a transfer</w:t>
      </w:r>
    </w:p>
    <w:p w:rsidR="00D226C7" w:rsidRPr="00D226C7" w:rsidRDefault="00D226C7" w:rsidP="00D226C7">
      <w:pPr>
        <w:pStyle w:val="Bulletpoint"/>
      </w:pPr>
      <w:r w:rsidRPr="00D42745">
        <w:t xml:space="preserve">other complaints – includes complaints about customer service, privacy issues, failure to respond to complaints, and health and safety issues. </w:t>
      </w:r>
    </w:p>
    <w:p w:rsidR="00D226C7" w:rsidRPr="00D226C7" w:rsidRDefault="00D226C7" w:rsidP="00D226C7">
      <w:r>
        <w:t xml:space="preserve">Figure 2.1 shows the number of residential customer complaints made to energy retailers in each jurisdiction in 2013-14 and 2014-15. </w:t>
      </w:r>
    </w:p>
    <w:p w:rsidR="00D226C7" w:rsidRDefault="00D226C7" w:rsidP="00D226C7">
      <w:pPr>
        <w:pStyle w:val="Tabletitle"/>
      </w:pPr>
    </w:p>
    <w:p w:rsidR="00D226C7" w:rsidRDefault="00D226C7" w:rsidP="00D226C7">
      <w:pPr>
        <w:pStyle w:val="Tabletitle"/>
      </w:pPr>
    </w:p>
    <w:p w:rsidR="00D226C7" w:rsidRDefault="00D226C7" w:rsidP="00D226C7">
      <w:pPr>
        <w:pStyle w:val="Tabletitle"/>
      </w:pPr>
    </w:p>
    <w:p w:rsidR="00D226C7" w:rsidRDefault="00D226C7" w:rsidP="00D226C7">
      <w:pPr>
        <w:pStyle w:val="Tabletitle"/>
      </w:pPr>
    </w:p>
    <w:p w:rsidR="00D226C7" w:rsidRDefault="00D226C7" w:rsidP="00D226C7">
      <w:pPr>
        <w:pStyle w:val="Tabletitle"/>
      </w:pPr>
    </w:p>
    <w:p w:rsidR="00D226C7" w:rsidRDefault="00D226C7" w:rsidP="00D226C7">
      <w:pPr>
        <w:pStyle w:val="Tabletitle"/>
      </w:pPr>
    </w:p>
    <w:p w:rsidR="00D226C7" w:rsidRDefault="00D226C7" w:rsidP="00D226C7">
      <w:pPr>
        <w:pStyle w:val="Tabletitle"/>
      </w:pPr>
    </w:p>
    <w:p w:rsidR="00D226C7" w:rsidRDefault="00D226C7" w:rsidP="00D226C7">
      <w:pPr>
        <w:pStyle w:val="Tabletitle"/>
      </w:pPr>
    </w:p>
    <w:p w:rsidR="00D226C7" w:rsidRDefault="00D226C7" w:rsidP="00D226C7">
      <w:pPr>
        <w:pStyle w:val="Tabletitle"/>
      </w:pPr>
    </w:p>
    <w:p w:rsidR="00D226C7" w:rsidRDefault="00D226C7" w:rsidP="00D226C7">
      <w:pPr>
        <w:pStyle w:val="Tabletitle"/>
      </w:pPr>
    </w:p>
    <w:p w:rsidR="00D226C7" w:rsidRPr="003E45F6" w:rsidRDefault="00D226C7" w:rsidP="00D226C7">
      <w:pPr>
        <w:pStyle w:val="Tabletitle"/>
      </w:pPr>
      <w:r w:rsidRPr="003E45F6">
        <w:lastRenderedPageBreak/>
        <w:t>Figure 2.1: Residential customer complaints to retailers in 2013-14 and 2014-15 – by jurisdiction</w:t>
      </w:r>
    </w:p>
    <w:p w:rsidR="00D226C7" w:rsidRPr="00D226C7" w:rsidRDefault="00D226C7" w:rsidP="00D226C7">
      <w:r w:rsidRPr="00D226C7">
        <w:rPr>
          <w:noProof/>
          <w:lang w:eastAsia="en-AU"/>
        </w:rPr>
        <w:drawing>
          <wp:inline distT="0" distB="0" distL="0" distR="0" wp14:anchorId="2CACD9B3" wp14:editId="7E287AAB">
            <wp:extent cx="5760000" cy="3708000"/>
            <wp:effectExtent l="0" t="0" r="0" b="6985"/>
            <wp:docPr id="47" name="Picture 47" descr="Complaints in South Australia increased by 17 per cent (to over 12 per cent of customers), and complaints in New South Wales increased by 47 per cent (to 11 per cent of customers) in 2014-15. Around half of all complaints in these states are about billing. Around 3 per cent of customers in the ACT and Tasmania made complaints to their retailer."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3708000"/>
                    </a:xfrm>
                    <a:prstGeom prst="rect">
                      <a:avLst/>
                    </a:prstGeom>
                    <a:noFill/>
                  </pic:spPr>
                </pic:pic>
              </a:graphicData>
            </a:graphic>
          </wp:inline>
        </w:drawing>
      </w:r>
    </w:p>
    <w:p w:rsidR="00D226C7" w:rsidRPr="00D226C7" w:rsidRDefault="00D226C7" w:rsidP="00D226C7">
      <w:r>
        <w:t xml:space="preserve">In South Australia over 12 per cent of residential customers </w:t>
      </w:r>
      <w:r w:rsidR="003A1645">
        <w:t>complained</w:t>
      </w:r>
      <w:r>
        <w:t xml:space="preserve"> to their retailer</w:t>
      </w:r>
      <w:r w:rsidR="0075048C">
        <w:t xml:space="preserve"> (increase of 17%)</w:t>
      </w:r>
      <w:r>
        <w:t>, and in New South Wales around 11 per cent of customers made complaints</w:t>
      </w:r>
      <w:r w:rsidR="0075048C">
        <w:t xml:space="preserve"> (increase of 47%) </w:t>
      </w:r>
      <w:r>
        <w:t>. Around half of these complaints were for billing issues.</w:t>
      </w:r>
      <w:r w:rsidRPr="00D226C7">
        <w:t xml:space="preserve"> Around 3 per cent of customers made complaints to retailers in the ACT and Tasmania.  </w:t>
      </w:r>
    </w:p>
    <w:p w:rsidR="00D226C7" w:rsidRPr="00D42745" w:rsidRDefault="00D226C7" w:rsidP="00D226C7">
      <w:r w:rsidRPr="00D42745">
        <w:t>The overall number of complaints provides an indication of customer satisfaction levels; but it’s important to remember that the nature of some complaints can be outside the control of the energy retailer. For example, complaints about prices due to</w:t>
      </w:r>
      <w:r w:rsidR="00907103">
        <w:t xml:space="preserve"> wholesale </w:t>
      </w:r>
      <w:r w:rsidR="00751791">
        <w:t xml:space="preserve">and network </w:t>
      </w:r>
      <w:r w:rsidR="00907103">
        <w:t>costs</w:t>
      </w:r>
      <w:r w:rsidRPr="00D42745">
        <w:t xml:space="preserve"> may reflect unfairly on energy retailers. Therefore the manner in which complaints are handled is a more effective measure of retailer performance. </w:t>
      </w:r>
    </w:p>
    <w:p w:rsidR="00D226C7" w:rsidRPr="00D226C7" w:rsidRDefault="00D226C7" w:rsidP="00D226C7">
      <w:r w:rsidRPr="00D42745">
        <w:t xml:space="preserve">Retailers with effective customer service are </w:t>
      </w:r>
      <w:r w:rsidR="0075048C">
        <w:t xml:space="preserve">generally </w:t>
      </w:r>
      <w:r w:rsidRPr="00D42745">
        <w:t xml:space="preserve">able to promptly resolve customer complaints when they are made to them. Such complaints </w:t>
      </w:r>
      <w:r w:rsidR="0075048C">
        <w:t xml:space="preserve">often </w:t>
      </w:r>
      <w:r w:rsidRPr="00D42745">
        <w:t xml:space="preserve">do not need to be escalated or referred elsewhere to be resolved. Customers may contact the energy ombudsman in their state or territory if their complaint is not resolved or dealt with unsatisfactorily by their retailer. Table 2.2 compares the number of complaints made to retailers with those referred to each jurisdictional ombudsman scheme.  </w:t>
      </w:r>
    </w:p>
    <w:p w:rsidR="00D226C7" w:rsidRPr="00D226C7" w:rsidRDefault="00FE2F6D" w:rsidP="00D226C7">
      <w:r>
        <w:t xml:space="preserve">Many retailers received fewer complaints in 2014-15, however there were large increases in complaints made to Origin Energy (in South Australia, the ACT and New South Wales), which </w:t>
      </w:r>
      <w:r w:rsidR="003A1645">
        <w:t>accounts for the general increase in</w:t>
      </w:r>
      <w:r>
        <w:t xml:space="preserve"> complaints in each jurisdiction. Ombudsman </w:t>
      </w:r>
      <w:r w:rsidR="00D226C7">
        <w:t xml:space="preserve">schemes generally received fewer complaints for investigation in 2014-15 when compared with 2013-14. Ombudsman complaints halved in Tasmania, decreased by 26 per cent in South Australia, </w:t>
      </w:r>
      <w:r w:rsidR="00D226C7" w:rsidRPr="00D226C7">
        <w:t>decreased in New South Wales and remained steady in the ACT.</w:t>
      </w:r>
    </w:p>
    <w:p w:rsidR="00D226C7" w:rsidRPr="003E45F6" w:rsidRDefault="00D226C7" w:rsidP="00D226C7">
      <w:pPr>
        <w:pStyle w:val="Tabletitle"/>
      </w:pPr>
      <w:r w:rsidRPr="003E45F6">
        <w:lastRenderedPageBreak/>
        <w:t>Table 2.2: Small customer complaints made to each retailer and the respective ombudsman in 2014-15</w:t>
      </w:r>
    </w:p>
    <w:tbl>
      <w:tblPr>
        <w:tblW w:w="9322" w:type="dxa"/>
        <w:tblBorders>
          <w:top w:val="single" w:sz="4" w:space="0" w:color="BFBFBF" w:themeColor="background1" w:themeShade="BF"/>
          <w:insideH w:val="single" w:sz="4" w:space="0" w:color="auto"/>
        </w:tblBorders>
        <w:tblLook w:val="04A0" w:firstRow="1" w:lastRow="0" w:firstColumn="1" w:lastColumn="0" w:noHBand="0" w:noVBand="1"/>
      </w:tblPr>
      <w:tblGrid>
        <w:gridCol w:w="2235"/>
        <w:gridCol w:w="1134"/>
        <w:gridCol w:w="1275"/>
        <w:gridCol w:w="992"/>
        <w:gridCol w:w="1135"/>
        <w:gridCol w:w="2551"/>
      </w:tblGrid>
      <w:tr w:rsidR="001C01EE" w:rsidRPr="00D42745" w:rsidTr="001C01EE">
        <w:tc>
          <w:tcPr>
            <w:tcW w:w="2235" w:type="dxa"/>
            <w:tcBorders>
              <w:bottom w:val="single" w:sz="4" w:space="0" w:color="auto"/>
            </w:tcBorders>
            <w:shd w:val="clear" w:color="auto" w:fill="F2F2F2" w:themeFill="background1" w:themeFillShade="F2"/>
          </w:tcPr>
          <w:p w:rsidR="00D226C7" w:rsidRPr="00A35B80" w:rsidRDefault="00D226C7" w:rsidP="00802160">
            <w:pPr>
              <w:pStyle w:val="Tabletext"/>
              <w:rPr>
                <w:rStyle w:val="Strong"/>
              </w:rPr>
            </w:pPr>
            <w:r w:rsidRPr="00A35B80">
              <w:rPr>
                <w:rStyle w:val="Strong"/>
              </w:rPr>
              <w:t>Retailer</w:t>
            </w:r>
          </w:p>
        </w:tc>
        <w:tc>
          <w:tcPr>
            <w:tcW w:w="2409" w:type="dxa"/>
            <w:gridSpan w:val="2"/>
            <w:tcBorders>
              <w:bottom w:val="single" w:sz="4" w:space="0" w:color="auto"/>
            </w:tcBorders>
            <w:shd w:val="clear" w:color="auto" w:fill="F2F2F2" w:themeFill="background1" w:themeFillShade="F2"/>
          </w:tcPr>
          <w:p w:rsidR="00D226C7" w:rsidRPr="00A35B80" w:rsidRDefault="00D226C7" w:rsidP="00802160">
            <w:pPr>
              <w:pStyle w:val="Tabletext"/>
              <w:rPr>
                <w:rStyle w:val="Strong"/>
              </w:rPr>
            </w:pPr>
            <w:r w:rsidRPr="00A35B80">
              <w:rPr>
                <w:rStyle w:val="Strong"/>
              </w:rPr>
              <w:t>Complaints to retailer</w:t>
            </w:r>
          </w:p>
        </w:tc>
        <w:tc>
          <w:tcPr>
            <w:tcW w:w="2127" w:type="dxa"/>
            <w:gridSpan w:val="2"/>
            <w:tcBorders>
              <w:bottom w:val="single" w:sz="4" w:space="0" w:color="auto"/>
            </w:tcBorders>
            <w:shd w:val="clear" w:color="auto" w:fill="F2F2F2" w:themeFill="background1" w:themeFillShade="F2"/>
          </w:tcPr>
          <w:p w:rsidR="00D226C7" w:rsidRPr="00A35B80" w:rsidRDefault="00D226C7" w:rsidP="00802160">
            <w:pPr>
              <w:pStyle w:val="Tabletext"/>
              <w:rPr>
                <w:rStyle w:val="Strong"/>
              </w:rPr>
            </w:pPr>
            <w:r w:rsidRPr="00A35B80">
              <w:rPr>
                <w:rStyle w:val="Strong"/>
              </w:rPr>
              <w:t>Complaints to ombudsman*</w:t>
            </w:r>
          </w:p>
        </w:tc>
        <w:tc>
          <w:tcPr>
            <w:tcW w:w="2551" w:type="dxa"/>
            <w:tcBorders>
              <w:bottom w:val="single" w:sz="4" w:space="0" w:color="auto"/>
            </w:tcBorders>
            <w:shd w:val="clear" w:color="auto" w:fill="F2F2F2" w:themeFill="background1" w:themeFillShade="F2"/>
          </w:tcPr>
          <w:p w:rsidR="00D226C7" w:rsidRPr="00A35B80" w:rsidRDefault="00D226C7" w:rsidP="00802160">
            <w:pPr>
              <w:pStyle w:val="Tabletext"/>
              <w:rPr>
                <w:rStyle w:val="Strong"/>
              </w:rPr>
            </w:pPr>
            <w:r w:rsidRPr="00A35B80">
              <w:rPr>
                <w:rStyle w:val="Strong"/>
              </w:rPr>
              <w:t>Ombudsman complaints as % of total complaints</w:t>
            </w:r>
          </w:p>
        </w:tc>
      </w:tr>
      <w:tr w:rsidR="001C01EE" w:rsidRPr="00D42745" w:rsidTr="001C01EE">
        <w:trPr>
          <w:trHeight w:hRule="exact" w:val="312"/>
        </w:trPr>
        <w:tc>
          <w:tcPr>
            <w:tcW w:w="2235" w:type="dxa"/>
            <w:tcBorders>
              <w:top w:val="single" w:sz="4" w:space="0" w:color="auto"/>
              <w:bottom w:val="single" w:sz="4" w:space="0" w:color="auto"/>
            </w:tcBorders>
          </w:tcPr>
          <w:p w:rsidR="00D226C7" w:rsidRPr="007B7CF1" w:rsidRDefault="00D226C7" w:rsidP="00802160">
            <w:pPr>
              <w:pStyle w:val="Tabletext"/>
              <w:rPr>
                <w:rStyle w:val="Strong"/>
              </w:rPr>
            </w:pPr>
            <w:r w:rsidRPr="007B7CF1">
              <w:rPr>
                <w:rStyle w:val="Strong"/>
              </w:rPr>
              <w:t>South Australia</w:t>
            </w:r>
          </w:p>
        </w:tc>
        <w:tc>
          <w:tcPr>
            <w:tcW w:w="2409" w:type="dxa"/>
            <w:gridSpan w:val="2"/>
            <w:tcBorders>
              <w:top w:val="single" w:sz="4" w:space="0" w:color="auto"/>
              <w:bottom w:val="single" w:sz="4" w:space="0" w:color="auto"/>
            </w:tcBorders>
          </w:tcPr>
          <w:p w:rsidR="00D226C7" w:rsidRPr="00D42745" w:rsidRDefault="00D226C7" w:rsidP="00802160">
            <w:pPr>
              <w:pStyle w:val="Tabletext"/>
            </w:pPr>
          </w:p>
        </w:tc>
        <w:tc>
          <w:tcPr>
            <w:tcW w:w="2127" w:type="dxa"/>
            <w:gridSpan w:val="2"/>
            <w:tcBorders>
              <w:top w:val="single" w:sz="4" w:space="0" w:color="auto"/>
              <w:bottom w:val="single" w:sz="4" w:space="0" w:color="auto"/>
            </w:tcBorders>
          </w:tcPr>
          <w:p w:rsidR="00D226C7" w:rsidRPr="00D42745" w:rsidRDefault="00D226C7" w:rsidP="00802160">
            <w:pPr>
              <w:pStyle w:val="Tabletext"/>
            </w:pPr>
          </w:p>
        </w:tc>
        <w:tc>
          <w:tcPr>
            <w:tcW w:w="2551" w:type="dxa"/>
            <w:tcBorders>
              <w:top w:val="single" w:sz="4" w:space="0" w:color="auto"/>
              <w:bottom w:val="single" w:sz="4" w:space="0" w:color="auto"/>
            </w:tcBorders>
          </w:tcPr>
          <w:p w:rsidR="00D226C7" w:rsidRPr="00D42745" w:rsidRDefault="00D226C7" w:rsidP="00802160">
            <w:pPr>
              <w:pStyle w:val="Tabletext"/>
            </w:pPr>
          </w:p>
        </w:tc>
      </w:tr>
      <w:tr w:rsidR="00252AD3" w:rsidRPr="00D42745" w:rsidTr="001C01EE">
        <w:trPr>
          <w:trHeight w:hRule="exact" w:val="312"/>
        </w:trPr>
        <w:tc>
          <w:tcPr>
            <w:tcW w:w="2235" w:type="dxa"/>
            <w:tcBorders>
              <w:top w:val="single" w:sz="4" w:space="0" w:color="auto"/>
              <w:bottom w:val="single" w:sz="4" w:space="0" w:color="auto"/>
            </w:tcBorders>
          </w:tcPr>
          <w:p w:rsidR="00252AD3" w:rsidRPr="00D226C7" w:rsidRDefault="00252AD3" w:rsidP="00802160">
            <w:pPr>
              <w:pStyle w:val="Tabletext"/>
            </w:pPr>
            <w:r w:rsidRPr="00D226C7">
              <w:t xml:space="preserve">AGL </w:t>
            </w:r>
          </w:p>
        </w:tc>
        <w:tc>
          <w:tcPr>
            <w:tcW w:w="1134" w:type="dxa"/>
            <w:tcBorders>
              <w:top w:val="single" w:sz="4" w:space="0" w:color="auto"/>
              <w:bottom w:val="single" w:sz="4" w:space="0" w:color="auto"/>
            </w:tcBorders>
          </w:tcPr>
          <w:p w:rsidR="00252AD3" w:rsidRPr="00D42745" w:rsidRDefault="00252AD3" w:rsidP="00802160">
            <w:pPr>
              <w:pStyle w:val="Tabletext"/>
            </w:pPr>
            <w:r w:rsidRPr="00D42745">
              <w:t>36 589</w:t>
            </w:r>
          </w:p>
        </w:tc>
        <w:tc>
          <w:tcPr>
            <w:tcW w:w="1275" w:type="dxa"/>
            <w:tcBorders>
              <w:top w:val="single" w:sz="4" w:space="0" w:color="auto"/>
              <w:bottom w:val="single" w:sz="4" w:space="0" w:color="auto"/>
            </w:tcBorders>
          </w:tcPr>
          <w:p w:rsidR="00252AD3" w:rsidRPr="00D42745" w:rsidRDefault="00252AD3" w:rsidP="00802160">
            <w:pPr>
              <w:pStyle w:val="Tabletext"/>
            </w:pPr>
            <w:r>
              <w:rPr>
                <w:rFonts w:cs="Arial"/>
              </w:rPr>
              <w:t>▼</w:t>
            </w:r>
            <w:r>
              <w:t>3 584</w:t>
            </w:r>
          </w:p>
        </w:tc>
        <w:tc>
          <w:tcPr>
            <w:tcW w:w="992" w:type="dxa"/>
            <w:tcBorders>
              <w:top w:val="single" w:sz="4" w:space="0" w:color="auto"/>
              <w:bottom w:val="single" w:sz="4" w:space="0" w:color="auto"/>
            </w:tcBorders>
          </w:tcPr>
          <w:p w:rsidR="00252AD3" w:rsidRPr="00D42745" w:rsidRDefault="00252AD3" w:rsidP="00802160">
            <w:pPr>
              <w:pStyle w:val="Tabletext"/>
            </w:pPr>
            <w:r w:rsidRPr="00D42745">
              <w:t>2 154</w:t>
            </w:r>
          </w:p>
        </w:tc>
        <w:tc>
          <w:tcPr>
            <w:tcW w:w="1135" w:type="dxa"/>
            <w:tcBorders>
              <w:top w:val="single" w:sz="4" w:space="0" w:color="auto"/>
              <w:bottom w:val="single" w:sz="4" w:space="0" w:color="auto"/>
            </w:tcBorders>
          </w:tcPr>
          <w:p w:rsidR="00252AD3" w:rsidRPr="00D42745" w:rsidRDefault="00DE162D" w:rsidP="00802160">
            <w:pPr>
              <w:pStyle w:val="Tabletext"/>
            </w:pPr>
            <w:r w:rsidRPr="00DE162D">
              <w:t>▼</w:t>
            </w:r>
            <w:r w:rsidR="00252AD3">
              <w:t>348</w:t>
            </w:r>
          </w:p>
        </w:tc>
        <w:tc>
          <w:tcPr>
            <w:tcW w:w="2551" w:type="dxa"/>
            <w:tcBorders>
              <w:top w:val="single" w:sz="4" w:space="0" w:color="auto"/>
              <w:bottom w:val="single" w:sz="4" w:space="0" w:color="auto"/>
            </w:tcBorders>
          </w:tcPr>
          <w:p w:rsidR="00252AD3" w:rsidRPr="00D42745" w:rsidRDefault="00252AD3" w:rsidP="00802160">
            <w:pPr>
              <w:pStyle w:val="Tabletext"/>
            </w:pPr>
            <w:r w:rsidRPr="00D42745">
              <w:t>5.9%</w:t>
            </w:r>
          </w:p>
        </w:tc>
      </w:tr>
      <w:tr w:rsidR="00252AD3" w:rsidRPr="00D42745" w:rsidTr="001C01EE">
        <w:trPr>
          <w:trHeight w:hRule="exact" w:val="312"/>
        </w:trPr>
        <w:tc>
          <w:tcPr>
            <w:tcW w:w="2235" w:type="dxa"/>
            <w:tcBorders>
              <w:top w:val="single" w:sz="4" w:space="0" w:color="auto"/>
              <w:bottom w:val="single" w:sz="4" w:space="0" w:color="auto"/>
            </w:tcBorders>
          </w:tcPr>
          <w:p w:rsidR="00252AD3" w:rsidRPr="00D226C7" w:rsidRDefault="00252AD3" w:rsidP="00802160">
            <w:pPr>
              <w:pStyle w:val="Tabletext"/>
            </w:pPr>
            <w:r w:rsidRPr="00D226C7">
              <w:t>Alinta Energy</w:t>
            </w:r>
          </w:p>
        </w:tc>
        <w:tc>
          <w:tcPr>
            <w:tcW w:w="1134" w:type="dxa"/>
            <w:tcBorders>
              <w:top w:val="single" w:sz="4" w:space="0" w:color="auto"/>
              <w:bottom w:val="single" w:sz="4" w:space="0" w:color="auto"/>
            </w:tcBorders>
          </w:tcPr>
          <w:p w:rsidR="00252AD3" w:rsidRPr="00D42745" w:rsidRDefault="00252AD3" w:rsidP="00802160">
            <w:pPr>
              <w:pStyle w:val="Tabletext"/>
            </w:pPr>
            <w:r w:rsidRPr="00D42745">
              <w:t>737</w:t>
            </w:r>
          </w:p>
        </w:tc>
        <w:tc>
          <w:tcPr>
            <w:tcW w:w="1275" w:type="dxa"/>
            <w:tcBorders>
              <w:top w:val="single" w:sz="4" w:space="0" w:color="auto"/>
              <w:bottom w:val="single" w:sz="4" w:space="0" w:color="auto"/>
            </w:tcBorders>
          </w:tcPr>
          <w:p w:rsidR="00252AD3" w:rsidRPr="00D42745" w:rsidRDefault="00252AD3" w:rsidP="00802160">
            <w:pPr>
              <w:pStyle w:val="Tabletext"/>
            </w:pPr>
            <w:r w:rsidRPr="00252AD3">
              <w:t>▼</w:t>
            </w:r>
            <w:r>
              <w:t>848</w:t>
            </w:r>
          </w:p>
        </w:tc>
        <w:tc>
          <w:tcPr>
            <w:tcW w:w="992" w:type="dxa"/>
            <w:tcBorders>
              <w:top w:val="single" w:sz="4" w:space="0" w:color="auto"/>
              <w:bottom w:val="single" w:sz="4" w:space="0" w:color="auto"/>
            </w:tcBorders>
          </w:tcPr>
          <w:p w:rsidR="00252AD3" w:rsidRPr="00D42745" w:rsidRDefault="00252AD3" w:rsidP="00802160">
            <w:pPr>
              <w:pStyle w:val="Tabletext"/>
            </w:pPr>
            <w:r w:rsidRPr="00D42745">
              <w:t>377</w:t>
            </w:r>
          </w:p>
        </w:tc>
        <w:tc>
          <w:tcPr>
            <w:tcW w:w="1135" w:type="dxa"/>
            <w:tcBorders>
              <w:top w:val="single" w:sz="4" w:space="0" w:color="auto"/>
              <w:bottom w:val="single" w:sz="4" w:space="0" w:color="auto"/>
            </w:tcBorders>
          </w:tcPr>
          <w:p w:rsidR="00252AD3" w:rsidRPr="00D42745" w:rsidRDefault="00DE162D" w:rsidP="00802160">
            <w:pPr>
              <w:pStyle w:val="Tabletext"/>
            </w:pPr>
            <w:r w:rsidRPr="00DE162D">
              <w:t>▲</w:t>
            </w:r>
            <w:r w:rsidR="00252AD3">
              <w:t>84</w:t>
            </w:r>
          </w:p>
        </w:tc>
        <w:tc>
          <w:tcPr>
            <w:tcW w:w="2551" w:type="dxa"/>
            <w:tcBorders>
              <w:top w:val="single" w:sz="4" w:space="0" w:color="auto"/>
              <w:bottom w:val="single" w:sz="4" w:space="0" w:color="auto"/>
            </w:tcBorders>
          </w:tcPr>
          <w:p w:rsidR="00252AD3" w:rsidRPr="00D42745" w:rsidRDefault="00252AD3" w:rsidP="00802160">
            <w:pPr>
              <w:pStyle w:val="Tabletext"/>
            </w:pPr>
            <w:r w:rsidRPr="00D42745">
              <w:t>51.2%</w:t>
            </w:r>
          </w:p>
        </w:tc>
      </w:tr>
      <w:tr w:rsidR="00252AD3" w:rsidRPr="00D42745" w:rsidTr="001C01EE">
        <w:trPr>
          <w:trHeight w:hRule="exact" w:val="312"/>
        </w:trPr>
        <w:tc>
          <w:tcPr>
            <w:tcW w:w="2235" w:type="dxa"/>
            <w:tcBorders>
              <w:top w:val="single" w:sz="4" w:space="0" w:color="auto"/>
              <w:bottom w:val="single" w:sz="4" w:space="0" w:color="auto"/>
            </w:tcBorders>
          </w:tcPr>
          <w:p w:rsidR="00252AD3" w:rsidRPr="00D226C7" w:rsidRDefault="00252AD3" w:rsidP="00802160">
            <w:pPr>
              <w:pStyle w:val="Tabletext"/>
            </w:pPr>
            <w:r w:rsidRPr="00D226C7">
              <w:t>Diamond Energy</w:t>
            </w:r>
          </w:p>
        </w:tc>
        <w:tc>
          <w:tcPr>
            <w:tcW w:w="1134" w:type="dxa"/>
            <w:tcBorders>
              <w:top w:val="single" w:sz="4" w:space="0" w:color="auto"/>
              <w:bottom w:val="single" w:sz="4" w:space="0" w:color="auto"/>
            </w:tcBorders>
          </w:tcPr>
          <w:p w:rsidR="00252AD3" w:rsidRPr="00D42745" w:rsidRDefault="00252AD3" w:rsidP="00802160">
            <w:pPr>
              <w:pStyle w:val="Tabletext"/>
            </w:pPr>
            <w:r w:rsidRPr="00D42745">
              <w:t>12</w:t>
            </w:r>
          </w:p>
        </w:tc>
        <w:tc>
          <w:tcPr>
            <w:tcW w:w="1275" w:type="dxa"/>
            <w:tcBorders>
              <w:top w:val="single" w:sz="4" w:space="0" w:color="auto"/>
              <w:bottom w:val="single" w:sz="4" w:space="0" w:color="auto"/>
            </w:tcBorders>
          </w:tcPr>
          <w:p w:rsidR="00252AD3" w:rsidRPr="00D42745" w:rsidRDefault="00252AD3" w:rsidP="00802160">
            <w:pPr>
              <w:pStyle w:val="Tabletext"/>
            </w:pPr>
            <w:r>
              <w:rPr>
                <w:rFonts w:cs="Arial"/>
              </w:rPr>
              <w:t>▲</w:t>
            </w:r>
            <w:r>
              <w:t>1</w:t>
            </w:r>
          </w:p>
        </w:tc>
        <w:tc>
          <w:tcPr>
            <w:tcW w:w="992" w:type="dxa"/>
            <w:tcBorders>
              <w:top w:val="single" w:sz="4" w:space="0" w:color="auto"/>
              <w:bottom w:val="single" w:sz="4" w:space="0" w:color="auto"/>
            </w:tcBorders>
          </w:tcPr>
          <w:p w:rsidR="00252AD3" w:rsidRPr="00D42745" w:rsidRDefault="00252AD3" w:rsidP="00802160">
            <w:pPr>
              <w:pStyle w:val="Tabletext"/>
            </w:pPr>
            <w:r w:rsidRPr="00D42745">
              <w:t>2</w:t>
            </w:r>
          </w:p>
        </w:tc>
        <w:tc>
          <w:tcPr>
            <w:tcW w:w="1135" w:type="dxa"/>
            <w:tcBorders>
              <w:top w:val="single" w:sz="4" w:space="0" w:color="auto"/>
              <w:bottom w:val="single" w:sz="4" w:space="0" w:color="auto"/>
            </w:tcBorders>
          </w:tcPr>
          <w:p w:rsidR="00252AD3" w:rsidRPr="00D42745" w:rsidRDefault="00DE162D" w:rsidP="00802160">
            <w:pPr>
              <w:pStyle w:val="Tabletext"/>
            </w:pPr>
            <w:r w:rsidRPr="00DE162D">
              <w:t>▼</w:t>
            </w:r>
            <w:r w:rsidR="00252AD3">
              <w:t>1</w:t>
            </w:r>
          </w:p>
        </w:tc>
        <w:tc>
          <w:tcPr>
            <w:tcW w:w="2551" w:type="dxa"/>
            <w:tcBorders>
              <w:top w:val="single" w:sz="4" w:space="0" w:color="auto"/>
              <w:bottom w:val="single" w:sz="4" w:space="0" w:color="auto"/>
            </w:tcBorders>
          </w:tcPr>
          <w:p w:rsidR="00252AD3" w:rsidRPr="00D42745" w:rsidRDefault="00252AD3" w:rsidP="00802160">
            <w:pPr>
              <w:pStyle w:val="Tabletext"/>
            </w:pPr>
            <w:r w:rsidRPr="00D42745">
              <w:t>16.7%</w:t>
            </w:r>
          </w:p>
        </w:tc>
      </w:tr>
      <w:tr w:rsidR="00252AD3" w:rsidRPr="00D42745" w:rsidTr="001C01EE">
        <w:trPr>
          <w:trHeight w:hRule="exact" w:val="312"/>
        </w:trPr>
        <w:tc>
          <w:tcPr>
            <w:tcW w:w="2235" w:type="dxa"/>
            <w:tcBorders>
              <w:top w:val="single" w:sz="4" w:space="0" w:color="auto"/>
              <w:bottom w:val="single" w:sz="4" w:space="0" w:color="auto"/>
            </w:tcBorders>
          </w:tcPr>
          <w:p w:rsidR="00252AD3" w:rsidRPr="00D226C7" w:rsidRDefault="00252AD3" w:rsidP="00802160">
            <w:pPr>
              <w:pStyle w:val="Tabletext"/>
            </w:pPr>
            <w:r w:rsidRPr="00D226C7">
              <w:t>EnergyAustralia</w:t>
            </w:r>
          </w:p>
        </w:tc>
        <w:tc>
          <w:tcPr>
            <w:tcW w:w="1134" w:type="dxa"/>
            <w:tcBorders>
              <w:top w:val="single" w:sz="4" w:space="0" w:color="auto"/>
              <w:bottom w:val="single" w:sz="4" w:space="0" w:color="auto"/>
            </w:tcBorders>
          </w:tcPr>
          <w:p w:rsidR="00252AD3" w:rsidRPr="00D42745" w:rsidRDefault="00252AD3" w:rsidP="00802160">
            <w:pPr>
              <w:pStyle w:val="Tabletext"/>
            </w:pPr>
            <w:r w:rsidRPr="00D42745">
              <w:t>6 766</w:t>
            </w:r>
          </w:p>
        </w:tc>
        <w:tc>
          <w:tcPr>
            <w:tcW w:w="1275" w:type="dxa"/>
            <w:tcBorders>
              <w:top w:val="single" w:sz="4" w:space="0" w:color="auto"/>
              <w:bottom w:val="single" w:sz="4" w:space="0" w:color="auto"/>
            </w:tcBorders>
          </w:tcPr>
          <w:p w:rsidR="00252AD3" w:rsidRPr="00D42745" w:rsidRDefault="00252AD3" w:rsidP="00802160">
            <w:pPr>
              <w:pStyle w:val="Tabletext"/>
            </w:pPr>
            <w:r w:rsidRPr="00252AD3">
              <w:t>▼</w:t>
            </w:r>
            <w:r>
              <w:t>5 626</w:t>
            </w:r>
          </w:p>
        </w:tc>
        <w:tc>
          <w:tcPr>
            <w:tcW w:w="992" w:type="dxa"/>
            <w:tcBorders>
              <w:top w:val="single" w:sz="4" w:space="0" w:color="auto"/>
              <w:bottom w:val="single" w:sz="4" w:space="0" w:color="auto"/>
            </w:tcBorders>
          </w:tcPr>
          <w:p w:rsidR="00252AD3" w:rsidRPr="00D42745" w:rsidRDefault="00252AD3" w:rsidP="00802160">
            <w:pPr>
              <w:pStyle w:val="Tabletext"/>
            </w:pPr>
            <w:r w:rsidRPr="00D42745">
              <w:t>1 397</w:t>
            </w:r>
          </w:p>
        </w:tc>
        <w:tc>
          <w:tcPr>
            <w:tcW w:w="1135" w:type="dxa"/>
            <w:tcBorders>
              <w:top w:val="single" w:sz="4" w:space="0" w:color="auto"/>
              <w:bottom w:val="single" w:sz="4" w:space="0" w:color="auto"/>
            </w:tcBorders>
          </w:tcPr>
          <w:p w:rsidR="00252AD3" w:rsidRPr="00D42745" w:rsidRDefault="00DE162D" w:rsidP="00802160">
            <w:pPr>
              <w:pStyle w:val="Tabletext"/>
            </w:pPr>
            <w:r w:rsidRPr="00DE162D">
              <w:t>▼</w:t>
            </w:r>
            <w:r w:rsidR="00252AD3">
              <w:t>1 616</w:t>
            </w:r>
          </w:p>
        </w:tc>
        <w:tc>
          <w:tcPr>
            <w:tcW w:w="2551" w:type="dxa"/>
            <w:tcBorders>
              <w:top w:val="single" w:sz="4" w:space="0" w:color="auto"/>
              <w:bottom w:val="single" w:sz="4" w:space="0" w:color="auto"/>
            </w:tcBorders>
          </w:tcPr>
          <w:p w:rsidR="00252AD3" w:rsidRPr="00D42745" w:rsidRDefault="00252AD3" w:rsidP="00802160">
            <w:pPr>
              <w:pStyle w:val="Tabletext"/>
            </w:pPr>
            <w:r w:rsidRPr="00D42745">
              <w:t>20.6%</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ERM Power Retail</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16</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16</w:t>
            </w:r>
          </w:p>
        </w:tc>
        <w:tc>
          <w:tcPr>
            <w:tcW w:w="992" w:type="dxa"/>
            <w:tcBorders>
              <w:top w:val="single" w:sz="4" w:space="0" w:color="auto"/>
              <w:bottom w:val="single" w:sz="4" w:space="0" w:color="auto"/>
            </w:tcBorders>
          </w:tcPr>
          <w:p w:rsidR="00DE162D" w:rsidRPr="00D42745" w:rsidRDefault="00DE162D" w:rsidP="00802160">
            <w:pPr>
              <w:pStyle w:val="Tabletext"/>
            </w:pPr>
            <w:r w:rsidRPr="00D42745">
              <w:t>0</w:t>
            </w:r>
          </w:p>
        </w:tc>
        <w:tc>
          <w:tcPr>
            <w:tcW w:w="1135" w:type="dxa"/>
            <w:tcBorders>
              <w:top w:val="single" w:sz="4" w:space="0" w:color="auto"/>
              <w:bottom w:val="single" w:sz="4" w:space="0" w:color="auto"/>
            </w:tcBorders>
          </w:tcPr>
          <w:p w:rsidR="00DE162D" w:rsidRPr="00D42745" w:rsidRDefault="00DE162D" w:rsidP="00802160">
            <w:pPr>
              <w:pStyle w:val="Tabletext"/>
            </w:pPr>
            <w:r w:rsidRPr="00DE162D">
              <w:t>●</w:t>
            </w:r>
          </w:p>
        </w:tc>
        <w:tc>
          <w:tcPr>
            <w:tcW w:w="2551" w:type="dxa"/>
            <w:tcBorders>
              <w:top w:val="single" w:sz="4" w:space="0" w:color="auto"/>
              <w:bottom w:val="single" w:sz="4" w:space="0" w:color="auto"/>
            </w:tcBorders>
          </w:tcPr>
          <w:p w:rsidR="00DE162D" w:rsidRPr="00D42745" w:rsidRDefault="00DE162D" w:rsidP="00802160">
            <w:pPr>
              <w:pStyle w:val="Tabletext"/>
            </w:pPr>
            <w:r w:rsidRPr="00D42745">
              <w:t>0.0%</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 xml:space="preserve">Lumo Energy </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1 935</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1 005</w:t>
            </w:r>
          </w:p>
        </w:tc>
        <w:tc>
          <w:tcPr>
            <w:tcW w:w="992" w:type="dxa"/>
            <w:tcBorders>
              <w:top w:val="single" w:sz="4" w:space="0" w:color="auto"/>
              <w:bottom w:val="single" w:sz="4" w:space="0" w:color="auto"/>
            </w:tcBorders>
          </w:tcPr>
          <w:p w:rsidR="00DE162D" w:rsidRPr="00D42745" w:rsidRDefault="00DE162D" w:rsidP="00802160">
            <w:pPr>
              <w:pStyle w:val="Tabletext"/>
            </w:pPr>
            <w:r w:rsidRPr="00D42745">
              <w:t>313</w:t>
            </w:r>
          </w:p>
        </w:tc>
        <w:tc>
          <w:tcPr>
            <w:tcW w:w="1135" w:type="dxa"/>
            <w:tcBorders>
              <w:top w:val="single" w:sz="4" w:space="0" w:color="auto"/>
              <w:bottom w:val="single" w:sz="4" w:space="0" w:color="auto"/>
            </w:tcBorders>
          </w:tcPr>
          <w:p w:rsidR="00DE162D" w:rsidRPr="00D42745" w:rsidRDefault="00DE162D" w:rsidP="00802160">
            <w:pPr>
              <w:pStyle w:val="Tabletext"/>
            </w:pPr>
            <w:r w:rsidRPr="00DE162D">
              <w:t>▼</w:t>
            </w:r>
            <w:r>
              <w:t>82</w:t>
            </w:r>
          </w:p>
        </w:tc>
        <w:tc>
          <w:tcPr>
            <w:tcW w:w="2551" w:type="dxa"/>
            <w:tcBorders>
              <w:top w:val="single" w:sz="4" w:space="0" w:color="auto"/>
              <w:bottom w:val="single" w:sz="4" w:space="0" w:color="auto"/>
            </w:tcBorders>
          </w:tcPr>
          <w:p w:rsidR="00DE162D" w:rsidRPr="00D42745" w:rsidRDefault="00DE162D" w:rsidP="00802160">
            <w:pPr>
              <w:pStyle w:val="Tabletext"/>
            </w:pPr>
            <w:r w:rsidRPr="00D42745">
              <w:t>16.2%</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M2 Energy**</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128</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128</w:t>
            </w:r>
          </w:p>
        </w:tc>
        <w:tc>
          <w:tcPr>
            <w:tcW w:w="992" w:type="dxa"/>
            <w:tcBorders>
              <w:top w:val="single" w:sz="4" w:space="0" w:color="auto"/>
              <w:bottom w:val="single" w:sz="4" w:space="0" w:color="auto"/>
            </w:tcBorders>
          </w:tcPr>
          <w:p w:rsidR="00DE162D" w:rsidRPr="00D42745" w:rsidRDefault="00DE162D" w:rsidP="00802160">
            <w:pPr>
              <w:pStyle w:val="Tabletext"/>
            </w:pPr>
            <w:r w:rsidRPr="00D42745">
              <w:t>38</w:t>
            </w:r>
          </w:p>
        </w:tc>
        <w:tc>
          <w:tcPr>
            <w:tcW w:w="1135" w:type="dxa"/>
            <w:tcBorders>
              <w:top w:val="single" w:sz="4" w:space="0" w:color="auto"/>
              <w:bottom w:val="single" w:sz="4" w:space="0" w:color="auto"/>
            </w:tcBorders>
          </w:tcPr>
          <w:p w:rsidR="00DE162D" w:rsidRPr="00D42745" w:rsidRDefault="00DE162D" w:rsidP="00802160">
            <w:pPr>
              <w:pStyle w:val="Tabletext"/>
            </w:pPr>
            <w:r w:rsidRPr="00DE162D">
              <w:t>▲</w:t>
            </w:r>
            <w:r>
              <w:t>38</w:t>
            </w:r>
          </w:p>
        </w:tc>
        <w:tc>
          <w:tcPr>
            <w:tcW w:w="2551" w:type="dxa"/>
            <w:tcBorders>
              <w:top w:val="single" w:sz="4" w:space="0" w:color="auto"/>
              <w:bottom w:val="single" w:sz="4" w:space="0" w:color="auto"/>
            </w:tcBorders>
          </w:tcPr>
          <w:p w:rsidR="00DE162D" w:rsidRPr="00D42745" w:rsidRDefault="00DE162D" w:rsidP="00802160">
            <w:pPr>
              <w:pStyle w:val="Tabletext"/>
            </w:pPr>
            <w:r w:rsidRPr="00D42745">
              <w:t>29.7%</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Momentum Energy</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364</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246</w:t>
            </w:r>
          </w:p>
        </w:tc>
        <w:tc>
          <w:tcPr>
            <w:tcW w:w="992" w:type="dxa"/>
            <w:tcBorders>
              <w:top w:val="single" w:sz="4" w:space="0" w:color="auto"/>
              <w:bottom w:val="single" w:sz="4" w:space="0" w:color="auto"/>
            </w:tcBorders>
          </w:tcPr>
          <w:p w:rsidR="00DE162D" w:rsidRPr="00D42745" w:rsidRDefault="00DE162D" w:rsidP="00802160">
            <w:pPr>
              <w:pStyle w:val="Tabletext"/>
            </w:pPr>
            <w:r w:rsidRPr="00D42745">
              <w:t>91</w:t>
            </w:r>
          </w:p>
        </w:tc>
        <w:tc>
          <w:tcPr>
            <w:tcW w:w="1135" w:type="dxa"/>
            <w:tcBorders>
              <w:top w:val="single" w:sz="4" w:space="0" w:color="auto"/>
              <w:bottom w:val="single" w:sz="4" w:space="0" w:color="auto"/>
            </w:tcBorders>
          </w:tcPr>
          <w:p w:rsidR="00DE162D" w:rsidRPr="00D42745" w:rsidRDefault="00DE162D" w:rsidP="00802160">
            <w:pPr>
              <w:pStyle w:val="Tabletext"/>
            </w:pPr>
            <w:r w:rsidRPr="00DE162D">
              <w:t>▲</w:t>
            </w:r>
            <w:r>
              <w:t>14</w:t>
            </w:r>
          </w:p>
        </w:tc>
        <w:tc>
          <w:tcPr>
            <w:tcW w:w="2551" w:type="dxa"/>
            <w:tcBorders>
              <w:top w:val="single" w:sz="4" w:space="0" w:color="auto"/>
              <w:bottom w:val="single" w:sz="4" w:space="0" w:color="auto"/>
            </w:tcBorders>
          </w:tcPr>
          <w:p w:rsidR="00DE162D" w:rsidRPr="00D42745" w:rsidRDefault="00DE162D" w:rsidP="00802160">
            <w:pPr>
              <w:pStyle w:val="Tabletext"/>
            </w:pPr>
            <w:r w:rsidRPr="00D42745">
              <w:t>25.0%</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Origin Energy</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48 989</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27 315</w:t>
            </w:r>
          </w:p>
        </w:tc>
        <w:tc>
          <w:tcPr>
            <w:tcW w:w="992" w:type="dxa"/>
            <w:tcBorders>
              <w:top w:val="single" w:sz="4" w:space="0" w:color="auto"/>
              <w:bottom w:val="single" w:sz="4" w:space="0" w:color="auto"/>
            </w:tcBorders>
          </w:tcPr>
          <w:p w:rsidR="00DE162D" w:rsidRPr="00D42745" w:rsidRDefault="00DE162D" w:rsidP="00802160">
            <w:pPr>
              <w:pStyle w:val="Tabletext"/>
            </w:pPr>
            <w:r w:rsidRPr="00D42745">
              <w:t>2 102</w:t>
            </w:r>
          </w:p>
        </w:tc>
        <w:tc>
          <w:tcPr>
            <w:tcW w:w="1135" w:type="dxa"/>
            <w:tcBorders>
              <w:top w:val="single" w:sz="4" w:space="0" w:color="auto"/>
              <w:bottom w:val="single" w:sz="4" w:space="0" w:color="auto"/>
            </w:tcBorders>
          </w:tcPr>
          <w:p w:rsidR="00DE162D" w:rsidRPr="00D42745" w:rsidRDefault="00DE162D" w:rsidP="00802160">
            <w:pPr>
              <w:pStyle w:val="Tabletext"/>
            </w:pPr>
            <w:r w:rsidRPr="00DE162D">
              <w:t>▼</w:t>
            </w:r>
            <w:r>
              <w:t>413</w:t>
            </w:r>
          </w:p>
        </w:tc>
        <w:tc>
          <w:tcPr>
            <w:tcW w:w="2551" w:type="dxa"/>
            <w:tcBorders>
              <w:top w:val="single" w:sz="4" w:space="0" w:color="auto"/>
              <w:bottom w:val="single" w:sz="4" w:space="0" w:color="auto"/>
            </w:tcBorders>
          </w:tcPr>
          <w:p w:rsidR="00DE162D" w:rsidRPr="00D42745" w:rsidRDefault="00DE162D" w:rsidP="00802160">
            <w:pPr>
              <w:pStyle w:val="Tabletext"/>
            </w:pPr>
            <w:r w:rsidRPr="00D42745">
              <w:t>4.3%</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Powerdirect</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2 454</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2269</w:t>
            </w:r>
          </w:p>
        </w:tc>
        <w:tc>
          <w:tcPr>
            <w:tcW w:w="992" w:type="dxa"/>
            <w:tcBorders>
              <w:top w:val="single" w:sz="4" w:space="0" w:color="auto"/>
              <w:bottom w:val="single" w:sz="4" w:space="0" w:color="auto"/>
            </w:tcBorders>
          </w:tcPr>
          <w:p w:rsidR="00DE162D" w:rsidRPr="00D42745" w:rsidRDefault="00DE162D" w:rsidP="00802160">
            <w:pPr>
              <w:pStyle w:val="Tabletext"/>
            </w:pPr>
            <w:r w:rsidRPr="00D42745">
              <w:t>282</w:t>
            </w:r>
          </w:p>
        </w:tc>
        <w:tc>
          <w:tcPr>
            <w:tcW w:w="1135" w:type="dxa"/>
            <w:tcBorders>
              <w:top w:val="single" w:sz="4" w:space="0" w:color="auto"/>
              <w:bottom w:val="single" w:sz="4" w:space="0" w:color="auto"/>
            </w:tcBorders>
          </w:tcPr>
          <w:p w:rsidR="00DE162D" w:rsidRPr="00D42745" w:rsidRDefault="00DE162D" w:rsidP="00802160">
            <w:pPr>
              <w:pStyle w:val="Tabletext"/>
            </w:pPr>
            <w:r w:rsidRPr="00DE162D">
              <w:t>▲</w:t>
            </w:r>
            <w:r>
              <w:t>69</w:t>
            </w:r>
          </w:p>
        </w:tc>
        <w:tc>
          <w:tcPr>
            <w:tcW w:w="2551" w:type="dxa"/>
            <w:tcBorders>
              <w:top w:val="single" w:sz="4" w:space="0" w:color="auto"/>
              <w:bottom w:val="single" w:sz="4" w:space="0" w:color="auto"/>
            </w:tcBorders>
          </w:tcPr>
          <w:p w:rsidR="00DE162D" w:rsidRPr="00D42745" w:rsidRDefault="00DE162D" w:rsidP="00802160">
            <w:pPr>
              <w:pStyle w:val="Tabletext"/>
            </w:pPr>
            <w:r w:rsidRPr="00D42745">
              <w:t>11.5%</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QEnergy</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8</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13</w:t>
            </w:r>
          </w:p>
        </w:tc>
        <w:tc>
          <w:tcPr>
            <w:tcW w:w="992" w:type="dxa"/>
            <w:tcBorders>
              <w:top w:val="single" w:sz="4" w:space="0" w:color="auto"/>
              <w:bottom w:val="single" w:sz="4" w:space="0" w:color="auto"/>
            </w:tcBorders>
          </w:tcPr>
          <w:p w:rsidR="00DE162D" w:rsidRPr="00D42745" w:rsidRDefault="00DE162D" w:rsidP="00802160">
            <w:pPr>
              <w:pStyle w:val="Tabletext"/>
            </w:pPr>
            <w:r w:rsidRPr="00D42745">
              <w:t>6</w:t>
            </w:r>
          </w:p>
        </w:tc>
        <w:tc>
          <w:tcPr>
            <w:tcW w:w="1135" w:type="dxa"/>
            <w:tcBorders>
              <w:top w:val="single" w:sz="4" w:space="0" w:color="auto"/>
              <w:bottom w:val="single" w:sz="4" w:space="0" w:color="auto"/>
            </w:tcBorders>
          </w:tcPr>
          <w:p w:rsidR="00DE162D" w:rsidRPr="00D42745" w:rsidRDefault="00DE162D" w:rsidP="00802160">
            <w:pPr>
              <w:pStyle w:val="Tabletext"/>
            </w:pPr>
            <w:r w:rsidRPr="00DE162D">
              <w:t>▼</w:t>
            </w:r>
            <w:r>
              <w:t>4</w:t>
            </w:r>
          </w:p>
        </w:tc>
        <w:tc>
          <w:tcPr>
            <w:tcW w:w="2551" w:type="dxa"/>
            <w:tcBorders>
              <w:top w:val="single" w:sz="4" w:space="0" w:color="auto"/>
              <w:bottom w:val="single" w:sz="4" w:space="0" w:color="auto"/>
            </w:tcBorders>
          </w:tcPr>
          <w:p w:rsidR="00DE162D" w:rsidRPr="00D42745" w:rsidRDefault="00DE162D" w:rsidP="00802160">
            <w:pPr>
              <w:pStyle w:val="Tabletext"/>
            </w:pPr>
            <w:r w:rsidRPr="00D42745">
              <w:t>75.0%</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Red Energy</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91</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44</w:t>
            </w:r>
          </w:p>
        </w:tc>
        <w:tc>
          <w:tcPr>
            <w:tcW w:w="992" w:type="dxa"/>
            <w:tcBorders>
              <w:top w:val="single" w:sz="4" w:space="0" w:color="auto"/>
              <w:bottom w:val="single" w:sz="4" w:space="0" w:color="auto"/>
            </w:tcBorders>
          </w:tcPr>
          <w:p w:rsidR="00DE162D" w:rsidRPr="00D42745" w:rsidRDefault="00DE162D" w:rsidP="00802160">
            <w:pPr>
              <w:pStyle w:val="Tabletext"/>
            </w:pPr>
            <w:r w:rsidRPr="00D42745">
              <w:t>18</w:t>
            </w:r>
          </w:p>
        </w:tc>
        <w:tc>
          <w:tcPr>
            <w:tcW w:w="1135" w:type="dxa"/>
            <w:tcBorders>
              <w:top w:val="single" w:sz="4" w:space="0" w:color="auto"/>
              <w:bottom w:val="single" w:sz="4" w:space="0" w:color="auto"/>
            </w:tcBorders>
          </w:tcPr>
          <w:p w:rsidR="00DE162D" w:rsidRPr="00D42745" w:rsidRDefault="00DE162D" w:rsidP="00802160">
            <w:pPr>
              <w:pStyle w:val="Tabletext"/>
            </w:pPr>
            <w:r w:rsidRPr="00DE162D">
              <w:t>▲</w:t>
            </w:r>
            <w:r>
              <w:t>4</w:t>
            </w:r>
          </w:p>
        </w:tc>
        <w:tc>
          <w:tcPr>
            <w:tcW w:w="2551" w:type="dxa"/>
            <w:tcBorders>
              <w:top w:val="single" w:sz="4" w:space="0" w:color="auto"/>
              <w:bottom w:val="single" w:sz="4" w:space="0" w:color="auto"/>
            </w:tcBorders>
          </w:tcPr>
          <w:p w:rsidR="00DE162D" w:rsidRPr="00D42745" w:rsidRDefault="00DE162D" w:rsidP="00802160">
            <w:pPr>
              <w:pStyle w:val="Tabletext"/>
            </w:pPr>
            <w:r w:rsidRPr="00D42745">
              <w:t>19.8%</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Sanctuary Energy</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55</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6</w:t>
            </w:r>
          </w:p>
        </w:tc>
        <w:tc>
          <w:tcPr>
            <w:tcW w:w="992" w:type="dxa"/>
            <w:tcBorders>
              <w:top w:val="single" w:sz="4" w:space="0" w:color="auto"/>
              <w:bottom w:val="single" w:sz="4" w:space="0" w:color="auto"/>
            </w:tcBorders>
          </w:tcPr>
          <w:p w:rsidR="00DE162D" w:rsidRPr="00D42745" w:rsidRDefault="00DE162D" w:rsidP="00802160">
            <w:pPr>
              <w:pStyle w:val="Tabletext"/>
            </w:pPr>
            <w:r w:rsidRPr="00D42745">
              <w:t>38</w:t>
            </w:r>
          </w:p>
        </w:tc>
        <w:tc>
          <w:tcPr>
            <w:tcW w:w="1135" w:type="dxa"/>
            <w:tcBorders>
              <w:top w:val="single" w:sz="4" w:space="0" w:color="auto"/>
              <w:bottom w:val="single" w:sz="4" w:space="0" w:color="auto"/>
            </w:tcBorders>
          </w:tcPr>
          <w:p w:rsidR="00DE162D" w:rsidRPr="00D42745" w:rsidRDefault="00DE162D" w:rsidP="00802160">
            <w:pPr>
              <w:pStyle w:val="Tabletext"/>
            </w:pPr>
            <w:r w:rsidRPr="00DE162D">
              <w:t>▲</w:t>
            </w:r>
            <w:r>
              <w:t>5</w:t>
            </w:r>
          </w:p>
        </w:tc>
        <w:tc>
          <w:tcPr>
            <w:tcW w:w="2551" w:type="dxa"/>
            <w:tcBorders>
              <w:top w:val="single" w:sz="4" w:space="0" w:color="auto"/>
              <w:bottom w:val="single" w:sz="4" w:space="0" w:color="auto"/>
            </w:tcBorders>
          </w:tcPr>
          <w:p w:rsidR="00DE162D" w:rsidRPr="00D42745" w:rsidRDefault="00DE162D" w:rsidP="00802160">
            <w:pPr>
              <w:pStyle w:val="Tabletext"/>
            </w:pPr>
            <w:r w:rsidRPr="00D42745">
              <w:t>69.1%</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Simply Energy</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3 115</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21</w:t>
            </w:r>
          </w:p>
        </w:tc>
        <w:tc>
          <w:tcPr>
            <w:tcW w:w="992" w:type="dxa"/>
            <w:tcBorders>
              <w:top w:val="single" w:sz="4" w:space="0" w:color="auto"/>
              <w:bottom w:val="single" w:sz="4" w:space="0" w:color="auto"/>
            </w:tcBorders>
          </w:tcPr>
          <w:p w:rsidR="00DE162D" w:rsidRPr="00D42745" w:rsidRDefault="00DE162D" w:rsidP="00802160">
            <w:pPr>
              <w:pStyle w:val="Tabletext"/>
            </w:pPr>
            <w:r w:rsidRPr="00D42745">
              <w:t>861</w:t>
            </w:r>
          </w:p>
        </w:tc>
        <w:tc>
          <w:tcPr>
            <w:tcW w:w="1135" w:type="dxa"/>
            <w:tcBorders>
              <w:top w:val="single" w:sz="4" w:space="0" w:color="auto"/>
              <w:bottom w:val="single" w:sz="4" w:space="0" w:color="auto"/>
            </w:tcBorders>
          </w:tcPr>
          <w:p w:rsidR="00DE162D" w:rsidRPr="00D42745" w:rsidRDefault="00DE162D" w:rsidP="00802160">
            <w:pPr>
              <w:pStyle w:val="Tabletext"/>
            </w:pPr>
            <w:r w:rsidRPr="00DE162D">
              <w:t>▼</w:t>
            </w:r>
            <w:r>
              <w:t>508</w:t>
            </w:r>
          </w:p>
        </w:tc>
        <w:tc>
          <w:tcPr>
            <w:tcW w:w="2551" w:type="dxa"/>
            <w:tcBorders>
              <w:top w:val="single" w:sz="4" w:space="0" w:color="auto"/>
              <w:bottom w:val="single" w:sz="4" w:space="0" w:color="auto"/>
            </w:tcBorders>
          </w:tcPr>
          <w:p w:rsidR="00DE162D" w:rsidRPr="00D42745" w:rsidRDefault="00DE162D" w:rsidP="00802160">
            <w:pPr>
              <w:pStyle w:val="Tabletext"/>
            </w:pPr>
            <w:r w:rsidRPr="00D42745">
              <w:t>27.6%</w:t>
            </w:r>
          </w:p>
        </w:tc>
      </w:tr>
      <w:tr w:rsidR="00DE162D" w:rsidRPr="00D42745" w:rsidTr="001C01EE">
        <w:trPr>
          <w:trHeight w:hRule="exact" w:val="312"/>
        </w:trPr>
        <w:tc>
          <w:tcPr>
            <w:tcW w:w="2235" w:type="dxa"/>
            <w:tcBorders>
              <w:top w:val="single" w:sz="4" w:space="0" w:color="auto"/>
              <w:bottom w:val="single" w:sz="4" w:space="0" w:color="auto"/>
            </w:tcBorders>
            <w:shd w:val="clear" w:color="auto" w:fill="F2F2F2" w:themeFill="background1" w:themeFillShade="F2"/>
          </w:tcPr>
          <w:p w:rsidR="00DE162D" w:rsidRPr="00802160" w:rsidRDefault="00DE162D" w:rsidP="00802160">
            <w:pPr>
              <w:pStyle w:val="Tabletext"/>
              <w:rPr>
                <w:rStyle w:val="Strong"/>
              </w:rPr>
            </w:pPr>
            <w:r w:rsidRPr="00802160">
              <w:rPr>
                <w:rStyle w:val="Strong"/>
              </w:rPr>
              <w:t>TOTAL SA</w:t>
            </w:r>
          </w:p>
        </w:tc>
        <w:tc>
          <w:tcPr>
            <w:tcW w:w="1134" w:type="dxa"/>
            <w:tcBorders>
              <w:top w:val="single" w:sz="4" w:space="0" w:color="auto"/>
              <w:bottom w:val="single" w:sz="4" w:space="0" w:color="auto"/>
            </w:tcBorders>
            <w:shd w:val="clear" w:color="auto" w:fill="F2F2F2" w:themeFill="background1" w:themeFillShade="F2"/>
          </w:tcPr>
          <w:p w:rsidR="00DE162D" w:rsidRPr="00802160" w:rsidRDefault="00DE162D" w:rsidP="00802160">
            <w:pPr>
              <w:pStyle w:val="Tabletext"/>
              <w:rPr>
                <w:rStyle w:val="Strong"/>
              </w:rPr>
            </w:pPr>
            <w:r w:rsidRPr="00802160">
              <w:rPr>
                <w:rStyle w:val="Strong"/>
              </w:rPr>
              <w:t>101 259</w:t>
            </w:r>
          </w:p>
        </w:tc>
        <w:tc>
          <w:tcPr>
            <w:tcW w:w="1275" w:type="dxa"/>
            <w:tcBorders>
              <w:top w:val="single" w:sz="4" w:space="0" w:color="auto"/>
              <w:bottom w:val="single" w:sz="4" w:space="0" w:color="auto"/>
            </w:tcBorders>
            <w:shd w:val="clear" w:color="auto" w:fill="F2F2F2" w:themeFill="background1" w:themeFillShade="F2"/>
          </w:tcPr>
          <w:p w:rsidR="00DE162D" w:rsidRPr="00802160" w:rsidRDefault="00DE162D" w:rsidP="00802160">
            <w:pPr>
              <w:pStyle w:val="Tabletext"/>
              <w:rPr>
                <w:rStyle w:val="Strong"/>
              </w:rPr>
            </w:pPr>
            <w:r w:rsidRPr="00252AD3">
              <w:t>▲</w:t>
            </w:r>
            <w:r>
              <w:rPr>
                <w:rStyle w:val="Strong"/>
              </w:rPr>
              <w:t>13 840</w:t>
            </w:r>
          </w:p>
        </w:tc>
        <w:tc>
          <w:tcPr>
            <w:tcW w:w="992" w:type="dxa"/>
            <w:tcBorders>
              <w:top w:val="single" w:sz="4" w:space="0" w:color="auto"/>
              <w:bottom w:val="single" w:sz="4" w:space="0" w:color="auto"/>
            </w:tcBorders>
            <w:shd w:val="clear" w:color="auto" w:fill="F2F2F2" w:themeFill="background1" w:themeFillShade="F2"/>
          </w:tcPr>
          <w:p w:rsidR="00DE162D" w:rsidRPr="00802160" w:rsidRDefault="00DE162D" w:rsidP="00802160">
            <w:pPr>
              <w:pStyle w:val="Tabletext"/>
              <w:rPr>
                <w:rStyle w:val="Strong"/>
              </w:rPr>
            </w:pPr>
            <w:r w:rsidRPr="00802160">
              <w:rPr>
                <w:rStyle w:val="Strong"/>
              </w:rPr>
              <w:t>7 679</w:t>
            </w:r>
          </w:p>
        </w:tc>
        <w:tc>
          <w:tcPr>
            <w:tcW w:w="1135" w:type="dxa"/>
            <w:tcBorders>
              <w:top w:val="single" w:sz="4" w:space="0" w:color="auto"/>
              <w:bottom w:val="single" w:sz="4" w:space="0" w:color="auto"/>
            </w:tcBorders>
            <w:shd w:val="clear" w:color="auto" w:fill="F2F2F2" w:themeFill="background1" w:themeFillShade="F2"/>
          </w:tcPr>
          <w:p w:rsidR="00DE162D" w:rsidRPr="00802160" w:rsidRDefault="00DE162D" w:rsidP="00802160">
            <w:pPr>
              <w:pStyle w:val="Tabletext"/>
              <w:rPr>
                <w:rStyle w:val="Strong"/>
              </w:rPr>
            </w:pPr>
            <w:r w:rsidRPr="00DE162D">
              <w:t>▼</w:t>
            </w:r>
            <w:r>
              <w:rPr>
                <w:rStyle w:val="Strong"/>
              </w:rPr>
              <w:t>2 758</w:t>
            </w:r>
          </w:p>
        </w:tc>
        <w:tc>
          <w:tcPr>
            <w:tcW w:w="2551" w:type="dxa"/>
            <w:tcBorders>
              <w:top w:val="single" w:sz="4" w:space="0" w:color="auto"/>
              <w:bottom w:val="single" w:sz="4" w:space="0" w:color="auto"/>
            </w:tcBorders>
            <w:shd w:val="clear" w:color="auto" w:fill="F2F2F2" w:themeFill="background1" w:themeFillShade="F2"/>
          </w:tcPr>
          <w:p w:rsidR="00DE162D" w:rsidRPr="00802160" w:rsidRDefault="00DE162D" w:rsidP="00802160">
            <w:pPr>
              <w:pStyle w:val="Tabletext"/>
              <w:rPr>
                <w:rStyle w:val="Strong"/>
              </w:rPr>
            </w:pPr>
            <w:r w:rsidRPr="00802160">
              <w:rPr>
                <w:rStyle w:val="Strong"/>
              </w:rPr>
              <w:t>7.6%</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7B7CF1" w:rsidRDefault="00DE162D" w:rsidP="00802160">
            <w:pPr>
              <w:pStyle w:val="Tabletext"/>
              <w:rPr>
                <w:rStyle w:val="Strong"/>
              </w:rPr>
            </w:pPr>
            <w:r w:rsidRPr="007B7CF1">
              <w:rPr>
                <w:rStyle w:val="Strong"/>
              </w:rPr>
              <w:t>ACT</w:t>
            </w:r>
          </w:p>
        </w:tc>
        <w:tc>
          <w:tcPr>
            <w:tcW w:w="2409" w:type="dxa"/>
            <w:gridSpan w:val="2"/>
            <w:tcBorders>
              <w:top w:val="single" w:sz="4" w:space="0" w:color="auto"/>
              <w:bottom w:val="single" w:sz="4" w:space="0" w:color="auto"/>
            </w:tcBorders>
          </w:tcPr>
          <w:p w:rsidR="00DE162D" w:rsidRPr="00D42745" w:rsidRDefault="00DE162D" w:rsidP="00802160">
            <w:pPr>
              <w:pStyle w:val="Tabletext"/>
            </w:pPr>
          </w:p>
        </w:tc>
        <w:tc>
          <w:tcPr>
            <w:tcW w:w="992" w:type="dxa"/>
            <w:tcBorders>
              <w:top w:val="single" w:sz="4" w:space="0" w:color="auto"/>
              <w:bottom w:val="single" w:sz="4" w:space="0" w:color="auto"/>
            </w:tcBorders>
          </w:tcPr>
          <w:p w:rsidR="00DE162D" w:rsidRPr="00D42745" w:rsidRDefault="00DE162D" w:rsidP="00802160">
            <w:pPr>
              <w:pStyle w:val="Tabletext"/>
            </w:pPr>
          </w:p>
        </w:tc>
        <w:tc>
          <w:tcPr>
            <w:tcW w:w="1135" w:type="dxa"/>
            <w:tcBorders>
              <w:top w:val="single" w:sz="4" w:space="0" w:color="auto"/>
              <w:bottom w:val="single" w:sz="4" w:space="0" w:color="auto"/>
            </w:tcBorders>
          </w:tcPr>
          <w:p w:rsidR="00DE162D" w:rsidRPr="00D42745" w:rsidRDefault="00DE162D" w:rsidP="00802160">
            <w:pPr>
              <w:pStyle w:val="Tabletext"/>
            </w:pPr>
          </w:p>
        </w:tc>
        <w:tc>
          <w:tcPr>
            <w:tcW w:w="2551" w:type="dxa"/>
            <w:tcBorders>
              <w:top w:val="single" w:sz="4" w:space="0" w:color="auto"/>
              <w:bottom w:val="single" w:sz="4" w:space="0" w:color="auto"/>
            </w:tcBorders>
          </w:tcPr>
          <w:p w:rsidR="00DE162D" w:rsidRPr="00D42745" w:rsidRDefault="00DE162D" w:rsidP="00802160">
            <w:pPr>
              <w:pStyle w:val="Tabletext"/>
            </w:pP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ActewAGL</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3 549</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272</w:t>
            </w:r>
          </w:p>
        </w:tc>
        <w:tc>
          <w:tcPr>
            <w:tcW w:w="992" w:type="dxa"/>
            <w:tcBorders>
              <w:top w:val="single" w:sz="4" w:space="0" w:color="auto"/>
              <w:bottom w:val="single" w:sz="4" w:space="0" w:color="auto"/>
            </w:tcBorders>
          </w:tcPr>
          <w:p w:rsidR="00DE162D" w:rsidRPr="00D42745" w:rsidRDefault="00DE162D" w:rsidP="00802160">
            <w:pPr>
              <w:pStyle w:val="Tabletext"/>
            </w:pPr>
            <w:r w:rsidRPr="00D42745">
              <w:t>959</w:t>
            </w:r>
          </w:p>
        </w:tc>
        <w:tc>
          <w:tcPr>
            <w:tcW w:w="1135" w:type="dxa"/>
            <w:tcBorders>
              <w:top w:val="single" w:sz="4" w:space="0" w:color="auto"/>
              <w:bottom w:val="single" w:sz="4" w:space="0" w:color="auto"/>
            </w:tcBorders>
          </w:tcPr>
          <w:p w:rsidR="00DE162D" w:rsidRPr="00D42745" w:rsidRDefault="00DE162D" w:rsidP="00802160">
            <w:pPr>
              <w:pStyle w:val="Tabletext"/>
            </w:pPr>
            <w:r w:rsidRPr="00DE162D">
              <w:t>▲</w:t>
            </w:r>
            <w:r>
              <w:t>36</w:t>
            </w:r>
          </w:p>
        </w:tc>
        <w:tc>
          <w:tcPr>
            <w:tcW w:w="2551" w:type="dxa"/>
            <w:tcBorders>
              <w:top w:val="single" w:sz="4" w:space="0" w:color="auto"/>
              <w:bottom w:val="single" w:sz="4" w:space="0" w:color="auto"/>
            </w:tcBorders>
          </w:tcPr>
          <w:p w:rsidR="00DE162D" w:rsidRPr="00D42745" w:rsidRDefault="00DE162D" w:rsidP="00802160">
            <w:pPr>
              <w:pStyle w:val="Tabletext"/>
            </w:pPr>
            <w:r w:rsidRPr="00D42745">
              <w:t>27.0%</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EnergyAustralia</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269</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265</w:t>
            </w:r>
          </w:p>
        </w:tc>
        <w:tc>
          <w:tcPr>
            <w:tcW w:w="992" w:type="dxa"/>
            <w:tcBorders>
              <w:top w:val="single" w:sz="4" w:space="0" w:color="auto"/>
              <w:bottom w:val="single" w:sz="4" w:space="0" w:color="auto"/>
            </w:tcBorders>
          </w:tcPr>
          <w:p w:rsidR="00DE162D" w:rsidRPr="00D42745" w:rsidRDefault="00DE162D" w:rsidP="00802160">
            <w:pPr>
              <w:pStyle w:val="Tabletext"/>
            </w:pPr>
            <w:r w:rsidRPr="00D42745">
              <w:t>71</w:t>
            </w:r>
          </w:p>
        </w:tc>
        <w:tc>
          <w:tcPr>
            <w:tcW w:w="1135" w:type="dxa"/>
            <w:tcBorders>
              <w:top w:val="single" w:sz="4" w:space="0" w:color="auto"/>
              <w:bottom w:val="single" w:sz="4" w:space="0" w:color="auto"/>
            </w:tcBorders>
          </w:tcPr>
          <w:p w:rsidR="00DE162D" w:rsidRPr="00D42745" w:rsidRDefault="00DE162D" w:rsidP="00802160">
            <w:pPr>
              <w:pStyle w:val="Tabletext"/>
            </w:pPr>
            <w:r w:rsidRPr="00DE162D">
              <w:t>▼</w:t>
            </w:r>
            <w:r>
              <w:t>49</w:t>
            </w:r>
          </w:p>
        </w:tc>
        <w:tc>
          <w:tcPr>
            <w:tcW w:w="2551" w:type="dxa"/>
            <w:tcBorders>
              <w:top w:val="single" w:sz="4" w:space="0" w:color="auto"/>
              <w:bottom w:val="single" w:sz="4" w:space="0" w:color="auto"/>
            </w:tcBorders>
          </w:tcPr>
          <w:p w:rsidR="00DE162D" w:rsidRPr="00D42745" w:rsidRDefault="00DE162D" w:rsidP="00802160">
            <w:pPr>
              <w:pStyle w:val="Tabletext"/>
            </w:pPr>
            <w:r w:rsidRPr="00D42745">
              <w:t>26.4%</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Origin Energy</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911</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911</w:t>
            </w:r>
          </w:p>
        </w:tc>
        <w:tc>
          <w:tcPr>
            <w:tcW w:w="992" w:type="dxa"/>
            <w:tcBorders>
              <w:top w:val="single" w:sz="4" w:space="0" w:color="auto"/>
              <w:bottom w:val="single" w:sz="4" w:space="0" w:color="auto"/>
            </w:tcBorders>
          </w:tcPr>
          <w:p w:rsidR="00DE162D" w:rsidRPr="00D42745" w:rsidRDefault="00DE162D" w:rsidP="00802160">
            <w:pPr>
              <w:pStyle w:val="Tabletext"/>
            </w:pPr>
            <w:r w:rsidRPr="00D42745">
              <w:t>15</w:t>
            </w:r>
          </w:p>
        </w:tc>
        <w:tc>
          <w:tcPr>
            <w:tcW w:w="1135" w:type="dxa"/>
            <w:tcBorders>
              <w:top w:val="single" w:sz="4" w:space="0" w:color="auto"/>
              <w:bottom w:val="single" w:sz="4" w:space="0" w:color="auto"/>
            </w:tcBorders>
          </w:tcPr>
          <w:p w:rsidR="00DE162D" w:rsidRPr="00D42745" w:rsidRDefault="00DE162D" w:rsidP="00802160">
            <w:pPr>
              <w:pStyle w:val="Tabletext"/>
            </w:pPr>
            <w:r w:rsidRPr="00DE162D">
              <w:t>▲</w:t>
            </w:r>
            <w:r>
              <w:t>15</w:t>
            </w:r>
          </w:p>
        </w:tc>
        <w:tc>
          <w:tcPr>
            <w:tcW w:w="2551" w:type="dxa"/>
            <w:tcBorders>
              <w:top w:val="single" w:sz="4" w:space="0" w:color="auto"/>
              <w:bottom w:val="single" w:sz="4" w:space="0" w:color="auto"/>
            </w:tcBorders>
          </w:tcPr>
          <w:p w:rsidR="00DE162D" w:rsidRPr="00D42745" w:rsidRDefault="00DE162D" w:rsidP="00802160">
            <w:pPr>
              <w:pStyle w:val="Tabletext"/>
            </w:pPr>
            <w:r w:rsidRPr="00D42745">
              <w:t>1.6%</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Powerdirect</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10</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10</w:t>
            </w:r>
          </w:p>
        </w:tc>
        <w:tc>
          <w:tcPr>
            <w:tcW w:w="992" w:type="dxa"/>
            <w:tcBorders>
              <w:top w:val="single" w:sz="4" w:space="0" w:color="auto"/>
              <w:bottom w:val="single" w:sz="4" w:space="0" w:color="auto"/>
            </w:tcBorders>
          </w:tcPr>
          <w:p w:rsidR="00DE162D" w:rsidRPr="00D42745" w:rsidRDefault="00DE162D" w:rsidP="00802160">
            <w:pPr>
              <w:pStyle w:val="Tabletext"/>
            </w:pPr>
            <w:r w:rsidRPr="00D42745">
              <w:t>0</w:t>
            </w:r>
          </w:p>
        </w:tc>
        <w:tc>
          <w:tcPr>
            <w:tcW w:w="1135" w:type="dxa"/>
            <w:tcBorders>
              <w:top w:val="single" w:sz="4" w:space="0" w:color="auto"/>
              <w:bottom w:val="single" w:sz="4" w:space="0" w:color="auto"/>
            </w:tcBorders>
          </w:tcPr>
          <w:p w:rsidR="00DE162D" w:rsidRPr="00D42745" w:rsidRDefault="00DE162D" w:rsidP="00802160">
            <w:pPr>
              <w:pStyle w:val="Tabletext"/>
            </w:pPr>
            <w:r w:rsidRPr="00DE162D">
              <w:t>●</w:t>
            </w:r>
          </w:p>
        </w:tc>
        <w:tc>
          <w:tcPr>
            <w:tcW w:w="2551" w:type="dxa"/>
            <w:tcBorders>
              <w:top w:val="single" w:sz="4" w:space="0" w:color="auto"/>
              <w:bottom w:val="single" w:sz="4" w:space="0" w:color="auto"/>
            </w:tcBorders>
          </w:tcPr>
          <w:p w:rsidR="00DE162D" w:rsidRPr="00D42745" w:rsidRDefault="00DE162D" w:rsidP="00802160">
            <w:pPr>
              <w:pStyle w:val="Tabletext"/>
            </w:pPr>
            <w:r w:rsidRPr="00D42745">
              <w:t>0.0%</w:t>
            </w:r>
          </w:p>
        </w:tc>
      </w:tr>
      <w:tr w:rsidR="00DE162D" w:rsidRPr="00D42745" w:rsidTr="001C01EE">
        <w:trPr>
          <w:trHeight w:hRule="exact" w:val="312"/>
        </w:trPr>
        <w:tc>
          <w:tcPr>
            <w:tcW w:w="2235" w:type="dxa"/>
            <w:tcBorders>
              <w:top w:val="single" w:sz="4" w:space="0" w:color="auto"/>
              <w:bottom w:val="single" w:sz="4" w:space="0" w:color="auto"/>
            </w:tcBorders>
            <w:shd w:val="clear" w:color="auto" w:fill="F2F2F2" w:themeFill="background1" w:themeFillShade="F2"/>
          </w:tcPr>
          <w:p w:rsidR="00DE162D" w:rsidRPr="00802160" w:rsidRDefault="00DE162D" w:rsidP="00802160">
            <w:pPr>
              <w:pStyle w:val="Tabletext"/>
              <w:rPr>
                <w:rStyle w:val="Strong"/>
              </w:rPr>
            </w:pPr>
            <w:r w:rsidRPr="00802160">
              <w:rPr>
                <w:rStyle w:val="Strong"/>
              </w:rPr>
              <w:t>TOTAL ACT</w:t>
            </w:r>
          </w:p>
        </w:tc>
        <w:tc>
          <w:tcPr>
            <w:tcW w:w="1134" w:type="dxa"/>
            <w:tcBorders>
              <w:top w:val="single" w:sz="4" w:space="0" w:color="auto"/>
              <w:bottom w:val="single" w:sz="4" w:space="0" w:color="auto"/>
            </w:tcBorders>
            <w:shd w:val="clear" w:color="auto" w:fill="F2F2F2" w:themeFill="background1" w:themeFillShade="F2"/>
          </w:tcPr>
          <w:p w:rsidR="00DE162D" w:rsidRPr="00802160" w:rsidRDefault="00DE162D" w:rsidP="00802160">
            <w:pPr>
              <w:pStyle w:val="Tabletext"/>
              <w:rPr>
                <w:rStyle w:val="Strong"/>
              </w:rPr>
            </w:pPr>
            <w:r w:rsidRPr="00802160">
              <w:rPr>
                <w:rStyle w:val="Strong"/>
              </w:rPr>
              <w:t>4 739</w:t>
            </w:r>
          </w:p>
        </w:tc>
        <w:tc>
          <w:tcPr>
            <w:tcW w:w="1275" w:type="dxa"/>
            <w:tcBorders>
              <w:top w:val="single" w:sz="4" w:space="0" w:color="auto"/>
              <w:bottom w:val="single" w:sz="4" w:space="0" w:color="auto"/>
            </w:tcBorders>
            <w:shd w:val="clear" w:color="auto" w:fill="F2F2F2" w:themeFill="background1" w:themeFillShade="F2"/>
          </w:tcPr>
          <w:p w:rsidR="00DE162D" w:rsidRPr="00802160" w:rsidRDefault="00DE162D" w:rsidP="00802160">
            <w:pPr>
              <w:pStyle w:val="Tabletext"/>
              <w:rPr>
                <w:rStyle w:val="Strong"/>
              </w:rPr>
            </w:pPr>
            <w:r w:rsidRPr="00252AD3">
              <w:t>▲</w:t>
            </w:r>
            <w:r>
              <w:rPr>
                <w:rStyle w:val="Strong"/>
              </w:rPr>
              <w:t>384</w:t>
            </w:r>
          </w:p>
        </w:tc>
        <w:tc>
          <w:tcPr>
            <w:tcW w:w="992" w:type="dxa"/>
            <w:tcBorders>
              <w:top w:val="single" w:sz="4" w:space="0" w:color="auto"/>
              <w:bottom w:val="single" w:sz="4" w:space="0" w:color="auto"/>
            </w:tcBorders>
            <w:shd w:val="clear" w:color="auto" w:fill="F2F2F2" w:themeFill="background1" w:themeFillShade="F2"/>
          </w:tcPr>
          <w:p w:rsidR="00DE162D" w:rsidRPr="00802160" w:rsidRDefault="00DE162D" w:rsidP="00802160">
            <w:pPr>
              <w:pStyle w:val="Tabletext"/>
              <w:rPr>
                <w:rStyle w:val="Strong"/>
              </w:rPr>
            </w:pPr>
            <w:r w:rsidRPr="00802160">
              <w:rPr>
                <w:rStyle w:val="Strong"/>
              </w:rPr>
              <w:t>1 045</w:t>
            </w:r>
          </w:p>
        </w:tc>
        <w:tc>
          <w:tcPr>
            <w:tcW w:w="1135" w:type="dxa"/>
            <w:tcBorders>
              <w:top w:val="single" w:sz="4" w:space="0" w:color="auto"/>
              <w:bottom w:val="single" w:sz="4" w:space="0" w:color="auto"/>
            </w:tcBorders>
            <w:shd w:val="clear" w:color="auto" w:fill="F2F2F2" w:themeFill="background1" w:themeFillShade="F2"/>
          </w:tcPr>
          <w:p w:rsidR="00DE162D" w:rsidRPr="00802160" w:rsidRDefault="00DE162D" w:rsidP="00802160">
            <w:pPr>
              <w:pStyle w:val="Tabletext"/>
              <w:rPr>
                <w:rStyle w:val="Strong"/>
              </w:rPr>
            </w:pPr>
            <w:r w:rsidRPr="00DE162D">
              <w:t>▲</w:t>
            </w:r>
            <w:r>
              <w:rPr>
                <w:rStyle w:val="Strong"/>
              </w:rPr>
              <w:t>2</w:t>
            </w:r>
          </w:p>
        </w:tc>
        <w:tc>
          <w:tcPr>
            <w:tcW w:w="2551" w:type="dxa"/>
            <w:tcBorders>
              <w:top w:val="single" w:sz="4" w:space="0" w:color="auto"/>
              <w:bottom w:val="single" w:sz="4" w:space="0" w:color="auto"/>
            </w:tcBorders>
            <w:shd w:val="clear" w:color="auto" w:fill="F2F2F2" w:themeFill="background1" w:themeFillShade="F2"/>
          </w:tcPr>
          <w:p w:rsidR="00DE162D" w:rsidRPr="00802160" w:rsidRDefault="00DE162D" w:rsidP="00802160">
            <w:pPr>
              <w:pStyle w:val="Tabletext"/>
              <w:rPr>
                <w:rStyle w:val="Strong"/>
              </w:rPr>
            </w:pPr>
            <w:r w:rsidRPr="00802160">
              <w:rPr>
                <w:rStyle w:val="Strong"/>
              </w:rPr>
              <w:t>22.1%</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7B7CF1" w:rsidRDefault="00DE162D" w:rsidP="00802160">
            <w:pPr>
              <w:pStyle w:val="Tabletext"/>
              <w:rPr>
                <w:rStyle w:val="Strong"/>
              </w:rPr>
            </w:pPr>
            <w:r w:rsidRPr="007B7CF1">
              <w:rPr>
                <w:rStyle w:val="Strong"/>
              </w:rPr>
              <w:t>Tasmania</w:t>
            </w:r>
          </w:p>
        </w:tc>
        <w:tc>
          <w:tcPr>
            <w:tcW w:w="2409" w:type="dxa"/>
            <w:gridSpan w:val="2"/>
            <w:tcBorders>
              <w:top w:val="single" w:sz="4" w:space="0" w:color="auto"/>
              <w:bottom w:val="single" w:sz="4" w:space="0" w:color="auto"/>
            </w:tcBorders>
          </w:tcPr>
          <w:p w:rsidR="00DE162D" w:rsidRPr="00D42745" w:rsidRDefault="00DE162D" w:rsidP="00802160">
            <w:pPr>
              <w:pStyle w:val="Tabletext"/>
            </w:pPr>
          </w:p>
        </w:tc>
        <w:tc>
          <w:tcPr>
            <w:tcW w:w="992" w:type="dxa"/>
            <w:tcBorders>
              <w:top w:val="single" w:sz="4" w:space="0" w:color="auto"/>
              <w:bottom w:val="single" w:sz="4" w:space="0" w:color="auto"/>
            </w:tcBorders>
          </w:tcPr>
          <w:p w:rsidR="00DE162D" w:rsidRPr="00D42745" w:rsidRDefault="00DE162D" w:rsidP="00802160">
            <w:pPr>
              <w:pStyle w:val="Tabletext"/>
            </w:pPr>
          </w:p>
        </w:tc>
        <w:tc>
          <w:tcPr>
            <w:tcW w:w="1135" w:type="dxa"/>
            <w:tcBorders>
              <w:top w:val="single" w:sz="4" w:space="0" w:color="auto"/>
              <w:bottom w:val="single" w:sz="4" w:space="0" w:color="auto"/>
            </w:tcBorders>
          </w:tcPr>
          <w:p w:rsidR="00DE162D" w:rsidRPr="00D42745" w:rsidRDefault="00DE162D" w:rsidP="00802160">
            <w:pPr>
              <w:pStyle w:val="Tabletext"/>
            </w:pPr>
          </w:p>
        </w:tc>
        <w:tc>
          <w:tcPr>
            <w:tcW w:w="2551" w:type="dxa"/>
            <w:tcBorders>
              <w:top w:val="single" w:sz="4" w:space="0" w:color="auto"/>
              <w:bottom w:val="single" w:sz="4" w:space="0" w:color="auto"/>
            </w:tcBorders>
          </w:tcPr>
          <w:p w:rsidR="00DE162D" w:rsidRPr="00D42745" w:rsidRDefault="00DE162D" w:rsidP="00802160">
            <w:pPr>
              <w:pStyle w:val="Tabletext"/>
            </w:pPr>
          </w:p>
        </w:tc>
      </w:tr>
      <w:tr w:rsidR="00DE162D" w:rsidRPr="00D42745" w:rsidTr="001C01EE">
        <w:trPr>
          <w:trHeight w:hRule="exact" w:val="312"/>
        </w:trPr>
        <w:tc>
          <w:tcPr>
            <w:tcW w:w="2235" w:type="dxa"/>
            <w:tcBorders>
              <w:top w:val="single" w:sz="4" w:space="0" w:color="auto"/>
              <w:bottom w:val="single" w:sz="4" w:space="0" w:color="auto"/>
            </w:tcBorders>
            <w:shd w:val="clear" w:color="auto" w:fill="F2F2F2" w:themeFill="background1" w:themeFillShade="F2"/>
          </w:tcPr>
          <w:p w:rsidR="00DE162D" w:rsidRPr="00DE162D" w:rsidRDefault="00DE162D" w:rsidP="00DE162D">
            <w:pPr>
              <w:pStyle w:val="Tabletext"/>
              <w:rPr>
                <w:rStyle w:val="Strong"/>
                <w:b w:val="0"/>
                <w:bCs w:val="0"/>
              </w:rPr>
            </w:pPr>
            <w:r w:rsidRPr="00DE162D">
              <w:rPr>
                <w:rStyle w:val="Strong"/>
                <w:b w:val="0"/>
                <w:bCs w:val="0"/>
              </w:rPr>
              <w:t>Aurora Energy</w:t>
            </w:r>
          </w:p>
        </w:tc>
        <w:tc>
          <w:tcPr>
            <w:tcW w:w="1134" w:type="dxa"/>
            <w:tcBorders>
              <w:top w:val="single" w:sz="4" w:space="0" w:color="auto"/>
              <w:bottom w:val="single" w:sz="4" w:space="0" w:color="auto"/>
            </w:tcBorders>
            <w:shd w:val="clear" w:color="auto" w:fill="F2F2F2" w:themeFill="background1" w:themeFillShade="F2"/>
          </w:tcPr>
          <w:p w:rsidR="00DE162D" w:rsidRPr="00802160" w:rsidRDefault="00DE162D" w:rsidP="00802160">
            <w:pPr>
              <w:pStyle w:val="Tabletext"/>
              <w:rPr>
                <w:rStyle w:val="Strong"/>
              </w:rPr>
            </w:pPr>
            <w:r w:rsidRPr="00802160">
              <w:rPr>
                <w:rStyle w:val="Strong"/>
              </w:rPr>
              <w:t>8 071</w:t>
            </w:r>
          </w:p>
        </w:tc>
        <w:tc>
          <w:tcPr>
            <w:tcW w:w="1275" w:type="dxa"/>
            <w:tcBorders>
              <w:top w:val="single" w:sz="4" w:space="0" w:color="auto"/>
              <w:bottom w:val="single" w:sz="4" w:space="0" w:color="auto"/>
            </w:tcBorders>
            <w:shd w:val="clear" w:color="auto" w:fill="F2F2F2" w:themeFill="background1" w:themeFillShade="F2"/>
          </w:tcPr>
          <w:p w:rsidR="00DE162D" w:rsidRPr="00802160" w:rsidRDefault="00DE162D" w:rsidP="00802160">
            <w:pPr>
              <w:pStyle w:val="Tabletext"/>
              <w:rPr>
                <w:rStyle w:val="Strong"/>
              </w:rPr>
            </w:pPr>
            <w:r>
              <w:rPr>
                <w:rStyle w:val="Strong"/>
              </w:rPr>
              <w:t>N/A</w:t>
            </w:r>
          </w:p>
        </w:tc>
        <w:tc>
          <w:tcPr>
            <w:tcW w:w="992" w:type="dxa"/>
            <w:tcBorders>
              <w:top w:val="single" w:sz="4" w:space="0" w:color="auto"/>
              <w:bottom w:val="single" w:sz="4" w:space="0" w:color="auto"/>
            </w:tcBorders>
            <w:shd w:val="clear" w:color="auto" w:fill="F2F2F2" w:themeFill="background1" w:themeFillShade="F2"/>
          </w:tcPr>
          <w:p w:rsidR="00DE162D" w:rsidRPr="00802160" w:rsidRDefault="00DE162D" w:rsidP="00802160">
            <w:pPr>
              <w:pStyle w:val="Tabletext"/>
              <w:rPr>
                <w:rStyle w:val="Strong"/>
              </w:rPr>
            </w:pPr>
            <w:r w:rsidRPr="00802160">
              <w:rPr>
                <w:rStyle w:val="Strong"/>
              </w:rPr>
              <w:t>167</w:t>
            </w:r>
          </w:p>
        </w:tc>
        <w:tc>
          <w:tcPr>
            <w:tcW w:w="1135" w:type="dxa"/>
            <w:tcBorders>
              <w:top w:val="single" w:sz="4" w:space="0" w:color="auto"/>
              <w:bottom w:val="single" w:sz="4" w:space="0" w:color="auto"/>
            </w:tcBorders>
            <w:shd w:val="clear" w:color="auto" w:fill="F2F2F2" w:themeFill="background1" w:themeFillShade="F2"/>
          </w:tcPr>
          <w:p w:rsidR="00DE162D" w:rsidRPr="00802160" w:rsidRDefault="00DE162D" w:rsidP="00802160">
            <w:pPr>
              <w:pStyle w:val="Tabletext"/>
              <w:rPr>
                <w:rStyle w:val="Strong"/>
              </w:rPr>
            </w:pPr>
            <w:r w:rsidRPr="00DE162D">
              <w:t>▼</w:t>
            </w:r>
            <w:r>
              <w:rPr>
                <w:rStyle w:val="Strong"/>
              </w:rPr>
              <w:t>167</w:t>
            </w:r>
          </w:p>
        </w:tc>
        <w:tc>
          <w:tcPr>
            <w:tcW w:w="2551" w:type="dxa"/>
            <w:tcBorders>
              <w:top w:val="single" w:sz="4" w:space="0" w:color="auto"/>
              <w:bottom w:val="single" w:sz="4" w:space="0" w:color="auto"/>
            </w:tcBorders>
            <w:shd w:val="clear" w:color="auto" w:fill="F2F2F2" w:themeFill="background1" w:themeFillShade="F2"/>
          </w:tcPr>
          <w:p w:rsidR="00DE162D" w:rsidRPr="00802160" w:rsidRDefault="00DE162D" w:rsidP="00802160">
            <w:pPr>
              <w:pStyle w:val="Tabletext"/>
              <w:rPr>
                <w:rStyle w:val="Strong"/>
              </w:rPr>
            </w:pPr>
            <w:r w:rsidRPr="00802160">
              <w:rPr>
                <w:rStyle w:val="Strong"/>
              </w:rPr>
              <w:t>2.1%</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7B7CF1" w:rsidRDefault="00DE162D" w:rsidP="00802160">
            <w:pPr>
              <w:pStyle w:val="Tabletext"/>
              <w:rPr>
                <w:rStyle w:val="Strong"/>
              </w:rPr>
            </w:pPr>
            <w:r w:rsidRPr="007B7CF1">
              <w:rPr>
                <w:rStyle w:val="Strong"/>
              </w:rPr>
              <w:t>New South Wales</w:t>
            </w:r>
          </w:p>
        </w:tc>
        <w:tc>
          <w:tcPr>
            <w:tcW w:w="2409" w:type="dxa"/>
            <w:gridSpan w:val="2"/>
            <w:tcBorders>
              <w:top w:val="single" w:sz="4" w:space="0" w:color="auto"/>
              <w:bottom w:val="single" w:sz="4" w:space="0" w:color="auto"/>
            </w:tcBorders>
          </w:tcPr>
          <w:p w:rsidR="00DE162D" w:rsidRPr="00D42745" w:rsidRDefault="00DE162D" w:rsidP="00802160">
            <w:pPr>
              <w:pStyle w:val="Tabletext"/>
            </w:pPr>
          </w:p>
        </w:tc>
        <w:tc>
          <w:tcPr>
            <w:tcW w:w="992" w:type="dxa"/>
            <w:tcBorders>
              <w:top w:val="single" w:sz="4" w:space="0" w:color="auto"/>
              <w:bottom w:val="single" w:sz="4" w:space="0" w:color="auto"/>
            </w:tcBorders>
          </w:tcPr>
          <w:p w:rsidR="00DE162D" w:rsidRPr="00D42745" w:rsidRDefault="00DE162D" w:rsidP="00802160">
            <w:pPr>
              <w:pStyle w:val="Tabletext"/>
            </w:pPr>
          </w:p>
        </w:tc>
        <w:tc>
          <w:tcPr>
            <w:tcW w:w="1135" w:type="dxa"/>
            <w:tcBorders>
              <w:top w:val="single" w:sz="4" w:space="0" w:color="auto"/>
              <w:bottom w:val="single" w:sz="4" w:space="0" w:color="auto"/>
            </w:tcBorders>
          </w:tcPr>
          <w:p w:rsidR="00DE162D" w:rsidRPr="00D42745" w:rsidRDefault="00DE162D" w:rsidP="00802160">
            <w:pPr>
              <w:pStyle w:val="Tabletext"/>
            </w:pPr>
          </w:p>
        </w:tc>
        <w:tc>
          <w:tcPr>
            <w:tcW w:w="2551" w:type="dxa"/>
            <w:tcBorders>
              <w:top w:val="single" w:sz="4" w:space="0" w:color="auto"/>
              <w:bottom w:val="single" w:sz="4" w:space="0" w:color="auto"/>
            </w:tcBorders>
          </w:tcPr>
          <w:p w:rsidR="00DE162D" w:rsidRPr="00D42745" w:rsidRDefault="00DE162D" w:rsidP="00802160">
            <w:pPr>
              <w:pStyle w:val="Tabletext"/>
            </w:pP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ActewAGL</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842</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96</w:t>
            </w:r>
          </w:p>
        </w:tc>
        <w:tc>
          <w:tcPr>
            <w:tcW w:w="992" w:type="dxa"/>
            <w:tcBorders>
              <w:top w:val="single" w:sz="4" w:space="0" w:color="auto"/>
              <w:bottom w:val="single" w:sz="4" w:space="0" w:color="auto"/>
            </w:tcBorders>
          </w:tcPr>
          <w:p w:rsidR="00DE162D" w:rsidRPr="00D226C7" w:rsidRDefault="00DE162D" w:rsidP="00802160">
            <w:pPr>
              <w:pStyle w:val="Tabletext"/>
            </w:pPr>
            <w:r>
              <w:t>173</w:t>
            </w:r>
          </w:p>
        </w:tc>
        <w:tc>
          <w:tcPr>
            <w:tcW w:w="1135" w:type="dxa"/>
            <w:tcBorders>
              <w:top w:val="single" w:sz="4" w:space="0" w:color="auto"/>
              <w:bottom w:val="single" w:sz="4" w:space="0" w:color="auto"/>
            </w:tcBorders>
          </w:tcPr>
          <w:p w:rsidR="00DE162D" w:rsidRPr="00D226C7" w:rsidRDefault="00DE162D" w:rsidP="00802160">
            <w:pPr>
              <w:pStyle w:val="Tabletext"/>
            </w:pPr>
            <w:r w:rsidRPr="00252AD3">
              <w:t>▼</w:t>
            </w:r>
            <w:r>
              <w:t>25</w:t>
            </w:r>
          </w:p>
        </w:tc>
        <w:tc>
          <w:tcPr>
            <w:tcW w:w="2551" w:type="dxa"/>
            <w:tcBorders>
              <w:top w:val="single" w:sz="4" w:space="0" w:color="auto"/>
              <w:bottom w:val="single" w:sz="4" w:space="0" w:color="auto"/>
            </w:tcBorders>
          </w:tcPr>
          <w:p w:rsidR="00DE162D" w:rsidRPr="00D226C7" w:rsidRDefault="00DE162D" w:rsidP="00802160">
            <w:pPr>
              <w:pStyle w:val="Tabletext"/>
            </w:pPr>
            <w:r>
              <w:t>20.5%</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AGL</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107 640</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5 001</w:t>
            </w:r>
          </w:p>
        </w:tc>
        <w:tc>
          <w:tcPr>
            <w:tcW w:w="992" w:type="dxa"/>
            <w:tcBorders>
              <w:top w:val="single" w:sz="4" w:space="0" w:color="auto"/>
              <w:bottom w:val="single" w:sz="4" w:space="0" w:color="auto"/>
            </w:tcBorders>
          </w:tcPr>
          <w:p w:rsidR="00DE162D" w:rsidRPr="00D226C7" w:rsidRDefault="00DE162D" w:rsidP="00802160">
            <w:pPr>
              <w:pStyle w:val="Tabletext"/>
            </w:pPr>
            <w:r>
              <w:t>6 509</w:t>
            </w:r>
          </w:p>
        </w:tc>
        <w:tc>
          <w:tcPr>
            <w:tcW w:w="1135" w:type="dxa"/>
            <w:tcBorders>
              <w:top w:val="single" w:sz="4" w:space="0" w:color="auto"/>
              <w:bottom w:val="single" w:sz="4" w:space="0" w:color="auto"/>
            </w:tcBorders>
          </w:tcPr>
          <w:p w:rsidR="00DE162D" w:rsidRPr="00D226C7" w:rsidRDefault="00DE162D" w:rsidP="00802160">
            <w:pPr>
              <w:pStyle w:val="Tabletext"/>
            </w:pPr>
            <w:r w:rsidRPr="00252AD3">
              <w:t>▲</w:t>
            </w:r>
            <w:r>
              <w:t>797</w:t>
            </w:r>
          </w:p>
        </w:tc>
        <w:tc>
          <w:tcPr>
            <w:tcW w:w="2551" w:type="dxa"/>
            <w:tcBorders>
              <w:top w:val="single" w:sz="4" w:space="0" w:color="auto"/>
              <w:bottom w:val="single" w:sz="4" w:space="0" w:color="auto"/>
            </w:tcBorders>
          </w:tcPr>
          <w:p w:rsidR="00DE162D" w:rsidRPr="00D226C7" w:rsidRDefault="00DE162D" w:rsidP="00802160">
            <w:pPr>
              <w:pStyle w:val="Tabletext"/>
            </w:pPr>
            <w:r>
              <w:t>6.0%</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 xml:space="preserve">Blue NRG </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68</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65</w:t>
            </w:r>
          </w:p>
        </w:tc>
        <w:tc>
          <w:tcPr>
            <w:tcW w:w="992" w:type="dxa"/>
            <w:tcBorders>
              <w:top w:val="single" w:sz="4" w:space="0" w:color="auto"/>
              <w:bottom w:val="single" w:sz="4" w:space="0" w:color="auto"/>
            </w:tcBorders>
          </w:tcPr>
          <w:p w:rsidR="00DE162D" w:rsidRPr="00D226C7" w:rsidRDefault="00DE162D" w:rsidP="00802160">
            <w:pPr>
              <w:pStyle w:val="Tabletext"/>
            </w:pPr>
            <w:r>
              <w:t>4</w:t>
            </w:r>
          </w:p>
        </w:tc>
        <w:tc>
          <w:tcPr>
            <w:tcW w:w="1135" w:type="dxa"/>
            <w:tcBorders>
              <w:top w:val="single" w:sz="4" w:space="0" w:color="auto"/>
              <w:bottom w:val="single" w:sz="4" w:space="0" w:color="auto"/>
            </w:tcBorders>
          </w:tcPr>
          <w:p w:rsidR="00DE162D" w:rsidRPr="00D226C7" w:rsidRDefault="00DE162D" w:rsidP="00802160">
            <w:pPr>
              <w:pStyle w:val="Tabletext"/>
            </w:pPr>
            <w:r w:rsidRPr="00252AD3">
              <w:t>▲</w:t>
            </w:r>
            <w:r>
              <w:t>4</w:t>
            </w:r>
          </w:p>
        </w:tc>
        <w:tc>
          <w:tcPr>
            <w:tcW w:w="2551" w:type="dxa"/>
            <w:tcBorders>
              <w:top w:val="single" w:sz="4" w:space="0" w:color="auto"/>
              <w:bottom w:val="single" w:sz="4" w:space="0" w:color="auto"/>
            </w:tcBorders>
          </w:tcPr>
          <w:p w:rsidR="00DE162D" w:rsidRPr="00D226C7" w:rsidRDefault="00DE162D" w:rsidP="00802160">
            <w:pPr>
              <w:pStyle w:val="Tabletext"/>
            </w:pPr>
            <w:r>
              <w:t>5.9%</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 xml:space="preserve">Click Energy </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362</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230</w:t>
            </w:r>
          </w:p>
        </w:tc>
        <w:tc>
          <w:tcPr>
            <w:tcW w:w="992" w:type="dxa"/>
            <w:tcBorders>
              <w:top w:val="single" w:sz="4" w:space="0" w:color="auto"/>
              <w:bottom w:val="single" w:sz="4" w:space="0" w:color="auto"/>
            </w:tcBorders>
          </w:tcPr>
          <w:p w:rsidR="00DE162D" w:rsidRPr="00D226C7" w:rsidRDefault="00DE162D" w:rsidP="00802160">
            <w:pPr>
              <w:pStyle w:val="Tabletext"/>
            </w:pPr>
            <w:r>
              <w:t>273</w:t>
            </w:r>
          </w:p>
        </w:tc>
        <w:tc>
          <w:tcPr>
            <w:tcW w:w="1135" w:type="dxa"/>
            <w:tcBorders>
              <w:top w:val="single" w:sz="4" w:space="0" w:color="auto"/>
              <w:bottom w:val="single" w:sz="4" w:space="0" w:color="auto"/>
            </w:tcBorders>
          </w:tcPr>
          <w:p w:rsidR="00DE162D" w:rsidRPr="00D226C7" w:rsidRDefault="00DE162D" w:rsidP="00802160">
            <w:pPr>
              <w:pStyle w:val="Tabletext"/>
            </w:pPr>
            <w:r w:rsidRPr="00252AD3">
              <w:t>▲</w:t>
            </w:r>
            <w:r>
              <w:t>100</w:t>
            </w:r>
          </w:p>
        </w:tc>
        <w:tc>
          <w:tcPr>
            <w:tcW w:w="2551" w:type="dxa"/>
            <w:tcBorders>
              <w:top w:val="single" w:sz="4" w:space="0" w:color="auto"/>
              <w:bottom w:val="single" w:sz="4" w:space="0" w:color="auto"/>
            </w:tcBorders>
          </w:tcPr>
          <w:p w:rsidR="00DE162D" w:rsidRPr="00D226C7" w:rsidRDefault="00DE162D" w:rsidP="00802160">
            <w:pPr>
              <w:pStyle w:val="Tabletext"/>
            </w:pPr>
            <w:r>
              <w:t>75.4%</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 xml:space="preserve">CovaU </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1 515</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1 512</w:t>
            </w:r>
          </w:p>
        </w:tc>
        <w:tc>
          <w:tcPr>
            <w:tcW w:w="992" w:type="dxa"/>
            <w:tcBorders>
              <w:top w:val="single" w:sz="4" w:space="0" w:color="auto"/>
              <w:bottom w:val="single" w:sz="4" w:space="0" w:color="auto"/>
            </w:tcBorders>
          </w:tcPr>
          <w:p w:rsidR="00DE162D" w:rsidRPr="00D226C7" w:rsidRDefault="00DE162D" w:rsidP="00802160">
            <w:pPr>
              <w:pStyle w:val="Tabletext"/>
            </w:pPr>
            <w:r>
              <w:t>55</w:t>
            </w:r>
          </w:p>
        </w:tc>
        <w:tc>
          <w:tcPr>
            <w:tcW w:w="1135" w:type="dxa"/>
            <w:tcBorders>
              <w:top w:val="single" w:sz="4" w:space="0" w:color="auto"/>
              <w:bottom w:val="single" w:sz="4" w:space="0" w:color="auto"/>
            </w:tcBorders>
          </w:tcPr>
          <w:p w:rsidR="00DE162D" w:rsidRPr="00D226C7" w:rsidRDefault="00DE162D" w:rsidP="00802160">
            <w:pPr>
              <w:pStyle w:val="Tabletext"/>
            </w:pPr>
            <w:r w:rsidRPr="00252AD3">
              <w:t>▲</w:t>
            </w:r>
            <w:r>
              <w:t>55</w:t>
            </w:r>
          </w:p>
        </w:tc>
        <w:tc>
          <w:tcPr>
            <w:tcW w:w="2551" w:type="dxa"/>
            <w:tcBorders>
              <w:top w:val="single" w:sz="4" w:space="0" w:color="auto"/>
              <w:bottom w:val="single" w:sz="4" w:space="0" w:color="auto"/>
            </w:tcBorders>
          </w:tcPr>
          <w:p w:rsidR="00DE162D" w:rsidRPr="00D226C7" w:rsidRDefault="00DE162D" w:rsidP="00802160">
            <w:pPr>
              <w:pStyle w:val="Tabletext"/>
            </w:pPr>
            <w:r>
              <w:t>3.6%</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Diamond Energy</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24</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10</w:t>
            </w:r>
          </w:p>
        </w:tc>
        <w:tc>
          <w:tcPr>
            <w:tcW w:w="992" w:type="dxa"/>
            <w:tcBorders>
              <w:top w:val="single" w:sz="4" w:space="0" w:color="auto"/>
              <w:bottom w:val="single" w:sz="4" w:space="0" w:color="auto"/>
            </w:tcBorders>
          </w:tcPr>
          <w:p w:rsidR="00DE162D" w:rsidRPr="00D226C7" w:rsidRDefault="00DE162D" w:rsidP="00802160">
            <w:pPr>
              <w:pStyle w:val="Tabletext"/>
            </w:pPr>
            <w:r>
              <w:t>8</w:t>
            </w:r>
          </w:p>
        </w:tc>
        <w:tc>
          <w:tcPr>
            <w:tcW w:w="1135" w:type="dxa"/>
            <w:tcBorders>
              <w:top w:val="single" w:sz="4" w:space="0" w:color="auto"/>
              <w:bottom w:val="single" w:sz="4" w:space="0" w:color="auto"/>
            </w:tcBorders>
          </w:tcPr>
          <w:p w:rsidR="00DE162D" w:rsidRPr="00D226C7" w:rsidRDefault="00DE162D" w:rsidP="00802160">
            <w:pPr>
              <w:pStyle w:val="Tabletext"/>
            </w:pPr>
            <w:r w:rsidRPr="00252AD3">
              <w:t>▲</w:t>
            </w:r>
            <w:r>
              <w:t>8</w:t>
            </w:r>
          </w:p>
        </w:tc>
        <w:tc>
          <w:tcPr>
            <w:tcW w:w="2551" w:type="dxa"/>
            <w:tcBorders>
              <w:top w:val="single" w:sz="4" w:space="0" w:color="auto"/>
              <w:bottom w:val="single" w:sz="4" w:space="0" w:color="auto"/>
            </w:tcBorders>
          </w:tcPr>
          <w:p w:rsidR="00DE162D" w:rsidRPr="00D226C7" w:rsidRDefault="00DE162D" w:rsidP="00802160">
            <w:pPr>
              <w:pStyle w:val="Tabletext"/>
            </w:pPr>
            <w:r>
              <w:t>33.3%</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EnergyAustralia</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28 825</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921</w:t>
            </w:r>
          </w:p>
        </w:tc>
        <w:tc>
          <w:tcPr>
            <w:tcW w:w="992" w:type="dxa"/>
            <w:tcBorders>
              <w:top w:val="single" w:sz="4" w:space="0" w:color="auto"/>
              <w:bottom w:val="single" w:sz="4" w:space="0" w:color="auto"/>
            </w:tcBorders>
          </w:tcPr>
          <w:p w:rsidR="00DE162D" w:rsidRPr="00D226C7" w:rsidRDefault="00DE162D" w:rsidP="00802160">
            <w:pPr>
              <w:pStyle w:val="Tabletext"/>
            </w:pPr>
            <w:r>
              <w:t>4 849</w:t>
            </w:r>
          </w:p>
        </w:tc>
        <w:tc>
          <w:tcPr>
            <w:tcW w:w="1135" w:type="dxa"/>
            <w:tcBorders>
              <w:top w:val="single" w:sz="4" w:space="0" w:color="auto"/>
              <w:bottom w:val="single" w:sz="4" w:space="0" w:color="auto"/>
            </w:tcBorders>
          </w:tcPr>
          <w:p w:rsidR="00DE162D" w:rsidRPr="00D226C7" w:rsidRDefault="00DE162D" w:rsidP="00802160">
            <w:pPr>
              <w:pStyle w:val="Tabletext"/>
            </w:pPr>
            <w:r w:rsidRPr="00252AD3">
              <w:t>▼</w:t>
            </w:r>
            <w:r>
              <w:t>2 025</w:t>
            </w:r>
          </w:p>
        </w:tc>
        <w:tc>
          <w:tcPr>
            <w:tcW w:w="2551" w:type="dxa"/>
            <w:tcBorders>
              <w:top w:val="single" w:sz="4" w:space="0" w:color="auto"/>
              <w:bottom w:val="single" w:sz="4" w:space="0" w:color="auto"/>
            </w:tcBorders>
          </w:tcPr>
          <w:p w:rsidR="00DE162D" w:rsidRPr="00D226C7" w:rsidRDefault="00DE162D" w:rsidP="00802160">
            <w:pPr>
              <w:pStyle w:val="Tabletext"/>
            </w:pPr>
            <w:r>
              <w:t>16.8%</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ERM Power Retail</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166</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78</w:t>
            </w:r>
          </w:p>
        </w:tc>
        <w:tc>
          <w:tcPr>
            <w:tcW w:w="992" w:type="dxa"/>
            <w:tcBorders>
              <w:top w:val="single" w:sz="4" w:space="0" w:color="auto"/>
              <w:bottom w:val="single" w:sz="4" w:space="0" w:color="auto"/>
            </w:tcBorders>
          </w:tcPr>
          <w:p w:rsidR="00DE162D" w:rsidRPr="00D226C7" w:rsidRDefault="00DE162D" w:rsidP="00802160">
            <w:pPr>
              <w:pStyle w:val="Tabletext"/>
            </w:pPr>
            <w:r>
              <w:t>4</w:t>
            </w:r>
          </w:p>
        </w:tc>
        <w:tc>
          <w:tcPr>
            <w:tcW w:w="1135" w:type="dxa"/>
            <w:tcBorders>
              <w:top w:val="single" w:sz="4" w:space="0" w:color="auto"/>
              <w:bottom w:val="single" w:sz="4" w:space="0" w:color="auto"/>
            </w:tcBorders>
          </w:tcPr>
          <w:p w:rsidR="00DE162D" w:rsidRPr="00D226C7" w:rsidRDefault="00DE162D" w:rsidP="00802160">
            <w:pPr>
              <w:pStyle w:val="Tabletext"/>
            </w:pPr>
            <w:r w:rsidRPr="00252AD3">
              <w:t>▲</w:t>
            </w:r>
            <w:r>
              <w:t>4</w:t>
            </w:r>
          </w:p>
        </w:tc>
        <w:tc>
          <w:tcPr>
            <w:tcW w:w="2551" w:type="dxa"/>
            <w:tcBorders>
              <w:top w:val="single" w:sz="4" w:space="0" w:color="auto"/>
              <w:bottom w:val="single" w:sz="4" w:space="0" w:color="auto"/>
            </w:tcBorders>
          </w:tcPr>
          <w:p w:rsidR="00DE162D" w:rsidRPr="00D226C7" w:rsidRDefault="00DE162D" w:rsidP="00802160">
            <w:pPr>
              <w:pStyle w:val="Tabletext"/>
            </w:pPr>
            <w:r>
              <w:t>2.4%</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 xml:space="preserve">GoEnergy </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8</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8</w:t>
            </w:r>
          </w:p>
        </w:tc>
        <w:tc>
          <w:tcPr>
            <w:tcW w:w="992" w:type="dxa"/>
            <w:tcBorders>
              <w:top w:val="single" w:sz="4" w:space="0" w:color="auto"/>
              <w:bottom w:val="single" w:sz="4" w:space="0" w:color="auto"/>
            </w:tcBorders>
          </w:tcPr>
          <w:p w:rsidR="00DE162D" w:rsidRPr="00D226C7" w:rsidRDefault="00DE162D" w:rsidP="00802160">
            <w:pPr>
              <w:pStyle w:val="Tabletext"/>
            </w:pPr>
            <w:r>
              <w:t>0</w:t>
            </w:r>
          </w:p>
        </w:tc>
        <w:tc>
          <w:tcPr>
            <w:tcW w:w="1135" w:type="dxa"/>
            <w:tcBorders>
              <w:top w:val="single" w:sz="4" w:space="0" w:color="auto"/>
              <w:bottom w:val="single" w:sz="4" w:space="0" w:color="auto"/>
            </w:tcBorders>
          </w:tcPr>
          <w:p w:rsidR="00DE162D" w:rsidRPr="00D226C7" w:rsidRDefault="00DE162D" w:rsidP="00802160">
            <w:pPr>
              <w:pStyle w:val="Tabletext"/>
            </w:pPr>
            <w:r>
              <w:rPr>
                <w:rFonts w:cs="Arial"/>
              </w:rPr>
              <w:t>●</w:t>
            </w:r>
          </w:p>
        </w:tc>
        <w:tc>
          <w:tcPr>
            <w:tcW w:w="2551" w:type="dxa"/>
            <w:tcBorders>
              <w:top w:val="single" w:sz="4" w:space="0" w:color="auto"/>
              <w:bottom w:val="single" w:sz="4" w:space="0" w:color="auto"/>
            </w:tcBorders>
          </w:tcPr>
          <w:p w:rsidR="00DE162D" w:rsidRPr="00D226C7" w:rsidRDefault="00DE162D" w:rsidP="00802160">
            <w:pPr>
              <w:pStyle w:val="Tabletext"/>
            </w:pPr>
            <w:r>
              <w:t>0.0%</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 xml:space="preserve">Lumo Energy </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3 087</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745</w:t>
            </w:r>
          </w:p>
        </w:tc>
        <w:tc>
          <w:tcPr>
            <w:tcW w:w="992" w:type="dxa"/>
            <w:tcBorders>
              <w:top w:val="single" w:sz="4" w:space="0" w:color="auto"/>
              <w:bottom w:val="single" w:sz="4" w:space="0" w:color="auto"/>
            </w:tcBorders>
          </w:tcPr>
          <w:p w:rsidR="00DE162D" w:rsidRPr="00D226C7" w:rsidRDefault="00DE162D" w:rsidP="00802160">
            <w:pPr>
              <w:pStyle w:val="Tabletext"/>
            </w:pPr>
            <w:r>
              <w:t>461</w:t>
            </w:r>
          </w:p>
        </w:tc>
        <w:tc>
          <w:tcPr>
            <w:tcW w:w="1135" w:type="dxa"/>
            <w:tcBorders>
              <w:top w:val="single" w:sz="4" w:space="0" w:color="auto"/>
              <w:bottom w:val="single" w:sz="4" w:space="0" w:color="auto"/>
            </w:tcBorders>
          </w:tcPr>
          <w:p w:rsidR="00DE162D" w:rsidRPr="00D226C7" w:rsidRDefault="00DE162D" w:rsidP="00802160">
            <w:pPr>
              <w:pStyle w:val="Tabletext"/>
            </w:pPr>
            <w:r w:rsidRPr="00252AD3">
              <w:t>▼</w:t>
            </w:r>
            <w:r>
              <w:t>42</w:t>
            </w:r>
          </w:p>
        </w:tc>
        <w:tc>
          <w:tcPr>
            <w:tcW w:w="2551" w:type="dxa"/>
            <w:tcBorders>
              <w:top w:val="single" w:sz="4" w:space="0" w:color="auto"/>
              <w:bottom w:val="single" w:sz="4" w:space="0" w:color="auto"/>
            </w:tcBorders>
          </w:tcPr>
          <w:p w:rsidR="00DE162D" w:rsidRPr="00D226C7" w:rsidRDefault="00DE162D" w:rsidP="00802160">
            <w:pPr>
              <w:pStyle w:val="Tabletext"/>
            </w:pPr>
            <w:r>
              <w:t>14.9%</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 xml:space="preserve">M2 Energy </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867</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3 956</w:t>
            </w:r>
          </w:p>
        </w:tc>
        <w:tc>
          <w:tcPr>
            <w:tcW w:w="992" w:type="dxa"/>
            <w:tcBorders>
              <w:top w:val="single" w:sz="4" w:space="0" w:color="auto"/>
              <w:bottom w:val="single" w:sz="4" w:space="0" w:color="auto"/>
            </w:tcBorders>
          </w:tcPr>
          <w:p w:rsidR="00DE162D" w:rsidRPr="00D226C7" w:rsidRDefault="00DE162D" w:rsidP="00802160">
            <w:pPr>
              <w:pStyle w:val="Tabletext"/>
            </w:pPr>
            <w:r>
              <w:t>182</w:t>
            </w:r>
          </w:p>
        </w:tc>
        <w:tc>
          <w:tcPr>
            <w:tcW w:w="1135" w:type="dxa"/>
            <w:tcBorders>
              <w:top w:val="single" w:sz="4" w:space="0" w:color="auto"/>
              <w:bottom w:val="single" w:sz="4" w:space="0" w:color="auto"/>
            </w:tcBorders>
          </w:tcPr>
          <w:p w:rsidR="00DE162D" w:rsidRPr="00D226C7" w:rsidRDefault="00DE162D" w:rsidP="00802160">
            <w:pPr>
              <w:pStyle w:val="Tabletext"/>
            </w:pPr>
            <w:r w:rsidRPr="00252AD3">
              <w:t>▲</w:t>
            </w:r>
            <w:r>
              <w:t>44</w:t>
            </w:r>
          </w:p>
        </w:tc>
        <w:tc>
          <w:tcPr>
            <w:tcW w:w="2551" w:type="dxa"/>
            <w:tcBorders>
              <w:top w:val="single" w:sz="4" w:space="0" w:color="auto"/>
              <w:bottom w:val="single" w:sz="4" w:space="0" w:color="auto"/>
            </w:tcBorders>
          </w:tcPr>
          <w:p w:rsidR="00DE162D" w:rsidRPr="00D226C7" w:rsidRDefault="00DE162D" w:rsidP="00802160">
            <w:pPr>
              <w:pStyle w:val="Tabletext"/>
            </w:pPr>
            <w:r>
              <w:t>21.0%</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Momentum Energy</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516</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312</w:t>
            </w:r>
          </w:p>
        </w:tc>
        <w:tc>
          <w:tcPr>
            <w:tcW w:w="992" w:type="dxa"/>
            <w:tcBorders>
              <w:top w:val="single" w:sz="4" w:space="0" w:color="auto"/>
              <w:bottom w:val="single" w:sz="4" w:space="0" w:color="auto"/>
            </w:tcBorders>
          </w:tcPr>
          <w:p w:rsidR="00DE162D" w:rsidRPr="00D226C7" w:rsidRDefault="00DE162D" w:rsidP="00802160">
            <w:pPr>
              <w:pStyle w:val="Tabletext"/>
            </w:pPr>
            <w:r>
              <w:t>167</w:t>
            </w:r>
          </w:p>
        </w:tc>
        <w:tc>
          <w:tcPr>
            <w:tcW w:w="1135" w:type="dxa"/>
            <w:tcBorders>
              <w:top w:val="single" w:sz="4" w:space="0" w:color="auto"/>
              <w:bottom w:val="single" w:sz="4" w:space="0" w:color="auto"/>
            </w:tcBorders>
          </w:tcPr>
          <w:p w:rsidR="00DE162D" w:rsidRPr="00D226C7" w:rsidRDefault="00DE162D" w:rsidP="00802160">
            <w:pPr>
              <w:pStyle w:val="Tabletext"/>
            </w:pPr>
            <w:r w:rsidRPr="00252AD3">
              <w:t>▲</w:t>
            </w:r>
            <w:r>
              <w:t>73</w:t>
            </w:r>
          </w:p>
        </w:tc>
        <w:tc>
          <w:tcPr>
            <w:tcW w:w="2551" w:type="dxa"/>
            <w:tcBorders>
              <w:top w:val="single" w:sz="4" w:space="0" w:color="auto"/>
              <w:bottom w:val="single" w:sz="4" w:space="0" w:color="auto"/>
            </w:tcBorders>
          </w:tcPr>
          <w:p w:rsidR="00DE162D" w:rsidRPr="00D226C7" w:rsidRDefault="00DE162D" w:rsidP="00802160">
            <w:pPr>
              <w:pStyle w:val="Tabletext"/>
            </w:pPr>
            <w:r>
              <w:t>32.4%</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Origin Energy</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206 935</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117 774</w:t>
            </w:r>
          </w:p>
        </w:tc>
        <w:tc>
          <w:tcPr>
            <w:tcW w:w="992" w:type="dxa"/>
            <w:tcBorders>
              <w:top w:val="single" w:sz="4" w:space="0" w:color="auto"/>
              <w:bottom w:val="single" w:sz="4" w:space="0" w:color="auto"/>
            </w:tcBorders>
          </w:tcPr>
          <w:p w:rsidR="00DE162D" w:rsidRPr="00D226C7" w:rsidRDefault="00DE162D" w:rsidP="00802160">
            <w:pPr>
              <w:pStyle w:val="Tabletext"/>
            </w:pPr>
            <w:r>
              <w:t>6 891</w:t>
            </w:r>
          </w:p>
        </w:tc>
        <w:tc>
          <w:tcPr>
            <w:tcW w:w="1135" w:type="dxa"/>
            <w:tcBorders>
              <w:top w:val="single" w:sz="4" w:space="0" w:color="auto"/>
              <w:bottom w:val="single" w:sz="4" w:space="0" w:color="auto"/>
            </w:tcBorders>
          </w:tcPr>
          <w:p w:rsidR="00DE162D" w:rsidRPr="00D226C7" w:rsidRDefault="00DE162D" w:rsidP="00802160">
            <w:pPr>
              <w:pStyle w:val="Tabletext"/>
            </w:pPr>
            <w:r w:rsidRPr="00252AD3">
              <w:t>▼</w:t>
            </w:r>
            <w:r>
              <w:t>2 340</w:t>
            </w:r>
          </w:p>
        </w:tc>
        <w:tc>
          <w:tcPr>
            <w:tcW w:w="2551" w:type="dxa"/>
            <w:tcBorders>
              <w:top w:val="single" w:sz="4" w:space="0" w:color="auto"/>
              <w:bottom w:val="single" w:sz="4" w:space="0" w:color="auto"/>
            </w:tcBorders>
          </w:tcPr>
          <w:p w:rsidR="00DE162D" w:rsidRPr="00D226C7" w:rsidRDefault="00DE162D" w:rsidP="00802160">
            <w:pPr>
              <w:pStyle w:val="Tabletext"/>
            </w:pPr>
            <w:r>
              <w:t>3.3%</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lastRenderedPageBreak/>
              <w:t>Pooled Energy</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6</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6</w:t>
            </w:r>
          </w:p>
        </w:tc>
        <w:tc>
          <w:tcPr>
            <w:tcW w:w="992" w:type="dxa"/>
            <w:tcBorders>
              <w:top w:val="single" w:sz="4" w:space="0" w:color="auto"/>
              <w:bottom w:val="single" w:sz="4" w:space="0" w:color="auto"/>
            </w:tcBorders>
          </w:tcPr>
          <w:p w:rsidR="00DE162D" w:rsidRPr="00D226C7" w:rsidRDefault="00DE162D" w:rsidP="00802160">
            <w:pPr>
              <w:pStyle w:val="Tabletext"/>
            </w:pPr>
            <w:r>
              <w:t>0</w:t>
            </w:r>
          </w:p>
        </w:tc>
        <w:tc>
          <w:tcPr>
            <w:tcW w:w="1135" w:type="dxa"/>
            <w:tcBorders>
              <w:top w:val="single" w:sz="4" w:space="0" w:color="auto"/>
              <w:bottom w:val="single" w:sz="4" w:space="0" w:color="auto"/>
            </w:tcBorders>
          </w:tcPr>
          <w:p w:rsidR="00DE162D" w:rsidRPr="00D226C7" w:rsidRDefault="00DE162D" w:rsidP="00802160">
            <w:pPr>
              <w:pStyle w:val="Tabletext"/>
            </w:pPr>
            <w:r>
              <w:rPr>
                <w:rFonts w:cs="Arial"/>
              </w:rPr>
              <w:t>●</w:t>
            </w:r>
          </w:p>
        </w:tc>
        <w:tc>
          <w:tcPr>
            <w:tcW w:w="2551" w:type="dxa"/>
            <w:tcBorders>
              <w:top w:val="single" w:sz="4" w:space="0" w:color="auto"/>
              <w:bottom w:val="single" w:sz="4" w:space="0" w:color="auto"/>
            </w:tcBorders>
          </w:tcPr>
          <w:p w:rsidR="00DE162D" w:rsidRPr="00D226C7" w:rsidRDefault="00DE162D" w:rsidP="00802160">
            <w:pPr>
              <w:pStyle w:val="Tabletext"/>
            </w:pPr>
            <w:r>
              <w:t>0.0%</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 xml:space="preserve">Powerdirect </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2 559</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1 199</w:t>
            </w:r>
          </w:p>
        </w:tc>
        <w:tc>
          <w:tcPr>
            <w:tcW w:w="992" w:type="dxa"/>
            <w:tcBorders>
              <w:top w:val="single" w:sz="4" w:space="0" w:color="auto"/>
              <w:bottom w:val="single" w:sz="4" w:space="0" w:color="auto"/>
            </w:tcBorders>
          </w:tcPr>
          <w:p w:rsidR="00DE162D" w:rsidRPr="00D226C7" w:rsidRDefault="00DE162D" w:rsidP="00802160">
            <w:pPr>
              <w:pStyle w:val="Tabletext"/>
            </w:pPr>
            <w:r>
              <w:t>372</w:t>
            </w:r>
          </w:p>
        </w:tc>
        <w:tc>
          <w:tcPr>
            <w:tcW w:w="1135" w:type="dxa"/>
            <w:tcBorders>
              <w:top w:val="single" w:sz="4" w:space="0" w:color="auto"/>
              <w:bottom w:val="single" w:sz="4" w:space="0" w:color="auto"/>
            </w:tcBorders>
          </w:tcPr>
          <w:p w:rsidR="00DE162D" w:rsidRPr="00D226C7" w:rsidRDefault="00DE162D" w:rsidP="00802160">
            <w:pPr>
              <w:pStyle w:val="Tabletext"/>
            </w:pPr>
            <w:r w:rsidRPr="00252AD3">
              <w:t>▲</w:t>
            </w:r>
            <w:r>
              <w:t>124</w:t>
            </w:r>
          </w:p>
        </w:tc>
        <w:tc>
          <w:tcPr>
            <w:tcW w:w="2551" w:type="dxa"/>
            <w:tcBorders>
              <w:top w:val="single" w:sz="4" w:space="0" w:color="auto"/>
              <w:bottom w:val="single" w:sz="4" w:space="0" w:color="auto"/>
            </w:tcBorders>
          </w:tcPr>
          <w:p w:rsidR="00DE162D" w:rsidRPr="00D226C7" w:rsidRDefault="00DE162D" w:rsidP="00802160">
            <w:pPr>
              <w:pStyle w:val="Tabletext"/>
            </w:pPr>
            <w:r>
              <w:t>14.5%</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 xml:space="preserve">Powershop </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1</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1</w:t>
            </w:r>
          </w:p>
        </w:tc>
        <w:tc>
          <w:tcPr>
            <w:tcW w:w="992" w:type="dxa"/>
            <w:tcBorders>
              <w:top w:val="single" w:sz="4" w:space="0" w:color="auto"/>
              <w:bottom w:val="single" w:sz="4" w:space="0" w:color="auto"/>
            </w:tcBorders>
          </w:tcPr>
          <w:p w:rsidR="00DE162D" w:rsidRPr="00D226C7" w:rsidRDefault="00DE162D" w:rsidP="00802160">
            <w:pPr>
              <w:pStyle w:val="Tabletext"/>
            </w:pPr>
            <w:r>
              <w:t>0</w:t>
            </w:r>
          </w:p>
        </w:tc>
        <w:tc>
          <w:tcPr>
            <w:tcW w:w="1135" w:type="dxa"/>
            <w:tcBorders>
              <w:top w:val="single" w:sz="4" w:space="0" w:color="auto"/>
              <w:bottom w:val="single" w:sz="4" w:space="0" w:color="auto"/>
            </w:tcBorders>
          </w:tcPr>
          <w:p w:rsidR="00DE162D" w:rsidRPr="00D226C7" w:rsidRDefault="00DE162D" w:rsidP="00802160">
            <w:pPr>
              <w:pStyle w:val="Tabletext"/>
            </w:pPr>
            <w:r>
              <w:rPr>
                <w:rFonts w:cs="Arial"/>
              </w:rPr>
              <w:t>●</w:t>
            </w:r>
          </w:p>
        </w:tc>
        <w:tc>
          <w:tcPr>
            <w:tcW w:w="2551" w:type="dxa"/>
            <w:tcBorders>
              <w:top w:val="single" w:sz="4" w:space="0" w:color="auto"/>
              <w:bottom w:val="single" w:sz="4" w:space="0" w:color="auto"/>
            </w:tcBorders>
          </w:tcPr>
          <w:p w:rsidR="00DE162D" w:rsidRPr="00D226C7" w:rsidRDefault="00DE162D" w:rsidP="00802160">
            <w:pPr>
              <w:pStyle w:val="Tabletext"/>
            </w:pPr>
            <w:r>
              <w:t>0.0%</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 xml:space="preserve">QEnergy </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129</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31</w:t>
            </w:r>
          </w:p>
        </w:tc>
        <w:tc>
          <w:tcPr>
            <w:tcW w:w="992" w:type="dxa"/>
            <w:tcBorders>
              <w:top w:val="single" w:sz="4" w:space="0" w:color="auto"/>
              <w:bottom w:val="single" w:sz="4" w:space="0" w:color="auto"/>
            </w:tcBorders>
          </w:tcPr>
          <w:p w:rsidR="00DE162D" w:rsidRPr="00D226C7" w:rsidRDefault="00DE162D" w:rsidP="00802160">
            <w:pPr>
              <w:pStyle w:val="Tabletext"/>
            </w:pPr>
            <w:r>
              <w:t>112</w:t>
            </w:r>
          </w:p>
        </w:tc>
        <w:tc>
          <w:tcPr>
            <w:tcW w:w="1135" w:type="dxa"/>
            <w:tcBorders>
              <w:top w:val="single" w:sz="4" w:space="0" w:color="auto"/>
              <w:bottom w:val="single" w:sz="4" w:space="0" w:color="auto"/>
            </w:tcBorders>
          </w:tcPr>
          <w:p w:rsidR="00DE162D" w:rsidRPr="00D226C7" w:rsidRDefault="00DE162D" w:rsidP="00802160">
            <w:pPr>
              <w:pStyle w:val="Tabletext"/>
            </w:pPr>
            <w:r w:rsidRPr="00252AD3">
              <w:t>▲</w:t>
            </w:r>
            <w:r>
              <w:t>50</w:t>
            </w:r>
          </w:p>
        </w:tc>
        <w:tc>
          <w:tcPr>
            <w:tcW w:w="2551" w:type="dxa"/>
            <w:tcBorders>
              <w:top w:val="single" w:sz="4" w:space="0" w:color="auto"/>
              <w:bottom w:val="single" w:sz="4" w:space="0" w:color="auto"/>
            </w:tcBorders>
          </w:tcPr>
          <w:p w:rsidR="00DE162D" w:rsidRPr="00D226C7" w:rsidRDefault="00DE162D" w:rsidP="00802160">
            <w:pPr>
              <w:pStyle w:val="Tabletext"/>
            </w:pPr>
            <w:r>
              <w:t>86.8%</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Red Energy</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2 361</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410</w:t>
            </w:r>
          </w:p>
        </w:tc>
        <w:tc>
          <w:tcPr>
            <w:tcW w:w="992" w:type="dxa"/>
            <w:tcBorders>
              <w:top w:val="single" w:sz="4" w:space="0" w:color="auto"/>
              <w:bottom w:val="single" w:sz="4" w:space="0" w:color="auto"/>
            </w:tcBorders>
          </w:tcPr>
          <w:p w:rsidR="00DE162D" w:rsidRPr="00D226C7" w:rsidRDefault="00DE162D" w:rsidP="00802160">
            <w:pPr>
              <w:pStyle w:val="Tabletext"/>
            </w:pPr>
            <w:r>
              <w:t>162</w:t>
            </w:r>
          </w:p>
        </w:tc>
        <w:tc>
          <w:tcPr>
            <w:tcW w:w="1135" w:type="dxa"/>
            <w:tcBorders>
              <w:top w:val="single" w:sz="4" w:space="0" w:color="auto"/>
              <w:bottom w:val="single" w:sz="4" w:space="0" w:color="auto"/>
            </w:tcBorders>
          </w:tcPr>
          <w:p w:rsidR="00DE162D" w:rsidRPr="00D226C7" w:rsidRDefault="00DE162D" w:rsidP="00802160">
            <w:pPr>
              <w:pStyle w:val="Tabletext"/>
            </w:pPr>
            <w:r w:rsidRPr="00252AD3">
              <w:t>▼</w:t>
            </w:r>
            <w:r>
              <w:t>22</w:t>
            </w:r>
          </w:p>
        </w:tc>
        <w:tc>
          <w:tcPr>
            <w:tcW w:w="2551" w:type="dxa"/>
            <w:tcBorders>
              <w:top w:val="single" w:sz="4" w:space="0" w:color="auto"/>
              <w:bottom w:val="single" w:sz="4" w:space="0" w:color="auto"/>
            </w:tcBorders>
          </w:tcPr>
          <w:p w:rsidR="00DE162D" w:rsidRPr="00D226C7" w:rsidRDefault="00DE162D" w:rsidP="00802160">
            <w:pPr>
              <w:pStyle w:val="Tabletext"/>
            </w:pPr>
            <w:r>
              <w:t>6.9%</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 xml:space="preserve">Sanctuary Energy </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380</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345</w:t>
            </w:r>
          </w:p>
        </w:tc>
        <w:tc>
          <w:tcPr>
            <w:tcW w:w="992" w:type="dxa"/>
            <w:tcBorders>
              <w:top w:val="single" w:sz="4" w:space="0" w:color="auto"/>
              <w:bottom w:val="single" w:sz="4" w:space="0" w:color="auto"/>
            </w:tcBorders>
          </w:tcPr>
          <w:p w:rsidR="00DE162D" w:rsidRPr="00D226C7" w:rsidRDefault="00DE162D" w:rsidP="00802160">
            <w:pPr>
              <w:pStyle w:val="Tabletext"/>
            </w:pPr>
            <w:r>
              <w:t>262</w:t>
            </w:r>
          </w:p>
        </w:tc>
        <w:tc>
          <w:tcPr>
            <w:tcW w:w="1135" w:type="dxa"/>
            <w:tcBorders>
              <w:top w:val="single" w:sz="4" w:space="0" w:color="auto"/>
              <w:bottom w:val="single" w:sz="4" w:space="0" w:color="auto"/>
            </w:tcBorders>
          </w:tcPr>
          <w:p w:rsidR="00DE162D" w:rsidRPr="00D226C7" w:rsidRDefault="00DE162D" w:rsidP="00802160">
            <w:pPr>
              <w:pStyle w:val="Tabletext"/>
            </w:pPr>
            <w:r w:rsidRPr="00252AD3">
              <w:t>▲</w:t>
            </w:r>
            <w:r>
              <w:t>29</w:t>
            </w:r>
          </w:p>
        </w:tc>
        <w:tc>
          <w:tcPr>
            <w:tcW w:w="2551" w:type="dxa"/>
            <w:tcBorders>
              <w:top w:val="single" w:sz="4" w:space="0" w:color="auto"/>
              <w:bottom w:val="single" w:sz="4" w:space="0" w:color="auto"/>
            </w:tcBorders>
          </w:tcPr>
          <w:p w:rsidR="00DE162D" w:rsidRPr="00D226C7" w:rsidRDefault="00DE162D" w:rsidP="00802160">
            <w:pPr>
              <w:pStyle w:val="Tabletext"/>
            </w:pPr>
            <w:r>
              <w:t>68.9%</w:t>
            </w:r>
          </w:p>
        </w:tc>
      </w:tr>
      <w:tr w:rsidR="00DE162D" w:rsidRPr="00D42745" w:rsidTr="001C01EE">
        <w:trPr>
          <w:trHeight w:hRule="exact" w:val="312"/>
        </w:trPr>
        <w:tc>
          <w:tcPr>
            <w:tcW w:w="2235" w:type="dxa"/>
            <w:tcBorders>
              <w:top w:val="single" w:sz="4" w:space="0" w:color="auto"/>
              <w:bottom w:val="single" w:sz="4" w:space="0" w:color="auto"/>
            </w:tcBorders>
          </w:tcPr>
          <w:p w:rsidR="00DE162D" w:rsidRPr="00D226C7" w:rsidRDefault="00DE162D" w:rsidP="00802160">
            <w:pPr>
              <w:pStyle w:val="Tabletext"/>
            </w:pPr>
            <w:r w:rsidRPr="00D226C7">
              <w:t>Simply Energy</w:t>
            </w:r>
          </w:p>
        </w:tc>
        <w:tc>
          <w:tcPr>
            <w:tcW w:w="1134" w:type="dxa"/>
            <w:tcBorders>
              <w:top w:val="single" w:sz="4" w:space="0" w:color="auto"/>
              <w:bottom w:val="single" w:sz="4" w:space="0" w:color="auto"/>
            </w:tcBorders>
          </w:tcPr>
          <w:p w:rsidR="00DE162D" w:rsidRPr="00D42745" w:rsidRDefault="00DE162D" w:rsidP="00802160">
            <w:pPr>
              <w:pStyle w:val="Tabletext"/>
            </w:pPr>
            <w:r w:rsidRPr="00D42745">
              <w:t>1 332</w:t>
            </w:r>
          </w:p>
        </w:tc>
        <w:tc>
          <w:tcPr>
            <w:tcW w:w="1275" w:type="dxa"/>
            <w:tcBorders>
              <w:top w:val="single" w:sz="4" w:space="0" w:color="auto"/>
              <w:bottom w:val="single" w:sz="4" w:space="0" w:color="auto"/>
            </w:tcBorders>
          </w:tcPr>
          <w:p w:rsidR="00DE162D" w:rsidRPr="00D42745" w:rsidRDefault="00DE162D" w:rsidP="00802160">
            <w:pPr>
              <w:pStyle w:val="Tabletext"/>
            </w:pPr>
            <w:r w:rsidRPr="00252AD3">
              <w:t>▲</w:t>
            </w:r>
            <w:r>
              <w:t>615</w:t>
            </w:r>
          </w:p>
        </w:tc>
        <w:tc>
          <w:tcPr>
            <w:tcW w:w="992" w:type="dxa"/>
            <w:tcBorders>
              <w:top w:val="single" w:sz="4" w:space="0" w:color="auto"/>
              <w:bottom w:val="single" w:sz="4" w:space="0" w:color="auto"/>
            </w:tcBorders>
          </w:tcPr>
          <w:p w:rsidR="00DE162D" w:rsidRPr="00D226C7" w:rsidRDefault="00DE162D" w:rsidP="00802160">
            <w:pPr>
              <w:pStyle w:val="Tabletext"/>
            </w:pPr>
            <w:r>
              <w:t>368</w:t>
            </w:r>
          </w:p>
        </w:tc>
        <w:tc>
          <w:tcPr>
            <w:tcW w:w="1135" w:type="dxa"/>
            <w:tcBorders>
              <w:top w:val="single" w:sz="4" w:space="0" w:color="auto"/>
              <w:bottom w:val="single" w:sz="4" w:space="0" w:color="auto"/>
            </w:tcBorders>
          </w:tcPr>
          <w:p w:rsidR="00DE162D" w:rsidRPr="00D226C7" w:rsidRDefault="00DE162D" w:rsidP="00802160">
            <w:pPr>
              <w:pStyle w:val="Tabletext"/>
            </w:pPr>
            <w:r w:rsidRPr="00252AD3">
              <w:t>▲</w:t>
            </w:r>
            <w:r>
              <w:t>142</w:t>
            </w:r>
          </w:p>
        </w:tc>
        <w:tc>
          <w:tcPr>
            <w:tcW w:w="2551" w:type="dxa"/>
            <w:tcBorders>
              <w:top w:val="single" w:sz="4" w:space="0" w:color="auto"/>
              <w:bottom w:val="single" w:sz="4" w:space="0" w:color="auto"/>
            </w:tcBorders>
          </w:tcPr>
          <w:p w:rsidR="00DE162D" w:rsidRPr="00D226C7" w:rsidRDefault="00DE162D" w:rsidP="00802160">
            <w:pPr>
              <w:pStyle w:val="Tabletext"/>
            </w:pPr>
            <w:r>
              <w:t>27.6%</w:t>
            </w:r>
          </w:p>
        </w:tc>
      </w:tr>
      <w:tr w:rsidR="00DE162D" w:rsidRPr="00D42745" w:rsidTr="001C01EE">
        <w:trPr>
          <w:trHeight w:hRule="exact" w:val="312"/>
        </w:trPr>
        <w:tc>
          <w:tcPr>
            <w:tcW w:w="2235" w:type="dxa"/>
            <w:tcBorders>
              <w:top w:val="single" w:sz="4" w:space="0" w:color="auto"/>
              <w:bottom w:val="single" w:sz="4" w:space="0" w:color="auto"/>
            </w:tcBorders>
            <w:shd w:val="clear" w:color="auto" w:fill="F2F2F2" w:themeFill="background1" w:themeFillShade="F2"/>
          </w:tcPr>
          <w:p w:rsidR="00DE162D" w:rsidRPr="006D4C8B" w:rsidRDefault="00DE162D" w:rsidP="00802160">
            <w:pPr>
              <w:pStyle w:val="Tabletext"/>
              <w:rPr>
                <w:rStyle w:val="Strong"/>
              </w:rPr>
            </w:pPr>
            <w:r w:rsidRPr="006D4C8B">
              <w:rPr>
                <w:rStyle w:val="Strong"/>
              </w:rPr>
              <w:t>TOTAL NSW</w:t>
            </w:r>
          </w:p>
        </w:tc>
        <w:tc>
          <w:tcPr>
            <w:tcW w:w="1134" w:type="dxa"/>
            <w:tcBorders>
              <w:top w:val="single" w:sz="4" w:space="0" w:color="auto"/>
              <w:bottom w:val="single" w:sz="4" w:space="0" w:color="auto"/>
            </w:tcBorders>
            <w:shd w:val="clear" w:color="auto" w:fill="F2F2F2" w:themeFill="background1" w:themeFillShade="F2"/>
          </w:tcPr>
          <w:p w:rsidR="00DE162D" w:rsidRPr="006D4C8B" w:rsidRDefault="00DE162D" w:rsidP="00802160">
            <w:pPr>
              <w:pStyle w:val="Tabletext"/>
              <w:rPr>
                <w:rStyle w:val="Strong"/>
              </w:rPr>
            </w:pPr>
            <w:r w:rsidRPr="006D4C8B">
              <w:rPr>
                <w:rStyle w:val="Strong"/>
              </w:rPr>
              <w:t>357 623</w:t>
            </w:r>
          </w:p>
        </w:tc>
        <w:tc>
          <w:tcPr>
            <w:tcW w:w="1275" w:type="dxa"/>
            <w:tcBorders>
              <w:top w:val="single" w:sz="4" w:space="0" w:color="auto"/>
              <w:bottom w:val="single" w:sz="4" w:space="0" w:color="auto"/>
            </w:tcBorders>
            <w:shd w:val="clear" w:color="auto" w:fill="F2F2F2" w:themeFill="background1" w:themeFillShade="F2"/>
          </w:tcPr>
          <w:p w:rsidR="00DE162D" w:rsidRPr="006D4C8B" w:rsidRDefault="00DE162D" w:rsidP="00802160">
            <w:pPr>
              <w:pStyle w:val="Tabletext"/>
              <w:rPr>
                <w:rStyle w:val="Strong"/>
              </w:rPr>
            </w:pPr>
            <w:r w:rsidRPr="00252AD3">
              <w:t>▲</w:t>
            </w:r>
            <w:r>
              <w:rPr>
                <w:rStyle w:val="Strong"/>
              </w:rPr>
              <w:t>120 015</w:t>
            </w:r>
          </w:p>
        </w:tc>
        <w:tc>
          <w:tcPr>
            <w:tcW w:w="992" w:type="dxa"/>
            <w:tcBorders>
              <w:top w:val="single" w:sz="4" w:space="0" w:color="auto"/>
              <w:bottom w:val="single" w:sz="4" w:space="0" w:color="auto"/>
            </w:tcBorders>
            <w:shd w:val="clear" w:color="auto" w:fill="F2F2F2" w:themeFill="background1" w:themeFillShade="F2"/>
          </w:tcPr>
          <w:p w:rsidR="00DE162D" w:rsidRPr="006D4C8B" w:rsidRDefault="00DE162D" w:rsidP="00802160">
            <w:pPr>
              <w:pStyle w:val="Tabletext"/>
              <w:rPr>
                <w:rStyle w:val="Strong"/>
              </w:rPr>
            </w:pPr>
            <w:r>
              <w:rPr>
                <w:rStyle w:val="Strong"/>
              </w:rPr>
              <w:t>20 852</w:t>
            </w:r>
          </w:p>
        </w:tc>
        <w:tc>
          <w:tcPr>
            <w:tcW w:w="1135" w:type="dxa"/>
            <w:tcBorders>
              <w:top w:val="single" w:sz="4" w:space="0" w:color="auto"/>
              <w:bottom w:val="single" w:sz="4" w:space="0" w:color="auto"/>
            </w:tcBorders>
            <w:shd w:val="clear" w:color="auto" w:fill="F2F2F2" w:themeFill="background1" w:themeFillShade="F2"/>
          </w:tcPr>
          <w:p w:rsidR="00DE162D" w:rsidRPr="006D4C8B" w:rsidRDefault="00DE162D" w:rsidP="00802160">
            <w:pPr>
              <w:pStyle w:val="Tabletext"/>
              <w:rPr>
                <w:rStyle w:val="Strong"/>
              </w:rPr>
            </w:pPr>
            <w:r w:rsidRPr="00252AD3">
              <w:t>▼</w:t>
            </w:r>
            <w:r>
              <w:rPr>
                <w:rStyle w:val="Strong"/>
              </w:rPr>
              <w:t>3 027</w:t>
            </w:r>
          </w:p>
        </w:tc>
        <w:tc>
          <w:tcPr>
            <w:tcW w:w="2551" w:type="dxa"/>
            <w:tcBorders>
              <w:top w:val="single" w:sz="4" w:space="0" w:color="auto"/>
              <w:bottom w:val="single" w:sz="4" w:space="0" w:color="auto"/>
            </w:tcBorders>
            <w:shd w:val="clear" w:color="auto" w:fill="F2F2F2" w:themeFill="background1" w:themeFillShade="F2"/>
          </w:tcPr>
          <w:p w:rsidR="00DE162D" w:rsidRPr="006D4C8B" w:rsidRDefault="00DE162D" w:rsidP="00802160">
            <w:pPr>
              <w:pStyle w:val="Tabletext"/>
              <w:rPr>
                <w:rStyle w:val="Strong"/>
              </w:rPr>
            </w:pPr>
            <w:r>
              <w:rPr>
                <w:rStyle w:val="Strong"/>
              </w:rPr>
              <w:t>5.8%</w:t>
            </w:r>
          </w:p>
        </w:tc>
      </w:tr>
    </w:tbl>
    <w:p w:rsidR="00D226C7" w:rsidRPr="00D226C7" w:rsidRDefault="00D226C7" w:rsidP="00802160">
      <w:pPr>
        <w:pStyle w:val="Note"/>
      </w:pPr>
      <w:r w:rsidRPr="00D226C7">
        <w:t>* Excludes matters closed as general enquiries or not escalated/investigated.</w:t>
      </w:r>
    </w:p>
    <w:p w:rsidR="00D226C7" w:rsidRPr="00D226C7" w:rsidRDefault="00D226C7" w:rsidP="00802160">
      <w:pPr>
        <w:pStyle w:val="Note"/>
      </w:pPr>
      <w:r w:rsidRPr="00D226C7">
        <w:t>** Includes complaints for customers of Dodo Power &amp; Gas and Commander Power &amp; Gas.</w:t>
      </w:r>
      <w:r w:rsidRPr="00D226C7">
        <w:tab/>
      </w:r>
    </w:p>
    <w:p w:rsidR="00D226C7" w:rsidRPr="008B1713" w:rsidRDefault="00D226C7" w:rsidP="00D226C7"/>
    <w:p w:rsidR="00802160" w:rsidRPr="00975582" w:rsidRDefault="00802160" w:rsidP="00975582">
      <w:pPr>
        <w:spacing w:line="240" w:lineRule="auto"/>
        <w:rPr>
          <w:rFonts w:eastAsiaTheme="majorEastAsia" w:cstheme="majorBidi"/>
          <w:b/>
          <w:bCs/>
          <w:color w:val="70635A" w:themeColor="text2"/>
          <w:sz w:val="32"/>
          <w:szCs w:val="26"/>
        </w:rPr>
      </w:pPr>
      <w:r>
        <w:br w:type="page"/>
      </w:r>
      <w:r w:rsidR="00D226C7" w:rsidRPr="00D226C7">
        <w:lastRenderedPageBreak/>
        <w:t xml:space="preserve"> </w:t>
      </w:r>
    </w:p>
    <w:p w:rsidR="00802160" w:rsidRDefault="00211332" w:rsidP="00802160">
      <w:pPr>
        <w:pStyle w:val="Bulletpoint"/>
        <w:numPr>
          <w:ilvl w:val="0"/>
          <w:numId w:val="0"/>
        </w:numPr>
        <w:ind w:left="357"/>
      </w:pPr>
      <w:r w:rsidRPr="00802160">
        <w:rPr>
          <w:noProof/>
          <w:lang w:eastAsia="en-AU"/>
        </w:rPr>
        <mc:AlternateContent>
          <mc:Choice Requires="wps">
            <w:drawing>
              <wp:anchor distT="0" distB="0" distL="114300" distR="114300" simplePos="0" relativeHeight="251665408" behindDoc="0" locked="0" layoutInCell="1" allowOverlap="1" wp14:anchorId="559BB5FE" wp14:editId="51A1B214">
                <wp:simplePos x="0" y="0"/>
                <wp:positionH relativeFrom="column">
                  <wp:posOffset>-57150</wp:posOffset>
                </wp:positionH>
                <wp:positionV relativeFrom="paragraph">
                  <wp:posOffset>-408940</wp:posOffset>
                </wp:positionV>
                <wp:extent cx="5734685" cy="7343775"/>
                <wp:effectExtent l="0" t="0" r="18415" b="28575"/>
                <wp:wrapTopAndBottom/>
                <wp:docPr id="1" name="Text Box 1"/>
                <wp:cNvGraphicFramePr/>
                <a:graphic xmlns:a="http://schemas.openxmlformats.org/drawingml/2006/main">
                  <a:graphicData uri="http://schemas.microsoft.com/office/word/2010/wordprocessingShape">
                    <wps:wsp>
                      <wps:cNvSpPr txBox="1"/>
                      <wps:spPr>
                        <a:xfrm>
                          <a:off x="0" y="0"/>
                          <a:ext cx="5734685" cy="7343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71FC" w:rsidRDefault="000B71FC" w:rsidP="00975582">
                            <w:pPr>
                              <w:pStyle w:val="Tabletitle"/>
                            </w:pPr>
                            <w:r w:rsidRPr="00D226C7">
                              <w:t>Managing customers with payment difficulties: The AER’s hardship review</w:t>
                            </w:r>
                          </w:p>
                          <w:p w:rsidR="000B71FC" w:rsidRDefault="000B71FC" w:rsidP="00802160">
                            <w:r w:rsidRPr="008B1713">
                              <w:t>In January 2015, we released a report on our targeted review</w:t>
                            </w:r>
                            <w:r w:rsidRPr="00D226C7">
                              <w:t xml:space="preserve"> of retailers’ hardship policies and practices. The purpose of the review was to help us better understand how retailers identify and assist customers experiencing difficulties paying their energy bills due to financial hardship, and to share examples of good practice across industry.</w:t>
                            </w:r>
                          </w:p>
                          <w:p w:rsidR="000B71FC" w:rsidRPr="00802160" w:rsidRDefault="000B71FC" w:rsidP="00802160">
                            <w:pPr>
                              <w:rPr>
                                <w:rStyle w:val="Strong"/>
                              </w:rPr>
                            </w:pPr>
                            <w:r w:rsidRPr="00802160">
                              <w:rPr>
                                <w:rStyle w:val="Strong"/>
                              </w:rPr>
                              <w:t>Review findings and observations</w:t>
                            </w:r>
                          </w:p>
                          <w:p w:rsidR="000B71FC" w:rsidRPr="00D226C7" w:rsidRDefault="000B71FC" w:rsidP="00802160">
                            <w:r w:rsidRPr="00D226C7">
                              <w:t xml:space="preserve">The review suggested that concerns about the availability of hardship assistance and payment plan affordability are not symptomatic of widespread non-compliance with the Retail Law and Retail Rules. Rather, they reflect broader issues of energy affordability and energy literacy — that is, consumers’ ability to make informed decisions around selecting an energy offer and understanding their options and rights if they have difficulties paying their bills on time. </w:t>
                            </w:r>
                          </w:p>
                          <w:p w:rsidR="000B71FC" w:rsidRPr="00D226C7" w:rsidRDefault="000B71FC" w:rsidP="00802160">
                            <w:r w:rsidRPr="00D226C7">
                              <w:t xml:space="preserve">While we observed that retailers employ a range of approaches to meeting their obligations to hardship customers, some retailers seem more committed to assisting hardship customers than others (for example better promoting the availability of assistance, staff training to promote more effective engagement with customers, or innovative assistance offerings). </w:t>
                            </w:r>
                          </w:p>
                          <w:p w:rsidR="000B71FC" w:rsidRDefault="000B71FC" w:rsidP="00802160">
                            <w:r w:rsidRPr="00D226C7">
                              <w:t xml:space="preserve">Further, the strong theme highlighted by consumer stakeholders was the importance of respectful practice — how a retailer engages with the customer to listen and validate their experience of financial vulnerability is most important in developing trust and maintaining engagement. </w:t>
                            </w:r>
                          </w:p>
                          <w:p w:rsidR="000B71FC" w:rsidRPr="00802160" w:rsidRDefault="000B71FC" w:rsidP="00802160">
                            <w:pPr>
                              <w:rPr>
                                <w:rStyle w:val="Strong"/>
                              </w:rPr>
                            </w:pPr>
                            <w:r w:rsidRPr="00802160">
                              <w:rPr>
                                <w:rStyle w:val="Strong"/>
                              </w:rPr>
                              <w:t>Early positive outcomes</w:t>
                            </w:r>
                          </w:p>
                          <w:p w:rsidR="000B71FC" w:rsidRPr="00D226C7" w:rsidRDefault="000B71FC" w:rsidP="00802160">
                            <w:r w:rsidRPr="00D226C7">
                              <w:t>We have already seen encouraging progress in response to the review, with many retailers acknowledging the review had prompted them to consider their practices and what they could do better or differently. For example, reviewing and updating their hardship policies and process documentation, identifying and correcting errors in their reporting of hardship performance data, and considering improvements to the quality of information on their websites for consumers experiencing payment difficulties.</w:t>
                            </w:r>
                          </w:p>
                          <w:p w:rsidR="000B71FC" w:rsidRDefault="000B71FC" w:rsidP="00802160">
                            <w:r w:rsidRPr="00D226C7">
                              <w:t xml:space="preserve">We have also developed important insights into how individual retailers approach hardship within their business and how this is evolving across industry. We are in a stronger position to interpret, and where appropriate probe, the picture presented by retailer hardship performance data, which will enable us to respond more swiftly to potential concerns in future. </w:t>
                            </w:r>
                          </w:p>
                          <w:p w:rsidR="000B71FC" w:rsidRDefault="000B71FC" w:rsidP="008021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4.5pt;margin-top:-32.2pt;width:451.55pt;height:57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" fillcolor="white [3201]" strokeweight=".5pt">
                <v:textbox>
                  <w:txbxContent>
                    <w:p w:rsidR="000B71FC" w:rsidRDefault="000B71FC" w:rsidP="00975582">
                      <w:pPr>
                        <w:pStyle w:val="Tabletitle"/>
                      </w:pPr>
                      <w:r w:rsidRPr="00D226C7">
                        <w:t>Managing customers with payment difficulties: The AER’s hardship review</w:t>
                      </w:r>
                    </w:p>
                    <w:p w:rsidR="000B71FC" w:rsidRDefault="000B71FC" w:rsidP="00802160">
                      <w:r w:rsidRPr="008B1713">
                        <w:t>In January 2015, we released a report on our targeted review</w:t>
                      </w:r>
                      <w:r w:rsidRPr="00D226C7">
                        <w:t xml:space="preserve"> of retailers’ hardship policies and practices. The purpose of the review was to help us better understand how retailers identify and assist customers experiencing difficulties paying their energy bills due to financial hardship, and to share examples of good practice across industry.</w:t>
                      </w:r>
                    </w:p>
                    <w:p w:rsidR="000B71FC" w:rsidRPr="00802160" w:rsidRDefault="000B71FC" w:rsidP="00802160">
                      <w:pPr>
                        <w:rPr>
                          <w:rStyle w:val="Strong"/>
                        </w:rPr>
                      </w:pPr>
                      <w:r w:rsidRPr="00802160">
                        <w:rPr>
                          <w:rStyle w:val="Strong"/>
                        </w:rPr>
                        <w:t>Review findings and observations</w:t>
                      </w:r>
                    </w:p>
                    <w:p w:rsidR="000B71FC" w:rsidRPr="00D226C7" w:rsidRDefault="000B71FC" w:rsidP="00802160">
                      <w:r w:rsidRPr="00D226C7">
                        <w:t xml:space="preserve">The review suggested that concerns about the availability of hardship assistance and payment plan affordability are not symptomatic of widespread non-compliance with the Retail Law and Retail Rules. Rather, they reflect broader issues of energy affordability and energy literacy — that is, consumers’ ability to make informed decisions around selecting an energy offer and understanding their options and rights if they have difficulties paying their bills on time. </w:t>
                      </w:r>
                    </w:p>
                    <w:p w:rsidR="000B71FC" w:rsidRPr="00D226C7" w:rsidRDefault="000B71FC" w:rsidP="00802160">
                      <w:r w:rsidRPr="00D226C7">
                        <w:t xml:space="preserve">While we observed that retailers employ a range of approaches to meeting their obligations to hardship customers, some retailers seem more committed to assisting hardship customers than others (for example better promoting the availability of assistance, staff training to promote more effective engagement with customers, or innovative assistance offerings). </w:t>
                      </w:r>
                    </w:p>
                    <w:p w:rsidR="000B71FC" w:rsidRDefault="000B71FC" w:rsidP="00802160">
                      <w:r w:rsidRPr="00D226C7">
                        <w:t xml:space="preserve">Further, the strong theme highlighted by consumer stakeholders was the importance of respectful practice — how a retailer engages with the customer to listen and validate their experience of financial vulnerability is most important in developing trust and maintaining engagement. </w:t>
                      </w:r>
                    </w:p>
                    <w:p w:rsidR="000B71FC" w:rsidRPr="00802160" w:rsidRDefault="000B71FC" w:rsidP="00802160">
                      <w:pPr>
                        <w:rPr>
                          <w:rStyle w:val="Strong"/>
                        </w:rPr>
                      </w:pPr>
                      <w:r w:rsidRPr="00802160">
                        <w:rPr>
                          <w:rStyle w:val="Strong"/>
                        </w:rPr>
                        <w:t>Early positive outcomes</w:t>
                      </w:r>
                    </w:p>
                    <w:p w:rsidR="000B71FC" w:rsidRPr="00D226C7" w:rsidRDefault="000B71FC" w:rsidP="00802160">
                      <w:r w:rsidRPr="00D226C7">
                        <w:t>We have already seen encouraging progress in response to the review, with many retailers acknowledging the review had prompted them to consider their practices and what they could do better or differently. For example, reviewing and updating their hardship policies and process documentation, identifying and correcting errors in their reporting of hardship performance data, and considering improvements to the quality of information on their websites for consumers experiencing payment difficulties.</w:t>
                      </w:r>
                    </w:p>
                    <w:p w:rsidR="000B71FC" w:rsidRDefault="000B71FC" w:rsidP="00802160">
                      <w:r w:rsidRPr="00D226C7">
                        <w:t xml:space="preserve">We have also developed important insights into how individual retailers approach hardship within their business and how this is evolving across industry. We are in a stronger position to interpret, and where appropriate probe, the picture presented by retailer hardship performance data, which will enable us to respond more swiftly to potential concerns in future. </w:t>
                      </w:r>
                    </w:p>
                    <w:p w:rsidR="000B71FC" w:rsidRDefault="000B71FC" w:rsidP="00802160"/>
                  </w:txbxContent>
                </v:textbox>
                <w10:wrap type="topAndBottom"/>
              </v:shape>
            </w:pict>
          </mc:Fallback>
        </mc:AlternateContent>
      </w:r>
    </w:p>
    <w:p w:rsidR="00975582" w:rsidRDefault="00975582" w:rsidP="00802160">
      <w:pPr>
        <w:pStyle w:val="Bulletpoint"/>
        <w:numPr>
          <w:ilvl w:val="0"/>
          <w:numId w:val="0"/>
        </w:numPr>
        <w:ind w:left="357"/>
      </w:pPr>
    </w:p>
    <w:p w:rsidR="00975582" w:rsidRDefault="00975582" w:rsidP="00802160">
      <w:pPr>
        <w:pStyle w:val="Bulletpoint"/>
        <w:numPr>
          <w:ilvl w:val="0"/>
          <w:numId w:val="0"/>
        </w:numPr>
        <w:ind w:left="357"/>
      </w:pPr>
    </w:p>
    <w:p w:rsidR="00975582" w:rsidRDefault="00975582" w:rsidP="00802160">
      <w:pPr>
        <w:pStyle w:val="Bulletpoint"/>
        <w:numPr>
          <w:ilvl w:val="0"/>
          <w:numId w:val="0"/>
        </w:numPr>
        <w:ind w:left="357"/>
      </w:pPr>
    </w:p>
    <w:p w:rsidR="00802160" w:rsidRDefault="000270CF" w:rsidP="00802160">
      <w:pPr>
        <w:pStyle w:val="Bulletpoint"/>
        <w:numPr>
          <w:ilvl w:val="0"/>
          <w:numId w:val="0"/>
        </w:numPr>
        <w:ind w:left="357"/>
      </w:pPr>
      <w:r w:rsidRPr="00802160">
        <w:rPr>
          <w:noProof/>
          <w:lang w:eastAsia="en-AU"/>
        </w:rPr>
        <mc:AlternateContent>
          <mc:Choice Requires="wps">
            <w:drawing>
              <wp:anchor distT="0" distB="0" distL="114300" distR="114300" simplePos="0" relativeHeight="251667456" behindDoc="0" locked="0" layoutInCell="1" allowOverlap="1" wp14:anchorId="27C9218C" wp14:editId="6A18C363">
                <wp:simplePos x="0" y="0"/>
                <wp:positionH relativeFrom="column">
                  <wp:posOffset>97790</wp:posOffset>
                </wp:positionH>
                <wp:positionV relativeFrom="paragraph">
                  <wp:posOffset>-33020</wp:posOffset>
                </wp:positionV>
                <wp:extent cx="5734685" cy="5235575"/>
                <wp:effectExtent l="0" t="0" r="18415" b="22225"/>
                <wp:wrapTopAndBottom/>
                <wp:docPr id="4" name="Text Box 4"/>
                <wp:cNvGraphicFramePr/>
                <a:graphic xmlns:a="http://schemas.openxmlformats.org/drawingml/2006/main">
                  <a:graphicData uri="http://schemas.microsoft.com/office/word/2010/wordprocessingShape">
                    <wps:wsp>
                      <wps:cNvSpPr txBox="1"/>
                      <wps:spPr>
                        <a:xfrm>
                          <a:off x="0" y="0"/>
                          <a:ext cx="5734685" cy="5235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71FC" w:rsidRPr="00802160" w:rsidRDefault="000B71FC" w:rsidP="00802160">
                            <w:pPr>
                              <w:rPr>
                                <w:rStyle w:val="Strong"/>
                              </w:rPr>
                            </w:pPr>
                            <w:r w:rsidRPr="00802160">
                              <w:rPr>
                                <w:rStyle w:val="Strong"/>
                              </w:rPr>
                              <w:t>Concerns</w:t>
                            </w:r>
                          </w:p>
                          <w:p w:rsidR="000B71FC" w:rsidRPr="00D226C7" w:rsidRDefault="000B71FC" w:rsidP="00802160">
                            <w:r w:rsidRPr="00D226C7">
                              <w:t>Despite the review not revealing widespread non-compliance, our review has given us a point of reference from which to monitor improvements or to act on any systemic issues that become apparent.</w:t>
                            </w:r>
                          </w:p>
                          <w:p w:rsidR="000B71FC" w:rsidRPr="00D226C7" w:rsidRDefault="000B71FC" w:rsidP="00802160">
                            <w:r w:rsidRPr="00D226C7">
                              <w:t>Issues of concern generally related to:</w:t>
                            </w:r>
                          </w:p>
                          <w:p w:rsidR="000B71FC" w:rsidRPr="00D226C7" w:rsidRDefault="000B71FC" w:rsidP="00802160">
                            <w:pPr>
                              <w:pStyle w:val="Bulletpoint"/>
                            </w:pPr>
                            <w:r w:rsidRPr="00D226C7">
                              <w:t>Problems with identifying and assisting customers - for example we observed some retailers reported relatively high levels of customer debt, in conjunction with comparatively low numbers of customers on a payment plan or hardship program; and some retailers reported relatively high levels of debt on entry to a hardship program.</w:t>
                            </w:r>
                          </w:p>
                          <w:p w:rsidR="000B71FC" w:rsidRPr="00D226C7" w:rsidRDefault="000B71FC" w:rsidP="00802160">
                            <w:pPr>
                              <w:pStyle w:val="Bulletpoint"/>
                            </w:pPr>
                            <w:r w:rsidRPr="00D226C7">
                              <w:t xml:space="preserve">Disconnection of hardship customers, specifically where the retailer seems unable or slow to stop, a disconnection service order issued against a customer who is being processed for entry onto the hardship program. </w:t>
                            </w:r>
                          </w:p>
                          <w:p w:rsidR="000B71FC" w:rsidRPr="00D226C7" w:rsidRDefault="000B71FC" w:rsidP="00802160">
                            <w:pPr>
                              <w:pStyle w:val="Bulletpoint"/>
                            </w:pPr>
                            <w:r w:rsidRPr="00D226C7">
                              <w:t>Relatively low numbers of hardship customers using Centrepay, suggesting it is not being well-promoted, or offered to eligible customers.</w:t>
                            </w:r>
                          </w:p>
                          <w:p w:rsidR="000B71FC" w:rsidRPr="00D226C7" w:rsidRDefault="000B71FC" w:rsidP="00802160">
                            <w:pPr>
                              <w:pStyle w:val="Bulletpoint"/>
                            </w:pPr>
                            <w:r w:rsidRPr="00D226C7">
                              <w:t>Lack of easy to find and easy to read information on a retailer’s website about the availability of assistance</w:t>
                            </w:r>
                          </w:p>
                          <w:p w:rsidR="000B71FC" w:rsidRPr="00D226C7" w:rsidRDefault="000B71FC" w:rsidP="00802160">
                            <w:pPr>
                              <w:pStyle w:val="Bulletpoint"/>
                            </w:pPr>
                            <w:r w:rsidRPr="00D226C7">
                              <w:t>Lack of additional measures to support a hardship customer, such as helpful advice about energy efficiency</w:t>
                            </w:r>
                          </w:p>
                          <w:p w:rsidR="000B71FC" w:rsidRDefault="000B71FC" w:rsidP="00802160">
                            <w:pPr>
                              <w:pStyle w:val="Bulletpoint"/>
                            </w:pPr>
                            <w:r w:rsidRPr="00D226C7">
                              <w:t xml:space="preserve">Incorrect reporting of performance data resulting in a number of performance reports being re-submitted. </w:t>
                            </w:r>
                          </w:p>
                          <w:p w:rsidR="000B71FC" w:rsidRDefault="000B71FC" w:rsidP="00324D28">
                            <w:r>
                              <w:t>The report is available on the AER website (</w:t>
                            </w:r>
                            <w:hyperlink r:id="rId21" w:history="1">
                              <w:r w:rsidRPr="00352D6F">
                                <w:rPr>
                                  <w:rStyle w:val="Hyperlink"/>
                                </w:rPr>
                                <w:t>www.aer.gov.au</w:t>
                              </w:r>
                            </w:hyperlink>
                            <w:r>
                              <w:t xml:space="preserve">). </w:t>
                            </w:r>
                          </w:p>
                          <w:p w:rsidR="000B71FC" w:rsidRDefault="000B71FC" w:rsidP="008021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7.7pt;margin-top:-2.6pt;width:451.55pt;height:41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" fillcolor="white [3201]" strokeweight=".5pt">
                <v:textbox>
                  <w:txbxContent>
                    <w:p w:rsidR="000B71FC" w:rsidRPr="00802160" w:rsidRDefault="000B71FC" w:rsidP="00802160">
                      <w:pPr>
                        <w:rPr>
                          <w:rStyle w:val="Strong"/>
                        </w:rPr>
                      </w:pPr>
                      <w:r w:rsidRPr="00802160">
                        <w:rPr>
                          <w:rStyle w:val="Strong"/>
                        </w:rPr>
                        <w:t>Concerns</w:t>
                      </w:r>
                    </w:p>
                    <w:p w:rsidR="000B71FC" w:rsidRPr="00D226C7" w:rsidRDefault="000B71FC" w:rsidP="00802160">
                      <w:r w:rsidRPr="00D226C7">
                        <w:t>Despite the review not revealing widespread non-compliance, our review has given us a point of reference from which to monitor improvements or to act on any systemic issues that become apparent.</w:t>
                      </w:r>
                    </w:p>
                    <w:p w:rsidR="000B71FC" w:rsidRPr="00D226C7" w:rsidRDefault="000B71FC" w:rsidP="00802160">
                      <w:r w:rsidRPr="00D226C7">
                        <w:t>Issues of concern generally related to:</w:t>
                      </w:r>
                    </w:p>
                    <w:p w:rsidR="000B71FC" w:rsidRPr="00D226C7" w:rsidRDefault="000B71FC" w:rsidP="00802160">
                      <w:pPr>
                        <w:pStyle w:val="Bulletpoint"/>
                      </w:pPr>
                      <w:r w:rsidRPr="00D226C7">
                        <w:t>Problems with identifying and assisting customers - for example we observed some retailers reported relatively high levels of customer debt, in conjunction with comparatively low numbers of customers on a payment plan or hardship program; and some retailers reported relatively high levels of debt on entry to a hardship program.</w:t>
                      </w:r>
                    </w:p>
                    <w:p w:rsidR="000B71FC" w:rsidRPr="00D226C7" w:rsidRDefault="000B71FC" w:rsidP="00802160">
                      <w:pPr>
                        <w:pStyle w:val="Bulletpoint"/>
                      </w:pPr>
                      <w:r w:rsidRPr="00D226C7">
                        <w:t xml:space="preserve">Disconnection of hardship customers, specifically where the retailer seems unable or slow to stop, a disconnection service order issued against a customer who is being processed for entry onto the hardship program. </w:t>
                      </w:r>
                    </w:p>
                    <w:p w:rsidR="000B71FC" w:rsidRPr="00D226C7" w:rsidRDefault="000B71FC" w:rsidP="00802160">
                      <w:pPr>
                        <w:pStyle w:val="Bulletpoint"/>
                      </w:pPr>
                      <w:r w:rsidRPr="00D226C7">
                        <w:t>Relatively low numbers of hardship customers using Centrepay, suggesting it is not being well-promoted, or offered to eligible customers.</w:t>
                      </w:r>
                    </w:p>
                    <w:p w:rsidR="000B71FC" w:rsidRPr="00D226C7" w:rsidRDefault="000B71FC" w:rsidP="00802160">
                      <w:pPr>
                        <w:pStyle w:val="Bulletpoint"/>
                      </w:pPr>
                      <w:r w:rsidRPr="00D226C7">
                        <w:t>Lack of easy to find and easy to read information on a retailer’s website about the availability of assistance</w:t>
                      </w:r>
                    </w:p>
                    <w:p w:rsidR="000B71FC" w:rsidRPr="00D226C7" w:rsidRDefault="000B71FC" w:rsidP="00802160">
                      <w:pPr>
                        <w:pStyle w:val="Bulletpoint"/>
                      </w:pPr>
                      <w:r w:rsidRPr="00D226C7">
                        <w:t>Lack of additional measures to support a hardship customer, such as helpful advice about energy efficiency</w:t>
                      </w:r>
                    </w:p>
                    <w:p w:rsidR="000B71FC" w:rsidRDefault="000B71FC" w:rsidP="00802160">
                      <w:pPr>
                        <w:pStyle w:val="Bulletpoint"/>
                      </w:pPr>
                      <w:r w:rsidRPr="00D226C7">
                        <w:t xml:space="preserve">Incorrect reporting of performance data resulting in a number of performance reports being re-submitted. </w:t>
                      </w:r>
                    </w:p>
                    <w:p w:rsidR="000B71FC" w:rsidRDefault="000B71FC" w:rsidP="00324D28">
                      <w:r>
                        <w:t>The report is available on the AER website (</w:t>
                      </w:r>
                      <w:hyperlink r:id="rId22" w:history="1">
                        <w:r w:rsidRPr="00352D6F">
                          <w:rPr>
                            <w:rStyle w:val="Hyperlink"/>
                          </w:rPr>
                          <w:t>www.aer.gov.au</w:t>
                        </w:r>
                      </w:hyperlink>
                      <w:r>
                        <w:t xml:space="preserve">). </w:t>
                      </w:r>
                    </w:p>
                    <w:p w:rsidR="000B71FC" w:rsidRDefault="000B71FC" w:rsidP="00802160"/>
                  </w:txbxContent>
                </v:textbox>
                <w10:wrap type="topAndBottom"/>
              </v:shape>
            </w:pict>
          </mc:Fallback>
        </mc:AlternateContent>
      </w:r>
    </w:p>
    <w:p w:rsidR="00802160" w:rsidRDefault="00802160" w:rsidP="00802160">
      <w:pPr>
        <w:pStyle w:val="Bulletpoint"/>
        <w:numPr>
          <w:ilvl w:val="0"/>
          <w:numId w:val="0"/>
        </w:numPr>
        <w:ind w:left="357"/>
      </w:pPr>
    </w:p>
    <w:p w:rsidR="00802160" w:rsidRDefault="00802160" w:rsidP="00802160">
      <w:pPr>
        <w:pStyle w:val="Bulletpoint"/>
        <w:numPr>
          <w:ilvl w:val="0"/>
          <w:numId w:val="0"/>
        </w:numPr>
        <w:ind w:left="357"/>
      </w:pPr>
    </w:p>
    <w:p w:rsidR="00802160" w:rsidRDefault="00802160" w:rsidP="00802160">
      <w:pPr>
        <w:pStyle w:val="Bulletpoint"/>
        <w:numPr>
          <w:ilvl w:val="0"/>
          <w:numId w:val="0"/>
        </w:numPr>
        <w:ind w:left="357"/>
      </w:pPr>
    </w:p>
    <w:p w:rsidR="00802160" w:rsidRDefault="00802160" w:rsidP="00802160">
      <w:pPr>
        <w:pStyle w:val="Bulletpoint"/>
        <w:numPr>
          <w:ilvl w:val="0"/>
          <w:numId w:val="0"/>
        </w:numPr>
        <w:ind w:left="357"/>
      </w:pPr>
    </w:p>
    <w:p w:rsidR="00802160" w:rsidRDefault="00802160" w:rsidP="00802160">
      <w:pPr>
        <w:pStyle w:val="Bulletpoint"/>
        <w:numPr>
          <w:ilvl w:val="0"/>
          <w:numId w:val="0"/>
        </w:numPr>
        <w:ind w:left="357"/>
      </w:pPr>
    </w:p>
    <w:p w:rsidR="00802160" w:rsidRDefault="00802160" w:rsidP="00802160">
      <w:pPr>
        <w:pStyle w:val="Bulletpoint"/>
        <w:numPr>
          <w:ilvl w:val="0"/>
          <w:numId w:val="0"/>
        </w:numPr>
        <w:ind w:left="357"/>
      </w:pPr>
    </w:p>
    <w:p w:rsidR="00802160" w:rsidRDefault="00802160" w:rsidP="00802160">
      <w:pPr>
        <w:pStyle w:val="Bulletpoint"/>
        <w:numPr>
          <w:ilvl w:val="0"/>
          <w:numId w:val="0"/>
        </w:numPr>
        <w:ind w:left="357"/>
      </w:pPr>
    </w:p>
    <w:p w:rsidR="00802160" w:rsidRDefault="00802160" w:rsidP="00802160">
      <w:pPr>
        <w:pStyle w:val="Bulletpoint"/>
        <w:numPr>
          <w:ilvl w:val="0"/>
          <w:numId w:val="0"/>
        </w:numPr>
        <w:ind w:left="357"/>
      </w:pPr>
    </w:p>
    <w:p w:rsidR="00802160" w:rsidRDefault="00802160" w:rsidP="00802160">
      <w:pPr>
        <w:pStyle w:val="Bulletpoint"/>
        <w:numPr>
          <w:ilvl w:val="0"/>
          <w:numId w:val="0"/>
        </w:numPr>
        <w:ind w:left="357"/>
      </w:pPr>
    </w:p>
    <w:p w:rsidR="00802160" w:rsidRDefault="00802160" w:rsidP="00802160">
      <w:pPr>
        <w:pStyle w:val="Bulletpoint"/>
        <w:numPr>
          <w:ilvl w:val="0"/>
          <w:numId w:val="0"/>
        </w:numPr>
        <w:ind w:left="357"/>
      </w:pPr>
    </w:p>
    <w:p w:rsidR="00802160" w:rsidRDefault="00802160" w:rsidP="00802160">
      <w:pPr>
        <w:pStyle w:val="Bulletpoint"/>
        <w:numPr>
          <w:ilvl w:val="0"/>
          <w:numId w:val="0"/>
        </w:numPr>
        <w:ind w:left="357"/>
      </w:pPr>
    </w:p>
    <w:p w:rsidR="00802160" w:rsidRDefault="00802160" w:rsidP="00802160">
      <w:pPr>
        <w:pStyle w:val="Bulletpoint"/>
        <w:numPr>
          <w:ilvl w:val="0"/>
          <w:numId w:val="0"/>
        </w:numPr>
        <w:ind w:left="357"/>
      </w:pPr>
    </w:p>
    <w:p w:rsidR="00D226C7" w:rsidRPr="00D226C7" w:rsidRDefault="00D226C7" w:rsidP="00802160">
      <w:pPr>
        <w:pStyle w:val="Heading2"/>
      </w:pPr>
      <w:bookmarkStart w:id="16" w:name="_Toc433026810"/>
      <w:r w:rsidRPr="00D226C7">
        <w:t>Energy bill debt</w:t>
      </w:r>
      <w:bookmarkEnd w:id="16"/>
    </w:p>
    <w:p w:rsidR="00975582" w:rsidRDefault="00D226C7" w:rsidP="00D226C7">
      <w:r w:rsidRPr="00D42745">
        <w:t xml:space="preserve">For the purposes of this report, energy bill debt is an amount </w:t>
      </w:r>
      <w:r w:rsidR="004966A3" w:rsidRPr="00D42745">
        <w:t xml:space="preserve">owed </w:t>
      </w:r>
      <w:r w:rsidR="004966A3">
        <w:t>to</w:t>
      </w:r>
      <w:r w:rsidRPr="00D42745">
        <w:t xml:space="preserve"> a retailer that has been outstanding for 90 days or more</w:t>
      </w:r>
      <w:r w:rsidRPr="00D226C7">
        <w:t>.</w:t>
      </w:r>
      <w:r w:rsidRPr="00D226C7">
        <w:rPr>
          <w:rStyle w:val="FootnoteReference"/>
        </w:rPr>
        <w:footnoteReference w:id="14"/>
      </w:r>
      <w:r w:rsidRPr="00D226C7">
        <w:t xml:space="preserve"> If a customer hasn’t asked their retailer for help, accumulating energy debt should be a signal to a retailer to discuss assistance measures with the customer. This could include a payment plan for more moderate payment difficulties or a hardship program for more chronic and severe difficulties. Energy bill debt is therefore one of several indicators that provide information about the overall affordability of energy and how quickly and effectively retailers are assisting customers.  </w:t>
      </w:r>
    </w:p>
    <w:p w:rsidR="00975582" w:rsidRDefault="006D4C8B" w:rsidP="00D226C7">
      <w:r>
        <w:rPr>
          <w:noProof/>
          <w:lang w:eastAsia="en-AU"/>
        </w:rPr>
        <mc:AlternateContent>
          <mc:Choice Requires="wps">
            <w:drawing>
              <wp:anchor distT="0" distB="0" distL="114300" distR="114300" simplePos="0" relativeHeight="251668480" behindDoc="0" locked="0" layoutInCell="1" allowOverlap="1" wp14:anchorId="530C8A66" wp14:editId="2326584D">
                <wp:simplePos x="0" y="0"/>
                <wp:positionH relativeFrom="column">
                  <wp:posOffset>23751</wp:posOffset>
                </wp:positionH>
                <wp:positionV relativeFrom="paragraph">
                  <wp:posOffset>62626</wp:posOffset>
                </wp:positionV>
                <wp:extent cx="5652135" cy="4025133"/>
                <wp:effectExtent l="0" t="0" r="24765" b="13970"/>
                <wp:wrapNone/>
                <wp:docPr id="5" name="Text Box 5"/>
                <wp:cNvGraphicFramePr/>
                <a:graphic xmlns:a="http://schemas.openxmlformats.org/drawingml/2006/main">
                  <a:graphicData uri="http://schemas.microsoft.com/office/word/2010/wordprocessingShape">
                    <wps:wsp>
                      <wps:cNvSpPr txBox="1"/>
                      <wps:spPr>
                        <a:xfrm>
                          <a:off x="0" y="0"/>
                          <a:ext cx="5652135" cy="40251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71FC" w:rsidRPr="00E92189" w:rsidRDefault="000B71FC" w:rsidP="00975582">
                            <w:pPr>
                              <w:rPr>
                                <w:rStyle w:val="Strong"/>
                              </w:rPr>
                            </w:pPr>
                            <w:r w:rsidRPr="00E92189">
                              <w:rPr>
                                <w:rStyle w:val="Strong"/>
                              </w:rPr>
                              <w:t xml:space="preserve">Bill smoothing can assist with budgeting  </w:t>
                            </w:r>
                          </w:p>
                          <w:p w:rsidR="000B71FC" w:rsidRPr="00D42745" w:rsidRDefault="000B71FC" w:rsidP="00975582">
                            <w:r w:rsidRPr="00D42745">
                              <w:t>Bill smoothing can help a customer manage their budget by allowing them to make payments in regular instalments – usually fortnightly or monthly – instead of the more traditional quarterly billing cycle. These instalments are often based on an estimation of a customer’s consumption over any 12 month period.</w:t>
                            </w:r>
                          </w:p>
                          <w:p w:rsidR="000B71FC" w:rsidRPr="00D226C7" w:rsidRDefault="000B71FC" w:rsidP="00975582">
                            <w:r w:rsidRPr="00D42745">
                              <w:t>The Retail Rules do not require a retailer to offer a bill smoothing arrangement to all customers. Instead, the obligations state the retailers may offer bill smoothing arrangements to customers on standard retail contract, only if they comply with the provisions</w:t>
                            </w:r>
                            <w:r w:rsidRPr="00D226C7">
                              <w:t>. Retailers can choose to offer these types of arrangement to customers on market contracts.</w:t>
                            </w:r>
                          </w:p>
                          <w:p w:rsidR="000B71FC" w:rsidRPr="00D42745" w:rsidRDefault="000B71FC" w:rsidP="00975582">
                            <w:r w:rsidRPr="00D42745">
                              <w:t xml:space="preserve">Retailers are increasingly offering (or even requiring) more frequent payment terms. This can offer benefits to both the customer and the retailer by improving budgeting and more quickly identifying and responding to payment difficulties for debt becomes unmanageable.  </w:t>
                            </w:r>
                          </w:p>
                          <w:p w:rsidR="000B71FC" w:rsidRPr="00D42745" w:rsidRDefault="000B71FC" w:rsidP="00975582">
                            <w:r w:rsidRPr="00D42745">
                              <w:t>Smart meters and related innovations (such as web portals and apps) are also being used by retailers to help customers monitor their actual electricity use, providing real-time feedback on how consumption is translating into cost and allowing customers to t</w:t>
                            </w:r>
                            <w:r>
                              <w:t>ake action and prepare for bills.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1" type="#_x0000_t202" style="position:absolute;margin-left:1.85pt;margin-top:4.95pt;width:445.05pt;height:316.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" fillcolor="white [3201]" strokeweight=".5pt">
                <v:textbox>
                  <w:txbxContent>
                    <w:p w:rsidR="000B71FC" w:rsidRPr="00E92189" w:rsidRDefault="000B71FC" w:rsidP="00975582">
                      <w:pPr>
                        <w:rPr>
                          <w:rStyle w:val="Strong"/>
                        </w:rPr>
                      </w:pPr>
                      <w:r w:rsidRPr="00E92189">
                        <w:rPr>
                          <w:rStyle w:val="Strong"/>
                        </w:rPr>
                        <w:t xml:space="preserve">Bill smoothing can assist with budgeting  </w:t>
                      </w:r>
                    </w:p>
                    <w:p w:rsidR="000B71FC" w:rsidRPr="00D42745" w:rsidRDefault="000B71FC" w:rsidP="00975582">
                      <w:r w:rsidRPr="00D42745">
                        <w:t>Bill smoothing can help a customer manage their budget by allowing them to make payments in regular instalments – usually fortnightly or monthly – instead of the more traditional quarterly billing cycle. These instalments are often based on an estimation of a customer’s consumption over any 12 month period.</w:t>
                      </w:r>
                    </w:p>
                    <w:p w:rsidR="000B71FC" w:rsidRPr="00D226C7" w:rsidRDefault="000B71FC" w:rsidP="00975582">
                      <w:r w:rsidRPr="00D42745">
                        <w:t>The Retail Rules do not require a retailer to offer a bill smoothing arrangement to all customers. Instead, the obligations state the retailers may offer bill smoothing arrangements to customers on standard retail contract, only if they comply with the provisions</w:t>
                      </w:r>
                      <w:r w:rsidRPr="00D226C7">
                        <w:t>. Retailers can choose to offer these types of arrangement to customers on market contracts.</w:t>
                      </w:r>
                    </w:p>
                    <w:p w:rsidR="000B71FC" w:rsidRPr="00D42745" w:rsidRDefault="000B71FC" w:rsidP="00975582">
                      <w:r w:rsidRPr="00D42745">
                        <w:t xml:space="preserve">Retailers are increasingly offering (or even requiring) more frequent payment terms. This can offer benefits to both the customer and the retailer by improving budgeting and more quickly identifying and responding to payment difficulties for debt becomes unmanageable.  </w:t>
                      </w:r>
                    </w:p>
                    <w:p w:rsidR="000B71FC" w:rsidRPr="00D42745" w:rsidRDefault="000B71FC" w:rsidP="00975582">
                      <w:r w:rsidRPr="00D42745">
                        <w:t>Smart meters and related innovations (such as web portals and apps) are also being used by retailers to help customers monitor their actual electricity use, providing real-time feedback on how consumption is translating into cost and allowing customers to t</w:t>
                      </w:r>
                      <w:r>
                        <w:t>ake action and prepare for bills.</w:t>
                      </w:r>
                    </w:p>
                  </w:txbxContent>
                </v:textbox>
              </v:shape>
            </w:pict>
          </mc:Fallback>
        </mc:AlternateContent>
      </w:r>
    </w:p>
    <w:p w:rsidR="00975582" w:rsidRDefault="00975582" w:rsidP="00D226C7"/>
    <w:p w:rsidR="00975582" w:rsidRDefault="00975582" w:rsidP="00D226C7"/>
    <w:p w:rsidR="00975582" w:rsidRDefault="00975582" w:rsidP="00D226C7"/>
    <w:p w:rsidR="00975582" w:rsidRDefault="00975582" w:rsidP="00D226C7"/>
    <w:p w:rsidR="00975582" w:rsidRDefault="00975582" w:rsidP="00D226C7"/>
    <w:p w:rsidR="00975582" w:rsidRDefault="00975582" w:rsidP="00D226C7"/>
    <w:p w:rsidR="00975582" w:rsidRDefault="00975582" w:rsidP="00D226C7"/>
    <w:p w:rsidR="00975582" w:rsidRDefault="00975582" w:rsidP="00D226C7"/>
    <w:p w:rsidR="00975582" w:rsidRDefault="00975582" w:rsidP="00D226C7"/>
    <w:p w:rsidR="00975582" w:rsidRDefault="00975582" w:rsidP="00D226C7"/>
    <w:p w:rsidR="00975582" w:rsidRDefault="00975582" w:rsidP="00D226C7"/>
    <w:p w:rsidR="00975582" w:rsidRDefault="00975582" w:rsidP="00D226C7"/>
    <w:p w:rsidR="00D226C7" w:rsidRPr="00D42745" w:rsidRDefault="00D226C7" w:rsidP="00D226C7">
      <w:r w:rsidRPr="00D42745">
        <w:t xml:space="preserve">Figures 2.2 and 2.3 show the number of residential customers with electricity and gas debt in each jurisdiction. These figures also show the proportion of customers repaying their debt through a hardship program, as well as the average levels of debt (for customers on hardship programs and not on hardship programs).  </w:t>
      </w:r>
    </w:p>
    <w:p w:rsidR="00552240" w:rsidRDefault="00552240" w:rsidP="00D226C7">
      <w:r>
        <w:t>There are differences between jurisdictions in the proportion of residential customers with debt. For example, South Australia has the largest proportion of electricity customers in debt (5.7 per cent</w:t>
      </w:r>
      <w:r w:rsidR="00324D28">
        <w:t xml:space="preserve"> of residential customers</w:t>
      </w:r>
      <w:r>
        <w:t xml:space="preserve">) and the ACT has the highest proportion of gas </w:t>
      </w:r>
      <w:r>
        <w:lastRenderedPageBreak/>
        <w:t>customers in debt (7.9 per cent).</w:t>
      </w:r>
      <w:r w:rsidR="00804BA9">
        <w:t xml:space="preserve"> This reflects differences in prices and consumption, as discussed in Chapter 3.</w:t>
      </w:r>
      <w:r>
        <w:t xml:space="preserve"> </w:t>
      </w:r>
    </w:p>
    <w:p w:rsidR="00552240" w:rsidRDefault="00D226C7" w:rsidP="00D226C7">
      <w:r w:rsidRPr="00D42745">
        <w:t>The number of residential customers with electricity debt has generally decreased in recent years, and the proportion of these customers receiving assistance to repay their debt through a hardship program has increased.</w:t>
      </w:r>
      <w:r w:rsidRPr="00D226C7">
        <w:t xml:space="preserve"> </w:t>
      </w:r>
      <w:r w:rsidR="00804BA9">
        <w:t xml:space="preserve">The proportion of customers with a gas debt has decreased in New South Wales and South Australia, but increased in the ACT. Fewer customers with a gas debt are on hardship program, relative to electricity customers. </w:t>
      </w:r>
    </w:p>
    <w:p w:rsidR="00D226C7" w:rsidRPr="00D226C7" w:rsidRDefault="00D226C7" w:rsidP="00D226C7">
      <w:r w:rsidRPr="00D226C7">
        <w:t>In the case of electricity, the average debt of customers on hardship programs has remained steady or decreased</w:t>
      </w:r>
      <w:r w:rsidR="00C75DB1">
        <w:t>.</w:t>
      </w:r>
      <w:r w:rsidRPr="00D226C7">
        <w:t xml:space="preserve"> </w:t>
      </w:r>
      <w:r w:rsidR="00C75DB1">
        <w:t>W</w:t>
      </w:r>
      <w:r w:rsidR="00C75DB1" w:rsidRPr="00C75DB1">
        <w:t xml:space="preserve">e have observed it fall significantly </w:t>
      </w:r>
      <w:r w:rsidR="00C75DB1">
        <w:t xml:space="preserve">in Tasmania </w:t>
      </w:r>
      <w:r w:rsidR="00C75DB1" w:rsidRPr="00C75DB1">
        <w:t xml:space="preserve">over the past three years in line with Aurora’s commitment to strengthening its hardship policies and practices. </w:t>
      </w:r>
      <w:r w:rsidR="009925AF">
        <w:t>While the number of customers with electricity debt has generally decreased, i</w:t>
      </w:r>
      <w:r w:rsidR="00C75DB1">
        <w:t>n most jurisdictions</w:t>
      </w:r>
      <w:r w:rsidRPr="00D226C7">
        <w:t xml:space="preserve"> the average debt </w:t>
      </w:r>
      <w:r w:rsidR="009925AF">
        <w:t>(</w:t>
      </w:r>
      <w:r w:rsidRPr="00D226C7">
        <w:t>of customers not on hardship programs</w:t>
      </w:r>
      <w:r w:rsidR="009925AF">
        <w:t>)</w:t>
      </w:r>
      <w:r w:rsidRPr="00D226C7">
        <w:t xml:space="preserve"> has increased. </w:t>
      </w:r>
      <w:r w:rsidR="009925AF">
        <w:t xml:space="preserve"> Further, t</w:t>
      </w:r>
      <w:r w:rsidRPr="00D226C7">
        <w:t xml:space="preserve">he average debt of gas customers – both on and not on hardship programs – has generally increased. </w:t>
      </w:r>
    </w:p>
    <w:p w:rsidR="00D226C7" w:rsidRPr="003E45F6" w:rsidRDefault="00D226C7" w:rsidP="00D226C7">
      <w:pPr>
        <w:pStyle w:val="Tabletitle"/>
      </w:pPr>
      <w:r w:rsidRPr="003E45F6">
        <w:t>Figure 2.2: Residential electricity customers repaying debt and average debt – as at 30 June</w:t>
      </w:r>
    </w:p>
    <w:p w:rsidR="00A35B80" w:rsidRDefault="00D226C7" w:rsidP="00BE2ABC">
      <w:r w:rsidRPr="00D226C7">
        <w:rPr>
          <w:noProof/>
          <w:lang w:eastAsia="en-AU"/>
        </w:rPr>
        <w:drawing>
          <wp:inline distT="0" distB="0" distL="0" distR="0" wp14:anchorId="1116555F" wp14:editId="20D5D75C">
            <wp:extent cx="5760000" cy="3319200"/>
            <wp:effectExtent l="0" t="0" r="0" b="0"/>
            <wp:docPr id="48" name="Picture 48" descr="In South Australia, 1.5 per cent of electricity customers are on a hardship program and owe an average debt of $1386. A further 4.2 per cent of customers owe an average electricity debt of $742. In New South Wales, 0.7 per cent of electricity customers are on a hardship program and owe an average debt of $1001. A further 3.6 per cent of customers owe an average electricity debt of $529. In the ACT, 0.4 per cent of electricity customers are on a hardship program and owe an average debt of $1169. A further 2.8 per cent of customers owe an electricity debt of $827. In Tasmania, 0.7 per cent of electricity customers are on a hardship program and owe an average debt of $1842. A further 1.8 per cent of customers owe an average electricity debt of $706."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3319200"/>
                    </a:xfrm>
                    <a:prstGeom prst="rect">
                      <a:avLst/>
                    </a:prstGeom>
                    <a:noFill/>
                  </pic:spPr>
                </pic:pic>
              </a:graphicData>
            </a:graphic>
          </wp:inline>
        </w:drawing>
      </w:r>
    </w:p>
    <w:p w:rsidR="00804BA9" w:rsidRDefault="00804BA9" w:rsidP="00D226C7">
      <w:pPr>
        <w:pStyle w:val="Tabletitle"/>
      </w:pPr>
    </w:p>
    <w:p w:rsidR="00804BA9" w:rsidRDefault="00804BA9" w:rsidP="00D226C7">
      <w:pPr>
        <w:pStyle w:val="Tabletitle"/>
      </w:pPr>
    </w:p>
    <w:p w:rsidR="00804BA9" w:rsidRDefault="00804BA9" w:rsidP="00D226C7">
      <w:pPr>
        <w:pStyle w:val="Tabletitle"/>
      </w:pPr>
    </w:p>
    <w:p w:rsidR="00804BA9" w:rsidRDefault="00804BA9" w:rsidP="00D226C7">
      <w:pPr>
        <w:pStyle w:val="Tabletitle"/>
      </w:pPr>
    </w:p>
    <w:p w:rsidR="00804BA9" w:rsidRDefault="00804BA9" w:rsidP="00D226C7">
      <w:pPr>
        <w:pStyle w:val="Tabletitle"/>
      </w:pPr>
    </w:p>
    <w:p w:rsidR="00804BA9" w:rsidRDefault="00804BA9" w:rsidP="00D226C7">
      <w:pPr>
        <w:pStyle w:val="Tabletitle"/>
      </w:pPr>
    </w:p>
    <w:p w:rsidR="00D226C7" w:rsidRPr="003E45F6" w:rsidRDefault="00D226C7" w:rsidP="00D226C7">
      <w:pPr>
        <w:pStyle w:val="Tabletitle"/>
      </w:pPr>
      <w:r w:rsidRPr="003E45F6">
        <w:t xml:space="preserve">Figure 2.3: Residential gas customers repaying debt and average debt – as at 30 June </w:t>
      </w:r>
    </w:p>
    <w:p w:rsidR="00D226C7" w:rsidRPr="00D226C7" w:rsidRDefault="00D226C7" w:rsidP="00D226C7">
      <w:r w:rsidRPr="00D226C7">
        <w:rPr>
          <w:noProof/>
          <w:lang w:eastAsia="en-AU"/>
        </w:rPr>
        <w:drawing>
          <wp:inline distT="0" distB="0" distL="0" distR="0" wp14:anchorId="46B3A097" wp14:editId="74249539">
            <wp:extent cx="5760000" cy="3441600"/>
            <wp:effectExtent l="0" t="0" r="0" b="6985"/>
            <wp:docPr id="49" name="Picture 49" descr="In South Australia, 1 per cent of gas customers are on a hardship program and owe an average debt of $576. A further 3.3 per cent of customers owe an average debt of $377. In New South Wales, 0.4 per cent of gas customers are on a hardship program and owe an average debt of $736. A further 4 per cent of customers owe an average debt of $444. In the ACT, 0.5 per cent of gas customers are on a hardship program and owe an average debt of $1729. A further 7.4 per cent of customers owe an average debt of $448. "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3441600"/>
                    </a:xfrm>
                    <a:prstGeom prst="rect">
                      <a:avLst/>
                    </a:prstGeom>
                    <a:noFill/>
                  </pic:spPr>
                </pic:pic>
              </a:graphicData>
            </a:graphic>
          </wp:inline>
        </w:drawing>
      </w:r>
    </w:p>
    <w:p w:rsidR="00D226C7" w:rsidRPr="00D226C7" w:rsidRDefault="00D226C7" w:rsidP="00D226C7">
      <w:r w:rsidRPr="00D42745">
        <w:t>Tables 2.3 and 2.4 show the number of small business customers with electricity and gas debt, along with average debt levels. Gen</w:t>
      </w:r>
      <w:r w:rsidRPr="00D226C7">
        <w:t>erally fewer small businesses held electricity debt in 2015,</w:t>
      </w:r>
      <w:r w:rsidR="00324D28">
        <w:t xml:space="preserve"> with </w:t>
      </w:r>
      <w:r w:rsidR="00A471C1">
        <w:t xml:space="preserve">the </w:t>
      </w:r>
      <w:r w:rsidR="00324D28">
        <w:t xml:space="preserve">most significant decrease occurring in the ACT. However, </w:t>
      </w:r>
      <w:r w:rsidRPr="00D226C7">
        <w:t xml:space="preserve">average debt levels notably increased in New South Wales and the ACT. Gas debt is most prevalent in the ACT, where almost 11 per cent of small businesses owe an average of around $1500.  </w:t>
      </w:r>
    </w:p>
    <w:p w:rsidR="00D226C7" w:rsidRPr="00D42745" w:rsidRDefault="00D226C7" w:rsidP="00D226C7">
      <w:pPr>
        <w:pStyle w:val="Tabletitle"/>
      </w:pPr>
      <w:r w:rsidRPr="00D42745">
        <w:t>Table 2.3: Small business electricity debt (by jurisdiction, as at 30 June)</w:t>
      </w:r>
    </w:p>
    <w:tbl>
      <w:tblPr>
        <w:tblW w:w="0" w:type="auto"/>
        <w:tblLayout w:type="fixed"/>
        <w:tblLook w:val="04A0" w:firstRow="1" w:lastRow="0" w:firstColumn="1" w:lastColumn="0" w:noHBand="0" w:noVBand="1"/>
      </w:tblPr>
      <w:tblGrid>
        <w:gridCol w:w="1814"/>
        <w:gridCol w:w="1257"/>
        <w:gridCol w:w="1257"/>
        <w:gridCol w:w="1257"/>
        <w:gridCol w:w="1267"/>
        <w:gridCol w:w="1268"/>
        <w:gridCol w:w="1268"/>
      </w:tblGrid>
      <w:tr w:rsidR="00D226C7" w:rsidRPr="00D42745" w:rsidTr="00D226C7">
        <w:tc>
          <w:tcPr>
            <w:tcW w:w="1814" w:type="dxa"/>
            <w:tcBorders>
              <w:bottom w:val="nil"/>
            </w:tcBorders>
            <w:shd w:val="clear" w:color="auto" w:fill="F2F2F2" w:themeFill="background1" w:themeFillShade="F2"/>
          </w:tcPr>
          <w:p w:rsidR="00D226C7" w:rsidRPr="006D4C8B" w:rsidRDefault="00D226C7" w:rsidP="00802160">
            <w:pPr>
              <w:pStyle w:val="Tabletext"/>
              <w:rPr>
                <w:rStyle w:val="Strong"/>
              </w:rPr>
            </w:pPr>
          </w:p>
        </w:tc>
        <w:tc>
          <w:tcPr>
            <w:tcW w:w="3771" w:type="dxa"/>
            <w:gridSpan w:val="3"/>
            <w:tcBorders>
              <w:bottom w:val="nil"/>
            </w:tcBorders>
            <w:shd w:val="clear" w:color="auto" w:fill="F2F2F2" w:themeFill="background1" w:themeFillShade="F2"/>
          </w:tcPr>
          <w:p w:rsidR="00D226C7" w:rsidRPr="006D4C8B" w:rsidRDefault="00D226C7" w:rsidP="00802160">
            <w:pPr>
              <w:pStyle w:val="Tabletext"/>
              <w:rPr>
                <w:rStyle w:val="Strong"/>
              </w:rPr>
            </w:pPr>
            <w:r w:rsidRPr="006D4C8B">
              <w:rPr>
                <w:rStyle w:val="Strong"/>
              </w:rPr>
              <w:t>Customers in debt</w:t>
            </w:r>
          </w:p>
        </w:tc>
        <w:tc>
          <w:tcPr>
            <w:tcW w:w="3803" w:type="dxa"/>
            <w:gridSpan w:val="3"/>
            <w:tcBorders>
              <w:bottom w:val="nil"/>
            </w:tcBorders>
            <w:shd w:val="clear" w:color="auto" w:fill="F2F2F2" w:themeFill="background1" w:themeFillShade="F2"/>
          </w:tcPr>
          <w:p w:rsidR="00D226C7" w:rsidRPr="006D4C8B" w:rsidRDefault="00D226C7" w:rsidP="00802160">
            <w:pPr>
              <w:pStyle w:val="Tabletext"/>
              <w:rPr>
                <w:rStyle w:val="Strong"/>
              </w:rPr>
            </w:pPr>
            <w:r w:rsidRPr="006D4C8B">
              <w:rPr>
                <w:rStyle w:val="Strong"/>
              </w:rPr>
              <w:t>Average debt</w:t>
            </w:r>
          </w:p>
        </w:tc>
      </w:tr>
      <w:tr w:rsidR="00D226C7" w:rsidRPr="00D42745" w:rsidTr="00D226C7">
        <w:tc>
          <w:tcPr>
            <w:tcW w:w="1814" w:type="dxa"/>
            <w:tcBorders>
              <w:top w:val="nil"/>
              <w:bottom w:val="single" w:sz="4" w:space="0" w:color="auto"/>
            </w:tcBorders>
            <w:shd w:val="clear" w:color="auto" w:fill="F2F2F2" w:themeFill="background1" w:themeFillShade="F2"/>
          </w:tcPr>
          <w:p w:rsidR="00D226C7" w:rsidRPr="006D4C8B" w:rsidRDefault="00D226C7" w:rsidP="00802160">
            <w:pPr>
              <w:pStyle w:val="Tabletext"/>
              <w:rPr>
                <w:rStyle w:val="Strong"/>
              </w:rPr>
            </w:pPr>
            <w:r w:rsidRPr="006D4C8B">
              <w:rPr>
                <w:rStyle w:val="Strong"/>
              </w:rPr>
              <w:t>Jurisdiction</w:t>
            </w:r>
          </w:p>
        </w:tc>
        <w:tc>
          <w:tcPr>
            <w:tcW w:w="1257" w:type="dxa"/>
            <w:tcBorders>
              <w:top w:val="nil"/>
              <w:bottom w:val="single" w:sz="4" w:space="0" w:color="auto"/>
            </w:tcBorders>
            <w:shd w:val="clear" w:color="auto" w:fill="F2F2F2" w:themeFill="background1" w:themeFillShade="F2"/>
          </w:tcPr>
          <w:p w:rsidR="00D226C7" w:rsidRPr="006D4C8B" w:rsidRDefault="00D226C7" w:rsidP="00802160">
            <w:pPr>
              <w:pStyle w:val="Tabletext"/>
              <w:rPr>
                <w:rStyle w:val="Strong"/>
              </w:rPr>
            </w:pPr>
            <w:r w:rsidRPr="006D4C8B">
              <w:rPr>
                <w:rStyle w:val="Strong"/>
              </w:rPr>
              <w:t>2013</w:t>
            </w:r>
          </w:p>
        </w:tc>
        <w:tc>
          <w:tcPr>
            <w:tcW w:w="1257" w:type="dxa"/>
            <w:tcBorders>
              <w:top w:val="nil"/>
              <w:bottom w:val="single" w:sz="4" w:space="0" w:color="auto"/>
            </w:tcBorders>
            <w:shd w:val="clear" w:color="auto" w:fill="F2F2F2" w:themeFill="background1" w:themeFillShade="F2"/>
          </w:tcPr>
          <w:p w:rsidR="00D226C7" w:rsidRPr="006D4C8B" w:rsidRDefault="00D226C7" w:rsidP="00802160">
            <w:pPr>
              <w:pStyle w:val="Tabletext"/>
              <w:rPr>
                <w:rStyle w:val="Strong"/>
              </w:rPr>
            </w:pPr>
            <w:r w:rsidRPr="006D4C8B">
              <w:rPr>
                <w:rStyle w:val="Strong"/>
              </w:rPr>
              <w:t>2014</w:t>
            </w:r>
          </w:p>
        </w:tc>
        <w:tc>
          <w:tcPr>
            <w:tcW w:w="1257" w:type="dxa"/>
            <w:tcBorders>
              <w:top w:val="nil"/>
              <w:bottom w:val="single" w:sz="4" w:space="0" w:color="auto"/>
            </w:tcBorders>
            <w:shd w:val="clear" w:color="auto" w:fill="F2F2F2" w:themeFill="background1" w:themeFillShade="F2"/>
          </w:tcPr>
          <w:p w:rsidR="00D226C7" w:rsidRPr="006D4C8B" w:rsidRDefault="00D226C7" w:rsidP="00802160">
            <w:pPr>
              <w:pStyle w:val="Tabletext"/>
              <w:rPr>
                <w:rStyle w:val="Strong"/>
              </w:rPr>
            </w:pPr>
            <w:r w:rsidRPr="006D4C8B">
              <w:rPr>
                <w:rStyle w:val="Strong"/>
              </w:rPr>
              <w:t>2015</w:t>
            </w:r>
          </w:p>
        </w:tc>
        <w:tc>
          <w:tcPr>
            <w:tcW w:w="1267" w:type="dxa"/>
            <w:tcBorders>
              <w:top w:val="nil"/>
              <w:bottom w:val="single" w:sz="4" w:space="0" w:color="auto"/>
            </w:tcBorders>
            <w:shd w:val="clear" w:color="auto" w:fill="F2F2F2" w:themeFill="background1" w:themeFillShade="F2"/>
          </w:tcPr>
          <w:p w:rsidR="00D226C7" w:rsidRPr="006D4C8B" w:rsidRDefault="00D226C7" w:rsidP="00802160">
            <w:pPr>
              <w:pStyle w:val="Tabletext"/>
              <w:rPr>
                <w:rStyle w:val="Strong"/>
              </w:rPr>
            </w:pPr>
            <w:r w:rsidRPr="006D4C8B">
              <w:rPr>
                <w:rStyle w:val="Strong"/>
              </w:rPr>
              <w:t>2013</w:t>
            </w:r>
          </w:p>
        </w:tc>
        <w:tc>
          <w:tcPr>
            <w:tcW w:w="1268" w:type="dxa"/>
            <w:tcBorders>
              <w:top w:val="nil"/>
              <w:bottom w:val="single" w:sz="4" w:space="0" w:color="auto"/>
            </w:tcBorders>
            <w:shd w:val="clear" w:color="auto" w:fill="F2F2F2" w:themeFill="background1" w:themeFillShade="F2"/>
          </w:tcPr>
          <w:p w:rsidR="00D226C7" w:rsidRPr="006D4C8B" w:rsidRDefault="00D226C7" w:rsidP="00802160">
            <w:pPr>
              <w:pStyle w:val="Tabletext"/>
              <w:rPr>
                <w:rStyle w:val="Strong"/>
              </w:rPr>
            </w:pPr>
            <w:r w:rsidRPr="006D4C8B">
              <w:rPr>
                <w:rStyle w:val="Strong"/>
              </w:rPr>
              <w:t>2014</w:t>
            </w:r>
          </w:p>
        </w:tc>
        <w:tc>
          <w:tcPr>
            <w:tcW w:w="1268" w:type="dxa"/>
            <w:tcBorders>
              <w:top w:val="nil"/>
              <w:bottom w:val="single" w:sz="4" w:space="0" w:color="auto"/>
            </w:tcBorders>
            <w:shd w:val="clear" w:color="auto" w:fill="F2F2F2" w:themeFill="background1" w:themeFillShade="F2"/>
          </w:tcPr>
          <w:p w:rsidR="00D226C7" w:rsidRPr="006D4C8B" w:rsidRDefault="00D226C7" w:rsidP="00802160">
            <w:pPr>
              <w:pStyle w:val="Tabletext"/>
              <w:rPr>
                <w:rStyle w:val="Strong"/>
              </w:rPr>
            </w:pPr>
            <w:r w:rsidRPr="006D4C8B">
              <w:rPr>
                <w:rStyle w:val="Strong"/>
              </w:rPr>
              <w:t>2015</w:t>
            </w:r>
          </w:p>
        </w:tc>
      </w:tr>
      <w:tr w:rsidR="00D226C7" w:rsidRPr="00D42745" w:rsidTr="00D226C7">
        <w:tc>
          <w:tcPr>
            <w:tcW w:w="1814" w:type="dxa"/>
            <w:tcBorders>
              <w:top w:val="single" w:sz="4" w:space="0" w:color="auto"/>
              <w:bottom w:val="single" w:sz="4" w:space="0" w:color="auto"/>
            </w:tcBorders>
          </w:tcPr>
          <w:p w:rsidR="00D226C7" w:rsidRPr="00D226C7" w:rsidRDefault="00D226C7" w:rsidP="00802160">
            <w:pPr>
              <w:pStyle w:val="Tabletext"/>
            </w:pPr>
            <w:r w:rsidRPr="00D226C7">
              <w:t>South Australia</w:t>
            </w:r>
          </w:p>
        </w:tc>
        <w:tc>
          <w:tcPr>
            <w:tcW w:w="1257" w:type="dxa"/>
            <w:tcBorders>
              <w:top w:val="single" w:sz="4" w:space="0" w:color="auto"/>
              <w:bottom w:val="single" w:sz="4" w:space="0" w:color="auto"/>
            </w:tcBorders>
          </w:tcPr>
          <w:p w:rsidR="00D226C7" w:rsidRPr="00D42745" w:rsidRDefault="00D226C7" w:rsidP="00802160">
            <w:pPr>
              <w:pStyle w:val="Tabletext"/>
            </w:pPr>
            <w:r w:rsidRPr="00D42745">
              <w:t>6.0%</w:t>
            </w:r>
          </w:p>
        </w:tc>
        <w:tc>
          <w:tcPr>
            <w:tcW w:w="1257" w:type="dxa"/>
            <w:tcBorders>
              <w:top w:val="single" w:sz="4" w:space="0" w:color="auto"/>
              <w:bottom w:val="single" w:sz="4" w:space="0" w:color="auto"/>
            </w:tcBorders>
          </w:tcPr>
          <w:p w:rsidR="00D226C7" w:rsidRPr="00D42745" w:rsidRDefault="00D226C7" w:rsidP="00802160">
            <w:pPr>
              <w:pStyle w:val="Tabletext"/>
            </w:pPr>
            <w:r w:rsidRPr="00D42745">
              <w:t>3.9%</w:t>
            </w:r>
          </w:p>
        </w:tc>
        <w:tc>
          <w:tcPr>
            <w:tcW w:w="1257" w:type="dxa"/>
            <w:tcBorders>
              <w:top w:val="single" w:sz="4" w:space="0" w:color="auto"/>
              <w:bottom w:val="single" w:sz="4" w:space="0" w:color="auto"/>
            </w:tcBorders>
          </w:tcPr>
          <w:p w:rsidR="00D226C7" w:rsidRPr="00D42745" w:rsidRDefault="00D226C7" w:rsidP="00802160">
            <w:pPr>
              <w:pStyle w:val="Tabletext"/>
            </w:pPr>
            <w:r w:rsidRPr="00D42745">
              <w:t>3.6%</w:t>
            </w:r>
          </w:p>
        </w:tc>
        <w:tc>
          <w:tcPr>
            <w:tcW w:w="1267" w:type="dxa"/>
            <w:tcBorders>
              <w:top w:val="single" w:sz="4" w:space="0" w:color="auto"/>
              <w:bottom w:val="single" w:sz="4" w:space="0" w:color="auto"/>
            </w:tcBorders>
          </w:tcPr>
          <w:p w:rsidR="00D226C7" w:rsidRPr="00D42745" w:rsidRDefault="00D226C7" w:rsidP="00802160">
            <w:pPr>
              <w:pStyle w:val="Tabletext"/>
            </w:pPr>
            <w:r w:rsidRPr="00D42745">
              <w:t>$1453</w:t>
            </w:r>
          </w:p>
        </w:tc>
        <w:tc>
          <w:tcPr>
            <w:tcW w:w="1268" w:type="dxa"/>
            <w:tcBorders>
              <w:top w:val="single" w:sz="4" w:space="0" w:color="auto"/>
              <w:bottom w:val="single" w:sz="4" w:space="0" w:color="auto"/>
            </w:tcBorders>
          </w:tcPr>
          <w:p w:rsidR="00D226C7" w:rsidRPr="00D42745" w:rsidRDefault="00D226C7" w:rsidP="00802160">
            <w:pPr>
              <w:pStyle w:val="Tabletext"/>
            </w:pPr>
            <w:r w:rsidRPr="00D42745">
              <w:t>$1594</w:t>
            </w:r>
          </w:p>
        </w:tc>
        <w:tc>
          <w:tcPr>
            <w:tcW w:w="1268" w:type="dxa"/>
            <w:tcBorders>
              <w:top w:val="single" w:sz="4" w:space="0" w:color="auto"/>
              <w:bottom w:val="single" w:sz="4" w:space="0" w:color="auto"/>
            </w:tcBorders>
          </w:tcPr>
          <w:p w:rsidR="00D226C7" w:rsidRPr="00D42745" w:rsidRDefault="00D226C7" w:rsidP="00802160">
            <w:pPr>
              <w:pStyle w:val="Tabletext"/>
            </w:pPr>
            <w:r w:rsidRPr="00D42745">
              <w:t>$1490</w:t>
            </w:r>
          </w:p>
        </w:tc>
      </w:tr>
      <w:tr w:rsidR="00D226C7" w:rsidRPr="00D42745" w:rsidTr="00D226C7">
        <w:tc>
          <w:tcPr>
            <w:tcW w:w="1814" w:type="dxa"/>
            <w:tcBorders>
              <w:top w:val="single" w:sz="4" w:space="0" w:color="auto"/>
              <w:bottom w:val="single" w:sz="4" w:space="0" w:color="auto"/>
            </w:tcBorders>
          </w:tcPr>
          <w:p w:rsidR="00D226C7" w:rsidRPr="00D226C7" w:rsidRDefault="00D226C7" w:rsidP="00802160">
            <w:pPr>
              <w:pStyle w:val="Tabletext"/>
            </w:pPr>
            <w:r w:rsidRPr="00D226C7">
              <w:t>ACT</w:t>
            </w:r>
          </w:p>
        </w:tc>
        <w:tc>
          <w:tcPr>
            <w:tcW w:w="1257" w:type="dxa"/>
            <w:tcBorders>
              <w:top w:val="single" w:sz="4" w:space="0" w:color="auto"/>
              <w:bottom w:val="single" w:sz="4" w:space="0" w:color="auto"/>
            </w:tcBorders>
          </w:tcPr>
          <w:p w:rsidR="00D226C7" w:rsidRPr="00D42745" w:rsidRDefault="00D226C7" w:rsidP="00802160">
            <w:pPr>
              <w:pStyle w:val="Tabletext"/>
            </w:pPr>
            <w:r w:rsidRPr="00D42745">
              <w:t>4.8%</w:t>
            </w:r>
          </w:p>
        </w:tc>
        <w:tc>
          <w:tcPr>
            <w:tcW w:w="1257" w:type="dxa"/>
            <w:tcBorders>
              <w:top w:val="single" w:sz="4" w:space="0" w:color="auto"/>
              <w:bottom w:val="single" w:sz="4" w:space="0" w:color="auto"/>
            </w:tcBorders>
          </w:tcPr>
          <w:p w:rsidR="00D226C7" w:rsidRPr="00D42745" w:rsidRDefault="00D226C7" w:rsidP="00802160">
            <w:pPr>
              <w:pStyle w:val="Tabletext"/>
            </w:pPr>
            <w:r w:rsidRPr="00D42745">
              <w:t>6.3%</w:t>
            </w:r>
          </w:p>
        </w:tc>
        <w:tc>
          <w:tcPr>
            <w:tcW w:w="1257" w:type="dxa"/>
            <w:tcBorders>
              <w:top w:val="single" w:sz="4" w:space="0" w:color="auto"/>
              <w:bottom w:val="single" w:sz="4" w:space="0" w:color="auto"/>
            </w:tcBorders>
          </w:tcPr>
          <w:p w:rsidR="00D226C7" w:rsidRPr="00D42745" w:rsidRDefault="00D226C7" w:rsidP="00802160">
            <w:pPr>
              <w:pStyle w:val="Tabletext"/>
            </w:pPr>
            <w:r w:rsidRPr="00D42745">
              <w:t>3.6%</w:t>
            </w:r>
          </w:p>
        </w:tc>
        <w:tc>
          <w:tcPr>
            <w:tcW w:w="1267" w:type="dxa"/>
            <w:tcBorders>
              <w:top w:val="single" w:sz="4" w:space="0" w:color="auto"/>
              <w:bottom w:val="single" w:sz="4" w:space="0" w:color="auto"/>
            </w:tcBorders>
          </w:tcPr>
          <w:p w:rsidR="00D226C7" w:rsidRPr="00D42745" w:rsidRDefault="00D226C7" w:rsidP="00802160">
            <w:pPr>
              <w:pStyle w:val="Tabletext"/>
            </w:pPr>
            <w:r w:rsidRPr="00D42745">
              <w:t>$803</w:t>
            </w:r>
          </w:p>
        </w:tc>
        <w:tc>
          <w:tcPr>
            <w:tcW w:w="1268" w:type="dxa"/>
            <w:tcBorders>
              <w:top w:val="single" w:sz="4" w:space="0" w:color="auto"/>
              <w:bottom w:val="single" w:sz="4" w:space="0" w:color="auto"/>
            </w:tcBorders>
          </w:tcPr>
          <w:p w:rsidR="00D226C7" w:rsidRPr="00D42745" w:rsidRDefault="00D226C7" w:rsidP="00802160">
            <w:pPr>
              <w:pStyle w:val="Tabletext"/>
            </w:pPr>
            <w:r w:rsidRPr="00D42745">
              <w:t>$675</w:t>
            </w:r>
          </w:p>
        </w:tc>
        <w:tc>
          <w:tcPr>
            <w:tcW w:w="1268" w:type="dxa"/>
            <w:tcBorders>
              <w:top w:val="single" w:sz="4" w:space="0" w:color="auto"/>
              <w:bottom w:val="single" w:sz="4" w:space="0" w:color="auto"/>
            </w:tcBorders>
          </w:tcPr>
          <w:p w:rsidR="00D226C7" w:rsidRPr="00D42745" w:rsidRDefault="00D226C7" w:rsidP="00802160">
            <w:pPr>
              <w:pStyle w:val="Tabletext"/>
            </w:pPr>
            <w:r w:rsidRPr="00D42745">
              <w:t>$868</w:t>
            </w:r>
          </w:p>
        </w:tc>
      </w:tr>
      <w:tr w:rsidR="00D226C7" w:rsidRPr="00D42745" w:rsidTr="00D226C7">
        <w:tc>
          <w:tcPr>
            <w:tcW w:w="1814" w:type="dxa"/>
            <w:tcBorders>
              <w:top w:val="single" w:sz="4" w:space="0" w:color="auto"/>
              <w:bottom w:val="single" w:sz="4" w:space="0" w:color="auto"/>
            </w:tcBorders>
          </w:tcPr>
          <w:p w:rsidR="00D226C7" w:rsidRPr="00D226C7" w:rsidRDefault="00D226C7" w:rsidP="00802160">
            <w:pPr>
              <w:pStyle w:val="Tabletext"/>
            </w:pPr>
            <w:r w:rsidRPr="00D226C7">
              <w:t>New South Wales</w:t>
            </w:r>
          </w:p>
        </w:tc>
        <w:tc>
          <w:tcPr>
            <w:tcW w:w="1257" w:type="dxa"/>
            <w:tcBorders>
              <w:top w:val="single" w:sz="4" w:space="0" w:color="auto"/>
              <w:bottom w:val="single" w:sz="4" w:space="0" w:color="auto"/>
            </w:tcBorders>
          </w:tcPr>
          <w:p w:rsidR="00D226C7" w:rsidRPr="00D42745" w:rsidRDefault="00D226C7" w:rsidP="00802160">
            <w:pPr>
              <w:pStyle w:val="Tabletext"/>
            </w:pPr>
            <w:r w:rsidRPr="00D42745">
              <w:t>N/A</w:t>
            </w:r>
          </w:p>
        </w:tc>
        <w:tc>
          <w:tcPr>
            <w:tcW w:w="1257" w:type="dxa"/>
            <w:tcBorders>
              <w:top w:val="single" w:sz="4" w:space="0" w:color="auto"/>
              <w:bottom w:val="single" w:sz="4" w:space="0" w:color="auto"/>
            </w:tcBorders>
          </w:tcPr>
          <w:p w:rsidR="00D226C7" w:rsidRPr="00D42745" w:rsidRDefault="00D226C7" w:rsidP="00802160">
            <w:pPr>
              <w:pStyle w:val="Tabletext"/>
            </w:pPr>
            <w:r w:rsidRPr="00D42745">
              <w:t>3.9%</w:t>
            </w:r>
          </w:p>
        </w:tc>
        <w:tc>
          <w:tcPr>
            <w:tcW w:w="1257" w:type="dxa"/>
            <w:tcBorders>
              <w:top w:val="single" w:sz="4" w:space="0" w:color="auto"/>
              <w:bottom w:val="single" w:sz="4" w:space="0" w:color="auto"/>
            </w:tcBorders>
          </w:tcPr>
          <w:p w:rsidR="00D226C7" w:rsidRPr="00D42745" w:rsidRDefault="00D226C7" w:rsidP="00802160">
            <w:pPr>
              <w:pStyle w:val="Tabletext"/>
            </w:pPr>
            <w:r w:rsidRPr="00D42745">
              <w:t>3.1%</w:t>
            </w:r>
          </w:p>
        </w:tc>
        <w:tc>
          <w:tcPr>
            <w:tcW w:w="1267" w:type="dxa"/>
            <w:tcBorders>
              <w:top w:val="single" w:sz="4" w:space="0" w:color="auto"/>
              <w:bottom w:val="single" w:sz="4" w:space="0" w:color="auto"/>
            </w:tcBorders>
          </w:tcPr>
          <w:p w:rsidR="00D226C7" w:rsidRPr="00D42745" w:rsidRDefault="00D226C7" w:rsidP="00802160">
            <w:pPr>
              <w:pStyle w:val="Tabletext"/>
            </w:pPr>
            <w:r w:rsidRPr="00D42745">
              <w:t>N/A</w:t>
            </w:r>
          </w:p>
        </w:tc>
        <w:tc>
          <w:tcPr>
            <w:tcW w:w="1268" w:type="dxa"/>
            <w:tcBorders>
              <w:top w:val="single" w:sz="4" w:space="0" w:color="auto"/>
              <w:bottom w:val="single" w:sz="4" w:space="0" w:color="auto"/>
            </w:tcBorders>
          </w:tcPr>
          <w:p w:rsidR="00D226C7" w:rsidRPr="00D42745" w:rsidRDefault="00D226C7" w:rsidP="00802160">
            <w:pPr>
              <w:pStyle w:val="Tabletext"/>
            </w:pPr>
            <w:r w:rsidRPr="00D42745">
              <w:t>$1636</w:t>
            </w:r>
          </w:p>
        </w:tc>
        <w:tc>
          <w:tcPr>
            <w:tcW w:w="1268" w:type="dxa"/>
            <w:tcBorders>
              <w:top w:val="single" w:sz="4" w:space="0" w:color="auto"/>
              <w:bottom w:val="single" w:sz="4" w:space="0" w:color="auto"/>
            </w:tcBorders>
          </w:tcPr>
          <w:p w:rsidR="00D226C7" w:rsidRPr="00D42745" w:rsidRDefault="00D226C7" w:rsidP="00802160">
            <w:pPr>
              <w:pStyle w:val="Tabletext"/>
            </w:pPr>
            <w:r w:rsidRPr="00D42745">
              <w:t>$1972</w:t>
            </w:r>
          </w:p>
        </w:tc>
      </w:tr>
      <w:tr w:rsidR="00D226C7" w:rsidRPr="00D42745" w:rsidTr="00D226C7">
        <w:tc>
          <w:tcPr>
            <w:tcW w:w="1814" w:type="dxa"/>
            <w:tcBorders>
              <w:top w:val="single" w:sz="4" w:space="0" w:color="auto"/>
              <w:bottom w:val="single" w:sz="4" w:space="0" w:color="BFBFBF" w:themeColor="background1" w:themeShade="BF"/>
            </w:tcBorders>
          </w:tcPr>
          <w:p w:rsidR="00D226C7" w:rsidRPr="00D226C7" w:rsidRDefault="00D226C7" w:rsidP="00802160">
            <w:pPr>
              <w:pStyle w:val="Tabletext"/>
            </w:pPr>
            <w:r w:rsidRPr="00D226C7">
              <w:t>Tasmania</w:t>
            </w:r>
          </w:p>
        </w:tc>
        <w:tc>
          <w:tcPr>
            <w:tcW w:w="1257" w:type="dxa"/>
            <w:tcBorders>
              <w:top w:val="single" w:sz="4" w:space="0" w:color="auto"/>
              <w:bottom w:val="single" w:sz="4" w:space="0" w:color="BFBFBF" w:themeColor="background1" w:themeShade="BF"/>
            </w:tcBorders>
          </w:tcPr>
          <w:p w:rsidR="00D226C7" w:rsidRPr="00D42745" w:rsidRDefault="00D226C7" w:rsidP="00802160">
            <w:pPr>
              <w:pStyle w:val="Tabletext"/>
            </w:pPr>
            <w:r w:rsidRPr="00D42745">
              <w:t>2.6%</w:t>
            </w:r>
          </w:p>
        </w:tc>
        <w:tc>
          <w:tcPr>
            <w:tcW w:w="1257" w:type="dxa"/>
            <w:tcBorders>
              <w:top w:val="single" w:sz="4" w:space="0" w:color="auto"/>
              <w:bottom w:val="single" w:sz="4" w:space="0" w:color="BFBFBF" w:themeColor="background1" w:themeShade="BF"/>
            </w:tcBorders>
          </w:tcPr>
          <w:p w:rsidR="00D226C7" w:rsidRPr="00D42745" w:rsidRDefault="00D226C7" w:rsidP="00802160">
            <w:pPr>
              <w:pStyle w:val="Tabletext"/>
            </w:pPr>
            <w:r w:rsidRPr="00D42745">
              <w:t>1.4%</w:t>
            </w:r>
          </w:p>
        </w:tc>
        <w:tc>
          <w:tcPr>
            <w:tcW w:w="1257" w:type="dxa"/>
            <w:tcBorders>
              <w:top w:val="single" w:sz="4" w:space="0" w:color="auto"/>
              <w:bottom w:val="single" w:sz="4" w:space="0" w:color="BFBFBF" w:themeColor="background1" w:themeShade="BF"/>
            </w:tcBorders>
          </w:tcPr>
          <w:p w:rsidR="00D226C7" w:rsidRPr="00D42745" w:rsidRDefault="00D226C7" w:rsidP="00802160">
            <w:pPr>
              <w:pStyle w:val="Tabletext"/>
            </w:pPr>
            <w:r w:rsidRPr="00D42745">
              <w:t>0.8%</w:t>
            </w:r>
          </w:p>
        </w:tc>
        <w:tc>
          <w:tcPr>
            <w:tcW w:w="1267" w:type="dxa"/>
            <w:tcBorders>
              <w:top w:val="single" w:sz="4" w:space="0" w:color="auto"/>
              <w:bottom w:val="single" w:sz="4" w:space="0" w:color="BFBFBF" w:themeColor="background1" w:themeShade="BF"/>
            </w:tcBorders>
          </w:tcPr>
          <w:p w:rsidR="00D226C7" w:rsidRPr="00D42745" w:rsidRDefault="00D226C7" w:rsidP="00802160">
            <w:pPr>
              <w:pStyle w:val="Tabletext"/>
            </w:pPr>
            <w:r w:rsidRPr="00D42745">
              <w:t>$1918</w:t>
            </w:r>
          </w:p>
        </w:tc>
        <w:tc>
          <w:tcPr>
            <w:tcW w:w="1268" w:type="dxa"/>
            <w:tcBorders>
              <w:top w:val="single" w:sz="4" w:space="0" w:color="auto"/>
              <w:bottom w:val="single" w:sz="4" w:space="0" w:color="BFBFBF" w:themeColor="background1" w:themeShade="BF"/>
            </w:tcBorders>
          </w:tcPr>
          <w:p w:rsidR="00D226C7" w:rsidRPr="00D42745" w:rsidRDefault="00D226C7" w:rsidP="00802160">
            <w:pPr>
              <w:pStyle w:val="Tabletext"/>
            </w:pPr>
            <w:r w:rsidRPr="00D42745">
              <w:t>$1136</w:t>
            </w:r>
          </w:p>
        </w:tc>
        <w:tc>
          <w:tcPr>
            <w:tcW w:w="1268" w:type="dxa"/>
            <w:tcBorders>
              <w:top w:val="single" w:sz="4" w:space="0" w:color="auto"/>
              <w:bottom w:val="single" w:sz="4" w:space="0" w:color="BFBFBF" w:themeColor="background1" w:themeShade="BF"/>
            </w:tcBorders>
          </w:tcPr>
          <w:p w:rsidR="00D226C7" w:rsidRPr="00D42745" w:rsidRDefault="00D226C7" w:rsidP="00802160">
            <w:pPr>
              <w:pStyle w:val="Tabletext"/>
            </w:pPr>
            <w:r w:rsidRPr="00D42745">
              <w:t>$1138</w:t>
            </w:r>
          </w:p>
        </w:tc>
      </w:tr>
    </w:tbl>
    <w:p w:rsidR="00804BA9" w:rsidRDefault="00804BA9" w:rsidP="00D226C7">
      <w:pPr>
        <w:pStyle w:val="Tabletitle"/>
      </w:pPr>
    </w:p>
    <w:p w:rsidR="00804BA9" w:rsidRDefault="00804BA9" w:rsidP="00D226C7">
      <w:pPr>
        <w:pStyle w:val="Tabletitle"/>
      </w:pPr>
    </w:p>
    <w:p w:rsidR="00804BA9" w:rsidRDefault="00804BA9" w:rsidP="00D226C7">
      <w:pPr>
        <w:pStyle w:val="Tabletitle"/>
      </w:pPr>
    </w:p>
    <w:p w:rsidR="00804BA9" w:rsidRDefault="00804BA9" w:rsidP="00D226C7">
      <w:pPr>
        <w:pStyle w:val="Tabletitle"/>
      </w:pPr>
    </w:p>
    <w:p w:rsidR="00D226C7" w:rsidRPr="003E45F6" w:rsidRDefault="00D226C7" w:rsidP="00D226C7">
      <w:pPr>
        <w:pStyle w:val="Tabletitle"/>
      </w:pPr>
      <w:r w:rsidRPr="003E45F6">
        <w:t>Table 2.4: Small business gas debt (by jurisdiction, as at 30 June)</w:t>
      </w:r>
    </w:p>
    <w:tbl>
      <w:tblPr>
        <w:tblW w:w="0" w:type="auto"/>
        <w:tblLayout w:type="fixed"/>
        <w:tblLook w:val="04A0" w:firstRow="1" w:lastRow="0" w:firstColumn="1" w:lastColumn="0" w:noHBand="0" w:noVBand="1"/>
      </w:tblPr>
      <w:tblGrid>
        <w:gridCol w:w="1814"/>
        <w:gridCol w:w="1257"/>
        <w:gridCol w:w="1258"/>
        <w:gridCol w:w="1258"/>
        <w:gridCol w:w="1267"/>
        <w:gridCol w:w="1268"/>
        <w:gridCol w:w="1268"/>
      </w:tblGrid>
      <w:tr w:rsidR="00D226C7" w:rsidRPr="00D42745" w:rsidTr="00D226C7">
        <w:tc>
          <w:tcPr>
            <w:tcW w:w="1814" w:type="dxa"/>
            <w:tcBorders>
              <w:bottom w:val="nil"/>
            </w:tcBorders>
            <w:shd w:val="clear" w:color="auto" w:fill="F2F2F2" w:themeFill="background1" w:themeFillShade="F2"/>
          </w:tcPr>
          <w:p w:rsidR="00D226C7" w:rsidRPr="006D4C8B" w:rsidRDefault="00D226C7" w:rsidP="00802160">
            <w:pPr>
              <w:pStyle w:val="Tabletext"/>
              <w:rPr>
                <w:rStyle w:val="Strong"/>
              </w:rPr>
            </w:pPr>
          </w:p>
        </w:tc>
        <w:tc>
          <w:tcPr>
            <w:tcW w:w="3773" w:type="dxa"/>
            <w:gridSpan w:val="3"/>
            <w:tcBorders>
              <w:bottom w:val="nil"/>
            </w:tcBorders>
            <w:shd w:val="clear" w:color="auto" w:fill="F2F2F2" w:themeFill="background1" w:themeFillShade="F2"/>
          </w:tcPr>
          <w:p w:rsidR="00D226C7" w:rsidRPr="006D4C8B" w:rsidRDefault="00D226C7" w:rsidP="00802160">
            <w:pPr>
              <w:pStyle w:val="Tabletext"/>
              <w:rPr>
                <w:rStyle w:val="Strong"/>
              </w:rPr>
            </w:pPr>
            <w:r w:rsidRPr="006D4C8B">
              <w:rPr>
                <w:rStyle w:val="Strong"/>
              </w:rPr>
              <w:t>Customers in debt</w:t>
            </w:r>
          </w:p>
        </w:tc>
        <w:tc>
          <w:tcPr>
            <w:tcW w:w="3803" w:type="dxa"/>
            <w:gridSpan w:val="3"/>
            <w:tcBorders>
              <w:bottom w:val="nil"/>
            </w:tcBorders>
            <w:shd w:val="clear" w:color="auto" w:fill="F2F2F2" w:themeFill="background1" w:themeFillShade="F2"/>
          </w:tcPr>
          <w:p w:rsidR="00D226C7" w:rsidRPr="006D4C8B" w:rsidRDefault="00D226C7" w:rsidP="00802160">
            <w:pPr>
              <w:pStyle w:val="Tabletext"/>
              <w:rPr>
                <w:rStyle w:val="Strong"/>
              </w:rPr>
            </w:pPr>
            <w:r w:rsidRPr="006D4C8B">
              <w:rPr>
                <w:rStyle w:val="Strong"/>
              </w:rPr>
              <w:t>Average debt</w:t>
            </w:r>
          </w:p>
        </w:tc>
      </w:tr>
      <w:tr w:rsidR="00D226C7" w:rsidRPr="00D42745" w:rsidTr="00D226C7">
        <w:tc>
          <w:tcPr>
            <w:tcW w:w="1814" w:type="dxa"/>
            <w:tcBorders>
              <w:top w:val="nil"/>
              <w:bottom w:val="single" w:sz="4" w:space="0" w:color="auto"/>
            </w:tcBorders>
            <w:shd w:val="clear" w:color="auto" w:fill="F2F2F2" w:themeFill="background1" w:themeFillShade="F2"/>
          </w:tcPr>
          <w:p w:rsidR="00D226C7" w:rsidRPr="006D4C8B" w:rsidRDefault="00D226C7" w:rsidP="00802160">
            <w:pPr>
              <w:pStyle w:val="Tabletext"/>
              <w:rPr>
                <w:rStyle w:val="Strong"/>
              </w:rPr>
            </w:pPr>
            <w:r w:rsidRPr="006D4C8B">
              <w:rPr>
                <w:rStyle w:val="Strong"/>
              </w:rPr>
              <w:t>Jurisdiction</w:t>
            </w:r>
          </w:p>
        </w:tc>
        <w:tc>
          <w:tcPr>
            <w:tcW w:w="1257" w:type="dxa"/>
            <w:tcBorders>
              <w:top w:val="nil"/>
              <w:bottom w:val="single" w:sz="4" w:space="0" w:color="auto"/>
            </w:tcBorders>
            <w:shd w:val="clear" w:color="auto" w:fill="F2F2F2" w:themeFill="background1" w:themeFillShade="F2"/>
          </w:tcPr>
          <w:p w:rsidR="00D226C7" w:rsidRPr="006D4C8B" w:rsidRDefault="00D226C7" w:rsidP="00802160">
            <w:pPr>
              <w:pStyle w:val="Tabletext"/>
              <w:rPr>
                <w:rStyle w:val="Strong"/>
              </w:rPr>
            </w:pPr>
            <w:r w:rsidRPr="006D4C8B">
              <w:rPr>
                <w:rStyle w:val="Strong"/>
              </w:rPr>
              <w:t>2013</w:t>
            </w:r>
          </w:p>
        </w:tc>
        <w:tc>
          <w:tcPr>
            <w:tcW w:w="1258" w:type="dxa"/>
            <w:tcBorders>
              <w:top w:val="nil"/>
              <w:bottom w:val="single" w:sz="4" w:space="0" w:color="auto"/>
            </w:tcBorders>
            <w:shd w:val="clear" w:color="auto" w:fill="F2F2F2" w:themeFill="background1" w:themeFillShade="F2"/>
          </w:tcPr>
          <w:p w:rsidR="00D226C7" w:rsidRPr="006D4C8B" w:rsidRDefault="00D226C7" w:rsidP="00802160">
            <w:pPr>
              <w:pStyle w:val="Tabletext"/>
              <w:rPr>
                <w:rStyle w:val="Strong"/>
              </w:rPr>
            </w:pPr>
            <w:r w:rsidRPr="006D4C8B">
              <w:rPr>
                <w:rStyle w:val="Strong"/>
              </w:rPr>
              <w:t>2014</w:t>
            </w:r>
          </w:p>
        </w:tc>
        <w:tc>
          <w:tcPr>
            <w:tcW w:w="1258" w:type="dxa"/>
            <w:tcBorders>
              <w:top w:val="nil"/>
              <w:bottom w:val="single" w:sz="4" w:space="0" w:color="auto"/>
            </w:tcBorders>
            <w:shd w:val="clear" w:color="auto" w:fill="F2F2F2" w:themeFill="background1" w:themeFillShade="F2"/>
          </w:tcPr>
          <w:p w:rsidR="00D226C7" w:rsidRPr="006D4C8B" w:rsidRDefault="00D226C7" w:rsidP="00802160">
            <w:pPr>
              <w:pStyle w:val="Tabletext"/>
              <w:rPr>
                <w:rStyle w:val="Strong"/>
              </w:rPr>
            </w:pPr>
            <w:r w:rsidRPr="006D4C8B">
              <w:rPr>
                <w:rStyle w:val="Strong"/>
              </w:rPr>
              <w:t>2015</w:t>
            </w:r>
          </w:p>
        </w:tc>
        <w:tc>
          <w:tcPr>
            <w:tcW w:w="1267" w:type="dxa"/>
            <w:tcBorders>
              <w:top w:val="nil"/>
              <w:bottom w:val="single" w:sz="4" w:space="0" w:color="auto"/>
            </w:tcBorders>
            <w:shd w:val="clear" w:color="auto" w:fill="F2F2F2" w:themeFill="background1" w:themeFillShade="F2"/>
          </w:tcPr>
          <w:p w:rsidR="00D226C7" w:rsidRPr="006D4C8B" w:rsidRDefault="00D226C7" w:rsidP="00802160">
            <w:pPr>
              <w:pStyle w:val="Tabletext"/>
              <w:rPr>
                <w:rStyle w:val="Strong"/>
              </w:rPr>
            </w:pPr>
            <w:r w:rsidRPr="006D4C8B">
              <w:rPr>
                <w:rStyle w:val="Strong"/>
              </w:rPr>
              <w:t>2013</w:t>
            </w:r>
          </w:p>
        </w:tc>
        <w:tc>
          <w:tcPr>
            <w:tcW w:w="1268" w:type="dxa"/>
            <w:tcBorders>
              <w:top w:val="nil"/>
              <w:bottom w:val="single" w:sz="4" w:space="0" w:color="auto"/>
            </w:tcBorders>
            <w:shd w:val="clear" w:color="auto" w:fill="F2F2F2" w:themeFill="background1" w:themeFillShade="F2"/>
          </w:tcPr>
          <w:p w:rsidR="00D226C7" w:rsidRPr="006D4C8B" w:rsidRDefault="00D226C7" w:rsidP="00802160">
            <w:pPr>
              <w:pStyle w:val="Tabletext"/>
              <w:rPr>
                <w:rStyle w:val="Strong"/>
              </w:rPr>
            </w:pPr>
            <w:r w:rsidRPr="006D4C8B">
              <w:rPr>
                <w:rStyle w:val="Strong"/>
              </w:rPr>
              <w:t>2014</w:t>
            </w:r>
          </w:p>
        </w:tc>
        <w:tc>
          <w:tcPr>
            <w:tcW w:w="1268" w:type="dxa"/>
            <w:tcBorders>
              <w:top w:val="nil"/>
              <w:bottom w:val="single" w:sz="4" w:space="0" w:color="auto"/>
            </w:tcBorders>
            <w:shd w:val="clear" w:color="auto" w:fill="F2F2F2" w:themeFill="background1" w:themeFillShade="F2"/>
          </w:tcPr>
          <w:p w:rsidR="00D226C7" w:rsidRPr="006D4C8B" w:rsidRDefault="00D226C7" w:rsidP="00802160">
            <w:pPr>
              <w:pStyle w:val="Tabletext"/>
              <w:rPr>
                <w:rStyle w:val="Strong"/>
              </w:rPr>
            </w:pPr>
            <w:r w:rsidRPr="006D4C8B">
              <w:rPr>
                <w:rStyle w:val="Strong"/>
              </w:rPr>
              <w:t>2015</w:t>
            </w:r>
          </w:p>
        </w:tc>
      </w:tr>
      <w:tr w:rsidR="00D226C7" w:rsidRPr="00D42745" w:rsidTr="00D226C7">
        <w:tc>
          <w:tcPr>
            <w:tcW w:w="1814" w:type="dxa"/>
            <w:tcBorders>
              <w:top w:val="single" w:sz="4" w:space="0" w:color="auto"/>
              <w:bottom w:val="single" w:sz="4" w:space="0" w:color="auto"/>
            </w:tcBorders>
          </w:tcPr>
          <w:p w:rsidR="00D226C7" w:rsidRPr="00D226C7" w:rsidRDefault="00D226C7" w:rsidP="00802160">
            <w:pPr>
              <w:pStyle w:val="Tabletext"/>
            </w:pPr>
            <w:r w:rsidRPr="00D226C7">
              <w:t>South Australia</w:t>
            </w:r>
          </w:p>
        </w:tc>
        <w:tc>
          <w:tcPr>
            <w:tcW w:w="1257" w:type="dxa"/>
            <w:tcBorders>
              <w:top w:val="single" w:sz="4" w:space="0" w:color="auto"/>
              <w:bottom w:val="single" w:sz="4" w:space="0" w:color="auto"/>
            </w:tcBorders>
          </w:tcPr>
          <w:p w:rsidR="00D226C7" w:rsidRPr="00D42745" w:rsidRDefault="00D226C7" w:rsidP="00802160">
            <w:pPr>
              <w:pStyle w:val="Tabletext"/>
            </w:pPr>
            <w:r w:rsidRPr="00D42745">
              <w:t>4.9%</w:t>
            </w:r>
          </w:p>
        </w:tc>
        <w:tc>
          <w:tcPr>
            <w:tcW w:w="1258" w:type="dxa"/>
            <w:tcBorders>
              <w:top w:val="single" w:sz="4" w:space="0" w:color="auto"/>
              <w:bottom w:val="single" w:sz="4" w:space="0" w:color="auto"/>
            </w:tcBorders>
          </w:tcPr>
          <w:p w:rsidR="00D226C7" w:rsidRPr="00D42745" w:rsidRDefault="00D226C7" w:rsidP="00802160">
            <w:pPr>
              <w:pStyle w:val="Tabletext"/>
            </w:pPr>
            <w:r w:rsidRPr="00D42745">
              <w:t>3.6%</w:t>
            </w:r>
          </w:p>
        </w:tc>
        <w:tc>
          <w:tcPr>
            <w:tcW w:w="1258" w:type="dxa"/>
            <w:tcBorders>
              <w:top w:val="single" w:sz="4" w:space="0" w:color="auto"/>
              <w:bottom w:val="single" w:sz="4" w:space="0" w:color="auto"/>
            </w:tcBorders>
          </w:tcPr>
          <w:p w:rsidR="00D226C7" w:rsidRPr="00D42745" w:rsidRDefault="00D226C7" w:rsidP="00802160">
            <w:pPr>
              <w:pStyle w:val="Tabletext"/>
            </w:pPr>
            <w:r w:rsidRPr="00D42745">
              <w:t>3.4%</w:t>
            </w:r>
          </w:p>
        </w:tc>
        <w:tc>
          <w:tcPr>
            <w:tcW w:w="1267" w:type="dxa"/>
            <w:tcBorders>
              <w:top w:val="single" w:sz="4" w:space="0" w:color="auto"/>
              <w:bottom w:val="single" w:sz="4" w:space="0" w:color="auto"/>
            </w:tcBorders>
          </w:tcPr>
          <w:p w:rsidR="00D226C7" w:rsidRPr="00D42745" w:rsidRDefault="00D226C7" w:rsidP="00802160">
            <w:pPr>
              <w:pStyle w:val="Tabletext"/>
            </w:pPr>
            <w:r w:rsidRPr="00D42745">
              <w:t>$1544</w:t>
            </w:r>
          </w:p>
        </w:tc>
        <w:tc>
          <w:tcPr>
            <w:tcW w:w="1268" w:type="dxa"/>
            <w:tcBorders>
              <w:top w:val="single" w:sz="4" w:space="0" w:color="auto"/>
              <w:bottom w:val="single" w:sz="4" w:space="0" w:color="auto"/>
            </w:tcBorders>
          </w:tcPr>
          <w:p w:rsidR="00D226C7" w:rsidRPr="00D42745" w:rsidRDefault="00D226C7" w:rsidP="00802160">
            <w:pPr>
              <w:pStyle w:val="Tabletext"/>
            </w:pPr>
            <w:r w:rsidRPr="00D42745">
              <w:t>$1571</w:t>
            </w:r>
          </w:p>
        </w:tc>
        <w:tc>
          <w:tcPr>
            <w:tcW w:w="1268" w:type="dxa"/>
            <w:tcBorders>
              <w:top w:val="single" w:sz="4" w:space="0" w:color="auto"/>
              <w:bottom w:val="single" w:sz="4" w:space="0" w:color="auto"/>
            </w:tcBorders>
          </w:tcPr>
          <w:p w:rsidR="00D226C7" w:rsidRPr="00D42745" w:rsidRDefault="00D226C7" w:rsidP="00802160">
            <w:pPr>
              <w:pStyle w:val="Tabletext"/>
            </w:pPr>
            <w:r w:rsidRPr="00D42745">
              <w:t>$1769</w:t>
            </w:r>
          </w:p>
        </w:tc>
      </w:tr>
      <w:tr w:rsidR="00D226C7" w:rsidRPr="00D42745" w:rsidTr="00D226C7">
        <w:tc>
          <w:tcPr>
            <w:tcW w:w="1814" w:type="dxa"/>
            <w:tcBorders>
              <w:top w:val="single" w:sz="4" w:space="0" w:color="auto"/>
              <w:bottom w:val="single" w:sz="4" w:space="0" w:color="auto"/>
            </w:tcBorders>
          </w:tcPr>
          <w:p w:rsidR="00D226C7" w:rsidRPr="00D226C7" w:rsidRDefault="00D226C7" w:rsidP="00802160">
            <w:pPr>
              <w:pStyle w:val="Tabletext"/>
            </w:pPr>
            <w:r w:rsidRPr="00D226C7">
              <w:t>ACT</w:t>
            </w:r>
          </w:p>
        </w:tc>
        <w:tc>
          <w:tcPr>
            <w:tcW w:w="1257" w:type="dxa"/>
            <w:tcBorders>
              <w:top w:val="single" w:sz="4" w:space="0" w:color="auto"/>
              <w:bottom w:val="single" w:sz="4" w:space="0" w:color="auto"/>
            </w:tcBorders>
          </w:tcPr>
          <w:p w:rsidR="00D226C7" w:rsidRPr="00D42745" w:rsidRDefault="00D226C7" w:rsidP="00802160">
            <w:pPr>
              <w:pStyle w:val="Tabletext"/>
            </w:pPr>
            <w:r w:rsidRPr="00D42745">
              <w:t>9.8%</w:t>
            </w:r>
          </w:p>
        </w:tc>
        <w:tc>
          <w:tcPr>
            <w:tcW w:w="1258" w:type="dxa"/>
            <w:tcBorders>
              <w:top w:val="single" w:sz="4" w:space="0" w:color="auto"/>
              <w:bottom w:val="single" w:sz="4" w:space="0" w:color="auto"/>
            </w:tcBorders>
          </w:tcPr>
          <w:p w:rsidR="00D226C7" w:rsidRPr="00D42745" w:rsidRDefault="00D226C7" w:rsidP="00802160">
            <w:pPr>
              <w:pStyle w:val="Tabletext"/>
            </w:pPr>
            <w:r w:rsidRPr="00D42745">
              <w:t>9.5%</w:t>
            </w:r>
          </w:p>
        </w:tc>
        <w:tc>
          <w:tcPr>
            <w:tcW w:w="1258" w:type="dxa"/>
            <w:tcBorders>
              <w:top w:val="single" w:sz="4" w:space="0" w:color="auto"/>
              <w:bottom w:val="single" w:sz="4" w:space="0" w:color="auto"/>
            </w:tcBorders>
          </w:tcPr>
          <w:p w:rsidR="00D226C7" w:rsidRPr="00D42745" w:rsidRDefault="00D226C7" w:rsidP="00802160">
            <w:pPr>
              <w:pStyle w:val="Tabletext"/>
            </w:pPr>
            <w:r w:rsidRPr="00D42745">
              <w:t>10.8%</w:t>
            </w:r>
          </w:p>
        </w:tc>
        <w:tc>
          <w:tcPr>
            <w:tcW w:w="1267" w:type="dxa"/>
            <w:tcBorders>
              <w:top w:val="single" w:sz="4" w:space="0" w:color="auto"/>
              <w:bottom w:val="single" w:sz="4" w:space="0" w:color="auto"/>
            </w:tcBorders>
          </w:tcPr>
          <w:p w:rsidR="00D226C7" w:rsidRPr="00D42745" w:rsidRDefault="00D226C7" w:rsidP="00802160">
            <w:pPr>
              <w:pStyle w:val="Tabletext"/>
            </w:pPr>
            <w:r w:rsidRPr="00D42745">
              <w:t>$2097</w:t>
            </w:r>
          </w:p>
        </w:tc>
        <w:tc>
          <w:tcPr>
            <w:tcW w:w="1268" w:type="dxa"/>
            <w:tcBorders>
              <w:top w:val="single" w:sz="4" w:space="0" w:color="auto"/>
              <w:bottom w:val="single" w:sz="4" w:space="0" w:color="auto"/>
            </w:tcBorders>
          </w:tcPr>
          <w:p w:rsidR="00D226C7" w:rsidRPr="00D42745" w:rsidRDefault="00D226C7" w:rsidP="00802160">
            <w:pPr>
              <w:pStyle w:val="Tabletext"/>
            </w:pPr>
            <w:r w:rsidRPr="00D42745">
              <w:t>$1537</w:t>
            </w:r>
          </w:p>
        </w:tc>
        <w:tc>
          <w:tcPr>
            <w:tcW w:w="1268" w:type="dxa"/>
            <w:tcBorders>
              <w:top w:val="single" w:sz="4" w:space="0" w:color="auto"/>
              <w:bottom w:val="single" w:sz="4" w:space="0" w:color="auto"/>
            </w:tcBorders>
          </w:tcPr>
          <w:p w:rsidR="00D226C7" w:rsidRPr="00D42745" w:rsidRDefault="00D226C7" w:rsidP="00802160">
            <w:pPr>
              <w:pStyle w:val="Tabletext"/>
            </w:pPr>
            <w:r w:rsidRPr="00D42745">
              <w:t>$1499</w:t>
            </w:r>
          </w:p>
        </w:tc>
      </w:tr>
      <w:tr w:rsidR="00D226C7" w:rsidRPr="00D42745" w:rsidTr="00D226C7">
        <w:tc>
          <w:tcPr>
            <w:tcW w:w="1814" w:type="dxa"/>
            <w:tcBorders>
              <w:top w:val="single" w:sz="4" w:space="0" w:color="auto"/>
              <w:bottom w:val="single" w:sz="4" w:space="0" w:color="BFBFBF" w:themeColor="background1" w:themeShade="BF"/>
            </w:tcBorders>
          </w:tcPr>
          <w:p w:rsidR="00D226C7" w:rsidRPr="00D226C7" w:rsidRDefault="00D226C7" w:rsidP="00802160">
            <w:pPr>
              <w:pStyle w:val="Tabletext"/>
            </w:pPr>
            <w:r w:rsidRPr="00D226C7">
              <w:t>New South Wales</w:t>
            </w:r>
          </w:p>
        </w:tc>
        <w:tc>
          <w:tcPr>
            <w:tcW w:w="1257" w:type="dxa"/>
            <w:tcBorders>
              <w:top w:val="single" w:sz="4" w:space="0" w:color="auto"/>
              <w:bottom w:val="single" w:sz="4" w:space="0" w:color="BFBFBF" w:themeColor="background1" w:themeShade="BF"/>
            </w:tcBorders>
          </w:tcPr>
          <w:p w:rsidR="00D226C7" w:rsidRPr="00D42745" w:rsidRDefault="00D226C7" w:rsidP="00802160">
            <w:pPr>
              <w:pStyle w:val="Tabletext"/>
            </w:pPr>
            <w:r w:rsidRPr="00D42745">
              <w:t>N/A</w:t>
            </w:r>
          </w:p>
        </w:tc>
        <w:tc>
          <w:tcPr>
            <w:tcW w:w="1258" w:type="dxa"/>
            <w:tcBorders>
              <w:top w:val="single" w:sz="4" w:space="0" w:color="auto"/>
              <w:bottom w:val="single" w:sz="4" w:space="0" w:color="BFBFBF" w:themeColor="background1" w:themeShade="BF"/>
            </w:tcBorders>
          </w:tcPr>
          <w:p w:rsidR="00D226C7" w:rsidRPr="00D42745" w:rsidRDefault="00D226C7" w:rsidP="00802160">
            <w:pPr>
              <w:pStyle w:val="Tabletext"/>
            </w:pPr>
            <w:r w:rsidRPr="00D42745">
              <w:t>7.2%</w:t>
            </w:r>
          </w:p>
        </w:tc>
        <w:tc>
          <w:tcPr>
            <w:tcW w:w="1258" w:type="dxa"/>
            <w:tcBorders>
              <w:top w:val="single" w:sz="4" w:space="0" w:color="auto"/>
              <w:bottom w:val="single" w:sz="4" w:space="0" w:color="BFBFBF" w:themeColor="background1" w:themeShade="BF"/>
            </w:tcBorders>
          </w:tcPr>
          <w:p w:rsidR="00D226C7" w:rsidRPr="00D42745" w:rsidRDefault="00D226C7" w:rsidP="00802160">
            <w:pPr>
              <w:pStyle w:val="Tabletext"/>
            </w:pPr>
            <w:r w:rsidRPr="00D42745">
              <w:t>6.8%</w:t>
            </w:r>
          </w:p>
        </w:tc>
        <w:tc>
          <w:tcPr>
            <w:tcW w:w="1267" w:type="dxa"/>
            <w:tcBorders>
              <w:top w:val="single" w:sz="4" w:space="0" w:color="auto"/>
              <w:bottom w:val="single" w:sz="4" w:space="0" w:color="BFBFBF" w:themeColor="background1" w:themeShade="BF"/>
            </w:tcBorders>
          </w:tcPr>
          <w:p w:rsidR="00D226C7" w:rsidRPr="00D42745" w:rsidRDefault="00D226C7" w:rsidP="00802160">
            <w:pPr>
              <w:pStyle w:val="Tabletext"/>
            </w:pPr>
            <w:r w:rsidRPr="00D42745">
              <w:t>N/A</w:t>
            </w:r>
          </w:p>
        </w:tc>
        <w:tc>
          <w:tcPr>
            <w:tcW w:w="1268" w:type="dxa"/>
            <w:tcBorders>
              <w:top w:val="single" w:sz="4" w:space="0" w:color="auto"/>
              <w:bottom w:val="single" w:sz="4" w:space="0" w:color="BFBFBF" w:themeColor="background1" w:themeShade="BF"/>
            </w:tcBorders>
          </w:tcPr>
          <w:p w:rsidR="00D226C7" w:rsidRPr="00D42745" w:rsidRDefault="00D226C7" w:rsidP="00802160">
            <w:pPr>
              <w:pStyle w:val="Tabletext"/>
            </w:pPr>
            <w:r w:rsidRPr="00D42745">
              <w:t>$1679</w:t>
            </w:r>
          </w:p>
        </w:tc>
        <w:tc>
          <w:tcPr>
            <w:tcW w:w="1268" w:type="dxa"/>
            <w:tcBorders>
              <w:top w:val="single" w:sz="4" w:space="0" w:color="auto"/>
              <w:bottom w:val="single" w:sz="4" w:space="0" w:color="BFBFBF" w:themeColor="background1" w:themeShade="BF"/>
            </w:tcBorders>
          </w:tcPr>
          <w:p w:rsidR="00D226C7" w:rsidRPr="00D42745" w:rsidRDefault="00D226C7" w:rsidP="00802160">
            <w:pPr>
              <w:pStyle w:val="Tabletext"/>
            </w:pPr>
            <w:r w:rsidRPr="00D42745">
              <w:t>$2057</w:t>
            </w:r>
          </w:p>
        </w:tc>
      </w:tr>
    </w:tbl>
    <w:p w:rsidR="00D226C7" w:rsidRPr="00D226C7" w:rsidRDefault="00975582" w:rsidP="00975582">
      <w:pPr>
        <w:pStyle w:val="Heading2"/>
      </w:pPr>
      <w:bookmarkStart w:id="17" w:name="_Toc433026811"/>
      <w:r>
        <w:t>P</w:t>
      </w:r>
      <w:r w:rsidR="00D226C7" w:rsidRPr="00D226C7">
        <w:t>ayment plans</w:t>
      </w:r>
      <w:bookmarkEnd w:id="17"/>
    </w:p>
    <w:p w:rsidR="00D226C7" w:rsidRPr="00D226C7" w:rsidRDefault="00D226C7" w:rsidP="00D226C7">
      <w:r w:rsidRPr="00D42745">
        <w:t>The Retail Law requires energy retailers to offer payment plans to customers experiencing payment difficulties. A payment plan is a plan for a residential customer experiencing payment difficulties to pay a retailer by periodic instalments, any overdue amount payable by the customer.</w:t>
      </w:r>
      <w:r w:rsidRPr="00D226C7">
        <w:rPr>
          <w:rStyle w:val="FootnoteReference"/>
        </w:rPr>
        <w:footnoteReference w:id="15"/>
      </w:r>
      <w:r w:rsidRPr="00D226C7">
        <w:t xml:space="preserve"> </w:t>
      </w:r>
    </w:p>
    <w:p w:rsidR="00D226C7" w:rsidRPr="00D42745" w:rsidRDefault="00D226C7" w:rsidP="00D226C7">
      <w:r w:rsidRPr="00D42745">
        <w:t xml:space="preserve">Customers should contact their retailer for assistance when it is required. </w:t>
      </w:r>
      <w:r w:rsidR="00BA31DD">
        <w:t>R</w:t>
      </w:r>
      <w:r w:rsidRPr="00D42745">
        <w:t>etailers should also promptly identify customers that are in debt and help them mana</w:t>
      </w:r>
      <w:r w:rsidR="00EC337F">
        <w:t>ge debt through payment plans or</w:t>
      </w:r>
      <w:r w:rsidRPr="00D42745">
        <w:t xml:space="preserve"> hardship programs. </w:t>
      </w:r>
    </w:p>
    <w:p w:rsidR="00D226C7" w:rsidRPr="00D42745" w:rsidRDefault="00D226C7" w:rsidP="00D226C7">
      <w:r w:rsidRPr="00D42745">
        <w:t xml:space="preserve">Table 2.5 shows the number of residential customers on a payment plan for each retailer in each jurisdiction, as well as the number of payment plan cancellations that occurred in 2014-15. The number of customers on payment plans increased in New South Wales and the ACT, but decreased in South Australia and Tasmania in 2014-15. </w:t>
      </w:r>
    </w:p>
    <w:p w:rsidR="00D226C7" w:rsidRPr="003E45F6" w:rsidRDefault="00D226C7" w:rsidP="00D226C7">
      <w:pPr>
        <w:pStyle w:val="Tabletitle"/>
      </w:pPr>
      <w:r w:rsidRPr="003E45F6">
        <w:t>Table 2.5: Customers on payment plans as at 30 June 2015 (change since 2014) and with payment plans cancelled during 2014-15</w:t>
      </w:r>
    </w:p>
    <w:tbl>
      <w:tblPr>
        <w:tblW w:w="0" w:type="auto"/>
        <w:tblBorders>
          <w:top w:val="single" w:sz="4" w:space="0" w:color="BFBFBF" w:themeColor="background1" w:themeShade="BF"/>
          <w:bottom w:val="single" w:sz="2" w:space="0" w:color="auto"/>
          <w:insideH w:val="single" w:sz="2" w:space="0" w:color="auto"/>
        </w:tblBorders>
        <w:tblLayout w:type="fixed"/>
        <w:tblLook w:val="04A0" w:firstRow="1" w:lastRow="0" w:firstColumn="1" w:lastColumn="0" w:noHBand="0" w:noVBand="1"/>
      </w:tblPr>
      <w:tblGrid>
        <w:gridCol w:w="2268"/>
        <w:gridCol w:w="851"/>
        <w:gridCol w:w="851"/>
        <w:gridCol w:w="851"/>
        <w:gridCol w:w="851"/>
        <w:gridCol w:w="1701"/>
        <w:gridCol w:w="1701"/>
      </w:tblGrid>
      <w:tr w:rsidR="00D226C7" w:rsidRPr="00D42745" w:rsidTr="00D226C7">
        <w:tc>
          <w:tcPr>
            <w:tcW w:w="2268" w:type="dxa"/>
            <w:shd w:val="clear" w:color="auto" w:fill="F2F2F2" w:themeFill="background1" w:themeFillShade="F2"/>
          </w:tcPr>
          <w:p w:rsidR="00D226C7" w:rsidRPr="006D4C8B" w:rsidRDefault="00D226C7" w:rsidP="00802160">
            <w:pPr>
              <w:pStyle w:val="Tabletext"/>
              <w:rPr>
                <w:rStyle w:val="Strong"/>
              </w:rPr>
            </w:pPr>
            <w:r w:rsidRPr="006D4C8B">
              <w:rPr>
                <w:rStyle w:val="Strong"/>
              </w:rPr>
              <w:t>Retailer</w:t>
            </w:r>
          </w:p>
        </w:tc>
        <w:tc>
          <w:tcPr>
            <w:tcW w:w="3404" w:type="dxa"/>
            <w:gridSpan w:val="4"/>
            <w:shd w:val="clear" w:color="auto" w:fill="F2F2F2" w:themeFill="background1" w:themeFillShade="F2"/>
          </w:tcPr>
          <w:p w:rsidR="00D226C7" w:rsidRPr="006D4C8B" w:rsidRDefault="00D226C7" w:rsidP="00802160">
            <w:pPr>
              <w:pStyle w:val="Tabletext"/>
              <w:rPr>
                <w:rStyle w:val="Strong"/>
              </w:rPr>
            </w:pPr>
            <w:r w:rsidRPr="006D4C8B">
              <w:rPr>
                <w:rStyle w:val="Strong"/>
              </w:rPr>
              <w:t>Customers on payment plans (per 100)</w:t>
            </w:r>
          </w:p>
        </w:tc>
        <w:tc>
          <w:tcPr>
            <w:tcW w:w="3402" w:type="dxa"/>
            <w:gridSpan w:val="2"/>
            <w:shd w:val="clear" w:color="auto" w:fill="F2F2F2" w:themeFill="background1" w:themeFillShade="F2"/>
          </w:tcPr>
          <w:p w:rsidR="00D226C7" w:rsidRPr="006D4C8B" w:rsidRDefault="00D226C7" w:rsidP="00802160">
            <w:pPr>
              <w:pStyle w:val="Tabletext"/>
              <w:rPr>
                <w:rStyle w:val="Strong"/>
              </w:rPr>
            </w:pPr>
            <w:r w:rsidRPr="006D4C8B">
              <w:rPr>
                <w:rStyle w:val="Strong"/>
              </w:rPr>
              <w:t>Customers with payment plans cancelled (per 100)</w:t>
            </w:r>
          </w:p>
        </w:tc>
      </w:tr>
      <w:tr w:rsidR="00D226C7" w:rsidRPr="00D42745" w:rsidTr="00D226C7">
        <w:trPr>
          <w:trHeight w:hRule="exact" w:val="312"/>
        </w:trPr>
        <w:tc>
          <w:tcPr>
            <w:tcW w:w="2268" w:type="dxa"/>
          </w:tcPr>
          <w:p w:rsidR="00D226C7" w:rsidRPr="00D42745" w:rsidRDefault="00D226C7" w:rsidP="00802160">
            <w:pPr>
              <w:pStyle w:val="Tabletext"/>
            </w:pPr>
          </w:p>
        </w:tc>
        <w:tc>
          <w:tcPr>
            <w:tcW w:w="1702" w:type="dxa"/>
            <w:gridSpan w:val="2"/>
          </w:tcPr>
          <w:p w:rsidR="00D226C7" w:rsidRPr="000270CF" w:rsidRDefault="00D226C7" w:rsidP="00802160">
            <w:pPr>
              <w:pStyle w:val="Tabletext"/>
              <w:rPr>
                <w:rStyle w:val="Strong"/>
              </w:rPr>
            </w:pPr>
            <w:r w:rsidRPr="000270CF">
              <w:rPr>
                <w:rStyle w:val="Strong"/>
              </w:rPr>
              <w:t>Electricity</w:t>
            </w:r>
          </w:p>
        </w:tc>
        <w:tc>
          <w:tcPr>
            <w:tcW w:w="1702" w:type="dxa"/>
            <w:gridSpan w:val="2"/>
          </w:tcPr>
          <w:p w:rsidR="00D226C7" w:rsidRPr="000270CF" w:rsidRDefault="00D226C7" w:rsidP="00802160">
            <w:pPr>
              <w:pStyle w:val="Tabletext"/>
              <w:rPr>
                <w:rStyle w:val="Strong"/>
              </w:rPr>
            </w:pPr>
            <w:r w:rsidRPr="000270CF">
              <w:rPr>
                <w:rStyle w:val="Strong"/>
              </w:rPr>
              <w:t>Gas</w:t>
            </w:r>
          </w:p>
        </w:tc>
        <w:tc>
          <w:tcPr>
            <w:tcW w:w="1701" w:type="dxa"/>
          </w:tcPr>
          <w:p w:rsidR="00D226C7" w:rsidRPr="000270CF" w:rsidRDefault="00D226C7" w:rsidP="00802160">
            <w:pPr>
              <w:pStyle w:val="Tabletext"/>
              <w:rPr>
                <w:rStyle w:val="Strong"/>
              </w:rPr>
            </w:pPr>
            <w:r w:rsidRPr="000270CF">
              <w:rPr>
                <w:rStyle w:val="Strong"/>
              </w:rPr>
              <w:t>Electricity</w:t>
            </w:r>
          </w:p>
        </w:tc>
        <w:tc>
          <w:tcPr>
            <w:tcW w:w="1701" w:type="dxa"/>
          </w:tcPr>
          <w:p w:rsidR="00D226C7" w:rsidRPr="000270CF" w:rsidRDefault="00D226C7" w:rsidP="00802160">
            <w:pPr>
              <w:pStyle w:val="Tabletext"/>
              <w:rPr>
                <w:rStyle w:val="Strong"/>
              </w:rPr>
            </w:pPr>
            <w:r w:rsidRPr="000270CF">
              <w:rPr>
                <w:rStyle w:val="Strong"/>
              </w:rPr>
              <w:t>Gas</w:t>
            </w:r>
          </w:p>
        </w:tc>
      </w:tr>
      <w:tr w:rsidR="00D226C7" w:rsidRPr="00D42745" w:rsidTr="00D226C7">
        <w:trPr>
          <w:trHeight w:hRule="exact" w:val="312"/>
        </w:trPr>
        <w:tc>
          <w:tcPr>
            <w:tcW w:w="2268" w:type="dxa"/>
          </w:tcPr>
          <w:p w:rsidR="00D226C7" w:rsidRPr="006D4C8B" w:rsidRDefault="00D226C7" w:rsidP="00802160">
            <w:pPr>
              <w:pStyle w:val="Tabletext"/>
              <w:rPr>
                <w:rStyle w:val="Strong"/>
              </w:rPr>
            </w:pPr>
            <w:r w:rsidRPr="006D4C8B">
              <w:rPr>
                <w:rStyle w:val="Strong"/>
              </w:rPr>
              <w:t>South Australia</w:t>
            </w:r>
          </w:p>
        </w:tc>
        <w:tc>
          <w:tcPr>
            <w:tcW w:w="851" w:type="dxa"/>
          </w:tcPr>
          <w:p w:rsidR="00D226C7" w:rsidRPr="00D42745" w:rsidRDefault="00D226C7" w:rsidP="00802160">
            <w:pPr>
              <w:pStyle w:val="Tabletext"/>
            </w:pPr>
          </w:p>
        </w:tc>
        <w:tc>
          <w:tcPr>
            <w:tcW w:w="851" w:type="dxa"/>
          </w:tcPr>
          <w:p w:rsidR="00D226C7" w:rsidRPr="00D42745" w:rsidRDefault="00D226C7" w:rsidP="00802160">
            <w:pPr>
              <w:pStyle w:val="Tabletext"/>
            </w:pPr>
          </w:p>
        </w:tc>
        <w:tc>
          <w:tcPr>
            <w:tcW w:w="851" w:type="dxa"/>
          </w:tcPr>
          <w:p w:rsidR="00D226C7" w:rsidRPr="00D42745" w:rsidRDefault="00D226C7" w:rsidP="00802160">
            <w:pPr>
              <w:pStyle w:val="Tabletext"/>
            </w:pPr>
          </w:p>
        </w:tc>
        <w:tc>
          <w:tcPr>
            <w:tcW w:w="851" w:type="dxa"/>
          </w:tcPr>
          <w:p w:rsidR="00D226C7" w:rsidRPr="00D42745" w:rsidRDefault="00D226C7" w:rsidP="00802160">
            <w:pPr>
              <w:pStyle w:val="Tabletext"/>
            </w:pPr>
          </w:p>
        </w:tc>
        <w:tc>
          <w:tcPr>
            <w:tcW w:w="1701" w:type="dxa"/>
          </w:tcPr>
          <w:p w:rsidR="00D226C7" w:rsidRPr="00D42745" w:rsidRDefault="00D226C7" w:rsidP="00802160">
            <w:pPr>
              <w:pStyle w:val="Tabletext"/>
            </w:pPr>
          </w:p>
        </w:tc>
        <w:tc>
          <w:tcPr>
            <w:tcW w:w="1701" w:type="dxa"/>
          </w:tcPr>
          <w:p w:rsidR="00D226C7" w:rsidRPr="00D42745" w:rsidRDefault="00D226C7" w:rsidP="00802160">
            <w:pPr>
              <w:pStyle w:val="Tabletext"/>
            </w:pPr>
          </w:p>
        </w:tc>
      </w:tr>
      <w:tr w:rsidR="00D226C7" w:rsidRPr="00D42745" w:rsidTr="00D226C7">
        <w:trPr>
          <w:trHeight w:hRule="exact" w:val="312"/>
        </w:trPr>
        <w:tc>
          <w:tcPr>
            <w:tcW w:w="2268" w:type="dxa"/>
          </w:tcPr>
          <w:p w:rsidR="00D226C7" w:rsidRPr="00D226C7" w:rsidRDefault="00D226C7" w:rsidP="00802160">
            <w:pPr>
              <w:pStyle w:val="Tabletext"/>
            </w:pPr>
            <w:r w:rsidRPr="00D226C7">
              <w:t xml:space="preserve">AGL </w:t>
            </w:r>
          </w:p>
        </w:tc>
        <w:tc>
          <w:tcPr>
            <w:tcW w:w="851" w:type="dxa"/>
          </w:tcPr>
          <w:p w:rsidR="00D226C7" w:rsidRPr="00D42745" w:rsidRDefault="00D226C7" w:rsidP="00802160">
            <w:pPr>
              <w:pStyle w:val="Tabletext"/>
            </w:pPr>
            <w:r w:rsidRPr="00D42745">
              <w:t>0.64</w:t>
            </w:r>
          </w:p>
        </w:tc>
        <w:tc>
          <w:tcPr>
            <w:tcW w:w="851" w:type="dxa"/>
          </w:tcPr>
          <w:p w:rsidR="00D226C7" w:rsidRPr="00D226C7" w:rsidRDefault="00D226C7" w:rsidP="00802160">
            <w:pPr>
              <w:pStyle w:val="Tabletext"/>
            </w:pPr>
            <w:r w:rsidRPr="00D226C7">
              <w:t>▼0.20</w:t>
            </w:r>
          </w:p>
        </w:tc>
        <w:tc>
          <w:tcPr>
            <w:tcW w:w="851" w:type="dxa"/>
          </w:tcPr>
          <w:p w:rsidR="00D226C7" w:rsidRPr="00D42745" w:rsidRDefault="00D226C7" w:rsidP="00802160">
            <w:pPr>
              <w:pStyle w:val="Tabletext"/>
            </w:pPr>
            <w:r w:rsidRPr="00D42745">
              <w:t>0.29</w:t>
            </w:r>
          </w:p>
        </w:tc>
        <w:tc>
          <w:tcPr>
            <w:tcW w:w="851" w:type="dxa"/>
          </w:tcPr>
          <w:p w:rsidR="00D226C7" w:rsidRPr="00D226C7" w:rsidRDefault="00D226C7" w:rsidP="00802160">
            <w:pPr>
              <w:pStyle w:val="Tabletext"/>
            </w:pPr>
            <w:r w:rsidRPr="00D226C7">
              <w:t>▼0.02</w:t>
            </w:r>
          </w:p>
        </w:tc>
        <w:tc>
          <w:tcPr>
            <w:tcW w:w="1701" w:type="dxa"/>
          </w:tcPr>
          <w:p w:rsidR="00D226C7" w:rsidRPr="00D42745" w:rsidRDefault="00D226C7" w:rsidP="00802160">
            <w:pPr>
              <w:pStyle w:val="Tabletext"/>
            </w:pPr>
            <w:r w:rsidRPr="00D42745">
              <w:t>2.26</w:t>
            </w:r>
          </w:p>
        </w:tc>
        <w:tc>
          <w:tcPr>
            <w:tcW w:w="1701" w:type="dxa"/>
          </w:tcPr>
          <w:p w:rsidR="00D226C7" w:rsidRPr="00D42745" w:rsidRDefault="00D226C7" w:rsidP="00802160">
            <w:pPr>
              <w:pStyle w:val="Tabletext"/>
            </w:pPr>
            <w:r w:rsidRPr="00D42745">
              <w:t>1.40</w:t>
            </w:r>
          </w:p>
        </w:tc>
      </w:tr>
      <w:tr w:rsidR="00D226C7" w:rsidRPr="00D42745" w:rsidTr="00D226C7">
        <w:trPr>
          <w:trHeight w:hRule="exact" w:val="312"/>
        </w:trPr>
        <w:tc>
          <w:tcPr>
            <w:tcW w:w="2268" w:type="dxa"/>
          </w:tcPr>
          <w:p w:rsidR="00D226C7" w:rsidRPr="00D226C7" w:rsidRDefault="00D226C7" w:rsidP="00802160">
            <w:pPr>
              <w:pStyle w:val="Tabletext"/>
            </w:pPr>
            <w:r w:rsidRPr="00D226C7">
              <w:t>Alinta Energy</w:t>
            </w:r>
          </w:p>
        </w:tc>
        <w:tc>
          <w:tcPr>
            <w:tcW w:w="851" w:type="dxa"/>
          </w:tcPr>
          <w:p w:rsidR="00D226C7" w:rsidRPr="00D42745" w:rsidRDefault="00D226C7" w:rsidP="00802160">
            <w:pPr>
              <w:pStyle w:val="Tabletext"/>
            </w:pPr>
            <w:r w:rsidRPr="00D42745">
              <w:t>4.50</w:t>
            </w:r>
          </w:p>
        </w:tc>
        <w:tc>
          <w:tcPr>
            <w:tcW w:w="851" w:type="dxa"/>
          </w:tcPr>
          <w:p w:rsidR="00D226C7" w:rsidRPr="00D226C7" w:rsidRDefault="00D226C7" w:rsidP="00802160">
            <w:pPr>
              <w:pStyle w:val="Tabletext"/>
            </w:pPr>
            <w:r w:rsidRPr="00D226C7">
              <w:t>▼2.63</w:t>
            </w:r>
          </w:p>
        </w:tc>
        <w:tc>
          <w:tcPr>
            <w:tcW w:w="851" w:type="dxa"/>
          </w:tcPr>
          <w:p w:rsidR="00D226C7" w:rsidRPr="00D42745" w:rsidRDefault="00D226C7" w:rsidP="00802160">
            <w:pPr>
              <w:pStyle w:val="Tabletext"/>
            </w:pPr>
            <w:r w:rsidRPr="00D42745">
              <w:t>2.36</w:t>
            </w:r>
          </w:p>
        </w:tc>
        <w:tc>
          <w:tcPr>
            <w:tcW w:w="851" w:type="dxa"/>
          </w:tcPr>
          <w:p w:rsidR="00D226C7" w:rsidRPr="00D226C7" w:rsidRDefault="00D226C7" w:rsidP="00802160">
            <w:pPr>
              <w:pStyle w:val="Tabletext"/>
            </w:pPr>
            <w:r w:rsidRPr="00D226C7">
              <w:t>▼0.70</w:t>
            </w:r>
          </w:p>
        </w:tc>
        <w:tc>
          <w:tcPr>
            <w:tcW w:w="1701" w:type="dxa"/>
          </w:tcPr>
          <w:p w:rsidR="00D226C7" w:rsidRPr="00D42745" w:rsidRDefault="00D226C7" w:rsidP="00802160">
            <w:pPr>
              <w:pStyle w:val="Tabletext"/>
            </w:pPr>
            <w:r w:rsidRPr="00D42745">
              <w:t>13.97</w:t>
            </w:r>
          </w:p>
        </w:tc>
        <w:tc>
          <w:tcPr>
            <w:tcW w:w="1701" w:type="dxa"/>
          </w:tcPr>
          <w:p w:rsidR="00D226C7" w:rsidRPr="00D42745" w:rsidRDefault="00D226C7" w:rsidP="00802160">
            <w:pPr>
              <w:pStyle w:val="Tabletext"/>
            </w:pPr>
            <w:r w:rsidRPr="00D42745">
              <w:t>9.97</w:t>
            </w:r>
          </w:p>
        </w:tc>
      </w:tr>
      <w:tr w:rsidR="00D226C7" w:rsidRPr="00D42745" w:rsidTr="00D226C7">
        <w:trPr>
          <w:trHeight w:hRule="exact" w:val="312"/>
        </w:trPr>
        <w:tc>
          <w:tcPr>
            <w:tcW w:w="2268" w:type="dxa"/>
          </w:tcPr>
          <w:p w:rsidR="00D226C7" w:rsidRPr="00D226C7" w:rsidRDefault="00D226C7" w:rsidP="00802160">
            <w:pPr>
              <w:pStyle w:val="Tabletext"/>
            </w:pPr>
            <w:r w:rsidRPr="00D226C7">
              <w:t>Diamond Energy</w:t>
            </w:r>
          </w:p>
        </w:tc>
        <w:tc>
          <w:tcPr>
            <w:tcW w:w="851" w:type="dxa"/>
          </w:tcPr>
          <w:p w:rsidR="00D226C7" w:rsidRPr="00D42745" w:rsidRDefault="00D226C7" w:rsidP="00802160">
            <w:pPr>
              <w:pStyle w:val="Tabletext"/>
            </w:pPr>
            <w:r w:rsidRPr="00D42745">
              <w:t>2.13</w:t>
            </w:r>
          </w:p>
        </w:tc>
        <w:tc>
          <w:tcPr>
            <w:tcW w:w="851" w:type="dxa"/>
          </w:tcPr>
          <w:p w:rsidR="00D226C7" w:rsidRPr="00D226C7" w:rsidRDefault="00D226C7" w:rsidP="00802160">
            <w:pPr>
              <w:pStyle w:val="Tabletext"/>
            </w:pPr>
            <w:r w:rsidRPr="00D226C7">
              <w:t>▲1.27</w:t>
            </w:r>
          </w:p>
        </w:tc>
        <w:tc>
          <w:tcPr>
            <w:tcW w:w="851" w:type="dxa"/>
          </w:tcPr>
          <w:p w:rsidR="00D226C7" w:rsidRPr="00D42745" w:rsidRDefault="00D226C7" w:rsidP="00802160">
            <w:pPr>
              <w:pStyle w:val="Tabletext"/>
            </w:pPr>
            <w:r w:rsidRPr="00D42745">
              <w:t>-</w:t>
            </w:r>
          </w:p>
        </w:tc>
        <w:tc>
          <w:tcPr>
            <w:tcW w:w="851" w:type="dxa"/>
          </w:tcPr>
          <w:p w:rsidR="00D226C7" w:rsidRPr="00D42745" w:rsidRDefault="00D226C7" w:rsidP="00802160">
            <w:pPr>
              <w:pStyle w:val="Tabletext"/>
            </w:pPr>
            <w:r w:rsidRPr="00D42745">
              <w:t>-</w:t>
            </w:r>
          </w:p>
        </w:tc>
        <w:tc>
          <w:tcPr>
            <w:tcW w:w="1701" w:type="dxa"/>
          </w:tcPr>
          <w:p w:rsidR="00D226C7" w:rsidRPr="00D42745" w:rsidRDefault="00D226C7" w:rsidP="00802160">
            <w:pPr>
              <w:pStyle w:val="Tabletext"/>
            </w:pPr>
            <w:r w:rsidRPr="00D42745">
              <w:t>0.00</w:t>
            </w:r>
          </w:p>
        </w:tc>
        <w:tc>
          <w:tcPr>
            <w:tcW w:w="1701" w:type="dxa"/>
          </w:tcPr>
          <w:p w:rsidR="00D226C7" w:rsidRPr="00D42745" w:rsidRDefault="00D226C7" w:rsidP="00802160">
            <w:pPr>
              <w:pStyle w:val="Tabletext"/>
            </w:pPr>
            <w:r w:rsidRPr="00D42745">
              <w:t>-</w:t>
            </w:r>
          </w:p>
        </w:tc>
      </w:tr>
      <w:tr w:rsidR="00D226C7" w:rsidRPr="00D42745" w:rsidTr="00D226C7">
        <w:trPr>
          <w:trHeight w:hRule="exact" w:val="312"/>
        </w:trPr>
        <w:tc>
          <w:tcPr>
            <w:tcW w:w="2268" w:type="dxa"/>
          </w:tcPr>
          <w:p w:rsidR="00D226C7" w:rsidRPr="00D226C7" w:rsidRDefault="00D226C7" w:rsidP="00802160">
            <w:pPr>
              <w:pStyle w:val="Tabletext"/>
            </w:pPr>
            <w:r w:rsidRPr="00D226C7">
              <w:t>EnergyAustralia</w:t>
            </w:r>
          </w:p>
        </w:tc>
        <w:tc>
          <w:tcPr>
            <w:tcW w:w="851" w:type="dxa"/>
          </w:tcPr>
          <w:p w:rsidR="00D226C7" w:rsidRPr="00D42745" w:rsidRDefault="00D226C7" w:rsidP="00802160">
            <w:pPr>
              <w:pStyle w:val="Tabletext"/>
            </w:pPr>
            <w:r w:rsidRPr="00D42745">
              <w:t>10.19</w:t>
            </w:r>
          </w:p>
        </w:tc>
        <w:tc>
          <w:tcPr>
            <w:tcW w:w="851" w:type="dxa"/>
          </w:tcPr>
          <w:p w:rsidR="00D226C7" w:rsidRPr="00D226C7" w:rsidRDefault="00D226C7" w:rsidP="00802160">
            <w:pPr>
              <w:pStyle w:val="Tabletext"/>
            </w:pPr>
            <w:r w:rsidRPr="00D226C7">
              <w:t>▲0.15</w:t>
            </w:r>
          </w:p>
        </w:tc>
        <w:tc>
          <w:tcPr>
            <w:tcW w:w="851" w:type="dxa"/>
          </w:tcPr>
          <w:p w:rsidR="00D226C7" w:rsidRPr="00D42745" w:rsidRDefault="00D226C7" w:rsidP="00802160">
            <w:pPr>
              <w:pStyle w:val="Tabletext"/>
            </w:pPr>
            <w:r w:rsidRPr="00D42745">
              <w:t>8.13</w:t>
            </w:r>
          </w:p>
        </w:tc>
        <w:tc>
          <w:tcPr>
            <w:tcW w:w="851" w:type="dxa"/>
          </w:tcPr>
          <w:p w:rsidR="00D226C7" w:rsidRPr="00D226C7" w:rsidRDefault="00D226C7" w:rsidP="00802160">
            <w:pPr>
              <w:pStyle w:val="Tabletext"/>
            </w:pPr>
            <w:r w:rsidRPr="00D226C7">
              <w:t>▲0.66</w:t>
            </w:r>
          </w:p>
        </w:tc>
        <w:tc>
          <w:tcPr>
            <w:tcW w:w="1701" w:type="dxa"/>
          </w:tcPr>
          <w:p w:rsidR="00D226C7" w:rsidRPr="00D42745" w:rsidRDefault="00D226C7" w:rsidP="00802160">
            <w:pPr>
              <w:pStyle w:val="Tabletext"/>
            </w:pPr>
            <w:r w:rsidRPr="00D42745">
              <w:t>12.99</w:t>
            </w:r>
          </w:p>
        </w:tc>
        <w:tc>
          <w:tcPr>
            <w:tcW w:w="1701" w:type="dxa"/>
          </w:tcPr>
          <w:p w:rsidR="00D226C7" w:rsidRPr="00D42745" w:rsidRDefault="00D226C7" w:rsidP="00802160">
            <w:pPr>
              <w:pStyle w:val="Tabletext"/>
            </w:pPr>
            <w:r w:rsidRPr="00D42745">
              <w:t>10.29</w:t>
            </w:r>
          </w:p>
        </w:tc>
      </w:tr>
      <w:tr w:rsidR="00D226C7" w:rsidRPr="00D42745" w:rsidTr="00D226C7">
        <w:trPr>
          <w:trHeight w:hRule="exact" w:val="312"/>
        </w:trPr>
        <w:tc>
          <w:tcPr>
            <w:tcW w:w="2268" w:type="dxa"/>
          </w:tcPr>
          <w:p w:rsidR="00D226C7" w:rsidRPr="00D226C7" w:rsidRDefault="00D226C7" w:rsidP="00802160">
            <w:pPr>
              <w:pStyle w:val="Tabletext"/>
            </w:pPr>
            <w:r w:rsidRPr="00D226C7">
              <w:t>Lumo Energy</w:t>
            </w:r>
          </w:p>
        </w:tc>
        <w:tc>
          <w:tcPr>
            <w:tcW w:w="851" w:type="dxa"/>
          </w:tcPr>
          <w:p w:rsidR="00D226C7" w:rsidRPr="00D42745" w:rsidRDefault="00D226C7" w:rsidP="00802160">
            <w:pPr>
              <w:pStyle w:val="Tabletext"/>
            </w:pPr>
            <w:r w:rsidRPr="00D42745">
              <w:t>3.46</w:t>
            </w:r>
          </w:p>
        </w:tc>
        <w:tc>
          <w:tcPr>
            <w:tcW w:w="851" w:type="dxa"/>
          </w:tcPr>
          <w:p w:rsidR="00D226C7" w:rsidRPr="00D226C7" w:rsidRDefault="00D226C7" w:rsidP="00802160">
            <w:pPr>
              <w:pStyle w:val="Tabletext"/>
            </w:pPr>
            <w:r w:rsidRPr="00D226C7">
              <w:t>▲0.02</w:t>
            </w:r>
          </w:p>
        </w:tc>
        <w:tc>
          <w:tcPr>
            <w:tcW w:w="851" w:type="dxa"/>
          </w:tcPr>
          <w:p w:rsidR="00D226C7" w:rsidRPr="00D42745" w:rsidRDefault="00D226C7" w:rsidP="00802160">
            <w:pPr>
              <w:pStyle w:val="Tabletext"/>
            </w:pPr>
            <w:r w:rsidRPr="00D42745">
              <w:t>-</w:t>
            </w:r>
          </w:p>
        </w:tc>
        <w:tc>
          <w:tcPr>
            <w:tcW w:w="851" w:type="dxa"/>
          </w:tcPr>
          <w:p w:rsidR="00D226C7" w:rsidRPr="00D42745" w:rsidRDefault="00D226C7" w:rsidP="00802160">
            <w:pPr>
              <w:pStyle w:val="Tabletext"/>
            </w:pPr>
            <w:r w:rsidRPr="00D42745">
              <w:t>-</w:t>
            </w:r>
          </w:p>
        </w:tc>
        <w:tc>
          <w:tcPr>
            <w:tcW w:w="1701" w:type="dxa"/>
          </w:tcPr>
          <w:p w:rsidR="00D226C7" w:rsidRPr="00D42745" w:rsidRDefault="00D226C7" w:rsidP="00802160">
            <w:pPr>
              <w:pStyle w:val="Tabletext"/>
            </w:pPr>
            <w:r w:rsidRPr="00D42745">
              <w:t>0.78</w:t>
            </w:r>
          </w:p>
        </w:tc>
        <w:tc>
          <w:tcPr>
            <w:tcW w:w="1701" w:type="dxa"/>
          </w:tcPr>
          <w:p w:rsidR="00D226C7" w:rsidRPr="00D42745" w:rsidRDefault="00D226C7" w:rsidP="00802160">
            <w:pPr>
              <w:pStyle w:val="Tabletext"/>
            </w:pPr>
            <w:r w:rsidRPr="00D42745">
              <w:t>-</w:t>
            </w:r>
          </w:p>
        </w:tc>
      </w:tr>
      <w:tr w:rsidR="00D226C7" w:rsidRPr="00D42745" w:rsidTr="00D226C7">
        <w:trPr>
          <w:trHeight w:hRule="exact" w:val="312"/>
        </w:trPr>
        <w:tc>
          <w:tcPr>
            <w:tcW w:w="2268" w:type="dxa"/>
          </w:tcPr>
          <w:p w:rsidR="00D226C7" w:rsidRPr="00D226C7" w:rsidRDefault="00D226C7" w:rsidP="00802160">
            <w:pPr>
              <w:pStyle w:val="Tabletext"/>
            </w:pPr>
            <w:r w:rsidRPr="00D226C7">
              <w:t>M2 Energy</w:t>
            </w:r>
          </w:p>
        </w:tc>
        <w:tc>
          <w:tcPr>
            <w:tcW w:w="851" w:type="dxa"/>
          </w:tcPr>
          <w:p w:rsidR="00D226C7" w:rsidRPr="00D42745" w:rsidRDefault="00D226C7" w:rsidP="00802160">
            <w:pPr>
              <w:pStyle w:val="Tabletext"/>
            </w:pPr>
            <w:r w:rsidRPr="00D42745">
              <w:t>0.22</w:t>
            </w:r>
          </w:p>
        </w:tc>
        <w:tc>
          <w:tcPr>
            <w:tcW w:w="851" w:type="dxa"/>
          </w:tcPr>
          <w:p w:rsidR="00D226C7" w:rsidRPr="00D226C7" w:rsidRDefault="00D226C7" w:rsidP="00802160">
            <w:pPr>
              <w:pStyle w:val="Tabletext"/>
            </w:pPr>
            <w:r w:rsidRPr="00D226C7">
              <w:t>▲0.22</w:t>
            </w:r>
          </w:p>
        </w:tc>
        <w:tc>
          <w:tcPr>
            <w:tcW w:w="851" w:type="dxa"/>
          </w:tcPr>
          <w:p w:rsidR="00D226C7" w:rsidRPr="00D42745" w:rsidRDefault="00D226C7" w:rsidP="00802160">
            <w:pPr>
              <w:pStyle w:val="Tabletext"/>
            </w:pPr>
            <w:r w:rsidRPr="00D42745">
              <w:t>-</w:t>
            </w:r>
          </w:p>
        </w:tc>
        <w:tc>
          <w:tcPr>
            <w:tcW w:w="851" w:type="dxa"/>
          </w:tcPr>
          <w:p w:rsidR="00D226C7" w:rsidRPr="00D42745" w:rsidRDefault="00D226C7" w:rsidP="00802160">
            <w:pPr>
              <w:pStyle w:val="Tabletext"/>
            </w:pPr>
            <w:r w:rsidRPr="00D42745">
              <w:t>-</w:t>
            </w:r>
          </w:p>
        </w:tc>
        <w:tc>
          <w:tcPr>
            <w:tcW w:w="1701" w:type="dxa"/>
          </w:tcPr>
          <w:p w:rsidR="00D226C7" w:rsidRPr="00D42745" w:rsidRDefault="00D226C7" w:rsidP="00802160">
            <w:pPr>
              <w:pStyle w:val="Tabletext"/>
            </w:pPr>
            <w:r w:rsidRPr="00D42745">
              <w:t>0.04</w:t>
            </w:r>
          </w:p>
        </w:tc>
        <w:tc>
          <w:tcPr>
            <w:tcW w:w="1701" w:type="dxa"/>
          </w:tcPr>
          <w:p w:rsidR="00D226C7" w:rsidRPr="00D42745" w:rsidRDefault="00D226C7" w:rsidP="00802160">
            <w:pPr>
              <w:pStyle w:val="Tabletext"/>
            </w:pPr>
            <w:r w:rsidRPr="00D42745">
              <w:t>-</w:t>
            </w:r>
          </w:p>
        </w:tc>
      </w:tr>
      <w:tr w:rsidR="00D226C7" w:rsidRPr="00D42745" w:rsidTr="00D226C7">
        <w:trPr>
          <w:trHeight w:hRule="exact" w:val="312"/>
        </w:trPr>
        <w:tc>
          <w:tcPr>
            <w:tcW w:w="2268" w:type="dxa"/>
          </w:tcPr>
          <w:p w:rsidR="00D226C7" w:rsidRPr="00D226C7" w:rsidRDefault="00D226C7" w:rsidP="00802160">
            <w:pPr>
              <w:pStyle w:val="Tabletext"/>
            </w:pPr>
            <w:r w:rsidRPr="00D226C7">
              <w:t>Momentum Energy</w:t>
            </w:r>
          </w:p>
        </w:tc>
        <w:tc>
          <w:tcPr>
            <w:tcW w:w="851" w:type="dxa"/>
          </w:tcPr>
          <w:p w:rsidR="00D226C7" w:rsidRPr="00D42745" w:rsidRDefault="00D226C7" w:rsidP="00802160">
            <w:pPr>
              <w:pStyle w:val="Tabletext"/>
            </w:pPr>
            <w:r w:rsidRPr="00D42745">
              <w:t>2.89</w:t>
            </w:r>
          </w:p>
        </w:tc>
        <w:tc>
          <w:tcPr>
            <w:tcW w:w="851" w:type="dxa"/>
          </w:tcPr>
          <w:p w:rsidR="00D226C7" w:rsidRPr="00D226C7" w:rsidRDefault="00D226C7" w:rsidP="00802160">
            <w:pPr>
              <w:pStyle w:val="Tabletext"/>
            </w:pPr>
            <w:r w:rsidRPr="00D226C7">
              <w:t>▼3.52</w:t>
            </w:r>
          </w:p>
        </w:tc>
        <w:tc>
          <w:tcPr>
            <w:tcW w:w="851" w:type="dxa"/>
          </w:tcPr>
          <w:p w:rsidR="00D226C7" w:rsidRPr="00D42745" w:rsidRDefault="00D226C7" w:rsidP="00802160">
            <w:pPr>
              <w:pStyle w:val="Tabletext"/>
            </w:pPr>
            <w:r w:rsidRPr="00D42745">
              <w:t>-</w:t>
            </w:r>
          </w:p>
        </w:tc>
        <w:tc>
          <w:tcPr>
            <w:tcW w:w="851" w:type="dxa"/>
          </w:tcPr>
          <w:p w:rsidR="00D226C7" w:rsidRPr="00D42745" w:rsidRDefault="00D226C7" w:rsidP="00802160">
            <w:pPr>
              <w:pStyle w:val="Tabletext"/>
            </w:pPr>
            <w:r w:rsidRPr="00D42745">
              <w:t>-</w:t>
            </w:r>
          </w:p>
        </w:tc>
        <w:tc>
          <w:tcPr>
            <w:tcW w:w="1701" w:type="dxa"/>
          </w:tcPr>
          <w:p w:rsidR="00D226C7" w:rsidRPr="00D42745" w:rsidRDefault="00D226C7" w:rsidP="00802160">
            <w:pPr>
              <w:pStyle w:val="Tabletext"/>
            </w:pPr>
            <w:r w:rsidRPr="00D42745">
              <w:t>6.67</w:t>
            </w:r>
          </w:p>
        </w:tc>
        <w:tc>
          <w:tcPr>
            <w:tcW w:w="1701" w:type="dxa"/>
          </w:tcPr>
          <w:p w:rsidR="00D226C7" w:rsidRPr="00D42745" w:rsidRDefault="00D226C7" w:rsidP="00802160">
            <w:pPr>
              <w:pStyle w:val="Tabletext"/>
            </w:pPr>
            <w:r w:rsidRPr="00D42745">
              <w:t>-</w:t>
            </w:r>
          </w:p>
        </w:tc>
      </w:tr>
      <w:tr w:rsidR="00D226C7" w:rsidRPr="00D42745" w:rsidTr="00D226C7">
        <w:trPr>
          <w:trHeight w:hRule="exact" w:val="312"/>
        </w:trPr>
        <w:tc>
          <w:tcPr>
            <w:tcW w:w="2268" w:type="dxa"/>
          </w:tcPr>
          <w:p w:rsidR="00D226C7" w:rsidRPr="00D226C7" w:rsidRDefault="00D226C7" w:rsidP="00802160">
            <w:pPr>
              <w:pStyle w:val="Tabletext"/>
            </w:pPr>
            <w:r w:rsidRPr="00D226C7">
              <w:lastRenderedPageBreak/>
              <w:t>Origin Energy</w:t>
            </w:r>
          </w:p>
        </w:tc>
        <w:tc>
          <w:tcPr>
            <w:tcW w:w="851" w:type="dxa"/>
          </w:tcPr>
          <w:p w:rsidR="00D226C7" w:rsidRPr="00D42745" w:rsidRDefault="00D226C7" w:rsidP="00802160">
            <w:pPr>
              <w:pStyle w:val="Tabletext"/>
            </w:pPr>
            <w:r w:rsidRPr="00D42745">
              <w:t>1.29</w:t>
            </w:r>
          </w:p>
        </w:tc>
        <w:tc>
          <w:tcPr>
            <w:tcW w:w="851" w:type="dxa"/>
          </w:tcPr>
          <w:p w:rsidR="00D226C7" w:rsidRPr="00D226C7" w:rsidRDefault="00D226C7" w:rsidP="00802160">
            <w:pPr>
              <w:pStyle w:val="Tabletext"/>
            </w:pPr>
            <w:r w:rsidRPr="00D226C7">
              <w:t>▼3.25</w:t>
            </w:r>
          </w:p>
        </w:tc>
        <w:tc>
          <w:tcPr>
            <w:tcW w:w="851" w:type="dxa"/>
          </w:tcPr>
          <w:p w:rsidR="00D226C7" w:rsidRPr="00D42745" w:rsidRDefault="00D226C7" w:rsidP="00802160">
            <w:pPr>
              <w:pStyle w:val="Tabletext"/>
            </w:pPr>
            <w:r w:rsidRPr="00D42745">
              <w:t>0.60</w:t>
            </w:r>
          </w:p>
        </w:tc>
        <w:tc>
          <w:tcPr>
            <w:tcW w:w="851" w:type="dxa"/>
          </w:tcPr>
          <w:p w:rsidR="00D226C7" w:rsidRPr="00D226C7" w:rsidRDefault="00D226C7" w:rsidP="00802160">
            <w:pPr>
              <w:pStyle w:val="Tabletext"/>
            </w:pPr>
            <w:r w:rsidRPr="00D226C7">
              <w:t>▼1.63</w:t>
            </w:r>
          </w:p>
        </w:tc>
        <w:tc>
          <w:tcPr>
            <w:tcW w:w="1701" w:type="dxa"/>
          </w:tcPr>
          <w:p w:rsidR="00D226C7" w:rsidRPr="00D42745" w:rsidRDefault="00D226C7" w:rsidP="00802160">
            <w:pPr>
              <w:pStyle w:val="Tabletext"/>
            </w:pPr>
            <w:r w:rsidRPr="00D42745">
              <w:t>3.37</w:t>
            </w:r>
          </w:p>
        </w:tc>
        <w:tc>
          <w:tcPr>
            <w:tcW w:w="1701" w:type="dxa"/>
          </w:tcPr>
          <w:p w:rsidR="00D226C7" w:rsidRPr="00D42745" w:rsidRDefault="00D226C7" w:rsidP="00802160">
            <w:pPr>
              <w:pStyle w:val="Tabletext"/>
            </w:pPr>
            <w:r w:rsidRPr="00D42745">
              <w:t>1.72</w:t>
            </w:r>
          </w:p>
        </w:tc>
      </w:tr>
      <w:tr w:rsidR="00D226C7" w:rsidRPr="00D42745" w:rsidTr="00D226C7">
        <w:trPr>
          <w:trHeight w:hRule="exact" w:val="312"/>
        </w:trPr>
        <w:tc>
          <w:tcPr>
            <w:tcW w:w="2268" w:type="dxa"/>
          </w:tcPr>
          <w:p w:rsidR="00D226C7" w:rsidRPr="00D226C7" w:rsidRDefault="00D226C7" w:rsidP="00802160">
            <w:pPr>
              <w:pStyle w:val="Tabletext"/>
            </w:pPr>
            <w:r w:rsidRPr="00D226C7">
              <w:t>Powerdirect</w:t>
            </w:r>
          </w:p>
        </w:tc>
        <w:tc>
          <w:tcPr>
            <w:tcW w:w="851" w:type="dxa"/>
          </w:tcPr>
          <w:p w:rsidR="00D226C7" w:rsidRPr="00D42745" w:rsidRDefault="00D226C7" w:rsidP="00802160">
            <w:pPr>
              <w:pStyle w:val="Tabletext"/>
            </w:pPr>
            <w:r w:rsidRPr="00D42745">
              <w:t>1.14</w:t>
            </w:r>
          </w:p>
        </w:tc>
        <w:tc>
          <w:tcPr>
            <w:tcW w:w="851" w:type="dxa"/>
          </w:tcPr>
          <w:p w:rsidR="00D226C7" w:rsidRPr="00D226C7" w:rsidRDefault="00D226C7" w:rsidP="00802160">
            <w:pPr>
              <w:pStyle w:val="Tabletext"/>
            </w:pPr>
            <w:r w:rsidRPr="00D226C7">
              <w:t>▼0.15</w:t>
            </w:r>
          </w:p>
        </w:tc>
        <w:tc>
          <w:tcPr>
            <w:tcW w:w="851" w:type="dxa"/>
          </w:tcPr>
          <w:p w:rsidR="00D226C7" w:rsidRPr="00D42745" w:rsidRDefault="00D226C7" w:rsidP="00802160">
            <w:pPr>
              <w:pStyle w:val="Tabletext"/>
            </w:pPr>
            <w:r w:rsidRPr="00D42745">
              <w:t>-</w:t>
            </w:r>
          </w:p>
        </w:tc>
        <w:tc>
          <w:tcPr>
            <w:tcW w:w="851" w:type="dxa"/>
          </w:tcPr>
          <w:p w:rsidR="00D226C7" w:rsidRPr="00D42745" w:rsidRDefault="00D226C7" w:rsidP="00802160">
            <w:pPr>
              <w:pStyle w:val="Tabletext"/>
            </w:pPr>
            <w:r w:rsidRPr="00D42745">
              <w:t>-</w:t>
            </w:r>
          </w:p>
        </w:tc>
        <w:tc>
          <w:tcPr>
            <w:tcW w:w="1701" w:type="dxa"/>
          </w:tcPr>
          <w:p w:rsidR="00D226C7" w:rsidRPr="00D42745" w:rsidRDefault="00D226C7" w:rsidP="00802160">
            <w:pPr>
              <w:pStyle w:val="Tabletext"/>
            </w:pPr>
            <w:r w:rsidRPr="00D42745">
              <w:t>0.29</w:t>
            </w:r>
          </w:p>
        </w:tc>
        <w:tc>
          <w:tcPr>
            <w:tcW w:w="1701" w:type="dxa"/>
          </w:tcPr>
          <w:p w:rsidR="00D226C7" w:rsidRPr="00D42745" w:rsidRDefault="00D226C7" w:rsidP="00802160">
            <w:pPr>
              <w:pStyle w:val="Tabletext"/>
            </w:pPr>
            <w:r w:rsidRPr="00D42745">
              <w:t>-</w:t>
            </w:r>
          </w:p>
        </w:tc>
      </w:tr>
      <w:tr w:rsidR="00D226C7" w:rsidRPr="00D42745" w:rsidTr="00D226C7">
        <w:trPr>
          <w:trHeight w:hRule="exact" w:val="312"/>
        </w:trPr>
        <w:tc>
          <w:tcPr>
            <w:tcW w:w="2268" w:type="dxa"/>
          </w:tcPr>
          <w:p w:rsidR="00D226C7" w:rsidRPr="00D226C7" w:rsidRDefault="00D226C7" w:rsidP="00802160">
            <w:pPr>
              <w:pStyle w:val="Tabletext"/>
            </w:pPr>
            <w:r w:rsidRPr="00D226C7">
              <w:t>Red Energy</w:t>
            </w:r>
          </w:p>
        </w:tc>
        <w:tc>
          <w:tcPr>
            <w:tcW w:w="851" w:type="dxa"/>
          </w:tcPr>
          <w:p w:rsidR="00D226C7" w:rsidRPr="00D42745" w:rsidRDefault="00D226C7" w:rsidP="00802160">
            <w:pPr>
              <w:pStyle w:val="Tabletext"/>
            </w:pPr>
            <w:r w:rsidRPr="00D42745">
              <w:t>4.72</w:t>
            </w:r>
          </w:p>
        </w:tc>
        <w:tc>
          <w:tcPr>
            <w:tcW w:w="851" w:type="dxa"/>
          </w:tcPr>
          <w:p w:rsidR="00D226C7" w:rsidRPr="00D226C7" w:rsidRDefault="00D226C7" w:rsidP="00802160">
            <w:pPr>
              <w:pStyle w:val="Tabletext"/>
            </w:pPr>
            <w:r w:rsidRPr="00D226C7">
              <w:t>▼1.26</w:t>
            </w:r>
          </w:p>
        </w:tc>
        <w:tc>
          <w:tcPr>
            <w:tcW w:w="851" w:type="dxa"/>
          </w:tcPr>
          <w:p w:rsidR="00D226C7" w:rsidRPr="00D42745" w:rsidRDefault="00D226C7" w:rsidP="00802160">
            <w:pPr>
              <w:pStyle w:val="Tabletext"/>
            </w:pPr>
            <w:r w:rsidRPr="00D42745">
              <w:t>-</w:t>
            </w:r>
          </w:p>
        </w:tc>
        <w:tc>
          <w:tcPr>
            <w:tcW w:w="851" w:type="dxa"/>
          </w:tcPr>
          <w:p w:rsidR="00D226C7" w:rsidRPr="00D42745" w:rsidRDefault="00D226C7" w:rsidP="00802160">
            <w:pPr>
              <w:pStyle w:val="Tabletext"/>
            </w:pPr>
            <w:r w:rsidRPr="00D42745">
              <w:t>-</w:t>
            </w:r>
          </w:p>
        </w:tc>
        <w:tc>
          <w:tcPr>
            <w:tcW w:w="1701" w:type="dxa"/>
          </w:tcPr>
          <w:p w:rsidR="00D226C7" w:rsidRPr="00D42745" w:rsidRDefault="00D226C7" w:rsidP="00802160">
            <w:pPr>
              <w:pStyle w:val="Tabletext"/>
            </w:pPr>
            <w:r w:rsidRPr="00D42745">
              <w:t>5.86</w:t>
            </w:r>
          </w:p>
        </w:tc>
        <w:tc>
          <w:tcPr>
            <w:tcW w:w="1701" w:type="dxa"/>
          </w:tcPr>
          <w:p w:rsidR="00D226C7" w:rsidRPr="00D42745" w:rsidRDefault="00D226C7" w:rsidP="00802160">
            <w:pPr>
              <w:pStyle w:val="Tabletext"/>
            </w:pPr>
            <w:r w:rsidRPr="00D42745">
              <w:t>-</w:t>
            </w:r>
          </w:p>
        </w:tc>
      </w:tr>
      <w:tr w:rsidR="00D226C7" w:rsidRPr="00D42745" w:rsidTr="00D226C7">
        <w:trPr>
          <w:trHeight w:hRule="exact" w:val="312"/>
        </w:trPr>
        <w:tc>
          <w:tcPr>
            <w:tcW w:w="2268" w:type="dxa"/>
          </w:tcPr>
          <w:p w:rsidR="00D226C7" w:rsidRPr="00D226C7" w:rsidRDefault="00D226C7" w:rsidP="00802160">
            <w:pPr>
              <w:pStyle w:val="Tabletext"/>
            </w:pPr>
            <w:r w:rsidRPr="00D226C7">
              <w:t>Sanctuary Energy</w:t>
            </w:r>
          </w:p>
        </w:tc>
        <w:tc>
          <w:tcPr>
            <w:tcW w:w="851" w:type="dxa"/>
          </w:tcPr>
          <w:p w:rsidR="00D226C7" w:rsidRPr="00D42745" w:rsidRDefault="00D226C7" w:rsidP="00802160">
            <w:pPr>
              <w:pStyle w:val="Tabletext"/>
            </w:pPr>
            <w:r w:rsidRPr="00D42745">
              <w:t>0.82</w:t>
            </w:r>
          </w:p>
        </w:tc>
        <w:tc>
          <w:tcPr>
            <w:tcW w:w="851" w:type="dxa"/>
          </w:tcPr>
          <w:p w:rsidR="00D226C7" w:rsidRPr="00D226C7" w:rsidRDefault="00D226C7" w:rsidP="00802160">
            <w:pPr>
              <w:pStyle w:val="Tabletext"/>
            </w:pPr>
            <w:r w:rsidRPr="00D226C7">
              <w:t>▲0.36</w:t>
            </w:r>
          </w:p>
        </w:tc>
        <w:tc>
          <w:tcPr>
            <w:tcW w:w="851" w:type="dxa"/>
          </w:tcPr>
          <w:p w:rsidR="00D226C7" w:rsidRPr="00D42745" w:rsidRDefault="00D226C7" w:rsidP="00802160">
            <w:pPr>
              <w:pStyle w:val="Tabletext"/>
            </w:pPr>
            <w:r w:rsidRPr="00D42745">
              <w:t>-</w:t>
            </w:r>
          </w:p>
        </w:tc>
        <w:tc>
          <w:tcPr>
            <w:tcW w:w="851" w:type="dxa"/>
          </w:tcPr>
          <w:p w:rsidR="00D226C7" w:rsidRPr="00D42745" w:rsidRDefault="00D226C7" w:rsidP="00802160">
            <w:pPr>
              <w:pStyle w:val="Tabletext"/>
            </w:pPr>
            <w:r w:rsidRPr="00D42745">
              <w:t>-</w:t>
            </w:r>
          </w:p>
        </w:tc>
        <w:tc>
          <w:tcPr>
            <w:tcW w:w="1701" w:type="dxa"/>
          </w:tcPr>
          <w:p w:rsidR="00D226C7" w:rsidRPr="00D42745" w:rsidRDefault="00D226C7" w:rsidP="00802160">
            <w:pPr>
              <w:pStyle w:val="Tabletext"/>
            </w:pPr>
            <w:r w:rsidRPr="00D42745">
              <w:t>1.97</w:t>
            </w:r>
          </w:p>
        </w:tc>
        <w:tc>
          <w:tcPr>
            <w:tcW w:w="1701" w:type="dxa"/>
          </w:tcPr>
          <w:p w:rsidR="00D226C7" w:rsidRPr="00D42745" w:rsidRDefault="00D226C7" w:rsidP="00802160">
            <w:pPr>
              <w:pStyle w:val="Tabletext"/>
            </w:pPr>
            <w:r w:rsidRPr="00D42745">
              <w:t>-</w:t>
            </w:r>
          </w:p>
        </w:tc>
      </w:tr>
      <w:tr w:rsidR="00D226C7" w:rsidRPr="00D42745" w:rsidTr="00D226C7">
        <w:trPr>
          <w:trHeight w:hRule="exact" w:val="312"/>
        </w:trPr>
        <w:tc>
          <w:tcPr>
            <w:tcW w:w="2268" w:type="dxa"/>
          </w:tcPr>
          <w:p w:rsidR="00D226C7" w:rsidRPr="00D226C7" w:rsidRDefault="00D226C7" w:rsidP="00802160">
            <w:pPr>
              <w:pStyle w:val="Tabletext"/>
            </w:pPr>
            <w:r w:rsidRPr="00D226C7">
              <w:t>Simply Energy</w:t>
            </w:r>
          </w:p>
        </w:tc>
        <w:tc>
          <w:tcPr>
            <w:tcW w:w="851" w:type="dxa"/>
          </w:tcPr>
          <w:p w:rsidR="00D226C7" w:rsidRPr="00D42745" w:rsidRDefault="00D226C7" w:rsidP="00802160">
            <w:pPr>
              <w:pStyle w:val="Tabletext"/>
            </w:pPr>
            <w:r w:rsidRPr="00D42745">
              <w:t>3.10</w:t>
            </w:r>
          </w:p>
        </w:tc>
        <w:tc>
          <w:tcPr>
            <w:tcW w:w="851" w:type="dxa"/>
          </w:tcPr>
          <w:p w:rsidR="00D226C7" w:rsidRPr="00D226C7" w:rsidRDefault="00D226C7" w:rsidP="00802160">
            <w:pPr>
              <w:pStyle w:val="Tabletext"/>
            </w:pPr>
            <w:r w:rsidRPr="00D226C7">
              <w:t>▼0.17</w:t>
            </w:r>
          </w:p>
        </w:tc>
        <w:tc>
          <w:tcPr>
            <w:tcW w:w="851" w:type="dxa"/>
          </w:tcPr>
          <w:p w:rsidR="00D226C7" w:rsidRPr="00D42745" w:rsidRDefault="00D226C7" w:rsidP="00802160">
            <w:pPr>
              <w:pStyle w:val="Tabletext"/>
            </w:pPr>
            <w:r w:rsidRPr="00D42745">
              <w:t>2.19</w:t>
            </w:r>
          </w:p>
        </w:tc>
        <w:tc>
          <w:tcPr>
            <w:tcW w:w="851" w:type="dxa"/>
          </w:tcPr>
          <w:p w:rsidR="00D226C7" w:rsidRPr="00D226C7" w:rsidRDefault="00D226C7" w:rsidP="00802160">
            <w:pPr>
              <w:pStyle w:val="Tabletext"/>
            </w:pPr>
            <w:r w:rsidRPr="00D226C7">
              <w:t>▲0.08</w:t>
            </w:r>
          </w:p>
        </w:tc>
        <w:tc>
          <w:tcPr>
            <w:tcW w:w="1701" w:type="dxa"/>
          </w:tcPr>
          <w:p w:rsidR="00D226C7" w:rsidRPr="00D42745" w:rsidRDefault="00D226C7" w:rsidP="00802160">
            <w:pPr>
              <w:pStyle w:val="Tabletext"/>
            </w:pPr>
            <w:r w:rsidRPr="00D42745">
              <w:t>9.68</w:t>
            </w:r>
          </w:p>
        </w:tc>
        <w:tc>
          <w:tcPr>
            <w:tcW w:w="1701" w:type="dxa"/>
          </w:tcPr>
          <w:p w:rsidR="00D226C7" w:rsidRPr="00D42745" w:rsidRDefault="00D226C7" w:rsidP="00802160">
            <w:pPr>
              <w:pStyle w:val="Tabletext"/>
            </w:pPr>
            <w:r w:rsidRPr="00D42745">
              <w:t>6.53</w:t>
            </w:r>
          </w:p>
        </w:tc>
      </w:tr>
      <w:tr w:rsidR="00D226C7" w:rsidRPr="00D42745" w:rsidTr="00D226C7">
        <w:trPr>
          <w:trHeight w:hRule="exact" w:val="312"/>
        </w:trPr>
        <w:tc>
          <w:tcPr>
            <w:tcW w:w="2268" w:type="dxa"/>
            <w:shd w:val="clear" w:color="auto" w:fill="F2F2F2" w:themeFill="background1" w:themeFillShade="F2"/>
          </w:tcPr>
          <w:p w:rsidR="00D226C7" w:rsidRPr="00975582" w:rsidRDefault="00D226C7" w:rsidP="00802160">
            <w:pPr>
              <w:pStyle w:val="Tabletext"/>
              <w:rPr>
                <w:rStyle w:val="Strong"/>
              </w:rPr>
            </w:pPr>
            <w:r w:rsidRPr="00975582">
              <w:rPr>
                <w:rStyle w:val="Strong"/>
              </w:rPr>
              <w:t>TOTAL SA</w:t>
            </w:r>
          </w:p>
        </w:tc>
        <w:tc>
          <w:tcPr>
            <w:tcW w:w="851" w:type="dxa"/>
            <w:shd w:val="clear" w:color="auto" w:fill="F2F2F2" w:themeFill="background1" w:themeFillShade="F2"/>
          </w:tcPr>
          <w:p w:rsidR="00D226C7" w:rsidRPr="00975582" w:rsidRDefault="00D226C7" w:rsidP="00802160">
            <w:pPr>
              <w:pStyle w:val="Tabletext"/>
              <w:rPr>
                <w:rStyle w:val="Strong"/>
              </w:rPr>
            </w:pPr>
            <w:r w:rsidRPr="00975582">
              <w:rPr>
                <w:rStyle w:val="Strong"/>
              </w:rPr>
              <w:t>2.39</w:t>
            </w:r>
          </w:p>
        </w:tc>
        <w:tc>
          <w:tcPr>
            <w:tcW w:w="851" w:type="dxa"/>
            <w:shd w:val="clear" w:color="auto" w:fill="F2F2F2" w:themeFill="background1" w:themeFillShade="F2"/>
          </w:tcPr>
          <w:p w:rsidR="00D226C7" w:rsidRPr="00975582" w:rsidRDefault="00D226C7" w:rsidP="00802160">
            <w:pPr>
              <w:pStyle w:val="Tabletext"/>
              <w:rPr>
                <w:rStyle w:val="Strong"/>
              </w:rPr>
            </w:pPr>
            <w:r w:rsidRPr="00975582">
              <w:rPr>
                <w:rStyle w:val="Strong"/>
              </w:rPr>
              <w:t>▼0.82</w:t>
            </w:r>
          </w:p>
        </w:tc>
        <w:tc>
          <w:tcPr>
            <w:tcW w:w="851" w:type="dxa"/>
            <w:shd w:val="clear" w:color="auto" w:fill="F2F2F2" w:themeFill="background1" w:themeFillShade="F2"/>
          </w:tcPr>
          <w:p w:rsidR="00D226C7" w:rsidRPr="00975582" w:rsidRDefault="00D226C7" w:rsidP="00802160">
            <w:pPr>
              <w:pStyle w:val="Tabletext"/>
              <w:rPr>
                <w:rStyle w:val="Strong"/>
              </w:rPr>
            </w:pPr>
            <w:r w:rsidRPr="00975582">
              <w:rPr>
                <w:rStyle w:val="Strong"/>
              </w:rPr>
              <w:t>1.69</w:t>
            </w:r>
          </w:p>
        </w:tc>
        <w:tc>
          <w:tcPr>
            <w:tcW w:w="851" w:type="dxa"/>
            <w:shd w:val="clear" w:color="auto" w:fill="F2F2F2" w:themeFill="background1" w:themeFillShade="F2"/>
          </w:tcPr>
          <w:p w:rsidR="00D226C7" w:rsidRPr="00975582" w:rsidRDefault="00D226C7" w:rsidP="00802160">
            <w:pPr>
              <w:pStyle w:val="Tabletext"/>
              <w:rPr>
                <w:rStyle w:val="Strong"/>
              </w:rPr>
            </w:pPr>
            <w:r w:rsidRPr="00975582">
              <w:rPr>
                <w:rStyle w:val="Strong"/>
              </w:rPr>
              <w:t>▼0.64</w:t>
            </w:r>
          </w:p>
        </w:tc>
        <w:tc>
          <w:tcPr>
            <w:tcW w:w="1701" w:type="dxa"/>
            <w:shd w:val="clear" w:color="auto" w:fill="F2F2F2" w:themeFill="background1" w:themeFillShade="F2"/>
          </w:tcPr>
          <w:p w:rsidR="00D226C7" w:rsidRPr="00975582" w:rsidRDefault="00D226C7" w:rsidP="00802160">
            <w:pPr>
              <w:pStyle w:val="Tabletext"/>
              <w:rPr>
                <w:rStyle w:val="Strong"/>
              </w:rPr>
            </w:pPr>
            <w:r w:rsidRPr="00975582">
              <w:rPr>
                <w:rStyle w:val="Strong"/>
              </w:rPr>
              <w:t>4.72</w:t>
            </w:r>
          </w:p>
        </w:tc>
        <w:tc>
          <w:tcPr>
            <w:tcW w:w="1701" w:type="dxa"/>
            <w:shd w:val="clear" w:color="auto" w:fill="F2F2F2" w:themeFill="background1" w:themeFillShade="F2"/>
          </w:tcPr>
          <w:p w:rsidR="00D226C7" w:rsidRPr="00975582" w:rsidRDefault="00D226C7" w:rsidP="00802160">
            <w:pPr>
              <w:pStyle w:val="Tabletext"/>
              <w:rPr>
                <w:rStyle w:val="Strong"/>
              </w:rPr>
            </w:pPr>
            <w:r w:rsidRPr="00975582">
              <w:rPr>
                <w:rStyle w:val="Strong"/>
              </w:rPr>
              <w:t>3.44</w:t>
            </w:r>
          </w:p>
        </w:tc>
      </w:tr>
      <w:tr w:rsidR="00D226C7" w:rsidRPr="00D42745" w:rsidTr="00D226C7">
        <w:trPr>
          <w:trHeight w:hRule="exact" w:val="312"/>
        </w:trPr>
        <w:tc>
          <w:tcPr>
            <w:tcW w:w="2268" w:type="dxa"/>
          </w:tcPr>
          <w:p w:rsidR="00D226C7" w:rsidRPr="006D4C8B" w:rsidRDefault="00D226C7" w:rsidP="00802160">
            <w:pPr>
              <w:pStyle w:val="Tabletext"/>
              <w:rPr>
                <w:rStyle w:val="Strong"/>
              </w:rPr>
            </w:pPr>
            <w:r w:rsidRPr="006D4C8B">
              <w:rPr>
                <w:rStyle w:val="Strong"/>
              </w:rPr>
              <w:t>ACT</w:t>
            </w:r>
          </w:p>
        </w:tc>
        <w:tc>
          <w:tcPr>
            <w:tcW w:w="851" w:type="dxa"/>
          </w:tcPr>
          <w:p w:rsidR="00D226C7" w:rsidRPr="00D42745" w:rsidRDefault="00D226C7" w:rsidP="00802160">
            <w:pPr>
              <w:pStyle w:val="Tabletext"/>
            </w:pPr>
          </w:p>
        </w:tc>
        <w:tc>
          <w:tcPr>
            <w:tcW w:w="851" w:type="dxa"/>
          </w:tcPr>
          <w:p w:rsidR="00D226C7" w:rsidRPr="00D42745" w:rsidRDefault="00D226C7" w:rsidP="00802160">
            <w:pPr>
              <w:pStyle w:val="Tabletext"/>
            </w:pPr>
          </w:p>
        </w:tc>
        <w:tc>
          <w:tcPr>
            <w:tcW w:w="851" w:type="dxa"/>
          </w:tcPr>
          <w:p w:rsidR="00D226C7" w:rsidRPr="00D42745" w:rsidRDefault="00D226C7" w:rsidP="00802160">
            <w:pPr>
              <w:pStyle w:val="Tabletext"/>
            </w:pPr>
          </w:p>
        </w:tc>
        <w:tc>
          <w:tcPr>
            <w:tcW w:w="851" w:type="dxa"/>
          </w:tcPr>
          <w:p w:rsidR="00D226C7" w:rsidRPr="00D42745" w:rsidRDefault="00D226C7" w:rsidP="00802160">
            <w:pPr>
              <w:pStyle w:val="Tabletext"/>
            </w:pPr>
          </w:p>
        </w:tc>
        <w:tc>
          <w:tcPr>
            <w:tcW w:w="1701" w:type="dxa"/>
          </w:tcPr>
          <w:p w:rsidR="00D226C7" w:rsidRPr="00D42745" w:rsidRDefault="00D226C7" w:rsidP="00802160">
            <w:pPr>
              <w:pStyle w:val="Tabletext"/>
            </w:pPr>
          </w:p>
        </w:tc>
        <w:tc>
          <w:tcPr>
            <w:tcW w:w="1701" w:type="dxa"/>
          </w:tcPr>
          <w:p w:rsidR="00D226C7" w:rsidRPr="00D42745" w:rsidRDefault="00D226C7" w:rsidP="00802160">
            <w:pPr>
              <w:pStyle w:val="Tabletext"/>
            </w:pPr>
          </w:p>
        </w:tc>
      </w:tr>
      <w:tr w:rsidR="00D226C7" w:rsidRPr="00D42745" w:rsidTr="00D226C7">
        <w:trPr>
          <w:trHeight w:hRule="exact" w:val="312"/>
        </w:trPr>
        <w:tc>
          <w:tcPr>
            <w:tcW w:w="2268" w:type="dxa"/>
          </w:tcPr>
          <w:p w:rsidR="00D226C7" w:rsidRPr="00D226C7" w:rsidRDefault="00D226C7" w:rsidP="00802160">
            <w:pPr>
              <w:pStyle w:val="Tabletext"/>
            </w:pPr>
            <w:r w:rsidRPr="00D226C7">
              <w:t>ActewAGL</w:t>
            </w:r>
          </w:p>
        </w:tc>
        <w:tc>
          <w:tcPr>
            <w:tcW w:w="851" w:type="dxa"/>
          </w:tcPr>
          <w:p w:rsidR="00D226C7" w:rsidRPr="00D42745" w:rsidRDefault="00D226C7" w:rsidP="00802160">
            <w:pPr>
              <w:pStyle w:val="Tabletext"/>
            </w:pPr>
            <w:r w:rsidRPr="00D42745">
              <w:t>0.17</w:t>
            </w:r>
          </w:p>
        </w:tc>
        <w:tc>
          <w:tcPr>
            <w:tcW w:w="851" w:type="dxa"/>
          </w:tcPr>
          <w:p w:rsidR="00D226C7" w:rsidRPr="00D226C7" w:rsidRDefault="00D226C7" w:rsidP="00802160">
            <w:pPr>
              <w:pStyle w:val="Tabletext"/>
            </w:pPr>
            <w:r w:rsidRPr="00D226C7">
              <w:t>●</w:t>
            </w:r>
          </w:p>
        </w:tc>
        <w:tc>
          <w:tcPr>
            <w:tcW w:w="851" w:type="dxa"/>
          </w:tcPr>
          <w:p w:rsidR="00D226C7" w:rsidRPr="00D42745" w:rsidRDefault="00D226C7" w:rsidP="00802160">
            <w:pPr>
              <w:pStyle w:val="Tabletext"/>
            </w:pPr>
            <w:r w:rsidRPr="00D42745">
              <w:t>0.16</w:t>
            </w:r>
          </w:p>
        </w:tc>
        <w:tc>
          <w:tcPr>
            <w:tcW w:w="851" w:type="dxa"/>
          </w:tcPr>
          <w:p w:rsidR="00D226C7" w:rsidRPr="00D226C7" w:rsidRDefault="00D226C7" w:rsidP="00802160">
            <w:pPr>
              <w:pStyle w:val="Tabletext"/>
            </w:pPr>
            <w:r w:rsidRPr="00D226C7">
              <w:t>▲0.04</w:t>
            </w:r>
          </w:p>
        </w:tc>
        <w:tc>
          <w:tcPr>
            <w:tcW w:w="1701" w:type="dxa"/>
          </w:tcPr>
          <w:p w:rsidR="00D226C7" w:rsidRPr="00D42745" w:rsidRDefault="00D226C7" w:rsidP="00802160">
            <w:pPr>
              <w:pStyle w:val="Tabletext"/>
            </w:pPr>
            <w:r w:rsidRPr="00D42745">
              <w:t>1.93</w:t>
            </w:r>
          </w:p>
        </w:tc>
        <w:tc>
          <w:tcPr>
            <w:tcW w:w="1701" w:type="dxa"/>
          </w:tcPr>
          <w:p w:rsidR="00D226C7" w:rsidRPr="00D42745" w:rsidRDefault="00D226C7" w:rsidP="00802160">
            <w:pPr>
              <w:pStyle w:val="Tabletext"/>
            </w:pPr>
            <w:r w:rsidRPr="00D42745">
              <w:t>1.32</w:t>
            </w:r>
          </w:p>
        </w:tc>
      </w:tr>
      <w:tr w:rsidR="00D226C7" w:rsidRPr="00D42745" w:rsidTr="00D226C7">
        <w:trPr>
          <w:trHeight w:hRule="exact" w:val="312"/>
        </w:trPr>
        <w:tc>
          <w:tcPr>
            <w:tcW w:w="2268" w:type="dxa"/>
          </w:tcPr>
          <w:p w:rsidR="00D226C7" w:rsidRPr="00D226C7" w:rsidRDefault="00D226C7" w:rsidP="00802160">
            <w:pPr>
              <w:pStyle w:val="Tabletext"/>
            </w:pPr>
            <w:r w:rsidRPr="00D226C7">
              <w:t>EnergyAustralia</w:t>
            </w:r>
          </w:p>
        </w:tc>
        <w:tc>
          <w:tcPr>
            <w:tcW w:w="851" w:type="dxa"/>
          </w:tcPr>
          <w:p w:rsidR="00D226C7" w:rsidRPr="00D42745" w:rsidRDefault="00D226C7" w:rsidP="00802160">
            <w:pPr>
              <w:pStyle w:val="Tabletext"/>
            </w:pPr>
            <w:r w:rsidRPr="00D42745">
              <w:t>13.63</w:t>
            </w:r>
          </w:p>
        </w:tc>
        <w:tc>
          <w:tcPr>
            <w:tcW w:w="851" w:type="dxa"/>
          </w:tcPr>
          <w:p w:rsidR="00D226C7" w:rsidRPr="00D226C7" w:rsidRDefault="00D226C7" w:rsidP="00802160">
            <w:pPr>
              <w:pStyle w:val="Tabletext"/>
            </w:pPr>
            <w:r w:rsidRPr="00D226C7">
              <w:t>▲8.00</w:t>
            </w:r>
          </w:p>
        </w:tc>
        <w:tc>
          <w:tcPr>
            <w:tcW w:w="851" w:type="dxa"/>
          </w:tcPr>
          <w:p w:rsidR="00D226C7" w:rsidRPr="00D42745" w:rsidRDefault="00D226C7" w:rsidP="00802160">
            <w:pPr>
              <w:pStyle w:val="Tabletext"/>
            </w:pPr>
            <w:r w:rsidRPr="00D42745">
              <w:t>13.40</w:t>
            </w:r>
          </w:p>
        </w:tc>
        <w:tc>
          <w:tcPr>
            <w:tcW w:w="851" w:type="dxa"/>
          </w:tcPr>
          <w:p w:rsidR="00D226C7" w:rsidRPr="00D226C7" w:rsidRDefault="00D226C7" w:rsidP="00802160">
            <w:pPr>
              <w:pStyle w:val="Tabletext"/>
            </w:pPr>
            <w:r w:rsidRPr="00D226C7">
              <w:t>▲9.64</w:t>
            </w:r>
          </w:p>
        </w:tc>
        <w:tc>
          <w:tcPr>
            <w:tcW w:w="1701" w:type="dxa"/>
          </w:tcPr>
          <w:p w:rsidR="00D226C7" w:rsidRPr="00D42745" w:rsidRDefault="00D226C7" w:rsidP="00802160">
            <w:pPr>
              <w:pStyle w:val="Tabletext"/>
            </w:pPr>
            <w:r w:rsidRPr="00D42745">
              <w:t>9.02</w:t>
            </w:r>
          </w:p>
        </w:tc>
        <w:tc>
          <w:tcPr>
            <w:tcW w:w="1701" w:type="dxa"/>
          </w:tcPr>
          <w:p w:rsidR="00D226C7" w:rsidRPr="00D42745" w:rsidRDefault="00D226C7" w:rsidP="00802160">
            <w:pPr>
              <w:pStyle w:val="Tabletext"/>
            </w:pPr>
            <w:r w:rsidRPr="00D42745">
              <w:t>6.57</w:t>
            </w:r>
          </w:p>
        </w:tc>
      </w:tr>
      <w:tr w:rsidR="00D226C7" w:rsidRPr="00D42745" w:rsidTr="00D226C7">
        <w:trPr>
          <w:trHeight w:hRule="exact" w:val="312"/>
        </w:trPr>
        <w:tc>
          <w:tcPr>
            <w:tcW w:w="2268" w:type="dxa"/>
          </w:tcPr>
          <w:p w:rsidR="00D226C7" w:rsidRPr="00D226C7" w:rsidRDefault="00D226C7" w:rsidP="00802160">
            <w:pPr>
              <w:pStyle w:val="Tabletext"/>
            </w:pPr>
            <w:r w:rsidRPr="00D226C7">
              <w:t>Origin Energy</w:t>
            </w:r>
          </w:p>
        </w:tc>
        <w:tc>
          <w:tcPr>
            <w:tcW w:w="851" w:type="dxa"/>
          </w:tcPr>
          <w:p w:rsidR="00D226C7" w:rsidRPr="00D42745" w:rsidRDefault="00D226C7" w:rsidP="00802160">
            <w:pPr>
              <w:pStyle w:val="Tabletext"/>
            </w:pPr>
            <w:r w:rsidRPr="00D42745">
              <w:t>0.05</w:t>
            </w:r>
          </w:p>
        </w:tc>
        <w:tc>
          <w:tcPr>
            <w:tcW w:w="851" w:type="dxa"/>
          </w:tcPr>
          <w:p w:rsidR="00D226C7" w:rsidRPr="00D226C7" w:rsidRDefault="00D226C7" w:rsidP="00802160">
            <w:pPr>
              <w:pStyle w:val="Tabletext"/>
            </w:pPr>
            <w:r w:rsidRPr="00D226C7">
              <w:t>▲0.05</w:t>
            </w:r>
          </w:p>
        </w:tc>
        <w:tc>
          <w:tcPr>
            <w:tcW w:w="851" w:type="dxa"/>
          </w:tcPr>
          <w:p w:rsidR="00D226C7" w:rsidRPr="00D42745" w:rsidRDefault="00D226C7" w:rsidP="00802160">
            <w:pPr>
              <w:pStyle w:val="Tabletext"/>
            </w:pPr>
            <w:r w:rsidRPr="00D42745">
              <w:t>0.05</w:t>
            </w:r>
          </w:p>
        </w:tc>
        <w:tc>
          <w:tcPr>
            <w:tcW w:w="851" w:type="dxa"/>
          </w:tcPr>
          <w:p w:rsidR="00D226C7" w:rsidRPr="00D226C7" w:rsidRDefault="00D226C7" w:rsidP="00802160">
            <w:pPr>
              <w:pStyle w:val="Tabletext"/>
            </w:pPr>
            <w:r w:rsidRPr="00D226C7">
              <w:t>▲0.05</w:t>
            </w:r>
          </w:p>
        </w:tc>
        <w:tc>
          <w:tcPr>
            <w:tcW w:w="1701" w:type="dxa"/>
          </w:tcPr>
          <w:p w:rsidR="00D226C7" w:rsidRPr="00D42745" w:rsidRDefault="00D226C7" w:rsidP="00802160">
            <w:pPr>
              <w:pStyle w:val="Tabletext"/>
            </w:pPr>
            <w:r w:rsidRPr="00D42745">
              <w:t>0.05</w:t>
            </w:r>
          </w:p>
        </w:tc>
        <w:tc>
          <w:tcPr>
            <w:tcW w:w="1701" w:type="dxa"/>
          </w:tcPr>
          <w:p w:rsidR="00D226C7" w:rsidRPr="00D42745" w:rsidRDefault="00D226C7" w:rsidP="00802160">
            <w:pPr>
              <w:pStyle w:val="Tabletext"/>
            </w:pPr>
            <w:r w:rsidRPr="00D42745">
              <w:t>0.05</w:t>
            </w:r>
          </w:p>
        </w:tc>
      </w:tr>
      <w:tr w:rsidR="00D226C7" w:rsidRPr="00D42745" w:rsidTr="00D226C7">
        <w:trPr>
          <w:trHeight w:hRule="exact" w:val="312"/>
        </w:trPr>
        <w:tc>
          <w:tcPr>
            <w:tcW w:w="2268" w:type="dxa"/>
            <w:shd w:val="clear" w:color="auto" w:fill="F2F2F2" w:themeFill="background1" w:themeFillShade="F2"/>
          </w:tcPr>
          <w:p w:rsidR="00D226C7" w:rsidRPr="00975582" w:rsidRDefault="00D226C7" w:rsidP="00802160">
            <w:pPr>
              <w:pStyle w:val="Tabletext"/>
              <w:rPr>
                <w:rStyle w:val="Strong"/>
              </w:rPr>
            </w:pPr>
            <w:r w:rsidRPr="00975582">
              <w:rPr>
                <w:rStyle w:val="Strong"/>
              </w:rPr>
              <w:t>TOTAL ACT</w:t>
            </w:r>
          </w:p>
        </w:tc>
        <w:tc>
          <w:tcPr>
            <w:tcW w:w="851" w:type="dxa"/>
            <w:shd w:val="clear" w:color="auto" w:fill="F2F2F2" w:themeFill="background1" w:themeFillShade="F2"/>
          </w:tcPr>
          <w:p w:rsidR="00D226C7" w:rsidRPr="00975582" w:rsidRDefault="00D226C7" w:rsidP="00802160">
            <w:pPr>
              <w:pStyle w:val="Tabletext"/>
              <w:rPr>
                <w:rStyle w:val="Strong"/>
              </w:rPr>
            </w:pPr>
            <w:r w:rsidRPr="00975582">
              <w:rPr>
                <w:rStyle w:val="Strong"/>
              </w:rPr>
              <w:t>0.62</w:t>
            </w:r>
          </w:p>
        </w:tc>
        <w:tc>
          <w:tcPr>
            <w:tcW w:w="851" w:type="dxa"/>
            <w:shd w:val="clear" w:color="auto" w:fill="F2F2F2" w:themeFill="background1" w:themeFillShade="F2"/>
          </w:tcPr>
          <w:p w:rsidR="00D226C7" w:rsidRPr="00975582" w:rsidRDefault="00D226C7" w:rsidP="00802160">
            <w:pPr>
              <w:pStyle w:val="Tabletext"/>
              <w:rPr>
                <w:rStyle w:val="Strong"/>
              </w:rPr>
            </w:pPr>
            <w:r w:rsidRPr="00975582">
              <w:rPr>
                <w:rStyle w:val="Strong"/>
              </w:rPr>
              <w:t>▲0.26</w:t>
            </w:r>
          </w:p>
        </w:tc>
        <w:tc>
          <w:tcPr>
            <w:tcW w:w="851" w:type="dxa"/>
            <w:shd w:val="clear" w:color="auto" w:fill="F2F2F2" w:themeFill="background1" w:themeFillShade="F2"/>
          </w:tcPr>
          <w:p w:rsidR="00D226C7" w:rsidRPr="00975582" w:rsidRDefault="00D226C7" w:rsidP="00802160">
            <w:pPr>
              <w:pStyle w:val="Tabletext"/>
              <w:rPr>
                <w:rStyle w:val="Strong"/>
              </w:rPr>
            </w:pPr>
            <w:r w:rsidRPr="00975582">
              <w:rPr>
                <w:rStyle w:val="Strong"/>
              </w:rPr>
              <w:t>0.63</w:t>
            </w:r>
          </w:p>
        </w:tc>
        <w:tc>
          <w:tcPr>
            <w:tcW w:w="851" w:type="dxa"/>
            <w:shd w:val="clear" w:color="auto" w:fill="F2F2F2" w:themeFill="background1" w:themeFillShade="F2"/>
          </w:tcPr>
          <w:p w:rsidR="00D226C7" w:rsidRPr="00975582" w:rsidRDefault="00D226C7" w:rsidP="00802160">
            <w:pPr>
              <w:pStyle w:val="Tabletext"/>
              <w:rPr>
                <w:rStyle w:val="Strong"/>
              </w:rPr>
            </w:pPr>
            <w:r w:rsidRPr="00975582">
              <w:rPr>
                <w:rStyle w:val="Strong"/>
              </w:rPr>
              <w:t>▲0.37</w:t>
            </w:r>
          </w:p>
        </w:tc>
        <w:tc>
          <w:tcPr>
            <w:tcW w:w="1701" w:type="dxa"/>
            <w:shd w:val="clear" w:color="auto" w:fill="F2F2F2" w:themeFill="background1" w:themeFillShade="F2"/>
          </w:tcPr>
          <w:p w:rsidR="00D226C7" w:rsidRPr="00975582" w:rsidRDefault="00D226C7" w:rsidP="00802160">
            <w:pPr>
              <w:pStyle w:val="Tabletext"/>
              <w:rPr>
                <w:rStyle w:val="Strong"/>
              </w:rPr>
            </w:pPr>
            <w:r w:rsidRPr="00975582">
              <w:rPr>
                <w:rStyle w:val="Strong"/>
              </w:rPr>
              <w:t>2.14</w:t>
            </w:r>
          </w:p>
        </w:tc>
        <w:tc>
          <w:tcPr>
            <w:tcW w:w="1701" w:type="dxa"/>
            <w:shd w:val="clear" w:color="auto" w:fill="F2F2F2" w:themeFill="background1" w:themeFillShade="F2"/>
          </w:tcPr>
          <w:p w:rsidR="00D226C7" w:rsidRPr="00975582" w:rsidRDefault="00D226C7" w:rsidP="00802160">
            <w:pPr>
              <w:pStyle w:val="Tabletext"/>
              <w:rPr>
                <w:rStyle w:val="Strong"/>
              </w:rPr>
            </w:pPr>
            <w:r w:rsidRPr="00975582">
              <w:rPr>
                <w:rStyle w:val="Strong"/>
              </w:rPr>
              <w:t>1.49</w:t>
            </w:r>
          </w:p>
        </w:tc>
      </w:tr>
      <w:tr w:rsidR="00D226C7" w:rsidRPr="00D42745" w:rsidTr="00D226C7">
        <w:trPr>
          <w:trHeight w:hRule="exact" w:val="312"/>
        </w:trPr>
        <w:tc>
          <w:tcPr>
            <w:tcW w:w="2268" w:type="dxa"/>
          </w:tcPr>
          <w:p w:rsidR="00D226C7" w:rsidRPr="006D4C8B" w:rsidRDefault="00D226C7" w:rsidP="00802160">
            <w:pPr>
              <w:pStyle w:val="Tabletext"/>
              <w:rPr>
                <w:rStyle w:val="Strong"/>
              </w:rPr>
            </w:pPr>
            <w:r w:rsidRPr="006D4C8B">
              <w:rPr>
                <w:rStyle w:val="Strong"/>
              </w:rPr>
              <w:t>Tasmania</w:t>
            </w:r>
          </w:p>
        </w:tc>
        <w:tc>
          <w:tcPr>
            <w:tcW w:w="851" w:type="dxa"/>
          </w:tcPr>
          <w:p w:rsidR="00D226C7" w:rsidRPr="00D42745" w:rsidRDefault="00D226C7" w:rsidP="00802160">
            <w:pPr>
              <w:pStyle w:val="Tabletext"/>
            </w:pPr>
          </w:p>
        </w:tc>
        <w:tc>
          <w:tcPr>
            <w:tcW w:w="851" w:type="dxa"/>
          </w:tcPr>
          <w:p w:rsidR="00D226C7" w:rsidRPr="00D42745" w:rsidRDefault="00D226C7" w:rsidP="00802160">
            <w:pPr>
              <w:pStyle w:val="Tabletext"/>
            </w:pPr>
          </w:p>
        </w:tc>
        <w:tc>
          <w:tcPr>
            <w:tcW w:w="851" w:type="dxa"/>
          </w:tcPr>
          <w:p w:rsidR="00D226C7" w:rsidRPr="00D42745" w:rsidRDefault="00D226C7" w:rsidP="00802160">
            <w:pPr>
              <w:pStyle w:val="Tabletext"/>
            </w:pPr>
          </w:p>
        </w:tc>
        <w:tc>
          <w:tcPr>
            <w:tcW w:w="851" w:type="dxa"/>
          </w:tcPr>
          <w:p w:rsidR="00D226C7" w:rsidRPr="00D42745" w:rsidRDefault="00D226C7" w:rsidP="00802160">
            <w:pPr>
              <w:pStyle w:val="Tabletext"/>
            </w:pPr>
          </w:p>
        </w:tc>
        <w:tc>
          <w:tcPr>
            <w:tcW w:w="1701" w:type="dxa"/>
          </w:tcPr>
          <w:p w:rsidR="00D226C7" w:rsidRPr="00D42745" w:rsidRDefault="00D226C7" w:rsidP="00802160">
            <w:pPr>
              <w:pStyle w:val="Tabletext"/>
            </w:pPr>
          </w:p>
        </w:tc>
        <w:tc>
          <w:tcPr>
            <w:tcW w:w="1701" w:type="dxa"/>
          </w:tcPr>
          <w:p w:rsidR="00D226C7" w:rsidRPr="00D42745" w:rsidRDefault="00D226C7" w:rsidP="00802160">
            <w:pPr>
              <w:pStyle w:val="Tabletext"/>
            </w:pPr>
          </w:p>
        </w:tc>
      </w:tr>
      <w:tr w:rsidR="00D226C7" w:rsidRPr="00D42745" w:rsidTr="00D226C7">
        <w:trPr>
          <w:trHeight w:hRule="exact" w:val="312"/>
        </w:trPr>
        <w:tc>
          <w:tcPr>
            <w:tcW w:w="2268" w:type="dxa"/>
            <w:shd w:val="clear" w:color="auto" w:fill="F2F2F2" w:themeFill="background1" w:themeFillShade="F2"/>
          </w:tcPr>
          <w:p w:rsidR="00D226C7" w:rsidRPr="00D226C7" w:rsidRDefault="00D226C7" w:rsidP="00802160">
            <w:pPr>
              <w:pStyle w:val="Tabletext"/>
            </w:pPr>
            <w:r w:rsidRPr="00D226C7">
              <w:t>Aurora Energy</w:t>
            </w:r>
          </w:p>
        </w:tc>
        <w:tc>
          <w:tcPr>
            <w:tcW w:w="851" w:type="dxa"/>
            <w:shd w:val="clear" w:color="auto" w:fill="F2F2F2" w:themeFill="background1" w:themeFillShade="F2"/>
          </w:tcPr>
          <w:p w:rsidR="00D226C7" w:rsidRPr="00D226C7" w:rsidRDefault="00D226C7" w:rsidP="00802160">
            <w:pPr>
              <w:pStyle w:val="Tabletext"/>
            </w:pPr>
            <w:r w:rsidRPr="00D226C7">
              <w:t>1.01</w:t>
            </w:r>
          </w:p>
        </w:tc>
        <w:tc>
          <w:tcPr>
            <w:tcW w:w="851" w:type="dxa"/>
            <w:shd w:val="clear" w:color="auto" w:fill="F2F2F2" w:themeFill="background1" w:themeFillShade="F2"/>
          </w:tcPr>
          <w:p w:rsidR="00D226C7" w:rsidRPr="00D226C7" w:rsidRDefault="00D226C7" w:rsidP="00802160">
            <w:pPr>
              <w:pStyle w:val="Tabletext"/>
            </w:pPr>
            <w:r w:rsidRPr="00D226C7">
              <w:t>▼0.27</w:t>
            </w:r>
          </w:p>
        </w:tc>
        <w:tc>
          <w:tcPr>
            <w:tcW w:w="851" w:type="dxa"/>
            <w:shd w:val="clear" w:color="auto" w:fill="F2F2F2" w:themeFill="background1" w:themeFillShade="F2"/>
          </w:tcPr>
          <w:p w:rsidR="00D226C7" w:rsidRPr="00D226C7" w:rsidRDefault="00D226C7" w:rsidP="00802160">
            <w:pPr>
              <w:pStyle w:val="Tabletext"/>
            </w:pPr>
            <w:r w:rsidRPr="00D226C7">
              <w:t>-</w:t>
            </w:r>
          </w:p>
        </w:tc>
        <w:tc>
          <w:tcPr>
            <w:tcW w:w="851" w:type="dxa"/>
            <w:shd w:val="clear" w:color="auto" w:fill="F2F2F2" w:themeFill="background1" w:themeFillShade="F2"/>
          </w:tcPr>
          <w:p w:rsidR="00D226C7" w:rsidRPr="00D226C7" w:rsidRDefault="00D226C7" w:rsidP="00802160">
            <w:pPr>
              <w:pStyle w:val="Tabletext"/>
            </w:pPr>
            <w:r w:rsidRPr="00D226C7">
              <w:t>-</w:t>
            </w:r>
          </w:p>
        </w:tc>
        <w:tc>
          <w:tcPr>
            <w:tcW w:w="1701" w:type="dxa"/>
            <w:shd w:val="clear" w:color="auto" w:fill="F2F2F2" w:themeFill="background1" w:themeFillShade="F2"/>
          </w:tcPr>
          <w:p w:rsidR="00D226C7" w:rsidRPr="00D226C7" w:rsidRDefault="00D226C7" w:rsidP="00802160">
            <w:pPr>
              <w:pStyle w:val="Tabletext"/>
            </w:pPr>
            <w:r w:rsidRPr="00D226C7">
              <w:t>1.61</w:t>
            </w:r>
          </w:p>
        </w:tc>
        <w:tc>
          <w:tcPr>
            <w:tcW w:w="1701" w:type="dxa"/>
            <w:shd w:val="clear" w:color="auto" w:fill="F2F2F2" w:themeFill="background1" w:themeFillShade="F2"/>
          </w:tcPr>
          <w:p w:rsidR="00D226C7" w:rsidRPr="00D226C7" w:rsidRDefault="00D226C7" w:rsidP="00802160">
            <w:pPr>
              <w:pStyle w:val="Tabletext"/>
            </w:pPr>
            <w:r w:rsidRPr="00D226C7">
              <w:t>-</w:t>
            </w:r>
          </w:p>
        </w:tc>
      </w:tr>
      <w:tr w:rsidR="00D226C7" w:rsidRPr="00D42745" w:rsidTr="00D226C7">
        <w:trPr>
          <w:trHeight w:hRule="exact" w:val="312"/>
        </w:trPr>
        <w:tc>
          <w:tcPr>
            <w:tcW w:w="2268" w:type="dxa"/>
          </w:tcPr>
          <w:p w:rsidR="00D226C7" w:rsidRPr="006D4C8B" w:rsidRDefault="00D226C7" w:rsidP="00802160">
            <w:pPr>
              <w:pStyle w:val="Tabletext"/>
              <w:rPr>
                <w:rStyle w:val="Strong"/>
              </w:rPr>
            </w:pPr>
            <w:r w:rsidRPr="006D4C8B">
              <w:rPr>
                <w:rStyle w:val="Strong"/>
              </w:rPr>
              <w:t>New South Wales</w:t>
            </w:r>
          </w:p>
        </w:tc>
        <w:tc>
          <w:tcPr>
            <w:tcW w:w="851" w:type="dxa"/>
          </w:tcPr>
          <w:p w:rsidR="00D226C7" w:rsidRPr="00D42745" w:rsidRDefault="00D226C7" w:rsidP="00802160">
            <w:pPr>
              <w:pStyle w:val="Tabletext"/>
            </w:pPr>
          </w:p>
        </w:tc>
        <w:tc>
          <w:tcPr>
            <w:tcW w:w="851" w:type="dxa"/>
          </w:tcPr>
          <w:p w:rsidR="00D226C7" w:rsidRPr="00D42745" w:rsidRDefault="00D226C7" w:rsidP="00802160">
            <w:pPr>
              <w:pStyle w:val="Tabletext"/>
            </w:pPr>
          </w:p>
        </w:tc>
        <w:tc>
          <w:tcPr>
            <w:tcW w:w="851" w:type="dxa"/>
          </w:tcPr>
          <w:p w:rsidR="00D226C7" w:rsidRPr="00D42745" w:rsidRDefault="00D226C7" w:rsidP="00802160">
            <w:pPr>
              <w:pStyle w:val="Tabletext"/>
            </w:pPr>
          </w:p>
        </w:tc>
        <w:tc>
          <w:tcPr>
            <w:tcW w:w="851" w:type="dxa"/>
          </w:tcPr>
          <w:p w:rsidR="00D226C7" w:rsidRPr="00D42745" w:rsidRDefault="00D226C7" w:rsidP="00802160">
            <w:pPr>
              <w:pStyle w:val="Tabletext"/>
            </w:pPr>
          </w:p>
        </w:tc>
        <w:tc>
          <w:tcPr>
            <w:tcW w:w="1701" w:type="dxa"/>
          </w:tcPr>
          <w:p w:rsidR="00D226C7" w:rsidRPr="00D42745" w:rsidRDefault="00D226C7" w:rsidP="00802160">
            <w:pPr>
              <w:pStyle w:val="Tabletext"/>
            </w:pPr>
          </w:p>
        </w:tc>
        <w:tc>
          <w:tcPr>
            <w:tcW w:w="1701" w:type="dxa"/>
          </w:tcPr>
          <w:p w:rsidR="00D226C7" w:rsidRPr="00D42745" w:rsidRDefault="00D226C7" w:rsidP="00802160">
            <w:pPr>
              <w:pStyle w:val="Tabletext"/>
            </w:pPr>
          </w:p>
        </w:tc>
      </w:tr>
      <w:tr w:rsidR="00D226C7" w:rsidRPr="00D42745" w:rsidTr="00D226C7">
        <w:trPr>
          <w:trHeight w:hRule="exact" w:val="312"/>
        </w:trPr>
        <w:tc>
          <w:tcPr>
            <w:tcW w:w="2268" w:type="dxa"/>
          </w:tcPr>
          <w:p w:rsidR="00D226C7" w:rsidRPr="00D226C7" w:rsidRDefault="00D226C7" w:rsidP="00802160">
            <w:pPr>
              <w:pStyle w:val="Tabletext"/>
            </w:pPr>
            <w:r w:rsidRPr="00D226C7">
              <w:t>ActewAGL</w:t>
            </w:r>
          </w:p>
        </w:tc>
        <w:tc>
          <w:tcPr>
            <w:tcW w:w="851" w:type="dxa"/>
          </w:tcPr>
          <w:p w:rsidR="00D226C7" w:rsidRPr="00D42745" w:rsidRDefault="00D226C7" w:rsidP="00802160">
            <w:pPr>
              <w:pStyle w:val="Tabletext"/>
            </w:pPr>
            <w:r w:rsidRPr="00D42745">
              <w:t>0.52</w:t>
            </w:r>
          </w:p>
        </w:tc>
        <w:tc>
          <w:tcPr>
            <w:tcW w:w="851" w:type="dxa"/>
          </w:tcPr>
          <w:p w:rsidR="00D226C7" w:rsidRPr="00D226C7" w:rsidRDefault="00D226C7" w:rsidP="00802160">
            <w:pPr>
              <w:pStyle w:val="Tabletext"/>
            </w:pPr>
            <w:r w:rsidRPr="00D226C7">
              <w:t>▲0.07</w:t>
            </w:r>
          </w:p>
        </w:tc>
        <w:tc>
          <w:tcPr>
            <w:tcW w:w="851" w:type="dxa"/>
          </w:tcPr>
          <w:p w:rsidR="00D226C7" w:rsidRPr="00D42745" w:rsidRDefault="00D226C7" w:rsidP="00802160">
            <w:pPr>
              <w:pStyle w:val="Tabletext"/>
            </w:pPr>
            <w:r w:rsidRPr="00D42745">
              <w:t>0.21</w:t>
            </w:r>
          </w:p>
        </w:tc>
        <w:tc>
          <w:tcPr>
            <w:tcW w:w="851" w:type="dxa"/>
          </w:tcPr>
          <w:p w:rsidR="00D226C7" w:rsidRPr="00D226C7" w:rsidRDefault="00D226C7" w:rsidP="00802160">
            <w:pPr>
              <w:pStyle w:val="Tabletext"/>
            </w:pPr>
            <w:r w:rsidRPr="00D226C7">
              <w:t>▲0.02</w:t>
            </w:r>
          </w:p>
        </w:tc>
        <w:tc>
          <w:tcPr>
            <w:tcW w:w="1701" w:type="dxa"/>
          </w:tcPr>
          <w:p w:rsidR="00D226C7" w:rsidRPr="00D42745" w:rsidRDefault="00D226C7" w:rsidP="00802160">
            <w:pPr>
              <w:pStyle w:val="Tabletext"/>
            </w:pPr>
            <w:r w:rsidRPr="00D42745">
              <w:t>5.03</w:t>
            </w:r>
          </w:p>
        </w:tc>
        <w:tc>
          <w:tcPr>
            <w:tcW w:w="1701" w:type="dxa"/>
          </w:tcPr>
          <w:p w:rsidR="00D226C7" w:rsidRPr="00D42745" w:rsidRDefault="00D226C7" w:rsidP="00802160">
            <w:pPr>
              <w:pStyle w:val="Tabletext"/>
            </w:pPr>
            <w:r w:rsidRPr="00D42745">
              <w:t>1.71</w:t>
            </w:r>
          </w:p>
        </w:tc>
      </w:tr>
      <w:tr w:rsidR="00D226C7" w:rsidRPr="00D42745" w:rsidTr="00D226C7">
        <w:trPr>
          <w:trHeight w:hRule="exact" w:val="312"/>
        </w:trPr>
        <w:tc>
          <w:tcPr>
            <w:tcW w:w="2268" w:type="dxa"/>
          </w:tcPr>
          <w:p w:rsidR="00D226C7" w:rsidRPr="00D226C7" w:rsidRDefault="00D226C7" w:rsidP="00802160">
            <w:pPr>
              <w:pStyle w:val="Tabletext"/>
            </w:pPr>
            <w:r w:rsidRPr="00D226C7">
              <w:t>AGL</w:t>
            </w:r>
          </w:p>
        </w:tc>
        <w:tc>
          <w:tcPr>
            <w:tcW w:w="851" w:type="dxa"/>
          </w:tcPr>
          <w:p w:rsidR="00D226C7" w:rsidRPr="00D42745" w:rsidRDefault="00D226C7" w:rsidP="00802160">
            <w:pPr>
              <w:pStyle w:val="Tabletext"/>
            </w:pPr>
            <w:r w:rsidRPr="00D42745">
              <w:t>0.42</w:t>
            </w:r>
          </w:p>
        </w:tc>
        <w:tc>
          <w:tcPr>
            <w:tcW w:w="851" w:type="dxa"/>
          </w:tcPr>
          <w:p w:rsidR="00D226C7" w:rsidRPr="00D226C7" w:rsidRDefault="00D226C7" w:rsidP="00802160">
            <w:pPr>
              <w:pStyle w:val="Tabletext"/>
            </w:pPr>
            <w:r w:rsidRPr="00D226C7">
              <w:t>▼0.18</w:t>
            </w:r>
          </w:p>
        </w:tc>
        <w:tc>
          <w:tcPr>
            <w:tcW w:w="851" w:type="dxa"/>
          </w:tcPr>
          <w:p w:rsidR="00D226C7" w:rsidRPr="00D42745" w:rsidRDefault="00D226C7" w:rsidP="00802160">
            <w:pPr>
              <w:pStyle w:val="Tabletext"/>
            </w:pPr>
            <w:r w:rsidRPr="00D42745">
              <w:t>0.14</w:t>
            </w:r>
          </w:p>
        </w:tc>
        <w:tc>
          <w:tcPr>
            <w:tcW w:w="851" w:type="dxa"/>
          </w:tcPr>
          <w:p w:rsidR="00D226C7" w:rsidRPr="00D226C7" w:rsidRDefault="00D226C7" w:rsidP="00802160">
            <w:pPr>
              <w:pStyle w:val="Tabletext"/>
            </w:pPr>
            <w:r w:rsidRPr="00D226C7">
              <w:t>▼0.03</w:t>
            </w:r>
          </w:p>
        </w:tc>
        <w:tc>
          <w:tcPr>
            <w:tcW w:w="1701" w:type="dxa"/>
          </w:tcPr>
          <w:p w:rsidR="00D226C7" w:rsidRPr="00D42745" w:rsidRDefault="00D226C7" w:rsidP="00802160">
            <w:pPr>
              <w:pStyle w:val="Tabletext"/>
            </w:pPr>
            <w:r w:rsidRPr="00D42745">
              <w:t>2.39</w:t>
            </w:r>
          </w:p>
        </w:tc>
        <w:tc>
          <w:tcPr>
            <w:tcW w:w="1701" w:type="dxa"/>
          </w:tcPr>
          <w:p w:rsidR="00D226C7" w:rsidRPr="00D42745" w:rsidRDefault="00D226C7" w:rsidP="00802160">
            <w:pPr>
              <w:pStyle w:val="Tabletext"/>
            </w:pPr>
            <w:r w:rsidRPr="00D42745">
              <w:t>0.86</w:t>
            </w:r>
          </w:p>
        </w:tc>
      </w:tr>
      <w:tr w:rsidR="00D226C7" w:rsidRPr="00D42745" w:rsidTr="00D226C7">
        <w:trPr>
          <w:trHeight w:hRule="exact" w:val="312"/>
        </w:trPr>
        <w:tc>
          <w:tcPr>
            <w:tcW w:w="2268" w:type="dxa"/>
          </w:tcPr>
          <w:p w:rsidR="00D226C7" w:rsidRPr="00D226C7" w:rsidRDefault="00D226C7" w:rsidP="00802160">
            <w:pPr>
              <w:pStyle w:val="Tabletext"/>
            </w:pPr>
            <w:r w:rsidRPr="00D226C7">
              <w:t>Click Energy</w:t>
            </w:r>
          </w:p>
        </w:tc>
        <w:tc>
          <w:tcPr>
            <w:tcW w:w="851" w:type="dxa"/>
          </w:tcPr>
          <w:p w:rsidR="00D226C7" w:rsidRPr="00D42745" w:rsidRDefault="00D226C7" w:rsidP="00802160">
            <w:pPr>
              <w:pStyle w:val="Tabletext"/>
            </w:pPr>
            <w:r w:rsidRPr="00D42745">
              <w:t>0.36</w:t>
            </w:r>
          </w:p>
        </w:tc>
        <w:tc>
          <w:tcPr>
            <w:tcW w:w="851" w:type="dxa"/>
          </w:tcPr>
          <w:p w:rsidR="00D226C7" w:rsidRPr="00D226C7" w:rsidRDefault="00D226C7" w:rsidP="00802160">
            <w:pPr>
              <w:pStyle w:val="Tabletext"/>
            </w:pPr>
            <w:r w:rsidRPr="00D226C7">
              <w:t>▲0.20</w:t>
            </w:r>
          </w:p>
        </w:tc>
        <w:tc>
          <w:tcPr>
            <w:tcW w:w="851" w:type="dxa"/>
          </w:tcPr>
          <w:p w:rsidR="00D226C7" w:rsidRPr="00D42745" w:rsidRDefault="00D226C7" w:rsidP="00802160">
            <w:pPr>
              <w:pStyle w:val="Tabletext"/>
            </w:pPr>
            <w:r w:rsidRPr="00D42745">
              <w:t>-</w:t>
            </w:r>
          </w:p>
        </w:tc>
        <w:tc>
          <w:tcPr>
            <w:tcW w:w="851" w:type="dxa"/>
          </w:tcPr>
          <w:p w:rsidR="00D226C7" w:rsidRPr="00D42745" w:rsidRDefault="00D226C7" w:rsidP="00802160">
            <w:pPr>
              <w:pStyle w:val="Tabletext"/>
            </w:pPr>
            <w:r w:rsidRPr="00D42745">
              <w:t>-</w:t>
            </w:r>
          </w:p>
        </w:tc>
        <w:tc>
          <w:tcPr>
            <w:tcW w:w="1701" w:type="dxa"/>
          </w:tcPr>
          <w:p w:rsidR="00D226C7" w:rsidRPr="00D42745" w:rsidRDefault="00D226C7" w:rsidP="00802160">
            <w:pPr>
              <w:pStyle w:val="Tabletext"/>
            </w:pPr>
            <w:r w:rsidRPr="00D42745">
              <w:t>1.08</w:t>
            </w:r>
          </w:p>
        </w:tc>
        <w:tc>
          <w:tcPr>
            <w:tcW w:w="1701" w:type="dxa"/>
          </w:tcPr>
          <w:p w:rsidR="00D226C7" w:rsidRPr="00D42745" w:rsidRDefault="00D226C7" w:rsidP="00802160">
            <w:pPr>
              <w:pStyle w:val="Tabletext"/>
            </w:pPr>
            <w:r w:rsidRPr="00D42745">
              <w:t>-</w:t>
            </w:r>
          </w:p>
        </w:tc>
      </w:tr>
      <w:tr w:rsidR="00D226C7" w:rsidRPr="00D42745" w:rsidTr="00D226C7">
        <w:trPr>
          <w:trHeight w:hRule="exact" w:val="312"/>
        </w:trPr>
        <w:tc>
          <w:tcPr>
            <w:tcW w:w="2268" w:type="dxa"/>
          </w:tcPr>
          <w:p w:rsidR="00D226C7" w:rsidRPr="00D226C7" w:rsidRDefault="00D226C7" w:rsidP="00802160">
            <w:pPr>
              <w:pStyle w:val="Tabletext"/>
            </w:pPr>
            <w:r w:rsidRPr="00D226C7">
              <w:t>CovaU</w:t>
            </w:r>
          </w:p>
        </w:tc>
        <w:tc>
          <w:tcPr>
            <w:tcW w:w="851" w:type="dxa"/>
          </w:tcPr>
          <w:p w:rsidR="00D226C7" w:rsidRPr="00D42745" w:rsidRDefault="00D226C7" w:rsidP="00802160">
            <w:pPr>
              <w:pStyle w:val="Tabletext"/>
            </w:pPr>
            <w:r w:rsidRPr="00D42745">
              <w:t>1.14</w:t>
            </w:r>
          </w:p>
        </w:tc>
        <w:tc>
          <w:tcPr>
            <w:tcW w:w="851" w:type="dxa"/>
          </w:tcPr>
          <w:p w:rsidR="00D226C7" w:rsidRPr="00D226C7" w:rsidRDefault="00D226C7" w:rsidP="00802160">
            <w:pPr>
              <w:pStyle w:val="Tabletext"/>
            </w:pPr>
            <w:r w:rsidRPr="00D226C7">
              <w:t>▲1.14</w:t>
            </w:r>
          </w:p>
        </w:tc>
        <w:tc>
          <w:tcPr>
            <w:tcW w:w="851" w:type="dxa"/>
          </w:tcPr>
          <w:p w:rsidR="00D226C7" w:rsidRPr="00D42745" w:rsidRDefault="00D226C7" w:rsidP="00802160">
            <w:pPr>
              <w:pStyle w:val="Tabletext"/>
            </w:pPr>
            <w:r w:rsidRPr="00D42745">
              <w:t>0.49</w:t>
            </w:r>
          </w:p>
        </w:tc>
        <w:tc>
          <w:tcPr>
            <w:tcW w:w="851" w:type="dxa"/>
          </w:tcPr>
          <w:p w:rsidR="00D226C7" w:rsidRPr="00D226C7" w:rsidRDefault="00D226C7" w:rsidP="00802160">
            <w:pPr>
              <w:pStyle w:val="Tabletext"/>
            </w:pPr>
            <w:r w:rsidRPr="00D226C7">
              <w:t>▲0.49</w:t>
            </w:r>
          </w:p>
        </w:tc>
        <w:tc>
          <w:tcPr>
            <w:tcW w:w="1701" w:type="dxa"/>
          </w:tcPr>
          <w:p w:rsidR="00D226C7" w:rsidRPr="00D42745" w:rsidRDefault="00D226C7" w:rsidP="00802160">
            <w:pPr>
              <w:pStyle w:val="Tabletext"/>
            </w:pPr>
            <w:r w:rsidRPr="00D42745">
              <w:t>0.38</w:t>
            </w:r>
          </w:p>
        </w:tc>
        <w:tc>
          <w:tcPr>
            <w:tcW w:w="1701" w:type="dxa"/>
          </w:tcPr>
          <w:p w:rsidR="00D226C7" w:rsidRPr="00D42745" w:rsidRDefault="00D226C7" w:rsidP="00802160">
            <w:pPr>
              <w:pStyle w:val="Tabletext"/>
            </w:pPr>
            <w:r w:rsidRPr="00D42745">
              <w:t>0.00</w:t>
            </w:r>
          </w:p>
        </w:tc>
      </w:tr>
      <w:tr w:rsidR="00D226C7" w:rsidRPr="00D42745" w:rsidTr="00D226C7">
        <w:trPr>
          <w:trHeight w:hRule="exact" w:val="312"/>
        </w:trPr>
        <w:tc>
          <w:tcPr>
            <w:tcW w:w="2268" w:type="dxa"/>
          </w:tcPr>
          <w:p w:rsidR="00D226C7" w:rsidRPr="00D226C7" w:rsidRDefault="00D226C7" w:rsidP="00802160">
            <w:pPr>
              <w:pStyle w:val="Tabletext"/>
            </w:pPr>
            <w:r w:rsidRPr="00D226C7">
              <w:t>Diamond Energy</w:t>
            </w:r>
          </w:p>
        </w:tc>
        <w:tc>
          <w:tcPr>
            <w:tcW w:w="851" w:type="dxa"/>
          </w:tcPr>
          <w:p w:rsidR="00D226C7" w:rsidRPr="00D42745" w:rsidRDefault="00D226C7" w:rsidP="00802160">
            <w:pPr>
              <w:pStyle w:val="Tabletext"/>
            </w:pPr>
            <w:r w:rsidRPr="00D42745">
              <w:t>1.94</w:t>
            </w:r>
          </w:p>
        </w:tc>
        <w:tc>
          <w:tcPr>
            <w:tcW w:w="851" w:type="dxa"/>
          </w:tcPr>
          <w:p w:rsidR="00D226C7" w:rsidRPr="00D226C7" w:rsidRDefault="00D226C7" w:rsidP="00802160">
            <w:pPr>
              <w:pStyle w:val="Tabletext"/>
            </w:pPr>
            <w:r w:rsidRPr="00D226C7">
              <w:t>▲1.63</w:t>
            </w:r>
          </w:p>
        </w:tc>
        <w:tc>
          <w:tcPr>
            <w:tcW w:w="851" w:type="dxa"/>
          </w:tcPr>
          <w:p w:rsidR="00D226C7" w:rsidRPr="00D42745" w:rsidRDefault="00D226C7" w:rsidP="00802160">
            <w:pPr>
              <w:pStyle w:val="Tabletext"/>
            </w:pPr>
            <w:r w:rsidRPr="00D42745">
              <w:t>-</w:t>
            </w:r>
          </w:p>
        </w:tc>
        <w:tc>
          <w:tcPr>
            <w:tcW w:w="851" w:type="dxa"/>
          </w:tcPr>
          <w:p w:rsidR="00D226C7" w:rsidRPr="00D42745" w:rsidRDefault="00D226C7" w:rsidP="00802160">
            <w:pPr>
              <w:pStyle w:val="Tabletext"/>
            </w:pPr>
            <w:r w:rsidRPr="00D42745">
              <w:t>-</w:t>
            </w:r>
          </w:p>
        </w:tc>
        <w:tc>
          <w:tcPr>
            <w:tcW w:w="1701" w:type="dxa"/>
          </w:tcPr>
          <w:p w:rsidR="00D226C7" w:rsidRPr="00D42745" w:rsidRDefault="00D226C7" w:rsidP="00802160">
            <w:pPr>
              <w:pStyle w:val="Tabletext"/>
            </w:pPr>
            <w:r w:rsidRPr="00D42745">
              <w:t>0.00</w:t>
            </w:r>
          </w:p>
        </w:tc>
        <w:tc>
          <w:tcPr>
            <w:tcW w:w="1701" w:type="dxa"/>
          </w:tcPr>
          <w:p w:rsidR="00D226C7" w:rsidRPr="00D42745" w:rsidRDefault="00D226C7" w:rsidP="00802160">
            <w:pPr>
              <w:pStyle w:val="Tabletext"/>
            </w:pPr>
            <w:r w:rsidRPr="00D42745">
              <w:t>-</w:t>
            </w:r>
          </w:p>
        </w:tc>
      </w:tr>
      <w:tr w:rsidR="00D226C7" w:rsidRPr="00D42745" w:rsidTr="00D226C7">
        <w:trPr>
          <w:trHeight w:hRule="exact" w:val="312"/>
        </w:trPr>
        <w:tc>
          <w:tcPr>
            <w:tcW w:w="2268" w:type="dxa"/>
          </w:tcPr>
          <w:p w:rsidR="00D226C7" w:rsidRPr="00D226C7" w:rsidRDefault="00D226C7" w:rsidP="00802160">
            <w:pPr>
              <w:pStyle w:val="Tabletext"/>
            </w:pPr>
            <w:r w:rsidRPr="00D226C7">
              <w:t>EnergyAustralia</w:t>
            </w:r>
          </w:p>
        </w:tc>
        <w:tc>
          <w:tcPr>
            <w:tcW w:w="851" w:type="dxa"/>
          </w:tcPr>
          <w:p w:rsidR="00D226C7" w:rsidRPr="00D42745" w:rsidRDefault="00D226C7" w:rsidP="00802160">
            <w:pPr>
              <w:pStyle w:val="Tabletext"/>
            </w:pPr>
            <w:r w:rsidRPr="00D42745">
              <w:t>6.51</w:t>
            </w:r>
          </w:p>
        </w:tc>
        <w:tc>
          <w:tcPr>
            <w:tcW w:w="851" w:type="dxa"/>
          </w:tcPr>
          <w:p w:rsidR="00D226C7" w:rsidRPr="00D226C7" w:rsidRDefault="00D226C7" w:rsidP="00802160">
            <w:pPr>
              <w:pStyle w:val="Tabletext"/>
            </w:pPr>
            <w:r w:rsidRPr="00D226C7">
              <w:t>▲4.67</w:t>
            </w:r>
          </w:p>
        </w:tc>
        <w:tc>
          <w:tcPr>
            <w:tcW w:w="851" w:type="dxa"/>
          </w:tcPr>
          <w:p w:rsidR="00D226C7" w:rsidRPr="00D42745" w:rsidRDefault="00D226C7" w:rsidP="00802160">
            <w:pPr>
              <w:pStyle w:val="Tabletext"/>
            </w:pPr>
            <w:r w:rsidRPr="00D42745">
              <w:t>5.04</w:t>
            </w:r>
          </w:p>
        </w:tc>
        <w:tc>
          <w:tcPr>
            <w:tcW w:w="851" w:type="dxa"/>
          </w:tcPr>
          <w:p w:rsidR="00D226C7" w:rsidRPr="00D226C7" w:rsidRDefault="00D226C7" w:rsidP="00802160">
            <w:pPr>
              <w:pStyle w:val="Tabletext"/>
            </w:pPr>
            <w:r w:rsidRPr="00D226C7">
              <w:t>▲3.46</w:t>
            </w:r>
          </w:p>
        </w:tc>
        <w:tc>
          <w:tcPr>
            <w:tcW w:w="1701" w:type="dxa"/>
          </w:tcPr>
          <w:p w:rsidR="00D226C7" w:rsidRPr="00D42745" w:rsidRDefault="00D226C7" w:rsidP="00802160">
            <w:pPr>
              <w:pStyle w:val="Tabletext"/>
            </w:pPr>
            <w:r w:rsidRPr="00D42745">
              <w:t>6.36</w:t>
            </w:r>
          </w:p>
        </w:tc>
        <w:tc>
          <w:tcPr>
            <w:tcW w:w="1701" w:type="dxa"/>
          </w:tcPr>
          <w:p w:rsidR="00D226C7" w:rsidRPr="00D42745" w:rsidRDefault="00D226C7" w:rsidP="00802160">
            <w:pPr>
              <w:pStyle w:val="Tabletext"/>
            </w:pPr>
            <w:r w:rsidRPr="00D42745">
              <w:t>4.35</w:t>
            </w:r>
          </w:p>
        </w:tc>
      </w:tr>
      <w:tr w:rsidR="00D226C7" w:rsidRPr="00D42745" w:rsidTr="00D226C7">
        <w:trPr>
          <w:trHeight w:hRule="exact" w:val="312"/>
        </w:trPr>
        <w:tc>
          <w:tcPr>
            <w:tcW w:w="2268" w:type="dxa"/>
          </w:tcPr>
          <w:p w:rsidR="00D226C7" w:rsidRPr="00D226C7" w:rsidRDefault="00D226C7" w:rsidP="00802160">
            <w:pPr>
              <w:pStyle w:val="Tabletext"/>
            </w:pPr>
            <w:r w:rsidRPr="00D226C7">
              <w:t>Lumo Energy</w:t>
            </w:r>
          </w:p>
        </w:tc>
        <w:tc>
          <w:tcPr>
            <w:tcW w:w="851" w:type="dxa"/>
          </w:tcPr>
          <w:p w:rsidR="00D226C7" w:rsidRPr="00D42745" w:rsidRDefault="00D226C7" w:rsidP="00802160">
            <w:pPr>
              <w:pStyle w:val="Tabletext"/>
            </w:pPr>
            <w:r w:rsidRPr="00D42745">
              <w:t>3.57</w:t>
            </w:r>
          </w:p>
        </w:tc>
        <w:tc>
          <w:tcPr>
            <w:tcW w:w="851" w:type="dxa"/>
          </w:tcPr>
          <w:p w:rsidR="00D226C7" w:rsidRPr="00D226C7" w:rsidRDefault="00D226C7" w:rsidP="00802160">
            <w:pPr>
              <w:pStyle w:val="Tabletext"/>
            </w:pPr>
            <w:r w:rsidRPr="00D226C7">
              <w:t>▲0.44</w:t>
            </w:r>
          </w:p>
        </w:tc>
        <w:tc>
          <w:tcPr>
            <w:tcW w:w="851" w:type="dxa"/>
          </w:tcPr>
          <w:p w:rsidR="00D226C7" w:rsidRPr="00D42745" w:rsidRDefault="00D226C7" w:rsidP="00802160">
            <w:pPr>
              <w:pStyle w:val="Tabletext"/>
            </w:pPr>
            <w:r w:rsidRPr="00D42745">
              <w:t>2.92</w:t>
            </w:r>
          </w:p>
        </w:tc>
        <w:tc>
          <w:tcPr>
            <w:tcW w:w="851" w:type="dxa"/>
          </w:tcPr>
          <w:p w:rsidR="00D226C7" w:rsidRPr="00D226C7" w:rsidRDefault="00D226C7" w:rsidP="00802160">
            <w:pPr>
              <w:pStyle w:val="Tabletext"/>
            </w:pPr>
            <w:r w:rsidRPr="00D226C7">
              <w:t>▲0.20</w:t>
            </w:r>
          </w:p>
        </w:tc>
        <w:tc>
          <w:tcPr>
            <w:tcW w:w="1701" w:type="dxa"/>
          </w:tcPr>
          <w:p w:rsidR="00D226C7" w:rsidRPr="00D42745" w:rsidRDefault="00D226C7" w:rsidP="00802160">
            <w:pPr>
              <w:pStyle w:val="Tabletext"/>
            </w:pPr>
            <w:r w:rsidRPr="00D42745">
              <w:t>1.04</w:t>
            </w:r>
          </w:p>
        </w:tc>
        <w:tc>
          <w:tcPr>
            <w:tcW w:w="1701" w:type="dxa"/>
          </w:tcPr>
          <w:p w:rsidR="00D226C7" w:rsidRPr="00D42745" w:rsidRDefault="00D226C7" w:rsidP="00802160">
            <w:pPr>
              <w:pStyle w:val="Tabletext"/>
            </w:pPr>
            <w:r w:rsidRPr="00D42745">
              <w:t>0.74</w:t>
            </w:r>
          </w:p>
        </w:tc>
      </w:tr>
      <w:tr w:rsidR="00D226C7" w:rsidRPr="00D42745" w:rsidTr="00D226C7">
        <w:trPr>
          <w:trHeight w:hRule="exact" w:val="312"/>
        </w:trPr>
        <w:tc>
          <w:tcPr>
            <w:tcW w:w="2268" w:type="dxa"/>
          </w:tcPr>
          <w:p w:rsidR="00D226C7" w:rsidRPr="00D226C7" w:rsidRDefault="00D226C7" w:rsidP="00802160">
            <w:pPr>
              <w:pStyle w:val="Tabletext"/>
            </w:pPr>
            <w:r w:rsidRPr="00D226C7">
              <w:t>M2 Energy</w:t>
            </w:r>
          </w:p>
        </w:tc>
        <w:tc>
          <w:tcPr>
            <w:tcW w:w="851" w:type="dxa"/>
          </w:tcPr>
          <w:p w:rsidR="00D226C7" w:rsidRPr="00D42745" w:rsidRDefault="00D226C7" w:rsidP="00802160">
            <w:pPr>
              <w:pStyle w:val="Tabletext"/>
            </w:pPr>
            <w:r w:rsidRPr="00D42745">
              <w:t>0.16</w:t>
            </w:r>
          </w:p>
        </w:tc>
        <w:tc>
          <w:tcPr>
            <w:tcW w:w="851" w:type="dxa"/>
          </w:tcPr>
          <w:p w:rsidR="00D226C7" w:rsidRPr="00D226C7" w:rsidRDefault="00D226C7" w:rsidP="00802160">
            <w:pPr>
              <w:pStyle w:val="Tabletext"/>
            </w:pPr>
            <w:r w:rsidRPr="00D226C7">
              <w:t>▲0.12</w:t>
            </w:r>
          </w:p>
        </w:tc>
        <w:tc>
          <w:tcPr>
            <w:tcW w:w="851" w:type="dxa"/>
          </w:tcPr>
          <w:p w:rsidR="00D226C7" w:rsidRPr="00D42745" w:rsidRDefault="00D226C7" w:rsidP="00802160">
            <w:pPr>
              <w:pStyle w:val="Tabletext"/>
            </w:pPr>
            <w:r w:rsidRPr="00D42745">
              <w:t>0.00</w:t>
            </w:r>
          </w:p>
        </w:tc>
        <w:tc>
          <w:tcPr>
            <w:tcW w:w="851" w:type="dxa"/>
          </w:tcPr>
          <w:p w:rsidR="00D226C7" w:rsidRPr="00D42745" w:rsidRDefault="00D226C7" w:rsidP="00802160">
            <w:pPr>
              <w:pStyle w:val="Tabletext"/>
            </w:pPr>
            <w:r w:rsidRPr="00D42745">
              <w:t>-</w:t>
            </w:r>
          </w:p>
          <w:p w:rsidR="00D226C7" w:rsidRPr="00D42745" w:rsidRDefault="00D226C7" w:rsidP="00802160">
            <w:pPr>
              <w:pStyle w:val="Tabletext"/>
            </w:pPr>
          </w:p>
        </w:tc>
        <w:tc>
          <w:tcPr>
            <w:tcW w:w="1701" w:type="dxa"/>
          </w:tcPr>
          <w:p w:rsidR="00D226C7" w:rsidRPr="00D42745" w:rsidRDefault="00D226C7" w:rsidP="00802160">
            <w:pPr>
              <w:pStyle w:val="Tabletext"/>
            </w:pPr>
            <w:r w:rsidRPr="00D42745">
              <w:t>0.20</w:t>
            </w:r>
          </w:p>
        </w:tc>
        <w:tc>
          <w:tcPr>
            <w:tcW w:w="1701" w:type="dxa"/>
          </w:tcPr>
          <w:p w:rsidR="00D226C7" w:rsidRPr="00D42745" w:rsidRDefault="00D226C7" w:rsidP="00802160">
            <w:pPr>
              <w:pStyle w:val="Tabletext"/>
            </w:pPr>
            <w:r w:rsidRPr="00D42745">
              <w:t>0.00</w:t>
            </w:r>
          </w:p>
        </w:tc>
      </w:tr>
      <w:tr w:rsidR="00D226C7" w:rsidRPr="00D42745" w:rsidTr="00D226C7">
        <w:trPr>
          <w:trHeight w:hRule="exact" w:val="312"/>
        </w:trPr>
        <w:tc>
          <w:tcPr>
            <w:tcW w:w="2268" w:type="dxa"/>
          </w:tcPr>
          <w:p w:rsidR="00D226C7" w:rsidRPr="00D226C7" w:rsidRDefault="00D226C7" w:rsidP="00802160">
            <w:pPr>
              <w:pStyle w:val="Tabletext"/>
            </w:pPr>
            <w:r w:rsidRPr="00D226C7">
              <w:t>Momentum Energy</w:t>
            </w:r>
          </w:p>
        </w:tc>
        <w:tc>
          <w:tcPr>
            <w:tcW w:w="851" w:type="dxa"/>
          </w:tcPr>
          <w:p w:rsidR="00D226C7" w:rsidRPr="00D42745" w:rsidRDefault="00D226C7" w:rsidP="00802160">
            <w:pPr>
              <w:pStyle w:val="Tabletext"/>
            </w:pPr>
            <w:r w:rsidRPr="00D42745">
              <w:t>0.83</w:t>
            </w:r>
          </w:p>
        </w:tc>
        <w:tc>
          <w:tcPr>
            <w:tcW w:w="851" w:type="dxa"/>
          </w:tcPr>
          <w:p w:rsidR="00D226C7" w:rsidRPr="00D226C7" w:rsidRDefault="00D226C7" w:rsidP="00802160">
            <w:pPr>
              <w:pStyle w:val="Tabletext"/>
            </w:pPr>
            <w:r w:rsidRPr="00D226C7">
              <w:t>▼3.66</w:t>
            </w:r>
          </w:p>
        </w:tc>
        <w:tc>
          <w:tcPr>
            <w:tcW w:w="851" w:type="dxa"/>
          </w:tcPr>
          <w:p w:rsidR="00D226C7" w:rsidRPr="00D42745" w:rsidRDefault="00D226C7" w:rsidP="00802160">
            <w:pPr>
              <w:pStyle w:val="Tabletext"/>
            </w:pPr>
            <w:r w:rsidRPr="00D42745">
              <w:t>-</w:t>
            </w:r>
          </w:p>
        </w:tc>
        <w:tc>
          <w:tcPr>
            <w:tcW w:w="851" w:type="dxa"/>
          </w:tcPr>
          <w:p w:rsidR="00D226C7" w:rsidRPr="00D42745" w:rsidRDefault="00D226C7" w:rsidP="00802160">
            <w:pPr>
              <w:pStyle w:val="Tabletext"/>
            </w:pPr>
            <w:r w:rsidRPr="00D42745">
              <w:t>-</w:t>
            </w:r>
          </w:p>
        </w:tc>
        <w:tc>
          <w:tcPr>
            <w:tcW w:w="1701" w:type="dxa"/>
          </w:tcPr>
          <w:p w:rsidR="00D226C7" w:rsidRPr="00D42745" w:rsidRDefault="00D226C7" w:rsidP="00802160">
            <w:pPr>
              <w:pStyle w:val="Tabletext"/>
            </w:pPr>
            <w:r w:rsidRPr="00D42745">
              <w:t>6.06</w:t>
            </w:r>
          </w:p>
        </w:tc>
        <w:tc>
          <w:tcPr>
            <w:tcW w:w="1701" w:type="dxa"/>
          </w:tcPr>
          <w:p w:rsidR="00D226C7" w:rsidRPr="00D42745" w:rsidRDefault="00D226C7" w:rsidP="00802160">
            <w:pPr>
              <w:pStyle w:val="Tabletext"/>
            </w:pPr>
            <w:r w:rsidRPr="00D42745">
              <w:t>-</w:t>
            </w:r>
          </w:p>
        </w:tc>
      </w:tr>
      <w:tr w:rsidR="00D226C7" w:rsidRPr="00D42745" w:rsidTr="00D226C7">
        <w:trPr>
          <w:trHeight w:hRule="exact" w:val="312"/>
        </w:trPr>
        <w:tc>
          <w:tcPr>
            <w:tcW w:w="2268" w:type="dxa"/>
          </w:tcPr>
          <w:p w:rsidR="00D226C7" w:rsidRPr="00D226C7" w:rsidRDefault="00D226C7" w:rsidP="00802160">
            <w:pPr>
              <w:pStyle w:val="Tabletext"/>
            </w:pPr>
            <w:r w:rsidRPr="00D226C7">
              <w:t>Origin Energy</w:t>
            </w:r>
          </w:p>
        </w:tc>
        <w:tc>
          <w:tcPr>
            <w:tcW w:w="851" w:type="dxa"/>
          </w:tcPr>
          <w:p w:rsidR="00D226C7" w:rsidRPr="00D42745" w:rsidRDefault="00D226C7" w:rsidP="00802160">
            <w:pPr>
              <w:pStyle w:val="Tabletext"/>
            </w:pPr>
            <w:r w:rsidRPr="00D42745">
              <w:t>0.83</w:t>
            </w:r>
          </w:p>
        </w:tc>
        <w:tc>
          <w:tcPr>
            <w:tcW w:w="851" w:type="dxa"/>
          </w:tcPr>
          <w:p w:rsidR="00D226C7" w:rsidRPr="00D226C7" w:rsidRDefault="00D226C7" w:rsidP="00802160">
            <w:pPr>
              <w:pStyle w:val="Tabletext"/>
            </w:pPr>
            <w:r w:rsidRPr="00D226C7">
              <w:t>▼2.33</w:t>
            </w:r>
          </w:p>
        </w:tc>
        <w:tc>
          <w:tcPr>
            <w:tcW w:w="851" w:type="dxa"/>
          </w:tcPr>
          <w:p w:rsidR="00D226C7" w:rsidRPr="00D42745" w:rsidRDefault="00D226C7" w:rsidP="00802160">
            <w:pPr>
              <w:pStyle w:val="Tabletext"/>
            </w:pPr>
            <w:r w:rsidRPr="00D42745">
              <w:t>0.98</w:t>
            </w:r>
          </w:p>
        </w:tc>
        <w:tc>
          <w:tcPr>
            <w:tcW w:w="851" w:type="dxa"/>
          </w:tcPr>
          <w:p w:rsidR="00D226C7" w:rsidRPr="00D226C7" w:rsidRDefault="00D226C7" w:rsidP="00802160">
            <w:pPr>
              <w:pStyle w:val="Tabletext"/>
            </w:pPr>
            <w:r w:rsidRPr="00D226C7">
              <w:t>▼1.33</w:t>
            </w:r>
          </w:p>
        </w:tc>
        <w:tc>
          <w:tcPr>
            <w:tcW w:w="1701" w:type="dxa"/>
          </w:tcPr>
          <w:p w:rsidR="00D226C7" w:rsidRPr="00D42745" w:rsidRDefault="00D226C7" w:rsidP="00802160">
            <w:pPr>
              <w:pStyle w:val="Tabletext"/>
            </w:pPr>
            <w:r w:rsidRPr="00D42745">
              <w:t>2.23</w:t>
            </w:r>
          </w:p>
        </w:tc>
        <w:tc>
          <w:tcPr>
            <w:tcW w:w="1701" w:type="dxa"/>
          </w:tcPr>
          <w:p w:rsidR="00D226C7" w:rsidRPr="00D42745" w:rsidRDefault="00D226C7" w:rsidP="00802160">
            <w:pPr>
              <w:pStyle w:val="Tabletext"/>
            </w:pPr>
            <w:r w:rsidRPr="00D42745">
              <w:t>1.75</w:t>
            </w:r>
          </w:p>
        </w:tc>
      </w:tr>
      <w:tr w:rsidR="00D226C7" w:rsidRPr="00D42745" w:rsidTr="00D226C7">
        <w:trPr>
          <w:trHeight w:hRule="exact" w:val="312"/>
        </w:trPr>
        <w:tc>
          <w:tcPr>
            <w:tcW w:w="2268" w:type="dxa"/>
          </w:tcPr>
          <w:p w:rsidR="00D226C7" w:rsidRPr="00D226C7" w:rsidRDefault="00D226C7" w:rsidP="00802160">
            <w:pPr>
              <w:pStyle w:val="Tabletext"/>
            </w:pPr>
            <w:r w:rsidRPr="00D226C7">
              <w:t>Powerdirect</w:t>
            </w:r>
          </w:p>
        </w:tc>
        <w:tc>
          <w:tcPr>
            <w:tcW w:w="851" w:type="dxa"/>
          </w:tcPr>
          <w:p w:rsidR="00D226C7" w:rsidRPr="00D42745" w:rsidRDefault="00D226C7" w:rsidP="00802160">
            <w:pPr>
              <w:pStyle w:val="Tabletext"/>
            </w:pPr>
            <w:r w:rsidRPr="00D42745">
              <w:t>1.27</w:t>
            </w:r>
          </w:p>
        </w:tc>
        <w:tc>
          <w:tcPr>
            <w:tcW w:w="851" w:type="dxa"/>
          </w:tcPr>
          <w:p w:rsidR="00D226C7" w:rsidRPr="00D226C7" w:rsidRDefault="00D226C7" w:rsidP="00802160">
            <w:pPr>
              <w:pStyle w:val="Tabletext"/>
            </w:pPr>
            <w:r w:rsidRPr="00D226C7">
              <w:t>▲0.15</w:t>
            </w:r>
          </w:p>
        </w:tc>
        <w:tc>
          <w:tcPr>
            <w:tcW w:w="851" w:type="dxa"/>
          </w:tcPr>
          <w:p w:rsidR="00D226C7" w:rsidRPr="00D42745" w:rsidRDefault="00D226C7" w:rsidP="00802160">
            <w:pPr>
              <w:pStyle w:val="Tabletext"/>
            </w:pPr>
            <w:r w:rsidRPr="00D42745">
              <w:t>-</w:t>
            </w:r>
          </w:p>
        </w:tc>
        <w:tc>
          <w:tcPr>
            <w:tcW w:w="851" w:type="dxa"/>
          </w:tcPr>
          <w:p w:rsidR="00D226C7" w:rsidRPr="00D42745" w:rsidRDefault="00D226C7" w:rsidP="00802160">
            <w:pPr>
              <w:pStyle w:val="Tabletext"/>
            </w:pPr>
            <w:r w:rsidRPr="00D42745">
              <w:t>-</w:t>
            </w:r>
          </w:p>
        </w:tc>
        <w:tc>
          <w:tcPr>
            <w:tcW w:w="1701" w:type="dxa"/>
          </w:tcPr>
          <w:p w:rsidR="00D226C7" w:rsidRPr="00D42745" w:rsidRDefault="00D226C7" w:rsidP="00802160">
            <w:pPr>
              <w:pStyle w:val="Tabletext"/>
            </w:pPr>
            <w:r w:rsidRPr="00D42745">
              <w:t>0.30</w:t>
            </w:r>
          </w:p>
        </w:tc>
        <w:tc>
          <w:tcPr>
            <w:tcW w:w="1701" w:type="dxa"/>
          </w:tcPr>
          <w:p w:rsidR="00D226C7" w:rsidRPr="00D42745" w:rsidRDefault="00D226C7" w:rsidP="00802160">
            <w:pPr>
              <w:pStyle w:val="Tabletext"/>
            </w:pPr>
            <w:r w:rsidRPr="00D42745">
              <w:t>-</w:t>
            </w:r>
          </w:p>
        </w:tc>
      </w:tr>
      <w:tr w:rsidR="00D226C7" w:rsidRPr="00D42745" w:rsidTr="00D226C7">
        <w:trPr>
          <w:trHeight w:hRule="exact" w:val="312"/>
        </w:trPr>
        <w:tc>
          <w:tcPr>
            <w:tcW w:w="2268" w:type="dxa"/>
          </w:tcPr>
          <w:p w:rsidR="00D226C7" w:rsidRPr="00D226C7" w:rsidRDefault="00D226C7" w:rsidP="00802160">
            <w:pPr>
              <w:pStyle w:val="Tabletext"/>
            </w:pPr>
            <w:r w:rsidRPr="00D226C7">
              <w:t>QEnergy</w:t>
            </w:r>
          </w:p>
        </w:tc>
        <w:tc>
          <w:tcPr>
            <w:tcW w:w="851" w:type="dxa"/>
          </w:tcPr>
          <w:p w:rsidR="00D226C7" w:rsidRPr="00D42745" w:rsidRDefault="00D226C7" w:rsidP="00802160">
            <w:pPr>
              <w:pStyle w:val="Tabletext"/>
            </w:pPr>
            <w:r w:rsidRPr="00D42745">
              <w:t>2.47</w:t>
            </w:r>
          </w:p>
        </w:tc>
        <w:tc>
          <w:tcPr>
            <w:tcW w:w="851" w:type="dxa"/>
          </w:tcPr>
          <w:p w:rsidR="00D226C7" w:rsidRPr="00D226C7" w:rsidRDefault="00D226C7" w:rsidP="00802160">
            <w:pPr>
              <w:pStyle w:val="Tabletext"/>
            </w:pPr>
            <w:r w:rsidRPr="00D226C7">
              <w:t>▼0.07</w:t>
            </w:r>
          </w:p>
        </w:tc>
        <w:tc>
          <w:tcPr>
            <w:tcW w:w="851" w:type="dxa"/>
          </w:tcPr>
          <w:p w:rsidR="00D226C7" w:rsidRPr="00D42745" w:rsidRDefault="00D226C7" w:rsidP="00802160">
            <w:pPr>
              <w:pStyle w:val="Tabletext"/>
            </w:pPr>
            <w:r w:rsidRPr="00D42745">
              <w:t>-</w:t>
            </w:r>
          </w:p>
        </w:tc>
        <w:tc>
          <w:tcPr>
            <w:tcW w:w="851" w:type="dxa"/>
          </w:tcPr>
          <w:p w:rsidR="00D226C7" w:rsidRPr="00D42745" w:rsidRDefault="00D226C7" w:rsidP="00802160">
            <w:pPr>
              <w:pStyle w:val="Tabletext"/>
            </w:pPr>
            <w:r w:rsidRPr="00D42745">
              <w:t>-</w:t>
            </w:r>
          </w:p>
        </w:tc>
        <w:tc>
          <w:tcPr>
            <w:tcW w:w="1701" w:type="dxa"/>
          </w:tcPr>
          <w:p w:rsidR="00D226C7" w:rsidRPr="00D42745" w:rsidRDefault="00D226C7" w:rsidP="00802160">
            <w:pPr>
              <w:pStyle w:val="Tabletext"/>
            </w:pPr>
            <w:r w:rsidRPr="00D42745">
              <w:t>0.00</w:t>
            </w:r>
          </w:p>
        </w:tc>
        <w:tc>
          <w:tcPr>
            <w:tcW w:w="1701" w:type="dxa"/>
          </w:tcPr>
          <w:p w:rsidR="00D226C7" w:rsidRPr="00D42745" w:rsidRDefault="00D226C7" w:rsidP="00802160">
            <w:pPr>
              <w:pStyle w:val="Tabletext"/>
            </w:pPr>
            <w:r w:rsidRPr="00D42745">
              <w:t>-</w:t>
            </w:r>
          </w:p>
        </w:tc>
      </w:tr>
      <w:tr w:rsidR="00D226C7" w:rsidRPr="00D42745" w:rsidTr="00D226C7">
        <w:trPr>
          <w:trHeight w:hRule="exact" w:val="312"/>
        </w:trPr>
        <w:tc>
          <w:tcPr>
            <w:tcW w:w="2268" w:type="dxa"/>
          </w:tcPr>
          <w:p w:rsidR="00D226C7" w:rsidRPr="00D226C7" w:rsidRDefault="00D226C7" w:rsidP="00802160">
            <w:pPr>
              <w:pStyle w:val="Tabletext"/>
            </w:pPr>
            <w:r w:rsidRPr="00D226C7">
              <w:t>Red Energy</w:t>
            </w:r>
          </w:p>
        </w:tc>
        <w:tc>
          <w:tcPr>
            <w:tcW w:w="851" w:type="dxa"/>
          </w:tcPr>
          <w:p w:rsidR="00D226C7" w:rsidRPr="00D42745" w:rsidRDefault="00D226C7" w:rsidP="00802160">
            <w:pPr>
              <w:pStyle w:val="Tabletext"/>
            </w:pPr>
            <w:r w:rsidRPr="00D42745">
              <w:t>2.90</w:t>
            </w:r>
          </w:p>
        </w:tc>
        <w:tc>
          <w:tcPr>
            <w:tcW w:w="851" w:type="dxa"/>
          </w:tcPr>
          <w:p w:rsidR="00D226C7" w:rsidRPr="00D226C7" w:rsidRDefault="00D226C7" w:rsidP="00802160">
            <w:pPr>
              <w:pStyle w:val="Tabletext"/>
            </w:pPr>
            <w:r w:rsidRPr="00D226C7">
              <w:t>▼0.78</w:t>
            </w:r>
          </w:p>
        </w:tc>
        <w:tc>
          <w:tcPr>
            <w:tcW w:w="851" w:type="dxa"/>
          </w:tcPr>
          <w:p w:rsidR="00D226C7" w:rsidRPr="00D42745" w:rsidRDefault="00D226C7" w:rsidP="00802160">
            <w:pPr>
              <w:pStyle w:val="Tabletext"/>
            </w:pPr>
            <w:r w:rsidRPr="00D42745">
              <w:t>-</w:t>
            </w:r>
          </w:p>
        </w:tc>
        <w:tc>
          <w:tcPr>
            <w:tcW w:w="851" w:type="dxa"/>
          </w:tcPr>
          <w:p w:rsidR="00D226C7" w:rsidRPr="00D42745" w:rsidRDefault="00D226C7" w:rsidP="00802160">
            <w:pPr>
              <w:pStyle w:val="Tabletext"/>
            </w:pPr>
            <w:r w:rsidRPr="00D42745">
              <w:t>-</w:t>
            </w:r>
          </w:p>
        </w:tc>
        <w:tc>
          <w:tcPr>
            <w:tcW w:w="1701" w:type="dxa"/>
          </w:tcPr>
          <w:p w:rsidR="00D226C7" w:rsidRPr="00D42745" w:rsidRDefault="00D226C7" w:rsidP="00802160">
            <w:pPr>
              <w:pStyle w:val="Tabletext"/>
            </w:pPr>
            <w:r w:rsidRPr="00D42745">
              <w:t>3.44</w:t>
            </w:r>
          </w:p>
        </w:tc>
        <w:tc>
          <w:tcPr>
            <w:tcW w:w="1701" w:type="dxa"/>
          </w:tcPr>
          <w:p w:rsidR="00D226C7" w:rsidRPr="00D42745" w:rsidRDefault="00D226C7" w:rsidP="00802160">
            <w:pPr>
              <w:pStyle w:val="Tabletext"/>
            </w:pPr>
            <w:r w:rsidRPr="00D42745">
              <w:t>-</w:t>
            </w:r>
          </w:p>
        </w:tc>
      </w:tr>
      <w:tr w:rsidR="00D226C7" w:rsidRPr="00D42745" w:rsidTr="00D226C7">
        <w:trPr>
          <w:trHeight w:hRule="exact" w:val="312"/>
        </w:trPr>
        <w:tc>
          <w:tcPr>
            <w:tcW w:w="2268" w:type="dxa"/>
          </w:tcPr>
          <w:p w:rsidR="00D226C7" w:rsidRPr="00D226C7" w:rsidRDefault="00D226C7" w:rsidP="00802160">
            <w:pPr>
              <w:pStyle w:val="Tabletext"/>
            </w:pPr>
            <w:r w:rsidRPr="00D226C7">
              <w:t>Sanctuary Energy</w:t>
            </w:r>
          </w:p>
        </w:tc>
        <w:tc>
          <w:tcPr>
            <w:tcW w:w="851" w:type="dxa"/>
          </w:tcPr>
          <w:p w:rsidR="00D226C7" w:rsidRPr="00D42745" w:rsidRDefault="00D226C7" w:rsidP="00802160">
            <w:pPr>
              <w:pStyle w:val="Tabletext"/>
            </w:pPr>
            <w:r w:rsidRPr="00D42745">
              <w:t>0.61</w:t>
            </w:r>
          </w:p>
        </w:tc>
        <w:tc>
          <w:tcPr>
            <w:tcW w:w="851" w:type="dxa"/>
          </w:tcPr>
          <w:p w:rsidR="00D226C7" w:rsidRPr="00D226C7" w:rsidRDefault="00D226C7" w:rsidP="00802160">
            <w:pPr>
              <w:pStyle w:val="Tabletext"/>
            </w:pPr>
            <w:r w:rsidRPr="00D226C7">
              <w:t>▲0.05</w:t>
            </w:r>
          </w:p>
        </w:tc>
        <w:tc>
          <w:tcPr>
            <w:tcW w:w="851" w:type="dxa"/>
          </w:tcPr>
          <w:p w:rsidR="00D226C7" w:rsidRPr="00D42745" w:rsidRDefault="00D226C7" w:rsidP="00802160">
            <w:pPr>
              <w:pStyle w:val="Tabletext"/>
            </w:pPr>
            <w:r w:rsidRPr="00D42745">
              <w:t>-</w:t>
            </w:r>
          </w:p>
        </w:tc>
        <w:tc>
          <w:tcPr>
            <w:tcW w:w="851" w:type="dxa"/>
          </w:tcPr>
          <w:p w:rsidR="00D226C7" w:rsidRPr="00D42745" w:rsidRDefault="00D226C7" w:rsidP="00802160">
            <w:pPr>
              <w:pStyle w:val="Tabletext"/>
            </w:pPr>
            <w:r w:rsidRPr="00D42745">
              <w:t>-</w:t>
            </w:r>
          </w:p>
        </w:tc>
        <w:tc>
          <w:tcPr>
            <w:tcW w:w="1701" w:type="dxa"/>
          </w:tcPr>
          <w:p w:rsidR="00D226C7" w:rsidRPr="00D42745" w:rsidRDefault="00D226C7" w:rsidP="00802160">
            <w:pPr>
              <w:pStyle w:val="Tabletext"/>
            </w:pPr>
            <w:r w:rsidRPr="00D42745">
              <w:t>1.60</w:t>
            </w:r>
          </w:p>
        </w:tc>
        <w:tc>
          <w:tcPr>
            <w:tcW w:w="1701" w:type="dxa"/>
          </w:tcPr>
          <w:p w:rsidR="00D226C7" w:rsidRPr="00D42745" w:rsidRDefault="00D226C7" w:rsidP="00802160">
            <w:pPr>
              <w:pStyle w:val="Tabletext"/>
            </w:pPr>
            <w:r w:rsidRPr="00D42745">
              <w:t>-</w:t>
            </w:r>
          </w:p>
        </w:tc>
      </w:tr>
      <w:tr w:rsidR="00D226C7" w:rsidRPr="00D42745" w:rsidTr="00D226C7">
        <w:trPr>
          <w:trHeight w:hRule="exact" w:val="312"/>
        </w:trPr>
        <w:tc>
          <w:tcPr>
            <w:tcW w:w="2268" w:type="dxa"/>
          </w:tcPr>
          <w:p w:rsidR="00D226C7" w:rsidRPr="00D226C7" w:rsidRDefault="00D226C7" w:rsidP="00802160">
            <w:pPr>
              <w:pStyle w:val="Tabletext"/>
            </w:pPr>
            <w:r w:rsidRPr="00D226C7">
              <w:t>Simply Energy</w:t>
            </w:r>
          </w:p>
        </w:tc>
        <w:tc>
          <w:tcPr>
            <w:tcW w:w="851" w:type="dxa"/>
          </w:tcPr>
          <w:p w:rsidR="00D226C7" w:rsidRPr="00D42745" w:rsidRDefault="00D226C7" w:rsidP="00802160">
            <w:pPr>
              <w:pStyle w:val="Tabletext"/>
            </w:pPr>
            <w:r w:rsidRPr="00D42745">
              <w:t>4.90</w:t>
            </w:r>
          </w:p>
        </w:tc>
        <w:tc>
          <w:tcPr>
            <w:tcW w:w="851" w:type="dxa"/>
          </w:tcPr>
          <w:p w:rsidR="00D226C7" w:rsidRPr="00D226C7" w:rsidRDefault="00D226C7" w:rsidP="00802160">
            <w:pPr>
              <w:pStyle w:val="Tabletext"/>
            </w:pPr>
            <w:r w:rsidRPr="00D226C7">
              <w:t>▲3.23</w:t>
            </w:r>
          </w:p>
        </w:tc>
        <w:tc>
          <w:tcPr>
            <w:tcW w:w="851" w:type="dxa"/>
          </w:tcPr>
          <w:p w:rsidR="00D226C7" w:rsidRPr="00D42745" w:rsidRDefault="00D226C7" w:rsidP="00802160">
            <w:pPr>
              <w:pStyle w:val="Tabletext"/>
            </w:pPr>
            <w:r w:rsidRPr="00D42745">
              <w:t>-</w:t>
            </w:r>
          </w:p>
        </w:tc>
        <w:tc>
          <w:tcPr>
            <w:tcW w:w="851" w:type="dxa"/>
          </w:tcPr>
          <w:p w:rsidR="00D226C7" w:rsidRPr="00D42745" w:rsidRDefault="00D226C7" w:rsidP="00802160">
            <w:pPr>
              <w:pStyle w:val="Tabletext"/>
            </w:pPr>
            <w:r w:rsidRPr="00D42745">
              <w:t>-</w:t>
            </w:r>
          </w:p>
        </w:tc>
        <w:tc>
          <w:tcPr>
            <w:tcW w:w="1701" w:type="dxa"/>
          </w:tcPr>
          <w:p w:rsidR="00D226C7" w:rsidRPr="00D42745" w:rsidRDefault="00D226C7" w:rsidP="00802160">
            <w:pPr>
              <w:pStyle w:val="Tabletext"/>
            </w:pPr>
            <w:r w:rsidRPr="00D42745">
              <w:t>12.70</w:t>
            </w:r>
          </w:p>
        </w:tc>
        <w:tc>
          <w:tcPr>
            <w:tcW w:w="1701" w:type="dxa"/>
          </w:tcPr>
          <w:p w:rsidR="00D226C7" w:rsidRPr="00D42745" w:rsidRDefault="00D226C7" w:rsidP="00802160">
            <w:pPr>
              <w:pStyle w:val="Tabletext"/>
            </w:pPr>
            <w:r w:rsidRPr="00D42745">
              <w:t>-</w:t>
            </w:r>
          </w:p>
        </w:tc>
      </w:tr>
      <w:tr w:rsidR="00D226C7" w:rsidRPr="00D42745" w:rsidTr="00D226C7">
        <w:trPr>
          <w:trHeight w:hRule="exact" w:val="312"/>
        </w:trPr>
        <w:tc>
          <w:tcPr>
            <w:tcW w:w="2268" w:type="dxa"/>
            <w:shd w:val="clear" w:color="auto" w:fill="F2F2F2" w:themeFill="background1" w:themeFillShade="F2"/>
          </w:tcPr>
          <w:p w:rsidR="00D226C7" w:rsidRPr="00975582" w:rsidRDefault="00D226C7" w:rsidP="00802160">
            <w:pPr>
              <w:pStyle w:val="Tabletext"/>
              <w:rPr>
                <w:rStyle w:val="Strong"/>
              </w:rPr>
            </w:pPr>
            <w:r w:rsidRPr="00975582">
              <w:rPr>
                <w:rStyle w:val="Strong"/>
              </w:rPr>
              <w:t>TOTAL NSW</w:t>
            </w:r>
          </w:p>
        </w:tc>
        <w:tc>
          <w:tcPr>
            <w:tcW w:w="851" w:type="dxa"/>
            <w:shd w:val="clear" w:color="auto" w:fill="F2F2F2" w:themeFill="background1" w:themeFillShade="F2"/>
          </w:tcPr>
          <w:p w:rsidR="00D226C7" w:rsidRPr="00975582" w:rsidRDefault="00D226C7" w:rsidP="00802160">
            <w:pPr>
              <w:pStyle w:val="Tabletext"/>
              <w:rPr>
                <w:rStyle w:val="Strong"/>
              </w:rPr>
            </w:pPr>
            <w:r w:rsidRPr="00975582">
              <w:rPr>
                <w:rStyle w:val="Strong"/>
              </w:rPr>
              <w:t>2.59</w:t>
            </w:r>
          </w:p>
        </w:tc>
        <w:tc>
          <w:tcPr>
            <w:tcW w:w="851" w:type="dxa"/>
            <w:shd w:val="clear" w:color="auto" w:fill="F2F2F2" w:themeFill="background1" w:themeFillShade="F2"/>
          </w:tcPr>
          <w:p w:rsidR="00D226C7" w:rsidRPr="00975582" w:rsidRDefault="00D226C7" w:rsidP="00802160">
            <w:pPr>
              <w:pStyle w:val="Tabletext"/>
              <w:rPr>
                <w:rStyle w:val="Strong"/>
              </w:rPr>
            </w:pPr>
            <w:r w:rsidRPr="00975582">
              <w:rPr>
                <w:rStyle w:val="Strong"/>
              </w:rPr>
              <w:t>▲0.53</w:t>
            </w:r>
          </w:p>
        </w:tc>
        <w:tc>
          <w:tcPr>
            <w:tcW w:w="851" w:type="dxa"/>
            <w:shd w:val="clear" w:color="auto" w:fill="F2F2F2" w:themeFill="background1" w:themeFillShade="F2"/>
          </w:tcPr>
          <w:p w:rsidR="00D226C7" w:rsidRPr="00975582" w:rsidRDefault="00D226C7" w:rsidP="00802160">
            <w:pPr>
              <w:pStyle w:val="Tabletext"/>
              <w:rPr>
                <w:rStyle w:val="Strong"/>
              </w:rPr>
            </w:pPr>
            <w:r w:rsidRPr="00975582">
              <w:rPr>
                <w:rStyle w:val="Strong"/>
              </w:rPr>
              <w:t>1.46</w:t>
            </w:r>
          </w:p>
        </w:tc>
        <w:tc>
          <w:tcPr>
            <w:tcW w:w="851" w:type="dxa"/>
            <w:shd w:val="clear" w:color="auto" w:fill="F2F2F2" w:themeFill="background1" w:themeFillShade="F2"/>
          </w:tcPr>
          <w:p w:rsidR="00D226C7" w:rsidRPr="00975582" w:rsidRDefault="00D226C7" w:rsidP="00802160">
            <w:pPr>
              <w:pStyle w:val="Tabletext"/>
              <w:rPr>
                <w:rStyle w:val="Strong"/>
              </w:rPr>
            </w:pPr>
            <w:r w:rsidRPr="00975582">
              <w:rPr>
                <w:rStyle w:val="Strong"/>
              </w:rPr>
              <w:t>▲0.57</w:t>
            </w:r>
          </w:p>
        </w:tc>
        <w:tc>
          <w:tcPr>
            <w:tcW w:w="1701" w:type="dxa"/>
            <w:shd w:val="clear" w:color="auto" w:fill="F2F2F2" w:themeFill="background1" w:themeFillShade="F2"/>
          </w:tcPr>
          <w:p w:rsidR="00D226C7" w:rsidRPr="00975582" w:rsidRDefault="00D226C7" w:rsidP="00802160">
            <w:pPr>
              <w:pStyle w:val="Tabletext"/>
              <w:rPr>
                <w:rStyle w:val="Strong"/>
              </w:rPr>
            </w:pPr>
            <w:r w:rsidRPr="00975582">
              <w:rPr>
                <w:rStyle w:val="Strong"/>
              </w:rPr>
              <w:t>3.61</w:t>
            </w:r>
          </w:p>
        </w:tc>
        <w:tc>
          <w:tcPr>
            <w:tcW w:w="1701" w:type="dxa"/>
            <w:shd w:val="clear" w:color="auto" w:fill="F2F2F2" w:themeFill="background1" w:themeFillShade="F2"/>
          </w:tcPr>
          <w:p w:rsidR="00D226C7" w:rsidRPr="00975582" w:rsidRDefault="00D226C7" w:rsidP="00802160">
            <w:pPr>
              <w:pStyle w:val="Tabletext"/>
              <w:rPr>
                <w:rStyle w:val="Strong"/>
              </w:rPr>
            </w:pPr>
            <w:r w:rsidRPr="00975582">
              <w:rPr>
                <w:rStyle w:val="Strong"/>
              </w:rPr>
              <w:t>1.84</w:t>
            </w:r>
          </w:p>
        </w:tc>
      </w:tr>
    </w:tbl>
    <w:p w:rsidR="00BB4F5F" w:rsidRDefault="00BB4F5F" w:rsidP="00BB4F5F">
      <w:pPr>
        <w:pStyle w:val="Heading2"/>
        <w:numPr>
          <w:ilvl w:val="0"/>
          <w:numId w:val="0"/>
        </w:numPr>
      </w:pPr>
      <w:bookmarkStart w:id="18" w:name="_Toc433026812"/>
    </w:p>
    <w:p w:rsidR="00D226C7" w:rsidRPr="00D42745" w:rsidRDefault="00802160" w:rsidP="00D226C7">
      <w:pPr>
        <w:pStyle w:val="Heading2"/>
      </w:pPr>
      <w:r>
        <w:t>H</w:t>
      </w:r>
      <w:r w:rsidR="00D226C7" w:rsidRPr="00D42745">
        <w:t>ardship programs</w:t>
      </w:r>
      <w:bookmarkEnd w:id="18"/>
    </w:p>
    <w:p w:rsidR="00D226C7" w:rsidRPr="00D226C7" w:rsidRDefault="00D226C7" w:rsidP="00D226C7">
      <w:r w:rsidRPr="00D42745">
        <w:t>A key protection for vulnerable customers is the requirement for energy retailers to develop and</w:t>
      </w:r>
      <w:r w:rsidRPr="00D226C7">
        <w:t xml:space="preserve"> maintain a customer hardship policy that sets out their approach to identifying and assisting customers experiencing difficulty paying their energy bills.</w:t>
      </w:r>
      <w:r w:rsidRPr="00597772">
        <w:rPr>
          <w:rStyle w:val="Superscript"/>
        </w:rPr>
        <w:footnoteReference w:id="16"/>
      </w:r>
      <w:r w:rsidRPr="00D226C7">
        <w:t xml:space="preserve"> </w:t>
      </w:r>
    </w:p>
    <w:p w:rsidR="00D226C7" w:rsidRPr="00D42745" w:rsidRDefault="00D226C7" w:rsidP="00D226C7">
      <w:r w:rsidRPr="00D42745">
        <w:lastRenderedPageBreak/>
        <w:t xml:space="preserve">Referral to a hardship program is generally the most appropriate form of assistance when a customer’s payment difficulties are overwhelming, such that they cannot meet a payment plan arrangement because they lack the capacity to pay for current and future consumption. </w:t>
      </w:r>
    </w:p>
    <w:p w:rsidR="00D226C7" w:rsidRPr="00D42745" w:rsidRDefault="00D226C7" w:rsidP="00D226C7">
      <w:r w:rsidRPr="00D42745">
        <w:t xml:space="preserve">Help under a retailer’s hardship program can include tailored payment plans and further support measures to assist customers to manage their bills on an ongoing basis. As long as a customer is meeting their payments, they can’t be disconnected. </w:t>
      </w:r>
    </w:p>
    <w:p w:rsidR="00D226C7" w:rsidRPr="00D42745" w:rsidRDefault="00D226C7" w:rsidP="00D226C7">
      <w:r w:rsidRPr="00D42745">
        <w:t>Retailers report annually on:</w:t>
      </w:r>
    </w:p>
    <w:p w:rsidR="00D226C7" w:rsidRPr="00D42745" w:rsidRDefault="00D226C7" w:rsidP="00802160">
      <w:pPr>
        <w:pStyle w:val="Bulletpoint"/>
      </w:pPr>
      <w:r w:rsidRPr="00D42745">
        <w:t>the number of customers that each retailer has on hardship programs</w:t>
      </w:r>
    </w:p>
    <w:p w:rsidR="00D226C7" w:rsidRPr="00D42745" w:rsidRDefault="00D226C7" w:rsidP="00802160">
      <w:pPr>
        <w:pStyle w:val="Bulletpoint"/>
      </w:pPr>
      <w:r w:rsidRPr="00D42745">
        <w:t>the payment methods used by these customers</w:t>
      </w:r>
    </w:p>
    <w:p w:rsidR="00D226C7" w:rsidRPr="00D42745" w:rsidRDefault="00D226C7" w:rsidP="00802160">
      <w:pPr>
        <w:pStyle w:val="Bulletpoint"/>
      </w:pPr>
      <w:r w:rsidRPr="00D42745">
        <w:t>the average level of debt held by customer on hardship programs</w:t>
      </w:r>
    </w:p>
    <w:p w:rsidR="00E92189" w:rsidRPr="00D42745" w:rsidRDefault="00D226C7" w:rsidP="00BE2ABC">
      <w:pPr>
        <w:pStyle w:val="Bulletpoint"/>
      </w:pPr>
      <w:r w:rsidRPr="00D42745">
        <w:t>the reasons for customers exiting hardship programs.</w:t>
      </w:r>
    </w:p>
    <w:p w:rsidR="00D226C7" w:rsidRPr="00D42745" w:rsidRDefault="00D226C7" w:rsidP="00D226C7">
      <w:pPr>
        <w:pStyle w:val="Heading3"/>
      </w:pPr>
      <w:bookmarkStart w:id="19" w:name="_Toc432765959"/>
      <w:bookmarkStart w:id="20" w:name="_Toc433026813"/>
      <w:r w:rsidRPr="00D42745">
        <w:t>Customers on hardship programs</w:t>
      </w:r>
      <w:bookmarkEnd w:id="19"/>
      <w:bookmarkEnd w:id="20"/>
    </w:p>
    <w:p w:rsidR="00D226C7" w:rsidRPr="00D226C7" w:rsidRDefault="00D226C7" w:rsidP="00D226C7">
      <w:r w:rsidRPr="00D42745">
        <w:t xml:space="preserve">Table 2.6 shows the number of electricity and gas customers on hardship programs for each retailer in each jurisdiction. More than twice as many electricity customers in South Australia are on hardship programs compared with in New South Wales.  </w:t>
      </w:r>
    </w:p>
    <w:p w:rsidR="00897E02" w:rsidRDefault="00FE32AA" w:rsidP="00D226C7">
      <w:r>
        <w:t>The number of electricity and gas customers on hardship programs in South Australia increased by 30 and 43 per cent respectively.</w:t>
      </w:r>
      <w:r w:rsidR="00897E02">
        <w:t xml:space="preserve"> </w:t>
      </w:r>
      <w:r w:rsidR="00BD0D2B">
        <w:t xml:space="preserve">Significantly, over 2.5 per cent of EnergyAustralia's electricity customers </w:t>
      </w:r>
      <w:r w:rsidR="00F42CCB">
        <w:t xml:space="preserve">(around 2,000) </w:t>
      </w:r>
      <w:r w:rsidR="00BD0D2B">
        <w:t xml:space="preserve">are now on a hardship program. Other significant increases in South Australia were reported by Alinta Energy, M2 Energy, Momentum Energy and Simply Energy. </w:t>
      </w:r>
    </w:p>
    <w:p w:rsidR="00D226C7" w:rsidRDefault="00FE32AA" w:rsidP="00D226C7">
      <w:r>
        <w:t xml:space="preserve">In New South Wales, the number of electricity customers on hardship programs increased by </w:t>
      </w:r>
      <w:r w:rsidR="00897E02">
        <w:t>20</w:t>
      </w:r>
      <w:r>
        <w:t xml:space="preserve"> per cent,</w:t>
      </w:r>
      <w:r w:rsidR="00960E08">
        <w:t xml:space="preserve"> to 0.74 per cent of customers.</w:t>
      </w:r>
      <w:r>
        <w:t xml:space="preserve"> </w:t>
      </w:r>
      <w:r w:rsidR="00960E08">
        <w:t>T</w:t>
      </w:r>
      <w:r>
        <w:t>he number of gas customers on hardship programs only increased by</w:t>
      </w:r>
      <w:r w:rsidR="00897E02">
        <w:t xml:space="preserve"> 9 per cent</w:t>
      </w:r>
      <w:r w:rsidR="00960E08">
        <w:t>, to 0.36 per cent of customers</w:t>
      </w:r>
      <w:r w:rsidR="00897E02">
        <w:t>.</w:t>
      </w:r>
      <w:r>
        <w:t xml:space="preserve"> </w:t>
      </w:r>
      <w:r w:rsidR="00897E02">
        <w:t xml:space="preserve">The significant increases in New South Wales were reported by </w:t>
      </w:r>
      <w:r w:rsidR="00D226C7" w:rsidRPr="00D226C7">
        <w:t>Si</w:t>
      </w:r>
      <w:r w:rsidR="00897E02">
        <w:t>mply Energy and Momentum Energy.</w:t>
      </w:r>
    </w:p>
    <w:p w:rsidR="00D226C7" w:rsidRPr="00D226C7" w:rsidRDefault="00A371DB" w:rsidP="00D226C7">
      <w:r>
        <w:t>In Tasmania, t</w:t>
      </w:r>
      <w:r w:rsidR="00897E02">
        <w:t xml:space="preserve">he number of </w:t>
      </w:r>
      <w:r w:rsidR="00A95BE0">
        <w:t xml:space="preserve">Aurora Energy's </w:t>
      </w:r>
      <w:r w:rsidR="00897E02">
        <w:t>customers on hardship programs increased by 65 per cent</w:t>
      </w:r>
      <w:r w:rsidR="00960E08">
        <w:t>, to 0.71 per cent of customers</w:t>
      </w:r>
      <w:r w:rsidR="00897E02">
        <w:t>. There was little change in the number of customers on hardship programs in the ACT.</w:t>
      </w:r>
      <w:r w:rsidR="00D226C7" w:rsidRPr="00D226C7">
        <w:br w:type="page"/>
      </w:r>
    </w:p>
    <w:p w:rsidR="00D226C7" w:rsidRPr="003E45F6" w:rsidRDefault="00D226C7" w:rsidP="00D226C7">
      <w:pPr>
        <w:pStyle w:val="Tabletitle"/>
      </w:pPr>
      <w:r w:rsidRPr="003E45F6">
        <w:lastRenderedPageBreak/>
        <w:t>Table 2.6: Customers on hardship programs as at 30 June 2015 (change since 2014)</w:t>
      </w:r>
    </w:p>
    <w:tbl>
      <w:tblPr>
        <w:tblW w:w="0" w:type="auto"/>
        <w:tblBorders>
          <w:top w:val="single" w:sz="4" w:space="0" w:color="BFBFBF" w:themeColor="background1" w:themeShade="BF"/>
          <w:bottom w:val="single" w:sz="2" w:space="0" w:color="auto"/>
          <w:insideH w:val="single" w:sz="2" w:space="0" w:color="auto"/>
        </w:tblBorders>
        <w:tblLayout w:type="fixed"/>
        <w:tblLook w:val="04A0" w:firstRow="1" w:lastRow="0" w:firstColumn="1" w:lastColumn="0" w:noHBand="0" w:noVBand="1"/>
      </w:tblPr>
      <w:tblGrid>
        <w:gridCol w:w="2268"/>
        <w:gridCol w:w="1701"/>
        <w:gridCol w:w="1701"/>
        <w:gridCol w:w="1701"/>
        <w:gridCol w:w="1701"/>
      </w:tblGrid>
      <w:tr w:rsidR="00D226C7" w:rsidRPr="00D42745" w:rsidTr="00D226C7">
        <w:tc>
          <w:tcPr>
            <w:tcW w:w="2268" w:type="dxa"/>
            <w:shd w:val="clear" w:color="auto" w:fill="F2F2F2" w:themeFill="background1" w:themeFillShade="F2"/>
          </w:tcPr>
          <w:p w:rsidR="00D226C7" w:rsidRPr="006D4C8B" w:rsidRDefault="00D226C7" w:rsidP="00975582">
            <w:pPr>
              <w:pStyle w:val="Tabletext"/>
              <w:rPr>
                <w:rStyle w:val="Strong"/>
              </w:rPr>
            </w:pPr>
            <w:r w:rsidRPr="006D4C8B">
              <w:rPr>
                <w:rStyle w:val="Strong"/>
              </w:rPr>
              <w:t>Retailer</w:t>
            </w:r>
          </w:p>
        </w:tc>
        <w:tc>
          <w:tcPr>
            <w:tcW w:w="6804" w:type="dxa"/>
            <w:gridSpan w:val="4"/>
            <w:shd w:val="clear" w:color="auto" w:fill="F2F2F2" w:themeFill="background1" w:themeFillShade="F2"/>
          </w:tcPr>
          <w:p w:rsidR="00D226C7" w:rsidRPr="006D4C8B" w:rsidRDefault="00D226C7" w:rsidP="00975582">
            <w:pPr>
              <w:pStyle w:val="Tabletext"/>
              <w:rPr>
                <w:rStyle w:val="Strong"/>
              </w:rPr>
            </w:pPr>
            <w:r w:rsidRPr="006D4C8B">
              <w:rPr>
                <w:rStyle w:val="Strong"/>
              </w:rPr>
              <w:t>Customers on hardship programs (per 100)</w:t>
            </w:r>
          </w:p>
        </w:tc>
      </w:tr>
      <w:tr w:rsidR="00D226C7" w:rsidRPr="00D42745" w:rsidTr="00D226C7">
        <w:trPr>
          <w:trHeight w:hRule="exact" w:val="312"/>
        </w:trPr>
        <w:tc>
          <w:tcPr>
            <w:tcW w:w="2268" w:type="dxa"/>
          </w:tcPr>
          <w:p w:rsidR="00D226C7" w:rsidRPr="006D4C8B" w:rsidRDefault="00D226C7" w:rsidP="00975582">
            <w:pPr>
              <w:pStyle w:val="Tabletext"/>
              <w:rPr>
                <w:rStyle w:val="Strong"/>
              </w:rPr>
            </w:pPr>
          </w:p>
        </w:tc>
        <w:tc>
          <w:tcPr>
            <w:tcW w:w="3402" w:type="dxa"/>
            <w:gridSpan w:val="2"/>
          </w:tcPr>
          <w:p w:rsidR="00D226C7" w:rsidRPr="006D4C8B" w:rsidRDefault="00D226C7" w:rsidP="00975582">
            <w:pPr>
              <w:pStyle w:val="Tabletext"/>
              <w:rPr>
                <w:rStyle w:val="Strong"/>
              </w:rPr>
            </w:pPr>
            <w:r w:rsidRPr="006D4C8B">
              <w:rPr>
                <w:rStyle w:val="Strong"/>
              </w:rPr>
              <w:t>Electricity</w:t>
            </w:r>
          </w:p>
        </w:tc>
        <w:tc>
          <w:tcPr>
            <w:tcW w:w="3402" w:type="dxa"/>
            <w:gridSpan w:val="2"/>
          </w:tcPr>
          <w:p w:rsidR="00D226C7" w:rsidRPr="006D4C8B" w:rsidRDefault="00D226C7" w:rsidP="00975582">
            <w:pPr>
              <w:pStyle w:val="Tabletext"/>
              <w:rPr>
                <w:rStyle w:val="Strong"/>
              </w:rPr>
            </w:pPr>
            <w:r w:rsidRPr="006D4C8B">
              <w:rPr>
                <w:rStyle w:val="Strong"/>
              </w:rPr>
              <w:t>Gas</w:t>
            </w:r>
          </w:p>
        </w:tc>
      </w:tr>
      <w:tr w:rsidR="00D226C7" w:rsidRPr="00D42745" w:rsidTr="00D226C7">
        <w:trPr>
          <w:trHeight w:hRule="exact" w:val="312"/>
        </w:trPr>
        <w:tc>
          <w:tcPr>
            <w:tcW w:w="2268" w:type="dxa"/>
          </w:tcPr>
          <w:p w:rsidR="00D226C7" w:rsidRPr="00975582" w:rsidRDefault="00D226C7" w:rsidP="00975582">
            <w:pPr>
              <w:pStyle w:val="Tabletext"/>
              <w:rPr>
                <w:rStyle w:val="Strong"/>
              </w:rPr>
            </w:pPr>
            <w:r w:rsidRPr="00975582">
              <w:rPr>
                <w:rStyle w:val="Strong"/>
              </w:rPr>
              <w:t>South Australia</w:t>
            </w:r>
          </w:p>
        </w:tc>
        <w:tc>
          <w:tcPr>
            <w:tcW w:w="1701" w:type="dxa"/>
          </w:tcPr>
          <w:p w:rsidR="00D226C7" w:rsidRPr="00975582" w:rsidRDefault="00D226C7" w:rsidP="00975582">
            <w:pPr>
              <w:pStyle w:val="Tabletext"/>
              <w:rPr>
                <w:rStyle w:val="Strong"/>
              </w:rPr>
            </w:pPr>
          </w:p>
        </w:tc>
        <w:tc>
          <w:tcPr>
            <w:tcW w:w="1701" w:type="dxa"/>
          </w:tcPr>
          <w:p w:rsidR="00D226C7" w:rsidRPr="00975582" w:rsidRDefault="00D226C7" w:rsidP="00975582">
            <w:pPr>
              <w:pStyle w:val="Tabletext"/>
              <w:rPr>
                <w:rStyle w:val="Strong"/>
              </w:rPr>
            </w:pPr>
          </w:p>
        </w:tc>
        <w:tc>
          <w:tcPr>
            <w:tcW w:w="1701" w:type="dxa"/>
          </w:tcPr>
          <w:p w:rsidR="00D226C7" w:rsidRPr="00975582" w:rsidRDefault="00D226C7" w:rsidP="00975582">
            <w:pPr>
              <w:pStyle w:val="Tabletext"/>
              <w:rPr>
                <w:rStyle w:val="Strong"/>
              </w:rPr>
            </w:pPr>
          </w:p>
        </w:tc>
        <w:tc>
          <w:tcPr>
            <w:tcW w:w="1701" w:type="dxa"/>
          </w:tcPr>
          <w:p w:rsidR="00D226C7" w:rsidRPr="00975582" w:rsidRDefault="00D226C7" w:rsidP="00975582">
            <w:pPr>
              <w:pStyle w:val="Tabletext"/>
              <w:rPr>
                <w:rStyle w:val="Strong"/>
              </w:rPr>
            </w:pPr>
          </w:p>
        </w:tc>
      </w:tr>
      <w:tr w:rsidR="00D226C7" w:rsidRPr="00D42745" w:rsidTr="00D226C7">
        <w:trPr>
          <w:trHeight w:hRule="exact" w:val="312"/>
        </w:trPr>
        <w:tc>
          <w:tcPr>
            <w:tcW w:w="2268" w:type="dxa"/>
          </w:tcPr>
          <w:p w:rsidR="00D226C7" w:rsidRPr="00D226C7" w:rsidRDefault="00D226C7" w:rsidP="00975582">
            <w:pPr>
              <w:pStyle w:val="Tabletext"/>
            </w:pPr>
            <w:r w:rsidRPr="00D226C7">
              <w:t xml:space="preserve">AGL </w:t>
            </w:r>
          </w:p>
        </w:tc>
        <w:tc>
          <w:tcPr>
            <w:tcW w:w="1701" w:type="dxa"/>
          </w:tcPr>
          <w:p w:rsidR="00D226C7" w:rsidRPr="00D42745" w:rsidRDefault="00D226C7" w:rsidP="00975582">
            <w:pPr>
              <w:pStyle w:val="Tabletext"/>
            </w:pPr>
            <w:r w:rsidRPr="00D42745">
              <w:t>1.36</w:t>
            </w:r>
          </w:p>
        </w:tc>
        <w:tc>
          <w:tcPr>
            <w:tcW w:w="1701" w:type="dxa"/>
          </w:tcPr>
          <w:p w:rsidR="00D226C7" w:rsidRPr="00D226C7" w:rsidRDefault="00D226C7" w:rsidP="00975582">
            <w:pPr>
              <w:pStyle w:val="Tabletext"/>
            </w:pPr>
            <w:r w:rsidRPr="00D226C7">
              <w:t>▲0.22</w:t>
            </w:r>
          </w:p>
        </w:tc>
        <w:tc>
          <w:tcPr>
            <w:tcW w:w="1701" w:type="dxa"/>
          </w:tcPr>
          <w:p w:rsidR="00D226C7" w:rsidRPr="00D42745" w:rsidRDefault="00D226C7" w:rsidP="00975582">
            <w:pPr>
              <w:pStyle w:val="Tabletext"/>
            </w:pPr>
            <w:r w:rsidRPr="00D42745">
              <w:t>1.35</w:t>
            </w:r>
          </w:p>
        </w:tc>
        <w:tc>
          <w:tcPr>
            <w:tcW w:w="1701" w:type="dxa"/>
          </w:tcPr>
          <w:p w:rsidR="00D226C7" w:rsidRPr="00D226C7" w:rsidRDefault="00D226C7" w:rsidP="00975582">
            <w:pPr>
              <w:pStyle w:val="Tabletext"/>
            </w:pPr>
            <w:r w:rsidRPr="00D226C7">
              <w:t>▲0.29</w:t>
            </w:r>
          </w:p>
        </w:tc>
      </w:tr>
      <w:tr w:rsidR="00D226C7" w:rsidRPr="00D42745" w:rsidTr="00D226C7">
        <w:trPr>
          <w:trHeight w:hRule="exact" w:val="312"/>
        </w:trPr>
        <w:tc>
          <w:tcPr>
            <w:tcW w:w="2268" w:type="dxa"/>
          </w:tcPr>
          <w:p w:rsidR="00D226C7" w:rsidRPr="00D226C7" w:rsidRDefault="00D226C7" w:rsidP="00975582">
            <w:pPr>
              <w:pStyle w:val="Tabletext"/>
            </w:pPr>
            <w:r w:rsidRPr="00D226C7">
              <w:t>Alinta Energy</w:t>
            </w:r>
          </w:p>
        </w:tc>
        <w:tc>
          <w:tcPr>
            <w:tcW w:w="1701" w:type="dxa"/>
          </w:tcPr>
          <w:p w:rsidR="00D226C7" w:rsidRPr="00D42745" w:rsidRDefault="00D226C7" w:rsidP="00975582">
            <w:pPr>
              <w:pStyle w:val="Tabletext"/>
            </w:pPr>
            <w:r w:rsidRPr="00D42745">
              <w:t>1.52</w:t>
            </w:r>
          </w:p>
        </w:tc>
        <w:tc>
          <w:tcPr>
            <w:tcW w:w="1701" w:type="dxa"/>
          </w:tcPr>
          <w:p w:rsidR="00D226C7" w:rsidRPr="00D226C7" w:rsidRDefault="00D226C7" w:rsidP="00975582">
            <w:pPr>
              <w:pStyle w:val="Tabletext"/>
            </w:pPr>
            <w:r w:rsidRPr="00D226C7">
              <w:t>▲1.43</w:t>
            </w:r>
          </w:p>
        </w:tc>
        <w:tc>
          <w:tcPr>
            <w:tcW w:w="1701" w:type="dxa"/>
          </w:tcPr>
          <w:p w:rsidR="00D226C7" w:rsidRPr="00D42745" w:rsidRDefault="00D226C7" w:rsidP="00975582">
            <w:pPr>
              <w:pStyle w:val="Tabletext"/>
            </w:pPr>
            <w:r w:rsidRPr="00D42745">
              <w:t>1.05</w:t>
            </w:r>
          </w:p>
        </w:tc>
        <w:tc>
          <w:tcPr>
            <w:tcW w:w="1701" w:type="dxa"/>
          </w:tcPr>
          <w:p w:rsidR="00D226C7" w:rsidRPr="00D226C7" w:rsidRDefault="00D226C7" w:rsidP="00975582">
            <w:pPr>
              <w:pStyle w:val="Tabletext"/>
            </w:pPr>
            <w:r w:rsidRPr="00D226C7">
              <w:t>▲0.97</w:t>
            </w:r>
          </w:p>
        </w:tc>
      </w:tr>
      <w:tr w:rsidR="00D226C7" w:rsidRPr="00D42745" w:rsidTr="00D226C7">
        <w:trPr>
          <w:trHeight w:hRule="exact" w:val="312"/>
        </w:trPr>
        <w:tc>
          <w:tcPr>
            <w:tcW w:w="2268" w:type="dxa"/>
          </w:tcPr>
          <w:p w:rsidR="00D226C7" w:rsidRPr="00D226C7" w:rsidRDefault="00D226C7" w:rsidP="00975582">
            <w:pPr>
              <w:pStyle w:val="Tabletext"/>
            </w:pPr>
            <w:r w:rsidRPr="00D226C7">
              <w:t>EnergyAustralia</w:t>
            </w:r>
          </w:p>
        </w:tc>
        <w:tc>
          <w:tcPr>
            <w:tcW w:w="1701" w:type="dxa"/>
          </w:tcPr>
          <w:p w:rsidR="00D226C7" w:rsidRPr="00D42745" w:rsidRDefault="00D226C7" w:rsidP="00975582">
            <w:pPr>
              <w:pStyle w:val="Tabletext"/>
            </w:pPr>
            <w:r w:rsidRPr="00D42745">
              <w:t>2.53</w:t>
            </w:r>
          </w:p>
        </w:tc>
        <w:tc>
          <w:tcPr>
            <w:tcW w:w="1701" w:type="dxa"/>
          </w:tcPr>
          <w:p w:rsidR="00D226C7" w:rsidRPr="00D226C7" w:rsidRDefault="00D226C7" w:rsidP="00975582">
            <w:pPr>
              <w:pStyle w:val="Tabletext"/>
            </w:pPr>
            <w:r w:rsidRPr="00D226C7">
              <w:t>▲1.54</w:t>
            </w:r>
          </w:p>
        </w:tc>
        <w:tc>
          <w:tcPr>
            <w:tcW w:w="1701" w:type="dxa"/>
          </w:tcPr>
          <w:p w:rsidR="00D226C7" w:rsidRPr="00D42745" w:rsidRDefault="00D226C7" w:rsidP="00975582">
            <w:pPr>
              <w:pStyle w:val="Tabletext"/>
            </w:pPr>
            <w:r w:rsidRPr="00D42745">
              <w:t>1.14</w:t>
            </w:r>
          </w:p>
        </w:tc>
        <w:tc>
          <w:tcPr>
            <w:tcW w:w="1701" w:type="dxa"/>
          </w:tcPr>
          <w:p w:rsidR="00D226C7" w:rsidRPr="00D226C7" w:rsidRDefault="00D226C7" w:rsidP="00975582">
            <w:pPr>
              <w:pStyle w:val="Tabletext"/>
            </w:pPr>
            <w:r w:rsidRPr="00D226C7">
              <w:t>▲0.69</w:t>
            </w:r>
          </w:p>
        </w:tc>
      </w:tr>
      <w:tr w:rsidR="00D226C7" w:rsidRPr="00D42745" w:rsidTr="00D226C7">
        <w:trPr>
          <w:trHeight w:hRule="exact" w:val="312"/>
        </w:trPr>
        <w:tc>
          <w:tcPr>
            <w:tcW w:w="2268" w:type="dxa"/>
          </w:tcPr>
          <w:p w:rsidR="00D226C7" w:rsidRPr="00D226C7" w:rsidRDefault="00D226C7" w:rsidP="00975582">
            <w:pPr>
              <w:pStyle w:val="Tabletext"/>
            </w:pPr>
            <w:r w:rsidRPr="00D226C7">
              <w:t>Lumo Energy</w:t>
            </w:r>
          </w:p>
        </w:tc>
        <w:tc>
          <w:tcPr>
            <w:tcW w:w="1701" w:type="dxa"/>
          </w:tcPr>
          <w:p w:rsidR="00D226C7" w:rsidRPr="00D42745" w:rsidRDefault="00D226C7" w:rsidP="00975582">
            <w:pPr>
              <w:pStyle w:val="Tabletext"/>
            </w:pPr>
            <w:r w:rsidRPr="00D42745">
              <w:t>0.53</w:t>
            </w:r>
          </w:p>
        </w:tc>
        <w:tc>
          <w:tcPr>
            <w:tcW w:w="1701" w:type="dxa"/>
          </w:tcPr>
          <w:p w:rsidR="00D226C7" w:rsidRPr="00D226C7" w:rsidRDefault="00D226C7" w:rsidP="00975582">
            <w:pPr>
              <w:pStyle w:val="Tabletext"/>
            </w:pPr>
            <w:r w:rsidRPr="00D226C7">
              <w:t>▼0.08</w:t>
            </w:r>
          </w:p>
        </w:tc>
        <w:tc>
          <w:tcPr>
            <w:tcW w:w="1701" w:type="dxa"/>
          </w:tcPr>
          <w:p w:rsidR="00D226C7" w:rsidRPr="00D42745" w:rsidRDefault="00D226C7" w:rsidP="00975582">
            <w:pPr>
              <w:pStyle w:val="Tabletext"/>
            </w:pPr>
            <w:r w:rsidRPr="00D42745">
              <w:t>-</w:t>
            </w:r>
          </w:p>
        </w:tc>
        <w:tc>
          <w:tcPr>
            <w:tcW w:w="1701" w:type="dxa"/>
          </w:tcPr>
          <w:p w:rsidR="00D226C7" w:rsidRPr="00D42745" w:rsidRDefault="00D226C7" w:rsidP="00975582">
            <w:pPr>
              <w:pStyle w:val="Tabletext"/>
            </w:pPr>
            <w:r w:rsidRPr="00D42745">
              <w:t>-</w:t>
            </w:r>
          </w:p>
        </w:tc>
      </w:tr>
      <w:tr w:rsidR="00D226C7" w:rsidRPr="00D42745" w:rsidTr="00D226C7">
        <w:trPr>
          <w:trHeight w:hRule="exact" w:val="312"/>
        </w:trPr>
        <w:tc>
          <w:tcPr>
            <w:tcW w:w="2268" w:type="dxa"/>
          </w:tcPr>
          <w:p w:rsidR="00D226C7" w:rsidRPr="00D226C7" w:rsidRDefault="00D226C7" w:rsidP="00975582">
            <w:pPr>
              <w:pStyle w:val="Tabletext"/>
            </w:pPr>
            <w:r w:rsidRPr="00D226C7">
              <w:t>M2 Energy</w:t>
            </w:r>
          </w:p>
        </w:tc>
        <w:tc>
          <w:tcPr>
            <w:tcW w:w="1701" w:type="dxa"/>
          </w:tcPr>
          <w:p w:rsidR="00D226C7" w:rsidRPr="00D42745" w:rsidRDefault="00D226C7" w:rsidP="00975582">
            <w:pPr>
              <w:pStyle w:val="Tabletext"/>
            </w:pPr>
            <w:r w:rsidRPr="00D42745">
              <w:t>1.17</w:t>
            </w:r>
          </w:p>
        </w:tc>
        <w:tc>
          <w:tcPr>
            <w:tcW w:w="1701" w:type="dxa"/>
          </w:tcPr>
          <w:p w:rsidR="00D226C7" w:rsidRPr="00D226C7" w:rsidRDefault="00D226C7" w:rsidP="00975582">
            <w:pPr>
              <w:pStyle w:val="Tabletext"/>
            </w:pPr>
            <w:r w:rsidRPr="00D226C7">
              <w:t>▲1.17</w:t>
            </w:r>
          </w:p>
        </w:tc>
        <w:tc>
          <w:tcPr>
            <w:tcW w:w="1701" w:type="dxa"/>
          </w:tcPr>
          <w:p w:rsidR="00D226C7" w:rsidRPr="00D42745" w:rsidRDefault="00D226C7" w:rsidP="00975582">
            <w:pPr>
              <w:pStyle w:val="Tabletext"/>
            </w:pPr>
            <w:r w:rsidRPr="00D42745">
              <w:t>-</w:t>
            </w:r>
          </w:p>
        </w:tc>
        <w:tc>
          <w:tcPr>
            <w:tcW w:w="1701" w:type="dxa"/>
          </w:tcPr>
          <w:p w:rsidR="00D226C7" w:rsidRPr="00D42745" w:rsidRDefault="00D226C7" w:rsidP="00975582">
            <w:pPr>
              <w:pStyle w:val="Tabletext"/>
            </w:pPr>
            <w:r w:rsidRPr="00D42745">
              <w:t>-</w:t>
            </w:r>
          </w:p>
        </w:tc>
      </w:tr>
      <w:tr w:rsidR="00D226C7" w:rsidRPr="00D42745" w:rsidTr="00D226C7">
        <w:trPr>
          <w:trHeight w:hRule="exact" w:val="312"/>
        </w:trPr>
        <w:tc>
          <w:tcPr>
            <w:tcW w:w="2268" w:type="dxa"/>
          </w:tcPr>
          <w:p w:rsidR="00D226C7" w:rsidRPr="00D226C7" w:rsidRDefault="00D226C7" w:rsidP="00975582">
            <w:pPr>
              <w:pStyle w:val="Tabletext"/>
            </w:pPr>
            <w:r w:rsidRPr="00D226C7">
              <w:t>Momentum Energy</w:t>
            </w:r>
          </w:p>
        </w:tc>
        <w:tc>
          <w:tcPr>
            <w:tcW w:w="1701" w:type="dxa"/>
          </w:tcPr>
          <w:p w:rsidR="00D226C7" w:rsidRPr="00D42745" w:rsidRDefault="00D226C7" w:rsidP="00975582">
            <w:pPr>
              <w:pStyle w:val="Tabletext"/>
            </w:pPr>
            <w:r w:rsidRPr="00D42745">
              <w:t>1.96</w:t>
            </w:r>
          </w:p>
        </w:tc>
        <w:tc>
          <w:tcPr>
            <w:tcW w:w="1701" w:type="dxa"/>
          </w:tcPr>
          <w:p w:rsidR="00D226C7" w:rsidRPr="00D226C7" w:rsidRDefault="00D226C7" w:rsidP="00975582">
            <w:pPr>
              <w:pStyle w:val="Tabletext"/>
            </w:pPr>
            <w:r w:rsidRPr="00D226C7">
              <w:t>▲0.84</w:t>
            </w:r>
          </w:p>
        </w:tc>
        <w:tc>
          <w:tcPr>
            <w:tcW w:w="1701" w:type="dxa"/>
          </w:tcPr>
          <w:p w:rsidR="00D226C7" w:rsidRPr="00D42745" w:rsidRDefault="00D226C7" w:rsidP="00975582">
            <w:pPr>
              <w:pStyle w:val="Tabletext"/>
            </w:pPr>
            <w:r w:rsidRPr="00D42745">
              <w:t>-</w:t>
            </w:r>
          </w:p>
        </w:tc>
        <w:tc>
          <w:tcPr>
            <w:tcW w:w="1701" w:type="dxa"/>
          </w:tcPr>
          <w:p w:rsidR="00D226C7" w:rsidRPr="00D42745" w:rsidRDefault="00D226C7" w:rsidP="00975582">
            <w:pPr>
              <w:pStyle w:val="Tabletext"/>
            </w:pPr>
            <w:r w:rsidRPr="00D42745">
              <w:t>-</w:t>
            </w:r>
          </w:p>
        </w:tc>
      </w:tr>
      <w:tr w:rsidR="00D226C7" w:rsidRPr="00D42745" w:rsidTr="00D226C7">
        <w:trPr>
          <w:trHeight w:hRule="exact" w:val="312"/>
        </w:trPr>
        <w:tc>
          <w:tcPr>
            <w:tcW w:w="2268" w:type="dxa"/>
          </w:tcPr>
          <w:p w:rsidR="00D226C7" w:rsidRPr="00D226C7" w:rsidRDefault="00D226C7" w:rsidP="00975582">
            <w:pPr>
              <w:pStyle w:val="Tabletext"/>
            </w:pPr>
            <w:r w:rsidRPr="00D226C7">
              <w:t>Origin Energy</w:t>
            </w:r>
          </w:p>
        </w:tc>
        <w:tc>
          <w:tcPr>
            <w:tcW w:w="1701" w:type="dxa"/>
          </w:tcPr>
          <w:p w:rsidR="00D226C7" w:rsidRPr="00D42745" w:rsidRDefault="00D226C7" w:rsidP="00975582">
            <w:pPr>
              <w:pStyle w:val="Tabletext"/>
            </w:pPr>
            <w:r w:rsidRPr="00D42745">
              <w:t>1.48</w:t>
            </w:r>
          </w:p>
        </w:tc>
        <w:tc>
          <w:tcPr>
            <w:tcW w:w="1701" w:type="dxa"/>
          </w:tcPr>
          <w:p w:rsidR="00D226C7" w:rsidRPr="00D226C7" w:rsidRDefault="00D226C7" w:rsidP="00975582">
            <w:pPr>
              <w:pStyle w:val="Tabletext"/>
            </w:pPr>
            <w:r w:rsidRPr="00D226C7">
              <w:t>▼0.09</w:t>
            </w:r>
          </w:p>
        </w:tc>
        <w:tc>
          <w:tcPr>
            <w:tcW w:w="1701" w:type="dxa"/>
          </w:tcPr>
          <w:p w:rsidR="00D226C7" w:rsidRPr="00D42745" w:rsidRDefault="00D226C7" w:rsidP="00975582">
            <w:pPr>
              <w:pStyle w:val="Tabletext"/>
            </w:pPr>
            <w:r w:rsidRPr="00D42745">
              <w:t>0.52</w:t>
            </w:r>
          </w:p>
        </w:tc>
        <w:tc>
          <w:tcPr>
            <w:tcW w:w="1701" w:type="dxa"/>
          </w:tcPr>
          <w:p w:rsidR="00D226C7" w:rsidRPr="00D226C7" w:rsidRDefault="00D226C7" w:rsidP="00975582">
            <w:pPr>
              <w:pStyle w:val="Tabletext"/>
            </w:pPr>
            <w:r w:rsidRPr="00D226C7">
              <w:t>▲0.09</w:t>
            </w:r>
          </w:p>
        </w:tc>
      </w:tr>
      <w:tr w:rsidR="00D226C7" w:rsidRPr="00D42745" w:rsidTr="00D226C7">
        <w:trPr>
          <w:trHeight w:hRule="exact" w:val="312"/>
        </w:trPr>
        <w:tc>
          <w:tcPr>
            <w:tcW w:w="2268" w:type="dxa"/>
          </w:tcPr>
          <w:p w:rsidR="00D226C7" w:rsidRPr="00D226C7" w:rsidRDefault="00D226C7" w:rsidP="00975582">
            <w:pPr>
              <w:pStyle w:val="Tabletext"/>
            </w:pPr>
            <w:r w:rsidRPr="00D226C7">
              <w:t>Powerdirect</w:t>
            </w:r>
          </w:p>
        </w:tc>
        <w:tc>
          <w:tcPr>
            <w:tcW w:w="1701" w:type="dxa"/>
          </w:tcPr>
          <w:p w:rsidR="00D226C7" w:rsidRPr="00D42745" w:rsidRDefault="00D226C7" w:rsidP="00975582">
            <w:pPr>
              <w:pStyle w:val="Tabletext"/>
            </w:pPr>
            <w:r w:rsidRPr="00D42745">
              <w:t>0.66</w:t>
            </w:r>
          </w:p>
        </w:tc>
        <w:tc>
          <w:tcPr>
            <w:tcW w:w="1701" w:type="dxa"/>
          </w:tcPr>
          <w:p w:rsidR="00D226C7" w:rsidRPr="00D226C7" w:rsidRDefault="00D226C7" w:rsidP="00975582">
            <w:pPr>
              <w:pStyle w:val="Tabletext"/>
            </w:pPr>
            <w:r w:rsidRPr="00D226C7">
              <w:t>▲0.16</w:t>
            </w:r>
          </w:p>
        </w:tc>
        <w:tc>
          <w:tcPr>
            <w:tcW w:w="1701" w:type="dxa"/>
          </w:tcPr>
          <w:p w:rsidR="00D226C7" w:rsidRPr="00D42745" w:rsidRDefault="00D226C7" w:rsidP="00975582">
            <w:pPr>
              <w:pStyle w:val="Tabletext"/>
            </w:pPr>
            <w:r w:rsidRPr="00D42745">
              <w:t>-</w:t>
            </w:r>
          </w:p>
        </w:tc>
        <w:tc>
          <w:tcPr>
            <w:tcW w:w="1701" w:type="dxa"/>
          </w:tcPr>
          <w:p w:rsidR="00D226C7" w:rsidRPr="00D42745" w:rsidRDefault="00D226C7" w:rsidP="00975582">
            <w:pPr>
              <w:pStyle w:val="Tabletext"/>
            </w:pPr>
            <w:r w:rsidRPr="00D42745">
              <w:t>-</w:t>
            </w:r>
          </w:p>
        </w:tc>
      </w:tr>
      <w:tr w:rsidR="00D226C7" w:rsidRPr="00D42745" w:rsidTr="00D226C7">
        <w:trPr>
          <w:trHeight w:hRule="exact" w:val="312"/>
        </w:trPr>
        <w:tc>
          <w:tcPr>
            <w:tcW w:w="2268" w:type="dxa"/>
          </w:tcPr>
          <w:p w:rsidR="00D226C7" w:rsidRPr="00D226C7" w:rsidRDefault="00D226C7" w:rsidP="00975582">
            <w:pPr>
              <w:pStyle w:val="Tabletext"/>
            </w:pPr>
            <w:r w:rsidRPr="00D226C7">
              <w:t>Red Energy</w:t>
            </w:r>
          </w:p>
        </w:tc>
        <w:tc>
          <w:tcPr>
            <w:tcW w:w="1701" w:type="dxa"/>
          </w:tcPr>
          <w:p w:rsidR="00D226C7" w:rsidRPr="00D42745" w:rsidRDefault="00D226C7" w:rsidP="00975582">
            <w:pPr>
              <w:pStyle w:val="Tabletext"/>
            </w:pPr>
            <w:r w:rsidRPr="00D42745">
              <w:t>0.74</w:t>
            </w:r>
          </w:p>
        </w:tc>
        <w:tc>
          <w:tcPr>
            <w:tcW w:w="1701" w:type="dxa"/>
          </w:tcPr>
          <w:p w:rsidR="00D226C7" w:rsidRPr="00D226C7" w:rsidRDefault="00D226C7" w:rsidP="00975582">
            <w:pPr>
              <w:pStyle w:val="Tabletext"/>
            </w:pPr>
            <w:r w:rsidRPr="00D226C7">
              <w:t>▼0.36</w:t>
            </w:r>
          </w:p>
        </w:tc>
        <w:tc>
          <w:tcPr>
            <w:tcW w:w="1701" w:type="dxa"/>
          </w:tcPr>
          <w:p w:rsidR="00D226C7" w:rsidRPr="00D42745" w:rsidRDefault="00D226C7" w:rsidP="00975582">
            <w:pPr>
              <w:pStyle w:val="Tabletext"/>
            </w:pPr>
            <w:r w:rsidRPr="00D42745">
              <w:t>-</w:t>
            </w:r>
          </w:p>
        </w:tc>
        <w:tc>
          <w:tcPr>
            <w:tcW w:w="1701" w:type="dxa"/>
          </w:tcPr>
          <w:p w:rsidR="00D226C7" w:rsidRPr="00D42745" w:rsidRDefault="00D226C7" w:rsidP="00975582">
            <w:pPr>
              <w:pStyle w:val="Tabletext"/>
            </w:pPr>
            <w:r w:rsidRPr="00D42745">
              <w:t>-</w:t>
            </w:r>
          </w:p>
        </w:tc>
      </w:tr>
      <w:tr w:rsidR="00D226C7" w:rsidRPr="00D42745" w:rsidTr="00D226C7">
        <w:trPr>
          <w:trHeight w:hRule="exact" w:val="312"/>
        </w:trPr>
        <w:tc>
          <w:tcPr>
            <w:tcW w:w="2268" w:type="dxa"/>
          </w:tcPr>
          <w:p w:rsidR="00D226C7" w:rsidRPr="00D226C7" w:rsidRDefault="00D226C7" w:rsidP="00975582">
            <w:pPr>
              <w:pStyle w:val="Tabletext"/>
            </w:pPr>
            <w:r w:rsidRPr="00D226C7">
              <w:t>Simply Energy</w:t>
            </w:r>
          </w:p>
        </w:tc>
        <w:tc>
          <w:tcPr>
            <w:tcW w:w="1701" w:type="dxa"/>
          </w:tcPr>
          <w:p w:rsidR="00D226C7" w:rsidRPr="00D42745" w:rsidRDefault="00D226C7" w:rsidP="00975582">
            <w:pPr>
              <w:pStyle w:val="Tabletext"/>
            </w:pPr>
            <w:r w:rsidRPr="00D42745">
              <w:t>1.95</w:t>
            </w:r>
          </w:p>
        </w:tc>
        <w:tc>
          <w:tcPr>
            <w:tcW w:w="1701" w:type="dxa"/>
          </w:tcPr>
          <w:p w:rsidR="00D226C7" w:rsidRPr="00D226C7" w:rsidRDefault="00D226C7" w:rsidP="00975582">
            <w:pPr>
              <w:pStyle w:val="Tabletext"/>
            </w:pPr>
            <w:r w:rsidRPr="00D226C7">
              <w:t>▲0.48</w:t>
            </w:r>
          </w:p>
        </w:tc>
        <w:tc>
          <w:tcPr>
            <w:tcW w:w="1701" w:type="dxa"/>
          </w:tcPr>
          <w:p w:rsidR="00D226C7" w:rsidRPr="00D42745" w:rsidRDefault="00D226C7" w:rsidP="00975582">
            <w:pPr>
              <w:pStyle w:val="Tabletext"/>
            </w:pPr>
            <w:r w:rsidRPr="00D42745">
              <w:t>2.01</w:t>
            </w:r>
          </w:p>
        </w:tc>
        <w:tc>
          <w:tcPr>
            <w:tcW w:w="1701" w:type="dxa"/>
          </w:tcPr>
          <w:p w:rsidR="00D226C7" w:rsidRPr="00D226C7" w:rsidRDefault="00D226C7" w:rsidP="00975582">
            <w:pPr>
              <w:pStyle w:val="Tabletext"/>
            </w:pPr>
            <w:r w:rsidRPr="00D226C7">
              <w:t>▲0.60</w:t>
            </w:r>
          </w:p>
        </w:tc>
      </w:tr>
      <w:tr w:rsidR="00D226C7" w:rsidRPr="00D42745" w:rsidTr="00D226C7">
        <w:trPr>
          <w:trHeight w:hRule="exact" w:val="312"/>
        </w:trPr>
        <w:tc>
          <w:tcPr>
            <w:tcW w:w="2268" w:type="dxa"/>
            <w:shd w:val="clear" w:color="auto" w:fill="F2F2F2" w:themeFill="background1" w:themeFillShade="F2"/>
          </w:tcPr>
          <w:p w:rsidR="00D226C7" w:rsidRPr="006D4C8B" w:rsidRDefault="00D226C7" w:rsidP="00975582">
            <w:pPr>
              <w:pStyle w:val="Tabletext"/>
              <w:rPr>
                <w:rStyle w:val="Strong"/>
              </w:rPr>
            </w:pPr>
            <w:r w:rsidRPr="006D4C8B">
              <w:rPr>
                <w:rStyle w:val="Strong"/>
              </w:rPr>
              <w:t>TOTAL SA</w:t>
            </w:r>
          </w:p>
        </w:tc>
        <w:tc>
          <w:tcPr>
            <w:tcW w:w="1701" w:type="dxa"/>
            <w:shd w:val="clear" w:color="auto" w:fill="F2F2F2" w:themeFill="background1" w:themeFillShade="F2"/>
          </w:tcPr>
          <w:p w:rsidR="00D226C7" w:rsidRPr="00F42CCB" w:rsidRDefault="00D226C7" w:rsidP="00975582">
            <w:pPr>
              <w:pStyle w:val="Tabletext"/>
              <w:rPr>
                <w:rStyle w:val="Strong"/>
              </w:rPr>
            </w:pPr>
            <w:r w:rsidRPr="00F42CCB">
              <w:rPr>
                <w:rStyle w:val="Strong"/>
              </w:rPr>
              <w:t>1.51</w:t>
            </w:r>
          </w:p>
        </w:tc>
        <w:tc>
          <w:tcPr>
            <w:tcW w:w="1701" w:type="dxa"/>
            <w:shd w:val="clear" w:color="auto" w:fill="F2F2F2" w:themeFill="background1" w:themeFillShade="F2"/>
          </w:tcPr>
          <w:p w:rsidR="00D226C7" w:rsidRPr="00F42CCB" w:rsidRDefault="00D226C7" w:rsidP="00975582">
            <w:pPr>
              <w:pStyle w:val="Tabletext"/>
              <w:rPr>
                <w:rStyle w:val="Strong"/>
              </w:rPr>
            </w:pPr>
            <w:r w:rsidRPr="00F42CCB">
              <w:rPr>
                <w:rStyle w:val="Strong"/>
              </w:rPr>
              <w:t>▲0.34</w:t>
            </w:r>
          </w:p>
        </w:tc>
        <w:tc>
          <w:tcPr>
            <w:tcW w:w="1701" w:type="dxa"/>
            <w:shd w:val="clear" w:color="auto" w:fill="F2F2F2" w:themeFill="background1" w:themeFillShade="F2"/>
          </w:tcPr>
          <w:p w:rsidR="00D226C7" w:rsidRPr="00F42CCB" w:rsidRDefault="00D226C7" w:rsidP="00975582">
            <w:pPr>
              <w:pStyle w:val="Tabletext"/>
              <w:rPr>
                <w:rStyle w:val="Strong"/>
              </w:rPr>
            </w:pPr>
            <w:r w:rsidRPr="00F42CCB">
              <w:rPr>
                <w:rStyle w:val="Strong"/>
              </w:rPr>
              <w:t>1.00</w:t>
            </w:r>
          </w:p>
        </w:tc>
        <w:tc>
          <w:tcPr>
            <w:tcW w:w="1701" w:type="dxa"/>
            <w:shd w:val="clear" w:color="auto" w:fill="F2F2F2" w:themeFill="background1" w:themeFillShade="F2"/>
          </w:tcPr>
          <w:p w:rsidR="00D226C7" w:rsidRPr="00F42CCB" w:rsidRDefault="00D226C7" w:rsidP="00975582">
            <w:pPr>
              <w:pStyle w:val="Tabletext"/>
              <w:rPr>
                <w:rStyle w:val="Strong"/>
              </w:rPr>
            </w:pPr>
            <w:r w:rsidRPr="00F42CCB">
              <w:rPr>
                <w:rStyle w:val="Strong"/>
              </w:rPr>
              <w:t>▲0.30</w:t>
            </w:r>
          </w:p>
        </w:tc>
      </w:tr>
      <w:tr w:rsidR="00D226C7" w:rsidRPr="00D42745" w:rsidTr="00D226C7">
        <w:trPr>
          <w:trHeight w:hRule="exact" w:val="312"/>
        </w:trPr>
        <w:tc>
          <w:tcPr>
            <w:tcW w:w="2268" w:type="dxa"/>
          </w:tcPr>
          <w:p w:rsidR="00D226C7" w:rsidRPr="006D4C8B" w:rsidRDefault="00D226C7" w:rsidP="00975582">
            <w:pPr>
              <w:pStyle w:val="Tabletext"/>
              <w:rPr>
                <w:rStyle w:val="Strong"/>
              </w:rPr>
            </w:pPr>
            <w:r w:rsidRPr="006D4C8B">
              <w:rPr>
                <w:rStyle w:val="Strong"/>
              </w:rPr>
              <w:t>ACT</w:t>
            </w:r>
          </w:p>
        </w:tc>
        <w:tc>
          <w:tcPr>
            <w:tcW w:w="1701" w:type="dxa"/>
          </w:tcPr>
          <w:p w:rsidR="00D226C7" w:rsidRPr="00D42745" w:rsidRDefault="00D226C7" w:rsidP="00975582">
            <w:pPr>
              <w:pStyle w:val="Tabletext"/>
            </w:pPr>
          </w:p>
        </w:tc>
        <w:tc>
          <w:tcPr>
            <w:tcW w:w="1701" w:type="dxa"/>
          </w:tcPr>
          <w:p w:rsidR="00D226C7" w:rsidRPr="00D42745" w:rsidRDefault="00D226C7" w:rsidP="00975582">
            <w:pPr>
              <w:pStyle w:val="Tabletext"/>
            </w:pPr>
          </w:p>
        </w:tc>
        <w:tc>
          <w:tcPr>
            <w:tcW w:w="1701" w:type="dxa"/>
          </w:tcPr>
          <w:p w:rsidR="00D226C7" w:rsidRPr="00D42745" w:rsidRDefault="00D226C7" w:rsidP="00975582">
            <w:pPr>
              <w:pStyle w:val="Tabletext"/>
            </w:pPr>
          </w:p>
        </w:tc>
        <w:tc>
          <w:tcPr>
            <w:tcW w:w="1701" w:type="dxa"/>
          </w:tcPr>
          <w:p w:rsidR="00D226C7" w:rsidRPr="00D42745" w:rsidRDefault="00D226C7" w:rsidP="00975582">
            <w:pPr>
              <w:pStyle w:val="Tabletext"/>
            </w:pPr>
          </w:p>
        </w:tc>
      </w:tr>
      <w:tr w:rsidR="00D226C7" w:rsidRPr="00D42745" w:rsidTr="00D226C7">
        <w:trPr>
          <w:trHeight w:hRule="exact" w:val="312"/>
        </w:trPr>
        <w:tc>
          <w:tcPr>
            <w:tcW w:w="2268" w:type="dxa"/>
          </w:tcPr>
          <w:p w:rsidR="00D226C7" w:rsidRPr="00D226C7" w:rsidRDefault="00D226C7" w:rsidP="00975582">
            <w:pPr>
              <w:pStyle w:val="Tabletext"/>
            </w:pPr>
            <w:r w:rsidRPr="00D226C7">
              <w:t>ActewAGL</w:t>
            </w:r>
          </w:p>
        </w:tc>
        <w:tc>
          <w:tcPr>
            <w:tcW w:w="1701" w:type="dxa"/>
          </w:tcPr>
          <w:p w:rsidR="00D226C7" w:rsidRPr="00D42745" w:rsidRDefault="00D226C7" w:rsidP="00975582">
            <w:pPr>
              <w:pStyle w:val="Tabletext"/>
            </w:pPr>
            <w:r w:rsidRPr="00D42745">
              <w:t>0.38</w:t>
            </w:r>
          </w:p>
        </w:tc>
        <w:tc>
          <w:tcPr>
            <w:tcW w:w="1701" w:type="dxa"/>
          </w:tcPr>
          <w:p w:rsidR="00D226C7" w:rsidRPr="00D226C7" w:rsidRDefault="00D226C7" w:rsidP="00975582">
            <w:pPr>
              <w:pStyle w:val="Tabletext"/>
            </w:pPr>
            <w:r w:rsidRPr="00D226C7">
              <w:t>▼0.03</w:t>
            </w:r>
          </w:p>
        </w:tc>
        <w:tc>
          <w:tcPr>
            <w:tcW w:w="1701" w:type="dxa"/>
          </w:tcPr>
          <w:p w:rsidR="00D226C7" w:rsidRPr="00D42745" w:rsidRDefault="00D226C7" w:rsidP="00975582">
            <w:pPr>
              <w:pStyle w:val="Tabletext"/>
            </w:pPr>
            <w:r w:rsidRPr="00D42745">
              <w:t>0.49</w:t>
            </w:r>
          </w:p>
        </w:tc>
        <w:tc>
          <w:tcPr>
            <w:tcW w:w="1701" w:type="dxa"/>
          </w:tcPr>
          <w:p w:rsidR="00D226C7" w:rsidRPr="00D226C7" w:rsidRDefault="00D226C7" w:rsidP="00975582">
            <w:pPr>
              <w:pStyle w:val="Tabletext"/>
            </w:pPr>
            <w:r w:rsidRPr="00D226C7">
              <w:t>▲0.08</w:t>
            </w:r>
          </w:p>
        </w:tc>
      </w:tr>
      <w:tr w:rsidR="00D226C7" w:rsidRPr="00D42745" w:rsidTr="00D226C7">
        <w:trPr>
          <w:trHeight w:hRule="exact" w:val="312"/>
        </w:trPr>
        <w:tc>
          <w:tcPr>
            <w:tcW w:w="2268" w:type="dxa"/>
          </w:tcPr>
          <w:p w:rsidR="00D226C7" w:rsidRPr="00D226C7" w:rsidRDefault="00D226C7" w:rsidP="00975582">
            <w:pPr>
              <w:pStyle w:val="Tabletext"/>
            </w:pPr>
            <w:r w:rsidRPr="00D226C7">
              <w:t>EnergyAustralia</w:t>
            </w:r>
          </w:p>
        </w:tc>
        <w:tc>
          <w:tcPr>
            <w:tcW w:w="1701" w:type="dxa"/>
          </w:tcPr>
          <w:p w:rsidR="00D226C7" w:rsidRPr="00D42745" w:rsidRDefault="00D226C7" w:rsidP="00975582">
            <w:pPr>
              <w:pStyle w:val="Tabletext"/>
            </w:pPr>
            <w:r w:rsidRPr="00D42745">
              <w:t>1.81</w:t>
            </w:r>
          </w:p>
        </w:tc>
        <w:tc>
          <w:tcPr>
            <w:tcW w:w="1701" w:type="dxa"/>
          </w:tcPr>
          <w:p w:rsidR="00D226C7" w:rsidRPr="00D226C7" w:rsidRDefault="00D226C7" w:rsidP="00975582">
            <w:pPr>
              <w:pStyle w:val="Tabletext"/>
            </w:pPr>
            <w:r w:rsidRPr="00D226C7">
              <w:t>▲0.83</w:t>
            </w:r>
          </w:p>
        </w:tc>
        <w:tc>
          <w:tcPr>
            <w:tcW w:w="1701" w:type="dxa"/>
          </w:tcPr>
          <w:p w:rsidR="00D226C7" w:rsidRPr="00D42745" w:rsidRDefault="00D226C7" w:rsidP="00975582">
            <w:pPr>
              <w:pStyle w:val="Tabletext"/>
            </w:pPr>
            <w:r w:rsidRPr="00D42745">
              <w:t>1.07</w:t>
            </w:r>
          </w:p>
        </w:tc>
        <w:tc>
          <w:tcPr>
            <w:tcW w:w="1701" w:type="dxa"/>
          </w:tcPr>
          <w:p w:rsidR="00D226C7" w:rsidRPr="00D226C7" w:rsidRDefault="00D226C7" w:rsidP="00975582">
            <w:pPr>
              <w:pStyle w:val="Tabletext"/>
            </w:pPr>
            <w:r w:rsidRPr="00D226C7">
              <w:t>▲0.54</w:t>
            </w:r>
          </w:p>
        </w:tc>
      </w:tr>
      <w:tr w:rsidR="00D226C7" w:rsidRPr="00D42745" w:rsidTr="00D226C7">
        <w:trPr>
          <w:trHeight w:hRule="exact" w:val="312"/>
        </w:trPr>
        <w:tc>
          <w:tcPr>
            <w:tcW w:w="2268" w:type="dxa"/>
            <w:shd w:val="clear" w:color="auto" w:fill="F2F2F2" w:themeFill="background1" w:themeFillShade="F2"/>
          </w:tcPr>
          <w:p w:rsidR="00D226C7" w:rsidRPr="006D4C8B" w:rsidRDefault="00D226C7" w:rsidP="00975582">
            <w:pPr>
              <w:pStyle w:val="Tabletext"/>
              <w:rPr>
                <w:rStyle w:val="Strong"/>
              </w:rPr>
            </w:pPr>
            <w:r w:rsidRPr="006D4C8B">
              <w:rPr>
                <w:rStyle w:val="Strong"/>
              </w:rPr>
              <w:t>TOTAL ACT</w:t>
            </w:r>
          </w:p>
        </w:tc>
        <w:tc>
          <w:tcPr>
            <w:tcW w:w="1701" w:type="dxa"/>
            <w:shd w:val="clear" w:color="auto" w:fill="F2F2F2" w:themeFill="background1" w:themeFillShade="F2"/>
          </w:tcPr>
          <w:p w:rsidR="00D226C7" w:rsidRPr="00F42CCB" w:rsidRDefault="00D226C7" w:rsidP="00975582">
            <w:pPr>
              <w:pStyle w:val="Tabletext"/>
              <w:rPr>
                <w:rStyle w:val="Strong"/>
              </w:rPr>
            </w:pPr>
            <w:r w:rsidRPr="00F42CCB">
              <w:rPr>
                <w:rStyle w:val="Strong"/>
              </w:rPr>
              <w:t>0.42</w:t>
            </w:r>
          </w:p>
        </w:tc>
        <w:tc>
          <w:tcPr>
            <w:tcW w:w="1701" w:type="dxa"/>
            <w:shd w:val="clear" w:color="auto" w:fill="F2F2F2" w:themeFill="background1" w:themeFillShade="F2"/>
          </w:tcPr>
          <w:p w:rsidR="00D226C7" w:rsidRPr="00F42CCB" w:rsidRDefault="00D226C7" w:rsidP="00975582">
            <w:pPr>
              <w:pStyle w:val="Tabletext"/>
              <w:rPr>
                <w:rStyle w:val="Strong"/>
              </w:rPr>
            </w:pPr>
            <w:r w:rsidRPr="00F42CCB">
              <w:rPr>
                <w:rStyle w:val="Strong"/>
              </w:rPr>
              <w:t>▼0.01</w:t>
            </w:r>
          </w:p>
        </w:tc>
        <w:tc>
          <w:tcPr>
            <w:tcW w:w="1701" w:type="dxa"/>
            <w:shd w:val="clear" w:color="auto" w:fill="F2F2F2" w:themeFill="background1" w:themeFillShade="F2"/>
          </w:tcPr>
          <w:p w:rsidR="00D226C7" w:rsidRPr="00F42CCB" w:rsidRDefault="00D226C7" w:rsidP="00975582">
            <w:pPr>
              <w:pStyle w:val="Tabletext"/>
              <w:rPr>
                <w:rStyle w:val="Strong"/>
              </w:rPr>
            </w:pPr>
            <w:r w:rsidRPr="00F42CCB">
              <w:rPr>
                <w:rStyle w:val="Strong"/>
              </w:rPr>
              <w:t>0.50</w:t>
            </w:r>
          </w:p>
        </w:tc>
        <w:tc>
          <w:tcPr>
            <w:tcW w:w="1701" w:type="dxa"/>
            <w:shd w:val="clear" w:color="auto" w:fill="F2F2F2" w:themeFill="background1" w:themeFillShade="F2"/>
          </w:tcPr>
          <w:p w:rsidR="00D226C7" w:rsidRPr="00F42CCB" w:rsidRDefault="00D226C7" w:rsidP="00975582">
            <w:pPr>
              <w:pStyle w:val="Tabletext"/>
              <w:rPr>
                <w:rStyle w:val="Strong"/>
              </w:rPr>
            </w:pPr>
            <w:r w:rsidRPr="00F42CCB">
              <w:rPr>
                <w:rStyle w:val="Strong"/>
              </w:rPr>
              <w:t>▲0.09</w:t>
            </w:r>
          </w:p>
        </w:tc>
      </w:tr>
      <w:tr w:rsidR="00D226C7" w:rsidRPr="00975582" w:rsidTr="00D226C7">
        <w:trPr>
          <w:trHeight w:hRule="exact" w:val="312"/>
        </w:trPr>
        <w:tc>
          <w:tcPr>
            <w:tcW w:w="2268" w:type="dxa"/>
          </w:tcPr>
          <w:p w:rsidR="00D226C7" w:rsidRPr="00975582" w:rsidRDefault="00D226C7" w:rsidP="00975582">
            <w:pPr>
              <w:pStyle w:val="Tabletext"/>
              <w:rPr>
                <w:rStyle w:val="Strong"/>
              </w:rPr>
            </w:pPr>
            <w:r w:rsidRPr="00975582">
              <w:rPr>
                <w:rStyle w:val="Strong"/>
              </w:rPr>
              <w:t>Tasmania</w:t>
            </w:r>
          </w:p>
        </w:tc>
        <w:tc>
          <w:tcPr>
            <w:tcW w:w="1701" w:type="dxa"/>
          </w:tcPr>
          <w:p w:rsidR="00D226C7" w:rsidRPr="00975582" w:rsidRDefault="00D226C7" w:rsidP="00975582">
            <w:pPr>
              <w:pStyle w:val="Tabletext"/>
              <w:rPr>
                <w:rStyle w:val="Strong"/>
              </w:rPr>
            </w:pPr>
          </w:p>
        </w:tc>
        <w:tc>
          <w:tcPr>
            <w:tcW w:w="1701" w:type="dxa"/>
          </w:tcPr>
          <w:p w:rsidR="00D226C7" w:rsidRPr="00975582" w:rsidRDefault="00D226C7" w:rsidP="00975582">
            <w:pPr>
              <w:pStyle w:val="Tabletext"/>
              <w:rPr>
                <w:rStyle w:val="Strong"/>
              </w:rPr>
            </w:pPr>
          </w:p>
        </w:tc>
        <w:tc>
          <w:tcPr>
            <w:tcW w:w="1701" w:type="dxa"/>
          </w:tcPr>
          <w:p w:rsidR="00D226C7" w:rsidRPr="00975582" w:rsidRDefault="00D226C7" w:rsidP="00975582">
            <w:pPr>
              <w:pStyle w:val="Tabletext"/>
              <w:rPr>
                <w:rStyle w:val="Strong"/>
              </w:rPr>
            </w:pPr>
          </w:p>
        </w:tc>
        <w:tc>
          <w:tcPr>
            <w:tcW w:w="1701" w:type="dxa"/>
          </w:tcPr>
          <w:p w:rsidR="00D226C7" w:rsidRPr="00975582" w:rsidRDefault="00D226C7" w:rsidP="00975582">
            <w:pPr>
              <w:pStyle w:val="Tabletext"/>
              <w:rPr>
                <w:rStyle w:val="Strong"/>
              </w:rPr>
            </w:pPr>
          </w:p>
        </w:tc>
      </w:tr>
      <w:tr w:rsidR="00D226C7" w:rsidRPr="00D42745" w:rsidTr="00D226C7">
        <w:trPr>
          <w:trHeight w:hRule="exact" w:val="312"/>
        </w:trPr>
        <w:tc>
          <w:tcPr>
            <w:tcW w:w="2268" w:type="dxa"/>
            <w:shd w:val="clear" w:color="auto" w:fill="F2F2F2" w:themeFill="background1" w:themeFillShade="F2"/>
          </w:tcPr>
          <w:p w:rsidR="00D226C7" w:rsidRPr="00D226C7" w:rsidRDefault="00D226C7" w:rsidP="00975582">
            <w:pPr>
              <w:pStyle w:val="Tabletext"/>
            </w:pPr>
            <w:r w:rsidRPr="00D226C7">
              <w:t>Aurora Energy</w:t>
            </w:r>
          </w:p>
        </w:tc>
        <w:tc>
          <w:tcPr>
            <w:tcW w:w="1701" w:type="dxa"/>
            <w:shd w:val="clear" w:color="auto" w:fill="F2F2F2" w:themeFill="background1" w:themeFillShade="F2"/>
          </w:tcPr>
          <w:p w:rsidR="00D226C7" w:rsidRPr="00D226C7" w:rsidRDefault="00D226C7" w:rsidP="00975582">
            <w:pPr>
              <w:pStyle w:val="Tabletext"/>
            </w:pPr>
            <w:r w:rsidRPr="00D226C7">
              <w:t>0.71</w:t>
            </w:r>
          </w:p>
        </w:tc>
        <w:tc>
          <w:tcPr>
            <w:tcW w:w="1701" w:type="dxa"/>
            <w:shd w:val="clear" w:color="auto" w:fill="F2F2F2" w:themeFill="background1" w:themeFillShade="F2"/>
          </w:tcPr>
          <w:p w:rsidR="00D226C7" w:rsidRPr="00D226C7" w:rsidRDefault="00D226C7" w:rsidP="00975582">
            <w:pPr>
              <w:pStyle w:val="Tabletext"/>
            </w:pPr>
            <w:r w:rsidRPr="00D226C7">
              <w:t>▲0.28</w:t>
            </w:r>
          </w:p>
        </w:tc>
        <w:tc>
          <w:tcPr>
            <w:tcW w:w="1701" w:type="dxa"/>
            <w:shd w:val="clear" w:color="auto" w:fill="F2F2F2" w:themeFill="background1" w:themeFillShade="F2"/>
          </w:tcPr>
          <w:p w:rsidR="00D226C7" w:rsidRPr="00D226C7" w:rsidRDefault="00D226C7" w:rsidP="00975582">
            <w:pPr>
              <w:pStyle w:val="Tabletext"/>
            </w:pPr>
            <w:r w:rsidRPr="00D226C7">
              <w:t>-</w:t>
            </w:r>
          </w:p>
        </w:tc>
        <w:tc>
          <w:tcPr>
            <w:tcW w:w="1701" w:type="dxa"/>
            <w:shd w:val="clear" w:color="auto" w:fill="F2F2F2" w:themeFill="background1" w:themeFillShade="F2"/>
          </w:tcPr>
          <w:p w:rsidR="00D226C7" w:rsidRPr="00D226C7" w:rsidRDefault="00D226C7" w:rsidP="00975582">
            <w:pPr>
              <w:pStyle w:val="Tabletext"/>
            </w:pPr>
            <w:r w:rsidRPr="00D226C7">
              <w:t>-</w:t>
            </w:r>
          </w:p>
        </w:tc>
      </w:tr>
      <w:tr w:rsidR="00D226C7" w:rsidRPr="00D42745" w:rsidTr="00D226C7">
        <w:trPr>
          <w:trHeight w:hRule="exact" w:val="312"/>
        </w:trPr>
        <w:tc>
          <w:tcPr>
            <w:tcW w:w="2268" w:type="dxa"/>
          </w:tcPr>
          <w:p w:rsidR="00D226C7" w:rsidRPr="00975582" w:rsidRDefault="00D226C7" w:rsidP="00975582">
            <w:pPr>
              <w:pStyle w:val="Tabletext"/>
              <w:rPr>
                <w:rStyle w:val="Strong"/>
              </w:rPr>
            </w:pPr>
            <w:r w:rsidRPr="00975582">
              <w:rPr>
                <w:rStyle w:val="Strong"/>
              </w:rPr>
              <w:t>New South Wales</w:t>
            </w:r>
          </w:p>
        </w:tc>
        <w:tc>
          <w:tcPr>
            <w:tcW w:w="1701" w:type="dxa"/>
          </w:tcPr>
          <w:p w:rsidR="00D226C7" w:rsidRPr="00975582" w:rsidRDefault="00D226C7" w:rsidP="00975582">
            <w:pPr>
              <w:pStyle w:val="Tabletext"/>
              <w:rPr>
                <w:rStyle w:val="Strong"/>
              </w:rPr>
            </w:pPr>
          </w:p>
        </w:tc>
        <w:tc>
          <w:tcPr>
            <w:tcW w:w="1701" w:type="dxa"/>
          </w:tcPr>
          <w:p w:rsidR="00D226C7" w:rsidRPr="00975582" w:rsidRDefault="00D226C7" w:rsidP="00975582">
            <w:pPr>
              <w:pStyle w:val="Tabletext"/>
              <w:rPr>
                <w:rStyle w:val="Strong"/>
              </w:rPr>
            </w:pPr>
          </w:p>
        </w:tc>
        <w:tc>
          <w:tcPr>
            <w:tcW w:w="1701" w:type="dxa"/>
          </w:tcPr>
          <w:p w:rsidR="00D226C7" w:rsidRPr="00975582" w:rsidRDefault="00D226C7" w:rsidP="00975582">
            <w:pPr>
              <w:pStyle w:val="Tabletext"/>
              <w:rPr>
                <w:rStyle w:val="Strong"/>
              </w:rPr>
            </w:pPr>
          </w:p>
        </w:tc>
        <w:tc>
          <w:tcPr>
            <w:tcW w:w="1701" w:type="dxa"/>
          </w:tcPr>
          <w:p w:rsidR="00D226C7" w:rsidRPr="00975582" w:rsidRDefault="00D226C7" w:rsidP="00975582">
            <w:pPr>
              <w:pStyle w:val="Tabletext"/>
              <w:rPr>
                <w:rStyle w:val="Strong"/>
              </w:rPr>
            </w:pPr>
          </w:p>
        </w:tc>
      </w:tr>
      <w:tr w:rsidR="00D226C7" w:rsidRPr="00D42745" w:rsidTr="00D226C7">
        <w:trPr>
          <w:trHeight w:hRule="exact" w:val="312"/>
        </w:trPr>
        <w:tc>
          <w:tcPr>
            <w:tcW w:w="2268" w:type="dxa"/>
          </w:tcPr>
          <w:p w:rsidR="00D226C7" w:rsidRPr="00D226C7" w:rsidRDefault="00D226C7" w:rsidP="00975582">
            <w:pPr>
              <w:pStyle w:val="Tabletext"/>
            </w:pPr>
            <w:r w:rsidRPr="00D226C7">
              <w:t>ActewAGL</w:t>
            </w:r>
          </w:p>
        </w:tc>
        <w:tc>
          <w:tcPr>
            <w:tcW w:w="1701" w:type="dxa"/>
          </w:tcPr>
          <w:p w:rsidR="00D226C7" w:rsidRPr="00D42745" w:rsidRDefault="00D226C7" w:rsidP="00975582">
            <w:pPr>
              <w:pStyle w:val="Tabletext"/>
            </w:pPr>
            <w:r w:rsidRPr="00D42745">
              <w:t>1.44</w:t>
            </w:r>
          </w:p>
        </w:tc>
        <w:tc>
          <w:tcPr>
            <w:tcW w:w="1701" w:type="dxa"/>
          </w:tcPr>
          <w:p w:rsidR="00D226C7" w:rsidRPr="00D226C7" w:rsidRDefault="00D226C7" w:rsidP="00975582">
            <w:pPr>
              <w:pStyle w:val="Tabletext"/>
            </w:pPr>
            <w:r w:rsidRPr="00D226C7">
              <w:t>▼0.09</w:t>
            </w:r>
          </w:p>
        </w:tc>
        <w:tc>
          <w:tcPr>
            <w:tcW w:w="1701" w:type="dxa"/>
          </w:tcPr>
          <w:p w:rsidR="00D226C7" w:rsidRPr="00D42745" w:rsidRDefault="00D226C7" w:rsidP="00975582">
            <w:pPr>
              <w:pStyle w:val="Tabletext"/>
            </w:pPr>
            <w:r w:rsidRPr="00D42745">
              <w:t>0.78</w:t>
            </w:r>
          </w:p>
        </w:tc>
        <w:tc>
          <w:tcPr>
            <w:tcW w:w="1701" w:type="dxa"/>
          </w:tcPr>
          <w:p w:rsidR="00D226C7" w:rsidRPr="00D226C7" w:rsidRDefault="00D226C7" w:rsidP="00975582">
            <w:pPr>
              <w:pStyle w:val="Tabletext"/>
            </w:pPr>
            <w:r w:rsidRPr="00D226C7">
              <w:t>▲0.21</w:t>
            </w:r>
          </w:p>
        </w:tc>
      </w:tr>
      <w:tr w:rsidR="00D226C7" w:rsidRPr="00D42745" w:rsidTr="00D226C7">
        <w:trPr>
          <w:trHeight w:hRule="exact" w:val="312"/>
        </w:trPr>
        <w:tc>
          <w:tcPr>
            <w:tcW w:w="2268" w:type="dxa"/>
          </w:tcPr>
          <w:p w:rsidR="00D226C7" w:rsidRPr="00D226C7" w:rsidRDefault="00D226C7" w:rsidP="00975582">
            <w:pPr>
              <w:pStyle w:val="Tabletext"/>
            </w:pPr>
            <w:r w:rsidRPr="00D226C7">
              <w:t>AGL</w:t>
            </w:r>
          </w:p>
        </w:tc>
        <w:tc>
          <w:tcPr>
            <w:tcW w:w="1701" w:type="dxa"/>
          </w:tcPr>
          <w:p w:rsidR="00D226C7" w:rsidRPr="00D42745" w:rsidRDefault="00D226C7" w:rsidP="00975582">
            <w:pPr>
              <w:pStyle w:val="Tabletext"/>
            </w:pPr>
            <w:r w:rsidRPr="00D42745">
              <w:t>0.89</w:t>
            </w:r>
          </w:p>
        </w:tc>
        <w:tc>
          <w:tcPr>
            <w:tcW w:w="1701" w:type="dxa"/>
          </w:tcPr>
          <w:p w:rsidR="00D226C7" w:rsidRPr="00D226C7" w:rsidRDefault="00D226C7" w:rsidP="00975582">
            <w:pPr>
              <w:pStyle w:val="Tabletext"/>
            </w:pPr>
            <w:r w:rsidRPr="00D226C7">
              <w:t>▲0.23</w:t>
            </w:r>
          </w:p>
        </w:tc>
        <w:tc>
          <w:tcPr>
            <w:tcW w:w="1701" w:type="dxa"/>
          </w:tcPr>
          <w:p w:rsidR="00D226C7" w:rsidRPr="00D42745" w:rsidRDefault="00D226C7" w:rsidP="00975582">
            <w:pPr>
              <w:pStyle w:val="Tabletext"/>
            </w:pPr>
            <w:r w:rsidRPr="00D42745">
              <w:t>0.43</w:t>
            </w:r>
          </w:p>
        </w:tc>
        <w:tc>
          <w:tcPr>
            <w:tcW w:w="1701" w:type="dxa"/>
          </w:tcPr>
          <w:p w:rsidR="00D226C7" w:rsidRPr="00D226C7" w:rsidRDefault="00D226C7" w:rsidP="00975582">
            <w:pPr>
              <w:pStyle w:val="Tabletext"/>
            </w:pPr>
            <w:r w:rsidRPr="00D226C7">
              <w:t>▲0.14</w:t>
            </w:r>
          </w:p>
        </w:tc>
      </w:tr>
      <w:tr w:rsidR="00D226C7" w:rsidRPr="00D42745" w:rsidTr="00D226C7">
        <w:trPr>
          <w:trHeight w:hRule="exact" w:val="312"/>
        </w:trPr>
        <w:tc>
          <w:tcPr>
            <w:tcW w:w="2268" w:type="dxa"/>
          </w:tcPr>
          <w:p w:rsidR="00D226C7" w:rsidRPr="00D226C7" w:rsidRDefault="00D226C7" w:rsidP="00975582">
            <w:pPr>
              <w:pStyle w:val="Tabletext"/>
            </w:pPr>
            <w:r w:rsidRPr="00D226C7">
              <w:t>Click Energy</w:t>
            </w:r>
          </w:p>
        </w:tc>
        <w:tc>
          <w:tcPr>
            <w:tcW w:w="1701" w:type="dxa"/>
          </w:tcPr>
          <w:p w:rsidR="00D226C7" w:rsidRPr="00D42745" w:rsidRDefault="00D226C7" w:rsidP="00975582">
            <w:pPr>
              <w:pStyle w:val="Tabletext"/>
            </w:pPr>
            <w:r w:rsidRPr="00D42745">
              <w:t>0.13</w:t>
            </w:r>
          </w:p>
        </w:tc>
        <w:tc>
          <w:tcPr>
            <w:tcW w:w="1701" w:type="dxa"/>
          </w:tcPr>
          <w:p w:rsidR="00D226C7" w:rsidRPr="00D226C7" w:rsidRDefault="00D226C7" w:rsidP="00975582">
            <w:pPr>
              <w:pStyle w:val="Tabletext"/>
            </w:pPr>
            <w:r w:rsidRPr="00D226C7">
              <w:t>▲0.13</w:t>
            </w:r>
          </w:p>
        </w:tc>
        <w:tc>
          <w:tcPr>
            <w:tcW w:w="1701" w:type="dxa"/>
          </w:tcPr>
          <w:p w:rsidR="00D226C7" w:rsidRPr="00D42745" w:rsidRDefault="00D226C7" w:rsidP="00975582">
            <w:pPr>
              <w:pStyle w:val="Tabletext"/>
            </w:pPr>
            <w:r w:rsidRPr="00D42745">
              <w:t>-</w:t>
            </w:r>
          </w:p>
        </w:tc>
        <w:tc>
          <w:tcPr>
            <w:tcW w:w="1701" w:type="dxa"/>
          </w:tcPr>
          <w:p w:rsidR="00D226C7" w:rsidRPr="00D42745" w:rsidRDefault="00D226C7" w:rsidP="00975582">
            <w:pPr>
              <w:pStyle w:val="Tabletext"/>
            </w:pPr>
            <w:r w:rsidRPr="00D42745">
              <w:t>-</w:t>
            </w:r>
          </w:p>
        </w:tc>
      </w:tr>
      <w:tr w:rsidR="00D226C7" w:rsidRPr="00D42745" w:rsidTr="00D226C7">
        <w:trPr>
          <w:trHeight w:hRule="exact" w:val="312"/>
        </w:trPr>
        <w:tc>
          <w:tcPr>
            <w:tcW w:w="2268" w:type="dxa"/>
          </w:tcPr>
          <w:p w:rsidR="00D226C7" w:rsidRPr="00D226C7" w:rsidRDefault="00D226C7" w:rsidP="00975582">
            <w:pPr>
              <w:pStyle w:val="Tabletext"/>
            </w:pPr>
            <w:r w:rsidRPr="00D226C7">
              <w:t>CovaU</w:t>
            </w:r>
          </w:p>
        </w:tc>
        <w:tc>
          <w:tcPr>
            <w:tcW w:w="1701" w:type="dxa"/>
          </w:tcPr>
          <w:p w:rsidR="00D226C7" w:rsidRPr="00D42745" w:rsidRDefault="00D226C7" w:rsidP="00975582">
            <w:pPr>
              <w:pStyle w:val="Tabletext"/>
            </w:pPr>
            <w:r w:rsidRPr="00D42745">
              <w:t>0.07</w:t>
            </w:r>
          </w:p>
        </w:tc>
        <w:tc>
          <w:tcPr>
            <w:tcW w:w="1701" w:type="dxa"/>
          </w:tcPr>
          <w:p w:rsidR="00D226C7" w:rsidRPr="00D226C7" w:rsidRDefault="00D226C7" w:rsidP="00975582">
            <w:pPr>
              <w:pStyle w:val="Tabletext"/>
            </w:pPr>
            <w:r w:rsidRPr="00D226C7">
              <w:t>▲0.07</w:t>
            </w:r>
          </w:p>
        </w:tc>
        <w:tc>
          <w:tcPr>
            <w:tcW w:w="1701" w:type="dxa"/>
          </w:tcPr>
          <w:p w:rsidR="00D226C7" w:rsidRPr="00D42745" w:rsidRDefault="00D226C7" w:rsidP="00975582">
            <w:pPr>
              <w:pStyle w:val="Tabletext"/>
            </w:pPr>
            <w:r w:rsidRPr="00D42745">
              <w:t>0.00</w:t>
            </w:r>
          </w:p>
        </w:tc>
        <w:tc>
          <w:tcPr>
            <w:tcW w:w="1701" w:type="dxa"/>
          </w:tcPr>
          <w:p w:rsidR="00D226C7" w:rsidRPr="00D42745" w:rsidRDefault="00D226C7" w:rsidP="00975582">
            <w:pPr>
              <w:pStyle w:val="Tabletext"/>
            </w:pPr>
            <w:r w:rsidRPr="00D42745">
              <w:t>-</w:t>
            </w:r>
          </w:p>
        </w:tc>
      </w:tr>
      <w:tr w:rsidR="00D226C7" w:rsidRPr="00D42745" w:rsidTr="00D226C7">
        <w:trPr>
          <w:trHeight w:hRule="exact" w:val="312"/>
        </w:trPr>
        <w:tc>
          <w:tcPr>
            <w:tcW w:w="2268" w:type="dxa"/>
          </w:tcPr>
          <w:p w:rsidR="00D226C7" w:rsidRPr="00D226C7" w:rsidRDefault="00D226C7" w:rsidP="00975582">
            <w:pPr>
              <w:pStyle w:val="Tabletext"/>
            </w:pPr>
            <w:r w:rsidRPr="00D226C7">
              <w:t>Diamond Energy</w:t>
            </w:r>
          </w:p>
        </w:tc>
        <w:tc>
          <w:tcPr>
            <w:tcW w:w="1701" w:type="dxa"/>
          </w:tcPr>
          <w:p w:rsidR="00D226C7" w:rsidRPr="00D42745" w:rsidRDefault="00D226C7" w:rsidP="00975582">
            <w:pPr>
              <w:pStyle w:val="Tabletext"/>
            </w:pPr>
            <w:r w:rsidRPr="00D42745">
              <w:t>0.07</w:t>
            </w:r>
          </w:p>
        </w:tc>
        <w:tc>
          <w:tcPr>
            <w:tcW w:w="1701" w:type="dxa"/>
          </w:tcPr>
          <w:p w:rsidR="00D226C7" w:rsidRPr="00D226C7" w:rsidRDefault="00D226C7" w:rsidP="00975582">
            <w:pPr>
              <w:pStyle w:val="Tabletext"/>
            </w:pPr>
            <w:r w:rsidRPr="00D226C7">
              <w:t>▲0.07</w:t>
            </w:r>
          </w:p>
        </w:tc>
        <w:tc>
          <w:tcPr>
            <w:tcW w:w="1701" w:type="dxa"/>
          </w:tcPr>
          <w:p w:rsidR="00D226C7" w:rsidRPr="00D42745" w:rsidRDefault="00D226C7" w:rsidP="00975582">
            <w:pPr>
              <w:pStyle w:val="Tabletext"/>
            </w:pPr>
            <w:r w:rsidRPr="00D42745">
              <w:t>-</w:t>
            </w:r>
          </w:p>
        </w:tc>
        <w:tc>
          <w:tcPr>
            <w:tcW w:w="1701" w:type="dxa"/>
          </w:tcPr>
          <w:p w:rsidR="00D226C7" w:rsidRPr="00D42745" w:rsidRDefault="00D226C7" w:rsidP="00975582">
            <w:pPr>
              <w:pStyle w:val="Tabletext"/>
            </w:pPr>
            <w:r w:rsidRPr="00D42745">
              <w:t>-</w:t>
            </w:r>
          </w:p>
        </w:tc>
      </w:tr>
      <w:tr w:rsidR="00D226C7" w:rsidRPr="00D42745" w:rsidTr="00D226C7">
        <w:trPr>
          <w:trHeight w:hRule="exact" w:val="312"/>
        </w:trPr>
        <w:tc>
          <w:tcPr>
            <w:tcW w:w="2268" w:type="dxa"/>
          </w:tcPr>
          <w:p w:rsidR="00D226C7" w:rsidRPr="00D226C7" w:rsidRDefault="00D226C7" w:rsidP="00975582">
            <w:pPr>
              <w:pStyle w:val="Tabletext"/>
            </w:pPr>
            <w:r w:rsidRPr="00D226C7">
              <w:t>EnergyAustralia</w:t>
            </w:r>
          </w:p>
        </w:tc>
        <w:tc>
          <w:tcPr>
            <w:tcW w:w="1701" w:type="dxa"/>
          </w:tcPr>
          <w:p w:rsidR="00D226C7" w:rsidRPr="00D42745" w:rsidRDefault="00D226C7" w:rsidP="00975582">
            <w:pPr>
              <w:pStyle w:val="Tabletext"/>
            </w:pPr>
            <w:r w:rsidRPr="00D42745">
              <w:t>0.56</w:t>
            </w:r>
          </w:p>
        </w:tc>
        <w:tc>
          <w:tcPr>
            <w:tcW w:w="1701" w:type="dxa"/>
          </w:tcPr>
          <w:p w:rsidR="00D226C7" w:rsidRPr="00D226C7" w:rsidRDefault="00D226C7" w:rsidP="00975582">
            <w:pPr>
              <w:pStyle w:val="Tabletext"/>
            </w:pPr>
            <w:r w:rsidRPr="00D226C7">
              <w:t>▲0.17</w:t>
            </w:r>
          </w:p>
        </w:tc>
        <w:tc>
          <w:tcPr>
            <w:tcW w:w="1701" w:type="dxa"/>
          </w:tcPr>
          <w:p w:rsidR="00D226C7" w:rsidRPr="00D42745" w:rsidRDefault="00D226C7" w:rsidP="00975582">
            <w:pPr>
              <w:pStyle w:val="Tabletext"/>
            </w:pPr>
            <w:r w:rsidRPr="00D42745">
              <w:t>0.16</w:t>
            </w:r>
          </w:p>
        </w:tc>
        <w:tc>
          <w:tcPr>
            <w:tcW w:w="1701" w:type="dxa"/>
          </w:tcPr>
          <w:p w:rsidR="00D226C7" w:rsidRPr="00D226C7" w:rsidRDefault="00D226C7" w:rsidP="00975582">
            <w:pPr>
              <w:pStyle w:val="Tabletext"/>
            </w:pPr>
            <w:r w:rsidRPr="00D226C7">
              <w:t>▼0.21</w:t>
            </w:r>
          </w:p>
        </w:tc>
      </w:tr>
      <w:tr w:rsidR="00D226C7" w:rsidRPr="00D42745" w:rsidTr="00D226C7">
        <w:trPr>
          <w:trHeight w:hRule="exact" w:val="312"/>
        </w:trPr>
        <w:tc>
          <w:tcPr>
            <w:tcW w:w="2268" w:type="dxa"/>
          </w:tcPr>
          <w:p w:rsidR="00D226C7" w:rsidRPr="00D226C7" w:rsidRDefault="00D226C7" w:rsidP="00975582">
            <w:pPr>
              <w:pStyle w:val="Tabletext"/>
            </w:pPr>
            <w:r w:rsidRPr="00D226C7">
              <w:t>Lumo Energy</w:t>
            </w:r>
          </w:p>
        </w:tc>
        <w:tc>
          <w:tcPr>
            <w:tcW w:w="1701" w:type="dxa"/>
          </w:tcPr>
          <w:p w:rsidR="00D226C7" w:rsidRPr="00D42745" w:rsidRDefault="00D226C7" w:rsidP="00975582">
            <w:pPr>
              <w:pStyle w:val="Tabletext"/>
            </w:pPr>
            <w:r w:rsidRPr="00D42745">
              <w:t>0.36</w:t>
            </w:r>
          </w:p>
        </w:tc>
        <w:tc>
          <w:tcPr>
            <w:tcW w:w="1701" w:type="dxa"/>
          </w:tcPr>
          <w:p w:rsidR="00D226C7" w:rsidRPr="00D226C7" w:rsidRDefault="00D226C7" w:rsidP="00975582">
            <w:pPr>
              <w:pStyle w:val="Tabletext"/>
            </w:pPr>
            <w:r w:rsidRPr="00D226C7">
              <w:t>▼0.10</w:t>
            </w:r>
          </w:p>
        </w:tc>
        <w:tc>
          <w:tcPr>
            <w:tcW w:w="1701" w:type="dxa"/>
          </w:tcPr>
          <w:p w:rsidR="00D226C7" w:rsidRPr="00D42745" w:rsidRDefault="00D226C7" w:rsidP="00975582">
            <w:pPr>
              <w:pStyle w:val="Tabletext"/>
            </w:pPr>
            <w:r w:rsidRPr="00D42745">
              <w:t>0.26</w:t>
            </w:r>
          </w:p>
        </w:tc>
        <w:tc>
          <w:tcPr>
            <w:tcW w:w="1701" w:type="dxa"/>
          </w:tcPr>
          <w:p w:rsidR="00D226C7" w:rsidRPr="00D226C7" w:rsidRDefault="00D226C7" w:rsidP="00975582">
            <w:pPr>
              <w:pStyle w:val="Tabletext"/>
            </w:pPr>
            <w:r w:rsidRPr="00D226C7">
              <w:t>▼0.09</w:t>
            </w:r>
          </w:p>
        </w:tc>
      </w:tr>
      <w:tr w:rsidR="00D226C7" w:rsidRPr="00D42745" w:rsidTr="00D226C7">
        <w:trPr>
          <w:trHeight w:hRule="exact" w:val="312"/>
        </w:trPr>
        <w:tc>
          <w:tcPr>
            <w:tcW w:w="2268" w:type="dxa"/>
          </w:tcPr>
          <w:p w:rsidR="00D226C7" w:rsidRPr="00D226C7" w:rsidRDefault="00D226C7" w:rsidP="00975582">
            <w:pPr>
              <w:pStyle w:val="Tabletext"/>
            </w:pPr>
            <w:r w:rsidRPr="00D226C7">
              <w:t>M2 Energy</w:t>
            </w:r>
          </w:p>
        </w:tc>
        <w:tc>
          <w:tcPr>
            <w:tcW w:w="1701" w:type="dxa"/>
          </w:tcPr>
          <w:p w:rsidR="00D226C7" w:rsidRPr="00D42745" w:rsidRDefault="00D226C7" w:rsidP="00975582">
            <w:pPr>
              <w:pStyle w:val="Tabletext"/>
            </w:pPr>
            <w:r w:rsidRPr="00D42745">
              <w:t>1.28</w:t>
            </w:r>
          </w:p>
        </w:tc>
        <w:tc>
          <w:tcPr>
            <w:tcW w:w="1701" w:type="dxa"/>
          </w:tcPr>
          <w:p w:rsidR="00D226C7" w:rsidRPr="00D226C7" w:rsidRDefault="00D226C7" w:rsidP="00975582">
            <w:pPr>
              <w:pStyle w:val="Tabletext"/>
            </w:pPr>
            <w:r w:rsidRPr="00D226C7">
              <w:t>▲0.15</w:t>
            </w:r>
          </w:p>
        </w:tc>
        <w:tc>
          <w:tcPr>
            <w:tcW w:w="1701" w:type="dxa"/>
          </w:tcPr>
          <w:p w:rsidR="00D226C7" w:rsidRPr="00D42745" w:rsidRDefault="00D226C7" w:rsidP="00975582">
            <w:pPr>
              <w:pStyle w:val="Tabletext"/>
            </w:pPr>
            <w:r w:rsidRPr="00D42745">
              <w:t>0.00</w:t>
            </w:r>
          </w:p>
        </w:tc>
        <w:tc>
          <w:tcPr>
            <w:tcW w:w="1701" w:type="dxa"/>
          </w:tcPr>
          <w:p w:rsidR="00D226C7" w:rsidRPr="00D42745" w:rsidRDefault="00D226C7" w:rsidP="00975582">
            <w:pPr>
              <w:pStyle w:val="Tabletext"/>
            </w:pPr>
            <w:r w:rsidRPr="00D42745">
              <w:t>-</w:t>
            </w:r>
          </w:p>
        </w:tc>
      </w:tr>
      <w:tr w:rsidR="00D226C7" w:rsidRPr="00D42745" w:rsidTr="00D226C7">
        <w:trPr>
          <w:trHeight w:hRule="exact" w:val="312"/>
        </w:trPr>
        <w:tc>
          <w:tcPr>
            <w:tcW w:w="2268" w:type="dxa"/>
          </w:tcPr>
          <w:p w:rsidR="00D226C7" w:rsidRPr="00D226C7" w:rsidRDefault="00D226C7" w:rsidP="00975582">
            <w:pPr>
              <w:pStyle w:val="Tabletext"/>
            </w:pPr>
            <w:r w:rsidRPr="00D226C7">
              <w:t>Momentum Energy</w:t>
            </w:r>
          </w:p>
        </w:tc>
        <w:tc>
          <w:tcPr>
            <w:tcW w:w="1701" w:type="dxa"/>
          </w:tcPr>
          <w:p w:rsidR="00D226C7" w:rsidRPr="00D42745" w:rsidRDefault="00D226C7" w:rsidP="00975582">
            <w:pPr>
              <w:pStyle w:val="Tabletext"/>
            </w:pPr>
            <w:r w:rsidRPr="00D42745">
              <w:t>2.05</w:t>
            </w:r>
          </w:p>
        </w:tc>
        <w:tc>
          <w:tcPr>
            <w:tcW w:w="1701" w:type="dxa"/>
          </w:tcPr>
          <w:p w:rsidR="00D226C7" w:rsidRPr="00D226C7" w:rsidRDefault="00D226C7" w:rsidP="00975582">
            <w:pPr>
              <w:pStyle w:val="Tabletext"/>
            </w:pPr>
            <w:r w:rsidRPr="00D226C7">
              <w:t>▲1.83</w:t>
            </w:r>
          </w:p>
        </w:tc>
        <w:tc>
          <w:tcPr>
            <w:tcW w:w="1701" w:type="dxa"/>
          </w:tcPr>
          <w:p w:rsidR="00D226C7" w:rsidRPr="00D42745" w:rsidRDefault="00D226C7" w:rsidP="00975582">
            <w:pPr>
              <w:pStyle w:val="Tabletext"/>
            </w:pPr>
            <w:r w:rsidRPr="00D42745">
              <w:t>-</w:t>
            </w:r>
          </w:p>
        </w:tc>
        <w:tc>
          <w:tcPr>
            <w:tcW w:w="1701" w:type="dxa"/>
          </w:tcPr>
          <w:p w:rsidR="00D226C7" w:rsidRPr="00D42745" w:rsidRDefault="00D226C7" w:rsidP="00975582">
            <w:pPr>
              <w:pStyle w:val="Tabletext"/>
            </w:pPr>
            <w:r w:rsidRPr="00D42745">
              <w:t>-</w:t>
            </w:r>
          </w:p>
        </w:tc>
      </w:tr>
      <w:tr w:rsidR="00D226C7" w:rsidRPr="00D42745" w:rsidTr="00D226C7">
        <w:trPr>
          <w:trHeight w:hRule="exact" w:val="312"/>
        </w:trPr>
        <w:tc>
          <w:tcPr>
            <w:tcW w:w="2268" w:type="dxa"/>
          </w:tcPr>
          <w:p w:rsidR="00D226C7" w:rsidRPr="00D226C7" w:rsidRDefault="00D226C7" w:rsidP="00975582">
            <w:pPr>
              <w:pStyle w:val="Tabletext"/>
            </w:pPr>
            <w:r w:rsidRPr="00D226C7">
              <w:t>Origin Energy</w:t>
            </w:r>
          </w:p>
        </w:tc>
        <w:tc>
          <w:tcPr>
            <w:tcW w:w="1701" w:type="dxa"/>
          </w:tcPr>
          <w:p w:rsidR="00D226C7" w:rsidRPr="00D42745" w:rsidRDefault="00D226C7" w:rsidP="00975582">
            <w:pPr>
              <w:pStyle w:val="Tabletext"/>
            </w:pPr>
            <w:r w:rsidRPr="00D42745">
              <w:t>0.77</w:t>
            </w:r>
          </w:p>
        </w:tc>
        <w:tc>
          <w:tcPr>
            <w:tcW w:w="1701" w:type="dxa"/>
          </w:tcPr>
          <w:p w:rsidR="00D226C7" w:rsidRPr="00D226C7" w:rsidRDefault="00D226C7" w:rsidP="00975582">
            <w:pPr>
              <w:pStyle w:val="Tabletext"/>
            </w:pPr>
            <w:r w:rsidRPr="00D226C7">
              <w:t>●</w:t>
            </w:r>
          </w:p>
        </w:tc>
        <w:tc>
          <w:tcPr>
            <w:tcW w:w="1701" w:type="dxa"/>
          </w:tcPr>
          <w:p w:rsidR="00D226C7" w:rsidRPr="00D42745" w:rsidRDefault="00D226C7" w:rsidP="00975582">
            <w:pPr>
              <w:pStyle w:val="Tabletext"/>
            </w:pPr>
            <w:r w:rsidRPr="00D42745">
              <w:t>0.35</w:t>
            </w:r>
          </w:p>
        </w:tc>
        <w:tc>
          <w:tcPr>
            <w:tcW w:w="1701" w:type="dxa"/>
          </w:tcPr>
          <w:p w:rsidR="00D226C7" w:rsidRPr="00D226C7" w:rsidRDefault="00D226C7" w:rsidP="00975582">
            <w:pPr>
              <w:pStyle w:val="Tabletext"/>
            </w:pPr>
            <w:r w:rsidRPr="00D226C7">
              <w:t>●</w:t>
            </w:r>
          </w:p>
        </w:tc>
      </w:tr>
      <w:tr w:rsidR="00D226C7" w:rsidRPr="00D42745" w:rsidTr="00D226C7">
        <w:trPr>
          <w:trHeight w:hRule="exact" w:val="312"/>
        </w:trPr>
        <w:tc>
          <w:tcPr>
            <w:tcW w:w="2268" w:type="dxa"/>
          </w:tcPr>
          <w:p w:rsidR="00D226C7" w:rsidRPr="00D226C7" w:rsidRDefault="00D226C7" w:rsidP="00975582">
            <w:pPr>
              <w:pStyle w:val="Tabletext"/>
            </w:pPr>
            <w:r w:rsidRPr="00D226C7">
              <w:t>Powerdirect</w:t>
            </w:r>
          </w:p>
        </w:tc>
        <w:tc>
          <w:tcPr>
            <w:tcW w:w="1701" w:type="dxa"/>
          </w:tcPr>
          <w:p w:rsidR="00D226C7" w:rsidRPr="00D42745" w:rsidRDefault="00D226C7" w:rsidP="00975582">
            <w:pPr>
              <w:pStyle w:val="Tabletext"/>
            </w:pPr>
            <w:r w:rsidRPr="00D42745">
              <w:t>0.49</w:t>
            </w:r>
          </w:p>
        </w:tc>
        <w:tc>
          <w:tcPr>
            <w:tcW w:w="1701" w:type="dxa"/>
          </w:tcPr>
          <w:p w:rsidR="00D226C7" w:rsidRPr="00D226C7" w:rsidRDefault="00D226C7" w:rsidP="00975582">
            <w:pPr>
              <w:pStyle w:val="Tabletext"/>
            </w:pPr>
            <w:r w:rsidRPr="00D226C7">
              <w:t>▲0.32</w:t>
            </w:r>
          </w:p>
        </w:tc>
        <w:tc>
          <w:tcPr>
            <w:tcW w:w="1701" w:type="dxa"/>
          </w:tcPr>
          <w:p w:rsidR="00D226C7" w:rsidRPr="00D42745" w:rsidRDefault="00D226C7" w:rsidP="00975582">
            <w:pPr>
              <w:pStyle w:val="Tabletext"/>
            </w:pPr>
            <w:r w:rsidRPr="00D42745">
              <w:t>-</w:t>
            </w:r>
          </w:p>
        </w:tc>
        <w:tc>
          <w:tcPr>
            <w:tcW w:w="1701" w:type="dxa"/>
          </w:tcPr>
          <w:p w:rsidR="00D226C7" w:rsidRPr="00D42745" w:rsidRDefault="00D226C7" w:rsidP="00975582">
            <w:pPr>
              <w:pStyle w:val="Tabletext"/>
            </w:pPr>
            <w:r w:rsidRPr="00D42745">
              <w:t>-</w:t>
            </w:r>
          </w:p>
        </w:tc>
      </w:tr>
      <w:tr w:rsidR="00D226C7" w:rsidRPr="00D42745" w:rsidTr="00D226C7">
        <w:trPr>
          <w:trHeight w:hRule="exact" w:val="312"/>
        </w:trPr>
        <w:tc>
          <w:tcPr>
            <w:tcW w:w="2268" w:type="dxa"/>
          </w:tcPr>
          <w:p w:rsidR="00D226C7" w:rsidRPr="00D226C7" w:rsidRDefault="00D226C7" w:rsidP="00975582">
            <w:pPr>
              <w:pStyle w:val="Tabletext"/>
            </w:pPr>
            <w:r w:rsidRPr="00D226C7">
              <w:t>QEnergy</w:t>
            </w:r>
          </w:p>
        </w:tc>
        <w:tc>
          <w:tcPr>
            <w:tcW w:w="1701" w:type="dxa"/>
          </w:tcPr>
          <w:p w:rsidR="00D226C7" w:rsidRPr="00D42745" w:rsidRDefault="00D226C7" w:rsidP="00975582">
            <w:pPr>
              <w:pStyle w:val="Tabletext"/>
            </w:pPr>
            <w:r w:rsidRPr="00D42745">
              <w:t>1.82</w:t>
            </w:r>
          </w:p>
        </w:tc>
        <w:tc>
          <w:tcPr>
            <w:tcW w:w="1701" w:type="dxa"/>
          </w:tcPr>
          <w:p w:rsidR="00D226C7" w:rsidRPr="00D226C7" w:rsidRDefault="00D226C7" w:rsidP="00975582">
            <w:pPr>
              <w:pStyle w:val="Tabletext"/>
            </w:pPr>
            <w:r w:rsidRPr="00D226C7">
              <w:t>▼0.21</w:t>
            </w:r>
          </w:p>
        </w:tc>
        <w:tc>
          <w:tcPr>
            <w:tcW w:w="1701" w:type="dxa"/>
          </w:tcPr>
          <w:p w:rsidR="00D226C7" w:rsidRPr="00D42745" w:rsidRDefault="00D226C7" w:rsidP="00975582">
            <w:pPr>
              <w:pStyle w:val="Tabletext"/>
            </w:pPr>
            <w:r w:rsidRPr="00D42745">
              <w:t>-</w:t>
            </w:r>
          </w:p>
        </w:tc>
        <w:tc>
          <w:tcPr>
            <w:tcW w:w="1701" w:type="dxa"/>
          </w:tcPr>
          <w:p w:rsidR="00D226C7" w:rsidRPr="00D42745" w:rsidRDefault="00D226C7" w:rsidP="00975582">
            <w:pPr>
              <w:pStyle w:val="Tabletext"/>
            </w:pPr>
            <w:r w:rsidRPr="00D42745">
              <w:t>-</w:t>
            </w:r>
          </w:p>
        </w:tc>
      </w:tr>
      <w:tr w:rsidR="00D226C7" w:rsidRPr="00D42745" w:rsidTr="00D226C7">
        <w:trPr>
          <w:trHeight w:hRule="exact" w:val="312"/>
        </w:trPr>
        <w:tc>
          <w:tcPr>
            <w:tcW w:w="2268" w:type="dxa"/>
          </w:tcPr>
          <w:p w:rsidR="00D226C7" w:rsidRPr="00D226C7" w:rsidRDefault="00D226C7" w:rsidP="00975582">
            <w:pPr>
              <w:pStyle w:val="Tabletext"/>
            </w:pPr>
            <w:r w:rsidRPr="00D226C7">
              <w:t>Red Energy</w:t>
            </w:r>
          </w:p>
        </w:tc>
        <w:tc>
          <w:tcPr>
            <w:tcW w:w="1701" w:type="dxa"/>
          </w:tcPr>
          <w:p w:rsidR="00D226C7" w:rsidRPr="00D42745" w:rsidRDefault="00D226C7" w:rsidP="00975582">
            <w:pPr>
              <w:pStyle w:val="Tabletext"/>
            </w:pPr>
            <w:r w:rsidRPr="00D42745">
              <w:t>0.45</w:t>
            </w:r>
          </w:p>
        </w:tc>
        <w:tc>
          <w:tcPr>
            <w:tcW w:w="1701" w:type="dxa"/>
          </w:tcPr>
          <w:p w:rsidR="00D226C7" w:rsidRPr="00D226C7" w:rsidRDefault="00D226C7" w:rsidP="00975582">
            <w:pPr>
              <w:pStyle w:val="Tabletext"/>
            </w:pPr>
            <w:r w:rsidRPr="00D226C7">
              <w:t>▼0.31</w:t>
            </w:r>
          </w:p>
        </w:tc>
        <w:tc>
          <w:tcPr>
            <w:tcW w:w="1701" w:type="dxa"/>
          </w:tcPr>
          <w:p w:rsidR="00D226C7" w:rsidRPr="00D42745" w:rsidRDefault="00D226C7" w:rsidP="00975582">
            <w:pPr>
              <w:pStyle w:val="Tabletext"/>
            </w:pPr>
            <w:r w:rsidRPr="00D42745">
              <w:t>-</w:t>
            </w:r>
          </w:p>
        </w:tc>
        <w:tc>
          <w:tcPr>
            <w:tcW w:w="1701" w:type="dxa"/>
          </w:tcPr>
          <w:p w:rsidR="00D226C7" w:rsidRPr="00D42745" w:rsidRDefault="00D226C7" w:rsidP="00975582">
            <w:pPr>
              <w:pStyle w:val="Tabletext"/>
            </w:pPr>
            <w:r w:rsidRPr="00D42745">
              <w:t>-</w:t>
            </w:r>
          </w:p>
        </w:tc>
      </w:tr>
      <w:tr w:rsidR="00D226C7" w:rsidRPr="00D42745" w:rsidTr="00D226C7">
        <w:trPr>
          <w:trHeight w:hRule="exact" w:val="312"/>
        </w:trPr>
        <w:tc>
          <w:tcPr>
            <w:tcW w:w="2268" w:type="dxa"/>
          </w:tcPr>
          <w:p w:rsidR="00D226C7" w:rsidRPr="00D226C7" w:rsidRDefault="00D226C7" w:rsidP="00975582">
            <w:pPr>
              <w:pStyle w:val="Tabletext"/>
            </w:pPr>
            <w:r w:rsidRPr="00D226C7">
              <w:t>Sanctuary Energy</w:t>
            </w:r>
          </w:p>
        </w:tc>
        <w:tc>
          <w:tcPr>
            <w:tcW w:w="1701" w:type="dxa"/>
          </w:tcPr>
          <w:p w:rsidR="00D226C7" w:rsidRPr="00D42745" w:rsidRDefault="00D226C7" w:rsidP="00975582">
            <w:pPr>
              <w:pStyle w:val="Tabletext"/>
            </w:pPr>
            <w:r w:rsidRPr="00D42745">
              <w:t>0.25</w:t>
            </w:r>
          </w:p>
        </w:tc>
        <w:tc>
          <w:tcPr>
            <w:tcW w:w="1701" w:type="dxa"/>
          </w:tcPr>
          <w:p w:rsidR="00D226C7" w:rsidRPr="00D226C7" w:rsidRDefault="00D226C7" w:rsidP="00975582">
            <w:pPr>
              <w:pStyle w:val="Tabletext"/>
            </w:pPr>
            <w:r w:rsidRPr="00D226C7">
              <w:t>▲0.25</w:t>
            </w:r>
          </w:p>
        </w:tc>
        <w:tc>
          <w:tcPr>
            <w:tcW w:w="1701" w:type="dxa"/>
          </w:tcPr>
          <w:p w:rsidR="00D226C7" w:rsidRPr="00D42745" w:rsidRDefault="00D226C7" w:rsidP="00975582">
            <w:pPr>
              <w:pStyle w:val="Tabletext"/>
            </w:pPr>
            <w:r w:rsidRPr="00D42745">
              <w:t>-</w:t>
            </w:r>
          </w:p>
        </w:tc>
        <w:tc>
          <w:tcPr>
            <w:tcW w:w="1701" w:type="dxa"/>
          </w:tcPr>
          <w:p w:rsidR="00D226C7" w:rsidRPr="00D42745" w:rsidRDefault="00D226C7" w:rsidP="00975582">
            <w:pPr>
              <w:pStyle w:val="Tabletext"/>
            </w:pPr>
            <w:r w:rsidRPr="00D42745">
              <w:t>-</w:t>
            </w:r>
          </w:p>
        </w:tc>
      </w:tr>
      <w:tr w:rsidR="00D226C7" w:rsidRPr="00D42745" w:rsidTr="00D226C7">
        <w:trPr>
          <w:trHeight w:hRule="exact" w:val="312"/>
        </w:trPr>
        <w:tc>
          <w:tcPr>
            <w:tcW w:w="2268" w:type="dxa"/>
          </w:tcPr>
          <w:p w:rsidR="00D226C7" w:rsidRPr="00D226C7" w:rsidRDefault="00D226C7" w:rsidP="00975582">
            <w:pPr>
              <w:pStyle w:val="Tabletext"/>
            </w:pPr>
            <w:r w:rsidRPr="00D226C7">
              <w:t>Simply Energy</w:t>
            </w:r>
          </w:p>
        </w:tc>
        <w:tc>
          <w:tcPr>
            <w:tcW w:w="1701" w:type="dxa"/>
          </w:tcPr>
          <w:p w:rsidR="00D226C7" w:rsidRPr="00D42745" w:rsidRDefault="00D226C7" w:rsidP="00975582">
            <w:pPr>
              <w:pStyle w:val="Tabletext"/>
            </w:pPr>
            <w:r w:rsidRPr="00D42745">
              <w:t>2.91</w:t>
            </w:r>
          </w:p>
        </w:tc>
        <w:tc>
          <w:tcPr>
            <w:tcW w:w="1701" w:type="dxa"/>
          </w:tcPr>
          <w:p w:rsidR="00D226C7" w:rsidRPr="00D226C7" w:rsidRDefault="00D226C7" w:rsidP="00975582">
            <w:pPr>
              <w:pStyle w:val="Tabletext"/>
            </w:pPr>
            <w:r w:rsidRPr="00D226C7">
              <w:t>▲2.63</w:t>
            </w:r>
          </w:p>
        </w:tc>
        <w:tc>
          <w:tcPr>
            <w:tcW w:w="1701" w:type="dxa"/>
          </w:tcPr>
          <w:p w:rsidR="00D226C7" w:rsidRPr="00D42745" w:rsidRDefault="00D226C7" w:rsidP="00975582">
            <w:pPr>
              <w:pStyle w:val="Tabletext"/>
            </w:pPr>
            <w:r w:rsidRPr="00D42745">
              <w:t>-</w:t>
            </w:r>
          </w:p>
        </w:tc>
        <w:tc>
          <w:tcPr>
            <w:tcW w:w="1701" w:type="dxa"/>
          </w:tcPr>
          <w:p w:rsidR="00D226C7" w:rsidRPr="00D42745" w:rsidRDefault="00D226C7" w:rsidP="00975582">
            <w:pPr>
              <w:pStyle w:val="Tabletext"/>
            </w:pPr>
            <w:r w:rsidRPr="00D42745">
              <w:t>-</w:t>
            </w:r>
          </w:p>
        </w:tc>
      </w:tr>
      <w:tr w:rsidR="00D226C7" w:rsidRPr="00D42745" w:rsidTr="00D226C7">
        <w:trPr>
          <w:trHeight w:hRule="exact" w:val="312"/>
        </w:trPr>
        <w:tc>
          <w:tcPr>
            <w:tcW w:w="2268" w:type="dxa"/>
            <w:shd w:val="clear" w:color="auto" w:fill="F2F2F2" w:themeFill="background1" w:themeFillShade="F2"/>
          </w:tcPr>
          <w:p w:rsidR="00D226C7" w:rsidRPr="006D4C8B" w:rsidRDefault="00D226C7" w:rsidP="00975582">
            <w:pPr>
              <w:pStyle w:val="Tabletext"/>
              <w:rPr>
                <w:rStyle w:val="Strong"/>
              </w:rPr>
            </w:pPr>
            <w:r w:rsidRPr="006D4C8B">
              <w:rPr>
                <w:rStyle w:val="Strong"/>
              </w:rPr>
              <w:t>TOTAL NSW</w:t>
            </w:r>
          </w:p>
        </w:tc>
        <w:tc>
          <w:tcPr>
            <w:tcW w:w="1701" w:type="dxa"/>
            <w:shd w:val="clear" w:color="auto" w:fill="F2F2F2" w:themeFill="background1" w:themeFillShade="F2"/>
          </w:tcPr>
          <w:p w:rsidR="00D226C7" w:rsidRPr="00F42CCB" w:rsidRDefault="00D226C7" w:rsidP="00975582">
            <w:pPr>
              <w:pStyle w:val="Tabletext"/>
              <w:rPr>
                <w:rStyle w:val="Strong"/>
              </w:rPr>
            </w:pPr>
            <w:r w:rsidRPr="00F42CCB">
              <w:rPr>
                <w:rStyle w:val="Strong"/>
              </w:rPr>
              <w:t>0.74</w:t>
            </w:r>
          </w:p>
        </w:tc>
        <w:tc>
          <w:tcPr>
            <w:tcW w:w="1701" w:type="dxa"/>
            <w:shd w:val="clear" w:color="auto" w:fill="F2F2F2" w:themeFill="background1" w:themeFillShade="F2"/>
          </w:tcPr>
          <w:p w:rsidR="00D226C7" w:rsidRPr="00F42CCB" w:rsidRDefault="00D226C7" w:rsidP="00975582">
            <w:pPr>
              <w:pStyle w:val="Tabletext"/>
              <w:rPr>
                <w:rStyle w:val="Strong"/>
              </w:rPr>
            </w:pPr>
            <w:r w:rsidRPr="00F42CCB">
              <w:rPr>
                <w:rStyle w:val="Strong"/>
              </w:rPr>
              <w:t>▲0.12</w:t>
            </w:r>
          </w:p>
        </w:tc>
        <w:tc>
          <w:tcPr>
            <w:tcW w:w="1701" w:type="dxa"/>
            <w:shd w:val="clear" w:color="auto" w:fill="F2F2F2" w:themeFill="background1" w:themeFillShade="F2"/>
          </w:tcPr>
          <w:p w:rsidR="00D226C7" w:rsidRPr="00F42CCB" w:rsidRDefault="00D226C7" w:rsidP="00975582">
            <w:pPr>
              <w:pStyle w:val="Tabletext"/>
              <w:rPr>
                <w:rStyle w:val="Strong"/>
              </w:rPr>
            </w:pPr>
            <w:r w:rsidRPr="00F42CCB">
              <w:rPr>
                <w:rStyle w:val="Strong"/>
              </w:rPr>
              <w:t>0.36</w:t>
            </w:r>
          </w:p>
        </w:tc>
        <w:tc>
          <w:tcPr>
            <w:tcW w:w="1701" w:type="dxa"/>
            <w:shd w:val="clear" w:color="auto" w:fill="F2F2F2" w:themeFill="background1" w:themeFillShade="F2"/>
          </w:tcPr>
          <w:p w:rsidR="00D226C7" w:rsidRPr="00F42CCB" w:rsidRDefault="00D226C7" w:rsidP="00975582">
            <w:pPr>
              <w:pStyle w:val="Tabletext"/>
              <w:rPr>
                <w:rStyle w:val="Strong"/>
              </w:rPr>
            </w:pPr>
            <w:r w:rsidRPr="00F42CCB">
              <w:rPr>
                <w:rStyle w:val="Strong"/>
              </w:rPr>
              <w:t>▲0.03</w:t>
            </w:r>
          </w:p>
        </w:tc>
      </w:tr>
    </w:tbl>
    <w:p w:rsidR="00D226C7" w:rsidRPr="00D226C7" w:rsidRDefault="00D226C7" w:rsidP="00734B0C">
      <w:pPr>
        <w:pStyle w:val="Note"/>
      </w:pPr>
      <w:r w:rsidRPr="00D226C7">
        <w:t>Note: Excludes retailers with zero customers on hardship programs.</w:t>
      </w:r>
    </w:p>
    <w:p w:rsidR="00D226C7" w:rsidRPr="00D226C7" w:rsidRDefault="00D226C7" w:rsidP="00D226C7">
      <w:r w:rsidRPr="00D226C7">
        <w:br w:type="page"/>
      </w:r>
    </w:p>
    <w:p w:rsidR="00D226C7" w:rsidRPr="00D226C7" w:rsidRDefault="00D226C7" w:rsidP="00D226C7">
      <w:r w:rsidRPr="00D42745">
        <w:lastRenderedPageBreak/>
        <w:t>Table 2.7 shows the proportion of customers on hards</w:t>
      </w:r>
      <w:r w:rsidRPr="00D226C7">
        <w:t xml:space="preserve">hip programs that also receive payment assistance through energy concessions. Only 41 per cent of electricity customers on hardship programs in South Australia receive concessions, whereas 81 per cent in Tasmania receive concessions. </w:t>
      </w:r>
      <w:r w:rsidR="006E5A69">
        <w:t>Chapter 3 of this report</w:t>
      </w:r>
      <w:r w:rsidRPr="00D226C7">
        <w:t xml:space="preserve"> discusses concession eligibility for each jurisdiction. </w:t>
      </w:r>
    </w:p>
    <w:p w:rsidR="00D226C7" w:rsidRPr="003E45F6" w:rsidRDefault="00D226C7" w:rsidP="00D226C7">
      <w:pPr>
        <w:pStyle w:val="Tabletitle"/>
      </w:pPr>
      <w:r w:rsidRPr="003E45F6">
        <w:t>Table 2.7: Concession customers on hardship programs (change since 2014)</w:t>
      </w:r>
    </w:p>
    <w:tbl>
      <w:tblPr>
        <w:tblW w:w="0" w:type="auto"/>
        <w:tblBorders>
          <w:top w:val="single" w:sz="4" w:space="0" w:color="BFBFBF" w:themeColor="background1" w:themeShade="BF"/>
          <w:bottom w:val="single" w:sz="4" w:space="0" w:color="BFBFBF" w:themeColor="background1" w:themeShade="BF"/>
          <w:insideH w:val="single" w:sz="4" w:space="0" w:color="auto"/>
        </w:tblBorders>
        <w:tblLook w:val="04A0" w:firstRow="1" w:lastRow="0" w:firstColumn="1" w:lastColumn="0" w:noHBand="0" w:noVBand="1"/>
      </w:tblPr>
      <w:tblGrid>
        <w:gridCol w:w="3080"/>
        <w:gridCol w:w="1540"/>
        <w:gridCol w:w="1541"/>
        <w:gridCol w:w="1540"/>
        <w:gridCol w:w="1541"/>
      </w:tblGrid>
      <w:tr w:rsidR="00D226C7" w:rsidRPr="00E92189" w:rsidTr="00D226C7">
        <w:tc>
          <w:tcPr>
            <w:tcW w:w="3080" w:type="dxa"/>
            <w:shd w:val="clear" w:color="auto" w:fill="F2F2F2" w:themeFill="background1" w:themeFillShade="F2"/>
          </w:tcPr>
          <w:p w:rsidR="00D226C7" w:rsidRPr="006D4C8B" w:rsidRDefault="00D226C7" w:rsidP="00E92189">
            <w:pPr>
              <w:pStyle w:val="Tabletext"/>
              <w:rPr>
                <w:rStyle w:val="Strong"/>
              </w:rPr>
            </w:pPr>
            <w:r w:rsidRPr="006D4C8B">
              <w:rPr>
                <w:rStyle w:val="Strong"/>
              </w:rPr>
              <w:t>Jurisdiction</w:t>
            </w:r>
          </w:p>
        </w:tc>
        <w:tc>
          <w:tcPr>
            <w:tcW w:w="3081" w:type="dxa"/>
            <w:gridSpan w:val="2"/>
            <w:shd w:val="clear" w:color="auto" w:fill="F2F2F2" w:themeFill="background1" w:themeFillShade="F2"/>
          </w:tcPr>
          <w:p w:rsidR="00D226C7" w:rsidRPr="006D4C8B" w:rsidRDefault="00D226C7" w:rsidP="00E92189">
            <w:pPr>
              <w:pStyle w:val="Tabletext"/>
              <w:rPr>
                <w:rStyle w:val="Strong"/>
              </w:rPr>
            </w:pPr>
            <w:r w:rsidRPr="006D4C8B">
              <w:rPr>
                <w:rStyle w:val="Strong"/>
              </w:rPr>
              <w:t>Electricity (% of customers on hardship programs)</w:t>
            </w:r>
          </w:p>
        </w:tc>
        <w:tc>
          <w:tcPr>
            <w:tcW w:w="3081" w:type="dxa"/>
            <w:gridSpan w:val="2"/>
            <w:shd w:val="clear" w:color="auto" w:fill="F2F2F2" w:themeFill="background1" w:themeFillShade="F2"/>
          </w:tcPr>
          <w:p w:rsidR="00D226C7" w:rsidRPr="006D4C8B" w:rsidRDefault="00D226C7" w:rsidP="006D4C8B">
            <w:pPr>
              <w:pStyle w:val="Tabletext"/>
              <w:rPr>
                <w:rStyle w:val="Strong"/>
              </w:rPr>
            </w:pPr>
            <w:r w:rsidRPr="006D4C8B">
              <w:rPr>
                <w:rStyle w:val="Strong"/>
              </w:rPr>
              <w:t>Gas (% of customers on hardship programs)</w:t>
            </w:r>
            <w:r w:rsidR="006D4C8B">
              <w:rPr>
                <w:rStyle w:val="FootnoteReference"/>
                <w:b/>
                <w:bCs/>
              </w:rPr>
              <w:footnoteReference w:id="17"/>
            </w:r>
          </w:p>
        </w:tc>
      </w:tr>
      <w:tr w:rsidR="00D226C7" w:rsidRPr="00E92189" w:rsidTr="00D226C7">
        <w:tc>
          <w:tcPr>
            <w:tcW w:w="3080" w:type="dxa"/>
          </w:tcPr>
          <w:p w:rsidR="00D226C7" w:rsidRPr="00E92189" w:rsidRDefault="00D226C7" w:rsidP="00E92189">
            <w:pPr>
              <w:pStyle w:val="Tabletext"/>
            </w:pPr>
            <w:r w:rsidRPr="00E92189">
              <w:t>South Australia</w:t>
            </w:r>
          </w:p>
        </w:tc>
        <w:tc>
          <w:tcPr>
            <w:tcW w:w="1540" w:type="dxa"/>
          </w:tcPr>
          <w:p w:rsidR="00D226C7" w:rsidRPr="00E92189" w:rsidRDefault="00D226C7" w:rsidP="00E92189">
            <w:pPr>
              <w:pStyle w:val="Tabletext"/>
            </w:pPr>
            <w:r w:rsidRPr="00E92189">
              <w:t>41%</w:t>
            </w:r>
          </w:p>
        </w:tc>
        <w:tc>
          <w:tcPr>
            <w:tcW w:w="1541" w:type="dxa"/>
          </w:tcPr>
          <w:p w:rsidR="00D226C7" w:rsidRPr="00E92189" w:rsidRDefault="00D226C7" w:rsidP="00E92189">
            <w:pPr>
              <w:pStyle w:val="Tabletext"/>
            </w:pPr>
            <w:r w:rsidRPr="00E92189">
              <w:t>▼3%</w:t>
            </w:r>
          </w:p>
        </w:tc>
        <w:tc>
          <w:tcPr>
            <w:tcW w:w="1540" w:type="dxa"/>
          </w:tcPr>
          <w:p w:rsidR="00D226C7" w:rsidRPr="00E92189" w:rsidRDefault="00D226C7" w:rsidP="00E92189">
            <w:pPr>
              <w:pStyle w:val="Tabletext"/>
            </w:pPr>
            <w:r w:rsidRPr="00E92189">
              <w:t>16%</w:t>
            </w:r>
          </w:p>
        </w:tc>
        <w:tc>
          <w:tcPr>
            <w:tcW w:w="1541" w:type="dxa"/>
          </w:tcPr>
          <w:p w:rsidR="00D226C7" w:rsidRPr="00E92189" w:rsidRDefault="00D226C7" w:rsidP="00E92189">
            <w:pPr>
              <w:pStyle w:val="Tabletext"/>
            </w:pPr>
            <w:r w:rsidRPr="00E92189">
              <w:t>▲5%</w:t>
            </w:r>
          </w:p>
        </w:tc>
      </w:tr>
      <w:tr w:rsidR="00D226C7" w:rsidRPr="00E92189" w:rsidTr="00D226C7">
        <w:tc>
          <w:tcPr>
            <w:tcW w:w="3080" w:type="dxa"/>
          </w:tcPr>
          <w:p w:rsidR="00D226C7" w:rsidRPr="00E92189" w:rsidRDefault="00D226C7" w:rsidP="00E92189">
            <w:pPr>
              <w:pStyle w:val="Tabletext"/>
            </w:pPr>
            <w:r w:rsidRPr="00E92189">
              <w:t>ACT</w:t>
            </w:r>
          </w:p>
        </w:tc>
        <w:tc>
          <w:tcPr>
            <w:tcW w:w="1540" w:type="dxa"/>
          </w:tcPr>
          <w:p w:rsidR="00D226C7" w:rsidRPr="00E92189" w:rsidRDefault="00D226C7" w:rsidP="00E92189">
            <w:pPr>
              <w:pStyle w:val="Tabletext"/>
            </w:pPr>
            <w:r w:rsidRPr="00E92189">
              <w:t>58%</w:t>
            </w:r>
          </w:p>
        </w:tc>
        <w:tc>
          <w:tcPr>
            <w:tcW w:w="1541" w:type="dxa"/>
          </w:tcPr>
          <w:p w:rsidR="00D226C7" w:rsidRPr="00E92189" w:rsidRDefault="00D226C7" w:rsidP="00E92189">
            <w:pPr>
              <w:pStyle w:val="Tabletext"/>
            </w:pPr>
            <w:r w:rsidRPr="00E92189">
              <w:t>▼2%</w:t>
            </w:r>
          </w:p>
        </w:tc>
        <w:tc>
          <w:tcPr>
            <w:tcW w:w="1540" w:type="dxa"/>
          </w:tcPr>
          <w:p w:rsidR="00D226C7" w:rsidRPr="00E92189" w:rsidRDefault="00D226C7" w:rsidP="00E92189">
            <w:pPr>
              <w:pStyle w:val="Tabletext"/>
            </w:pPr>
            <w:r w:rsidRPr="00E92189">
              <w:t>57%</w:t>
            </w:r>
          </w:p>
        </w:tc>
        <w:tc>
          <w:tcPr>
            <w:tcW w:w="1541" w:type="dxa"/>
          </w:tcPr>
          <w:p w:rsidR="00D226C7" w:rsidRPr="00E92189" w:rsidRDefault="00D226C7" w:rsidP="00E92189">
            <w:pPr>
              <w:pStyle w:val="Tabletext"/>
            </w:pPr>
            <w:r w:rsidRPr="00E92189">
              <w:t>▼2%</w:t>
            </w:r>
          </w:p>
        </w:tc>
      </w:tr>
      <w:tr w:rsidR="00D226C7" w:rsidRPr="00E92189" w:rsidTr="00D226C7">
        <w:tc>
          <w:tcPr>
            <w:tcW w:w="3080" w:type="dxa"/>
          </w:tcPr>
          <w:p w:rsidR="00D226C7" w:rsidRPr="00E92189" w:rsidRDefault="00D226C7" w:rsidP="00E92189">
            <w:pPr>
              <w:pStyle w:val="Tabletext"/>
            </w:pPr>
            <w:r w:rsidRPr="00E92189">
              <w:t>New South Wales</w:t>
            </w:r>
          </w:p>
        </w:tc>
        <w:tc>
          <w:tcPr>
            <w:tcW w:w="1540" w:type="dxa"/>
          </w:tcPr>
          <w:p w:rsidR="00D226C7" w:rsidRPr="00E92189" w:rsidRDefault="00D226C7" w:rsidP="00E92189">
            <w:pPr>
              <w:pStyle w:val="Tabletext"/>
            </w:pPr>
            <w:r w:rsidRPr="00E92189">
              <w:t>60%</w:t>
            </w:r>
          </w:p>
        </w:tc>
        <w:tc>
          <w:tcPr>
            <w:tcW w:w="1541" w:type="dxa"/>
          </w:tcPr>
          <w:p w:rsidR="00D226C7" w:rsidRPr="00E92189" w:rsidRDefault="00D226C7" w:rsidP="00E92189">
            <w:pPr>
              <w:pStyle w:val="Tabletext"/>
            </w:pPr>
            <w:r w:rsidRPr="00E92189">
              <w:t>▼11%</w:t>
            </w:r>
          </w:p>
        </w:tc>
        <w:tc>
          <w:tcPr>
            <w:tcW w:w="1540" w:type="dxa"/>
          </w:tcPr>
          <w:p w:rsidR="00D226C7" w:rsidRPr="00E92189" w:rsidRDefault="00D226C7" w:rsidP="00E92189">
            <w:pPr>
              <w:pStyle w:val="Tabletext"/>
            </w:pPr>
            <w:r w:rsidRPr="00E92189">
              <w:t>0%</w:t>
            </w:r>
          </w:p>
        </w:tc>
        <w:tc>
          <w:tcPr>
            <w:tcW w:w="1541" w:type="dxa"/>
          </w:tcPr>
          <w:p w:rsidR="00D226C7" w:rsidRPr="00E92189" w:rsidRDefault="00D226C7" w:rsidP="00E92189">
            <w:pPr>
              <w:pStyle w:val="Tabletext"/>
            </w:pPr>
            <w:r w:rsidRPr="00E92189">
              <w:t>-</w:t>
            </w:r>
          </w:p>
        </w:tc>
      </w:tr>
      <w:tr w:rsidR="00D226C7" w:rsidRPr="00E92189" w:rsidTr="00D226C7">
        <w:tc>
          <w:tcPr>
            <w:tcW w:w="3080" w:type="dxa"/>
          </w:tcPr>
          <w:p w:rsidR="00D226C7" w:rsidRPr="00E92189" w:rsidRDefault="00D226C7" w:rsidP="00E92189">
            <w:pPr>
              <w:pStyle w:val="Tabletext"/>
            </w:pPr>
            <w:r w:rsidRPr="00E92189">
              <w:t>Tasmania</w:t>
            </w:r>
          </w:p>
        </w:tc>
        <w:tc>
          <w:tcPr>
            <w:tcW w:w="1540" w:type="dxa"/>
          </w:tcPr>
          <w:p w:rsidR="00D226C7" w:rsidRPr="00E92189" w:rsidRDefault="00D226C7" w:rsidP="00E92189">
            <w:pPr>
              <w:pStyle w:val="Tabletext"/>
            </w:pPr>
            <w:r w:rsidRPr="00E92189">
              <w:t>81%</w:t>
            </w:r>
          </w:p>
        </w:tc>
        <w:tc>
          <w:tcPr>
            <w:tcW w:w="1541" w:type="dxa"/>
          </w:tcPr>
          <w:p w:rsidR="00D226C7" w:rsidRPr="00E92189" w:rsidRDefault="00D226C7" w:rsidP="00E92189">
            <w:pPr>
              <w:pStyle w:val="Tabletext"/>
            </w:pPr>
            <w:r w:rsidRPr="00E92189">
              <w:t>▲2%</w:t>
            </w:r>
          </w:p>
        </w:tc>
        <w:tc>
          <w:tcPr>
            <w:tcW w:w="1540" w:type="dxa"/>
          </w:tcPr>
          <w:p w:rsidR="00D226C7" w:rsidRPr="00E92189" w:rsidRDefault="00D226C7" w:rsidP="00E92189">
            <w:pPr>
              <w:pStyle w:val="Tabletext"/>
            </w:pPr>
            <w:r w:rsidRPr="00E92189">
              <w:t>-</w:t>
            </w:r>
          </w:p>
        </w:tc>
        <w:tc>
          <w:tcPr>
            <w:tcW w:w="1541" w:type="dxa"/>
          </w:tcPr>
          <w:p w:rsidR="00D226C7" w:rsidRPr="00E92189" w:rsidRDefault="00D226C7" w:rsidP="00E92189">
            <w:pPr>
              <w:pStyle w:val="Tabletext"/>
            </w:pPr>
            <w:r w:rsidRPr="00E92189">
              <w:t>-</w:t>
            </w:r>
          </w:p>
        </w:tc>
      </w:tr>
    </w:tbl>
    <w:p w:rsidR="00D226C7" w:rsidRPr="00D42745" w:rsidRDefault="00D226C7" w:rsidP="00D226C7">
      <w:pPr>
        <w:pStyle w:val="Heading3"/>
      </w:pPr>
      <w:bookmarkStart w:id="21" w:name="_Toc432765960"/>
      <w:bookmarkStart w:id="22" w:name="_Toc433026814"/>
      <w:r w:rsidRPr="00D42745">
        <w:t>Payment methods of hardship program customers</w:t>
      </w:r>
      <w:bookmarkEnd w:id="21"/>
      <w:bookmarkEnd w:id="22"/>
      <w:r w:rsidRPr="00D42745">
        <w:t xml:space="preserve"> </w:t>
      </w:r>
    </w:p>
    <w:p w:rsidR="00D226C7" w:rsidRPr="00D226C7" w:rsidRDefault="00D226C7" w:rsidP="00D226C7">
      <w:r w:rsidRPr="00D42745">
        <w:t>The Retail Rules require that a payment plan for a hardship customer must be established having regard to th</w:t>
      </w:r>
      <w:r w:rsidRPr="00D226C7">
        <w:t>e customer’s capacity to pay, any amounts owed by the customer, and the customer’s expected energy consumption over the coming 12 months.</w:t>
      </w:r>
      <w:r w:rsidRPr="00891A88">
        <w:rPr>
          <w:rStyle w:val="Superscript"/>
        </w:rPr>
        <w:footnoteReference w:id="18"/>
      </w:r>
    </w:p>
    <w:p w:rsidR="00D226C7" w:rsidRPr="00D226C7" w:rsidRDefault="00D226C7" w:rsidP="00D226C7">
      <w:r w:rsidRPr="00D42745">
        <w:t>The Retail Law requires retailers to offer flexible payment options (including Centrepay) to hardship customers.</w:t>
      </w:r>
      <w:r w:rsidRPr="00891A88">
        <w:rPr>
          <w:rStyle w:val="Superscript"/>
        </w:rPr>
        <w:footnoteReference w:id="19"/>
      </w:r>
      <w:r w:rsidRPr="00D226C7">
        <w:t xml:space="preserve"> Centrepay is a free direct bill-paying service available to customers receiving Centrelink payments. Through Centrepay, customers can pay bills by having a regular amount deducted from their Centrelink payments and transferred electronically to an approved Centrepay business. Centrepay make it easier for customers to budget by having their bills paid in more manageable instalments. </w:t>
      </w:r>
    </w:p>
    <w:p w:rsidR="00D226C7" w:rsidRPr="00D226C7" w:rsidRDefault="00D226C7" w:rsidP="00D226C7">
      <w:r w:rsidRPr="00D42745">
        <w:t xml:space="preserve">Our 2015 Review of retailers’ hardship policies and </w:t>
      </w:r>
      <w:r w:rsidR="00176325">
        <w:t>practices</w:t>
      </w:r>
      <w:r w:rsidRPr="00D226C7">
        <w:t xml:space="preserve"> found relatively low numbers of hardship customers using Centrepay, suggesting it is not being well-promoted, or even offered to eligible customers by retailers. We raised this issue with a number of retailers and indicated our expectation to see this improve.</w:t>
      </w:r>
    </w:p>
    <w:p w:rsidR="00D226C7" w:rsidRPr="00D42745" w:rsidRDefault="00D226C7" w:rsidP="00D226C7">
      <w:r w:rsidRPr="00D42745">
        <w:t>Table 2.8 shows the payment methods of electricity and gas customers on hardship programs. While the number of hardship customers using Centrepay has increased (not shown), we note that the proportion of hardship customers using Centrepay has actually fallen. While we could still expect to see improvements in these figures, we note that only hardship customers receiving Centrelink payments can pay by Centrepay</w:t>
      </w:r>
      <w:r w:rsidR="00897E02">
        <w:t>,</w:t>
      </w:r>
      <w:r w:rsidRPr="00D42745">
        <w:t xml:space="preserve"> so these </w:t>
      </w:r>
      <w:r w:rsidR="00897E02">
        <w:t>trends may suggest that there are more</w:t>
      </w:r>
      <w:r w:rsidRPr="00D42745">
        <w:t xml:space="preserve"> </w:t>
      </w:r>
      <w:r w:rsidR="00897E02">
        <w:t>middle-</w:t>
      </w:r>
      <w:r w:rsidRPr="00D42745">
        <w:t xml:space="preserve">income customers </w:t>
      </w:r>
      <w:r w:rsidR="000E018E">
        <w:t>entering hardship programs</w:t>
      </w:r>
      <w:r w:rsidRPr="00D42745">
        <w:t xml:space="preserve">. </w:t>
      </w:r>
    </w:p>
    <w:p w:rsidR="00D226C7" w:rsidRPr="00D226C7" w:rsidRDefault="00D226C7" w:rsidP="00D226C7">
      <w:r w:rsidRPr="00D42745">
        <w:lastRenderedPageBreak/>
        <w:t xml:space="preserve">As with energy concessions, fewer customers on hardship programs in South Australia use Centrepay to repay energy debt. This may suggest that not only customers with low incomes are accessing hardship programs. </w:t>
      </w:r>
      <w:r w:rsidR="00781261">
        <w:t xml:space="preserve">The observation supports concerns increasingly voiced by consumer welfare organisations that the demographic of people needing assistance is changing and more middle income families are seeking assistance </w:t>
      </w:r>
      <w:r w:rsidR="00A95BE0">
        <w:t>to pay their</w:t>
      </w:r>
      <w:r w:rsidR="00781261">
        <w:t xml:space="preserve"> energy bills.</w:t>
      </w:r>
      <w:r w:rsidR="00781261">
        <w:rPr>
          <w:rStyle w:val="FootnoteReference"/>
        </w:rPr>
        <w:footnoteReference w:id="20"/>
      </w:r>
      <w:r w:rsidR="00781261">
        <w:t xml:space="preserve">  </w:t>
      </w:r>
    </w:p>
    <w:p w:rsidR="00D226C7" w:rsidRPr="003E45F6" w:rsidRDefault="00D226C7" w:rsidP="00D226C7">
      <w:pPr>
        <w:pStyle w:val="Tabletitle"/>
      </w:pPr>
      <w:r w:rsidRPr="003E45F6">
        <w:t>Table 2.8: Payment methods of hardship program customers</w:t>
      </w:r>
    </w:p>
    <w:tbl>
      <w:tblPr>
        <w:tblW w:w="0" w:type="auto"/>
        <w:tblLook w:val="04A0" w:firstRow="1" w:lastRow="0" w:firstColumn="1" w:lastColumn="0" w:noHBand="0" w:noVBand="1"/>
      </w:tblPr>
      <w:tblGrid>
        <w:gridCol w:w="2310"/>
        <w:gridCol w:w="1155"/>
        <w:gridCol w:w="1155"/>
        <w:gridCol w:w="1155"/>
        <w:gridCol w:w="1156"/>
        <w:gridCol w:w="1155"/>
        <w:gridCol w:w="1156"/>
      </w:tblGrid>
      <w:tr w:rsidR="00D226C7" w:rsidRPr="00D42745" w:rsidTr="00D226C7">
        <w:tc>
          <w:tcPr>
            <w:tcW w:w="2310" w:type="dxa"/>
            <w:shd w:val="clear" w:color="auto" w:fill="F2F2F2" w:themeFill="background1" w:themeFillShade="F2"/>
          </w:tcPr>
          <w:p w:rsidR="00D226C7" w:rsidRPr="006D4C8B" w:rsidRDefault="00D226C7" w:rsidP="00E92189">
            <w:pPr>
              <w:pStyle w:val="Tabletext"/>
              <w:rPr>
                <w:rStyle w:val="Strong"/>
              </w:rPr>
            </w:pPr>
            <w:r w:rsidRPr="006D4C8B">
              <w:rPr>
                <w:rStyle w:val="Strong"/>
              </w:rPr>
              <w:t>Jurisdiction</w:t>
            </w:r>
          </w:p>
        </w:tc>
        <w:tc>
          <w:tcPr>
            <w:tcW w:w="2310" w:type="dxa"/>
            <w:gridSpan w:val="2"/>
            <w:shd w:val="clear" w:color="auto" w:fill="F2F2F2" w:themeFill="background1" w:themeFillShade="F2"/>
          </w:tcPr>
          <w:p w:rsidR="00D226C7" w:rsidRPr="006D4C8B" w:rsidRDefault="00D226C7" w:rsidP="00E92189">
            <w:pPr>
              <w:pStyle w:val="Tabletext"/>
              <w:rPr>
                <w:rStyle w:val="Strong"/>
              </w:rPr>
            </w:pPr>
            <w:r w:rsidRPr="006D4C8B">
              <w:rPr>
                <w:rStyle w:val="Strong"/>
              </w:rPr>
              <w:t xml:space="preserve">Payment plan </w:t>
            </w:r>
            <w:r w:rsidRPr="006D4C8B">
              <w:rPr>
                <w:rStyle w:val="Strong"/>
              </w:rPr>
              <w:br/>
              <w:t>(non-Centrepay)</w:t>
            </w:r>
          </w:p>
        </w:tc>
        <w:tc>
          <w:tcPr>
            <w:tcW w:w="2311" w:type="dxa"/>
            <w:gridSpan w:val="2"/>
            <w:shd w:val="clear" w:color="auto" w:fill="F2F2F2" w:themeFill="background1" w:themeFillShade="F2"/>
          </w:tcPr>
          <w:p w:rsidR="00D226C7" w:rsidRPr="006D4C8B" w:rsidRDefault="00D226C7" w:rsidP="00E92189">
            <w:pPr>
              <w:pStyle w:val="Tabletext"/>
              <w:rPr>
                <w:rStyle w:val="Strong"/>
              </w:rPr>
            </w:pPr>
            <w:r w:rsidRPr="006D4C8B">
              <w:rPr>
                <w:rStyle w:val="Strong"/>
              </w:rPr>
              <w:t>Centrepay</w:t>
            </w:r>
          </w:p>
        </w:tc>
        <w:tc>
          <w:tcPr>
            <w:tcW w:w="2311" w:type="dxa"/>
            <w:gridSpan w:val="2"/>
            <w:shd w:val="clear" w:color="auto" w:fill="F2F2F2" w:themeFill="background1" w:themeFillShade="F2"/>
          </w:tcPr>
          <w:p w:rsidR="00D226C7" w:rsidRPr="006D4C8B" w:rsidRDefault="00D226C7" w:rsidP="00E92189">
            <w:pPr>
              <w:pStyle w:val="Tabletext"/>
              <w:rPr>
                <w:rStyle w:val="Strong"/>
              </w:rPr>
            </w:pPr>
            <w:r w:rsidRPr="006D4C8B">
              <w:rPr>
                <w:rStyle w:val="Strong"/>
              </w:rPr>
              <w:t>Other</w:t>
            </w:r>
          </w:p>
        </w:tc>
      </w:tr>
      <w:tr w:rsidR="00D226C7" w:rsidRPr="00D42745" w:rsidTr="00D226C7">
        <w:tc>
          <w:tcPr>
            <w:tcW w:w="2310" w:type="dxa"/>
            <w:tcBorders>
              <w:top w:val="single" w:sz="4" w:space="0" w:color="BFBFBF" w:themeColor="background1" w:themeShade="BF"/>
              <w:bottom w:val="single" w:sz="4" w:space="0" w:color="BFBFBF" w:themeColor="background1" w:themeShade="BF"/>
            </w:tcBorders>
          </w:tcPr>
          <w:p w:rsidR="00D226C7" w:rsidRPr="006D4C8B" w:rsidRDefault="00D226C7" w:rsidP="00E92189">
            <w:pPr>
              <w:pStyle w:val="Tabletext"/>
              <w:rPr>
                <w:rStyle w:val="Strong"/>
              </w:rPr>
            </w:pPr>
            <w:r w:rsidRPr="006D4C8B">
              <w:rPr>
                <w:rStyle w:val="Strong"/>
              </w:rPr>
              <w:t>Electricity</w:t>
            </w:r>
          </w:p>
        </w:tc>
        <w:tc>
          <w:tcPr>
            <w:tcW w:w="2310" w:type="dxa"/>
            <w:gridSpan w:val="2"/>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p>
        </w:tc>
        <w:tc>
          <w:tcPr>
            <w:tcW w:w="2311" w:type="dxa"/>
            <w:gridSpan w:val="2"/>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p>
        </w:tc>
        <w:tc>
          <w:tcPr>
            <w:tcW w:w="2311" w:type="dxa"/>
            <w:gridSpan w:val="2"/>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p>
        </w:tc>
      </w:tr>
      <w:tr w:rsidR="00D226C7" w:rsidRPr="00D42745" w:rsidTr="00D226C7">
        <w:tc>
          <w:tcPr>
            <w:tcW w:w="2310"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South Australia</w:t>
            </w:r>
          </w:p>
        </w:tc>
        <w:tc>
          <w:tcPr>
            <w:tcW w:w="1155" w:type="dxa"/>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r w:rsidRPr="00D42745">
              <w:t>73%</w:t>
            </w:r>
          </w:p>
        </w:tc>
        <w:tc>
          <w:tcPr>
            <w:tcW w:w="1155"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▲5%</w:t>
            </w:r>
          </w:p>
        </w:tc>
        <w:tc>
          <w:tcPr>
            <w:tcW w:w="1155" w:type="dxa"/>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r w:rsidRPr="00D42745">
              <w:t>22%</w:t>
            </w:r>
          </w:p>
        </w:tc>
        <w:tc>
          <w:tcPr>
            <w:tcW w:w="1156"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▼5%</w:t>
            </w:r>
          </w:p>
        </w:tc>
        <w:tc>
          <w:tcPr>
            <w:tcW w:w="1155" w:type="dxa"/>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r w:rsidRPr="00D42745">
              <w:t>5%</w:t>
            </w:r>
          </w:p>
        </w:tc>
        <w:tc>
          <w:tcPr>
            <w:tcW w:w="1156"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w:t>
            </w:r>
          </w:p>
        </w:tc>
      </w:tr>
      <w:tr w:rsidR="00D226C7" w:rsidRPr="00D42745" w:rsidTr="00D226C7">
        <w:tc>
          <w:tcPr>
            <w:tcW w:w="2310"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ACT</w:t>
            </w:r>
          </w:p>
        </w:tc>
        <w:tc>
          <w:tcPr>
            <w:tcW w:w="1155" w:type="dxa"/>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r w:rsidRPr="00D42745">
              <w:t>58%</w:t>
            </w:r>
          </w:p>
        </w:tc>
        <w:tc>
          <w:tcPr>
            <w:tcW w:w="1155"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▲2%</w:t>
            </w:r>
          </w:p>
        </w:tc>
        <w:tc>
          <w:tcPr>
            <w:tcW w:w="1155" w:type="dxa"/>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r w:rsidRPr="00D42745">
              <w:t>42%</w:t>
            </w:r>
          </w:p>
        </w:tc>
        <w:tc>
          <w:tcPr>
            <w:tcW w:w="1156"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▼2%</w:t>
            </w:r>
          </w:p>
        </w:tc>
        <w:tc>
          <w:tcPr>
            <w:tcW w:w="1155" w:type="dxa"/>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r w:rsidRPr="00D42745">
              <w:t>0%</w:t>
            </w:r>
          </w:p>
        </w:tc>
        <w:tc>
          <w:tcPr>
            <w:tcW w:w="1156"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w:t>
            </w:r>
          </w:p>
        </w:tc>
      </w:tr>
      <w:tr w:rsidR="00D226C7" w:rsidRPr="00D42745" w:rsidTr="00D226C7">
        <w:tc>
          <w:tcPr>
            <w:tcW w:w="2310"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New South Wales</w:t>
            </w:r>
          </w:p>
        </w:tc>
        <w:tc>
          <w:tcPr>
            <w:tcW w:w="1155" w:type="dxa"/>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r w:rsidRPr="00D42745">
              <w:t>72%</w:t>
            </w:r>
          </w:p>
        </w:tc>
        <w:tc>
          <w:tcPr>
            <w:tcW w:w="1155"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▲8%</w:t>
            </w:r>
          </w:p>
        </w:tc>
        <w:tc>
          <w:tcPr>
            <w:tcW w:w="1155" w:type="dxa"/>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r w:rsidRPr="00D42745">
              <w:t>27%</w:t>
            </w:r>
          </w:p>
        </w:tc>
        <w:tc>
          <w:tcPr>
            <w:tcW w:w="1156"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▼7%</w:t>
            </w:r>
          </w:p>
        </w:tc>
        <w:tc>
          <w:tcPr>
            <w:tcW w:w="1155" w:type="dxa"/>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r w:rsidRPr="00D42745">
              <w:t>1%</w:t>
            </w:r>
          </w:p>
        </w:tc>
        <w:tc>
          <w:tcPr>
            <w:tcW w:w="1156"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▼1%</w:t>
            </w:r>
          </w:p>
        </w:tc>
      </w:tr>
      <w:tr w:rsidR="00D226C7" w:rsidRPr="00D42745" w:rsidTr="00D226C7">
        <w:tc>
          <w:tcPr>
            <w:tcW w:w="2310"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Tasmania</w:t>
            </w:r>
          </w:p>
        </w:tc>
        <w:tc>
          <w:tcPr>
            <w:tcW w:w="1155" w:type="dxa"/>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r w:rsidRPr="00D42745">
              <w:t>61%</w:t>
            </w:r>
          </w:p>
        </w:tc>
        <w:tc>
          <w:tcPr>
            <w:tcW w:w="1155"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▲11%</w:t>
            </w:r>
          </w:p>
        </w:tc>
        <w:tc>
          <w:tcPr>
            <w:tcW w:w="1155" w:type="dxa"/>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r w:rsidRPr="00D42745">
              <w:t>39%</w:t>
            </w:r>
          </w:p>
        </w:tc>
        <w:tc>
          <w:tcPr>
            <w:tcW w:w="1156"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▼11%</w:t>
            </w:r>
          </w:p>
        </w:tc>
        <w:tc>
          <w:tcPr>
            <w:tcW w:w="1155" w:type="dxa"/>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r w:rsidRPr="00D42745">
              <w:t>0%</w:t>
            </w:r>
          </w:p>
        </w:tc>
        <w:tc>
          <w:tcPr>
            <w:tcW w:w="1156"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w:t>
            </w:r>
          </w:p>
        </w:tc>
      </w:tr>
      <w:tr w:rsidR="00D226C7" w:rsidRPr="00D42745" w:rsidTr="00D226C7">
        <w:tc>
          <w:tcPr>
            <w:tcW w:w="2310" w:type="dxa"/>
            <w:tcBorders>
              <w:top w:val="single" w:sz="4" w:space="0" w:color="BFBFBF" w:themeColor="background1" w:themeShade="BF"/>
              <w:bottom w:val="single" w:sz="4" w:space="0" w:color="BFBFBF" w:themeColor="background1" w:themeShade="BF"/>
            </w:tcBorders>
          </w:tcPr>
          <w:p w:rsidR="00D226C7" w:rsidRPr="006D4C8B" w:rsidRDefault="00D226C7" w:rsidP="00E92189">
            <w:pPr>
              <w:pStyle w:val="Tabletext"/>
              <w:rPr>
                <w:rStyle w:val="Strong"/>
              </w:rPr>
            </w:pPr>
            <w:r w:rsidRPr="006D4C8B">
              <w:rPr>
                <w:rStyle w:val="Strong"/>
              </w:rPr>
              <w:t>Gas</w:t>
            </w:r>
          </w:p>
        </w:tc>
        <w:tc>
          <w:tcPr>
            <w:tcW w:w="2310" w:type="dxa"/>
            <w:gridSpan w:val="2"/>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p>
        </w:tc>
        <w:tc>
          <w:tcPr>
            <w:tcW w:w="2311" w:type="dxa"/>
            <w:gridSpan w:val="2"/>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p>
        </w:tc>
        <w:tc>
          <w:tcPr>
            <w:tcW w:w="2311" w:type="dxa"/>
            <w:gridSpan w:val="2"/>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p>
        </w:tc>
      </w:tr>
      <w:tr w:rsidR="00D226C7" w:rsidRPr="00D42745" w:rsidTr="00D226C7">
        <w:tc>
          <w:tcPr>
            <w:tcW w:w="2310"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South Australia</w:t>
            </w:r>
          </w:p>
        </w:tc>
        <w:tc>
          <w:tcPr>
            <w:tcW w:w="1155" w:type="dxa"/>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r w:rsidRPr="00D42745">
              <w:t>69%</w:t>
            </w:r>
          </w:p>
        </w:tc>
        <w:tc>
          <w:tcPr>
            <w:tcW w:w="1155"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▲2%</w:t>
            </w:r>
          </w:p>
        </w:tc>
        <w:tc>
          <w:tcPr>
            <w:tcW w:w="1155" w:type="dxa"/>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r w:rsidRPr="00D42745">
              <w:t>23%</w:t>
            </w:r>
          </w:p>
        </w:tc>
        <w:tc>
          <w:tcPr>
            <w:tcW w:w="1156"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▼2%</w:t>
            </w:r>
          </w:p>
        </w:tc>
        <w:tc>
          <w:tcPr>
            <w:tcW w:w="1155" w:type="dxa"/>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r w:rsidRPr="00D42745">
              <w:t>8%</w:t>
            </w:r>
          </w:p>
        </w:tc>
        <w:tc>
          <w:tcPr>
            <w:tcW w:w="1156"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w:t>
            </w:r>
          </w:p>
        </w:tc>
      </w:tr>
      <w:tr w:rsidR="00D226C7" w:rsidRPr="00D42745" w:rsidTr="00D226C7">
        <w:tc>
          <w:tcPr>
            <w:tcW w:w="2310"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ACT</w:t>
            </w:r>
          </w:p>
        </w:tc>
        <w:tc>
          <w:tcPr>
            <w:tcW w:w="1155" w:type="dxa"/>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r w:rsidRPr="00D42745">
              <w:t>75%</w:t>
            </w:r>
          </w:p>
        </w:tc>
        <w:tc>
          <w:tcPr>
            <w:tcW w:w="1155"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▲3%</w:t>
            </w:r>
          </w:p>
        </w:tc>
        <w:tc>
          <w:tcPr>
            <w:tcW w:w="1155" w:type="dxa"/>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r w:rsidRPr="00D42745">
              <w:t>25%</w:t>
            </w:r>
          </w:p>
        </w:tc>
        <w:tc>
          <w:tcPr>
            <w:tcW w:w="1156"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▼3%</w:t>
            </w:r>
          </w:p>
        </w:tc>
        <w:tc>
          <w:tcPr>
            <w:tcW w:w="1155" w:type="dxa"/>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r w:rsidRPr="00D42745">
              <w:t>0%</w:t>
            </w:r>
          </w:p>
        </w:tc>
        <w:tc>
          <w:tcPr>
            <w:tcW w:w="1156"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w:t>
            </w:r>
          </w:p>
        </w:tc>
      </w:tr>
      <w:tr w:rsidR="00D226C7" w:rsidRPr="00D42745" w:rsidTr="00D226C7">
        <w:tc>
          <w:tcPr>
            <w:tcW w:w="2310"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New South Wales</w:t>
            </w:r>
          </w:p>
        </w:tc>
        <w:tc>
          <w:tcPr>
            <w:tcW w:w="1155" w:type="dxa"/>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r w:rsidRPr="00D42745">
              <w:t>74%</w:t>
            </w:r>
          </w:p>
        </w:tc>
        <w:tc>
          <w:tcPr>
            <w:tcW w:w="1155"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▲4%</w:t>
            </w:r>
          </w:p>
        </w:tc>
        <w:tc>
          <w:tcPr>
            <w:tcW w:w="1155" w:type="dxa"/>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r w:rsidRPr="00D42745">
              <w:t>26%</w:t>
            </w:r>
          </w:p>
        </w:tc>
        <w:tc>
          <w:tcPr>
            <w:tcW w:w="1156"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▼2%</w:t>
            </w:r>
          </w:p>
        </w:tc>
        <w:tc>
          <w:tcPr>
            <w:tcW w:w="1155" w:type="dxa"/>
            <w:tcBorders>
              <w:top w:val="single" w:sz="4" w:space="0" w:color="BFBFBF" w:themeColor="background1" w:themeShade="BF"/>
              <w:bottom w:val="single" w:sz="4" w:space="0" w:color="BFBFBF" w:themeColor="background1" w:themeShade="BF"/>
            </w:tcBorders>
          </w:tcPr>
          <w:p w:rsidR="00D226C7" w:rsidRPr="00D42745" w:rsidRDefault="00D226C7" w:rsidP="00E92189">
            <w:pPr>
              <w:pStyle w:val="Tabletext"/>
            </w:pPr>
            <w:r w:rsidRPr="00D42745">
              <w:t>0%</w:t>
            </w:r>
          </w:p>
        </w:tc>
        <w:tc>
          <w:tcPr>
            <w:tcW w:w="1156" w:type="dxa"/>
            <w:tcBorders>
              <w:top w:val="single" w:sz="4" w:space="0" w:color="BFBFBF" w:themeColor="background1" w:themeShade="BF"/>
              <w:bottom w:val="single" w:sz="4" w:space="0" w:color="BFBFBF" w:themeColor="background1" w:themeShade="BF"/>
            </w:tcBorders>
          </w:tcPr>
          <w:p w:rsidR="00D226C7" w:rsidRPr="00D226C7" w:rsidRDefault="00D226C7" w:rsidP="00E92189">
            <w:pPr>
              <w:pStyle w:val="Tabletext"/>
            </w:pPr>
            <w:r w:rsidRPr="00D226C7">
              <w:t>▼2%</w:t>
            </w:r>
          </w:p>
        </w:tc>
      </w:tr>
    </w:tbl>
    <w:p w:rsidR="00D226C7" w:rsidRPr="00D42745" w:rsidRDefault="00D226C7" w:rsidP="00D226C7">
      <w:pPr>
        <w:pStyle w:val="Heading3"/>
      </w:pPr>
      <w:bookmarkStart w:id="23" w:name="_Toc432765961"/>
      <w:bookmarkStart w:id="24" w:name="_Toc433026815"/>
      <w:r w:rsidRPr="00D42745">
        <w:t>Debt levels of customers on hardship programs</w:t>
      </w:r>
      <w:bookmarkEnd w:id="23"/>
      <w:bookmarkEnd w:id="24"/>
    </w:p>
    <w:p w:rsidR="00D226C7" w:rsidRPr="00D42745" w:rsidRDefault="00D226C7" w:rsidP="00D226C7">
      <w:r w:rsidRPr="00D42745">
        <w:t xml:space="preserve">If a customer enters a hardship program with a low level of debt they have a greater chance of fully repaying their debt, and successfully completing the hardship program. Figures 2.4 and 2.5 show the debt levels of electricity and gas customers that entered hardship programs in 2013-14 and 2014-15.  </w:t>
      </w:r>
    </w:p>
    <w:p w:rsidR="00D226C7" w:rsidRPr="00D226C7" w:rsidRDefault="00D226C7" w:rsidP="00D226C7">
      <w:r w:rsidRPr="00D42745">
        <w:t xml:space="preserve">Over 85 per cent of </w:t>
      </w:r>
      <w:r w:rsidRPr="00D226C7">
        <w:t>Red Energy customers and 66 per cent of Lumo Energy customers that entered hardship programs in 2014-15 had less than $500 of electricity debt. By contrast, 48 per cent of customers that entered Aurora Energy’s hardship programs had over $1,500 of electricity debt.</w:t>
      </w:r>
    </w:p>
    <w:p w:rsidR="00D226C7" w:rsidRPr="00D226C7" w:rsidRDefault="00D226C7" w:rsidP="00D226C7">
      <w:r>
        <w:t xml:space="preserve">Gas customers generally entered hardship programs with lower levels of debt, with most customers of gas retailers entering hardship programs with less than $500 of debt. ActewAGL and EnergyAustralia reported 30 to 40 per cent of gas customers entering hardship programs with at least $1,500 of debt.  </w:t>
      </w:r>
    </w:p>
    <w:p w:rsidR="00D226C7" w:rsidRPr="00D226C7" w:rsidRDefault="00D226C7" w:rsidP="00D226C7">
      <w:r>
        <w:br w:type="page"/>
      </w:r>
    </w:p>
    <w:p w:rsidR="00D226C7" w:rsidRPr="003E45F6" w:rsidRDefault="00D226C7" w:rsidP="00D226C7">
      <w:pPr>
        <w:pStyle w:val="Tabletitle"/>
      </w:pPr>
      <w:r w:rsidRPr="003E45F6">
        <w:lastRenderedPageBreak/>
        <w:t>Figure 2.4: Electricity debt levels of customers entering hardship programs in 2013-14 and 2014-15</w:t>
      </w:r>
    </w:p>
    <w:p w:rsidR="00D226C7" w:rsidRPr="00D226C7" w:rsidRDefault="00811BDF" w:rsidP="00D226C7">
      <w:r>
        <w:rPr>
          <w:noProof/>
          <w:lang w:eastAsia="en-AU"/>
        </w:rPr>
        <w:drawing>
          <wp:inline distT="0" distB="0" distL="0" distR="0" wp14:anchorId="3A7D99C7" wp14:editId="7F813AAF">
            <wp:extent cx="5760000" cy="6757200"/>
            <wp:effectExtent l="0" t="0" r="0" b="5715"/>
            <wp:docPr id="6" name="Picture 6" descr="Of the electricity customers that entered hardship programs in 2014-15, 44 per cent had a debt between $0 and $500, 28 per cent had a debt between $500 and $1500, 13 per cent had a debt between $1500 and $2500, and 15 per cent had a debt of over $2500."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6757200"/>
                    </a:xfrm>
                    <a:prstGeom prst="rect">
                      <a:avLst/>
                    </a:prstGeom>
                    <a:noFill/>
                  </pic:spPr>
                </pic:pic>
              </a:graphicData>
            </a:graphic>
          </wp:inline>
        </w:drawing>
      </w:r>
      <w:r w:rsidR="00D226C7">
        <w:br w:type="page"/>
      </w:r>
    </w:p>
    <w:p w:rsidR="00D226C7" w:rsidRDefault="00D226C7" w:rsidP="00D226C7">
      <w:pPr>
        <w:pStyle w:val="Tabletitle"/>
      </w:pPr>
      <w:r w:rsidRPr="003E45F6">
        <w:lastRenderedPageBreak/>
        <w:t>Figure 2.5: Gas debt levels of customers entering hardship programs in 2013-14 and 2014-15</w:t>
      </w:r>
    </w:p>
    <w:p w:rsidR="00811BDF" w:rsidRPr="003E45F6" w:rsidRDefault="00811BDF" w:rsidP="00D226C7">
      <w:pPr>
        <w:pStyle w:val="Tabletitle"/>
      </w:pPr>
      <w:r>
        <w:rPr>
          <w:noProof/>
          <w:lang w:eastAsia="en-AU"/>
        </w:rPr>
        <w:drawing>
          <wp:inline distT="0" distB="0" distL="0" distR="0" wp14:anchorId="1BB55226" wp14:editId="161D37FA">
            <wp:extent cx="5760000" cy="3988800"/>
            <wp:effectExtent l="0" t="0" r="0" b="0"/>
            <wp:docPr id="7" name="Picture 7" descr="Of the gas customers that entered hardship programs in 2014-15, 55 per cent had a debt between $0 and $500, 22 per cent had a debt between $500 and $1500, 8 per cent had a debt between $1500 and $2500, and 15 per cent had a debt of over $2500."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3988800"/>
                    </a:xfrm>
                    <a:prstGeom prst="rect">
                      <a:avLst/>
                    </a:prstGeom>
                    <a:noFill/>
                  </pic:spPr>
                </pic:pic>
              </a:graphicData>
            </a:graphic>
          </wp:inline>
        </w:drawing>
      </w:r>
    </w:p>
    <w:p w:rsidR="00D226C7" w:rsidRPr="00D226C7" w:rsidRDefault="00D226C7" w:rsidP="00975582">
      <w:pPr>
        <w:pStyle w:val="Heading3"/>
      </w:pPr>
      <w:bookmarkStart w:id="25" w:name="_Toc432765962"/>
      <w:bookmarkStart w:id="26" w:name="_Toc433026816"/>
      <w:r w:rsidRPr="00D226C7">
        <w:t>Customers exiting hardship programs</w:t>
      </w:r>
      <w:bookmarkEnd w:id="25"/>
      <w:bookmarkEnd w:id="26"/>
    </w:p>
    <w:p w:rsidR="00D226C7" w:rsidRPr="00D42745" w:rsidRDefault="00D226C7" w:rsidP="00D226C7">
      <w:r w:rsidRPr="00D42745">
        <w:t xml:space="preserve">Retailers report the number of customers exiting their hardship programs for each of the following reasons: </w:t>
      </w:r>
    </w:p>
    <w:p w:rsidR="00D226C7" w:rsidRPr="00D42745" w:rsidRDefault="00D226C7" w:rsidP="00975582">
      <w:pPr>
        <w:pStyle w:val="Bulletpoint"/>
      </w:pPr>
      <w:r w:rsidRPr="00D42745">
        <w:t>customer who successfully completed the program or exited with the agreement of the retailer</w:t>
      </w:r>
    </w:p>
    <w:p w:rsidR="00D226C7" w:rsidRPr="00D42745" w:rsidRDefault="00D226C7" w:rsidP="00975582">
      <w:pPr>
        <w:pStyle w:val="Bulletpoint"/>
      </w:pPr>
      <w:r w:rsidRPr="00D42745">
        <w:t>customers who transferred, switched or left the retailer, and</w:t>
      </w:r>
    </w:p>
    <w:p w:rsidR="00D226C7" w:rsidRPr="00D226C7" w:rsidRDefault="00D226C7" w:rsidP="00975582">
      <w:pPr>
        <w:pStyle w:val="Bulletpoint"/>
      </w:pPr>
      <w:r w:rsidRPr="00D42745">
        <w:t>customers who were excluded or removed from the program</w:t>
      </w:r>
      <w:r w:rsidR="009B6E20">
        <w:t xml:space="preserve"> for failing to meet the requirements</w:t>
      </w:r>
      <w:r w:rsidRPr="00D42745">
        <w:t>.</w:t>
      </w:r>
    </w:p>
    <w:p w:rsidR="00D226C7" w:rsidRPr="00D42745" w:rsidRDefault="00D226C7" w:rsidP="00D226C7">
      <w:r w:rsidRPr="00D42745">
        <w:t xml:space="preserve">Figures 2.6 and 2.7 shows the number of electricity and gas customers that exited hardship programs for each retailer in 2013-14 and 2014-15. </w:t>
      </w:r>
    </w:p>
    <w:p w:rsidR="00D226C7" w:rsidRPr="00D42745" w:rsidRDefault="00D226C7" w:rsidP="00D226C7">
      <w:r w:rsidRPr="00D42745">
        <w:t xml:space="preserve">The ‘success rate’ of electricity customers exiting hardship programs modestly increased, from 19 per cent in 2013-14 to 24 per cent in 2014-15. However, over this period the rate of exclusion increased from 54 to 57 per cent, as </w:t>
      </w:r>
      <w:r w:rsidR="00960E08">
        <w:t xml:space="preserve">proportionally </w:t>
      </w:r>
      <w:r w:rsidRPr="00D42745">
        <w:t xml:space="preserve">fewer customers transferred to other retailers. </w:t>
      </w:r>
    </w:p>
    <w:p w:rsidR="00D226C7" w:rsidRPr="00D226C7" w:rsidRDefault="00D226C7" w:rsidP="00D226C7">
      <w:r w:rsidRPr="00D42745">
        <w:t xml:space="preserve">There is some correlation between low levels of debt on entry to hardship programs and high success rates. As an example, Red Energy’s success rate was among the highest of the second-tier retailers with a significant number of customers exiting hardship programs. </w:t>
      </w:r>
      <w:r w:rsidRPr="00D42745">
        <w:lastRenderedPageBreak/>
        <w:t xml:space="preserve">Momentum Energy (7 per cent), Alinta Energy (10 per cent) and M2 Energy (11 per cent) had the lowest </w:t>
      </w:r>
      <w:r w:rsidRPr="00D226C7">
        <w:t>and declining success rates.</w:t>
      </w:r>
    </w:p>
    <w:p w:rsidR="00D226C7" w:rsidRPr="003E45F6" w:rsidRDefault="00D226C7" w:rsidP="00D226C7">
      <w:pPr>
        <w:pStyle w:val="Tabletitle"/>
      </w:pPr>
      <w:r w:rsidRPr="003E45F6">
        <w:t>Figure 2.6: Electricity customers exiting hardship programs in 2013-14 and 2014-15</w:t>
      </w:r>
    </w:p>
    <w:p w:rsidR="00D226C7" w:rsidRPr="00D226C7" w:rsidRDefault="00D226C7" w:rsidP="00D226C7">
      <w:r w:rsidRPr="00D226C7">
        <w:rPr>
          <w:noProof/>
          <w:lang w:eastAsia="en-AU"/>
        </w:rPr>
        <w:drawing>
          <wp:inline distT="0" distB="0" distL="0" distR="0" wp14:anchorId="79F91FD3" wp14:editId="6546CFB8">
            <wp:extent cx="5760000" cy="6606000"/>
            <wp:effectExtent l="0" t="0" r="0" b="4445"/>
            <wp:docPr id="52" name="Picture 52" descr="Of the electricity customers that exited hardship programs in 2014-15, 24 per cent successfully repaid their debt, 19 per cent transferred to another retailer, and 57 per cent were excluded for not meeting repayments."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6606000"/>
                    </a:xfrm>
                    <a:prstGeom prst="rect">
                      <a:avLst/>
                    </a:prstGeom>
                    <a:noFill/>
                  </pic:spPr>
                </pic:pic>
              </a:graphicData>
            </a:graphic>
          </wp:inline>
        </w:drawing>
      </w:r>
    </w:p>
    <w:p w:rsidR="00D226C7" w:rsidRPr="00D226C7" w:rsidRDefault="00D226C7" w:rsidP="00D226C7">
      <w:r w:rsidRPr="00D42745">
        <w:t xml:space="preserve">Success rates among gas customers exiting hardship programs also slightly increased, from 19 per cent in 2013-14 to 22 per cent in 2014-15. </w:t>
      </w:r>
      <w:r w:rsidRPr="00D226C7">
        <w:t xml:space="preserve">As with electricity, the rate of exclusion increased from 54 to 57 per cent over this period, as fewer customers transferred to other </w:t>
      </w:r>
      <w:r w:rsidRPr="00D226C7">
        <w:lastRenderedPageBreak/>
        <w:t xml:space="preserve">retailers. Success rates were highest for ActewAGL (38 per cent) and lowest for Alinta Energy (13 per cent) and Origin Energy (16 per cent).  </w:t>
      </w:r>
    </w:p>
    <w:p w:rsidR="00D226C7" w:rsidRPr="003E45F6" w:rsidRDefault="00D226C7" w:rsidP="00D226C7">
      <w:pPr>
        <w:pStyle w:val="Tabletitle"/>
      </w:pPr>
      <w:r w:rsidRPr="003E45F6">
        <w:t>Figure 2.7: Gas customers exiting hardship programs in 2013-14 and 2014-15</w:t>
      </w:r>
    </w:p>
    <w:p w:rsidR="00D226C7" w:rsidRPr="00D226C7" w:rsidRDefault="00D226C7" w:rsidP="00D226C7">
      <w:r w:rsidRPr="00D226C7">
        <w:rPr>
          <w:noProof/>
          <w:lang w:eastAsia="en-AU"/>
        </w:rPr>
        <w:drawing>
          <wp:inline distT="0" distB="0" distL="0" distR="0" wp14:anchorId="689BBF9A" wp14:editId="3A125727">
            <wp:extent cx="5760000" cy="4586400"/>
            <wp:effectExtent l="0" t="0" r="0" b="5080"/>
            <wp:docPr id="53" name="Picture 53" descr="Of the gas customers that exited hardship programs in 2014-15, 22 per cent successfully repaid their debt, 21 per cent transferred to another retailer, and 57 per cent were excluded for not meeting repayments. "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4586400"/>
                    </a:xfrm>
                    <a:prstGeom prst="rect">
                      <a:avLst/>
                    </a:prstGeom>
                    <a:noFill/>
                  </pic:spPr>
                </pic:pic>
              </a:graphicData>
            </a:graphic>
          </wp:inline>
        </w:drawing>
      </w:r>
    </w:p>
    <w:p w:rsidR="00D226C7" w:rsidRPr="00D226C7" w:rsidRDefault="00D226C7" w:rsidP="00D226C7">
      <w:pPr>
        <w:pStyle w:val="Heading3"/>
      </w:pPr>
      <w:bookmarkStart w:id="27" w:name="_Toc432765963"/>
      <w:bookmarkStart w:id="28" w:name="_Toc433026817"/>
      <w:r>
        <w:t>How do retailers manage customers on hardship programs</w:t>
      </w:r>
      <w:r w:rsidRPr="00D226C7">
        <w:t>?</w:t>
      </w:r>
      <w:bookmarkEnd w:id="27"/>
      <w:bookmarkEnd w:id="28"/>
    </w:p>
    <w:p w:rsidR="00BE2ABC" w:rsidRDefault="00BE2ABC" w:rsidP="00BE2ABC">
      <w:r>
        <w:t xml:space="preserve">Retailers have reported to us different types of assistance that they may provide under their hardship program. For example, </w:t>
      </w:r>
      <w:r w:rsidR="00781261">
        <w:t>retailers generally found</w:t>
      </w:r>
      <w:r w:rsidR="003F7F92">
        <w:t xml:space="preserve"> </w:t>
      </w:r>
      <w:r>
        <w:t>the following methods were successful in helping the customer repay their energy debt:</w:t>
      </w:r>
    </w:p>
    <w:p w:rsidR="00DD748F" w:rsidRDefault="00DD748F" w:rsidP="00BE2ABC">
      <w:pPr>
        <w:pStyle w:val="Bulletpoint"/>
      </w:pPr>
      <w:r>
        <w:t>early identification of customers with debt</w:t>
      </w:r>
    </w:p>
    <w:p w:rsidR="00BE2ABC" w:rsidRDefault="00BE2ABC" w:rsidP="00BE2ABC">
      <w:pPr>
        <w:pStyle w:val="Bulletpoint"/>
      </w:pPr>
      <w:r>
        <w:t>c</w:t>
      </w:r>
      <w:r w:rsidRPr="00BE2ABC">
        <w:t>onducting home energy audits and replacing faulty appliances</w:t>
      </w:r>
    </w:p>
    <w:p w:rsidR="00BE2ABC" w:rsidRDefault="00BE2ABC" w:rsidP="00BE2ABC">
      <w:pPr>
        <w:pStyle w:val="Bulletpoint"/>
      </w:pPr>
      <w:r>
        <w:t>m</w:t>
      </w:r>
      <w:r w:rsidRPr="00BE2ABC">
        <w:t>atching customer debt repayments, or providing goodwill credits towards customer accounts</w:t>
      </w:r>
    </w:p>
    <w:p w:rsidR="00BE2ABC" w:rsidRPr="00BE2ABC" w:rsidRDefault="00BE2ABC" w:rsidP="00BE2ABC">
      <w:pPr>
        <w:pStyle w:val="Bulletpoint"/>
      </w:pPr>
      <w:r>
        <w:t>a</w:t>
      </w:r>
      <w:r w:rsidRPr="00BE2ABC">
        <w:t>ccepting lower than normal repayments in the short term</w:t>
      </w:r>
      <w:r>
        <w:t>.</w:t>
      </w:r>
    </w:p>
    <w:p w:rsidR="00DD748F" w:rsidRDefault="00D226C7" w:rsidP="00D226C7">
      <w:r w:rsidRPr="00D42745">
        <w:t xml:space="preserve">Table 2.9 </w:t>
      </w:r>
      <w:r w:rsidR="00BE2ABC">
        <w:t>summarises</w:t>
      </w:r>
      <w:r w:rsidRPr="00D42745">
        <w:t xml:space="preserve"> </w:t>
      </w:r>
      <w:r w:rsidR="00BE2ABC">
        <w:t>the abovementioned hardship program indicators for</w:t>
      </w:r>
      <w:r w:rsidRPr="00D42745">
        <w:t xml:space="preserve"> retailers </w:t>
      </w:r>
      <w:r w:rsidR="00BE2ABC">
        <w:t xml:space="preserve">with customers on hardship programs </w:t>
      </w:r>
      <w:r w:rsidRPr="00D42745">
        <w:t>in New S</w:t>
      </w:r>
      <w:r w:rsidR="00BE2ABC">
        <w:t>outh Wales and South Australia.</w:t>
      </w:r>
      <w:r w:rsidRPr="00D42745">
        <w:t xml:space="preserve">  </w:t>
      </w:r>
    </w:p>
    <w:p w:rsidR="00D226C7" w:rsidRPr="00D42745" w:rsidRDefault="00DD748F" w:rsidP="00D226C7">
      <w:r>
        <w:lastRenderedPageBreak/>
        <w:t>There do not appear to be strong correlations between success r</w:t>
      </w:r>
      <w:r w:rsidR="00BA2E06">
        <w:t xml:space="preserve">ates, </w:t>
      </w:r>
      <w:r>
        <w:t>early intervention (low average debt on entry to a hardship program) and the use of Centrepay to repay debt.</w:t>
      </w:r>
    </w:p>
    <w:p w:rsidR="00BA2E06" w:rsidRDefault="0084102D" w:rsidP="00D226C7">
      <w:r>
        <w:t xml:space="preserve">We observe different approaches to managing customers in hardship programs. For example, EnergyAustralia reports relatively high hardship success rates among its customers, despite a very small percentage using Centrepay. </w:t>
      </w:r>
    </w:p>
    <w:p w:rsidR="0084102D" w:rsidRDefault="00D226C7" w:rsidP="00D226C7">
      <w:r w:rsidRPr="00D42745">
        <w:t xml:space="preserve">Smaller retailers generally have more of their customers in debt on hardship programs, and these customers generally enter hardship programs with less debt. </w:t>
      </w:r>
    </w:p>
    <w:p w:rsidR="00D226C7" w:rsidRPr="00D42745" w:rsidRDefault="00D226C7" w:rsidP="00D226C7">
      <w:r w:rsidRPr="00D42745">
        <w:t xml:space="preserve">Origin Energy also has a relatively high proportion of customers in debt on its hardship programs, average debt </w:t>
      </w:r>
      <w:r w:rsidR="0084102D">
        <w:t xml:space="preserve">of its customers </w:t>
      </w:r>
      <w:r w:rsidRPr="00D42745">
        <w:t>on entry to hardship programs</w:t>
      </w:r>
      <w:r w:rsidR="0084102D">
        <w:t xml:space="preserve"> is relatively low, and around 40 per cent of its </w:t>
      </w:r>
      <w:r w:rsidRPr="00D42745">
        <w:t xml:space="preserve">customers use Centrepay to makes repayments on their hardship program. </w:t>
      </w:r>
    </w:p>
    <w:p w:rsidR="00D226C7" w:rsidRDefault="0084102D" w:rsidP="00D226C7">
      <w:r>
        <w:t>Alinta Energy, M2 Energy (Dodo Power &amp; Gas) and Momentum Energy all have</w:t>
      </w:r>
      <w:r w:rsidR="004966A3">
        <w:t xml:space="preserve"> a relatively high proportion of customers with debt on their hardship programs, but report lower than average use of Centrepay and low success rates.</w:t>
      </w:r>
      <w:r>
        <w:t xml:space="preserve"> </w:t>
      </w:r>
    </w:p>
    <w:p w:rsidR="00BA2E06" w:rsidRPr="00D226C7" w:rsidRDefault="00BA2E06" w:rsidP="00D226C7">
      <w:r>
        <w:t xml:space="preserve">In summary, </w:t>
      </w:r>
      <w:r w:rsidR="00C619D6">
        <w:t xml:space="preserve">it is important not to view </w:t>
      </w:r>
      <w:r>
        <w:t xml:space="preserve">these indicators </w:t>
      </w:r>
      <w:r w:rsidR="00C619D6">
        <w:t xml:space="preserve">in isolation when assessing the performance of retailers </w:t>
      </w:r>
      <w:r>
        <w:t>in managing customers on hardship programs</w:t>
      </w:r>
      <w:r w:rsidR="00C619D6">
        <w:t>. For example, in some cases th</w:t>
      </w:r>
      <w:r w:rsidR="00176325">
        <w:t>e success rates reported by</w:t>
      </w:r>
      <w:r w:rsidR="00C619D6">
        <w:t xml:space="preserve"> retailers may be due to early intervention; however the data suggests that this is not the case for all retailers.  </w:t>
      </w:r>
      <w:r>
        <w:t xml:space="preserve"> </w:t>
      </w:r>
    </w:p>
    <w:p w:rsidR="000270CF" w:rsidRDefault="000270CF">
      <w:pPr>
        <w:spacing w:line="240" w:lineRule="auto"/>
        <w:rPr>
          <w:b/>
          <w:color w:val="076A92" w:themeColor="text1"/>
          <w:sz w:val="24"/>
          <w:szCs w:val="20"/>
        </w:rPr>
      </w:pPr>
      <w:r>
        <w:br w:type="page"/>
      </w:r>
    </w:p>
    <w:p w:rsidR="00D226C7" w:rsidRDefault="00D226C7" w:rsidP="00BE2ABC">
      <w:pPr>
        <w:pStyle w:val="Tabletitle"/>
      </w:pPr>
      <w:r w:rsidRPr="00D226C7">
        <w:lastRenderedPageBreak/>
        <w:t xml:space="preserve">Table 2.9: Hardship program performance indicators – </w:t>
      </w:r>
      <w:r w:rsidR="00811BDF">
        <w:t>by retailer</w:t>
      </w:r>
    </w:p>
    <w:tbl>
      <w:tblPr>
        <w:tblW w:w="0" w:type="auto"/>
        <w:tblLook w:val="04A0" w:firstRow="1" w:lastRow="0" w:firstColumn="1" w:lastColumn="0" w:noHBand="0" w:noVBand="1"/>
      </w:tblPr>
      <w:tblGrid>
        <w:gridCol w:w="2093"/>
        <w:gridCol w:w="2126"/>
        <w:gridCol w:w="1559"/>
        <w:gridCol w:w="1615"/>
        <w:gridCol w:w="1849"/>
      </w:tblGrid>
      <w:tr w:rsidR="000270CF" w:rsidTr="007061F2">
        <w:tc>
          <w:tcPr>
            <w:tcW w:w="2093" w:type="dxa"/>
            <w:tcBorders>
              <w:bottom w:val="single" w:sz="4" w:space="0" w:color="BFBFBF" w:themeColor="background1" w:themeShade="BF"/>
            </w:tcBorders>
            <w:shd w:val="clear" w:color="auto" w:fill="F2F2F2" w:themeFill="background1" w:themeFillShade="F2"/>
          </w:tcPr>
          <w:p w:rsidR="000270CF" w:rsidRPr="000270CF" w:rsidRDefault="000270CF" w:rsidP="000270CF">
            <w:pPr>
              <w:pStyle w:val="Tabletext"/>
              <w:rPr>
                <w:rStyle w:val="Strong"/>
              </w:rPr>
            </w:pPr>
            <w:r w:rsidRPr="000270CF">
              <w:rPr>
                <w:rStyle w:val="Strong"/>
              </w:rPr>
              <w:t>Retailer</w:t>
            </w:r>
          </w:p>
        </w:tc>
        <w:tc>
          <w:tcPr>
            <w:tcW w:w="2126" w:type="dxa"/>
            <w:tcBorders>
              <w:bottom w:val="single" w:sz="4" w:space="0" w:color="BFBFBF" w:themeColor="background1" w:themeShade="BF"/>
            </w:tcBorders>
            <w:shd w:val="clear" w:color="auto" w:fill="F2F2F2" w:themeFill="background1" w:themeFillShade="F2"/>
          </w:tcPr>
          <w:p w:rsidR="000270CF" w:rsidRPr="000270CF" w:rsidRDefault="000270CF" w:rsidP="000270CF">
            <w:pPr>
              <w:pStyle w:val="Tabletext"/>
              <w:rPr>
                <w:rStyle w:val="Strong"/>
              </w:rPr>
            </w:pPr>
            <w:r w:rsidRPr="000270CF">
              <w:rPr>
                <w:rStyle w:val="Strong"/>
              </w:rPr>
              <w:t>Customers on hardship programs (as % of customers with debt)</w:t>
            </w:r>
          </w:p>
        </w:tc>
        <w:tc>
          <w:tcPr>
            <w:tcW w:w="1559" w:type="dxa"/>
            <w:tcBorders>
              <w:bottom w:val="single" w:sz="4" w:space="0" w:color="BFBFBF" w:themeColor="background1" w:themeShade="BF"/>
            </w:tcBorders>
            <w:shd w:val="clear" w:color="auto" w:fill="F2F2F2" w:themeFill="background1" w:themeFillShade="F2"/>
          </w:tcPr>
          <w:p w:rsidR="000270CF" w:rsidRPr="000270CF" w:rsidRDefault="000270CF" w:rsidP="000270CF">
            <w:pPr>
              <w:pStyle w:val="Tabletext"/>
              <w:rPr>
                <w:rStyle w:val="Strong"/>
              </w:rPr>
            </w:pPr>
            <w:r w:rsidRPr="000270CF">
              <w:rPr>
                <w:rStyle w:val="Strong"/>
              </w:rPr>
              <w:t>Average debt on entry to hardship programs</w:t>
            </w:r>
          </w:p>
        </w:tc>
        <w:tc>
          <w:tcPr>
            <w:tcW w:w="1615" w:type="dxa"/>
            <w:tcBorders>
              <w:bottom w:val="single" w:sz="4" w:space="0" w:color="BFBFBF" w:themeColor="background1" w:themeShade="BF"/>
            </w:tcBorders>
            <w:shd w:val="clear" w:color="auto" w:fill="F2F2F2" w:themeFill="background1" w:themeFillShade="F2"/>
          </w:tcPr>
          <w:p w:rsidR="000270CF" w:rsidRPr="000270CF" w:rsidRDefault="000270CF" w:rsidP="000270CF">
            <w:pPr>
              <w:pStyle w:val="Tabletext"/>
              <w:rPr>
                <w:rStyle w:val="Strong"/>
              </w:rPr>
            </w:pPr>
            <w:r w:rsidRPr="000270CF">
              <w:rPr>
                <w:rStyle w:val="Strong"/>
              </w:rPr>
              <w:t>Hardship customers using Centrepay</w:t>
            </w:r>
          </w:p>
        </w:tc>
        <w:tc>
          <w:tcPr>
            <w:tcW w:w="1849" w:type="dxa"/>
            <w:tcBorders>
              <w:bottom w:val="single" w:sz="4" w:space="0" w:color="BFBFBF" w:themeColor="background1" w:themeShade="BF"/>
            </w:tcBorders>
            <w:shd w:val="clear" w:color="auto" w:fill="F2F2F2" w:themeFill="background1" w:themeFillShade="F2"/>
          </w:tcPr>
          <w:p w:rsidR="000270CF" w:rsidRPr="000270CF" w:rsidRDefault="000270CF" w:rsidP="000270CF">
            <w:pPr>
              <w:pStyle w:val="Tabletext"/>
              <w:rPr>
                <w:rStyle w:val="Strong"/>
              </w:rPr>
            </w:pPr>
            <w:r w:rsidRPr="000270CF">
              <w:rPr>
                <w:rStyle w:val="Strong"/>
              </w:rPr>
              <w:t>Success rate of hardship programs</w:t>
            </w:r>
          </w:p>
        </w:tc>
      </w:tr>
      <w:tr w:rsidR="000270CF" w:rsidTr="007061F2">
        <w:tc>
          <w:tcPr>
            <w:tcW w:w="2093" w:type="dxa"/>
            <w:tcBorders>
              <w:top w:val="single" w:sz="4" w:space="0" w:color="BFBFBF" w:themeColor="background1" w:themeShade="BF"/>
              <w:bottom w:val="single" w:sz="4" w:space="0" w:color="auto"/>
            </w:tcBorders>
          </w:tcPr>
          <w:p w:rsidR="000270CF" w:rsidRPr="000270CF" w:rsidRDefault="000270CF" w:rsidP="000270CF">
            <w:pPr>
              <w:pStyle w:val="Tabletext"/>
              <w:rPr>
                <w:rStyle w:val="Strong"/>
              </w:rPr>
            </w:pPr>
            <w:r w:rsidRPr="000270CF">
              <w:rPr>
                <w:rStyle w:val="Strong"/>
              </w:rPr>
              <w:t>Electricity</w:t>
            </w:r>
          </w:p>
        </w:tc>
        <w:tc>
          <w:tcPr>
            <w:tcW w:w="2126" w:type="dxa"/>
            <w:tcBorders>
              <w:top w:val="single" w:sz="4" w:space="0" w:color="BFBFBF" w:themeColor="background1" w:themeShade="BF"/>
              <w:bottom w:val="single" w:sz="4" w:space="0" w:color="auto"/>
            </w:tcBorders>
          </w:tcPr>
          <w:p w:rsidR="000270CF" w:rsidRPr="000270CF" w:rsidRDefault="000270CF" w:rsidP="000270CF">
            <w:pPr>
              <w:pStyle w:val="Tabletext"/>
              <w:rPr>
                <w:rStyle w:val="Strong"/>
              </w:rPr>
            </w:pPr>
          </w:p>
        </w:tc>
        <w:tc>
          <w:tcPr>
            <w:tcW w:w="1559" w:type="dxa"/>
            <w:tcBorders>
              <w:top w:val="single" w:sz="4" w:space="0" w:color="BFBFBF" w:themeColor="background1" w:themeShade="BF"/>
              <w:bottom w:val="single" w:sz="4" w:space="0" w:color="auto"/>
            </w:tcBorders>
          </w:tcPr>
          <w:p w:rsidR="000270CF" w:rsidRPr="000270CF" w:rsidRDefault="000270CF" w:rsidP="000270CF">
            <w:pPr>
              <w:pStyle w:val="Tabletext"/>
              <w:rPr>
                <w:rStyle w:val="Strong"/>
              </w:rPr>
            </w:pPr>
          </w:p>
        </w:tc>
        <w:tc>
          <w:tcPr>
            <w:tcW w:w="1615" w:type="dxa"/>
            <w:tcBorders>
              <w:top w:val="single" w:sz="4" w:space="0" w:color="BFBFBF" w:themeColor="background1" w:themeShade="BF"/>
              <w:bottom w:val="single" w:sz="4" w:space="0" w:color="auto"/>
            </w:tcBorders>
          </w:tcPr>
          <w:p w:rsidR="000270CF" w:rsidRPr="000270CF" w:rsidRDefault="000270CF" w:rsidP="000270CF">
            <w:pPr>
              <w:pStyle w:val="Tabletext"/>
              <w:rPr>
                <w:rStyle w:val="Strong"/>
              </w:rPr>
            </w:pPr>
          </w:p>
        </w:tc>
        <w:tc>
          <w:tcPr>
            <w:tcW w:w="1849" w:type="dxa"/>
            <w:tcBorders>
              <w:top w:val="single" w:sz="4" w:space="0" w:color="BFBFBF" w:themeColor="background1" w:themeShade="BF"/>
              <w:bottom w:val="single" w:sz="4" w:space="0" w:color="auto"/>
            </w:tcBorders>
          </w:tcPr>
          <w:p w:rsidR="000270CF" w:rsidRPr="000270CF" w:rsidRDefault="000270CF" w:rsidP="000270CF">
            <w:pPr>
              <w:pStyle w:val="Tabletext"/>
              <w:rPr>
                <w:rStyle w:val="Strong"/>
              </w:rPr>
            </w:pPr>
          </w:p>
        </w:tc>
      </w:tr>
      <w:tr w:rsidR="000270CF" w:rsidTr="007061F2">
        <w:tc>
          <w:tcPr>
            <w:tcW w:w="2093" w:type="dxa"/>
            <w:tcBorders>
              <w:top w:val="single" w:sz="4" w:space="0" w:color="auto"/>
              <w:bottom w:val="single" w:sz="4" w:space="0" w:color="auto"/>
            </w:tcBorders>
          </w:tcPr>
          <w:p w:rsidR="000270CF" w:rsidRPr="000270CF" w:rsidRDefault="000270CF" w:rsidP="000270CF">
            <w:pPr>
              <w:pStyle w:val="Tabletext"/>
              <w:rPr>
                <w:rStyle w:val="Strong"/>
                <w:b w:val="0"/>
                <w:bCs w:val="0"/>
              </w:rPr>
            </w:pPr>
            <w:r w:rsidRPr="000270CF">
              <w:rPr>
                <w:rStyle w:val="Strong"/>
                <w:b w:val="0"/>
                <w:bCs w:val="0"/>
              </w:rPr>
              <w:t>ActewAGL</w:t>
            </w:r>
          </w:p>
        </w:tc>
        <w:tc>
          <w:tcPr>
            <w:tcW w:w="2126" w:type="dxa"/>
            <w:tcBorders>
              <w:top w:val="single" w:sz="4" w:space="0" w:color="auto"/>
              <w:bottom w:val="single" w:sz="4" w:space="0" w:color="auto"/>
            </w:tcBorders>
          </w:tcPr>
          <w:p w:rsidR="000270CF" w:rsidRPr="000270CF" w:rsidRDefault="000270CF" w:rsidP="000270CF">
            <w:pPr>
              <w:pStyle w:val="Tabletext"/>
            </w:pPr>
            <w:r w:rsidRPr="000270CF">
              <w:t>26%</w:t>
            </w:r>
          </w:p>
        </w:tc>
        <w:tc>
          <w:tcPr>
            <w:tcW w:w="1559" w:type="dxa"/>
            <w:tcBorders>
              <w:top w:val="single" w:sz="4" w:space="0" w:color="auto"/>
              <w:bottom w:val="single" w:sz="4" w:space="0" w:color="auto"/>
            </w:tcBorders>
          </w:tcPr>
          <w:p w:rsidR="000270CF" w:rsidRPr="000270CF" w:rsidRDefault="000270CF" w:rsidP="000270CF">
            <w:pPr>
              <w:pStyle w:val="Tabletext"/>
            </w:pPr>
            <w:r w:rsidRPr="000270CF">
              <w:t>$1222</w:t>
            </w:r>
          </w:p>
        </w:tc>
        <w:tc>
          <w:tcPr>
            <w:tcW w:w="1615" w:type="dxa"/>
            <w:tcBorders>
              <w:top w:val="single" w:sz="4" w:space="0" w:color="auto"/>
              <w:bottom w:val="single" w:sz="4" w:space="0" w:color="auto"/>
            </w:tcBorders>
          </w:tcPr>
          <w:p w:rsidR="000270CF" w:rsidRPr="000270CF" w:rsidRDefault="000270CF" w:rsidP="000270CF">
            <w:pPr>
              <w:pStyle w:val="Tabletext"/>
            </w:pPr>
            <w:r w:rsidRPr="000270CF">
              <w:t>47%</w:t>
            </w:r>
          </w:p>
        </w:tc>
        <w:tc>
          <w:tcPr>
            <w:tcW w:w="1849" w:type="dxa"/>
            <w:tcBorders>
              <w:top w:val="single" w:sz="4" w:space="0" w:color="auto"/>
              <w:bottom w:val="single" w:sz="4" w:space="0" w:color="auto"/>
            </w:tcBorders>
          </w:tcPr>
          <w:p w:rsidR="000270CF" w:rsidRPr="000270CF" w:rsidRDefault="000270CF" w:rsidP="000270CF">
            <w:pPr>
              <w:pStyle w:val="Tabletext"/>
            </w:pPr>
            <w:r w:rsidRPr="000270CF">
              <w:t>12%</w:t>
            </w:r>
          </w:p>
        </w:tc>
      </w:tr>
      <w:tr w:rsidR="000270CF" w:rsidTr="007061F2">
        <w:tc>
          <w:tcPr>
            <w:tcW w:w="2093" w:type="dxa"/>
            <w:tcBorders>
              <w:top w:val="single" w:sz="4" w:space="0" w:color="auto"/>
              <w:bottom w:val="single" w:sz="4" w:space="0" w:color="auto"/>
            </w:tcBorders>
          </w:tcPr>
          <w:p w:rsidR="000270CF" w:rsidRPr="000270CF" w:rsidRDefault="000270CF" w:rsidP="000270CF">
            <w:pPr>
              <w:pStyle w:val="Tabletext"/>
              <w:rPr>
                <w:rStyle w:val="Strong"/>
                <w:b w:val="0"/>
                <w:bCs w:val="0"/>
              </w:rPr>
            </w:pPr>
            <w:r w:rsidRPr="000270CF">
              <w:rPr>
                <w:rStyle w:val="Strong"/>
                <w:b w:val="0"/>
                <w:bCs w:val="0"/>
              </w:rPr>
              <w:t>AGL</w:t>
            </w:r>
          </w:p>
        </w:tc>
        <w:tc>
          <w:tcPr>
            <w:tcW w:w="2126" w:type="dxa"/>
            <w:tcBorders>
              <w:top w:val="single" w:sz="4" w:space="0" w:color="auto"/>
              <w:bottom w:val="single" w:sz="4" w:space="0" w:color="auto"/>
            </w:tcBorders>
          </w:tcPr>
          <w:p w:rsidR="000270CF" w:rsidRPr="000270CF" w:rsidRDefault="000270CF" w:rsidP="000270CF">
            <w:pPr>
              <w:pStyle w:val="Tabletext"/>
            </w:pPr>
            <w:r w:rsidRPr="000270CF">
              <w:t>17%</w:t>
            </w:r>
          </w:p>
        </w:tc>
        <w:tc>
          <w:tcPr>
            <w:tcW w:w="1559" w:type="dxa"/>
            <w:tcBorders>
              <w:top w:val="single" w:sz="4" w:space="0" w:color="auto"/>
              <w:bottom w:val="single" w:sz="4" w:space="0" w:color="auto"/>
            </w:tcBorders>
          </w:tcPr>
          <w:p w:rsidR="000270CF" w:rsidRPr="000270CF" w:rsidRDefault="000270CF" w:rsidP="000270CF">
            <w:pPr>
              <w:pStyle w:val="Tabletext"/>
            </w:pPr>
            <w:r w:rsidRPr="000270CF">
              <w:t>$1641</w:t>
            </w:r>
          </w:p>
        </w:tc>
        <w:tc>
          <w:tcPr>
            <w:tcW w:w="1615" w:type="dxa"/>
            <w:tcBorders>
              <w:top w:val="single" w:sz="4" w:space="0" w:color="auto"/>
              <w:bottom w:val="single" w:sz="4" w:space="0" w:color="auto"/>
            </w:tcBorders>
          </w:tcPr>
          <w:p w:rsidR="000270CF" w:rsidRPr="000270CF" w:rsidRDefault="000270CF" w:rsidP="000270CF">
            <w:pPr>
              <w:pStyle w:val="Tabletext"/>
            </w:pPr>
            <w:r w:rsidRPr="000270CF">
              <w:t>26%</w:t>
            </w:r>
          </w:p>
        </w:tc>
        <w:tc>
          <w:tcPr>
            <w:tcW w:w="1849" w:type="dxa"/>
            <w:tcBorders>
              <w:top w:val="single" w:sz="4" w:space="0" w:color="auto"/>
              <w:bottom w:val="single" w:sz="4" w:space="0" w:color="auto"/>
            </w:tcBorders>
          </w:tcPr>
          <w:p w:rsidR="000270CF" w:rsidRPr="000270CF" w:rsidRDefault="000270CF" w:rsidP="000270CF">
            <w:pPr>
              <w:pStyle w:val="Tabletext"/>
            </w:pPr>
            <w:r w:rsidRPr="000270CF">
              <w:t>23%</w:t>
            </w:r>
          </w:p>
        </w:tc>
      </w:tr>
      <w:tr w:rsidR="000270CF" w:rsidTr="007061F2">
        <w:tc>
          <w:tcPr>
            <w:tcW w:w="2093" w:type="dxa"/>
            <w:tcBorders>
              <w:top w:val="single" w:sz="4" w:space="0" w:color="auto"/>
              <w:bottom w:val="single" w:sz="4" w:space="0" w:color="auto"/>
            </w:tcBorders>
          </w:tcPr>
          <w:p w:rsidR="000270CF" w:rsidRPr="000270CF" w:rsidRDefault="000270CF" w:rsidP="000270CF">
            <w:pPr>
              <w:pStyle w:val="Tabletext"/>
              <w:rPr>
                <w:rStyle w:val="Strong"/>
                <w:b w:val="0"/>
                <w:bCs w:val="0"/>
              </w:rPr>
            </w:pPr>
            <w:r w:rsidRPr="000270CF">
              <w:rPr>
                <w:rStyle w:val="Strong"/>
                <w:b w:val="0"/>
                <w:bCs w:val="0"/>
              </w:rPr>
              <w:t>Alinta Energy</w:t>
            </w:r>
          </w:p>
        </w:tc>
        <w:tc>
          <w:tcPr>
            <w:tcW w:w="2126" w:type="dxa"/>
            <w:tcBorders>
              <w:top w:val="single" w:sz="4" w:space="0" w:color="auto"/>
              <w:bottom w:val="single" w:sz="4" w:space="0" w:color="auto"/>
            </w:tcBorders>
          </w:tcPr>
          <w:p w:rsidR="000270CF" w:rsidRPr="000270CF" w:rsidRDefault="000270CF" w:rsidP="000270CF">
            <w:pPr>
              <w:pStyle w:val="Tabletext"/>
            </w:pPr>
            <w:r w:rsidRPr="000270CF">
              <w:t>30%</w:t>
            </w:r>
          </w:p>
        </w:tc>
        <w:tc>
          <w:tcPr>
            <w:tcW w:w="1559" w:type="dxa"/>
            <w:tcBorders>
              <w:top w:val="single" w:sz="4" w:space="0" w:color="auto"/>
              <w:bottom w:val="single" w:sz="4" w:space="0" w:color="auto"/>
            </w:tcBorders>
          </w:tcPr>
          <w:p w:rsidR="000270CF" w:rsidRPr="000270CF" w:rsidRDefault="000270CF" w:rsidP="000270CF">
            <w:pPr>
              <w:pStyle w:val="Tabletext"/>
            </w:pPr>
            <w:r w:rsidRPr="000270CF">
              <w:t>$625</w:t>
            </w:r>
          </w:p>
        </w:tc>
        <w:tc>
          <w:tcPr>
            <w:tcW w:w="1615" w:type="dxa"/>
            <w:tcBorders>
              <w:top w:val="single" w:sz="4" w:space="0" w:color="auto"/>
              <w:bottom w:val="single" w:sz="4" w:space="0" w:color="auto"/>
            </w:tcBorders>
          </w:tcPr>
          <w:p w:rsidR="000270CF" w:rsidRPr="000270CF" w:rsidRDefault="000270CF" w:rsidP="000270CF">
            <w:pPr>
              <w:pStyle w:val="Tabletext"/>
            </w:pPr>
            <w:r w:rsidRPr="000270CF">
              <w:t>8%</w:t>
            </w:r>
          </w:p>
        </w:tc>
        <w:tc>
          <w:tcPr>
            <w:tcW w:w="1849" w:type="dxa"/>
            <w:tcBorders>
              <w:top w:val="single" w:sz="4" w:space="0" w:color="auto"/>
              <w:bottom w:val="single" w:sz="4" w:space="0" w:color="auto"/>
            </w:tcBorders>
          </w:tcPr>
          <w:p w:rsidR="000270CF" w:rsidRPr="000270CF" w:rsidRDefault="000270CF" w:rsidP="000270CF">
            <w:pPr>
              <w:pStyle w:val="Tabletext"/>
            </w:pPr>
            <w:r w:rsidRPr="000270CF">
              <w:t>10%</w:t>
            </w:r>
          </w:p>
        </w:tc>
      </w:tr>
      <w:tr w:rsidR="000270CF" w:rsidTr="007061F2">
        <w:tc>
          <w:tcPr>
            <w:tcW w:w="2093" w:type="dxa"/>
            <w:tcBorders>
              <w:top w:val="single" w:sz="4" w:space="0" w:color="auto"/>
              <w:bottom w:val="single" w:sz="4" w:space="0" w:color="auto"/>
            </w:tcBorders>
          </w:tcPr>
          <w:p w:rsidR="000270CF" w:rsidRPr="000270CF" w:rsidRDefault="000270CF" w:rsidP="000270CF">
            <w:pPr>
              <w:pStyle w:val="Tabletext"/>
              <w:rPr>
                <w:rStyle w:val="Strong"/>
                <w:b w:val="0"/>
                <w:bCs w:val="0"/>
              </w:rPr>
            </w:pPr>
            <w:r w:rsidRPr="000270CF">
              <w:rPr>
                <w:rStyle w:val="Strong"/>
                <w:b w:val="0"/>
                <w:bCs w:val="0"/>
              </w:rPr>
              <w:t>EnergyAustralia</w:t>
            </w:r>
          </w:p>
        </w:tc>
        <w:tc>
          <w:tcPr>
            <w:tcW w:w="2126" w:type="dxa"/>
            <w:tcBorders>
              <w:top w:val="single" w:sz="4" w:space="0" w:color="auto"/>
              <w:bottom w:val="single" w:sz="4" w:space="0" w:color="auto"/>
            </w:tcBorders>
          </w:tcPr>
          <w:p w:rsidR="000270CF" w:rsidRPr="000270CF" w:rsidRDefault="000270CF" w:rsidP="000270CF">
            <w:pPr>
              <w:pStyle w:val="Tabletext"/>
            </w:pPr>
            <w:r w:rsidRPr="000270CF">
              <w:t>23%</w:t>
            </w:r>
          </w:p>
        </w:tc>
        <w:tc>
          <w:tcPr>
            <w:tcW w:w="1559" w:type="dxa"/>
            <w:tcBorders>
              <w:top w:val="single" w:sz="4" w:space="0" w:color="auto"/>
              <w:bottom w:val="single" w:sz="4" w:space="0" w:color="auto"/>
            </w:tcBorders>
          </w:tcPr>
          <w:p w:rsidR="000270CF" w:rsidRPr="000270CF" w:rsidRDefault="000270CF" w:rsidP="000270CF">
            <w:pPr>
              <w:pStyle w:val="Tabletext"/>
            </w:pPr>
            <w:r w:rsidRPr="000270CF">
              <w:t>$1130</w:t>
            </w:r>
          </w:p>
        </w:tc>
        <w:tc>
          <w:tcPr>
            <w:tcW w:w="1615" w:type="dxa"/>
            <w:tcBorders>
              <w:top w:val="single" w:sz="4" w:space="0" w:color="auto"/>
              <w:bottom w:val="single" w:sz="4" w:space="0" w:color="auto"/>
            </w:tcBorders>
          </w:tcPr>
          <w:p w:rsidR="000270CF" w:rsidRPr="000270CF" w:rsidRDefault="000270CF" w:rsidP="000270CF">
            <w:pPr>
              <w:pStyle w:val="Tabletext"/>
            </w:pPr>
            <w:r w:rsidRPr="000270CF">
              <w:t>3%</w:t>
            </w:r>
          </w:p>
        </w:tc>
        <w:tc>
          <w:tcPr>
            <w:tcW w:w="1849" w:type="dxa"/>
            <w:tcBorders>
              <w:top w:val="single" w:sz="4" w:space="0" w:color="auto"/>
              <w:bottom w:val="single" w:sz="4" w:space="0" w:color="auto"/>
            </w:tcBorders>
          </w:tcPr>
          <w:p w:rsidR="000270CF" w:rsidRPr="000270CF" w:rsidRDefault="000270CF" w:rsidP="000270CF">
            <w:pPr>
              <w:pStyle w:val="Tabletext"/>
            </w:pPr>
            <w:r w:rsidRPr="000270CF">
              <w:t>33%</w:t>
            </w:r>
          </w:p>
        </w:tc>
      </w:tr>
      <w:tr w:rsidR="000270CF" w:rsidTr="007061F2">
        <w:tc>
          <w:tcPr>
            <w:tcW w:w="2093" w:type="dxa"/>
            <w:tcBorders>
              <w:top w:val="single" w:sz="4" w:space="0" w:color="auto"/>
              <w:bottom w:val="single" w:sz="4" w:space="0" w:color="auto"/>
            </w:tcBorders>
          </w:tcPr>
          <w:p w:rsidR="000270CF" w:rsidRPr="000270CF" w:rsidRDefault="000270CF" w:rsidP="000270CF">
            <w:pPr>
              <w:pStyle w:val="Tabletext"/>
              <w:rPr>
                <w:rStyle w:val="Strong"/>
                <w:b w:val="0"/>
                <w:bCs w:val="0"/>
              </w:rPr>
            </w:pPr>
            <w:r w:rsidRPr="000270CF">
              <w:rPr>
                <w:rStyle w:val="Strong"/>
                <w:b w:val="0"/>
                <w:bCs w:val="0"/>
              </w:rPr>
              <w:t>Lumo Energy</w:t>
            </w:r>
          </w:p>
        </w:tc>
        <w:tc>
          <w:tcPr>
            <w:tcW w:w="2126" w:type="dxa"/>
            <w:tcBorders>
              <w:top w:val="single" w:sz="4" w:space="0" w:color="auto"/>
              <w:bottom w:val="single" w:sz="4" w:space="0" w:color="auto"/>
            </w:tcBorders>
          </w:tcPr>
          <w:p w:rsidR="000270CF" w:rsidRPr="000270CF" w:rsidRDefault="000270CF" w:rsidP="000270CF">
            <w:pPr>
              <w:pStyle w:val="Tabletext"/>
            </w:pPr>
            <w:r w:rsidRPr="000270CF">
              <w:t>11%</w:t>
            </w:r>
          </w:p>
        </w:tc>
        <w:tc>
          <w:tcPr>
            <w:tcW w:w="1559" w:type="dxa"/>
            <w:tcBorders>
              <w:top w:val="single" w:sz="4" w:space="0" w:color="auto"/>
              <w:bottom w:val="single" w:sz="4" w:space="0" w:color="auto"/>
            </w:tcBorders>
          </w:tcPr>
          <w:p w:rsidR="000270CF" w:rsidRPr="000270CF" w:rsidRDefault="000270CF" w:rsidP="000270CF">
            <w:pPr>
              <w:pStyle w:val="Tabletext"/>
            </w:pPr>
            <w:r w:rsidRPr="000270CF">
              <w:t>$474</w:t>
            </w:r>
          </w:p>
        </w:tc>
        <w:tc>
          <w:tcPr>
            <w:tcW w:w="1615" w:type="dxa"/>
            <w:tcBorders>
              <w:top w:val="single" w:sz="4" w:space="0" w:color="auto"/>
              <w:bottom w:val="single" w:sz="4" w:space="0" w:color="auto"/>
            </w:tcBorders>
          </w:tcPr>
          <w:p w:rsidR="000270CF" w:rsidRPr="000270CF" w:rsidRDefault="000270CF" w:rsidP="000270CF">
            <w:pPr>
              <w:pStyle w:val="Tabletext"/>
            </w:pPr>
            <w:r w:rsidRPr="000270CF">
              <w:t>8%</w:t>
            </w:r>
          </w:p>
        </w:tc>
        <w:tc>
          <w:tcPr>
            <w:tcW w:w="1849" w:type="dxa"/>
            <w:tcBorders>
              <w:top w:val="single" w:sz="4" w:space="0" w:color="auto"/>
              <w:bottom w:val="single" w:sz="4" w:space="0" w:color="auto"/>
            </w:tcBorders>
          </w:tcPr>
          <w:p w:rsidR="000270CF" w:rsidRPr="000270CF" w:rsidRDefault="000270CF" w:rsidP="000270CF">
            <w:pPr>
              <w:pStyle w:val="Tabletext"/>
            </w:pPr>
            <w:r w:rsidRPr="000270CF">
              <w:t>19%</w:t>
            </w:r>
          </w:p>
        </w:tc>
      </w:tr>
      <w:tr w:rsidR="000270CF" w:rsidTr="007061F2">
        <w:tc>
          <w:tcPr>
            <w:tcW w:w="2093" w:type="dxa"/>
            <w:tcBorders>
              <w:top w:val="single" w:sz="4" w:space="0" w:color="auto"/>
              <w:bottom w:val="single" w:sz="4" w:space="0" w:color="auto"/>
            </w:tcBorders>
          </w:tcPr>
          <w:p w:rsidR="000270CF" w:rsidRPr="000270CF" w:rsidRDefault="000270CF" w:rsidP="000270CF">
            <w:pPr>
              <w:pStyle w:val="Tabletext"/>
              <w:rPr>
                <w:rStyle w:val="Strong"/>
                <w:b w:val="0"/>
                <w:bCs w:val="0"/>
              </w:rPr>
            </w:pPr>
            <w:r w:rsidRPr="000270CF">
              <w:rPr>
                <w:rStyle w:val="Strong"/>
                <w:b w:val="0"/>
                <w:bCs w:val="0"/>
              </w:rPr>
              <w:t>M2 Energy</w:t>
            </w:r>
          </w:p>
        </w:tc>
        <w:tc>
          <w:tcPr>
            <w:tcW w:w="2126" w:type="dxa"/>
            <w:tcBorders>
              <w:top w:val="single" w:sz="4" w:space="0" w:color="auto"/>
              <w:bottom w:val="single" w:sz="4" w:space="0" w:color="auto"/>
            </w:tcBorders>
          </w:tcPr>
          <w:p w:rsidR="000270CF" w:rsidRPr="000270CF" w:rsidRDefault="000270CF" w:rsidP="000270CF">
            <w:pPr>
              <w:pStyle w:val="Tabletext"/>
            </w:pPr>
            <w:r w:rsidRPr="000270CF">
              <w:t>64%</w:t>
            </w:r>
          </w:p>
        </w:tc>
        <w:tc>
          <w:tcPr>
            <w:tcW w:w="1559" w:type="dxa"/>
            <w:tcBorders>
              <w:top w:val="single" w:sz="4" w:space="0" w:color="auto"/>
              <w:bottom w:val="single" w:sz="4" w:space="0" w:color="auto"/>
            </w:tcBorders>
          </w:tcPr>
          <w:p w:rsidR="000270CF" w:rsidRPr="000270CF" w:rsidRDefault="000270CF" w:rsidP="000270CF">
            <w:pPr>
              <w:pStyle w:val="Tabletext"/>
            </w:pPr>
            <w:r w:rsidRPr="000270CF">
              <w:t>$1636</w:t>
            </w:r>
          </w:p>
        </w:tc>
        <w:tc>
          <w:tcPr>
            <w:tcW w:w="1615" w:type="dxa"/>
            <w:tcBorders>
              <w:top w:val="single" w:sz="4" w:space="0" w:color="auto"/>
              <w:bottom w:val="single" w:sz="4" w:space="0" w:color="auto"/>
            </w:tcBorders>
          </w:tcPr>
          <w:p w:rsidR="000270CF" w:rsidRPr="000270CF" w:rsidRDefault="000270CF" w:rsidP="000270CF">
            <w:pPr>
              <w:pStyle w:val="Tabletext"/>
            </w:pPr>
            <w:r w:rsidRPr="000270CF">
              <w:t>15%</w:t>
            </w:r>
          </w:p>
        </w:tc>
        <w:tc>
          <w:tcPr>
            <w:tcW w:w="1849" w:type="dxa"/>
            <w:tcBorders>
              <w:top w:val="single" w:sz="4" w:space="0" w:color="auto"/>
              <w:bottom w:val="single" w:sz="4" w:space="0" w:color="auto"/>
            </w:tcBorders>
          </w:tcPr>
          <w:p w:rsidR="000270CF" w:rsidRPr="000270CF" w:rsidRDefault="000270CF" w:rsidP="000270CF">
            <w:pPr>
              <w:pStyle w:val="Tabletext"/>
            </w:pPr>
            <w:r w:rsidRPr="000270CF">
              <w:t>11%</w:t>
            </w:r>
          </w:p>
        </w:tc>
      </w:tr>
      <w:tr w:rsidR="000270CF" w:rsidTr="007061F2">
        <w:tc>
          <w:tcPr>
            <w:tcW w:w="2093" w:type="dxa"/>
            <w:tcBorders>
              <w:top w:val="single" w:sz="4" w:space="0" w:color="auto"/>
              <w:bottom w:val="single" w:sz="4" w:space="0" w:color="auto"/>
            </w:tcBorders>
          </w:tcPr>
          <w:p w:rsidR="000270CF" w:rsidRPr="000270CF" w:rsidRDefault="000270CF" w:rsidP="000270CF">
            <w:pPr>
              <w:pStyle w:val="Tabletext"/>
              <w:rPr>
                <w:rStyle w:val="Strong"/>
                <w:b w:val="0"/>
                <w:bCs w:val="0"/>
              </w:rPr>
            </w:pPr>
            <w:r w:rsidRPr="000270CF">
              <w:rPr>
                <w:rStyle w:val="Strong"/>
                <w:b w:val="0"/>
                <w:bCs w:val="0"/>
              </w:rPr>
              <w:t>Momentum Energy</w:t>
            </w:r>
          </w:p>
        </w:tc>
        <w:tc>
          <w:tcPr>
            <w:tcW w:w="2126" w:type="dxa"/>
            <w:tcBorders>
              <w:top w:val="single" w:sz="4" w:space="0" w:color="auto"/>
              <w:bottom w:val="single" w:sz="4" w:space="0" w:color="auto"/>
            </w:tcBorders>
          </w:tcPr>
          <w:p w:rsidR="000270CF" w:rsidRPr="000270CF" w:rsidRDefault="000270CF" w:rsidP="000270CF">
            <w:pPr>
              <w:pStyle w:val="Tabletext"/>
            </w:pPr>
            <w:r w:rsidRPr="000270CF">
              <w:t>44%</w:t>
            </w:r>
          </w:p>
        </w:tc>
        <w:tc>
          <w:tcPr>
            <w:tcW w:w="1559" w:type="dxa"/>
            <w:tcBorders>
              <w:top w:val="single" w:sz="4" w:space="0" w:color="auto"/>
              <w:bottom w:val="single" w:sz="4" w:space="0" w:color="auto"/>
            </w:tcBorders>
          </w:tcPr>
          <w:p w:rsidR="000270CF" w:rsidRPr="000270CF" w:rsidRDefault="000270CF" w:rsidP="000270CF">
            <w:pPr>
              <w:pStyle w:val="Tabletext"/>
            </w:pPr>
            <w:r w:rsidRPr="000270CF">
              <w:t>$440</w:t>
            </w:r>
          </w:p>
        </w:tc>
        <w:tc>
          <w:tcPr>
            <w:tcW w:w="1615" w:type="dxa"/>
            <w:tcBorders>
              <w:top w:val="single" w:sz="4" w:space="0" w:color="auto"/>
              <w:bottom w:val="single" w:sz="4" w:space="0" w:color="auto"/>
            </w:tcBorders>
          </w:tcPr>
          <w:p w:rsidR="000270CF" w:rsidRPr="000270CF" w:rsidRDefault="000270CF" w:rsidP="000270CF">
            <w:pPr>
              <w:pStyle w:val="Tabletext"/>
            </w:pPr>
            <w:r w:rsidRPr="000270CF">
              <w:t>18%</w:t>
            </w:r>
          </w:p>
        </w:tc>
        <w:tc>
          <w:tcPr>
            <w:tcW w:w="1849" w:type="dxa"/>
            <w:tcBorders>
              <w:top w:val="single" w:sz="4" w:space="0" w:color="auto"/>
              <w:bottom w:val="single" w:sz="4" w:space="0" w:color="auto"/>
            </w:tcBorders>
          </w:tcPr>
          <w:p w:rsidR="000270CF" w:rsidRPr="000270CF" w:rsidRDefault="000270CF" w:rsidP="000270CF">
            <w:pPr>
              <w:pStyle w:val="Tabletext"/>
            </w:pPr>
            <w:r w:rsidRPr="000270CF">
              <w:t>7%</w:t>
            </w:r>
          </w:p>
        </w:tc>
      </w:tr>
      <w:tr w:rsidR="000270CF" w:rsidTr="007061F2">
        <w:tc>
          <w:tcPr>
            <w:tcW w:w="2093" w:type="dxa"/>
            <w:tcBorders>
              <w:top w:val="single" w:sz="4" w:space="0" w:color="auto"/>
              <w:bottom w:val="single" w:sz="4" w:space="0" w:color="auto"/>
            </w:tcBorders>
          </w:tcPr>
          <w:p w:rsidR="000270CF" w:rsidRPr="000270CF" w:rsidRDefault="000270CF" w:rsidP="000270CF">
            <w:pPr>
              <w:pStyle w:val="Tabletext"/>
              <w:rPr>
                <w:rStyle w:val="Strong"/>
                <w:b w:val="0"/>
                <w:bCs w:val="0"/>
              </w:rPr>
            </w:pPr>
            <w:r w:rsidRPr="000270CF">
              <w:rPr>
                <w:rStyle w:val="Strong"/>
                <w:b w:val="0"/>
                <w:bCs w:val="0"/>
              </w:rPr>
              <w:t>Origin Energy</w:t>
            </w:r>
          </w:p>
        </w:tc>
        <w:tc>
          <w:tcPr>
            <w:tcW w:w="2126" w:type="dxa"/>
            <w:tcBorders>
              <w:top w:val="single" w:sz="4" w:space="0" w:color="auto"/>
              <w:bottom w:val="single" w:sz="4" w:space="0" w:color="auto"/>
            </w:tcBorders>
          </w:tcPr>
          <w:p w:rsidR="000270CF" w:rsidRPr="000270CF" w:rsidRDefault="000270CF" w:rsidP="000270CF">
            <w:pPr>
              <w:pStyle w:val="Tabletext"/>
            </w:pPr>
            <w:r w:rsidRPr="000270CF">
              <w:t>32%</w:t>
            </w:r>
          </w:p>
        </w:tc>
        <w:tc>
          <w:tcPr>
            <w:tcW w:w="1559" w:type="dxa"/>
            <w:tcBorders>
              <w:top w:val="single" w:sz="4" w:space="0" w:color="auto"/>
              <w:bottom w:val="single" w:sz="4" w:space="0" w:color="auto"/>
            </w:tcBorders>
          </w:tcPr>
          <w:p w:rsidR="000270CF" w:rsidRPr="000270CF" w:rsidRDefault="000270CF" w:rsidP="000270CF">
            <w:pPr>
              <w:pStyle w:val="Tabletext"/>
            </w:pPr>
            <w:r w:rsidRPr="000270CF">
              <w:t>$697</w:t>
            </w:r>
          </w:p>
        </w:tc>
        <w:tc>
          <w:tcPr>
            <w:tcW w:w="1615" w:type="dxa"/>
            <w:tcBorders>
              <w:top w:val="single" w:sz="4" w:space="0" w:color="auto"/>
              <w:bottom w:val="single" w:sz="4" w:space="0" w:color="auto"/>
            </w:tcBorders>
          </w:tcPr>
          <w:p w:rsidR="000270CF" w:rsidRPr="000270CF" w:rsidRDefault="000270CF" w:rsidP="000270CF">
            <w:pPr>
              <w:pStyle w:val="Tabletext"/>
            </w:pPr>
            <w:r w:rsidRPr="000270CF">
              <w:t>39%</w:t>
            </w:r>
          </w:p>
        </w:tc>
        <w:tc>
          <w:tcPr>
            <w:tcW w:w="1849" w:type="dxa"/>
            <w:tcBorders>
              <w:top w:val="single" w:sz="4" w:space="0" w:color="auto"/>
              <w:bottom w:val="single" w:sz="4" w:space="0" w:color="auto"/>
            </w:tcBorders>
          </w:tcPr>
          <w:p w:rsidR="000270CF" w:rsidRPr="000270CF" w:rsidRDefault="000270CF" w:rsidP="000270CF">
            <w:pPr>
              <w:pStyle w:val="Tabletext"/>
            </w:pPr>
            <w:r w:rsidRPr="000270CF">
              <w:t>24%</w:t>
            </w:r>
          </w:p>
        </w:tc>
      </w:tr>
      <w:tr w:rsidR="000270CF" w:rsidTr="007061F2">
        <w:tc>
          <w:tcPr>
            <w:tcW w:w="2093" w:type="dxa"/>
            <w:tcBorders>
              <w:top w:val="single" w:sz="4" w:space="0" w:color="auto"/>
              <w:bottom w:val="single" w:sz="4" w:space="0" w:color="auto"/>
            </w:tcBorders>
          </w:tcPr>
          <w:p w:rsidR="000270CF" w:rsidRPr="000270CF" w:rsidRDefault="000270CF" w:rsidP="000270CF">
            <w:pPr>
              <w:pStyle w:val="Tabletext"/>
              <w:rPr>
                <w:rStyle w:val="Strong"/>
                <w:b w:val="0"/>
                <w:bCs w:val="0"/>
              </w:rPr>
            </w:pPr>
            <w:r w:rsidRPr="000270CF">
              <w:rPr>
                <w:rStyle w:val="Strong"/>
                <w:b w:val="0"/>
                <w:bCs w:val="0"/>
              </w:rPr>
              <w:t>Powerdirect</w:t>
            </w:r>
          </w:p>
        </w:tc>
        <w:tc>
          <w:tcPr>
            <w:tcW w:w="2126" w:type="dxa"/>
            <w:tcBorders>
              <w:top w:val="single" w:sz="4" w:space="0" w:color="auto"/>
              <w:bottom w:val="single" w:sz="4" w:space="0" w:color="auto"/>
            </w:tcBorders>
          </w:tcPr>
          <w:p w:rsidR="000270CF" w:rsidRPr="000270CF" w:rsidRDefault="000270CF" w:rsidP="000270CF">
            <w:pPr>
              <w:pStyle w:val="Tabletext"/>
            </w:pPr>
            <w:r w:rsidRPr="000270CF">
              <w:t>9%</w:t>
            </w:r>
          </w:p>
        </w:tc>
        <w:tc>
          <w:tcPr>
            <w:tcW w:w="1559" w:type="dxa"/>
            <w:tcBorders>
              <w:top w:val="single" w:sz="4" w:space="0" w:color="auto"/>
              <w:bottom w:val="single" w:sz="4" w:space="0" w:color="auto"/>
            </w:tcBorders>
          </w:tcPr>
          <w:p w:rsidR="000270CF" w:rsidRPr="000270CF" w:rsidRDefault="000270CF" w:rsidP="000270CF">
            <w:pPr>
              <w:pStyle w:val="Tabletext"/>
            </w:pPr>
            <w:r w:rsidRPr="000270CF">
              <w:t>$2262</w:t>
            </w:r>
          </w:p>
        </w:tc>
        <w:tc>
          <w:tcPr>
            <w:tcW w:w="1615" w:type="dxa"/>
            <w:tcBorders>
              <w:top w:val="single" w:sz="4" w:space="0" w:color="auto"/>
              <w:bottom w:val="single" w:sz="4" w:space="0" w:color="auto"/>
            </w:tcBorders>
          </w:tcPr>
          <w:p w:rsidR="000270CF" w:rsidRPr="000270CF" w:rsidRDefault="000270CF" w:rsidP="000270CF">
            <w:pPr>
              <w:pStyle w:val="Tabletext"/>
            </w:pPr>
            <w:r w:rsidRPr="000270CF">
              <w:t>29%</w:t>
            </w:r>
          </w:p>
        </w:tc>
        <w:tc>
          <w:tcPr>
            <w:tcW w:w="1849" w:type="dxa"/>
            <w:tcBorders>
              <w:top w:val="single" w:sz="4" w:space="0" w:color="auto"/>
              <w:bottom w:val="single" w:sz="4" w:space="0" w:color="auto"/>
            </w:tcBorders>
          </w:tcPr>
          <w:p w:rsidR="000270CF" w:rsidRPr="000270CF" w:rsidRDefault="000270CF" w:rsidP="000270CF">
            <w:pPr>
              <w:pStyle w:val="Tabletext"/>
            </w:pPr>
            <w:r w:rsidRPr="000270CF">
              <w:t>30%</w:t>
            </w:r>
          </w:p>
        </w:tc>
      </w:tr>
      <w:tr w:rsidR="000270CF" w:rsidTr="007061F2">
        <w:tc>
          <w:tcPr>
            <w:tcW w:w="2093" w:type="dxa"/>
            <w:tcBorders>
              <w:top w:val="single" w:sz="4" w:space="0" w:color="auto"/>
              <w:bottom w:val="single" w:sz="4" w:space="0" w:color="auto"/>
            </w:tcBorders>
          </w:tcPr>
          <w:p w:rsidR="000270CF" w:rsidRPr="000270CF" w:rsidRDefault="000270CF" w:rsidP="000270CF">
            <w:pPr>
              <w:pStyle w:val="Tabletext"/>
              <w:rPr>
                <w:rStyle w:val="Strong"/>
                <w:b w:val="0"/>
                <w:bCs w:val="0"/>
              </w:rPr>
            </w:pPr>
            <w:r w:rsidRPr="000270CF">
              <w:rPr>
                <w:rStyle w:val="Strong"/>
                <w:b w:val="0"/>
                <w:bCs w:val="0"/>
              </w:rPr>
              <w:t xml:space="preserve">QEnergy </w:t>
            </w:r>
          </w:p>
        </w:tc>
        <w:tc>
          <w:tcPr>
            <w:tcW w:w="2126" w:type="dxa"/>
            <w:tcBorders>
              <w:top w:val="single" w:sz="4" w:space="0" w:color="auto"/>
              <w:bottom w:val="single" w:sz="4" w:space="0" w:color="auto"/>
            </w:tcBorders>
          </w:tcPr>
          <w:p w:rsidR="000270CF" w:rsidRPr="000270CF" w:rsidRDefault="000270CF" w:rsidP="000270CF">
            <w:pPr>
              <w:pStyle w:val="Tabletext"/>
            </w:pPr>
            <w:r w:rsidRPr="000270CF">
              <w:t>27%</w:t>
            </w:r>
          </w:p>
        </w:tc>
        <w:tc>
          <w:tcPr>
            <w:tcW w:w="1559" w:type="dxa"/>
            <w:tcBorders>
              <w:top w:val="single" w:sz="4" w:space="0" w:color="auto"/>
              <w:bottom w:val="single" w:sz="4" w:space="0" w:color="auto"/>
            </w:tcBorders>
          </w:tcPr>
          <w:p w:rsidR="000270CF" w:rsidRPr="000270CF" w:rsidRDefault="000270CF" w:rsidP="000270CF">
            <w:pPr>
              <w:pStyle w:val="Tabletext"/>
            </w:pPr>
            <w:r w:rsidRPr="000270CF">
              <w:t>$900</w:t>
            </w:r>
          </w:p>
        </w:tc>
        <w:tc>
          <w:tcPr>
            <w:tcW w:w="1615" w:type="dxa"/>
            <w:tcBorders>
              <w:top w:val="single" w:sz="4" w:space="0" w:color="auto"/>
              <w:bottom w:val="single" w:sz="4" w:space="0" w:color="auto"/>
            </w:tcBorders>
          </w:tcPr>
          <w:p w:rsidR="000270CF" w:rsidRPr="000270CF" w:rsidRDefault="000270CF" w:rsidP="000270CF">
            <w:pPr>
              <w:pStyle w:val="Tabletext"/>
            </w:pPr>
            <w:r w:rsidRPr="000270CF">
              <w:t>29%</w:t>
            </w:r>
          </w:p>
        </w:tc>
        <w:tc>
          <w:tcPr>
            <w:tcW w:w="1849" w:type="dxa"/>
            <w:tcBorders>
              <w:top w:val="single" w:sz="4" w:space="0" w:color="auto"/>
              <w:bottom w:val="single" w:sz="4" w:space="0" w:color="auto"/>
            </w:tcBorders>
          </w:tcPr>
          <w:p w:rsidR="000270CF" w:rsidRPr="000270CF" w:rsidRDefault="000270CF" w:rsidP="000270CF">
            <w:pPr>
              <w:pStyle w:val="Tabletext"/>
            </w:pPr>
            <w:r w:rsidRPr="000270CF">
              <w:t>80%</w:t>
            </w:r>
          </w:p>
        </w:tc>
      </w:tr>
      <w:tr w:rsidR="000270CF" w:rsidTr="007061F2">
        <w:tc>
          <w:tcPr>
            <w:tcW w:w="2093" w:type="dxa"/>
            <w:tcBorders>
              <w:top w:val="single" w:sz="4" w:space="0" w:color="auto"/>
              <w:bottom w:val="single" w:sz="4" w:space="0" w:color="auto"/>
            </w:tcBorders>
          </w:tcPr>
          <w:p w:rsidR="000270CF" w:rsidRPr="000270CF" w:rsidRDefault="000270CF" w:rsidP="000270CF">
            <w:pPr>
              <w:pStyle w:val="Tabletext"/>
              <w:rPr>
                <w:rStyle w:val="Strong"/>
                <w:b w:val="0"/>
                <w:bCs w:val="0"/>
              </w:rPr>
            </w:pPr>
            <w:r w:rsidRPr="000270CF">
              <w:rPr>
                <w:rStyle w:val="Strong"/>
                <w:b w:val="0"/>
                <w:bCs w:val="0"/>
              </w:rPr>
              <w:t>Red Energy</w:t>
            </w:r>
          </w:p>
        </w:tc>
        <w:tc>
          <w:tcPr>
            <w:tcW w:w="2126" w:type="dxa"/>
            <w:tcBorders>
              <w:top w:val="single" w:sz="4" w:space="0" w:color="auto"/>
              <w:bottom w:val="single" w:sz="4" w:space="0" w:color="auto"/>
            </w:tcBorders>
          </w:tcPr>
          <w:p w:rsidR="000270CF" w:rsidRPr="000270CF" w:rsidRDefault="000270CF" w:rsidP="000270CF">
            <w:pPr>
              <w:pStyle w:val="Tabletext"/>
            </w:pPr>
            <w:r w:rsidRPr="000270CF">
              <w:t>25%</w:t>
            </w:r>
          </w:p>
        </w:tc>
        <w:tc>
          <w:tcPr>
            <w:tcW w:w="1559" w:type="dxa"/>
            <w:tcBorders>
              <w:top w:val="single" w:sz="4" w:space="0" w:color="auto"/>
              <w:bottom w:val="single" w:sz="4" w:space="0" w:color="auto"/>
            </w:tcBorders>
          </w:tcPr>
          <w:p w:rsidR="000270CF" w:rsidRPr="000270CF" w:rsidRDefault="000270CF" w:rsidP="000270CF">
            <w:pPr>
              <w:pStyle w:val="Tabletext"/>
            </w:pPr>
            <w:r w:rsidRPr="000270CF">
              <w:t>$192</w:t>
            </w:r>
          </w:p>
        </w:tc>
        <w:tc>
          <w:tcPr>
            <w:tcW w:w="1615" w:type="dxa"/>
            <w:tcBorders>
              <w:top w:val="single" w:sz="4" w:space="0" w:color="auto"/>
              <w:bottom w:val="single" w:sz="4" w:space="0" w:color="auto"/>
            </w:tcBorders>
          </w:tcPr>
          <w:p w:rsidR="000270CF" w:rsidRPr="000270CF" w:rsidRDefault="000270CF" w:rsidP="000270CF">
            <w:pPr>
              <w:pStyle w:val="Tabletext"/>
            </w:pPr>
            <w:r w:rsidRPr="000270CF">
              <w:t>41%</w:t>
            </w:r>
          </w:p>
        </w:tc>
        <w:tc>
          <w:tcPr>
            <w:tcW w:w="1849" w:type="dxa"/>
            <w:tcBorders>
              <w:top w:val="single" w:sz="4" w:space="0" w:color="auto"/>
              <w:bottom w:val="single" w:sz="4" w:space="0" w:color="auto"/>
            </w:tcBorders>
          </w:tcPr>
          <w:p w:rsidR="000270CF" w:rsidRPr="000270CF" w:rsidRDefault="000270CF" w:rsidP="000270CF">
            <w:pPr>
              <w:pStyle w:val="Tabletext"/>
            </w:pPr>
            <w:r w:rsidRPr="000270CF">
              <w:t>33%</w:t>
            </w:r>
          </w:p>
        </w:tc>
      </w:tr>
      <w:tr w:rsidR="000270CF" w:rsidTr="007061F2">
        <w:tc>
          <w:tcPr>
            <w:tcW w:w="2093" w:type="dxa"/>
            <w:tcBorders>
              <w:top w:val="single" w:sz="4" w:space="0" w:color="auto"/>
              <w:bottom w:val="single" w:sz="4" w:space="0" w:color="auto"/>
            </w:tcBorders>
          </w:tcPr>
          <w:p w:rsidR="000270CF" w:rsidRPr="000270CF" w:rsidRDefault="000270CF" w:rsidP="000270CF">
            <w:pPr>
              <w:pStyle w:val="Tabletext"/>
              <w:rPr>
                <w:rStyle w:val="Strong"/>
                <w:b w:val="0"/>
                <w:bCs w:val="0"/>
              </w:rPr>
            </w:pPr>
            <w:r w:rsidRPr="000270CF">
              <w:rPr>
                <w:rStyle w:val="Strong"/>
                <w:b w:val="0"/>
                <w:bCs w:val="0"/>
              </w:rPr>
              <w:t>Simply Energy</w:t>
            </w:r>
          </w:p>
        </w:tc>
        <w:tc>
          <w:tcPr>
            <w:tcW w:w="2126" w:type="dxa"/>
            <w:tcBorders>
              <w:top w:val="single" w:sz="4" w:space="0" w:color="auto"/>
              <w:bottom w:val="single" w:sz="4" w:space="0" w:color="auto"/>
            </w:tcBorders>
          </w:tcPr>
          <w:p w:rsidR="000270CF" w:rsidRPr="000270CF" w:rsidRDefault="000270CF" w:rsidP="000270CF">
            <w:pPr>
              <w:pStyle w:val="Tabletext"/>
            </w:pPr>
            <w:r w:rsidRPr="000270CF">
              <w:t>37%</w:t>
            </w:r>
          </w:p>
        </w:tc>
        <w:tc>
          <w:tcPr>
            <w:tcW w:w="1559" w:type="dxa"/>
            <w:tcBorders>
              <w:top w:val="single" w:sz="4" w:space="0" w:color="auto"/>
              <w:bottom w:val="single" w:sz="4" w:space="0" w:color="auto"/>
            </w:tcBorders>
          </w:tcPr>
          <w:p w:rsidR="000270CF" w:rsidRPr="000270CF" w:rsidRDefault="000270CF" w:rsidP="000270CF">
            <w:pPr>
              <w:pStyle w:val="Tabletext"/>
            </w:pPr>
            <w:r w:rsidRPr="000270CF">
              <w:t>$981</w:t>
            </w:r>
          </w:p>
        </w:tc>
        <w:tc>
          <w:tcPr>
            <w:tcW w:w="1615" w:type="dxa"/>
            <w:tcBorders>
              <w:top w:val="single" w:sz="4" w:space="0" w:color="auto"/>
              <w:bottom w:val="single" w:sz="4" w:space="0" w:color="auto"/>
            </w:tcBorders>
          </w:tcPr>
          <w:p w:rsidR="000270CF" w:rsidRPr="000270CF" w:rsidRDefault="000270CF" w:rsidP="000270CF">
            <w:pPr>
              <w:pStyle w:val="Tabletext"/>
            </w:pPr>
            <w:r w:rsidRPr="000270CF">
              <w:t>31%</w:t>
            </w:r>
          </w:p>
        </w:tc>
        <w:tc>
          <w:tcPr>
            <w:tcW w:w="1849" w:type="dxa"/>
            <w:tcBorders>
              <w:top w:val="single" w:sz="4" w:space="0" w:color="auto"/>
              <w:bottom w:val="single" w:sz="4" w:space="0" w:color="auto"/>
            </w:tcBorders>
          </w:tcPr>
          <w:p w:rsidR="000270CF" w:rsidRPr="000270CF" w:rsidRDefault="000270CF" w:rsidP="000270CF">
            <w:pPr>
              <w:pStyle w:val="Tabletext"/>
            </w:pPr>
            <w:r w:rsidRPr="000270CF">
              <w:t>23%</w:t>
            </w:r>
          </w:p>
        </w:tc>
      </w:tr>
      <w:tr w:rsidR="000270CF" w:rsidTr="007061F2">
        <w:tc>
          <w:tcPr>
            <w:tcW w:w="2093" w:type="dxa"/>
            <w:tcBorders>
              <w:top w:val="single" w:sz="4" w:space="0" w:color="auto"/>
              <w:bottom w:val="single" w:sz="4" w:space="0" w:color="auto"/>
            </w:tcBorders>
          </w:tcPr>
          <w:p w:rsidR="000270CF" w:rsidRPr="000270CF" w:rsidRDefault="000270CF" w:rsidP="000270CF">
            <w:pPr>
              <w:pStyle w:val="Tabletext"/>
              <w:rPr>
                <w:rStyle w:val="Strong"/>
              </w:rPr>
            </w:pPr>
            <w:r w:rsidRPr="000270CF">
              <w:rPr>
                <w:rStyle w:val="Strong"/>
              </w:rPr>
              <w:t>Gas</w:t>
            </w:r>
          </w:p>
        </w:tc>
        <w:tc>
          <w:tcPr>
            <w:tcW w:w="2126" w:type="dxa"/>
            <w:tcBorders>
              <w:top w:val="single" w:sz="4" w:space="0" w:color="auto"/>
              <w:bottom w:val="single" w:sz="4" w:space="0" w:color="auto"/>
            </w:tcBorders>
          </w:tcPr>
          <w:p w:rsidR="000270CF" w:rsidRPr="000270CF" w:rsidRDefault="000270CF" w:rsidP="000270CF">
            <w:pPr>
              <w:pStyle w:val="Tabletext"/>
            </w:pPr>
          </w:p>
        </w:tc>
        <w:tc>
          <w:tcPr>
            <w:tcW w:w="1559" w:type="dxa"/>
            <w:tcBorders>
              <w:top w:val="single" w:sz="4" w:space="0" w:color="auto"/>
              <w:bottom w:val="single" w:sz="4" w:space="0" w:color="auto"/>
            </w:tcBorders>
          </w:tcPr>
          <w:p w:rsidR="000270CF" w:rsidRPr="000270CF" w:rsidRDefault="000270CF" w:rsidP="000270CF">
            <w:pPr>
              <w:pStyle w:val="Tabletext"/>
            </w:pPr>
          </w:p>
        </w:tc>
        <w:tc>
          <w:tcPr>
            <w:tcW w:w="1615" w:type="dxa"/>
            <w:tcBorders>
              <w:top w:val="single" w:sz="4" w:space="0" w:color="auto"/>
              <w:bottom w:val="single" w:sz="4" w:space="0" w:color="auto"/>
            </w:tcBorders>
          </w:tcPr>
          <w:p w:rsidR="000270CF" w:rsidRPr="000270CF" w:rsidRDefault="000270CF" w:rsidP="000270CF">
            <w:pPr>
              <w:pStyle w:val="Tabletext"/>
            </w:pPr>
          </w:p>
        </w:tc>
        <w:tc>
          <w:tcPr>
            <w:tcW w:w="1849" w:type="dxa"/>
            <w:tcBorders>
              <w:top w:val="single" w:sz="4" w:space="0" w:color="auto"/>
              <w:bottom w:val="single" w:sz="4" w:space="0" w:color="auto"/>
            </w:tcBorders>
          </w:tcPr>
          <w:p w:rsidR="000270CF" w:rsidRPr="000270CF" w:rsidRDefault="000270CF" w:rsidP="000270CF">
            <w:pPr>
              <w:pStyle w:val="Tabletext"/>
            </w:pPr>
          </w:p>
        </w:tc>
      </w:tr>
      <w:tr w:rsidR="000270CF" w:rsidTr="007061F2">
        <w:tc>
          <w:tcPr>
            <w:tcW w:w="2093" w:type="dxa"/>
            <w:tcBorders>
              <w:top w:val="single" w:sz="4" w:space="0" w:color="auto"/>
              <w:bottom w:val="single" w:sz="4" w:space="0" w:color="auto"/>
            </w:tcBorders>
          </w:tcPr>
          <w:p w:rsidR="000270CF" w:rsidRPr="000270CF" w:rsidRDefault="000270CF" w:rsidP="000270CF">
            <w:pPr>
              <w:pStyle w:val="Tabletext"/>
              <w:rPr>
                <w:rStyle w:val="Strong"/>
                <w:b w:val="0"/>
                <w:bCs w:val="0"/>
              </w:rPr>
            </w:pPr>
            <w:r w:rsidRPr="000270CF">
              <w:rPr>
                <w:rStyle w:val="Strong"/>
                <w:b w:val="0"/>
                <w:bCs w:val="0"/>
              </w:rPr>
              <w:t>ActewAGL</w:t>
            </w:r>
          </w:p>
        </w:tc>
        <w:tc>
          <w:tcPr>
            <w:tcW w:w="2126" w:type="dxa"/>
            <w:tcBorders>
              <w:top w:val="single" w:sz="4" w:space="0" w:color="auto"/>
              <w:bottom w:val="single" w:sz="4" w:space="0" w:color="auto"/>
            </w:tcBorders>
          </w:tcPr>
          <w:p w:rsidR="000270CF" w:rsidRPr="000270CF" w:rsidRDefault="000270CF" w:rsidP="000270CF">
            <w:pPr>
              <w:pStyle w:val="Tabletext"/>
            </w:pPr>
            <w:r w:rsidRPr="000270CF">
              <w:t>9%</w:t>
            </w:r>
          </w:p>
        </w:tc>
        <w:tc>
          <w:tcPr>
            <w:tcW w:w="1559" w:type="dxa"/>
            <w:tcBorders>
              <w:top w:val="single" w:sz="4" w:space="0" w:color="auto"/>
              <w:bottom w:val="single" w:sz="4" w:space="0" w:color="auto"/>
            </w:tcBorders>
          </w:tcPr>
          <w:p w:rsidR="000270CF" w:rsidRPr="000270CF" w:rsidRDefault="000270CF" w:rsidP="000270CF">
            <w:pPr>
              <w:pStyle w:val="Tabletext"/>
            </w:pPr>
            <w:r w:rsidRPr="000270CF">
              <w:t>$1056</w:t>
            </w:r>
          </w:p>
        </w:tc>
        <w:tc>
          <w:tcPr>
            <w:tcW w:w="1615" w:type="dxa"/>
            <w:tcBorders>
              <w:top w:val="single" w:sz="4" w:space="0" w:color="auto"/>
              <w:bottom w:val="single" w:sz="4" w:space="0" w:color="auto"/>
            </w:tcBorders>
          </w:tcPr>
          <w:p w:rsidR="000270CF" w:rsidRPr="000270CF" w:rsidRDefault="000270CF" w:rsidP="000270CF">
            <w:pPr>
              <w:pStyle w:val="Tabletext"/>
            </w:pPr>
            <w:r w:rsidRPr="000270CF">
              <w:t>25%</w:t>
            </w:r>
          </w:p>
        </w:tc>
        <w:tc>
          <w:tcPr>
            <w:tcW w:w="1849" w:type="dxa"/>
            <w:tcBorders>
              <w:top w:val="single" w:sz="4" w:space="0" w:color="auto"/>
              <w:bottom w:val="single" w:sz="4" w:space="0" w:color="auto"/>
            </w:tcBorders>
          </w:tcPr>
          <w:p w:rsidR="000270CF" w:rsidRPr="000270CF" w:rsidRDefault="000270CF" w:rsidP="000270CF">
            <w:pPr>
              <w:pStyle w:val="Tabletext"/>
            </w:pPr>
            <w:r w:rsidRPr="000270CF">
              <w:t>41%</w:t>
            </w:r>
          </w:p>
        </w:tc>
      </w:tr>
      <w:tr w:rsidR="000270CF" w:rsidTr="007061F2">
        <w:tc>
          <w:tcPr>
            <w:tcW w:w="2093" w:type="dxa"/>
            <w:tcBorders>
              <w:top w:val="single" w:sz="4" w:space="0" w:color="auto"/>
              <w:bottom w:val="single" w:sz="4" w:space="0" w:color="auto"/>
            </w:tcBorders>
          </w:tcPr>
          <w:p w:rsidR="000270CF" w:rsidRPr="000270CF" w:rsidRDefault="000270CF" w:rsidP="000270CF">
            <w:pPr>
              <w:pStyle w:val="Tabletext"/>
              <w:rPr>
                <w:rStyle w:val="Strong"/>
                <w:b w:val="0"/>
                <w:bCs w:val="0"/>
              </w:rPr>
            </w:pPr>
            <w:r w:rsidRPr="000270CF">
              <w:rPr>
                <w:rStyle w:val="Strong"/>
                <w:b w:val="0"/>
                <w:bCs w:val="0"/>
              </w:rPr>
              <w:t>AGL</w:t>
            </w:r>
          </w:p>
        </w:tc>
        <w:tc>
          <w:tcPr>
            <w:tcW w:w="2126" w:type="dxa"/>
            <w:tcBorders>
              <w:top w:val="single" w:sz="4" w:space="0" w:color="auto"/>
              <w:bottom w:val="single" w:sz="4" w:space="0" w:color="auto"/>
            </w:tcBorders>
          </w:tcPr>
          <w:p w:rsidR="000270CF" w:rsidRPr="000270CF" w:rsidRDefault="000270CF" w:rsidP="000270CF">
            <w:pPr>
              <w:pStyle w:val="Tabletext"/>
            </w:pPr>
            <w:r w:rsidRPr="000270CF">
              <w:t>11%</w:t>
            </w:r>
          </w:p>
        </w:tc>
        <w:tc>
          <w:tcPr>
            <w:tcW w:w="1559" w:type="dxa"/>
            <w:tcBorders>
              <w:top w:val="single" w:sz="4" w:space="0" w:color="auto"/>
              <w:bottom w:val="single" w:sz="4" w:space="0" w:color="auto"/>
            </w:tcBorders>
          </w:tcPr>
          <w:p w:rsidR="000270CF" w:rsidRPr="000270CF" w:rsidRDefault="000270CF" w:rsidP="000270CF">
            <w:pPr>
              <w:pStyle w:val="Tabletext"/>
            </w:pPr>
            <w:r w:rsidRPr="000270CF">
              <w:t>$729</w:t>
            </w:r>
          </w:p>
        </w:tc>
        <w:tc>
          <w:tcPr>
            <w:tcW w:w="1615" w:type="dxa"/>
            <w:tcBorders>
              <w:top w:val="single" w:sz="4" w:space="0" w:color="auto"/>
              <w:bottom w:val="single" w:sz="4" w:space="0" w:color="auto"/>
            </w:tcBorders>
          </w:tcPr>
          <w:p w:rsidR="000270CF" w:rsidRPr="000270CF" w:rsidRDefault="000270CF" w:rsidP="000270CF">
            <w:pPr>
              <w:pStyle w:val="Tabletext"/>
            </w:pPr>
            <w:r w:rsidRPr="000270CF">
              <w:t>23%</w:t>
            </w:r>
          </w:p>
        </w:tc>
        <w:tc>
          <w:tcPr>
            <w:tcW w:w="1849" w:type="dxa"/>
            <w:tcBorders>
              <w:top w:val="single" w:sz="4" w:space="0" w:color="auto"/>
              <w:bottom w:val="single" w:sz="4" w:space="0" w:color="auto"/>
            </w:tcBorders>
          </w:tcPr>
          <w:p w:rsidR="000270CF" w:rsidRPr="000270CF" w:rsidRDefault="000270CF" w:rsidP="000270CF">
            <w:pPr>
              <w:pStyle w:val="Tabletext"/>
            </w:pPr>
            <w:r w:rsidRPr="000270CF">
              <w:t>22%</w:t>
            </w:r>
          </w:p>
        </w:tc>
      </w:tr>
      <w:tr w:rsidR="000270CF" w:rsidTr="007061F2">
        <w:tc>
          <w:tcPr>
            <w:tcW w:w="2093" w:type="dxa"/>
            <w:tcBorders>
              <w:top w:val="single" w:sz="4" w:space="0" w:color="auto"/>
              <w:bottom w:val="single" w:sz="4" w:space="0" w:color="auto"/>
            </w:tcBorders>
          </w:tcPr>
          <w:p w:rsidR="000270CF" w:rsidRPr="000270CF" w:rsidRDefault="000270CF" w:rsidP="000270CF">
            <w:pPr>
              <w:pStyle w:val="Tabletext"/>
              <w:rPr>
                <w:rStyle w:val="Strong"/>
                <w:b w:val="0"/>
                <w:bCs w:val="0"/>
              </w:rPr>
            </w:pPr>
            <w:r w:rsidRPr="000270CF">
              <w:rPr>
                <w:rStyle w:val="Strong"/>
                <w:b w:val="0"/>
                <w:bCs w:val="0"/>
              </w:rPr>
              <w:t>Alinta Energy</w:t>
            </w:r>
          </w:p>
        </w:tc>
        <w:tc>
          <w:tcPr>
            <w:tcW w:w="2126" w:type="dxa"/>
            <w:tcBorders>
              <w:top w:val="single" w:sz="4" w:space="0" w:color="auto"/>
              <w:bottom w:val="single" w:sz="4" w:space="0" w:color="auto"/>
            </w:tcBorders>
          </w:tcPr>
          <w:p w:rsidR="000270CF" w:rsidRPr="000270CF" w:rsidRDefault="000270CF" w:rsidP="000270CF">
            <w:pPr>
              <w:pStyle w:val="Tabletext"/>
            </w:pPr>
            <w:r w:rsidRPr="000270CF">
              <w:t>22%</w:t>
            </w:r>
          </w:p>
        </w:tc>
        <w:tc>
          <w:tcPr>
            <w:tcW w:w="1559" w:type="dxa"/>
            <w:tcBorders>
              <w:top w:val="single" w:sz="4" w:space="0" w:color="auto"/>
              <w:bottom w:val="single" w:sz="4" w:space="0" w:color="auto"/>
            </w:tcBorders>
          </w:tcPr>
          <w:p w:rsidR="000270CF" w:rsidRPr="000270CF" w:rsidRDefault="000270CF" w:rsidP="000270CF">
            <w:pPr>
              <w:pStyle w:val="Tabletext"/>
            </w:pPr>
            <w:r w:rsidRPr="000270CF">
              <w:t>$295</w:t>
            </w:r>
          </w:p>
        </w:tc>
        <w:tc>
          <w:tcPr>
            <w:tcW w:w="1615" w:type="dxa"/>
            <w:tcBorders>
              <w:top w:val="single" w:sz="4" w:space="0" w:color="auto"/>
              <w:bottom w:val="single" w:sz="4" w:space="0" w:color="auto"/>
            </w:tcBorders>
          </w:tcPr>
          <w:p w:rsidR="000270CF" w:rsidRPr="000270CF" w:rsidRDefault="000270CF" w:rsidP="000270CF">
            <w:pPr>
              <w:pStyle w:val="Tabletext"/>
            </w:pPr>
            <w:r w:rsidRPr="000270CF">
              <w:t>7%</w:t>
            </w:r>
          </w:p>
        </w:tc>
        <w:tc>
          <w:tcPr>
            <w:tcW w:w="1849" w:type="dxa"/>
            <w:tcBorders>
              <w:top w:val="single" w:sz="4" w:space="0" w:color="auto"/>
              <w:bottom w:val="single" w:sz="4" w:space="0" w:color="auto"/>
            </w:tcBorders>
          </w:tcPr>
          <w:p w:rsidR="000270CF" w:rsidRPr="000270CF" w:rsidRDefault="000270CF" w:rsidP="000270CF">
            <w:pPr>
              <w:pStyle w:val="Tabletext"/>
            </w:pPr>
            <w:r w:rsidRPr="000270CF">
              <w:t>13%</w:t>
            </w:r>
          </w:p>
        </w:tc>
      </w:tr>
      <w:tr w:rsidR="000270CF" w:rsidTr="007061F2">
        <w:tc>
          <w:tcPr>
            <w:tcW w:w="2093" w:type="dxa"/>
            <w:tcBorders>
              <w:top w:val="single" w:sz="4" w:space="0" w:color="auto"/>
              <w:bottom w:val="single" w:sz="4" w:space="0" w:color="auto"/>
            </w:tcBorders>
          </w:tcPr>
          <w:p w:rsidR="000270CF" w:rsidRPr="000270CF" w:rsidRDefault="000270CF" w:rsidP="000270CF">
            <w:pPr>
              <w:pStyle w:val="Tabletext"/>
              <w:rPr>
                <w:rStyle w:val="Strong"/>
                <w:b w:val="0"/>
                <w:bCs w:val="0"/>
              </w:rPr>
            </w:pPr>
            <w:r w:rsidRPr="000270CF">
              <w:rPr>
                <w:rStyle w:val="Strong"/>
                <w:b w:val="0"/>
                <w:bCs w:val="0"/>
              </w:rPr>
              <w:t>EnergyAustralia</w:t>
            </w:r>
          </w:p>
        </w:tc>
        <w:tc>
          <w:tcPr>
            <w:tcW w:w="2126" w:type="dxa"/>
            <w:tcBorders>
              <w:top w:val="single" w:sz="4" w:space="0" w:color="auto"/>
              <w:bottom w:val="single" w:sz="4" w:space="0" w:color="auto"/>
            </w:tcBorders>
          </w:tcPr>
          <w:p w:rsidR="000270CF" w:rsidRPr="000270CF" w:rsidRDefault="000270CF" w:rsidP="000270CF">
            <w:pPr>
              <w:pStyle w:val="Tabletext"/>
            </w:pPr>
            <w:r w:rsidRPr="000270CF">
              <w:t>10%</w:t>
            </w:r>
          </w:p>
        </w:tc>
        <w:tc>
          <w:tcPr>
            <w:tcW w:w="1559" w:type="dxa"/>
            <w:tcBorders>
              <w:top w:val="single" w:sz="4" w:space="0" w:color="auto"/>
              <w:bottom w:val="single" w:sz="4" w:space="0" w:color="auto"/>
            </w:tcBorders>
          </w:tcPr>
          <w:p w:rsidR="000270CF" w:rsidRPr="000270CF" w:rsidRDefault="000270CF" w:rsidP="000270CF">
            <w:pPr>
              <w:pStyle w:val="Tabletext"/>
            </w:pPr>
            <w:r w:rsidRPr="000270CF">
              <w:t>$896</w:t>
            </w:r>
          </w:p>
        </w:tc>
        <w:tc>
          <w:tcPr>
            <w:tcW w:w="1615" w:type="dxa"/>
            <w:tcBorders>
              <w:top w:val="single" w:sz="4" w:space="0" w:color="auto"/>
              <w:bottom w:val="single" w:sz="4" w:space="0" w:color="auto"/>
            </w:tcBorders>
          </w:tcPr>
          <w:p w:rsidR="000270CF" w:rsidRPr="000270CF" w:rsidRDefault="000270CF" w:rsidP="000270CF">
            <w:pPr>
              <w:pStyle w:val="Tabletext"/>
            </w:pPr>
            <w:r w:rsidRPr="000270CF">
              <w:t>9%</w:t>
            </w:r>
          </w:p>
        </w:tc>
        <w:tc>
          <w:tcPr>
            <w:tcW w:w="1849" w:type="dxa"/>
            <w:tcBorders>
              <w:top w:val="single" w:sz="4" w:space="0" w:color="auto"/>
              <w:bottom w:val="single" w:sz="4" w:space="0" w:color="auto"/>
            </w:tcBorders>
          </w:tcPr>
          <w:p w:rsidR="000270CF" w:rsidRPr="000270CF" w:rsidRDefault="000270CF" w:rsidP="000270CF">
            <w:pPr>
              <w:pStyle w:val="Tabletext"/>
            </w:pPr>
            <w:r w:rsidRPr="000270CF">
              <w:t>28%</w:t>
            </w:r>
          </w:p>
        </w:tc>
      </w:tr>
      <w:tr w:rsidR="000270CF" w:rsidTr="007061F2">
        <w:tc>
          <w:tcPr>
            <w:tcW w:w="2093" w:type="dxa"/>
            <w:tcBorders>
              <w:top w:val="single" w:sz="4" w:space="0" w:color="auto"/>
              <w:bottom w:val="single" w:sz="4" w:space="0" w:color="auto"/>
            </w:tcBorders>
          </w:tcPr>
          <w:p w:rsidR="000270CF" w:rsidRPr="000270CF" w:rsidRDefault="000270CF" w:rsidP="000270CF">
            <w:pPr>
              <w:pStyle w:val="Tabletext"/>
              <w:rPr>
                <w:rStyle w:val="Strong"/>
                <w:b w:val="0"/>
                <w:bCs w:val="0"/>
              </w:rPr>
            </w:pPr>
            <w:r w:rsidRPr="000270CF">
              <w:rPr>
                <w:rStyle w:val="Strong"/>
                <w:b w:val="0"/>
                <w:bCs w:val="0"/>
              </w:rPr>
              <w:t>Lumo Energy</w:t>
            </w:r>
          </w:p>
        </w:tc>
        <w:tc>
          <w:tcPr>
            <w:tcW w:w="2126" w:type="dxa"/>
            <w:tcBorders>
              <w:top w:val="single" w:sz="4" w:space="0" w:color="auto"/>
              <w:bottom w:val="single" w:sz="4" w:space="0" w:color="auto"/>
            </w:tcBorders>
          </w:tcPr>
          <w:p w:rsidR="000270CF" w:rsidRPr="000270CF" w:rsidRDefault="000270CF" w:rsidP="000270CF">
            <w:pPr>
              <w:pStyle w:val="Tabletext"/>
            </w:pPr>
            <w:r w:rsidRPr="000270CF">
              <w:t>15%</w:t>
            </w:r>
          </w:p>
        </w:tc>
        <w:tc>
          <w:tcPr>
            <w:tcW w:w="1559" w:type="dxa"/>
            <w:tcBorders>
              <w:top w:val="single" w:sz="4" w:space="0" w:color="auto"/>
              <w:bottom w:val="single" w:sz="4" w:space="0" w:color="auto"/>
            </w:tcBorders>
          </w:tcPr>
          <w:p w:rsidR="000270CF" w:rsidRPr="000270CF" w:rsidRDefault="000270CF" w:rsidP="000270CF">
            <w:pPr>
              <w:pStyle w:val="Tabletext"/>
            </w:pPr>
            <w:r w:rsidRPr="000270CF">
              <w:t>$423</w:t>
            </w:r>
          </w:p>
        </w:tc>
        <w:tc>
          <w:tcPr>
            <w:tcW w:w="1615" w:type="dxa"/>
            <w:tcBorders>
              <w:top w:val="single" w:sz="4" w:space="0" w:color="auto"/>
              <w:bottom w:val="single" w:sz="4" w:space="0" w:color="auto"/>
            </w:tcBorders>
          </w:tcPr>
          <w:p w:rsidR="000270CF" w:rsidRPr="000270CF" w:rsidRDefault="000270CF" w:rsidP="000270CF">
            <w:pPr>
              <w:pStyle w:val="Tabletext"/>
            </w:pPr>
            <w:r w:rsidRPr="000270CF">
              <w:t>6%</w:t>
            </w:r>
          </w:p>
        </w:tc>
        <w:tc>
          <w:tcPr>
            <w:tcW w:w="1849" w:type="dxa"/>
            <w:tcBorders>
              <w:top w:val="single" w:sz="4" w:space="0" w:color="auto"/>
              <w:bottom w:val="single" w:sz="4" w:space="0" w:color="auto"/>
            </w:tcBorders>
          </w:tcPr>
          <w:p w:rsidR="000270CF" w:rsidRPr="000270CF" w:rsidRDefault="000270CF" w:rsidP="000270CF">
            <w:pPr>
              <w:pStyle w:val="Tabletext"/>
            </w:pPr>
            <w:r w:rsidRPr="000270CF">
              <w:t>19%</w:t>
            </w:r>
          </w:p>
        </w:tc>
      </w:tr>
      <w:tr w:rsidR="000270CF" w:rsidTr="007061F2">
        <w:tc>
          <w:tcPr>
            <w:tcW w:w="2093" w:type="dxa"/>
            <w:tcBorders>
              <w:top w:val="single" w:sz="4" w:space="0" w:color="auto"/>
              <w:bottom w:val="single" w:sz="4" w:space="0" w:color="auto"/>
            </w:tcBorders>
          </w:tcPr>
          <w:p w:rsidR="000270CF" w:rsidRPr="000270CF" w:rsidRDefault="000270CF" w:rsidP="000270CF">
            <w:pPr>
              <w:pStyle w:val="Tabletext"/>
              <w:rPr>
                <w:rStyle w:val="Strong"/>
                <w:b w:val="0"/>
                <w:bCs w:val="0"/>
              </w:rPr>
            </w:pPr>
            <w:r w:rsidRPr="000270CF">
              <w:rPr>
                <w:rStyle w:val="Strong"/>
                <w:b w:val="0"/>
                <w:bCs w:val="0"/>
              </w:rPr>
              <w:t>Origin Energy</w:t>
            </w:r>
          </w:p>
        </w:tc>
        <w:tc>
          <w:tcPr>
            <w:tcW w:w="2126" w:type="dxa"/>
            <w:tcBorders>
              <w:top w:val="single" w:sz="4" w:space="0" w:color="auto"/>
              <w:bottom w:val="single" w:sz="4" w:space="0" w:color="auto"/>
            </w:tcBorders>
          </w:tcPr>
          <w:p w:rsidR="000270CF" w:rsidRPr="000270CF" w:rsidRDefault="000270CF" w:rsidP="000270CF">
            <w:pPr>
              <w:pStyle w:val="Tabletext"/>
            </w:pPr>
            <w:r w:rsidRPr="000270CF">
              <w:t>13%</w:t>
            </w:r>
          </w:p>
        </w:tc>
        <w:tc>
          <w:tcPr>
            <w:tcW w:w="1559" w:type="dxa"/>
            <w:tcBorders>
              <w:top w:val="single" w:sz="4" w:space="0" w:color="auto"/>
              <w:bottom w:val="single" w:sz="4" w:space="0" w:color="auto"/>
            </w:tcBorders>
          </w:tcPr>
          <w:p w:rsidR="000270CF" w:rsidRPr="000270CF" w:rsidRDefault="000270CF" w:rsidP="000270CF">
            <w:pPr>
              <w:pStyle w:val="Tabletext"/>
            </w:pPr>
            <w:r w:rsidRPr="000270CF">
              <w:t>$463</w:t>
            </w:r>
          </w:p>
        </w:tc>
        <w:tc>
          <w:tcPr>
            <w:tcW w:w="1615" w:type="dxa"/>
            <w:tcBorders>
              <w:top w:val="single" w:sz="4" w:space="0" w:color="auto"/>
              <w:bottom w:val="single" w:sz="4" w:space="0" w:color="auto"/>
            </w:tcBorders>
          </w:tcPr>
          <w:p w:rsidR="000270CF" w:rsidRPr="000270CF" w:rsidRDefault="000270CF" w:rsidP="000270CF">
            <w:pPr>
              <w:pStyle w:val="Tabletext"/>
            </w:pPr>
            <w:r w:rsidRPr="000270CF">
              <w:t>41%</w:t>
            </w:r>
          </w:p>
        </w:tc>
        <w:tc>
          <w:tcPr>
            <w:tcW w:w="1849" w:type="dxa"/>
            <w:tcBorders>
              <w:top w:val="single" w:sz="4" w:space="0" w:color="auto"/>
              <w:bottom w:val="single" w:sz="4" w:space="0" w:color="auto"/>
            </w:tcBorders>
          </w:tcPr>
          <w:p w:rsidR="000270CF" w:rsidRPr="000270CF" w:rsidRDefault="000270CF" w:rsidP="000270CF">
            <w:pPr>
              <w:pStyle w:val="Tabletext"/>
            </w:pPr>
            <w:r w:rsidRPr="000270CF">
              <w:t>16%</w:t>
            </w:r>
          </w:p>
        </w:tc>
      </w:tr>
      <w:tr w:rsidR="000270CF" w:rsidTr="000270CF">
        <w:tc>
          <w:tcPr>
            <w:tcW w:w="2093" w:type="dxa"/>
            <w:tcBorders>
              <w:top w:val="single" w:sz="4" w:space="0" w:color="auto"/>
              <w:bottom w:val="single" w:sz="4" w:space="0" w:color="auto"/>
            </w:tcBorders>
          </w:tcPr>
          <w:p w:rsidR="000270CF" w:rsidRPr="000270CF" w:rsidRDefault="000270CF" w:rsidP="000270CF">
            <w:pPr>
              <w:pStyle w:val="Tabletext"/>
              <w:rPr>
                <w:rStyle w:val="Strong"/>
                <w:b w:val="0"/>
                <w:bCs w:val="0"/>
              </w:rPr>
            </w:pPr>
            <w:r w:rsidRPr="000270CF">
              <w:rPr>
                <w:rStyle w:val="Strong"/>
                <w:b w:val="0"/>
                <w:bCs w:val="0"/>
              </w:rPr>
              <w:t>Simply Energy</w:t>
            </w:r>
          </w:p>
        </w:tc>
        <w:tc>
          <w:tcPr>
            <w:tcW w:w="2126" w:type="dxa"/>
            <w:tcBorders>
              <w:top w:val="single" w:sz="4" w:space="0" w:color="auto"/>
              <w:bottom w:val="single" w:sz="4" w:space="0" w:color="auto"/>
            </w:tcBorders>
          </w:tcPr>
          <w:p w:rsidR="000270CF" w:rsidRPr="000270CF" w:rsidRDefault="000270CF" w:rsidP="000270CF">
            <w:pPr>
              <w:pStyle w:val="Tabletext"/>
            </w:pPr>
            <w:r w:rsidRPr="000270CF">
              <w:t>41%</w:t>
            </w:r>
          </w:p>
        </w:tc>
        <w:tc>
          <w:tcPr>
            <w:tcW w:w="1559" w:type="dxa"/>
            <w:tcBorders>
              <w:top w:val="single" w:sz="4" w:space="0" w:color="auto"/>
              <w:bottom w:val="single" w:sz="4" w:space="0" w:color="auto"/>
            </w:tcBorders>
          </w:tcPr>
          <w:p w:rsidR="000270CF" w:rsidRPr="000270CF" w:rsidRDefault="000270CF" w:rsidP="000270CF">
            <w:pPr>
              <w:pStyle w:val="Tabletext"/>
            </w:pPr>
            <w:r w:rsidRPr="000270CF">
              <w:t>$335</w:t>
            </w:r>
          </w:p>
        </w:tc>
        <w:tc>
          <w:tcPr>
            <w:tcW w:w="1615" w:type="dxa"/>
            <w:tcBorders>
              <w:top w:val="single" w:sz="4" w:space="0" w:color="auto"/>
              <w:bottom w:val="single" w:sz="4" w:space="0" w:color="auto"/>
            </w:tcBorders>
          </w:tcPr>
          <w:p w:rsidR="000270CF" w:rsidRPr="000270CF" w:rsidRDefault="000270CF" w:rsidP="000270CF">
            <w:pPr>
              <w:pStyle w:val="Tabletext"/>
            </w:pPr>
            <w:r w:rsidRPr="000270CF">
              <w:t>21%</w:t>
            </w:r>
          </w:p>
        </w:tc>
        <w:tc>
          <w:tcPr>
            <w:tcW w:w="1849" w:type="dxa"/>
            <w:tcBorders>
              <w:top w:val="single" w:sz="4" w:space="0" w:color="auto"/>
              <w:bottom w:val="single" w:sz="4" w:space="0" w:color="auto"/>
            </w:tcBorders>
          </w:tcPr>
          <w:p w:rsidR="000270CF" w:rsidRPr="000270CF" w:rsidRDefault="000270CF" w:rsidP="000270CF">
            <w:pPr>
              <w:pStyle w:val="Tabletext"/>
            </w:pPr>
            <w:r w:rsidRPr="000270CF">
              <w:t>22%</w:t>
            </w:r>
          </w:p>
        </w:tc>
      </w:tr>
    </w:tbl>
    <w:p w:rsidR="000270CF" w:rsidRDefault="000270CF" w:rsidP="000270CF">
      <w:pPr>
        <w:pStyle w:val="Heading2"/>
        <w:numPr>
          <w:ilvl w:val="0"/>
          <w:numId w:val="0"/>
        </w:numPr>
        <w:ind w:left="1002"/>
      </w:pPr>
      <w:bookmarkStart w:id="29" w:name="_Toc433026818"/>
    </w:p>
    <w:p w:rsidR="000270CF" w:rsidRDefault="000270CF" w:rsidP="000270CF"/>
    <w:p w:rsidR="000270CF" w:rsidRDefault="000270CF" w:rsidP="000270CF"/>
    <w:p w:rsidR="000270CF" w:rsidRPr="000270CF" w:rsidRDefault="000270CF" w:rsidP="000270CF"/>
    <w:p w:rsidR="00D226C7" w:rsidRPr="00D42745" w:rsidRDefault="00D226C7" w:rsidP="00D226C7">
      <w:pPr>
        <w:pStyle w:val="Heading2"/>
      </w:pPr>
      <w:r w:rsidRPr="00D42745">
        <w:lastRenderedPageBreak/>
        <w:t>Disconnections and reconnections</w:t>
      </w:r>
      <w:bookmarkEnd w:id="29"/>
    </w:p>
    <w:p w:rsidR="00D226C7" w:rsidRPr="00D42745" w:rsidRDefault="00D226C7" w:rsidP="00D226C7">
      <w:r w:rsidRPr="00D42745">
        <w:t xml:space="preserve">Energy is an essential service and disconnection for non-payment of bills should be viewed as a last resort. The number of disconnections may be analysed alongside hardship program and energy debt statistics to provide an indication of how retailers balance their obligations to </w:t>
      </w:r>
      <w:r w:rsidR="0062624E">
        <w:t>help customers manage their</w:t>
      </w:r>
      <w:r w:rsidRPr="00D42745">
        <w:t xml:space="preserve"> debt while ensuring that customers continue to receive an energy service.</w:t>
      </w:r>
    </w:p>
    <w:p w:rsidR="00D226C7" w:rsidRPr="00D42745" w:rsidRDefault="00D226C7" w:rsidP="00D226C7">
      <w:r w:rsidRPr="00D42745">
        <w:t xml:space="preserve">Figure 2.8 shows the number of residential customers (per 100) disconnected for non-payment in each jurisdiction. It also shows the proportion of customers that were reconnected </w:t>
      </w:r>
      <w:r w:rsidR="003F7F92">
        <w:t>under</w:t>
      </w:r>
      <w:r w:rsidR="003F7F92" w:rsidRPr="00D42745">
        <w:t xml:space="preserve"> </w:t>
      </w:r>
      <w:r w:rsidRPr="00D42745">
        <w:t>the same name and address by their retailer.</w:t>
      </w:r>
      <w:r w:rsidR="0062624E">
        <w:rPr>
          <w:rStyle w:val="FootnoteReference"/>
        </w:rPr>
        <w:footnoteReference w:id="21"/>
      </w:r>
    </w:p>
    <w:p w:rsidR="00D226C7" w:rsidRPr="00D42745" w:rsidRDefault="00D226C7" w:rsidP="00D226C7">
      <w:r w:rsidRPr="00D42745">
        <w:t>Electricity disconnections for non-payment decreased by 5 per cent in New South Wales, 1 per cent in South Australia and 34 per cent in Tasmania</w:t>
      </w:r>
      <w:r w:rsidR="00940A3E">
        <w:t>. Conversely,</w:t>
      </w:r>
      <w:r w:rsidRPr="00D42745">
        <w:t xml:space="preserve"> </w:t>
      </w:r>
      <w:r w:rsidR="00940A3E" w:rsidRPr="00D42745">
        <w:t xml:space="preserve">disconnections for non-payment </w:t>
      </w:r>
      <w:r w:rsidRPr="00D42745">
        <w:t>increased by 27 per cent in the ACT in 2014-15</w:t>
      </w:r>
      <w:r w:rsidR="00751791">
        <w:t>, but remain relatively low</w:t>
      </w:r>
      <w:r w:rsidRPr="00D42745">
        <w:t>. The decrease in electricity disconnections could be attributed to both increased customer assistance through hardship programs, and</w:t>
      </w:r>
      <w:r w:rsidR="00C55C99">
        <w:t xml:space="preserve"> more customers able to pay their bills due to</w:t>
      </w:r>
      <w:r w:rsidRPr="00D42745">
        <w:t xml:space="preserve"> decreases in electricity charges (Chapter 3).  </w:t>
      </w:r>
    </w:p>
    <w:p w:rsidR="00D226C7" w:rsidRPr="00D226C7" w:rsidRDefault="00D226C7" w:rsidP="00D226C7">
      <w:r>
        <w:t>In comparison, g</w:t>
      </w:r>
      <w:r w:rsidRPr="00D226C7">
        <w:t>as disconnections for non-payment increased in all jurisdictions in 2014-15—by 49 per cent in New South Wales, 31 per cent in South Australia and 28 per cent in the ACT. The rate of gas reconnection decreased from 50 per cent in 2013-14 to 27 per cent in 2014-15.</w:t>
      </w:r>
    </w:p>
    <w:p w:rsidR="00D226C7" w:rsidRPr="003E45F6" w:rsidRDefault="00D226C7" w:rsidP="00D226C7">
      <w:pPr>
        <w:pStyle w:val="Tabletitle"/>
      </w:pPr>
      <w:r w:rsidRPr="003E45F6">
        <w:t>Figure 2.</w:t>
      </w:r>
      <w:r>
        <w:t>8</w:t>
      </w:r>
      <w:r w:rsidRPr="003E45F6">
        <w:t>: Residential customers disconnected for non-payment in 2013-14 and 2014-15 by jurisdiction</w:t>
      </w:r>
    </w:p>
    <w:p w:rsidR="00D226C7" w:rsidRPr="00D226C7" w:rsidRDefault="00D226C7" w:rsidP="00D226C7">
      <w:r w:rsidRPr="00D42745">
        <w:t xml:space="preserve"> </w:t>
      </w:r>
      <w:r w:rsidRPr="00D226C7">
        <w:rPr>
          <w:noProof/>
          <w:lang w:eastAsia="en-AU"/>
        </w:rPr>
        <w:drawing>
          <wp:inline distT="0" distB="0" distL="0" distR="0" wp14:anchorId="6CA655B2" wp14:editId="44328866">
            <wp:extent cx="5462648" cy="3146961"/>
            <wp:effectExtent l="0" t="0" r="5080" b="0"/>
            <wp:docPr id="54" name="Picture 54" descr="In South Australia, 1.36 per cent of electricity customers and 1.12 per cent of gas customers were disconnected for non-payment in 2014-15. 57 per cent of electricity customers and 43 per cent of gas customers were reconnected. In New South Wales, 1.06 per cent of electricity customers and 0.62 per cent of gas customers were disconnected for non-payment in 2014-15. 61 per cent of electricity customers and 27 per cent of gas customers were reconnected. In the ACT, 0.22 per cent of electricity customers and 1.2 per cent of gas customers were disconnected for non-payment in 2014-15. 62 per cent of electricity customers and 37 per cent of gas customers were reconnected. In Tasmania, 0.45 per cent of electricity customers were disconnected for non-payment in 2014-15, and 54 per cent were reconnected."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8620" cy="3150401"/>
                    </a:xfrm>
                    <a:prstGeom prst="rect">
                      <a:avLst/>
                    </a:prstGeom>
                    <a:noFill/>
                  </pic:spPr>
                </pic:pic>
              </a:graphicData>
            </a:graphic>
          </wp:inline>
        </w:drawing>
      </w:r>
    </w:p>
    <w:p w:rsidR="0084102D" w:rsidRDefault="00D226C7" w:rsidP="00D226C7">
      <w:r w:rsidRPr="00D42745">
        <w:lastRenderedPageBreak/>
        <w:t xml:space="preserve">Tables 2.10 and 2.11 show the number of disconnected electricity and gas customers respectively. The tables also show the percentage of disconnected customers that were reconnected as well as the percentage of </w:t>
      </w:r>
      <w:r w:rsidR="00B5676B">
        <w:t xml:space="preserve">those </w:t>
      </w:r>
      <w:r w:rsidRPr="00D42745">
        <w:t>reconnections that occurred within seven days.</w:t>
      </w:r>
    </w:p>
    <w:p w:rsidR="0084102D" w:rsidRDefault="009D5A91" w:rsidP="00D226C7">
      <w:r>
        <w:t xml:space="preserve">Proportionally, South Australia had the most electricity customers disconnected for non-payment (1.36 per cent). </w:t>
      </w:r>
      <w:r w:rsidR="000E400D">
        <w:t>In South Australia, the largest</w:t>
      </w:r>
      <w:r w:rsidR="0084102D">
        <w:t xml:space="preserve"> retailers disconnected slightly more </w:t>
      </w:r>
      <w:r w:rsidR="000E400D">
        <w:t xml:space="preserve">electricity </w:t>
      </w:r>
      <w:r w:rsidR="0084102D">
        <w:t>customers in 2014-15</w:t>
      </w:r>
      <w:r w:rsidR="000C5E5F">
        <w:t xml:space="preserve"> compared with 2013-14</w:t>
      </w:r>
      <w:r w:rsidR="0084102D">
        <w:t xml:space="preserve">, </w:t>
      </w:r>
      <w:r w:rsidR="000E400D">
        <w:t>however Alinta Energy disconnected significantly fewer customers compared with 2013-14. In New South Wales, most retailers disconnected more customers in 2014-15</w:t>
      </w:r>
      <w:r>
        <w:t xml:space="preserve"> compared with 2013-14</w:t>
      </w:r>
      <w:r w:rsidR="000E400D">
        <w:t xml:space="preserve">, however EnergyAustralia disconnected fewer customers compared with 2013-14. </w:t>
      </w:r>
    </w:p>
    <w:p w:rsidR="009D5A91" w:rsidRDefault="00734B0C" w:rsidP="00D226C7">
      <w:r>
        <w:t>Most gas retailers across New South Wales, the ACT and South Australia disconnected more customers in 2014-15 compared with 2013-14.</w:t>
      </w:r>
      <w:r w:rsidR="00A95BE0">
        <w:t xml:space="preserve"> The  largest proportion of gas customers disconnected for non-payment (1.2 per cent) was in the ACT.</w:t>
      </w:r>
    </w:p>
    <w:p w:rsidR="000E400D" w:rsidRDefault="000C242B" w:rsidP="00D226C7">
      <w:r>
        <w:t xml:space="preserve">The majority of retailers disconnected fewer than 2 per cent of </w:t>
      </w:r>
      <w:r w:rsidR="00A95BE0">
        <w:t xml:space="preserve">gas </w:t>
      </w:r>
      <w:r>
        <w:t>customers in 2014-15. The exceptions were S</w:t>
      </w:r>
      <w:r w:rsidR="000E400D">
        <w:t>imply Energy and QEnergy</w:t>
      </w:r>
      <w:r>
        <w:t>. ActewAGL also disconnected over 2 per cent of its gas customers in New South Wales.</w:t>
      </w:r>
    </w:p>
    <w:p w:rsidR="00D226C7" w:rsidRPr="00D226C7" w:rsidRDefault="00D226C7" w:rsidP="00D226C7">
      <w:r w:rsidRPr="00D226C7">
        <w:br w:type="page"/>
      </w:r>
    </w:p>
    <w:p w:rsidR="00D226C7" w:rsidRPr="003E45F6" w:rsidRDefault="00D226C7" w:rsidP="00D226C7">
      <w:pPr>
        <w:pStyle w:val="Tabletitle"/>
      </w:pPr>
      <w:r w:rsidRPr="003E45F6">
        <w:lastRenderedPageBreak/>
        <w:t>Table 2.10: Residential electricity customers disconnected and reconnected by retailers for non-payment in 2014-15</w:t>
      </w:r>
    </w:p>
    <w:tbl>
      <w:tblPr>
        <w:tblW w:w="0" w:type="auto"/>
        <w:tblBorders>
          <w:top w:val="single" w:sz="4" w:space="0" w:color="BFBFBF" w:themeColor="background1" w:themeShade="BF"/>
          <w:bottom w:val="single" w:sz="2" w:space="0" w:color="auto"/>
          <w:insideH w:val="single" w:sz="2" w:space="0" w:color="auto"/>
        </w:tblBorders>
        <w:tblLayout w:type="fixed"/>
        <w:tblLook w:val="04A0" w:firstRow="1" w:lastRow="0" w:firstColumn="1" w:lastColumn="0" w:noHBand="0" w:noVBand="1"/>
      </w:tblPr>
      <w:tblGrid>
        <w:gridCol w:w="2268"/>
        <w:gridCol w:w="907"/>
        <w:gridCol w:w="907"/>
        <w:gridCol w:w="2552"/>
        <w:gridCol w:w="2552"/>
      </w:tblGrid>
      <w:tr w:rsidR="00D226C7" w:rsidRPr="00D42745" w:rsidTr="00D226C7">
        <w:tc>
          <w:tcPr>
            <w:tcW w:w="2268" w:type="dxa"/>
            <w:shd w:val="clear" w:color="auto" w:fill="F2F2F2" w:themeFill="background1" w:themeFillShade="F2"/>
          </w:tcPr>
          <w:p w:rsidR="00D226C7" w:rsidRPr="006D4C8B" w:rsidRDefault="00D226C7" w:rsidP="00975582">
            <w:pPr>
              <w:pStyle w:val="Tabletext"/>
              <w:rPr>
                <w:rStyle w:val="Strong"/>
              </w:rPr>
            </w:pPr>
            <w:r w:rsidRPr="006D4C8B">
              <w:rPr>
                <w:rStyle w:val="Strong"/>
              </w:rPr>
              <w:t>Retailer</w:t>
            </w:r>
          </w:p>
        </w:tc>
        <w:tc>
          <w:tcPr>
            <w:tcW w:w="1814" w:type="dxa"/>
            <w:gridSpan w:val="2"/>
            <w:shd w:val="clear" w:color="auto" w:fill="F2F2F2" w:themeFill="background1" w:themeFillShade="F2"/>
          </w:tcPr>
          <w:p w:rsidR="00D226C7" w:rsidRPr="006D4C8B" w:rsidRDefault="00D226C7" w:rsidP="00975582">
            <w:pPr>
              <w:pStyle w:val="Tabletext"/>
              <w:rPr>
                <w:rStyle w:val="Strong"/>
              </w:rPr>
            </w:pPr>
            <w:r w:rsidRPr="006D4C8B">
              <w:rPr>
                <w:rStyle w:val="Strong"/>
              </w:rPr>
              <w:t>Disconnections (per 100)</w:t>
            </w:r>
          </w:p>
        </w:tc>
        <w:tc>
          <w:tcPr>
            <w:tcW w:w="2552" w:type="dxa"/>
            <w:shd w:val="clear" w:color="auto" w:fill="F2F2F2" w:themeFill="background1" w:themeFillShade="F2"/>
          </w:tcPr>
          <w:p w:rsidR="00D226C7" w:rsidRPr="006D4C8B" w:rsidRDefault="00D226C7" w:rsidP="00975582">
            <w:pPr>
              <w:pStyle w:val="Tabletext"/>
              <w:rPr>
                <w:rStyle w:val="Strong"/>
              </w:rPr>
            </w:pPr>
            <w:r w:rsidRPr="006D4C8B">
              <w:rPr>
                <w:rStyle w:val="Strong"/>
              </w:rPr>
              <w:t xml:space="preserve">Reconnections </w:t>
            </w:r>
            <w:r w:rsidRPr="006D4C8B">
              <w:rPr>
                <w:rStyle w:val="Strong"/>
              </w:rPr>
              <w:br/>
              <w:t>(% of disconnections)</w:t>
            </w:r>
          </w:p>
        </w:tc>
        <w:tc>
          <w:tcPr>
            <w:tcW w:w="2552" w:type="dxa"/>
            <w:shd w:val="clear" w:color="auto" w:fill="F2F2F2" w:themeFill="background1" w:themeFillShade="F2"/>
          </w:tcPr>
          <w:p w:rsidR="00D226C7" w:rsidRPr="006D4C8B" w:rsidRDefault="00D226C7" w:rsidP="00975582">
            <w:pPr>
              <w:pStyle w:val="Tabletext"/>
              <w:rPr>
                <w:rStyle w:val="Strong"/>
              </w:rPr>
            </w:pPr>
            <w:r w:rsidRPr="006D4C8B">
              <w:rPr>
                <w:rStyle w:val="Strong"/>
              </w:rPr>
              <w:t>% of reconnections that occurred within 7 days</w:t>
            </w:r>
          </w:p>
        </w:tc>
      </w:tr>
      <w:tr w:rsidR="00D226C7" w:rsidRPr="00D42745" w:rsidTr="00D226C7">
        <w:trPr>
          <w:trHeight w:hRule="exact" w:val="312"/>
        </w:trPr>
        <w:tc>
          <w:tcPr>
            <w:tcW w:w="2268" w:type="dxa"/>
          </w:tcPr>
          <w:p w:rsidR="00D226C7" w:rsidRPr="00E92189" w:rsidRDefault="00D226C7" w:rsidP="00975582">
            <w:pPr>
              <w:pStyle w:val="Tabletext"/>
              <w:rPr>
                <w:rStyle w:val="Strong"/>
              </w:rPr>
            </w:pPr>
            <w:r w:rsidRPr="00E92189">
              <w:rPr>
                <w:rStyle w:val="Strong"/>
              </w:rPr>
              <w:t>South Australia</w:t>
            </w:r>
          </w:p>
        </w:tc>
        <w:tc>
          <w:tcPr>
            <w:tcW w:w="907" w:type="dxa"/>
          </w:tcPr>
          <w:p w:rsidR="00D226C7" w:rsidRPr="00D42745" w:rsidRDefault="00D226C7" w:rsidP="00975582">
            <w:pPr>
              <w:pStyle w:val="Tabletext"/>
            </w:pPr>
          </w:p>
        </w:tc>
        <w:tc>
          <w:tcPr>
            <w:tcW w:w="907" w:type="dxa"/>
          </w:tcPr>
          <w:p w:rsidR="00D226C7" w:rsidRPr="00D42745" w:rsidRDefault="00D226C7" w:rsidP="00975582">
            <w:pPr>
              <w:pStyle w:val="Tabletext"/>
            </w:pPr>
          </w:p>
        </w:tc>
        <w:tc>
          <w:tcPr>
            <w:tcW w:w="2552" w:type="dxa"/>
          </w:tcPr>
          <w:p w:rsidR="00D226C7" w:rsidRPr="00D42745" w:rsidRDefault="00D226C7" w:rsidP="00975582">
            <w:pPr>
              <w:pStyle w:val="Tabletext"/>
            </w:pPr>
          </w:p>
        </w:tc>
        <w:tc>
          <w:tcPr>
            <w:tcW w:w="2552" w:type="dxa"/>
          </w:tcPr>
          <w:p w:rsidR="00D226C7" w:rsidRPr="00D42745" w:rsidRDefault="00D226C7" w:rsidP="00975582">
            <w:pPr>
              <w:pStyle w:val="Tabletext"/>
            </w:pPr>
          </w:p>
        </w:tc>
      </w:tr>
      <w:tr w:rsidR="00D226C7" w:rsidRPr="00D42745" w:rsidTr="00D226C7">
        <w:trPr>
          <w:trHeight w:hRule="exact" w:val="312"/>
        </w:trPr>
        <w:tc>
          <w:tcPr>
            <w:tcW w:w="2268" w:type="dxa"/>
          </w:tcPr>
          <w:p w:rsidR="00D226C7" w:rsidRPr="00D226C7" w:rsidRDefault="00D226C7" w:rsidP="00975582">
            <w:pPr>
              <w:pStyle w:val="Tabletext"/>
            </w:pPr>
            <w:r w:rsidRPr="00D226C7">
              <w:t>AGL</w:t>
            </w:r>
          </w:p>
        </w:tc>
        <w:tc>
          <w:tcPr>
            <w:tcW w:w="907" w:type="dxa"/>
          </w:tcPr>
          <w:p w:rsidR="00D226C7" w:rsidRPr="00D42745" w:rsidRDefault="00D226C7" w:rsidP="00975582">
            <w:pPr>
              <w:pStyle w:val="Tabletext"/>
            </w:pPr>
            <w:r w:rsidRPr="00D42745">
              <w:t>1.23</w:t>
            </w:r>
          </w:p>
        </w:tc>
        <w:tc>
          <w:tcPr>
            <w:tcW w:w="907" w:type="dxa"/>
          </w:tcPr>
          <w:p w:rsidR="00D226C7" w:rsidRPr="00D226C7" w:rsidRDefault="00D226C7" w:rsidP="00975582">
            <w:pPr>
              <w:pStyle w:val="Tabletext"/>
            </w:pPr>
            <w:r w:rsidRPr="00D226C7">
              <w:t>▲0.02</w:t>
            </w:r>
          </w:p>
        </w:tc>
        <w:tc>
          <w:tcPr>
            <w:tcW w:w="2552" w:type="dxa"/>
          </w:tcPr>
          <w:p w:rsidR="00D226C7" w:rsidRPr="00D42745" w:rsidRDefault="00D226C7" w:rsidP="00975582">
            <w:pPr>
              <w:pStyle w:val="Tabletext"/>
            </w:pPr>
            <w:r w:rsidRPr="00D42745">
              <w:t>43%</w:t>
            </w:r>
          </w:p>
        </w:tc>
        <w:tc>
          <w:tcPr>
            <w:tcW w:w="2552" w:type="dxa"/>
          </w:tcPr>
          <w:p w:rsidR="00D226C7" w:rsidRPr="00D42745" w:rsidRDefault="00D226C7" w:rsidP="00975582">
            <w:pPr>
              <w:pStyle w:val="Tabletext"/>
            </w:pPr>
            <w:r w:rsidRPr="00D42745">
              <w:t>92%</w:t>
            </w:r>
          </w:p>
        </w:tc>
      </w:tr>
      <w:tr w:rsidR="00D226C7" w:rsidRPr="00D42745" w:rsidTr="00D226C7">
        <w:trPr>
          <w:trHeight w:hRule="exact" w:val="312"/>
        </w:trPr>
        <w:tc>
          <w:tcPr>
            <w:tcW w:w="2268" w:type="dxa"/>
          </w:tcPr>
          <w:p w:rsidR="00D226C7" w:rsidRPr="00D226C7" w:rsidRDefault="00D226C7" w:rsidP="00975582">
            <w:pPr>
              <w:pStyle w:val="Tabletext"/>
            </w:pPr>
            <w:r w:rsidRPr="00D226C7">
              <w:t>Alinta Energy</w:t>
            </w:r>
          </w:p>
        </w:tc>
        <w:tc>
          <w:tcPr>
            <w:tcW w:w="907" w:type="dxa"/>
          </w:tcPr>
          <w:p w:rsidR="00D226C7" w:rsidRPr="00D42745" w:rsidRDefault="00D226C7" w:rsidP="00975582">
            <w:pPr>
              <w:pStyle w:val="Tabletext"/>
            </w:pPr>
            <w:r w:rsidRPr="00D42745">
              <w:t>1.78</w:t>
            </w:r>
          </w:p>
        </w:tc>
        <w:tc>
          <w:tcPr>
            <w:tcW w:w="907" w:type="dxa"/>
          </w:tcPr>
          <w:p w:rsidR="00D226C7" w:rsidRPr="00D226C7" w:rsidRDefault="00D226C7" w:rsidP="00975582">
            <w:pPr>
              <w:pStyle w:val="Tabletext"/>
            </w:pPr>
            <w:r w:rsidRPr="00D226C7">
              <w:t>▼3.06</w:t>
            </w:r>
          </w:p>
        </w:tc>
        <w:tc>
          <w:tcPr>
            <w:tcW w:w="2552" w:type="dxa"/>
          </w:tcPr>
          <w:p w:rsidR="00D226C7" w:rsidRPr="00D42745" w:rsidRDefault="00D226C7" w:rsidP="00975582">
            <w:pPr>
              <w:pStyle w:val="Tabletext"/>
            </w:pPr>
            <w:r w:rsidRPr="00D42745">
              <w:t>31%</w:t>
            </w:r>
          </w:p>
        </w:tc>
        <w:tc>
          <w:tcPr>
            <w:tcW w:w="2552" w:type="dxa"/>
          </w:tcPr>
          <w:p w:rsidR="00D226C7" w:rsidRPr="00D42745" w:rsidRDefault="00D226C7" w:rsidP="00975582">
            <w:pPr>
              <w:pStyle w:val="Tabletext"/>
            </w:pPr>
            <w:r w:rsidRPr="00D42745">
              <w:t>90%</w:t>
            </w:r>
          </w:p>
        </w:tc>
      </w:tr>
      <w:tr w:rsidR="00D226C7" w:rsidRPr="00D42745" w:rsidTr="00D226C7">
        <w:trPr>
          <w:trHeight w:hRule="exact" w:val="312"/>
        </w:trPr>
        <w:tc>
          <w:tcPr>
            <w:tcW w:w="2268" w:type="dxa"/>
          </w:tcPr>
          <w:p w:rsidR="00D226C7" w:rsidRPr="00D226C7" w:rsidRDefault="00D226C7" w:rsidP="00975582">
            <w:pPr>
              <w:pStyle w:val="Tabletext"/>
            </w:pPr>
            <w:r w:rsidRPr="00D226C7">
              <w:t>EnergyAustralia</w:t>
            </w:r>
          </w:p>
        </w:tc>
        <w:tc>
          <w:tcPr>
            <w:tcW w:w="907" w:type="dxa"/>
          </w:tcPr>
          <w:p w:rsidR="00D226C7" w:rsidRPr="00D42745" w:rsidRDefault="00D226C7" w:rsidP="00975582">
            <w:pPr>
              <w:pStyle w:val="Tabletext"/>
            </w:pPr>
            <w:r w:rsidRPr="00D42745">
              <w:t>0.55</w:t>
            </w:r>
          </w:p>
        </w:tc>
        <w:tc>
          <w:tcPr>
            <w:tcW w:w="907" w:type="dxa"/>
          </w:tcPr>
          <w:p w:rsidR="00D226C7" w:rsidRPr="00D226C7" w:rsidRDefault="00D226C7" w:rsidP="00975582">
            <w:pPr>
              <w:pStyle w:val="Tabletext"/>
            </w:pPr>
            <w:r w:rsidRPr="00D226C7">
              <w:t>▲0.02</w:t>
            </w:r>
          </w:p>
        </w:tc>
        <w:tc>
          <w:tcPr>
            <w:tcW w:w="2552" w:type="dxa"/>
          </w:tcPr>
          <w:p w:rsidR="00D226C7" w:rsidRPr="00D42745" w:rsidRDefault="00D226C7" w:rsidP="00975582">
            <w:pPr>
              <w:pStyle w:val="Tabletext"/>
            </w:pPr>
            <w:r w:rsidRPr="00D42745">
              <w:t>31%</w:t>
            </w:r>
          </w:p>
        </w:tc>
        <w:tc>
          <w:tcPr>
            <w:tcW w:w="2552" w:type="dxa"/>
          </w:tcPr>
          <w:p w:rsidR="00D226C7" w:rsidRPr="00D42745" w:rsidRDefault="00D226C7" w:rsidP="00975582">
            <w:pPr>
              <w:pStyle w:val="Tabletext"/>
            </w:pPr>
            <w:r w:rsidRPr="00D42745">
              <w:t>75%</w:t>
            </w:r>
          </w:p>
        </w:tc>
      </w:tr>
      <w:tr w:rsidR="00D226C7" w:rsidRPr="00D42745" w:rsidTr="00D226C7">
        <w:trPr>
          <w:trHeight w:hRule="exact" w:val="312"/>
        </w:trPr>
        <w:tc>
          <w:tcPr>
            <w:tcW w:w="2268" w:type="dxa"/>
          </w:tcPr>
          <w:p w:rsidR="00D226C7" w:rsidRPr="00D226C7" w:rsidRDefault="00D226C7" w:rsidP="00975582">
            <w:pPr>
              <w:pStyle w:val="Tabletext"/>
            </w:pPr>
            <w:r w:rsidRPr="00D226C7">
              <w:t>Lumo Energy</w:t>
            </w:r>
          </w:p>
        </w:tc>
        <w:tc>
          <w:tcPr>
            <w:tcW w:w="907" w:type="dxa"/>
          </w:tcPr>
          <w:p w:rsidR="00D226C7" w:rsidRPr="00D42745" w:rsidRDefault="00D226C7" w:rsidP="00975582">
            <w:pPr>
              <w:pStyle w:val="Tabletext"/>
            </w:pPr>
            <w:r w:rsidRPr="00D42745">
              <w:t>0.87</w:t>
            </w:r>
          </w:p>
        </w:tc>
        <w:tc>
          <w:tcPr>
            <w:tcW w:w="907" w:type="dxa"/>
          </w:tcPr>
          <w:p w:rsidR="00D226C7" w:rsidRPr="00D226C7" w:rsidRDefault="00D226C7" w:rsidP="00975582">
            <w:pPr>
              <w:pStyle w:val="Tabletext"/>
            </w:pPr>
            <w:r w:rsidRPr="00D226C7">
              <w:t>▼0.36</w:t>
            </w:r>
          </w:p>
        </w:tc>
        <w:tc>
          <w:tcPr>
            <w:tcW w:w="2552" w:type="dxa"/>
          </w:tcPr>
          <w:p w:rsidR="00D226C7" w:rsidRPr="00D42745" w:rsidRDefault="00D226C7" w:rsidP="00975582">
            <w:pPr>
              <w:pStyle w:val="Tabletext"/>
            </w:pPr>
            <w:r w:rsidRPr="00D42745">
              <w:t>18%</w:t>
            </w:r>
          </w:p>
        </w:tc>
        <w:tc>
          <w:tcPr>
            <w:tcW w:w="2552" w:type="dxa"/>
          </w:tcPr>
          <w:p w:rsidR="00D226C7" w:rsidRPr="00D42745" w:rsidRDefault="00D226C7" w:rsidP="00975582">
            <w:pPr>
              <w:pStyle w:val="Tabletext"/>
            </w:pPr>
            <w:r w:rsidRPr="00D42745">
              <w:t>100%</w:t>
            </w:r>
          </w:p>
        </w:tc>
      </w:tr>
      <w:tr w:rsidR="00D226C7" w:rsidRPr="00D42745" w:rsidTr="00D226C7">
        <w:trPr>
          <w:trHeight w:hRule="exact" w:val="312"/>
        </w:trPr>
        <w:tc>
          <w:tcPr>
            <w:tcW w:w="2268" w:type="dxa"/>
          </w:tcPr>
          <w:p w:rsidR="00D226C7" w:rsidRPr="00D226C7" w:rsidRDefault="00D226C7" w:rsidP="00975582">
            <w:pPr>
              <w:pStyle w:val="Tabletext"/>
            </w:pPr>
            <w:r w:rsidRPr="00D226C7">
              <w:t>M2 Energy</w:t>
            </w:r>
          </w:p>
        </w:tc>
        <w:tc>
          <w:tcPr>
            <w:tcW w:w="907" w:type="dxa"/>
          </w:tcPr>
          <w:p w:rsidR="00D226C7" w:rsidRPr="00D42745" w:rsidRDefault="00D226C7" w:rsidP="00975582">
            <w:pPr>
              <w:pStyle w:val="Tabletext"/>
            </w:pPr>
            <w:r w:rsidRPr="00D42745">
              <w:t>0.11</w:t>
            </w:r>
          </w:p>
        </w:tc>
        <w:tc>
          <w:tcPr>
            <w:tcW w:w="907" w:type="dxa"/>
          </w:tcPr>
          <w:p w:rsidR="00D226C7" w:rsidRPr="00D226C7" w:rsidRDefault="00D226C7" w:rsidP="00975582">
            <w:pPr>
              <w:pStyle w:val="Tabletext"/>
            </w:pPr>
            <w:r w:rsidRPr="00D226C7">
              <w:t>▲0.11</w:t>
            </w:r>
          </w:p>
        </w:tc>
        <w:tc>
          <w:tcPr>
            <w:tcW w:w="2552" w:type="dxa"/>
          </w:tcPr>
          <w:p w:rsidR="00D226C7" w:rsidRPr="00D42745" w:rsidRDefault="00D226C7" w:rsidP="00975582">
            <w:pPr>
              <w:pStyle w:val="Tabletext"/>
            </w:pPr>
            <w:r w:rsidRPr="00D42745">
              <w:t>0%</w:t>
            </w:r>
          </w:p>
        </w:tc>
        <w:tc>
          <w:tcPr>
            <w:tcW w:w="2552" w:type="dxa"/>
          </w:tcPr>
          <w:p w:rsidR="00D226C7" w:rsidRPr="00D42745" w:rsidRDefault="00D226C7" w:rsidP="00975582">
            <w:pPr>
              <w:pStyle w:val="Tabletext"/>
            </w:pPr>
            <w:r w:rsidRPr="00D42745">
              <w:t>-</w:t>
            </w:r>
          </w:p>
        </w:tc>
      </w:tr>
      <w:tr w:rsidR="00D226C7" w:rsidRPr="00D42745" w:rsidTr="00D226C7">
        <w:trPr>
          <w:trHeight w:hRule="exact" w:val="312"/>
        </w:trPr>
        <w:tc>
          <w:tcPr>
            <w:tcW w:w="2268" w:type="dxa"/>
          </w:tcPr>
          <w:p w:rsidR="00D226C7" w:rsidRPr="00D226C7" w:rsidRDefault="00D226C7" w:rsidP="00975582">
            <w:pPr>
              <w:pStyle w:val="Tabletext"/>
            </w:pPr>
            <w:r w:rsidRPr="00D226C7">
              <w:t>Momentum Energy</w:t>
            </w:r>
          </w:p>
        </w:tc>
        <w:tc>
          <w:tcPr>
            <w:tcW w:w="907" w:type="dxa"/>
          </w:tcPr>
          <w:p w:rsidR="00D226C7" w:rsidRPr="00D42745" w:rsidRDefault="00D226C7" w:rsidP="00975582">
            <w:pPr>
              <w:pStyle w:val="Tabletext"/>
            </w:pPr>
            <w:r w:rsidRPr="00D42745">
              <w:t>1.15</w:t>
            </w:r>
          </w:p>
        </w:tc>
        <w:tc>
          <w:tcPr>
            <w:tcW w:w="907" w:type="dxa"/>
          </w:tcPr>
          <w:p w:rsidR="00D226C7" w:rsidRPr="00D226C7" w:rsidRDefault="00D226C7" w:rsidP="00975582">
            <w:pPr>
              <w:pStyle w:val="Tabletext"/>
            </w:pPr>
            <w:r w:rsidRPr="00D226C7">
              <w:t>▲0.21</w:t>
            </w:r>
          </w:p>
        </w:tc>
        <w:tc>
          <w:tcPr>
            <w:tcW w:w="2552" w:type="dxa"/>
          </w:tcPr>
          <w:p w:rsidR="00D226C7" w:rsidRPr="00D42745" w:rsidRDefault="00D226C7" w:rsidP="00975582">
            <w:pPr>
              <w:pStyle w:val="Tabletext"/>
            </w:pPr>
            <w:r w:rsidRPr="00D42745">
              <w:t>89%</w:t>
            </w:r>
          </w:p>
        </w:tc>
        <w:tc>
          <w:tcPr>
            <w:tcW w:w="2552" w:type="dxa"/>
          </w:tcPr>
          <w:p w:rsidR="00D226C7" w:rsidRPr="00D42745" w:rsidRDefault="00D226C7" w:rsidP="00975582">
            <w:pPr>
              <w:pStyle w:val="Tabletext"/>
            </w:pPr>
            <w:r w:rsidRPr="00D42745">
              <w:t>38%</w:t>
            </w:r>
          </w:p>
        </w:tc>
      </w:tr>
      <w:tr w:rsidR="00D226C7" w:rsidRPr="00D42745" w:rsidTr="00D226C7">
        <w:trPr>
          <w:trHeight w:hRule="exact" w:val="312"/>
        </w:trPr>
        <w:tc>
          <w:tcPr>
            <w:tcW w:w="2268" w:type="dxa"/>
          </w:tcPr>
          <w:p w:rsidR="00D226C7" w:rsidRPr="00D226C7" w:rsidRDefault="00D226C7" w:rsidP="00975582">
            <w:pPr>
              <w:pStyle w:val="Tabletext"/>
            </w:pPr>
            <w:r w:rsidRPr="00D226C7">
              <w:t>Origin Energy</w:t>
            </w:r>
          </w:p>
        </w:tc>
        <w:tc>
          <w:tcPr>
            <w:tcW w:w="907" w:type="dxa"/>
          </w:tcPr>
          <w:p w:rsidR="00D226C7" w:rsidRPr="00D42745" w:rsidRDefault="00D226C7" w:rsidP="00975582">
            <w:pPr>
              <w:pStyle w:val="Tabletext"/>
            </w:pPr>
            <w:r w:rsidRPr="00D42745">
              <w:t>1.75</w:t>
            </w:r>
          </w:p>
        </w:tc>
        <w:tc>
          <w:tcPr>
            <w:tcW w:w="907" w:type="dxa"/>
          </w:tcPr>
          <w:p w:rsidR="00D226C7" w:rsidRPr="00D226C7" w:rsidRDefault="00D226C7" w:rsidP="00975582">
            <w:pPr>
              <w:pStyle w:val="Tabletext"/>
            </w:pPr>
            <w:r w:rsidRPr="00D226C7">
              <w:t>▲0.29</w:t>
            </w:r>
          </w:p>
        </w:tc>
        <w:tc>
          <w:tcPr>
            <w:tcW w:w="2552" w:type="dxa"/>
          </w:tcPr>
          <w:p w:rsidR="00D226C7" w:rsidRPr="00D42745" w:rsidRDefault="00D226C7" w:rsidP="00975582">
            <w:pPr>
              <w:pStyle w:val="Tabletext"/>
            </w:pPr>
            <w:r w:rsidRPr="00D42745">
              <w:t>94%</w:t>
            </w:r>
          </w:p>
        </w:tc>
        <w:tc>
          <w:tcPr>
            <w:tcW w:w="2552" w:type="dxa"/>
          </w:tcPr>
          <w:p w:rsidR="00D226C7" w:rsidRPr="00D42745" w:rsidRDefault="00D226C7" w:rsidP="00975582">
            <w:pPr>
              <w:pStyle w:val="Tabletext"/>
            </w:pPr>
            <w:r w:rsidRPr="00D42745">
              <w:t>54%</w:t>
            </w:r>
          </w:p>
        </w:tc>
      </w:tr>
      <w:tr w:rsidR="00D226C7" w:rsidRPr="00D42745" w:rsidTr="00D226C7">
        <w:trPr>
          <w:trHeight w:hRule="exact" w:val="312"/>
        </w:trPr>
        <w:tc>
          <w:tcPr>
            <w:tcW w:w="2268" w:type="dxa"/>
          </w:tcPr>
          <w:p w:rsidR="00D226C7" w:rsidRPr="00D226C7" w:rsidRDefault="00D226C7" w:rsidP="00975582">
            <w:pPr>
              <w:pStyle w:val="Tabletext"/>
            </w:pPr>
            <w:r w:rsidRPr="00D226C7">
              <w:t>Powerdirect</w:t>
            </w:r>
          </w:p>
        </w:tc>
        <w:tc>
          <w:tcPr>
            <w:tcW w:w="907" w:type="dxa"/>
          </w:tcPr>
          <w:p w:rsidR="00D226C7" w:rsidRPr="00D42745" w:rsidRDefault="00D226C7" w:rsidP="00975582">
            <w:pPr>
              <w:pStyle w:val="Tabletext"/>
            </w:pPr>
            <w:r w:rsidRPr="00D42745">
              <w:t>0.81</w:t>
            </w:r>
          </w:p>
        </w:tc>
        <w:tc>
          <w:tcPr>
            <w:tcW w:w="907" w:type="dxa"/>
          </w:tcPr>
          <w:p w:rsidR="00D226C7" w:rsidRPr="00D226C7" w:rsidRDefault="00D226C7" w:rsidP="00975582">
            <w:pPr>
              <w:pStyle w:val="Tabletext"/>
            </w:pPr>
            <w:r w:rsidRPr="00D226C7">
              <w:t>▲0.13</w:t>
            </w:r>
          </w:p>
        </w:tc>
        <w:tc>
          <w:tcPr>
            <w:tcW w:w="2552" w:type="dxa"/>
          </w:tcPr>
          <w:p w:rsidR="00D226C7" w:rsidRPr="00D42745" w:rsidRDefault="00D226C7" w:rsidP="00975582">
            <w:pPr>
              <w:pStyle w:val="Tabletext"/>
            </w:pPr>
            <w:r w:rsidRPr="00D42745">
              <w:t>63%</w:t>
            </w:r>
          </w:p>
        </w:tc>
        <w:tc>
          <w:tcPr>
            <w:tcW w:w="2552" w:type="dxa"/>
          </w:tcPr>
          <w:p w:rsidR="00D226C7" w:rsidRPr="00D42745" w:rsidRDefault="00D226C7" w:rsidP="00975582">
            <w:pPr>
              <w:pStyle w:val="Tabletext"/>
            </w:pPr>
            <w:r w:rsidRPr="00D42745">
              <w:t>66%</w:t>
            </w:r>
          </w:p>
        </w:tc>
      </w:tr>
      <w:tr w:rsidR="00D226C7" w:rsidRPr="00D42745" w:rsidTr="00D226C7">
        <w:trPr>
          <w:trHeight w:hRule="exact" w:val="312"/>
        </w:trPr>
        <w:tc>
          <w:tcPr>
            <w:tcW w:w="2268" w:type="dxa"/>
          </w:tcPr>
          <w:p w:rsidR="00D226C7" w:rsidRPr="00D226C7" w:rsidRDefault="00D226C7" w:rsidP="00975582">
            <w:pPr>
              <w:pStyle w:val="Tabletext"/>
            </w:pPr>
            <w:r w:rsidRPr="00D226C7">
              <w:t xml:space="preserve">QEnergy </w:t>
            </w:r>
          </w:p>
        </w:tc>
        <w:tc>
          <w:tcPr>
            <w:tcW w:w="907" w:type="dxa"/>
          </w:tcPr>
          <w:p w:rsidR="00D226C7" w:rsidRPr="00D42745" w:rsidRDefault="00D226C7" w:rsidP="00975582">
            <w:pPr>
              <w:pStyle w:val="Tabletext"/>
            </w:pPr>
            <w:r w:rsidRPr="00D42745">
              <w:t>6.62</w:t>
            </w:r>
          </w:p>
        </w:tc>
        <w:tc>
          <w:tcPr>
            <w:tcW w:w="907" w:type="dxa"/>
          </w:tcPr>
          <w:p w:rsidR="00D226C7" w:rsidRPr="00D226C7" w:rsidRDefault="00D226C7" w:rsidP="00975582">
            <w:pPr>
              <w:pStyle w:val="Tabletext"/>
            </w:pPr>
            <w:r w:rsidRPr="00D226C7">
              <w:t>▲6.62</w:t>
            </w:r>
          </w:p>
        </w:tc>
        <w:tc>
          <w:tcPr>
            <w:tcW w:w="2552" w:type="dxa"/>
          </w:tcPr>
          <w:p w:rsidR="00D226C7" w:rsidRPr="00D42745" w:rsidRDefault="00D226C7" w:rsidP="00975582">
            <w:pPr>
              <w:pStyle w:val="Tabletext"/>
            </w:pPr>
            <w:r w:rsidRPr="00D42745">
              <w:t>11%</w:t>
            </w:r>
          </w:p>
        </w:tc>
        <w:tc>
          <w:tcPr>
            <w:tcW w:w="2552" w:type="dxa"/>
          </w:tcPr>
          <w:p w:rsidR="00D226C7" w:rsidRPr="00D42745" w:rsidRDefault="00D226C7" w:rsidP="00975582">
            <w:pPr>
              <w:pStyle w:val="Tabletext"/>
            </w:pPr>
            <w:r w:rsidRPr="00D42745">
              <w:t>100%</w:t>
            </w:r>
          </w:p>
        </w:tc>
      </w:tr>
      <w:tr w:rsidR="00D226C7" w:rsidRPr="00D42745" w:rsidTr="00D226C7">
        <w:trPr>
          <w:trHeight w:hRule="exact" w:val="312"/>
        </w:trPr>
        <w:tc>
          <w:tcPr>
            <w:tcW w:w="2268" w:type="dxa"/>
          </w:tcPr>
          <w:p w:rsidR="00D226C7" w:rsidRPr="00D226C7" w:rsidRDefault="00D226C7" w:rsidP="00975582">
            <w:pPr>
              <w:pStyle w:val="Tabletext"/>
            </w:pPr>
            <w:r w:rsidRPr="00D226C7">
              <w:t>Red Energy</w:t>
            </w:r>
          </w:p>
        </w:tc>
        <w:tc>
          <w:tcPr>
            <w:tcW w:w="907" w:type="dxa"/>
          </w:tcPr>
          <w:p w:rsidR="00D226C7" w:rsidRPr="00D42745" w:rsidRDefault="00D226C7" w:rsidP="00975582">
            <w:pPr>
              <w:pStyle w:val="Tabletext"/>
            </w:pPr>
            <w:r w:rsidRPr="00D42745">
              <w:t>1.08</w:t>
            </w:r>
          </w:p>
        </w:tc>
        <w:tc>
          <w:tcPr>
            <w:tcW w:w="907" w:type="dxa"/>
          </w:tcPr>
          <w:p w:rsidR="00D226C7" w:rsidRPr="00D226C7" w:rsidRDefault="00D226C7" w:rsidP="00975582">
            <w:pPr>
              <w:pStyle w:val="Tabletext"/>
            </w:pPr>
            <w:r w:rsidRPr="00D226C7">
              <w:t>▼0.06</w:t>
            </w:r>
          </w:p>
        </w:tc>
        <w:tc>
          <w:tcPr>
            <w:tcW w:w="2552" w:type="dxa"/>
          </w:tcPr>
          <w:p w:rsidR="00D226C7" w:rsidRPr="00D42745" w:rsidRDefault="00D226C7" w:rsidP="00975582">
            <w:pPr>
              <w:pStyle w:val="Tabletext"/>
            </w:pPr>
            <w:r w:rsidRPr="00D42745">
              <w:t>25%</w:t>
            </w:r>
          </w:p>
        </w:tc>
        <w:tc>
          <w:tcPr>
            <w:tcW w:w="2552" w:type="dxa"/>
          </w:tcPr>
          <w:p w:rsidR="00D226C7" w:rsidRPr="00D42745" w:rsidRDefault="00D226C7" w:rsidP="00975582">
            <w:pPr>
              <w:pStyle w:val="Tabletext"/>
            </w:pPr>
            <w:r w:rsidRPr="00D42745">
              <w:t>88%</w:t>
            </w:r>
          </w:p>
        </w:tc>
      </w:tr>
      <w:tr w:rsidR="00D226C7" w:rsidRPr="00D42745" w:rsidTr="00D226C7">
        <w:trPr>
          <w:trHeight w:hRule="exact" w:val="312"/>
        </w:trPr>
        <w:tc>
          <w:tcPr>
            <w:tcW w:w="2268" w:type="dxa"/>
          </w:tcPr>
          <w:p w:rsidR="00D226C7" w:rsidRPr="00D226C7" w:rsidRDefault="00D226C7" w:rsidP="00975582">
            <w:pPr>
              <w:pStyle w:val="Tabletext"/>
            </w:pPr>
            <w:r w:rsidRPr="00D226C7">
              <w:t>Sanctuary Energy</w:t>
            </w:r>
          </w:p>
        </w:tc>
        <w:tc>
          <w:tcPr>
            <w:tcW w:w="907" w:type="dxa"/>
          </w:tcPr>
          <w:p w:rsidR="00D226C7" w:rsidRPr="00D42745" w:rsidRDefault="00D226C7" w:rsidP="00975582">
            <w:pPr>
              <w:pStyle w:val="Tabletext"/>
            </w:pPr>
            <w:r w:rsidRPr="00D42745">
              <w:t>0.33</w:t>
            </w:r>
          </w:p>
        </w:tc>
        <w:tc>
          <w:tcPr>
            <w:tcW w:w="907" w:type="dxa"/>
          </w:tcPr>
          <w:p w:rsidR="00D226C7" w:rsidRPr="00D226C7" w:rsidRDefault="00D226C7" w:rsidP="00975582">
            <w:pPr>
              <w:pStyle w:val="Tabletext"/>
            </w:pPr>
            <w:r w:rsidRPr="00D226C7">
              <w:t>▲0.17</w:t>
            </w:r>
          </w:p>
        </w:tc>
        <w:tc>
          <w:tcPr>
            <w:tcW w:w="2552" w:type="dxa"/>
          </w:tcPr>
          <w:p w:rsidR="00D226C7" w:rsidRPr="00D42745" w:rsidRDefault="00D226C7" w:rsidP="00975582">
            <w:pPr>
              <w:pStyle w:val="Tabletext"/>
            </w:pPr>
            <w:r w:rsidRPr="00D42745">
              <w:t>100%</w:t>
            </w:r>
          </w:p>
        </w:tc>
        <w:tc>
          <w:tcPr>
            <w:tcW w:w="2552" w:type="dxa"/>
          </w:tcPr>
          <w:p w:rsidR="00D226C7" w:rsidRPr="00D226C7" w:rsidRDefault="00D226C7" w:rsidP="00975582">
            <w:pPr>
              <w:pStyle w:val="Tabletext"/>
            </w:pPr>
            <w:r w:rsidRPr="00D226C7">
              <w:t>100%</w:t>
            </w:r>
          </w:p>
        </w:tc>
      </w:tr>
      <w:tr w:rsidR="00D226C7" w:rsidRPr="00D42745" w:rsidTr="00D226C7">
        <w:trPr>
          <w:trHeight w:hRule="exact" w:val="312"/>
        </w:trPr>
        <w:tc>
          <w:tcPr>
            <w:tcW w:w="2268" w:type="dxa"/>
          </w:tcPr>
          <w:p w:rsidR="00D226C7" w:rsidRPr="00D226C7" w:rsidRDefault="00D226C7" w:rsidP="00975582">
            <w:pPr>
              <w:pStyle w:val="Tabletext"/>
            </w:pPr>
            <w:r w:rsidRPr="00D226C7">
              <w:t>Simply Energy</w:t>
            </w:r>
          </w:p>
        </w:tc>
        <w:tc>
          <w:tcPr>
            <w:tcW w:w="907" w:type="dxa"/>
          </w:tcPr>
          <w:p w:rsidR="00D226C7" w:rsidRPr="00D42745" w:rsidRDefault="00D226C7" w:rsidP="00975582">
            <w:pPr>
              <w:pStyle w:val="Tabletext"/>
            </w:pPr>
            <w:r w:rsidRPr="00D42745">
              <w:t>2.39</w:t>
            </w:r>
          </w:p>
        </w:tc>
        <w:tc>
          <w:tcPr>
            <w:tcW w:w="907" w:type="dxa"/>
          </w:tcPr>
          <w:p w:rsidR="00D226C7" w:rsidRPr="00D226C7" w:rsidRDefault="00D226C7" w:rsidP="00975582">
            <w:pPr>
              <w:pStyle w:val="Tabletext"/>
            </w:pPr>
            <w:r w:rsidRPr="00D226C7">
              <w:t>▲0.31</w:t>
            </w:r>
          </w:p>
        </w:tc>
        <w:tc>
          <w:tcPr>
            <w:tcW w:w="2552" w:type="dxa"/>
          </w:tcPr>
          <w:p w:rsidR="00D226C7" w:rsidRPr="00D42745" w:rsidRDefault="00D226C7" w:rsidP="00975582">
            <w:pPr>
              <w:pStyle w:val="Tabletext"/>
            </w:pPr>
            <w:r w:rsidRPr="00D42745">
              <w:t>57%</w:t>
            </w:r>
          </w:p>
        </w:tc>
        <w:tc>
          <w:tcPr>
            <w:tcW w:w="2552" w:type="dxa"/>
          </w:tcPr>
          <w:p w:rsidR="00D226C7" w:rsidRPr="00D42745" w:rsidRDefault="00D226C7" w:rsidP="00975582">
            <w:pPr>
              <w:pStyle w:val="Tabletext"/>
            </w:pPr>
            <w:r w:rsidRPr="00D42745">
              <w:t>77%</w:t>
            </w:r>
          </w:p>
        </w:tc>
      </w:tr>
      <w:tr w:rsidR="00D226C7" w:rsidRPr="00D42745" w:rsidTr="00D226C7">
        <w:trPr>
          <w:trHeight w:hRule="exact" w:val="312"/>
        </w:trPr>
        <w:tc>
          <w:tcPr>
            <w:tcW w:w="2268" w:type="dxa"/>
            <w:shd w:val="clear" w:color="auto" w:fill="F2F2F2" w:themeFill="background1" w:themeFillShade="F2"/>
          </w:tcPr>
          <w:p w:rsidR="00D226C7" w:rsidRPr="009D1691" w:rsidRDefault="00D226C7" w:rsidP="00975582">
            <w:pPr>
              <w:pStyle w:val="Tabletext"/>
              <w:rPr>
                <w:rStyle w:val="Strong"/>
              </w:rPr>
            </w:pPr>
            <w:r w:rsidRPr="009D1691">
              <w:rPr>
                <w:rStyle w:val="Strong"/>
              </w:rPr>
              <w:t>TOTAL SA</w:t>
            </w:r>
          </w:p>
        </w:tc>
        <w:tc>
          <w:tcPr>
            <w:tcW w:w="907" w:type="dxa"/>
            <w:shd w:val="clear" w:color="auto" w:fill="F2F2F2" w:themeFill="background1" w:themeFillShade="F2"/>
          </w:tcPr>
          <w:p w:rsidR="00D226C7" w:rsidRPr="009D1691" w:rsidRDefault="00D226C7" w:rsidP="00975582">
            <w:pPr>
              <w:pStyle w:val="Tabletext"/>
              <w:rPr>
                <w:rStyle w:val="Strong"/>
              </w:rPr>
            </w:pPr>
            <w:r w:rsidRPr="009D1691">
              <w:rPr>
                <w:rStyle w:val="Strong"/>
              </w:rPr>
              <w:t>1.36</w:t>
            </w:r>
          </w:p>
        </w:tc>
        <w:tc>
          <w:tcPr>
            <w:tcW w:w="907" w:type="dxa"/>
            <w:shd w:val="clear" w:color="auto" w:fill="F2F2F2" w:themeFill="background1" w:themeFillShade="F2"/>
          </w:tcPr>
          <w:p w:rsidR="00D226C7" w:rsidRPr="009D1691" w:rsidRDefault="00D226C7" w:rsidP="00975582">
            <w:pPr>
              <w:pStyle w:val="Tabletext"/>
              <w:rPr>
                <w:rStyle w:val="Strong"/>
              </w:rPr>
            </w:pPr>
            <w:r w:rsidRPr="009D1691">
              <w:rPr>
                <w:rStyle w:val="Strong"/>
              </w:rPr>
              <w:t>▼0.01</w:t>
            </w:r>
          </w:p>
        </w:tc>
        <w:tc>
          <w:tcPr>
            <w:tcW w:w="2552" w:type="dxa"/>
            <w:shd w:val="clear" w:color="auto" w:fill="F2F2F2" w:themeFill="background1" w:themeFillShade="F2"/>
          </w:tcPr>
          <w:p w:rsidR="00D226C7" w:rsidRPr="009D1691" w:rsidRDefault="00D226C7" w:rsidP="00975582">
            <w:pPr>
              <w:pStyle w:val="Tabletext"/>
              <w:rPr>
                <w:rStyle w:val="Strong"/>
              </w:rPr>
            </w:pPr>
            <w:r w:rsidRPr="009D1691">
              <w:rPr>
                <w:rStyle w:val="Strong"/>
              </w:rPr>
              <w:t>57%</w:t>
            </w:r>
          </w:p>
        </w:tc>
        <w:tc>
          <w:tcPr>
            <w:tcW w:w="2552" w:type="dxa"/>
            <w:shd w:val="clear" w:color="auto" w:fill="F2F2F2" w:themeFill="background1" w:themeFillShade="F2"/>
          </w:tcPr>
          <w:p w:rsidR="00D226C7" w:rsidRPr="009D1691" w:rsidRDefault="00D226C7" w:rsidP="00975582">
            <w:pPr>
              <w:pStyle w:val="Tabletext"/>
              <w:rPr>
                <w:rStyle w:val="Strong"/>
              </w:rPr>
            </w:pPr>
            <w:r w:rsidRPr="009D1691">
              <w:rPr>
                <w:rStyle w:val="Strong"/>
              </w:rPr>
              <w:t>72%</w:t>
            </w:r>
          </w:p>
        </w:tc>
      </w:tr>
      <w:tr w:rsidR="00D226C7" w:rsidRPr="00D42745" w:rsidTr="00D226C7">
        <w:trPr>
          <w:trHeight w:hRule="exact" w:val="312"/>
        </w:trPr>
        <w:tc>
          <w:tcPr>
            <w:tcW w:w="2268" w:type="dxa"/>
          </w:tcPr>
          <w:p w:rsidR="00D226C7" w:rsidRPr="00E92189" w:rsidRDefault="00D226C7" w:rsidP="00975582">
            <w:pPr>
              <w:pStyle w:val="Tabletext"/>
              <w:rPr>
                <w:rStyle w:val="Strong"/>
              </w:rPr>
            </w:pPr>
            <w:r w:rsidRPr="00E92189">
              <w:rPr>
                <w:rStyle w:val="Strong"/>
              </w:rPr>
              <w:t>ACT</w:t>
            </w:r>
          </w:p>
        </w:tc>
        <w:tc>
          <w:tcPr>
            <w:tcW w:w="907" w:type="dxa"/>
          </w:tcPr>
          <w:p w:rsidR="00D226C7" w:rsidRPr="00D42745" w:rsidRDefault="00D226C7" w:rsidP="00975582">
            <w:pPr>
              <w:pStyle w:val="Tabletext"/>
            </w:pPr>
          </w:p>
        </w:tc>
        <w:tc>
          <w:tcPr>
            <w:tcW w:w="907" w:type="dxa"/>
          </w:tcPr>
          <w:p w:rsidR="00D226C7" w:rsidRPr="00D42745" w:rsidRDefault="00D226C7" w:rsidP="00975582">
            <w:pPr>
              <w:pStyle w:val="Tabletext"/>
            </w:pPr>
          </w:p>
        </w:tc>
        <w:tc>
          <w:tcPr>
            <w:tcW w:w="2552" w:type="dxa"/>
          </w:tcPr>
          <w:p w:rsidR="00D226C7" w:rsidRPr="00D42745" w:rsidRDefault="00D226C7" w:rsidP="00975582">
            <w:pPr>
              <w:pStyle w:val="Tabletext"/>
            </w:pPr>
          </w:p>
        </w:tc>
        <w:tc>
          <w:tcPr>
            <w:tcW w:w="2552" w:type="dxa"/>
          </w:tcPr>
          <w:p w:rsidR="00D226C7" w:rsidRPr="00D42745" w:rsidRDefault="00D226C7" w:rsidP="00975582">
            <w:pPr>
              <w:pStyle w:val="Tabletext"/>
            </w:pPr>
          </w:p>
        </w:tc>
      </w:tr>
      <w:tr w:rsidR="00D226C7" w:rsidRPr="00D42745" w:rsidTr="00D226C7">
        <w:trPr>
          <w:trHeight w:hRule="exact" w:val="312"/>
        </w:trPr>
        <w:tc>
          <w:tcPr>
            <w:tcW w:w="2268" w:type="dxa"/>
          </w:tcPr>
          <w:p w:rsidR="00D226C7" w:rsidRPr="00D226C7" w:rsidRDefault="00D226C7" w:rsidP="00975582">
            <w:pPr>
              <w:pStyle w:val="Tabletext"/>
            </w:pPr>
            <w:r w:rsidRPr="00D226C7">
              <w:t>ActewAGL</w:t>
            </w:r>
          </w:p>
        </w:tc>
        <w:tc>
          <w:tcPr>
            <w:tcW w:w="907" w:type="dxa"/>
          </w:tcPr>
          <w:p w:rsidR="00D226C7" w:rsidRPr="00D42745" w:rsidRDefault="00D226C7" w:rsidP="00975582">
            <w:pPr>
              <w:pStyle w:val="Tabletext"/>
            </w:pPr>
            <w:r w:rsidRPr="00D42745">
              <w:t>0.22</w:t>
            </w:r>
          </w:p>
        </w:tc>
        <w:tc>
          <w:tcPr>
            <w:tcW w:w="907" w:type="dxa"/>
          </w:tcPr>
          <w:p w:rsidR="00D226C7" w:rsidRPr="00D226C7" w:rsidRDefault="00D226C7" w:rsidP="00975582">
            <w:pPr>
              <w:pStyle w:val="Tabletext"/>
            </w:pPr>
            <w:r w:rsidRPr="00D226C7">
              <w:t>▲0.07</w:t>
            </w:r>
          </w:p>
        </w:tc>
        <w:tc>
          <w:tcPr>
            <w:tcW w:w="2552" w:type="dxa"/>
          </w:tcPr>
          <w:p w:rsidR="00D226C7" w:rsidRPr="00D42745" w:rsidRDefault="00D226C7" w:rsidP="00975582">
            <w:pPr>
              <w:pStyle w:val="Tabletext"/>
            </w:pPr>
            <w:r w:rsidRPr="00D42745">
              <w:t>63%</w:t>
            </w:r>
          </w:p>
        </w:tc>
        <w:tc>
          <w:tcPr>
            <w:tcW w:w="2552" w:type="dxa"/>
          </w:tcPr>
          <w:p w:rsidR="00D226C7" w:rsidRPr="00D42745" w:rsidRDefault="00D226C7" w:rsidP="00975582">
            <w:pPr>
              <w:pStyle w:val="Tabletext"/>
            </w:pPr>
            <w:r w:rsidRPr="00D42745">
              <w:t>89%</w:t>
            </w:r>
          </w:p>
        </w:tc>
      </w:tr>
      <w:tr w:rsidR="00D226C7" w:rsidRPr="00D42745" w:rsidTr="00D226C7">
        <w:trPr>
          <w:trHeight w:hRule="exact" w:val="312"/>
        </w:trPr>
        <w:tc>
          <w:tcPr>
            <w:tcW w:w="2268" w:type="dxa"/>
          </w:tcPr>
          <w:p w:rsidR="00D226C7" w:rsidRPr="00D226C7" w:rsidRDefault="00D226C7" w:rsidP="00975582">
            <w:pPr>
              <w:pStyle w:val="Tabletext"/>
            </w:pPr>
            <w:r w:rsidRPr="00D226C7">
              <w:t>EnergyAustralia</w:t>
            </w:r>
          </w:p>
        </w:tc>
        <w:tc>
          <w:tcPr>
            <w:tcW w:w="907" w:type="dxa"/>
          </w:tcPr>
          <w:p w:rsidR="00D226C7" w:rsidRPr="00D42745" w:rsidRDefault="00D226C7" w:rsidP="00975582">
            <w:pPr>
              <w:pStyle w:val="Tabletext"/>
            </w:pPr>
            <w:r w:rsidRPr="00D42745">
              <w:t>0.11</w:t>
            </w:r>
          </w:p>
        </w:tc>
        <w:tc>
          <w:tcPr>
            <w:tcW w:w="907" w:type="dxa"/>
          </w:tcPr>
          <w:p w:rsidR="00D226C7" w:rsidRPr="00D226C7" w:rsidRDefault="00D226C7" w:rsidP="00975582">
            <w:pPr>
              <w:pStyle w:val="Tabletext"/>
            </w:pPr>
            <w:r w:rsidRPr="00D226C7">
              <w:t>▼0.46</w:t>
            </w:r>
          </w:p>
        </w:tc>
        <w:tc>
          <w:tcPr>
            <w:tcW w:w="2552" w:type="dxa"/>
          </w:tcPr>
          <w:p w:rsidR="00D226C7" w:rsidRPr="00D42745" w:rsidRDefault="00D226C7" w:rsidP="00975582">
            <w:pPr>
              <w:pStyle w:val="Tabletext"/>
            </w:pPr>
            <w:r w:rsidRPr="00D42745">
              <w:t>17%</w:t>
            </w:r>
          </w:p>
        </w:tc>
        <w:tc>
          <w:tcPr>
            <w:tcW w:w="2552" w:type="dxa"/>
          </w:tcPr>
          <w:p w:rsidR="00D226C7" w:rsidRPr="00D42745" w:rsidRDefault="00D226C7" w:rsidP="00975582">
            <w:pPr>
              <w:pStyle w:val="Tabletext"/>
            </w:pPr>
            <w:r w:rsidRPr="00D42745">
              <w:t>100%</w:t>
            </w:r>
          </w:p>
        </w:tc>
      </w:tr>
      <w:tr w:rsidR="00D226C7" w:rsidRPr="00D42745" w:rsidTr="00D226C7">
        <w:trPr>
          <w:trHeight w:hRule="exact" w:val="312"/>
        </w:trPr>
        <w:tc>
          <w:tcPr>
            <w:tcW w:w="2268" w:type="dxa"/>
            <w:shd w:val="clear" w:color="auto" w:fill="F2F2F2" w:themeFill="background1" w:themeFillShade="F2"/>
          </w:tcPr>
          <w:p w:rsidR="00D226C7" w:rsidRPr="009D1691" w:rsidRDefault="00D226C7" w:rsidP="00975582">
            <w:pPr>
              <w:pStyle w:val="Tabletext"/>
              <w:rPr>
                <w:rStyle w:val="Strong"/>
              </w:rPr>
            </w:pPr>
            <w:r w:rsidRPr="009D1691">
              <w:rPr>
                <w:rStyle w:val="Strong"/>
              </w:rPr>
              <w:t>TOTAL ACT</w:t>
            </w:r>
          </w:p>
        </w:tc>
        <w:tc>
          <w:tcPr>
            <w:tcW w:w="907" w:type="dxa"/>
            <w:shd w:val="clear" w:color="auto" w:fill="F2F2F2" w:themeFill="background1" w:themeFillShade="F2"/>
          </w:tcPr>
          <w:p w:rsidR="00D226C7" w:rsidRPr="009D1691" w:rsidRDefault="00D226C7" w:rsidP="00975582">
            <w:pPr>
              <w:pStyle w:val="Tabletext"/>
              <w:rPr>
                <w:rStyle w:val="Strong"/>
              </w:rPr>
            </w:pPr>
            <w:r w:rsidRPr="009D1691">
              <w:rPr>
                <w:rStyle w:val="Strong"/>
              </w:rPr>
              <w:t>0.21</w:t>
            </w:r>
          </w:p>
        </w:tc>
        <w:tc>
          <w:tcPr>
            <w:tcW w:w="907" w:type="dxa"/>
            <w:shd w:val="clear" w:color="auto" w:fill="F2F2F2" w:themeFill="background1" w:themeFillShade="F2"/>
          </w:tcPr>
          <w:p w:rsidR="00D226C7" w:rsidRPr="009D1691" w:rsidRDefault="00D226C7" w:rsidP="00975582">
            <w:pPr>
              <w:pStyle w:val="Tabletext"/>
              <w:rPr>
                <w:rStyle w:val="Strong"/>
              </w:rPr>
            </w:pPr>
            <w:r w:rsidRPr="009D1691">
              <w:rPr>
                <w:rStyle w:val="Strong"/>
              </w:rPr>
              <w:t>▲0.04</w:t>
            </w:r>
          </w:p>
        </w:tc>
        <w:tc>
          <w:tcPr>
            <w:tcW w:w="2552" w:type="dxa"/>
            <w:shd w:val="clear" w:color="auto" w:fill="F2F2F2" w:themeFill="background1" w:themeFillShade="F2"/>
          </w:tcPr>
          <w:p w:rsidR="00D226C7" w:rsidRPr="009D1691" w:rsidRDefault="00D226C7" w:rsidP="00975582">
            <w:pPr>
              <w:pStyle w:val="Tabletext"/>
              <w:rPr>
                <w:rStyle w:val="Strong"/>
              </w:rPr>
            </w:pPr>
            <w:r w:rsidRPr="009D1691">
              <w:rPr>
                <w:rStyle w:val="Strong"/>
              </w:rPr>
              <w:t>62%</w:t>
            </w:r>
          </w:p>
        </w:tc>
        <w:tc>
          <w:tcPr>
            <w:tcW w:w="2552" w:type="dxa"/>
            <w:shd w:val="clear" w:color="auto" w:fill="F2F2F2" w:themeFill="background1" w:themeFillShade="F2"/>
          </w:tcPr>
          <w:p w:rsidR="00D226C7" w:rsidRPr="009D1691" w:rsidRDefault="00D226C7" w:rsidP="00975582">
            <w:pPr>
              <w:pStyle w:val="Tabletext"/>
              <w:rPr>
                <w:rStyle w:val="Strong"/>
              </w:rPr>
            </w:pPr>
            <w:r w:rsidRPr="009D1691">
              <w:rPr>
                <w:rStyle w:val="Strong"/>
              </w:rPr>
              <w:t>89%</w:t>
            </w:r>
          </w:p>
        </w:tc>
      </w:tr>
      <w:tr w:rsidR="00D226C7" w:rsidRPr="00D42745" w:rsidTr="00D226C7">
        <w:trPr>
          <w:trHeight w:hRule="exact" w:val="312"/>
        </w:trPr>
        <w:tc>
          <w:tcPr>
            <w:tcW w:w="2268" w:type="dxa"/>
          </w:tcPr>
          <w:p w:rsidR="00D226C7" w:rsidRPr="009D1691" w:rsidRDefault="00D226C7" w:rsidP="00975582">
            <w:pPr>
              <w:pStyle w:val="Tabletext"/>
              <w:rPr>
                <w:rStyle w:val="Strong"/>
              </w:rPr>
            </w:pPr>
            <w:r w:rsidRPr="009D1691">
              <w:rPr>
                <w:rStyle w:val="Strong"/>
              </w:rPr>
              <w:t>Tasmania</w:t>
            </w:r>
          </w:p>
        </w:tc>
        <w:tc>
          <w:tcPr>
            <w:tcW w:w="907" w:type="dxa"/>
          </w:tcPr>
          <w:p w:rsidR="00D226C7" w:rsidRPr="009D1691" w:rsidRDefault="00D226C7" w:rsidP="00975582">
            <w:pPr>
              <w:pStyle w:val="Tabletext"/>
              <w:rPr>
                <w:rStyle w:val="Strong"/>
              </w:rPr>
            </w:pPr>
          </w:p>
        </w:tc>
        <w:tc>
          <w:tcPr>
            <w:tcW w:w="907" w:type="dxa"/>
          </w:tcPr>
          <w:p w:rsidR="00D226C7" w:rsidRPr="009D1691" w:rsidRDefault="00D226C7" w:rsidP="00975582">
            <w:pPr>
              <w:pStyle w:val="Tabletext"/>
              <w:rPr>
                <w:rStyle w:val="Strong"/>
              </w:rPr>
            </w:pPr>
          </w:p>
        </w:tc>
        <w:tc>
          <w:tcPr>
            <w:tcW w:w="2552" w:type="dxa"/>
          </w:tcPr>
          <w:p w:rsidR="00D226C7" w:rsidRPr="009D1691" w:rsidRDefault="00D226C7" w:rsidP="00975582">
            <w:pPr>
              <w:pStyle w:val="Tabletext"/>
              <w:rPr>
                <w:rStyle w:val="Strong"/>
              </w:rPr>
            </w:pPr>
          </w:p>
        </w:tc>
        <w:tc>
          <w:tcPr>
            <w:tcW w:w="2552" w:type="dxa"/>
          </w:tcPr>
          <w:p w:rsidR="00D226C7" w:rsidRPr="009D1691" w:rsidRDefault="00D226C7" w:rsidP="00975582">
            <w:pPr>
              <w:pStyle w:val="Tabletext"/>
              <w:rPr>
                <w:rStyle w:val="Strong"/>
              </w:rPr>
            </w:pPr>
          </w:p>
        </w:tc>
      </w:tr>
      <w:tr w:rsidR="00D226C7" w:rsidRPr="00D42745" w:rsidTr="00D226C7">
        <w:trPr>
          <w:trHeight w:hRule="exact" w:val="312"/>
        </w:trPr>
        <w:tc>
          <w:tcPr>
            <w:tcW w:w="2268" w:type="dxa"/>
            <w:shd w:val="clear" w:color="auto" w:fill="F2F2F2" w:themeFill="background1" w:themeFillShade="F2"/>
          </w:tcPr>
          <w:p w:rsidR="00D226C7" w:rsidRPr="00D226C7" w:rsidRDefault="00D226C7" w:rsidP="00975582">
            <w:pPr>
              <w:pStyle w:val="Tabletext"/>
            </w:pPr>
            <w:r w:rsidRPr="00D226C7">
              <w:t>Aurora Energy</w:t>
            </w:r>
            <w:r w:rsidR="00734B0C">
              <w:t>*</w:t>
            </w:r>
          </w:p>
        </w:tc>
        <w:tc>
          <w:tcPr>
            <w:tcW w:w="907" w:type="dxa"/>
            <w:shd w:val="clear" w:color="auto" w:fill="F2F2F2" w:themeFill="background1" w:themeFillShade="F2"/>
          </w:tcPr>
          <w:p w:rsidR="00D226C7" w:rsidRPr="00D42745" w:rsidRDefault="00D226C7" w:rsidP="00975582">
            <w:pPr>
              <w:pStyle w:val="Tabletext"/>
            </w:pPr>
            <w:r w:rsidRPr="00D42745">
              <w:t>0.45</w:t>
            </w:r>
          </w:p>
        </w:tc>
        <w:tc>
          <w:tcPr>
            <w:tcW w:w="907" w:type="dxa"/>
            <w:shd w:val="clear" w:color="auto" w:fill="F2F2F2" w:themeFill="background1" w:themeFillShade="F2"/>
          </w:tcPr>
          <w:p w:rsidR="00D226C7" w:rsidRPr="00D226C7" w:rsidRDefault="00D226C7" w:rsidP="00975582">
            <w:pPr>
              <w:pStyle w:val="Tabletext"/>
            </w:pPr>
            <w:r w:rsidRPr="00D226C7">
              <w:t>▼0.23</w:t>
            </w:r>
          </w:p>
        </w:tc>
        <w:tc>
          <w:tcPr>
            <w:tcW w:w="2552" w:type="dxa"/>
            <w:shd w:val="clear" w:color="auto" w:fill="F2F2F2" w:themeFill="background1" w:themeFillShade="F2"/>
          </w:tcPr>
          <w:p w:rsidR="00D226C7" w:rsidRPr="00D42745" w:rsidRDefault="00D226C7" w:rsidP="00975582">
            <w:pPr>
              <w:pStyle w:val="Tabletext"/>
            </w:pPr>
            <w:r w:rsidRPr="00D42745">
              <w:t>54%</w:t>
            </w:r>
          </w:p>
        </w:tc>
        <w:tc>
          <w:tcPr>
            <w:tcW w:w="2552" w:type="dxa"/>
            <w:shd w:val="clear" w:color="auto" w:fill="F2F2F2" w:themeFill="background1" w:themeFillShade="F2"/>
          </w:tcPr>
          <w:p w:rsidR="00D226C7" w:rsidRPr="00D42745" w:rsidRDefault="00D226C7" w:rsidP="00975582">
            <w:pPr>
              <w:pStyle w:val="Tabletext"/>
            </w:pPr>
            <w:r w:rsidRPr="00D42745">
              <w:t>87%</w:t>
            </w:r>
          </w:p>
        </w:tc>
      </w:tr>
      <w:tr w:rsidR="00D226C7" w:rsidRPr="00D42745" w:rsidTr="00D226C7">
        <w:trPr>
          <w:trHeight w:hRule="exact" w:val="312"/>
        </w:trPr>
        <w:tc>
          <w:tcPr>
            <w:tcW w:w="2268" w:type="dxa"/>
          </w:tcPr>
          <w:p w:rsidR="00D226C7" w:rsidRPr="00E92189" w:rsidRDefault="00D226C7" w:rsidP="00975582">
            <w:pPr>
              <w:pStyle w:val="Tabletext"/>
              <w:rPr>
                <w:rStyle w:val="Strong"/>
              </w:rPr>
            </w:pPr>
            <w:r w:rsidRPr="00E92189">
              <w:rPr>
                <w:rStyle w:val="Strong"/>
              </w:rPr>
              <w:t>New South Wales</w:t>
            </w:r>
          </w:p>
        </w:tc>
        <w:tc>
          <w:tcPr>
            <w:tcW w:w="907" w:type="dxa"/>
          </w:tcPr>
          <w:p w:rsidR="00D226C7" w:rsidRPr="00D42745" w:rsidRDefault="00D226C7" w:rsidP="00975582">
            <w:pPr>
              <w:pStyle w:val="Tabletext"/>
            </w:pPr>
          </w:p>
        </w:tc>
        <w:tc>
          <w:tcPr>
            <w:tcW w:w="907" w:type="dxa"/>
          </w:tcPr>
          <w:p w:rsidR="00D226C7" w:rsidRPr="00D42745" w:rsidRDefault="00D226C7" w:rsidP="00975582">
            <w:pPr>
              <w:pStyle w:val="Tabletext"/>
            </w:pPr>
          </w:p>
        </w:tc>
        <w:tc>
          <w:tcPr>
            <w:tcW w:w="2552" w:type="dxa"/>
          </w:tcPr>
          <w:p w:rsidR="00D226C7" w:rsidRPr="00D42745" w:rsidRDefault="00D226C7" w:rsidP="00975582">
            <w:pPr>
              <w:pStyle w:val="Tabletext"/>
            </w:pPr>
          </w:p>
        </w:tc>
        <w:tc>
          <w:tcPr>
            <w:tcW w:w="2552" w:type="dxa"/>
          </w:tcPr>
          <w:p w:rsidR="00D226C7" w:rsidRPr="00D42745" w:rsidRDefault="00D226C7" w:rsidP="00975582">
            <w:pPr>
              <w:pStyle w:val="Tabletext"/>
            </w:pPr>
          </w:p>
        </w:tc>
      </w:tr>
      <w:tr w:rsidR="00D226C7" w:rsidRPr="00D42745" w:rsidTr="00D226C7">
        <w:trPr>
          <w:trHeight w:hRule="exact" w:val="312"/>
        </w:trPr>
        <w:tc>
          <w:tcPr>
            <w:tcW w:w="2268" w:type="dxa"/>
          </w:tcPr>
          <w:p w:rsidR="00D226C7" w:rsidRPr="00D226C7" w:rsidRDefault="00D226C7" w:rsidP="00975582">
            <w:pPr>
              <w:pStyle w:val="Tabletext"/>
            </w:pPr>
            <w:r w:rsidRPr="00D226C7">
              <w:t>ActewAGL</w:t>
            </w:r>
          </w:p>
        </w:tc>
        <w:tc>
          <w:tcPr>
            <w:tcW w:w="907" w:type="dxa"/>
          </w:tcPr>
          <w:p w:rsidR="00D226C7" w:rsidRPr="00D42745" w:rsidRDefault="00D226C7" w:rsidP="00975582">
            <w:pPr>
              <w:pStyle w:val="Tabletext"/>
            </w:pPr>
            <w:r w:rsidRPr="00D42745">
              <w:t>0.53</w:t>
            </w:r>
          </w:p>
        </w:tc>
        <w:tc>
          <w:tcPr>
            <w:tcW w:w="907" w:type="dxa"/>
          </w:tcPr>
          <w:p w:rsidR="00D226C7" w:rsidRPr="00D226C7" w:rsidRDefault="00D226C7" w:rsidP="00975582">
            <w:pPr>
              <w:pStyle w:val="Tabletext"/>
            </w:pPr>
            <w:r w:rsidRPr="00D226C7">
              <w:t>▲0.21</w:t>
            </w:r>
          </w:p>
        </w:tc>
        <w:tc>
          <w:tcPr>
            <w:tcW w:w="2552" w:type="dxa"/>
          </w:tcPr>
          <w:p w:rsidR="00D226C7" w:rsidRPr="00D42745" w:rsidRDefault="00D226C7" w:rsidP="00975582">
            <w:pPr>
              <w:pStyle w:val="Tabletext"/>
            </w:pPr>
            <w:r w:rsidRPr="00D42745">
              <w:t>41%</w:t>
            </w:r>
          </w:p>
        </w:tc>
        <w:tc>
          <w:tcPr>
            <w:tcW w:w="2552" w:type="dxa"/>
          </w:tcPr>
          <w:p w:rsidR="00D226C7" w:rsidRPr="00D42745" w:rsidRDefault="00D226C7" w:rsidP="00975582">
            <w:pPr>
              <w:pStyle w:val="Tabletext"/>
            </w:pPr>
            <w:r w:rsidRPr="00D42745">
              <w:t>98%</w:t>
            </w:r>
          </w:p>
        </w:tc>
      </w:tr>
      <w:tr w:rsidR="00D226C7" w:rsidRPr="00D42745" w:rsidTr="00D226C7">
        <w:trPr>
          <w:trHeight w:hRule="exact" w:val="312"/>
        </w:trPr>
        <w:tc>
          <w:tcPr>
            <w:tcW w:w="2268" w:type="dxa"/>
          </w:tcPr>
          <w:p w:rsidR="00D226C7" w:rsidRPr="00D226C7" w:rsidRDefault="00D226C7" w:rsidP="00975582">
            <w:pPr>
              <w:pStyle w:val="Tabletext"/>
            </w:pPr>
            <w:r w:rsidRPr="00D226C7">
              <w:t>AGL</w:t>
            </w:r>
          </w:p>
        </w:tc>
        <w:tc>
          <w:tcPr>
            <w:tcW w:w="907" w:type="dxa"/>
          </w:tcPr>
          <w:p w:rsidR="00D226C7" w:rsidRPr="00D42745" w:rsidRDefault="00D226C7" w:rsidP="00975582">
            <w:pPr>
              <w:pStyle w:val="Tabletext"/>
            </w:pPr>
            <w:r w:rsidRPr="00D42745">
              <w:t>1.81</w:t>
            </w:r>
          </w:p>
        </w:tc>
        <w:tc>
          <w:tcPr>
            <w:tcW w:w="907" w:type="dxa"/>
          </w:tcPr>
          <w:p w:rsidR="00D226C7" w:rsidRPr="00D226C7" w:rsidRDefault="00D226C7" w:rsidP="00975582">
            <w:pPr>
              <w:pStyle w:val="Tabletext"/>
            </w:pPr>
            <w:r w:rsidRPr="00D226C7">
              <w:t>▲0.30</w:t>
            </w:r>
          </w:p>
        </w:tc>
        <w:tc>
          <w:tcPr>
            <w:tcW w:w="2552" w:type="dxa"/>
          </w:tcPr>
          <w:p w:rsidR="00D226C7" w:rsidRPr="00D42745" w:rsidRDefault="00D226C7" w:rsidP="00975582">
            <w:pPr>
              <w:pStyle w:val="Tabletext"/>
            </w:pPr>
            <w:r w:rsidRPr="00D42745">
              <w:t>41%</w:t>
            </w:r>
          </w:p>
        </w:tc>
        <w:tc>
          <w:tcPr>
            <w:tcW w:w="2552" w:type="dxa"/>
          </w:tcPr>
          <w:p w:rsidR="00D226C7" w:rsidRPr="00D42745" w:rsidRDefault="00D226C7" w:rsidP="00975582">
            <w:pPr>
              <w:pStyle w:val="Tabletext"/>
            </w:pPr>
            <w:r w:rsidRPr="00D42745">
              <w:t>96%</w:t>
            </w:r>
          </w:p>
        </w:tc>
      </w:tr>
      <w:tr w:rsidR="00D226C7" w:rsidRPr="00D42745" w:rsidTr="00D226C7">
        <w:trPr>
          <w:trHeight w:hRule="exact" w:val="312"/>
        </w:trPr>
        <w:tc>
          <w:tcPr>
            <w:tcW w:w="2268" w:type="dxa"/>
          </w:tcPr>
          <w:p w:rsidR="00D226C7" w:rsidRPr="00D226C7" w:rsidRDefault="00D226C7" w:rsidP="00975582">
            <w:pPr>
              <w:pStyle w:val="Tabletext"/>
            </w:pPr>
            <w:r w:rsidRPr="00D226C7">
              <w:t>Click Energy</w:t>
            </w:r>
          </w:p>
        </w:tc>
        <w:tc>
          <w:tcPr>
            <w:tcW w:w="907" w:type="dxa"/>
          </w:tcPr>
          <w:p w:rsidR="00D226C7" w:rsidRPr="00D42745" w:rsidRDefault="00D226C7" w:rsidP="00975582">
            <w:pPr>
              <w:pStyle w:val="Tabletext"/>
            </w:pPr>
            <w:r w:rsidRPr="00D42745">
              <w:t>0.78</w:t>
            </w:r>
          </w:p>
        </w:tc>
        <w:tc>
          <w:tcPr>
            <w:tcW w:w="907" w:type="dxa"/>
          </w:tcPr>
          <w:p w:rsidR="00D226C7" w:rsidRPr="00D226C7" w:rsidRDefault="00D226C7" w:rsidP="00975582">
            <w:pPr>
              <w:pStyle w:val="Tabletext"/>
            </w:pPr>
            <w:r w:rsidRPr="00D226C7">
              <w:t>▲0.15</w:t>
            </w:r>
          </w:p>
        </w:tc>
        <w:tc>
          <w:tcPr>
            <w:tcW w:w="2552" w:type="dxa"/>
          </w:tcPr>
          <w:p w:rsidR="00D226C7" w:rsidRPr="00D42745" w:rsidRDefault="00D226C7" w:rsidP="00975582">
            <w:pPr>
              <w:pStyle w:val="Tabletext"/>
            </w:pPr>
            <w:r w:rsidRPr="00D42745">
              <w:t>23%</w:t>
            </w:r>
          </w:p>
        </w:tc>
        <w:tc>
          <w:tcPr>
            <w:tcW w:w="2552" w:type="dxa"/>
          </w:tcPr>
          <w:p w:rsidR="00D226C7" w:rsidRPr="00D42745" w:rsidRDefault="00D226C7" w:rsidP="00975582">
            <w:pPr>
              <w:pStyle w:val="Tabletext"/>
            </w:pPr>
            <w:r w:rsidRPr="00D42745">
              <w:t>95%</w:t>
            </w:r>
          </w:p>
        </w:tc>
      </w:tr>
      <w:tr w:rsidR="00D226C7" w:rsidRPr="00D42745" w:rsidTr="00D226C7">
        <w:trPr>
          <w:trHeight w:hRule="exact" w:val="312"/>
        </w:trPr>
        <w:tc>
          <w:tcPr>
            <w:tcW w:w="2268" w:type="dxa"/>
          </w:tcPr>
          <w:p w:rsidR="00D226C7" w:rsidRPr="00D226C7" w:rsidRDefault="00D226C7" w:rsidP="00975582">
            <w:pPr>
              <w:pStyle w:val="Tabletext"/>
            </w:pPr>
            <w:r w:rsidRPr="00D226C7">
              <w:t>CovaU</w:t>
            </w:r>
          </w:p>
        </w:tc>
        <w:tc>
          <w:tcPr>
            <w:tcW w:w="907" w:type="dxa"/>
          </w:tcPr>
          <w:p w:rsidR="00D226C7" w:rsidRPr="00D42745" w:rsidRDefault="00D226C7" w:rsidP="00975582">
            <w:pPr>
              <w:pStyle w:val="Tabletext"/>
            </w:pPr>
            <w:r w:rsidRPr="00D42745">
              <w:t>0.07</w:t>
            </w:r>
          </w:p>
        </w:tc>
        <w:tc>
          <w:tcPr>
            <w:tcW w:w="907" w:type="dxa"/>
          </w:tcPr>
          <w:p w:rsidR="00D226C7" w:rsidRPr="00D226C7" w:rsidRDefault="00D226C7" w:rsidP="00975582">
            <w:pPr>
              <w:pStyle w:val="Tabletext"/>
            </w:pPr>
            <w:r w:rsidRPr="00D226C7">
              <w:t>▲0.07</w:t>
            </w:r>
          </w:p>
        </w:tc>
        <w:tc>
          <w:tcPr>
            <w:tcW w:w="2552" w:type="dxa"/>
          </w:tcPr>
          <w:p w:rsidR="00D226C7" w:rsidRPr="00D42745" w:rsidRDefault="00D226C7" w:rsidP="00975582">
            <w:pPr>
              <w:pStyle w:val="Tabletext"/>
            </w:pPr>
            <w:r w:rsidRPr="00D42745">
              <w:t>50%</w:t>
            </w:r>
          </w:p>
        </w:tc>
        <w:tc>
          <w:tcPr>
            <w:tcW w:w="2552" w:type="dxa"/>
          </w:tcPr>
          <w:p w:rsidR="00D226C7" w:rsidRPr="00D42745" w:rsidRDefault="00D226C7" w:rsidP="00975582">
            <w:pPr>
              <w:pStyle w:val="Tabletext"/>
            </w:pPr>
            <w:r w:rsidRPr="00D42745">
              <w:t>100%</w:t>
            </w:r>
          </w:p>
        </w:tc>
      </w:tr>
      <w:tr w:rsidR="00D226C7" w:rsidRPr="00D42745" w:rsidTr="00D226C7">
        <w:trPr>
          <w:trHeight w:hRule="exact" w:val="312"/>
        </w:trPr>
        <w:tc>
          <w:tcPr>
            <w:tcW w:w="2268" w:type="dxa"/>
          </w:tcPr>
          <w:p w:rsidR="00D226C7" w:rsidRPr="00D226C7" w:rsidRDefault="00D226C7" w:rsidP="00975582">
            <w:pPr>
              <w:pStyle w:val="Tabletext"/>
            </w:pPr>
            <w:r w:rsidRPr="00D226C7">
              <w:t>Diamond Energy</w:t>
            </w:r>
          </w:p>
        </w:tc>
        <w:tc>
          <w:tcPr>
            <w:tcW w:w="907" w:type="dxa"/>
          </w:tcPr>
          <w:p w:rsidR="00D226C7" w:rsidRPr="00D42745" w:rsidRDefault="00D226C7" w:rsidP="00975582">
            <w:pPr>
              <w:pStyle w:val="Tabletext"/>
            </w:pPr>
            <w:r w:rsidRPr="00D42745">
              <w:t>0.13</w:t>
            </w:r>
          </w:p>
        </w:tc>
        <w:tc>
          <w:tcPr>
            <w:tcW w:w="907" w:type="dxa"/>
          </w:tcPr>
          <w:p w:rsidR="00D226C7" w:rsidRPr="00D226C7" w:rsidRDefault="00D226C7" w:rsidP="00975582">
            <w:pPr>
              <w:pStyle w:val="Tabletext"/>
            </w:pPr>
            <w:r w:rsidRPr="00D226C7">
              <w:t>▲0.13</w:t>
            </w:r>
          </w:p>
        </w:tc>
        <w:tc>
          <w:tcPr>
            <w:tcW w:w="2552" w:type="dxa"/>
          </w:tcPr>
          <w:p w:rsidR="00D226C7" w:rsidRPr="00D42745" w:rsidRDefault="00D226C7" w:rsidP="00975582">
            <w:pPr>
              <w:pStyle w:val="Tabletext"/>
            </w:pPr>
            <w:r w:rsidRPr="00D42745">
              <w:t>100%</w:t>
            </w:r>
          </w:p>
        </w:tc>
        <w:tc>
          <w:tcPr>
            <w:tcW w:w="2552" w:type="dxa"/>
          </w:tcPr>
          <w:p w:rsidR="00D226C7" w:rsidRPr="00D42745" w:rsidRDefault="00D226C7" w:rsidP="00975582">
            <w:pPr>
              <w:pStyle w:val="Tabletext"/>
            </w:pPr>
            <w:r w:rsidRPr="00D42745">
              <w:t>100%</w:t>
            </w:r>
          </w:p>
        </w:tc>
      </w:tr>
      <w:tr w:rsidR="00D226C7" w:rsidRPr="00D42745" w:rsidTr="00D226C7">
        <w:trPr>
          <w:trHeight w:hRule="exact" w:val="312"/>
        </w:trPr>
        <w:tc>
          <w:tcPr>
            <w:tcW w:w="2268" w:type="dxa"/>
          </w:tcPr>
          <w:p w:rsidR="00D226C7" w:rsidRPr="00D226C7" w:rsidRDefault="00D226C7" w:rsidP="00975582">
            <w:pPr>
              <w:pStyle w:val="Tabletext"/>
            </w:pPr>
            <w:r w:rsidRPr="00D226C7">
              <w:t>EnergyAustralia</w:t>
            </w:r>
          </w:p>
        </w:tc>
        <w:tc>
          <w:tcPr>
            <w:tcW w:w="907" w:type="dxa"/>
          </w:tcPr>
          <w:p w:rsidR="00D226C7" w:rsidRPr="00D42745" w:rsidRDefault="00D226C7" w:rsidP="00975582">
            <w:pPr>
              <w:pStyle w:val="Tabletext"/>
            </w:pPr>
            <w:r w:rsidRPr="00D42745">
              <w:t>0.27</w:t>
            </w:r>
          </w:p>
        </w:tc>
        <w:tc>
          <w:tcPr>
            <w:tcW w:w="907" w:type="dxa"/>
          </w:tcPr>
          <w:p w:rsidR="00D226C7" w:rsidRPr="00D226C7" w:rsidRDefault="00D226C7" w:rsidP="00975582">
            <w:pPr>
              <w:pStyle w:val="Tabletext"/>
            </w:pPr>
            <w:r w:rsidRPr="00D226C7">
              <w:t>▼0.43</w:t>
            </w:r>
          </w:p>
        </w:tc>
        <w:tc>
          <w:tcPr>
            <w:tcW w:w="2552" w:type="dxa"/>
          </w:tcPr>
          <w:p w:rsidR="00D226C7" w:rsidRPr="00D42745" w:rsidRDefault="00D226C7" w:rsidP="00975582">
            <w:pPr>
              <w:pStyle w:val="Tabletext"/>
            </w:pPr>
            <w:r w:rsidRPr="00D42745">
              <w:t>55%</w:t>
            </w:r>
          </w:p>
        </w:tc>
        <w:tc>
          <w:tcPr>
            <w:tcW w:w="2552" w:type="dxa"/>
          </w:tcPr>
          <w:p w:rsidR="00D226C7" w:rsidRPr="00D42745" w:rsidRDefault="00D226C7" w:rsidP="00975582">
            <w:pPr>
              <w:pStyle w:val="Tabletext"/>
            </w:pPr>
            <w:r w:rsidRPr="00D42745">
              <w:t>90%</w:t>
            </w:r>
          </w:p>
        </w:tc>
      </w:tr>
      <w:tr w:rsidR="00D226C7" w:rsidRPr="00D42745" w:rsidTr="00D226C7">
        <w:trPr>
          <w:trHeight w:hRule="exact" w:val="312"/>
        </w:trPr>
        <w:tc>
          <w:tcPr>
            <w:tcW w:w="2268" w:type="dxa"/>
          </w:tcPr>
          <w:p w:rsidR="00D226C7" w:rsidRPr="00D226C7" w:rsidRDefault="00D226C7" w:rsidP="00975582">
            <w:pPr>
              <w:pStyle w:val="Tabletext"/>
            </w:pPr>
            <w:r w:rsidRPr="00D226C7">
              <w:t>Lumo Energy</w:t>
            </w:r>
          </w:p>
        </w:tc>
        <w:tc>
          <w:tcPr>
            <w:tcW w:w="907" w:type="dxa"/>
          </w:tcPr>
          <w:p w:rsidR="00D226C7" w:rsidRPr="00D42745" w:rsidRDefault="00D226C7" w:rsidP="00975582">
            <w:pPr>
              <w:pStyle w:val="Tabletext"/>
            </w:pPr>
            <w:r w:rsidRPr="00D42745">
              <w:t>1.18</w:t>
            </w:r>
          </w:p>
        </w:tc>
        <w:tc>
          <w:tcPr>
            <w:tcW w:w="907" w:type="dxa"/>
          </w:tcPr>
          <w:p w:rsidR="00D226C7" w:rsidRPr="00D226C7" w:rsidRDefault="00D226C7" w:rsidP="00975582">
            <w:pPr>
              <w:pStyle w:val="Tabletext"/>
            </w:pPr>
            <w:r w:rsidRPr="00D226C7">
              <w:t>▲0.11</w:t>
            </w:r>
          </w:p>
        </w:tc>
        <w:tc>
          <w:tcPr>
            <w:tcW w:w="2552" w:type="dxa"/>
          </w:tcPr>
          <w:p w:rsidR="00D226C7" w:rsidRPr="00D42745" w:rsidRDefault="00D226C7" w:rsidP="00975582">
            <w:pPr>
              <w:pStyle w:val="Tabletext"/>
            </w:pPr>
            <w:r w:rsidRPr="00D42745">
              <w:t>15%</w:t>
            </w:r>
          </w:p>
        </w:tc>
        <w:tc>
          <w:tcPr>
            <w:tcW w:w="2552" w:type="dxa"/>
          </w:tcPr>
          <w:p w:rsidR="00D226C7" w:rsidRPr="00D42745" w:rsidRDefault="00D226C7" w:rsidP="00975582">
            <w:pPr>
              <w:pStyle w:val="Tabletext"/>
            </w:pPr>
            <w:r w:rsidRPr="00D42745">
              <w:t>100%</w:t>
            </w:r>
          </w:p>
        </w:tc>
      </w:tr>
      <w:tr w:rsidR="00D226C7" w:rsidRPr="00D42745" w:rsidTr="00D226C7">
        <w:trPr>
          <w:trHeight w:hRule="exact" w:val="312"/>
        </w:trPr>
        <w:tc>
          <w:tcPr>
            <w:tcW w:w="2268" w:type="dxa"/>
          </w:tcPr>
          <w:p w:rsidR="00D226C7" w:rsidRPr="00D226C7" w:rsidRDefault="00D226C7" w:rsidP="00975582">
            <w:pPr>
              <w:pStyle w:val="Tabletext"/>
            </w:pPr>
            <w:r w:rsidRPr="00D226C7">
              <w:t>M2 Energy</w:t>
            </w:r>
          </w:p>
        </w:tc>
        <w:tc>
          <w:tcPr>
            <w:tcW w:w="907" w:type="dxa"/>
          </w:tcPr>
          <w:p w:rsidR="00D226C7" w:rsidRPr="00D42745" w:rsidRDefault="00D226C7" w:rsidP="00975582">
            <w:pPr>
              <w:pStyle w:val="Tabletext"/>
            </w:pPr>
            <w:r w:rsidRPr="00D42745">
              <w:t>0.63</w:t>
            </w:r>
          </w:p>
        </w:tc>
        <w:tc>
          <w:tcPr>
            <w:tcW w:w="907" w:type="dxa"/>
          </w:tcPr>
          <w:p w:rsidR="00D226C7" w:rsidRPr="00D226C7" w:rsidRDefault="00D226C7" w:rsidP="00975582">
            <w:pPr>
              <w:pStyle w:val="Tabletext"/>
            </w:pPr>
            <w:r w:rsidRPr="00D226C7">
              <w:t>▲0.54</w:t>
            </w:r>
          </w:p>
        </w:tc>
        <w:tc>
          <w:tcPr>
            <w:tcW w:w="2552" w:type="dxa"/>
          </w:tcPr>
          <w:p w:rsidR="00D226C7" w:rsidRPr="00D42745" w:rsidRDefault="00D226C7" w:rsidP="00975582">
            <w:pPr>
              <w:pStyle w:val="Tabletext"/>
            </w:pPr>
            <w:r w:rsidRPr="00D42745">
              <w:t>24%</w:t>
            </w:r>
          </w:p>
        </w:tc>
        <w:tc>
          <w:tcPr>
            <w:tcW w:w="2552" w:type="dxa"/>
          </w:tcPr>
          <w:p w:rsidR="00D226C7" w:rsidRPr="00D42745" w:rsidRDefault="00D226C7" w:rsidP="00975582">
            <w:pPr>
              <w:pStyle w:val="Tabletext"/>
            </w:pPr>
            <w:r w:rsidRPr="00D42745">
              <w:t>94%</w:t>
            </w:r>
          </w:p>
        </w:tc>
      </w:tr>
      <w:tr w:rsidR="00D226C7" w:rsidRPr="00D42745" w:rsidTr="00D226C7">
        <w:trPr>
          <w:trHeight w:hRule="exact" w:val="312"/>
        </w:trPr>
        <w:tc>
          <w:tcPr>
            <w:tcW w:w="2268" w:type="dxa"/>
          </w:tcPr>
          <w:p w:rsidR="00D226C7" w:rsidRPr="00D226C7" w:rsidRDefault="00D226C7" w:rsidP="00975582">
            <w:pPr>
              <w:pStyle w:val="Tabletext"/>
            </w:pPr>
            <w:r w:rsidRPr="00D226C7">
              <w:t>Momentum Energy</w:t>
            </w:r>
          </w:p>
        </w:tc>
        <w:tc>
          <w:tcPr>
            <w:tcW w:w="907" w:type="dxa"/>
          </w:tcPr>
          <w:p w:rsidR="00D226C7" w:rsidRPr="00D42745" w:rsidRDefault="00D226C7" w:rsidP="00975582">
            <w:pPr>
              <w:pStyle w:val="Tabletext"/>
            </w:pPr>
            <w:r w:rsidRPr="00D42745">
              <w:t>1.13</w:t>
            </w:r>
          </w:p>
        </w:tc>
        <w:tc>
          <w:tcPr>
            <w:tcW w:w="907" w:type="dxa"/>
          </w:tcPr>
          <w:p w:rsidR="00D226C7" w:rsidRPr="00D226C7" w:rsidRDefault="00D226C7" w:rsidP="00975582">
            <w:pPr>
              <w:pStyle w:val="Tabletext"/>
            </w:pPr>
            <w:r w:rsidRPr="00D226C7">
              <w:t>▲0.37</w:t>
            </w:r>
          </w:p>
        </w:tc>
        <w:tc>
          <w:tcPr>
            <w:tcW w:w="2552" w:type="dxa"/>
          </w:tcPr>
          <w:p w:rsidR="00D226C7" w:rsidRPr="00D42745" w:rsidRDefault="00D226C7" w:rsidP="00975582">
            <w:pPr>
              <w:pStyle w:val="Tabletext"/>
            </w:pPr>
            <w:r w:rsidRPr="00D42745">
              <w:t>71%</w:t>
            </w:r>
          </w:p>
        </w:tc>
        <w:tc>
          <w:tcPr>
            <w:tcW w:w="2552" w:type="dxa"/>
          </w:tcPr>
          <w:p w:rsidR="00D226C7" w:rsidRPr="00D42745" w:rsidRDefault="00D226C7" w:rsidP="00975582">
            <w:pPr>
              <w:pStyle w:val="Tabletext"/>
            </w:pPr>
            <w:r w:rsidRPr="00D42745">
              <w:t>41%</w:t>
            </w:r>
          </w:p>
        </w:tc>
      </w:tr>
      <w:tr w:rsidR="00D226C7" w:rsidRPr="00D42745" w:rsidTr="00D226C7">
        <w:trPr>
          <w:trHeight w:hRule="exact" w:val="312"/>
        </w:trPr>
        <w:tc>
          <w:tcPr>
            <w:tcW w:w="2268" w:type="dxa"/>
          </w:tcPr>
          <w:p w:rsidR="00D226C7" w:rsidRPr="00D226C7" w:rsidRDefault="00D226C7" w:rsidP="00975582">
            <w:pPr>
              <w:pStyle w:val="Tabletext"/>
            </w:pPr>
            <w:r w:rsidRPr="00D226C7">
              <w:t>Origin Energy</w:t>
            </w:r>
          </w:p>
        </w:tc>
        <w:tc>
          <w:tcPr>
            <w:tcW w:w="907" w:type="dxa"/>
          </w:tcPr>
          <w:p w:rsidR="00D226C7" w:rsidRPr="00D42745" w:rsidRDefault="00D226C7" w:rsidP="00975582">
            <w:pPr>
              <w:pStyle w:val="Tabletext"/>
            </w:pPr>
            <w:r w:rsidRPr="00D42745">
              <w:t>1.20</w:t>
            </w:r>
          </w:p>
        </w:tc>
        <w:tc>
          <w:tcPr>
            <w:tcW w:w="907" w:type="dxa"/>
          </w:tcPr>
          <w:p w:rsidR="00D226C7" w:rsidRPr="00D226C7" w:rsidRDefault="00D226C7" w:rsidP="00975582">
            <w:pPr>
              <w:pStyle w:val="Tabletext"/>
            </w:pPr>
            <w:r w:rsidRPr="00D226C7">
              <w:t>▲0.08</w:t>
            </w:r>
          </w:p>
        </w:tc>
        <w:tc>
          <w:tcPr>
            <w:tcW w:w="2552" w:type="dxa"/>
          </w:tcPr>
          <w:p w:rsidR="00D226C7" w:rsidRPr="00D42745" w:rsidRDefault="00D226C7" w:rsidP="00975582">
            <w:pPr>
              <w:pStyle w:val="Tabletext"/>
            </w:pPr>
            <w:r w:rsidRPr="00D42745">
              <w:t>87%</w:t>
            </w:r>
          </w:p>
        </w:tc>
        <w:tc>
          <w:tcPr>
            <w:tcW w:w="2552" w:type="dxa"/>
          </w:tcPr>
          <w:p w:rsidR="00D226C7" w:rsidRPr="00D42745" w:rsidRDefault="00D226C7" w:rsidP="00975582">
            <w:pPr>
              <w:pStyle w:val="Tabletext"/>
            </w:pPr>
            <w:r w:rsidRPr="00D42745">
              <w:t>62%</w:t>
            </w:r>
          </w:p>
        </w:tc>
      </w:tr>
      <w:tr w:rsidR="00D226C7" w:rsidRPr="00D42745" w:rsidTr="00D226C7">
        <w:trPr>
          <w:trHeight w:hRule="exact" w:val="312"/>
        </w:trPr>
        <w:tc>
          <w:tcPr>
            <w:tcW w:w="2268" w:type="dxa"/>
          </w:tcPr>
          <w:p w:rsidR="00D226C7" w:rsidRPr="00D226C7" w:rsidRDefault="00D226C7" w:rsidP="00975582">
            <w:pPr>
              <w:pStyle w:val="Tabletext"/>
            </w:pPr>
            <w:r w:rsidRPr="00D226C7">
              <w:t>Powerdirect</w:t>
            </w:r>
          </w:p>
        </w:tc>
        <w:tc>
          <w:tcPr>
            <w:tcW w:w="907" w:type="dxa"/>
          </w:tcPr>
          <w:p w:rsidR="00D226C7" w:rsidRPr="00D42745" w:rsidRDefault="00D226C7" w:rsidP="00975582">
            <w:pPr>
              <w:pStyle w:val="Tabletext"/>
            </w:pPr>
            <w:r w:rsidRPr="00D42745">
              <w:t>0.96</w:t>
            </w:r>
          </w:p>
        </w:tc>
        <w:tc>
          <w:tcPr>
            <w:tcW w:w="907" w:type="dxa"/>
          </w:tcPr>
          <w:p w:rsidR="00D226C7" w:rsidRPr="00D226C7" w:rsidRDefault="00D226C7" w:rsidP="00975582">
            <w:pPr>
              <w:pStyle w:val="Tabletext"/>
            </w:pPr>
            <w:r w:rsidRPr="00D226C7">
              <w:t>▲0.58</w:t>
            </w:r>
          </w:p>
        </w:tc>
        <w:tc>
          <w:tcPr>
            <w:tcW w:w="2552" w:type="dxa"/>
          </w:tcPr>
          <w:p w:rsidR="00D226C7" w:rsidRPr="00D42745" w:rsidRDefault="00D226C7" w:rsidP="00975582">
            <w:pPr>
              <w:pStyle w:val="Tabletext"/>
            </w:pPr>
            <w:r w:rsidRPr="00D42745">
              <w:t>53%</w:t>
            </w:r>
          </w:p>
        </w:tc>
        <w:tc>
          <w:tcPr>
            <w:tcW w:w="2552" w:type="dxa"/>
          </w:tcPr>
          <w:p w:rsidR="00D226C7" w:rsidRPr="00D42745" w:rsidRDefault="00D226C7" w:rsidP="00975582">
            <w:pPr>
              <w:pStyle w:val="Tabletext"/>
            </w:pPr>
            <w:r w:rsidRPr="00D42745">
              <w:t>78%</w:t>
            </w:r>
          </w:p>
        </w:tc>
      </w:tr>
      <w:tr w:rsidR="00D226C7" w:rsidRPr="00D42745" w:rsidTr="00D226C7">
        <w:trPr>
          <w:trHeight w:hRule="exact" w:val="312"/>
        </w:trPr>
        <w:tc>
          <w:tcPr>
            <w:tcW w:w="2268" w:type="dxa"/>
          </w:tcPr>
          <w:p w:rsidR="00D226C7" w:rsidRPr="00D226C7" w:rsidRDefault="00D226C7" w:rsidP="00975582">
            <w:pPr>
              <w:pStyle w:val="Tabletext"/>
            </w:pPr>
            <w:r w:rsidRPr="00D226C7">
              <w:t>QEnergy</w:t>
            </w:r>
          </w:p>
        </w:tc>
        <w:tc>
          <w:tcPr>
            <w:tcW w:w="907" w:type="dxa"/>
          </w:tcPr>
          <w:p w:rsidR="00D226C7" w:rsidRPr="00D42745" w:rsidRDefault="00D226C7" w:rsidP="00975582">
            <w:pPr>
              <w:pStyle w:val="Tabletext"/>
            </w:pPr>
            <w:r w:rsidRPr="00D42745">
              <w:t>4.29</w:t>
            </w:r>
          </w:p>
        </w:tc>
        <w:tc>
          <w:tcPr>
            <w:tcW w:w="907" w:type="dxa"/>
          </w:tcPr>
          <w:p w:rsidR="00D226C7" w:rsidRPr="00D226C7" w:rsidRDefault="00D226C7" w:rsidP="00975582">
            <w:pPr>
              <w:pStyle w:val="Tabletext"/>
            </w:pPr>
            <w:r w:rsidRPr="00D226C7">
              <w:t>▲1.85</w:t>
            </w:r>
          </w:p>
        </w:tc>
        <w:tc>
          <w:tcPr>
            <w:tcW w:w="2552" w:type="dxa"/>
          </w:tcPr>
          <w:p w:rsidR="00D226C7" w:rsidRPr="00D42745" w:rsidRDefault="00D226C7" w:rsidP="00975582">
            <w:pPr>
              <w:pStyle w:val="Tabletext"/>
            </w:pPr>
            <w:r w:rsidRPr="00D42745">
              <w:t>68%</w:t>
            </w:r>
          </w:p>
        </w:tc>
        <w:tc>
          <w:tcPr>
            <w:tcW w:w="2552" w:type="dxa"/>
          </w:tcPr>
          <w:p w:rsidR="00D226C7" w:rsidRPr="00D42745" w:rsidRDefault="00D226C7" w:rsidP="00975582">
            <w:pPr>
              <w:pStyle w:val="Tabletext"/>
            </w:pPr>
            <w:r w:rsidRPr="00D42745">
              <w:t>44%</w:t>
            </w:r>
          </w:p>
        </w:tc>
      </w:tr>
      <w:tr w:rsidR="00D226C7" w:rsidRPr="00D42745" w:rsidTr="00D226C7">
        <w:trPr>
          <w:trHeight w:hRule="exact" w:val="312"/>
        </w:trPr>
        <w:tc>
          <w:tcPr>
            <w:tcW w:w="2268" w:type="dxa"/>
          </w:tcPr>
          <w:p w:rsidR="00D226C7" w:rsidRPr="00D226C7" w:rsidRDefault="00D226C7" w:rsidP="00975582">
            <w:pPr>
              <w:pStyle w:val="Tabletext"/>
            </w:pPr>
            <w:r w:rsidRPr="00D226C7">
              <w:t>Red Energy</w:t>
            </w:r>
          </w:p>
        </w:tc>
        <w:tc>
          <w:tcPr>
            <w:tcW w:w="907" w:type="dxa"/>
          </w:tcPr>
          <w:p w:rsidR="00D226C7" w:rsidRPr="00D42745" w:rsidRDefault="00D226C7" w:rsidP="00975582">
            <w:pPr>
              <w:pStyle w:val="Tabletext"/>
            </w:pPr>
            <w:r w:rsidRPr="00D42745">
              <w:t>0.65</w:t>
            </w:r>
          </w:p>
        </w:tc>
        <w:tc>
          <w:tcPr>
            <w:tcW w:w="907" w:type="dxa"/>
          </w:tcPr>
          <w:p w:rsidR="00D226C7" w:rsidRPr="00D226C7" w:rsidRDefault="00D226C7" w:rsidP="00975582">
            <w:pPr>
              <w:pStyle w:val="Tabletext"/>
            </w:pPr>
            <w:r w:rsidRPr="00D226C7">
              <w:t>▼0.38</w:t>
            </w:r>
          </w:p>
        </w:tc>
        <w:tc>
          <w:tcPr>
            <w:tcW w:w="2552" w:type="dxa"/>
          </w:tcPr>
          <w:p w:rsidR="00D226C7" w:rsidRPr="00D42745" w:rsidRDefault="00D226C7" w:rsidP="00975582">
            <w:pPr>
              <w:pStyle w:val="Tabletext"/>
            </w:pPr>
            <w:r w:rsidRPr="00D42745">
              <w:t>33%</w:t>
            </w:r>
          </w:p>
        </w:tc>
        <w:tc>
          <w:tcPr>
            <w:tcW w:w="2552" w:type="dxa"/>
          </w:tcPr>
          <w:p w:rsidR="00D226C7" w:rsidRPr="00D42745" w:rsidRDefault="00D226C7" w:rsidP="00975582">
            <w:pPr>
              <w:pStyle w:val="Tabletext"/>
            </w:pPr>
            <w:r w:rsidRPr="00D42745">
              <w:t>70%</w:t>
            </w:r>
          </w:p>
        </w:tc>
      </w:tr>
      <w:tr w:rsidR="00D226C7" w:rsidRPr="00D42745" w:rsidTr="00D226C7">
        <w:trPr>
          <w:trHeight w:hRule="exact" w:val="312"/>
        </w:trPr>
        <w:tc>
          <w:tcPr>
            <w:tcW w:w="2268" w:type="dxa"/>
          </w:tcPr>
          <w:p w:rsidR="00D226C7" w:rsidRPr="00D226C7" w:rsidRDefault="00D226C7" w:rsidP="00975582">
            <w:pPr>
              <w:pStyle w:val="Tabletext"/>
            </w:pPr>
            <w:r w:rsidRPr="00D226C7">
              <w:t>Sanctuary Energy</w:t>
            </w:r>
          </w:p>
        </w:tc>
        <w:tc>
          <w:tcPr>
            <w:tcW w:w="907" w:type="dxa"/>
          </w:tcPr>
          <w:p w:rsidR="00D226C7" w:rsidRPr="00D42745" w:rsidRDefault="00D226C7" w:rsidP="00975582">
            <w:pPr>
              <w:pStyle w:val="Tabletext"/>
            </w:pPr>
            <w:r w:rsidRPr="00D42745">
              <w:t>0.29</w:t>
            </w:r>
          </w:p>
        </w:tc>
        <w:tc>
          <w:tcPr>
            <w:tcW w:w="907" w:type="dxa"/>
          </w:tcPr>
          <w:p w:rsidR="00D226C7" w:rsidRPr="00D226C7" w:rsidRDefault="00D226C7" w:rsidP="00975582">
            <w:pPr>
              <w:pStyle w:val="Tabletext"/>
            </w:pPr>
            <w:r w:rsidRPr="00D226C7">
              <w:t>▼0.11</w:t>
            </w:r>
          </w:p>
        </w:tc>
        <w:tc>
          <w:tcPr>
            <w:tcW w:w="2552" w:type="dxa"/>
          </w:tcPr>
          <w:p w:rsidR="00D226C7" w:rsidRPr="00D42745" w:rsidRDefault="00D226C7" w:rsidP="00975582">
            <w:pPr>
              <w:pStyle w:val="Tabletext"/>
            </w:pPr>
            <w:r w:rsidRPr="00D42745">
              <w:t>57%</w:t>
            </w:r>
          </w:p>
        </w:tc>
        <w:tc>
          <w:tcPr>
            <w:tcW w:w="2552" w:type="dxa"/>
          </w:tcPr>
          <w:p w:rsidR="00D226C7" w:rsidRPr="00D42745" w:rsidRDefault="00D226C7" w:rsidP="00975582">
            <w:pPr>
              <w:pStyle w:val="Tabletext"/>
            </w:pPr>
            <w:r w:rsidRPr="00D42745">
              <w:t>100%</w:t>
            </w:r>
          </w:p>
        </w:tc>
      </w:tr>
      <w:tr w:rsidR="00D226C7" w:rsidRPr="00D42745" w:rsidTr="00D226C7">
        <w:trPr>
          <w:trHeight w:hRule="exact" w:val="312"/>
        </w:trPr>
        <w:tc>
          <w:tcPr>
            <w:tcW w:w="2268" w:type="dxa"/>
          </w:tcPr>
          <w:p w:rsidR="00D226C7" w:rsidRPr="00D226C7" w:rsidRDefault="00D226C7" w:rsidP="00975582">
            <w:pPr>
              <w:pStyle w:val="Tabletext"/>
            </w:pPr>
            <w:r w:rsidRPr="00D226C7">
              <w:t>Simply Energy</w:t>
            </w:r>
          </w:p>
        </w:tc>
        <w:tc>
          <w:tcPr>
            <w:tcW w:w="907" w:type="dxa"/>
          </w:tcPr>
          <w:p w:rsidR="00D226C7" w:rsidRPr="00D42745" w:rsidRDefault="00D226C7" w:rsidP="00975582">
            <w:pPr>
              <w:pStyle w:val="Tabletext"/>
            </w:pPr>
            <w:r w:rsidRPr="00D42745">
              <w:t>6.28</w:t>
            </w:r>
          </w:p>
        </w:tc>
        <w:tc>
          <w:tcPr>
            <w:tcW w:w="907" w:type="dxa"/>
          </w:tcPr>
          <w:p w:rsidR="00D226C7" w:rsidRPr="00D226C7" w:rsidRDefault="00D226C7" w:rsidP="00975582">
            <w:pPr>
              <w:pStyle w:val="Tabletext"/>
            </w:pPr>
            <w:r w:rsidRPr="00D226C7">
              <w:t>▲6.08</w:t>
            </w:r>
          </w:p>
        </w:tc>
        <w:tc>
          <w:tcPr>
            <w:tcW w:w="2552" w:type="dxa"/>
          </w:tcPr>
          <w:p w:rsidR="00D226C7" w:rsidRPr="00D42745" w:rsidRDefault="00D226C7" w:rsidP="00975582">
            <w:pPr>
              <w:pStyle w:val="Tabletext"/>
            </w:pPr>
            <w:r w:rsidRPr="00D42745">
              <w:t>50%</w:t>
            </w:r>
          </w:p>
        </w:tc>
        <w:tc>
          <w:tcPr>
            <w:tcW w:w="2552" w:type="dxa"/>
          </w:tcPr>
          <w:p w:rsidR="00D226C7" w:rsidRPr="00D42745" w:rsidRDefault="00D226C7" w:rsidP="00975582">
            <w:pPr>
              <w:pStyle w:val="Tabletext"/>
            </w:pPr>
            <w:r w:rsidRPr="00D42745">
              <w:t>89%</w:t>
            </w:r>
          </w:p>
        </w:tc>
      </w:tr>
      <w:tr w:rsidR="00D226C7" w:rsidRPr="00D42745" w:rsidTr="00D226C7">
        <w:trPr>
          <w:trHeight w:hRule="exact" w:val="312"/>
        </w:trPr>
        <w:tc>
          <w:tcPr>
            <w:tcW w:w="2268" w:type="dxa"/>
            <w:shd w:val="clear" w:color="auto" w:fill="F2F2F2" w:themeFill="background1" w:themeFillShade="F2"/>
          </w:tcPr>
          <w:p w:rsidR="00D226C7" w:rsidRPr="009D1691" w:rsidRDefault="00D226C7" w:rsidP="00975582">
            <w:pPr>
              <w:pStyle w:val="Tabletext"/>
              <w:rPr>
                <w:rStyle w:val="Strong"/>
              </w:rPr>
            </w:pPr>
            <w:r w:rsidRPr="009D1691">
              <w:rPr>
                <w:rStyle w:val="Strong"/>
              </w:rPr>
              <w:t>TOTAL NSW</w:t>
            </w:r>
          </w:p>
        </w:tc>
        <w:tc>
          <w:tcPr>
            <w:tcW w:w="907" w:type="dxa"/>
            <w:shd w:val="clear" w:color="auto" w:fill="F2F2F2" w:themeFill="background1" w:themeFillShade="F2"/>
          </w:tcPr>
          <w:p w:rsidR="00D226C7" w:rsidRPr="009D1691" w:rsidRDefault="00D226C7" w:rsidP="00975582">
            <w:pPr>
              <w:pStyle w:val="Tabletext"/>
              <w:rPr>
                <w:rStyle w:val="Strong"/>
              </w:rPr>
            </w:pPr>
            <w:r w:rsidRPr="009D1691">
              <w:rPr>
                <w:rStyle w:val="Strong"/>
              </w:rPr>
              <w:t>1.06</w:t>
            </w:r>
          </w:p>
        </w:tc>
        <w:tc>
          <w:tcPr>
            <w:tcW w:w="907" w:type="dxa"/>
            <w:shd w:val="clear" w:color="auto" w:fill="F2F2F2" w:themeFill="background1" w:themeFillShade="F2"/>
          </w:tcPr>
          <w:p w:rsidR="00D226C7" w:rsidRPr="009D1691" w:rsidRDefault="00D226C7" w:rsidP="00975582">
            <w:pPr>
              <w:pStyle w:val="Tabletext"/>
              <w:rPr>
                <w:rStyle w:val="Strong"/>
              </w:rPr>
            </w:pPr>
            <w:r w:rsidRPr="009D1691">
              <w:rPr>
                <w:rStyle w:val="Strong"/>
              </w:rPr>
              <w:t>▼0.05</w:t>
            </w:r>
          </w:p>
        </w:tc>
        <w:tc>
          <w:tcPr>
            <w:tcW w:w="2552" w:type="dxa"/>
            <w:shd w:val="clear" w:color="auto" w:fill="F2F2F2" w:themeFill="background1" w:themeFillShade="F2"/>
          </w:tcPr>
          <w:p w:rsidR="00D226C7" w:rsidRPr="009D1691" w:rsidRDefault="00D226C7" w:rsidP="00975582">
            <w:pPr>
              <w:pStyle w:val="Tabletext"/>
              <w:rPr>
                <w:rStyle w:val="Strong"/>
              </w:rPr>
            </w:pPr>
            <w:r w:rsidRPr="009D1691">
              <w:rPr>
                <w:rStyle w:val="Strong"/>
              </w:rPr>
              <w:t>61%</w:t>
            </w:r>
          </w:p>
        </w:tc>
        <w:tc>
          <w:tcPr>
            <w:tcW w:w="2552" w:type="dxa"/>
            <w:shd w:val="clear" w:color="auto" w:fill="F2F2F2" w:themeFill="background1" w:themeFillShade="F2"/>
          </w:tcPr>
          <w:p w:rsidR="00D226C7" w:rsidRPr="009D1691" w:rsidRDefault="00D226C7" w:rsidP="00975582">
            <w:pPr>
              <w:pStyle w:val="Tabletext"/>
              <w:rPr>
                <w:rStyle w:val="Strong"/>
              </w:rPr>
            </w:pPr>
            <w:r w:rsidRPr="009D1691">
              <w:rPr>
                <w:rStyle w:val="Strong"/>
              </w:rPr>
              <w:t>75%</w:t>
            </w:r>
          </w:p>
        </w:tc>
      </w:tr>
    </w:tbl>
    <w:p w:rsidR="00D226C7" w:rsidRPr="00D226C7" w:rsidRDefault="00734B0C" w:rsidP="00734B0C">
      <w:pPr>
        <w:pStyle w:val="Note"/>
      </w:pPr>
      <w:r>
        <w:t>* Excludes PAYG customers.</w:t>
      </w:r>
    </w:p>
    <w:p w:rsidR="00D226C7" w:rsidRPr="003E45F6" w:rsidRDefault="00D226C7" w:rsidP="00D226C7">
      <w:pPr>
        <w:pStyle w:val="Tabletitle"/>
      </w:pPr>
      <w:r w:rsidRPr="003E45F6">
        <w:lastRenderedPageBreak/>
        <w:t>Table 2.11: Residential gas customers disconnected and reconnected by retailers for non-payment in 2014-15</w:t>
      </w:r>
    </w:p>
    <w:tbl>
      <w:tblPr>
        <w:tblW w:w="0" w:type="auto"/>
        <w:tblBorders>
          <w:top w:val="single" w:sz="4" w:space="0" w:color="BFBFBF" w:themeColor="background1" w:themeShade="BF"/>
          <w:bottom w:val="single" w:sz="2" w:space="0" w:color="auto"/>
          <w:insideH w:val="single" w:sz="2" w:space="0" w:color="auto"/>
        </w:tblBorders>
        <w:tblLayout w:type="fixed"/>
        <w:tblLook w:val="04A0" w:firstRow="1" w:lastRow="0" w:firstColumn="1" w:lastColumn="0" w:noHBand="0" w:noVBand="1"/>
      </w:tblPr>
      <w:tblGrid>
        <w:gridCol w:w="2268"/>
        <w:gridCol w:w="907"/>
        <w:gridCol w:w="907"/>
        <w:gridCol w:w="2552"/>
        <w:gridCol w:w="2552"/>
      </w:tblGrid>
      <w:tr w:rsidR="00D226C7" w:rsidRPr="00D42745" w:rsidTr="00D226C7">
        <w:tc>
          <w:tcPr>
            <w:tcW w:w="2268" w:type="dxa"/>
            <w:shd w:val="clear" w:color="auto" w:fill="F2F2F2" w:themeFill="background1" w:themeFillShade="F2"/>
          </w:tcPr>
          <w:p w:rsidR="00D226C7" w:rsidRPr="006D4C8B" w:rsidRDefault="00D226C7" w:rsidP="00E92189">
            <w:pPr>
              <w:pStyle w:val="Tabletext"/>
              <w:rPr>
                <w:rStyle w:val="Strong"/>
              </w:rPr>
            </w:pPr>
            <w:r w:rsidRPr="006D4C8B">
              <w:rPr>
                <w:rStyle w:val="Strong"/>
              </w:rPr>
              <w:t>Retailer</w:t>
            </w:r>
          </w:p>
        </w:tc>
        <w:tc>
          <w:tcPr>
            <w:tcW w:w="1814" w:type="dxa"/>
            <w:gridSpan w:val="2"/>
            <w:shd w:val="clear" w:color="auto" w:fill="F2F2F2" w:themeFill="background1" w:themeFillShade="F2"/>
          </w:tcPr>
          <w:p w:rsidR="00D226C7" w:rsidRPr="006D4C8B" w:rsidRDefault="00D226C7" w:rsidP="00E92189">
            <w:pPr>
              <w:pStyle w:val="Tabletext"/>
              <w:rPr>
                <w:rStyle w:val="Strong"/>
              </w:rPr>
            </w:pPr>
            <w:r w:rsidRPr="006D4C8B">
              <w:rPr>
                <w:rStyle w:val="Strong"/>
              </w:rPr>
              <w:t>Disconnections (per 100)</w:t>
            </w:r>
          </w:p>
        </w:tc>
        <w:tc>
          <w:tcPr>
            <w:tcW w:w="2552" w:type="dxa"/>
            <w:shd w:val="clear" w:color="auto" w:fill="F2F2F2" w:themeFill="background1" w:themeFillShade="F2"/>
          </w:tcPr>
          <w:p w:rsidR="00D226C7" w:rsidRPr="006D4C8B" w:rsidRDefault="00D226C7" w:rsidP="00E92189">
            <w:pPr>
              <w:pStyle w:val="Tabletext"/>
              <w:rPr>
                <w:rStyle w:val="Strong"/>
              </w:rPr>
            </w:pPr>
            <w:r w:rsidRPr="006D4C8B">
              <w:rPr>
                <w:rStyle w:val="Strong"/>
              </w:rPr>
              <w:t xml:space="preserve">Reconnections </w:t>
            </w:r>
            <w:r w:rsidRPr="006D4C8B">
              <w:rPr>
                <w:rStyle w:val="Strong"/>
              </w:rPr>
              <w:br/>
              <w:t>(% of disconnections)</w:t>
            </w:r>
          </w:p>
        </w:tc>
        <w:tc>
          <w:tcPr>
            <w:tcW w:w="2552" w:type="dxa"/>
            <w:shd w:val="clear" w:color="auto" w:fill="F2F2F2" w:themeFill="background1" w:themeFillShade="F2"/>
          </w:tcPr>
          <w:p w:rsidR="00D226C7" w:rsidRPr="006D4C8B" w:rsidRDefault="00D226C7" w:rsidP="00E92189">
            <w:pPr>
              <w:pStyle w:val="Tabletext"/>
              <w:rPr>
                <w:rStyle w:val="Strong"/>
              </w:rPr>
            </w:pPr>
            <w:r w:rsidRPr="006D4C8B">
              <w:rPr>
                <w:rStyle w:val="Strong"/>
              </w:rPr>
              <w:t>% of reconnections that occurred within 7 days</w:t>
            </w:r>
          </w:p>
        </w:tc>
      </w:tr>
      <w:tr w:rsidR="00D226C7" w:rsidRPr="00D42745" w:rsidTr="00D226C7">
        <w:trPr>
          <w:trHeight w:hRule="exact" w:val="312"/>
        </w:trPr>
        <w:tc>
          <w:tcPr>
            <w:tcW w:w="2268" w:type="dxa"/>
          </w:tcPr>
          <w:p w:rsidR="00D226C7" w:rsidRPr="00E92189" w:rsidRDefault="00D226C7" w:rsidP="00E92189">
            <w:pPr>
              <w:pStyle w:val="Tabletext"/>
              <w:rPr>
                <w:rStyle w:val="Strong"/>
              </w:rPr>
            </w:pPr>
            <w:r w:rsidRPr="00E92189">
              <w:rPr>
                <w:rStyle w:val="Strong"/>
              </w:rPr>
              <w:t>South Australia</w:t>
            </w:r>
          </w:p>
        </w:tc>
        <w:tc>
          <w:tcPr>
            <w:tcW w:w="907" w:type="dxa"/>
          </w:tcPr>
          <w:p w:rsidR="00D226C7" w:rsidRPr="00D42745" w:rsidRDefault="00D226C7" w:rsidP="00E92189">
            <w:pPr>
              <w:pStyle w:val="Tabletext"/>
            </w:pPr>
          </w:p>
        </w:tc>
        <w:tc>
          <w:tcPr>
            <w:tcW w:w="907" w:type="dxa"/>
          </w:tcPr>
          <w:p w:rsidR="00D226C7" w:rsidRPr="00D42745" w:rsidRDefault="00D226C7" w:rsidP="00E92189">
            <w:pPr>
              <w:pStyle w:val="Tabletext"/>
            </w:pPr>
          </w:p>
        </w:tc>
        <w:tc>
          <w:tcPr>
            <w:tcW w:w="2552" w:type="dxa"/>
          </w:tcPr>
          <w:p w:rsidR="00D226C7" w:rsidRPr="00D42745" w:rsidRDefault="00D226C7" w:rsidP="00E92189">
            <w:pPr>
              <w:pStyle w:val="Tabletext"/>
            </w:pPr>
          </w:p>
        </w:tc>
        <w:tc>
          <w:tcPr>
            <w:tcW w:w="2552" w:type="dxa"/>
          </w:tcPr>
          <w:p w:rsidR="00D226C7" w:rsidRPr="00D42745" w:rsidRDefault="00D226C7" w:rsidP="00E92189">
            <w:pPr>
              <w:pStyle w:val="Tabletext"/>
            </w:pPr>
          </w:p>
        </w:tc>
      </w:tr>
      <w:tr w:rsidR="00D226C7" w:rsidRPr="00D42745" w:rsidTr="00D226C7">
        <w:trPr>
          <w:trHeight w:hRule="exact" w:val="312"/>
        </w:trPr>
        <w:tc>
          <w:tcPr>
            <w:tcW w:w="2268" w:type="dxa"/>
          </w:tcPr>
          <w:p w:rsidR="00D226C7" w:rsidRPr="00D226C7" w:rsidRDefault="00D226C7" w:rsidP="00E92189">
            <w:pPr>
              <w:pStyle w:val="Tabletext"/>
            </w:pPr>
            <w:r w:rsidRPr="00D226C7">
              <w:t>AGL</w:t>
            </w:r>
          </w:p>
        </w:tc>
        <w:tc>
          <w:tcPr>
            <w:tcW w:w="907" w:type="dxa"/>
          </w:tcPr>
          <w:p w:rsidR="00D226C7" w:rsidRPr="00D42745" w:rsidRDefault="00D226C7" w:rsidP="00E92189">
            <w:pPr>
              <w:pStyle w:val="Tabletext"/>
            </w:pPr>
            <w:r w:rsidRPr="00D42745">
              <w:t>1.27</w:t>
            </w:r>
          </w:p>
        </w:tc>
        <w:tc>
          <w:tcPr>
            <w:tcW w:w="907" w:type="dxa"/>
          </w:tcPr>
          <w:p w:rsidR="00D226C7" w:rsidRPr="00D226C7" w:rsidRDefault="00D226C7" w:rsidP="00E92189">
            <w:pPr>
              <w:pStyle w:val="Tabletext"/>
            </w:pPr>
            <w:r w:rsidRPr="00D226C7">
              <w:t>▲0.32</w:t>
            </w:r>
          </w:p>
        </w:tc>
        <w:tc>
          <w:tcPr>
            <w:tcW w:w="2552" w:type="dxa"/>
          </w:tcPr>
          <w:p w:rsidR="00D226C7" w:rsidRPr="00D42745" w:rsidRDefault="00D226C7" w:rsidP="00E92189">
            <w:pPr>
              <w:pStyle w:val="Tabletext"/>
            </w:pPr>
            <w:r w:rsidRPr="00D42745">
              <w:t>39%</w:t>
            </w:r>
          </w:p>
        </w:tc>
        <w:tc>
          <w:tcPr>
            <w:tcW w:w="2552" w:type="dxa"/>
          </w:tcPr>
          <w:p w:rsidR="00D226C7" w:rsidRPr="00D42745" w:rsidRDefault="00D226C7" w:rsidP="00E92189">
            <w:pPr>
              <w:pStyle w:val="Tabletext"/>
            </w:pPr>
            <w:r w:rsidRPr="00D42745">
              <w:t>84%</w:t>
            </w:r>
          </w:p>
        </w:tc>
      </w:tr>
      <w:tr w:rsidR="00D226C7" w:rsidRPr="00D42745" w:rsidTr="00D226C7">
        <w:trPr>
          <w:trHeight w:hRule="exact" w:val="312"/>
        </w:trPr>
        <w:tc>
          <w:tcPr>
            <w:tcW w:w="2268" w:type="dxa"/>
          </w:tcPr>
          <w:p w:rsidR="00D226C7" w:rsidRPr="00D226C7" w:rsidRDefault="00D226C7" w:rsidP="00E92189">
            <w:pPr>
              <w:pStyle w:val="Tabletext"/>
            </w:pPr>
            <w:r w:rsidRPr="00D226C7">
              <w:t>Alinta Energy</w:t>
            </w:r>
          </w:p>
        </w:tc>
        <w:tc>
          <w:tcPr>
            <w:tcW w:w="907" w:type="dxa"/>
          </w:tcPr>
          <w:p w:rsidR="00D226C7" w:rsidRPr="00D42745" w:rsidRDefault="00D226C7" w:rsidP="00E92189">
            <w:pPr>
              <w:pStyle w:val="Tabletext"/>
            </w:pPr>
            <w:r w:rsidRPr="00D42745">
              <w:t>1.67</w:t>
            </w:r>
          </w:p>
        </w:tc>
        <w:tc>
          <w:tcPr>
            <w:tcW w:w="907" w:type="dxa"/>
          </w:tcPr>
          <w:p w:rsidR="00D226C7" w:rsidRPr="00D226C7" w:rsidRDefault="00D226C7" w:rsidP="00E92189">
            <w:pPr>
              <w:pStyle w:val="Tabletext"/>
            </w:pPr>
            <w:r w:rsidRPr="00D226C7">
              <w:t>▼0.47</w:t>
            </w:r>
          </w:p>
        </w:tc>
        <w:tc>
          <w:tcPr>
            <w:tcW w:w="2552" w:type="dxa"/>
          </w:tcPr>
          <w:p w:rsidR="00D226C7" w:rsidRPr="00D42745" w:rsidRDefault="00D226C7" w:rsidP="00E92189">
            <w:pPr>
              <w:pStyle w:val="Tabletext"/>
            </w:pPr>
            <w:r w:rsidRPr="00D42745">
              <w:t>30%</w:t>
            </w:r>
          </w:p>
        </w:tc>
        <w:tc>
          <w:tcPr>
            <w:tcW w:w="2552" w:type="dxa"/>
          </w:tcPr>
          <w:p w:rsidR="00D226C7" w:rsidRPr="00D42745" w:rsidRDefault="00D226C7" w:rsidP="00E92189">
            <w:pPr>
              <w:pStyle w:val="Tabletext"/>
            </w:pPr>
            <w:r w:rsidRPr="00D42745">
              <w:t>63%</w:t>
            </w:r>
          </w:p>
        </w:tc>
      </w:tr>
      <w:tr w:rsidR="00D226C7" w:rsidRPr="00D42745" w:rsidTr="00D226C7">
        <w:trPr>
          <w:trHeight w:hRule="exact" w:val="312"/>
        </w:trPr>
        <w:tc>
          <w:tcPr>
            <w:tcW w:w="2268" w:type="dxa"/>
          </w:tcPr>
          <w:p w:rsidR="00D226C7" w:rsidRPr="00D226C7" w:rsidRDefault="00D226C7" w:rsidP="00E92189">
            <w:pPr>
              <w:pStyle w:val="Tabletext"/>
            </w:pPr>
            <w:r w:rsidRPr="00D226C7">
              <w:t>EnergyAustralia</w:t>
            </w:r>
          </w:p>
        </w:tc>
        <w:tc>
          <w:tcPr>
            <w:tcW w:w="907" w:type="dxa"/>
          </w:tcPr>
          <w:p w:rsidR="00D226C7" w:rsidRPr="00D42745" w:rsidRDefault="00D226C7" w:rsidP="00E92189">
            <w:pPr>
              <w:pStyle w:val="Tabletext"/>
            </w:pPr>
            <w:r w:rsidRPr="00D42745">
              <w:t>0.43</w:t>
            </w:r>
          </w:p>
        </w:tc>
        <w:tc>
          <w:tcPr>
            <w:tcW w:w="907" w:type="dxa"/>
          </w:tcPr>
          <w:p w:rsidR="00D226C7" w:rsidRPr="00D226C7" w:rsidRDefault="00D226C7" w:rsidP="00E92189">
            <w:pPr>
              <w:pStyle w:val="Tabletext"/>
            </w:pPr>
            <w:r w:rsidRPr="00D226C7">
              <w:t>▲0.35</w:t>
            </w:r>
          </w:p>
        </w:tc>
        <w:tc>
          <w:tcPr>
            <w:tcW w:w="2552" w:type="dxa"/>
          </w:tcPr>
          <w:p w:rsidR="00D226C7" w:rsidRPr="00D42745" w:rsidRDefault="00D226C7" w:rsidP="00E92189">
            <w:pPr>
              <w:pStyle w:val="Tabletext"/>
            </w:pPr>
            <w:r w:rsidRPr="00D42745">
              <w:t>35%</w:t>
            </w:r>
          </w:p>
        </w:tc>
        <w:tc>
          <w:tcPr>
            <w:tcW w:w="2552" w:type="dxa"/>
          </w:tcPr>
          <w:p w:rsidR="00D226C7" w:rsidRPr="00D42745" w:rsidRDefault="00D226C7" w:rsidP="00E92189">
            <w:pPr>
              <w:pStyle w:val="Tabletext"/>
            </w:pPr>
            <w:r w:rsidRPr="00D42745">
              <w:t>75%</w:t>
            </w:r>
          </w:p>
        </w:tc>
      </w:tr>
      <w:tr w:rsidR="00D226C7" w:rsidRPr="00D42745" w:rsidTr="00D226C7">
        <w:trPr>
          <w:trHeight w:hRule="exact" w:val="312"/>
        </w:trPr>
        <w:tc>
          <w:tcPr>
            <w:tcW w:w="2268" w:type="dxa"/>
          </w:tcPr>
          <w:p w:rsidR="00D226C7" w:rsidRPr="00D226C7" w:rsidRDefault="00D226C7" w:rsidP="00E92189">
            <w:pPr>
              <w:pStyle w:val="Tabletext"/>
            </w:pPr>
            <w:r w:rsidRPr="00D226C7">
              <w:t>Origin Energy</w:t>
            </w:r>
          </w:p>
        </w:tc>
        <w:tc>
          <w:tcPr>
            <w:tcW w:w="907" w:type="dxa"/>
          </w:tcPr>
          <w:p w:rsidR="00D226C7" w:rsidRPr="00D42745" w:rsidRDefault="00D226C7" w:rsidP="00E92189">
            <w:pPr>
              <w:pStyle w:val="Tabletext"/>
            </w:pPr>
            <w:r w:rsidRPr="00D42745">
              <w:t>0.68</w:t>
            </w:r>
          </w:p>
        </w:tc>
        <w:tc>
          <w:tcPr>
            <w:tcW w:w="907" w:type="dxa"/>
          </w:tcPr>
          <w:p w:rsidR="00D226C7" w:rsidRPr="00D226C7" w:rsidRDefault="00D226C7" w:rsidP="00E92189">
            <w:pPr>
              <w:pStyle w:val="Tabletext"/>
            </w:pPr>
            <w:r w:rsidRPr="00D226C7">
              <w:t>▲0.21</w:t>
            </w:r>
          </w:p>
        </w:tc>
        <w:tc>
          <w:tcPr>
            <w:tcW w:w="2552" w:type="dxa"/>
          </w:tcPr>
          <w:p w:rsidR="00D226C7" w:rsidRPr="00D42745" w:rsidRDefault="00D226C7" w:rsidP="00E92189">
            <w:pPr>
              <w:pStyle w:val="Tabletext"/>
            </w:pPr>
            <w:r w:rsidRPr="00D42745">
              <w:t>53%</w:t>
            </w:r>
          </w:p>
        </w:tc>
        <w:tc>
          <w:tcPr>
            <w:tcW w:w="2552" w:type="dxa"/>
          </w:tcPr>
          <w:p w:rsidR="00D226C7" w:rsidRPr="00D42745" w:rsidRDefault="00D226C7" w:rsidP="00E92189">
            <w:pPr>
              <w:pStyle w:val="Tabletext"/>
            </w:pPr>
            <w:r w:rsidRPr="00D42745">
              <w:t>76%</w:t>
            </w:r>
          </w:p>
        </w:tc>
      </w:tr>
      <w:tr w:rsidR="00D226C7" w:rsidRPr="00D42745" w:rsidTr="00D226C7">
        <w:trPr>
          <w:trHeight w:hRule="exact" w:val="312"/>
        </w:trPr>
        <w:tc>
          <w:tcPr>
            <w:tcW w:w="2268" w:type="dxa"/>
          </w:tcPr>
          <w:p w:rsidR="00D226C7" w:rsidRPr="00D226C7" w:rsidRDefault="00D226C7" w:rsidP="00E92189">
            <w:pPr>
              <w:pStyle w:val="Tabletext"/>
            </w:pPr>
            <w:r w:rsidRPr="00D226C7">
              <w:t>Simply Energy</w:t>
            </w:r>
          </w:p>
        </w:tc>
        <w:tc>
          <w:tcPr>
            <w:tcW w:w="907" w:type="dxa"/>
          </w:tcPr>
          <w:p w:rsidR="00D226C7" w:rsidRPr="00D42745" w:rsidRDefault="00D226C7" w:rsidP="00E92189">
            <w:pPr>
              <w:pStyle w:val="Tabletext"/>
            </w:pPr>
            <w:r w:rsidRPr="00D42745">
              <w:t>2.62</w:t>
            </w:r>
          </w:p>
        </w:tc>
        <w:tc>
          <w:tcPr>
            <w:tcW w:w="907" w:type="dxa"/>
          </w:tcPr>
          <w:p w:rsidR="00D226C7" w:rsidRPr="00D226C7" w:rsidRDefault="00D226C7" w:rsidP="00E92189">
            <w:pPr>
              <w:pStyle w:val="Tabletext"/>
            </w:pPr>
            <w:r w:rsidRPr="00D226C7">
              <w:t>▲0.32</w:t>
            </w:r>
          </w:p>
        </w:tc>
        <w:tc>
          <w:tcPr>
            <w:tcW w:w="2552" w:type="dxa"/>
          </w:tcPr>
          <w:p w:rsidR="00D226C7" w:rsidRPr="00D42745" w:rsidRDefault="00D226C7" w:rsidP="00E92189">
            <w:pPr>
              <w:pStyle w:val="Tabletext"/>
            </w:pPr>
            <w:r w:rsidRPr="00D42745">
              <w:t>36%</w:t>
            </w:r>
          </w:p>
        </w:tc>
        <w:tc>
          <w:tcPr>
            <w:tcW w:w="2552" w:type="dxa"/>
          </w:tcPr>
          <w:p w:rsidR="00D226C7" w:rsidRPr="00D42745" w:rsidRDefault="00D226C7" w:rsidP="00E92189">
            <w:pPr>
              <w:pStyle w:val="Tabletext"/>
            </w:pPr>
            <w:r w:rsidRPr="00D42745">
              <w:t>58%</w:t>
            </w:r>
          </w:p>
        </w:tc>
      </w:tr>
      <w:tr w:rsidR="00D226C7" w:rsidRPr="00D42745" w:rsidTr="00D226C7">
        <w:trPr>
          <w:trHeight w:hRule="exact" w:val="312"/>
        </w:trPr>
        <w:tc>
          <w:tcPr>
            <w:tcW w:w="2268" w:type="dxa"/>
            <w:shd w:val="clear" w:color="auto" w:fill="F2F2F2" w:themeFill="background1" w:themeFillShade="F2"/>
          </w:tcPr>
          <w:p w:rsidR="00D226C7" w:rsidRPr="009D1691" w:rsidRDefault="00D226C7" w:rsidP="00E92189">
            <w:pPr>
              <w:pStyle w:val="Tabletext"/>
              <w:rPr>
                <w:rStyle w:val="Strong"/>
              </w:rPr>
            </w:pPr>
            <w:r w:rsidRPr="009D1691">
              <w:rPr>
                <w:rStyle w:val="Strong"/>
              </w:rPr>
              <w:t>TOTAL SA</w:t>
            </w:r>
          </w:p>
        </w:tc>
        <w:tc>
          <w:tcPr>
            <w:tcW w:w="907" w:type="dxa"/>
            <w:shd w:val="clear" w:color="auto" w:fill="F2F2F2" w:themeFill="background1" w:themeFillShade="F2"/>
          </w:tcPr>
          <w:p w:rsidR="00D226C7" w:rsidRPr="009D1691" w:rsidRDefault="00D226C7" w:rsidP="00E92189">
            <w:pPr>
              <w:pStyle w:val="Tabletext"/>
              <w:rPr>
                <w:rStyle w:val="Strong"/>
              </w:rPr>
            </w:pPr>
            <w:r w:rsidRPr="009D1691">
              <w:rPr>
                <w:rStyle w:val="Strong"/>
              </w:rPr>
              <w:t>1.12</w:t>
            </w:r>
          </w:p>
        </w:tc>
        <w:tc>
          <w:tcPr>
            <w:tcW w:w="907" w:type="dxa"/>
            <w:shd w:val="clear" w:color="auto" w:fill="F2F2F2" w:themeFill="background1" w:themeFillShade="F2"/>
          </w:tcPr>
          <w:p w:rsidR="00D226C7" w:rsidRPr="009D1691" w:rsidRDefault="00D226C7" w:rsidP="00E92189">
            <w:pPr>
              <w:pStyle w:val="Tabletext"/>
              <w:rPr>
                <w:rStyle w:val="Strong"/>
              </w:rPr>
            </w:pPr>
            <w:r w:rsidRPr="009D1691">
              <w:rPr>
                <w:rStyle w:val="Strong"/>
              </w:rPr>
              <w:t>▲0.27</w:t>
            </w:r>
          </w:p>
        </w:tc>
        <w:tc>
          <w:tcPr>
            <w:tcW w:w="2552" w:type="dxa"/>
            <w:shd w:val="clear" w:color="auto" w:fill="F2F2F2" w:themeFill="background1" w:themeFillShade="F2"/>
          </w:tcPr>
          <w:p w:rsidR="00D226C7" w:rsidRPr="009D1691" w:rsidRDefault="00D226C7" w:rsidP="00E92189">
            <w:pPr>
              <w:pStyle w:val="Tabletext"/>
              <w:rPr>
                <w:rStyle w:val="Strong"/>
              </w:rPr>
            </w:pPr>
            <w:r w:rsidRPr="009D1691">
              <w:rPr>
                <w:rStyle w:val="Strong"/>
              </w:rPr>
              <w:t>43%</w:t>
            </w:r>
          </w:p>
        </w:tc>
        <w:tc>
          <w:tcPr>
            <w:tcW w:w="2552" w:type="dxa"/>
            <w:shd w:val="clear" w:color="auto" w:fill="F2F2F2" w:themeFill="background1" w:themeFillShade="F2"/>
          </w:tcPr>
          <w:p w:rsidR="00D226C7" w:rsidRPr="009D1691" w:rsidRDefault="00D226C7" w:rsidP="00E92189">
            <w:pPr>
              <w:pStyle w:val="Tabletext"/>
              <w:rPr>
                <w:rStyle w:val="Strong"/>
              </w:rPr>
            </w:pPr>
            <w:r w:rsidRPr="009D1691">
              <w:rPr>
                <w:rStyle w:val="Strong"/>
              </w:rPr>
              <w:t>75%</w:t>
            </w:r>
          </w:p>
        </w:tc>
      </w:tr>
      <w:tr w:rsidR="00D226C7" w:rsidRPr="00D42745" w:rsidTr="00D226C7">
        <w:trPr>
          <w:trHeight w:hRule="exact" w:val="312"/>
        </w:trPr>
        <w:tc>
          <w:tcPr>
            <w:tcW w:w="2268" w:type="dxa"/>
          </w:tcPr>
          <w:p w:rsidR="00D226C7" w:rsidRPr="00E92189" w:rsidRDefault="00D226C7" w:rsidP="00E92189">
            <w:pPr>
              <w:pStyle w:val="Tabletext"/>
              <w:rPr>
                <w:rStyle w:val="Strong"/>
              </w:rPr>
            </w:pPr>
            <w:r w:rsidRPr="00E92189">
              <w:rPr>
                <w:rStyle w:val="Strong"/>
              </w:rPr>
              <w:t>ACT</w:t>
            </w:r>
          </w:p>
        </w:tc>
        <w:tc>
          <w:tcPr>
            <w:tcW w:w="907" w:type="dxa"/>
          </w:tcPr>
          <w:p w:rsidR="00D226C7" w:rsidRPr="00D42745" w:rsidRDefault="00D226C7" w:rsidP="00E92189">
            <w:pPr>
              <w:pStyle w:val="Tabletext"/>
            </w:pPr>
          </w:p>
        </w:tc>
        <w:tc>
          <w:tcPr>
            <w:tcW w:w="907" w:type="dxa"/>
          </w:tcPr>
          <w:p w:rsidR="00D226C7" w:rsidRPr="00D42745" w:rsidRDefault="00D226C7" w:rsidP="00E92189">
            <w:pPr>
              <w:pStyle w:val="Tabletext"/>
            </w:pPr>
          </w:p>
        </w:tc>
        <w:tc>
          <w:tcPr>
            <w:tcW w:w="2552" w:type="dxa"/>
          </w:tcPr>
          <w:p w:rsidR="00D226C7" w:rsidRPr="00D42745" w:rsidRDefault="00D226C7" w:rsidP="00E92189">
            <w:pPr>
              <w:pStyle w:val="Tabletext"/>
            </w:pPr>
          </w:p>
        </w:tc>
        <w:tc>
          <w:tcPr>
            <w:tcW w:w="2552" w:type="dxa"/>
          </w:tcPr>
          <w:p w:rsidR="00D226C7" w:rsidRPr="00D42745" w:rsidRDefault="00D226C7" w:rsidP="00E92189">
            <w:pPr>
              <w:pStyle w:val="Tabletext"/>
            </w:pPr>
          </w:p>
        </w:tc>
      </w:tr>
      <w:tr w:rsidR="00D226C7" w:rsidRPr="00D42745" w:rsidTr="00D226C7">
        <w:trPr>
          <w:trHeight w:hRule="exact" w:val="312"/>
        </w:trPr>
        <w:tc>
          <w:tcPr>
            <w:tcW w:w="2268" w:type="dxa"/>
          </w:tcPr>
          <w:p w:rsidR="00D226C7" w:rsidRPr="00D226C7" w:rsidRDefault="00D226C7" w:rsidP="00E92189">
            <w:pPr>
              <w:pStyle w:val="Tabletext"/>
            </w:pPr>
            <w:r w:rsidRPr="00D226C7">
              <w:t>ActewAGL</w:t>
            </w:r>
          </w:p>
        </w:tc>
        <w:tc>
          <w:tcPr>
            <w:tcW w:w="907" w:type="dxa"/>
          </w:tcPr>
          <w:p w:rsidR="00D226C7" w:rsidRPr="00D42745" w:rsidRDefault="00D226C7" w:rsidP="00E92189">
            <w:pPr>
              <w:pStyle w:val="Tabletext"/>
            </w:pPr>
            <w:r w:rsidRPr="00D42745">
              <w:t>1.25</w:t>
            </w:r>
          </w:p>
        </w:tc>
        <w:tc>
          <w:tcPr>
            <w:tcW w:w="907" w:type="dxa"/>
          </w:tcPr>
          <w:p w:rsidR="00D226C7" w:rsidRPr="00D226C7" w:rsidRDefault="00D226C7" w:rsidP="00E92189">
            <w:pPr>
              <w:pStyle w:val="Tabletext"/>
            </w:pPr>
            <w:r w:rsidRPr="00D226C7">
              <w:t>▲0.35</w:t>
            </w:r>
          </w:p>
        </w:tc>
        <w:tc>
          <w:tcPr>
            <w:tcW w:w="2552" w:type="dxa"/>
          </w:tcPr>
          <w:p w:rsidR="00D226C7" w:rsidRPr="00D42745" w:rsidRDefault="00D226C7" w:rsidP="00E92189">
            <w:pPr>
              <w:pStyle w:val="Tabletext"/>
            </w:pPr>
            <w:r w:rsidRPr="00D42745">
              <w:t>37%</w:t>
            </w:r>
          </w:p>
        </w:tc>
        <w:tc>
          <w:tcPr>
            <w:tcW w:w="2552" w:type="dxa"/>
          </w:tcPr>
          <w:p w:rsidR="00D226C7" w:rsidRPr="00D42745" w:rsidRDefault="00D226C7" w:rsidP="00E92189">
            <w:pPr>
              <w:pStyle w:val="Tabletext"/>
            </w:pPr>
            <w:r w:rsidRPr="00D42745">
              <w:t>77%</w:t>
            </w:r>
          </w:p>
        </w:tc>
      </w:tr>
      <w:tr w:rsidR="00D226C7" w:rsidRPr="00D42745" w:rsidTr="00D226C7">
        <w:trPr>
          <w:trHeight w:hRule="exact" w:val="312"/>
        </w:trPr>
        <w:tc>
          <w:tcPr>
            <w:tcW w:w="2268" w:type="dxa"/>
          </w:tcPr>
          <w:p w:rsidR="00D226C7" w:rsidRPr="00D226C7" w:rsidRDefault="00D226C7" w:rsidP="00E92189">
            <w:pPr>
              <w:pStyle w:val="Tabletext"/>
            </w:pPr>
            <w:r w:rsidRPr="00D226C7">
              <w:t>EnergyAustralia</w:t>
            </w:r>
          </w:p>
        </w:tc>
        <w:tc>
          <w:tcPr>
            <w:tcW w:w="907" w:type="dxa"/>
          </w:tcPr>
          <w:p w:rsidR="00D226C7" w:rsidRPr="00D42745" w:rsidRDefault="00D226C7" w:rsidP="00E92189">
            <w:pPr>
              <w:pStyle w:val="Tabletext"/>
            </w:pPr>
            <w:r w:rsidRPr="00D42745">
              <w:t>0.69</w:t>
            </w:r>
          </w:p>
        </w:tc>
        <w:tc>
          <w:tcPr>
            <w:tcW w:w="907" w:type="dxa"/>
          </w:tcPr>
          <w:p w:rsidR="00D226C7" w:rsidRPr="00D226C7" w:rsidRDefault="00D226C7" w:rsidP="00E92189">
            <w:pPr>
              <w:pStyle w:val="Tabletext"/>
            </w:pPr>
            <w:r w:rsidRPr="00D226C7">
              <w:t>▼1.20</w:t>
            </w:r>
          </w:p>
        </w:tc>
        <w:tc>
          <w:tcPr>
            <w:tcW w:w="2552" w:type="dxa"/>
          </w:tcPr>
          <w:p w:rsidR="00D226C7" w:rsidRPr="00D42745" w:rsidRDefault="00D226C7" w:rsidP="00E92189">
            <w:pPr>
              <w:pStyle w:val="Tabletext"/>
            </w:pPr>
            <w:r w:rsidRPr="00D42745">
              <w:t>21%</w:t>
            </w:r>
          </w:p>
        </w:tc>
        <w:tc>
          <w:tcPr>
            <w:tcW w:w="2552" w:type="dxa"/>
          </w:tcPr>
          <w:p w:rsidR="00D226C7" w:rsidRPr="00D42745" w:rsidRDefault="00D226C7" w:rsidP="00E92189">
            <w:pPr>
              <w:pStyle w:val="Tabletext"/>
            </w:pPr>
            <w:r w:rsidRPr="00D42745">
              <w:t>67%</w:t>
            </w:r>
          </w:p>
        </w:tc>
      </w:tr>
      <w:tr w:rsidR="00D226C7" w:rsidRPr="00D42745" w:rsidTr="00D226C7">
        <w:trPr>
          <w:trHeight w:hRule="exact" w:val="312"/>
        </w:trPr>
        <w:tc>
          <w:tcPr>
            <w:tcW w:w="2268" w:type="dxa"/>
            <w:shd w:val="clear" w:color="auto" w:fill="F2F2F2" w:themeFill="background1" w:themeFillShade="F2"/>
          </w:tcPr>
          <w:p w:rsidR="00D226C7" w:rsidRPr="009D1691" w:rsidRDefault="00D226C7" w:rsidP="00E92189">
            <w:pPr>
              <w:pStyle w:val="Tabletext"/>
              <w:rPr>
                <w:rStyle w:val="Strong"/>
              </w:rPr>
            </w:pPr>
            <w:r w:rsidRPr="009D1691">
              <w:rPr>
                <w:rStyle w:val="Strong"/>
              </w:rPr>
              <w:t>TOTAL ACT</w:t>
            </w:r>
          </w:p>
        </w:tc>
        <w:tc>
          <w:tcPr>
            <w:tcW w:w="907" w:type="dxa"/>
            <w:shd w:val="clear" w:color="auto" w:fill="F2F2F2" w:themeFill="background1" w:themeFillShade="F2"/>
          </w:tcPr>
          <w:p w:rsidR="00D226C7" w:rsidRPr="009D1691" w:rsidRDefault="00D226C7" w:rsidP="00E92189">
            <w:pPr>
              <w:pStyle w:val="Tabletext"/>
              <w:rPr>
                <w:rStyle w:val="Strong"/>
              </w:rPr>
            </w:pPr>
            <w:r w:rsidRPr="009D1691">
              <w:rPr>
                <w:rStyle w:val="Strong"/>
              </w:rPr>
              <w:t>1.20</w:t>
            </w:r>
          </w:p>
        </w:tc>
        <w:tc>
          <w:tcPr>
            <w:tcW w:w="907" w:type="dxa"/>
            <w:shd w:val="clear" w:color="auto" w:fill="F2F2F2" w:themeFill="background1" w:themeFillShade="F2"/>
          </w:tcPr>
          <w:p w:rsidR="00D226C7" w:rsidRPr="009D1691" w:rsidRDefault="00D226C7" w:rsidP="00E92189">
            <w:pPr>
              <w:pStyle w:val="Tabletext"/>
              <w:rPr>
                <w:rStyle w:val="Strong"/>
              </w:rPr>
            </w:pPr>
            <w:r w:rsidRPr="009D1691">
              <w:rPr>
                <w:rStyle w:val="Strong"/>
              </w:rPr>
              <w:t>▲0.27</w:t>
            </w:r>
          </w:p>
        </w:tc>
        <w:tc>
          <w:tcPr>
            <w:tcW w:w="2552" w:type="dxa"/>
            <w:shd w:val="clear" w:color="auto" w:fill="F2F2F2" w:themeFill="background1" w:themeFillShade="F2"/>
          </w:tcPr>
          <w:p w:rsidR="00D226C7" w:rsidRPr="009D1691" w:rsidRDefault="00D226C7" w:rsidP="00E92189">
            <w:pPr>
              <w:pStyle w:val="Tabletext"/>
              <w:rPr>
                <w:rStyle w:val="Strong"/>
              </w:rPr>
            </w:pPr>
            <w:r w:rsidRPr="009D1691">
              <w:rPr>
                <w:rStyle w:val="Strong"/>
              </w:rPr>
              <w:t>37%</w:t>
            </w:r>
          </w:p>
        </w:tc>
        <w:tc>
          <w:tcPr>
            <w:tcW w:w="2552" w:type="dxa"/>
            <w:shd w:val="clear" w:color="auto" w:fill="F2F2F2" w:themeFill="background1" w:themeFillShade="F2"/>
          </w:tcPr>
          <w:p w:rsidR="00D226C7" w:rsidRPr="009D1691" w:rsidRDefault="00D226C7" w:rsidP="00E92189">
            <w:pPr>
              <w:pStyle w:val="Tabletext"/>
              <w:rPr>
                <w:rStyle w:val="Strong"/>
              </w:rPr>
            </w:pPr>
            <w:r w:rsidRPr="009D1691">
              <w:rPr>
                <w:rStyle w:val="Strong"/>
              </w:rPr>
              <w:t>77%</w:t>
            </w:r>
          </w:p>
        </w:tc>
      </w:tr>
      <w:tr w:rsidR="00D226C7" w:rsidRPr="00D42745" w:rsidTr="00D226C7">
        <w:trPr>
          <w:trHeight w:hRule="exact" w:val="312"/>
        </w:trPr>
        <w:tc>
          <w:tcPr>
            <w:tcW w:w="2268" w:type="dxa"/>
          </w:tcPr>
          <w:p w:rsidR="00D226C7" w:rsidRPr="00E92189" w:rsidRDefault="00D226C7" w:rsidP="00E92189">
            <w:pPr>
              <w:pStyle w:val="Tabletext"/>
              <w:rPr>
                <w:rStyle w:val="Strong"/>
              </w:rPr>
            </w:pPr>
            <w:r w:rsidRPr="00E92189">
              <w:rPr>
                <w:rStyle w:val="Strong"/>
              </w:rPr>
              <w:t>NSW</w:t>
            </w:r>
          </w:p>
        </w:tc>
        <w:tc>
          <w:tcPr>
            <w:tcW w:w="907" w:type="dxa"/>
          </w:tcPr>
          <w:p w:rsidR="00D226C7" w:rsidRPr="00D42745" w:rsidRDefault="00D226C7" w:rsidP="00E92189">
            <w:pPr>
              <w:pStyle w:val="Tabletext"/>
            </w:pPr>
          </w:p>
        </w:tc>
        <w:tc>
          <w:tcPr>
            <w:tcW w:w="907" w:type="dxa"/>
          </w:tcPr>
          <w:p w:rsidR="00D226C7" w:rsidRPr="00D42745" w:rsidRDefault="00D226C7" w:rsidP="00E92189">
            <w:pPr>
              <w:pStyle w:val="Tabletext"/>
            </w:pPr>
          </w:p>
        </w:tc>
        <w:tc>
          <w:tcPr>
            <w:tcW w:w="2552" w:type="dxa"/>
          </w:tcPr>
          <w:p w:rsidR="00D226C7" w:rsidRPr="00D42745" w:rsidRDefault="00D226C7" w:rsidP="00E92189">
            <w:pPr>
              <w:pStyle w:val="Tabletext"/>
            </w:pPr>
          </w:p>
        </w:tc>
        <w:tc>
          <w:tcPr>
            <w:tcW w:w="2552" w:type="dxa"/>
          </w:tcPr>
          <w:p w:rsidR="00D226C7" w:rsidRPr="00D42745" w:rsidRDefault="00D226C7" w:rsidP="00E92189">
            <w:pPr>
              <w:pStyle w:val="Tabletext"/>
            </w:pPr>
          </w:p>
        </w:tc>
      </w:tr>
      <w:tr w:rsidR="00D226C7" w:rsidRPr="00D42745" w:rsidTr="00D226C7">
        <w:trPr>
          <w:trHeight w:hRule="exact" w:val="312"/>
        </w:trPr>
        <w:tc>
          <w:tcPr>
            <w:tcW w:w="2268" w:type="dxa"/>
          </w:tcPr>
          <w:p w:rsidR="00D226C7" w:rsidRPr="00D226C7" w:rsidRDefault="00D226C7" w:rsidP="00E92189">
            <w:pPr>
              <w:pStyle w:val="Tabletext"/>
            </w:pPr>
            <w:r w:rsidRPr="00D226C7">
              <w:t>ActewAGL</w:t>
            </w:r>
          </w:p>
        </w:tc>
        <w:tc>
          <w:tcPr>
            <w:tcW w:w="907" w:type="dxa"/>
          </w:tcPr>
          <w:p w:rsidR="00D226C7" w:rsidRPr="00D42745" w:rsidRDefault="00D226C7" w:rsidP="00E92189">
            <w:pPr>
              <w:pStyle w:val="Tabletext"/>
            </w:pPr>
            <w:r w:rsidRPr="00D42745">
              <w:t>2.48</w:t>
            </w:r>
          </w:p>
        </w:tc>
        <w:tc>
          <w:tcPr>
            <w:tcW w:w="907" w:type="dxa"/>
          </w:tcPr>
          <w:p w:rsidR="00D226C7" w:rsidRPr="00D226C7" w:rsidRDefault="00D226C7" w:rsidP="00E92189">
            <w:pPr>
              <w:pStyle w:val="Tabletext"/>
            </w:pPr>
            <w:r w:rsidRPr="00D226C7">
              <w:t>▲1.29</w:t>
            </w:r>
          </w:p>
        </w:tc>
        <w:tc>
          <w:tcPr>
            <w:tcW w:w="2552" w:type="dxa"/>
          </w:tcPr>
          <w:p w:rsidR="00D226C7" w:rsidRPr="00D42745" w:rsidRDefault="00D226C7" w:rsidP="00E92189">
            <w:pPr>
              <w:pStyle w:val="Tabletext"/>
            </w:pPr>
            <w:r w:rsidRPr="00D42745">
              <w:t>32%</w:t>
            </w:r>
          </w:p>
        </w:tc>
        <w:tc>
          <w:tcPr>
            <w:tcW w:w="2552" w:type="dxa"/>
          </w:tcPr>
          <w:p w:rsidR="00D226C7" w:rsidRPr="00D42745" w:rsidRDefault="00D226C7" w:rsidP="00E92189">
            <w:pPr>
              <w:pStyle w:val="Tabletext"/>
            </w:pPr>
            <w:r w:rsidRPr="00D42745">
              <w:t>64%</w:t>
            </w:r>
          </w:p>
        </w:tc>
      </w:tr>
      <w:tr w:rsidR="00D226C7" w:rsidRPr="00D42745" w:rsidTr="00D226C7">
        <w:trPr>
          <w:trHeight w:hRule="exact" w:val="312"/>
        </w:trPr>
        <w:tc>
          <w:tcPr>
            <w:tcW w:w="2268" w:type="dxa"/>
          </w:tcPr>
          <w:p w:rsidR="00D226C7" w:rsidRPr="00D226C7" w:rsidRDefault="00D226C7" w:rsidP="00E92189">
            <w:pPr>
              <w:pStyle w:val="Tabletext"/>
            </w:pPr>
            <w:r w:rsidRPr="00D226C7">
              <w:t>AGL</w:t>
            </w:r>
          </w:p>
        </w:tc>
        <w:tc>
          <w:tcPr>
            <w:tcW w:w="907" w:type="dxa"/>
          </w:tcPr>
          <w:p w:rsidR="00D226C7" w:rsidRPr="00D42745" w:rsidRDefault="00D226C7" w:rsidP="00E92189">
            <w:pPr>
              <w:pStyle w:val="Tabletext"/>
            </w:pPr>
            <w:r w:rsidRPr="00D42745">
              <w:t>0.72</w:t>
            </w:r>
          </w:p>
        </w:tc>
        <w:tc>
          <w:tcPr>
            <w:tcW w:w="907" w:type="dxa"/>
          </w:tcPr>
          <w:p w:rsidR="00D226C7" w:rsidRPr="00D226C7" w:rsidRDefault="00D226C7" w:rsidP="00E92189">
            <w:pPr>
              <w:pStyle w:val="Tabletext"/>
            </w:pPr>
            <w:r w:rsidRPr="00D226C7">
              <w:t>▲0.21</w:t>
            </w:r>
          </w:p>
        </w:tc>
        <w:tc>
          <w:tcPr>
            <w:tcW w:w="2552" w:type="dxa"/>
          </w:tcPr>
          <w:p w:rsidR="00D226C7" w:rsidRPr="00D42745" w:rsidRDefault="00D226C7" w:rsidP="00E92189">
            <w:pPr>
              <w:pStyle w:val="Tabletext"/>
            </w:pPr>
            <w:r w:rsidRPr="00D42745">
              <w:t>25%</w:t>
            </w:r>
          </w:p>
        </w:tc>
        <w:tc>
          <w:tcPr>
            <w:tcW w:w="2552" w:type="dxa"/>
          </w:tcPr>
          <w:p w:rsidR="00D226C7" w:rsidRPr="00D42745" w:rsidRDefault="00D226C7" w:rsidP="00E92189">
            <w:pPr>
              <w:pStyle w:val="Tabletext"/>
            </w:pPr>
            <w:r w:rsidRPr="00D42745">
              <w:t>80%</w:t>
            </w:r>
          </w:p>
        </w:tc>
      </w:tr>
      <w:tr w:rsidR="00D226C7" w:rsidRPr="00D42745" w:rsidTr="00D226C7">
        <w:trPr>
          <w:trHeight w:hRule="exact" w:val="312"/>
        </w:trPr>
        <w:tc>
          <w:tcPr>
            <w:tcW w:w="2268" w:type="dxa"/>
          </w:tcPr>
          <w:p w:rsidR="00D226C7" w:rsidRPr="00D226C7" w:rsidRDefault="00D226C7" w:rsidP="00E92189">
            <w:pPr>
              <w:pStyle w:val="Tabletext"/>
            </w:pPr>
            <w:r w:rsidRPr="00D226C7">
              <w:t>EnergyAustralia</w:t>
            </w:r>
          </w:p>
        </w:tc>
        <w:tc>
          <w:tcPr>
            <w:tcW w:w="907" w:type="dxa"/>
          </w:tcPr>
          <w:p w:rsidR="00D226C7" w:rsidRPr="00D42745" w:rsidRDefault="00D226C7" w:rsidP="00E92189">
            <w:pPr>
              <w:pStyle w:val="Tabletext"/>
            </w:pPr>
            <w:r w:rsidRPr="00D42745">
              <w:t>0.14</w:t>
            </w:r>
          </w:p>
        </w:tc>
        <w:tc>
          <w:tcPr>
            <w:tcW w:w="907" w:type="dxa"/>
          </w:tcPr>
          <w:p w:rsidR="00D226C7" w:rsidRPr="00D226C7" w:rsidRDefault="00D226C7" w:rsidP="00E92189">
            <w:pPr>
              <w:pStyle w:val="Tabletext"/>
            </w:pPr>
            <w:r w:rsidRPr="00D226C7">
              <w:t>▼0.01</w:t>
            </w:r>
          </w:p>
        </w:tc>
        <w:tc>
          <w:tcPr>
            <w:tcW w:w="2552" w:type="dxa"/>
          </w:tcPr>
          <w:p w:rsidR="00D226C7" w:rsidRPr="00D42745" w:rsidRDefault="00D226C7" w:rsidP="00E92189">
            <w:pPr>
              <w:pStyle w:val="Tabletext"/>
            </w:pPr>
            <w:r w:rsidRPr="00D42745">
              <w:t>22%</w:t>
            </w:r>
          </w:p>
        </w:tc>
        <w:tc>
          <w:tcPr>
            <w:tcW w:w="2552" w:type="dxa"/>
          </w:tcPr>
          <w:p w:rsidR="00D226C7" w:rsidRPr="00D42745" w:rsidRDefault="00D226C7" w:rsidP="00E92189">
            <w:pPr>
              <w:pStyle w:val="Tabletext"/>
            </w:pPr>
            <w:r w:rsidRPr="00D42745">
              <w:t>81%</w:t>
            </w:r>
          </w:p>
        </w:tc>
      </w:tr>
      <w:tr w:rsidR="00D226C7" w:rsidRPr="00D42745" w:rsidTr="00D226C7">
        <w:trPr>
          <w:trHeight w:hRule="exact" w:val="312"/>
        </w:trPr>
        <w:tc>
          <w:tcPr>
            <w:tcW w:w="2268" w:type="dxa"/>
          </w:tcPr>
          <w:p w:rsidR="00D226C7" w:rsidRPr="00D226C7" w:rsidRDefault="00D226C7" w:rsidP="00E92189">
            <w:pPr>
              <w:pStyle w:val="Tabletext"/>
            </w:pPr>
            <w:r w:rsidRPr="00D226C7">
              <w:t>Lumo Energy</w:t>
            </w:r>
          </w:p>
        </w:tc>
        <w:tc>
          <w:tcPr>
            <w:tcW w:w="907" w:type="dxa"/>
          </w:tcPr>
          <w:p w:rsidR="00D226C7" w:rsidRPr="00D42745" w:rsidRDefault="00D226C7" w:rsidP="00E92189">
            <w:pPr>
              <w:pStyle w:val="Tabletext"/>
            </w:pPr>
            <w:r w:rsidRPr="00D42745">
              <w:t>0.09</w:t>
            </w:r>
          </w:p>
        </w:tc>
        <w:tc>
          <w:tcPr>
            <w:tcW w:w="907" w:type="dxa"/>
          </w:tcPr>
          <w:p w:rsidR="00D226C7" w:rsidRPr="00D226C7" w:rsidRDefault="00D226C7" w:rsidP="00E92189">
            <w:pPr>
              <w:pStyle w:val="Tabletext"/>
            </w:pPr>
            <w:r w:rsidRPr="00D226C7">
              <w:t>▼0.58</w:t>
            </w:r>
          </w:p>
        </w:tc>
        <w:tc>
          <w:tcPr>
            <w:tcW w:w="2552" w:type="dxa"/>
          </w:tcPr>
          <w:p w:rsidR="00D226C7" w:rsidRPr="00D42745" w:rsidRDefault="00D226C7" w:rsidP="00E92189">
            <w:pPr>
              <w:pStyle w:val="Tabletext"/>
            </w:pPr>
            <w:r w:rsidRPr="00D42745">
              <w:t>6%</w:t>
            </w:r>
          </w:p>
        </w:tc>
        <w:tc>
          <w:tcPr>
            <w:tcW w:w="2552" w:type="dxa"/>
          </w:tcPr>
          <w:p w:rsidR="00D226C7" w:rsidRPr="00D42745" w:rsidRDefault="00D226C7" w:rsidP="00E92189">
            <w:pPr>
              <w:pStyle w:val="Tabletext"/>
            </w:pPr>
            <w:r w:rsidRPr="00D42745">
              <w:t>100%</w:t>
            </w:r>
          </w:p>
        </w:tc>
      </w:tr>
      <w:tr w:rsidR="00D226C7" w:rsidRPr="00D42745" w:rsidTr="00D226C7">
        <w:trPr>
          <w:trHeight w:hRule="exact" w:val="312"/>
        </w:trPr>
        <w:tc>
          <w:tcPr>
            <w:tcW w:w="2268" w:type="dxa"/>
          </w:tcPr>
          <w:p w:rsidR="00D226C7" w:rsidRPr="00D226C7" w:rsidRDefault="00D226C7" w:rsidP="00E92189">
            <w:pPr>
              <w:pStyle w:val="Tabletext"/>
            </w:pPr>
            <w:r w:rsidRPr="00D226C7">
              <w:t>Origin Energy</w:t>
            </w:r>
          </w:p>
        </w:tc>
        <w:tc>
          <w:tcPr>
            <w:tcW w:w="907" w:type="dxa"/>
          </w:tcPr>
          <w:p w:rsidR="00D226C7" w:rsidRPr="00D42745" w:rsidRDefault="00D226C7" w:rsidP="00E92189">
            <w:pPr>
              <w:pStyle w:val="Tabletext"/>
            </w:pPr>
            <w:r w:rsidRPr="00D42745">
              <w:t>0.75</w:t>
            </w:r>
          </w:p>
        </w:tc>
        <w:tc>
          <w:tcPr>
            <w:tcW w:w="907" w:type="dxa"/>
          </w:tcPr>
          <w:p w:rsidR="00D226C7" w:rsidRPr="00D226C7" w:rsidRDefault="00D226C7" w:rsidP="00E92189">
            <w:pPr>
              <w:pStyle w:val="Tabletext"/>
            </w:pPr>
            <w:r w:rsidRPr="00D226C7">
              <w:t>▲0.57</w:t>
            </w:r>
          </w:p>
        </w:tc>
        <w:tc>
          <w:tcPr>
            <w:tcW w:w="2552" w:type="dxa"/>
          </w:tcPr>
          <w:p w:rsidR="00D226C7" w:rsidRPr="00D42745" w:rsidRDefault="00D226C7" w:rsidP="00E92189">
            <w:pPr>
              <w:pStyle w:val="Tabletext"/>
            </w:pPr>
            <w:r w:rsidRPr="00D42745">
              <w:t>32%</w:t>
            </w:r>
          </w:p>
        </w:tc>
        <w:tc>
          <w:tcPr>
            <w:tcW w:w="2552" w:type="dxa"/>
          </w:tcPr>
          <w:p w:rsidR="00D226C7" w:rsidRPr="00D42745" w:rsidRDefault="00D226C7" w:rsidP="00E92189">
            <w:pPr>
              <w:pStyle w:val="Tabletext"/>
            </w:pPr>
            <w:r w:rsidRPr="00D42745">
              <w:t>59%</w:t>
            </w:r>
          </w:p>
        </w:tc>
      </w:tr>
      <w:tr w:rsidR="00D226C7" w:rsidRPr="00D42745" w:rsidTr="00D226C7">
        <w:trPr>
          <w:trHeight w:hRule="exact" w:val="312"/>
        </w:trPr>
        <w:tc>
          <w:tcPr>
            <w:tcW w:w="2268" w:type="dxa"/>
            <w:shd w:val="clear" w:color="auto" w:fill="F2F2F2" w:themeFill="background1" w:themeFillShade="F2"/>
          </w:tcPr>
          <w:p w:rsidR="00D226C7" w:rsidRPr="009D1691" w:rsidRDefault="00D226C7" w:rsidP="00E92189">
            <w:pPr>
              <w:pStyle w:val="Tabletext"/>
              <w:rPr>
                <w:rStyle w:val="Strong"/>
              </w:rPr>
            </w:pPr>
            <w:r w:rsidRPr="009D1691">
              <w:rPr>
                <w:rStyle w:val="Strong"/>
              </w:rPr>
              <w:t>TOTAL NSW</w:t>
            </w:r>
          </w:p>
        </w:tc>
        <w:tc>
          <w:tcPr>
            <w:tcW w:w="907" w:type="dxa"/>
            <w:shd w:val="clear" w:color="auto" w:fill="F2F2F2" w:themeFill="background1" w:themeFillShade="F2"/>
          </w:tcPr>
          <w:p w:rsidR="00D226C7" w:rsidRPr="009D1691" w:rsidRDefault="00D226C7" w:rsidP="00E92189">
            <w:pPr>
              <w:pStyle w:val="Tabletext"/>
              <w:rPr>
                <w:rStyle w:val="Strong"/>
              </w:rPr>
            </w:pPr>
            <w:r w:rsidRPr="009D1691">
              <w:rPr>
                <w:rStyle w:val="Strong"/>
              </w:rPr>
              <w:t>0.62</w:t>
            </w:r>
          </w:p>
        </w:tc>
        <w:tc>
          <w:tcPr>
            <w:tcW w:w="907" w:type="dxa"/>
            <w:shd w:val="clear" w:color="auto" w:fill="F2F2F2" w:themeFill="background1" w:themeFillShade="F2"/>
          </w:tcPr>
          <w:p w:rsidR="00D226C7" w:rsidRPr="009D1691" w:rsidRDefault="00D226C7" w:rsidP="00E92189">
            <w:pPr>
              <w:pStyle w:val="Tabletext"/>
              <w:rPr>
                <w:rStyle w:val="Strong"/>
              </w:rPr>
            </w:pPr>
            <w:r w:rsidRPr="009D1691">
              <w:rPr>
                <w:rStyle w:val="Strong"/>
              </w:rPr>
              <w:t>▲0.20</w:t>
            </w:r>
          </w:p>
        </w:tc>
        <w:tc>
          <w:tcPr>
            <w:tcW w:w="2552" w:type="dxa"/>
            <w:shd w:val="clear" w:color="auto" w:fill="F2F2F2" w:themeFill="background1" w:themeFillShade="F2"/>
          </w:tcPr>
          <w:p w:rsidR="00D226C7" w:rsidRPr="009D1691" w:rsidRDefault="00D226C7" w:rsidP="00E92189">
            <w:pPr>
              <w:pStyle w:val="Tabletext"/>
              <w:rPr>
                <w:rStyle w:val="Strong"/>
              </w:rPr>
            </w:pPr>
            <w:r w:rsidRPr="009D1691">
              <w:rPr>
                <w:rStyle w:val="Strong"/>
              </w:rPr>
              <w:t>27%</w:t>
            </w:r>
          </w:p>
        </w:tc>
        <w:tc>
          <w:tcPr>
            <w:tcW w:w="2552" w:type="dxa"/>
            <w:shd w:val="clear" w:color="auto" w:fill="F2F2F2" w:themeFill="background1" w:themeFillShade="F2"/>
          </w:tcPr>
          <w:p w:rsidR="00D226C7" w:rsidRPr="009D1691" w:rsidRDefault="00D226C7" w:rsidP="00E92189">
            <w:pPr>
              <w:pStyle w:val="Tabletext"/>
              <w:rPr>
                <w:rStyle w:val="Strong"/>
              </w:rPr>
            </w:pPr>
            <w:r w:rsidRPr="009D1691">
              <w:rPr>
                <w:rStyle w:val="Strong"/>
              </w:rPr>
              <w:t>73%</w:t>
            </w:r>
          </w:p>
        </w:tc>
      </w:tr>
    </w:tbl>
    <w:p w:rsidR="00E92189" w:rsidRDefault="00E92189" w:rsidP="00D226C7"/>
    <w:p w:rsidR="00D226C7" w:rsidRPr="00D226C7" w:rsidRDefault="00D226C7" w:rsidP="00D226C7">
      <w:r w:rsidRPr="00D42745">
        <w:t xml:space="preserve">Tables 2.12 and 2.13 show the number of residential electricity and gas disconnections in each jurisdiction since 2009-10. Following successive years of increases, electricity disconnections in New South Wales </w:t>
      </w:r>
      <w:r w:rsidR="0062624E">
        <w:t xml:space="preserve">slightly </w:t>
      </w:r>
      <w:r w:rsidRPr="00D42745">
        <w:t xml:space="preserve">decreased in 2014-15. </w:t>
      </w:r>
      <w:r w:rsidR="0074081B">
        <w:t>For the third successive year, over 10,000 electricity</w:t>
      </w:r>
      <w:r w:rsidR="00A95BE0">
        <w:t xml:space="preserve"> customers were</w:t>
      </w:r>
      <w:r w:rsidR="0074081B">
        <w:t xml:space="preserve"> disconnect</w:t>
      </w:r>
      <w:r w:rsidR="00A95BE0">
        <w:t>ed for non-payment of electricity bills</w:t>
      </w:r>
      <w:r w:rsidR="0074081B">
        <w:t xml:space="preserve"> in South Australia.</w:t>
      </w:r>
      <w:r w:rsidR="00607EDC">
        <w:t xml:space="preserve"> Around 32,000 </w:t>
      </w:r>
      <w:r w:rsidR="00736C1E">
        <w:t xml:space="preserve">electricity customers </w:t>
      </w:r>
      <w:r w:rsidR="00607EDC">
        <w:t>were disconnected for non-payment in New South Wales in 2014-15.</w:t>
      </w:r>
    </w:p>
    <w:p w:rsidR="00D226C7" w:rsidRPr="00D226C7" w:rsidRDefault="00D226C7" w:rsidP="00D226C7">
      <w:r w:rsidRPr="00D42745">
        <w:t>Despite the increase in gas disconnections in New South Wales, the number of customers disconnected was well below the peak in 2011-12. Gas disconnections in South Australia increased to levels comparabl</w:t>
      </w:r>
      <w:r w:rsidRPr="00D226C7">
        <w:t>e with 2011-12.</w:t>
      </w:r>
    </w:p>
    <w:p w:rsidR="00E92189" w:rsidRDefault="00E92189" w:rsidP="00D226C7">
      <w:pPr>
        <w:pStyle w:val="Tabletitle"/>
      </w:pPr>
    </w:p>
    <w:p w:rsidR="00E92189" w:rsidRDefault="00E92189" w:rsidP="00D226C7">
      <w:pPr>
        <w:pStyle w:val="Tabletitle"/>
      </w:pPr>
    </w:p>
    <w:p w:rsidR="00E92189" w:rsidRDefault="00E92189" w:rsidP="00D226C7">
      <w:pPr>
        <w:pStyle w:val="Tabletitle"/>
      </w:pPr>
    </w:p>
    <w:p w:rsidR="00E92189" w:rsidRDefault="00E92189" w:rsidP="00D226C7">
      <w:pPr>
        <w:pStyle w:val="Tabletitle"/>
      </w:pPr>
    </w:p>
    <w:p w:rsidR="00E92189" w:rsidRDefault="00E92189" w:rsidP="00D226C7">
      <w:pPr>
        <w:pStyle w:val="Tabletitle"/>
      </w:pPr>
    </w:p>
    <w:p w:rsidR="00D226C7" w:rsidRPr="003E45F6" w:rsidRDefault="00D226C7" w:rsidP="00D226C7">
      <w:pPr>
        <w:pStyle w:val="Tabletitle"/>
      </w:pPr>
      <w:r w:rsidRPr="003E45F6">
        <w:lastRenderedPageBreak/>
        <w:t>Table 2.12: Residential electricity disconnections for non-payment, 2009-10 to 2014-15</w:t>
      </w:r>
    </w:p>
    <w:tbl>
      <w:tblPr>
        <w:tblW w:w="0" w:type="auto"/>
        <w:tblBorders>
          <w:top w:val="single" w:sz="4" w:space="0" w:color="BFBFBF" w:themeColor="background1" w:themeShade="BF"/>
          <w:bottom w:val="single" w:sz="2" w:space="0" w:color="auto"/>
          <w:insideH w:val="single" w:sz="2" w:space="0" w:color="auto"/>
        </w:tblBorders>
        <w:tblLook w:val="04A0" w:firstRow="1" w:lastRow="0" w:firstColumn="1" w:lastColumn="0" w:noHBand="0" w:noVBand="1"/>
      </w:tblPr>
      <w:tblGrid>
        <w:gridCol w:w="1848"/>
        <w:gridCol w:w="1848"/>
        <w:gridCol w:w="1848"/>
        <w:gridCol w:w="1849"/>
        <w:gridCol w:w="1849"/>
      </w:tblGrid>
      <w:tr w:rsidR="00D226C7" w:rsidRPr="00D42745" w:rsidTr="00D226C7">
        <w:tc>
          <w:tcPr>
            <w:tcW w:w="1848" w:type="dxa"/>
            <w:shd w:val="clear" w:color="auto" w:fill="F2F2F2" w:themeFill="background1" w:themeFillShade="F2"/>
          </w:tcPr>
          <w:p w:rsidR="00D226C7" w:rsidRPr="00D42745" w:rsidRDefault="00D226C7" w:rsidP="00975582">
            <w:pPr>
              <w:pStyle w:val="Tabletext"/>
            </w:pPr>
          </w:p>
        </w:tc>
        <w:tc>
          <w:tcPr>
            <w:tcW w:w="1848" w:type="dxa"/>
            <w:shd w:val="clear" w:color="auto" w:fill="F2F2F2" w:themeFill="background1" w:themeFillShade="F2"/>
          </w:tcPr>
          <w:p w:rsidR="00D226C7" w:rsidRPr="009D1691" w:rsidRDefault="00D226C7" w:rsidP="00975582">
            <w:pPr>
              <w:pStyle w:val="Tabletext"/>
              <w:rPr>
                <w:rStyle w:val="Strong"/>
              </w:rPr>
            </w:pPr>
            <w:r w:rsidRPr="009D1691">
              <w:rPr>
                <w:rStyle w:val="Strong"/>
              </w:rPr>
              <w:t>NSW</w:t>
            </w:r>
          </w:p>
        </w:tc>
        <w:tc>
          <w:tcPr>
            <w:tcW w:w="1848" w:type="dxa"/>
            <w:shd w:val="clear" w:color="auto" w:fill="F2F2F2" w:themeFill="background1" w:themeFillShade="F2"/>
          </w:tcPr>
          <w:p w:rsidR="00D226C7" w:rsidRPr="009D1691" w:rsidRDefault="00D226C7" w:rsidP="00975582">
            <w:pPr>
              <w:pStyle w:val="Tabletext"/>
              <w:rPr>
                <w:rStyle w:val="Strong"/>
              </w:rPr>
            </w:pPr>
            <w:r w:rsidRPr="009D1691">
              <w:rPr>
                <w:rStyle w:val="Strong"/>
              </w:rPr>
              <w:t>South Australia</w:t>
            </w:r>
          </w:p>
        </w:tc>
        <w:tc>
          <w:tcPr>
            <w:tcW w:w="1849" w:type="dxa"/>
            <w:shd w:val="clear" w:color="auto" w:fill="F2F2F2" w:themeFill="background1" w:themeFillShade="F2"/>
          </w:tcPr>
          <w:p w:rsidR="00D226C7" w:rsidRPr="009D1691" w:rsidRDefault="00D226C7" w:rsidP="00975582">
            <w:pPr>
              <w:pStyle w:val="Tabletext"/>
              <w:rPr>
                <w:rStyle w:val="Strong"/>
              </w:rPr>
            </w:pPr>
            <w:r w:rsidRPr="009D1691">
              <w:rPr>
                <w:rStyle w:val="Strong"/>
              </w:rPr>
              <w:t>Tasmania</w:t>
            </w:r>
          </w:p>
        </w:tc>
        <w:tc>
          <w:tcPr>
            <w:tcW w:w="1849" w:type="dxa"/>
            <w:shd w:val="clear" w:color="auto" w:fill="F2F2F2" w:themeFill="background1" w:themeFillShade="F2"/>
          </w:tcPr>
          <w:p w:rsidR="00D226C7" w:rsidRPr="009D1691" w:rsidRDefault="00D226C7" w:rsidP="00975582">
            <w:pPr>
              <w:pStyle w:val="Tabletext"/>
              <w:rPr>
                <w:rStyle w:val="Strong"/>
              </w:rPr>
            </w:pPr>
            <w:r w:rsidRPr="009D1691">
              <w:rPr>
                <w:rStyle w:val="Strong"/>
              </w:rPr>
              <w:t>ACT</w:t>
            </w:r>
          </w:p>
        </w:tc>
      </w:tr>
      <w:tr w:rsidR="00D226C7" w:rsidRPr="00D42745" w:rsidTr="00D226C7">
        <w:tc>
          <w:tcPr>
            <w:tcW w:w="1848" w:type="dxa"/>
          </w:tcPr>
          <w:p w:rsidR="00D226C7" w:rsidRPr="00D226C7" w:rsidRDefault="00D226C7" w:rsidP="00975582">
            <w:pPr>
              <w:pStyle w:val="Tabletext"/>
            </w:pPr>
            <w:r w:rsidRPr="00D226C7">
              <w:t>2009-10</w:t>
            </w:r>
          </w:p>
        </w:tc>
        <w:tc>
          <w:tcPr>
            <w:tcW w:w="1848" w:type="dxa"/>
          </w:tcPr>
          <w:p w:rsidR="00D226C7" w:rsidRPr="00D42745" w:rsidRDefault="00D226C7" w:rsidP="00975582">
            <w:pPr>
              <w:pStyle w:val="Tabletext"/>
            </w:pPr>
            <w:r w:rsidRPr="00D42745">
              <w:t>15 835</w:t>
            </w:r>
          </w:p>
        </w:tc>
        <w:tc>
          <w:tcPr>
            <w:tcW w:w="1848" w:type="dxa"/>
          </w:tcPr>
          <w:p w:rsidR="00D226C7" w:rsidRPr="00D42745" w:rsidRDefault="00D226C7" w:rsidP="00975582">
            <w:pPr>
              <w:pStyle w:val="Tabletext"/>
            </w:pPr>
            <w:r w:rsidRPr="00D42745">
              <w:t>4 748</w:t>
            </w:r>
          </w:p>
        </w:tc>
        <w:tc>
          <w:tcPr>
            <w:tcW w:w="1849" w:type="dxa"/>
          </w:tcPr>
          <w:p w:rsidR="00D226C7" w:rsidRPr="00D42745" w:rsidRDefault="00D226C7" w:rsidP="00975582">
            <w:pPr>
              <w:pStyle w:val="Tabletext"/>
            </w:pPr>
            <w:r w:rsidRPr="00D42745">
              <w:t>1 396</w:t>
            </w:r>
          </w:p>
        </w:tc>
        <w:tc>
          <w:tcPr>
            <w:tcW w:w="1849" w:type="dxa"/>
          </w:tcPr>
          <w:p w:rsidR="00D226C7" w:rsidRPr="00D42745" w:rsidRDefault="00D226C7" w:rsidP="00975582">
            <w:pPr>
              <w:pStyle w:val="Tabletext"/>
            </w:pPr>
            <w:r w:rsidRPr="00D42745">
              <w:t>880</w:t>
            </w:r>
          </w:p>
        </w:tc>
      </w:tr>
      <w:tr w:rsidR="00D226C7" w:rsidRPr="00D42745" w:rsidTr="00D226C7">
        <w:tc>
          <w:tcPr>
            <w:tcW w:w="1848" w:type="dxa"/>
          </w:tcPr>
          <w:p w:rsidR="00D226C7" w:rsidRPr="00D226C7" w:rsidRDefault="00D226C7" w:rsidP="00975582">
            <w:pPr>
              <w:pStyle w:val="Tabletext"/>
            </w:pPr>
            <w:r w:rsidRPr="00D226C7">
              <w:t>2010-11</w:t>
            </w:r>
          </w:p>
        </w:tc>
        <w:tc>
          <w:tcPr>
            <w:tcW w:w="1848" w:type="dxa"/>
          </w:tcPr>
          <w:p w:rsidR="00D226C7" w:rsidRPr="00D42745" w:rsidRDefault="00D226C7" w:rsidP="00975582">
            <w:pPr>
              <w:pStyle w:val="Tabletext"/>
            </w:pPr>
            <w:r w:rsidRPr="00D42745">
              <w:t>18 561</w:t>
            </w:r>
          </w:p>
        </w:tc>
        <w:tc>
          <w:tcPr>
            <w:tcW w:w="1848" w:type="dxa"/>
          </w:tcPr>
          <w:p w:rsidR="00D226C7" w:rsidRPr="00D42745" w:rsidRDefault="00D226C7" w:rsidP="00975582">
            <w:pPr>
              <w:pStyle w:val="Tabletext"/>
            </w:pPr>
            <w:r w:rsidRPr="00D42745">
              <w:t>7 383</w:t>
            </w:r>
          </w:p>
        </w:tc>
        <w:tc>
          <w:tcPr>
            <w:tcW w:w="1849" w:type="dxa"/>
          </w:tcPr>
          <w:p w:rsidR="00D226C7" w:rsidRPr="00D42745" w:rsidRDefault="00D226C7" w:rsidP="00975582">
            <w:pPr>
              <w:pStyle w:val="Tabletext"/>
            </w:pPr>
            <w:r w:rsidRPr="00D42745">
              <w:t>958</w:t>
            </w:r>
          </w:p>
        </w:tc>
        <w:tc>
          <w:tcPr>
            <w:tcW w:w="1849" w:type="dxa"/>
          </w:tcPr>
          <w:p w:rsidR="00D226C7" w:rsidRPr="00D42745" w:rsidRDefault="00D226C7" w:rsidP="00975582">
            <w:pPr>
              <w:pStyle w:val="Tabletext"/>
            </w:pPr>
            <w:r w:rsidRPr="00D42745">
              <w:t>402</w:t>
            </w:r>
          </w:p>
        </w:tc>
      </w:tr>
      <w:tr w:rsidR="00D226C7" w:rsidRPr="00D42745" w:rsidTr="00D226C7">
        <w:tc>
          <w:tcPr>
            <w:tcW w:w="1848" w:type="dxa"/>
          </w:tcPr>
          <w:p w:rsidR="00D226C7" w:rsidRPr="00D226C7" w:rsidRDefault="00D226C7" w:rsidP="00975582">
            <w:pPr>
              <w:pStyle w:val="Tabletext"/>
            </w:pPr>
            <w:r w:rsidRPr="00D226C7">
              <w:t>2011-12</w:t>
            </w:r>
          </w:p>
        </w:tc>
        <w:tc>
          <w:tcPr>
            <w:tcW w:w="1848" w:type="dxa"/>
          </w:tcPr>
          <w:p w:rsidR="00D226C7" w:rsidRPr="00D42745" w:rsidRDefault="00D226C7" w:rsidP="00975582">
            <w:pPr>
              <w:pStyle w:val="Tabletext"/>
            </w:pPr>
            <w:r w:rsidRPr="00D42745">
              <w:t>23 207</w:t>
            </w:r>
          </w:p>
        </w:tc>
        <w:tc>
          <w:tcPr>
            <w:tcW w:w="1848" w:type="dxa"/>
          </w:tcPr>
          <w:p w:rsidR="00D226C7" w:rsidRPr="00D42745" w:rsidRDefault="00D226C7" w:rsidP="00975582">
            <w:pPr>
              <w:pStyle w:val="Tabletext"/>
            </w:pPr>
            <w:r w:rsidRPr="00D42745">
              <w:t>9 893</w:t>
            </w:r>
          </w:p>
        </w:tc>
        <w:tc>
          <w:tcPr>
            <w:tcW w:w="1849" w:type="dxa"/>
          </w:tcPr>
          <w:p w:rsidR="00D226C7" w:rsidRPr="00D42745" w:rsidRDefault="00D226C7" w:rsidP="00975582">
            <w:pPr>
              <w:pStyle w:val="Tabletext"/>
            </w:pPr>
            <w:r w:rsidRPr="00D42745">
              <w:t>178</w:t>
            </w:r>
          </w:p>
        </w:tc>
        <w:tc>
          <w:tcPr>
            <w:tcW w:w="1849" w:type="dxa"/>
          </w:tcPr>
          <w:p w:rsidR="00D226C7" w:rsidRPr="00D42745" w:rsidRDefault="00D226C7" w:rsidP="00975582">
            <w:pPr>
              <w:pStyle w:val="Tabletext"/>
            </w:pPr>
            <w:r w:rsidRPr="00D42745">
              <w:t>420</w:t>
            </w:r>
          </w:p>
        </w:tc>
      </w:tr>
      <w:tr w:rsidR="00D226C7" w:rsidRPr="00D42745" w:rsidTr="00D226C7">
        <w:tc>
          <w:tcPr>
            <w:tcW w:w="1848" w:type="dxa"/>
          </w:tcPr>
          <w:p w:rsidR="00D226C7" w:rsidRPr="00D226C7" w:rsidRDefault="00D226C7" w:rsidP="00975582">
            <w:pPr>
              <w:pStyle w:val="Tabletext"/>
            </w:pPr>
            <w:r w:rsidRPr="00D226C7">
              <w:t>2012-13</w:t>
            </w:r>
          </w:p>
        </w:tc>
        <w:tc>
          <w:tcPr>
            <w:tcW w:w="1848" w:type="dxa"/>
          </w:tcPr>
          <w:p w:rsidR="00D226C7" w:rsidRPr="00D42745" w:rsidRDefault="00D226C7" w:rsidP="00975582">
            <w:pPr>
              <w:pStyle w:val="Tabletext"/>
            </w:pPr>
            <w:r w:rsidRPr="00D42745">
              <w:t>24 888</w:t>
            </w:r>
          </w:p>
        </w:tc>
        <w:tc>
          <w:tcPr>
            <w:tcW w:w="1848" w:type="dxa"/>
          </w:tcPr>
          <w:p w:rsidR="00D226C7" w:rsidRPr="00D42745" w:rsidRDefault="00D226C7" w:rsidP="00975582">
            <w:pPr>
              <w:pStyle w:val="Tabletext"/>
            </w:pPr>
            <w:r w:rsidRPr="00D42745">
              <w:t>10 723</w:t>
            </w:r>
          </w:p>
        </w:tc>
        <w:tc>
          <w:tcPr>
            <w:tcW w:w="1849" w:type="dxa"/>
          </w:tcPr>
          <w:p w:rsidR="00D226C7" w:rsidRPr="00D42745" w:rsidRDefault="00D226C7" w:rsidP="00975582">
            <w:pPr>
              <w:pStyle w:val="Tabletext"/>
            </w:pPr>
            <w:r w:rsidRPr="00D42745">
              <w:t>1 057</w:t>
            </w:r>
          </w:p>
        </w:tc>
        <w:tc>
          <w:tcPr>
            <w:tcW w:w="1849" w:type="dxa"/>
          </w:tcPr>
          <w:p w:rsidR="00D226C7" w:rsidRPr="00D42745" w:rsidRDefault="00D226C7" w:rsidP="00975582">
            <w:pPr>
              <w:pStyle w:val="Tabletext"/>
            </w:pPr>
            <w:r w:rsidRPr="00D42745">
              <w:t>73</w:t>
            </w:r>
          </w:p>
        </w:tc>
      </w:tr>
      <w:tr w:rsidR="00D226C7" w:rsidRPr="00D42745" w:rsidTr="00D226C7">
        <w:tc>
          <w:tcPr>
            <w:tcW w:w="1848" w:type="dxa"/>
          </w:tcPr>
          <w:p w:rsidR="00D226C7" w:rsidRPr="00D226C7" w:rsidRDefault="00D226C7" w:rsidP="00975582">
            <w:pPr>
              <w:pStyle w:val="Tabletext"/>
            </w:pPr>
            <w:r w:rsidRPr="00D226C7">
              <w:t>2013-14</w:t>
            </w:r>
          </w:p>
        </w:tc>
        <w:tc>
          <w:tcPr>
            <w:tcW w:w="1848" w:type="dxa"/>
          </w:tcPr>
          <w:p w:rsidR="00D226C7" w:rsidRPr="00D42745" w:rsidRDefault="00D226C7" w:rsidP="00975582">
            <w:pPr>
              <w:pStyle w:val="Tabletext"/>
            </w:pPr>
            <w:r w:rsidRPr="00D42745">
              <w:t>32 940</w:t>
            </w:r>
          </w:p>
        </w:tc>
        <w:tc>
          <w:tcPr>
            <w:tcW w:w="1848" w:type="dxa"/>
          </w:tcPr>
          <w:p w:rsidR="00D226C7" w:rsidRPr="00D42745" w:rsidRDefault="00D226C7" w:rsidP="00975582">
            <w:pPr>
              <w:pStyle w:val="Tabletext"/>
            </w:pPr>
            <w:r w:rsidRPr="00D42745">
              <w:t>10 148</w:t>
            </w:r>
          </w:p>
        </w:tc>
        <w:tc>
          <w:tcPr>
            <w:tcW w:w="1849" w:type="dxa"/>
          </w:tcPr>
          <w:p w:rsidR="00D226C7" w:rsidRPr="00D42745" w:rsidRDefault="00D226C7" w:rsidP="00975582">
            <w:pPr>
              <w:pStyle w:val="Tabletext"/>
            </w:pPr>
            <w:r w:rsidRPr="00D42745">
              <w:t>1 555</w:t>
            </w:r>
          </w:p>
        </w:tc>
        <w:tc>
          <w:tcPr>
            <w:tcW w:w="1849" w:type="dxa"/>
          </w:tcPr>
          <w:p w:rsidR="00D226C7" w:rsidRPr="00D42745" w:rsidRDefault="00D226C7" w:rsidP="00975582">
            <w:pPr>
              <w:pStyle w:val="Tabletext"/>
            </w:pPr>
            <w:r w:rsidRPr="00D42745">
              <w:t>269</w:t>
            </w:r>
          </w:p>
        </w:tc>
      </w:tr>
      <w:tr w:rsidR="00D226C7" w:rsidRPr="00D42745" w:rsidTr="00D226C7">
        <w:tc>
          <w:tcPr>
            <w:tcW w:w="1848" w:type="dxa"/>
          </w:tcPr>
          <w:p w:rsidR="00D226C7" w:rsidRPr="00D226C7" w:rsidRDefault="00D226C7" w:rsidP="00975582">
            <w:pPr>
              <w:pStyle w:val="Tabletext"/>
            </w:pPr>
            <w:r w:rsidRPr="00D226C7">
              <w:t>2014-15</w:t>
            </w:r>
          </w:p>
        </w:tc>
        <w:tc>
          <w:tcPr>
            <w:tcW w:w="1848" w:type="dxa"/>
          </w:tcPr>
          <w:p w:rsidR="00D226C7" w:rsidRPr="00D42745" w:rsidRDefault="00D226C7" w:rsidP="00975582">
            <w:pPr>
              <w:pStyle w:val="Tabletext"/>
            </w:pPr>
            <w:r w:rsidRPr="00D42745">
              <w:t>31 979</w:t>
            </w:r>
          </w:p>
        </w:tc>
        <w:tc>
          <w:tcPr>
            <w:tcW w:w="1848" w:type="dxa"/>
          </w:tcPr>
          <w:p w:rsidR="00D226C7" w:rsidRPr="00D42745" w:rsidRDefault="00D226C7" w:rsidP="00975582">
            <w:pPr>
              <w:pStyle w:val="Tabletext"/>
            </w:pPr>
            <w:r w:rsidRPr="00D42745">
              <w:t>10 179</w:t>
            </w:r>
          </w:p>
        </w:tc>
        <w:tc>
          <w:tcPr>
            <w:tcW w:w="1849" w:type="dxa"/>
          </w:tcPr>
          <w:p w:rsidR="00D226C7" w:rsidRPr="00D42745" w:rsidRDefault="00D226C7" w:rsidP="00975582">
            <w:pPr>
              <w:pStyle w:val="Tabletext"/>
            </w:pPr>
            <w:r w:rsidRPr="00D42745">
              <w:t>1 046</w:t>
            </w:r>
          </w:p>
        </w:tc>
        <w:tc>
          <w:tcPr>
            <w:tcW w:w="1849" w:type="dxa"/>
          </w:tcPr>
          <w:p w:rsidR="00D226C7" w:rsidRPr="00D42745" w:rsidRDefault="00D226C7" w:rsidP="00975582">
            <w:pPr>
              <w:pStyle w:val="Tabletext"/>
            </w:pPr>
            <w:r w:rsidRPr="00D42745">
              <w:t>345</w:t>
            </w:r>
          </w:p>
        </w:tc>
      </w:tr>
    </w:tbl>
    <w:p w:rsidR="00D226C7" w:rsidRPr="003E45F6" w:rsidRDefault="00D226C7" w:rsidP="00D226C7">
      <w:pPr>
        <w:pStyle w:val="Tabletitle"/>
      </w:pPr>
      <w:r w:rsidRPr="003E45F6">
        <w:t xml:space="preserve">Table 2.13: Residential gas disconnections for non-payment, 2009-10 to </w:t>
      </w:r>
      <w:r w:rsidR="00E04B1D">
        <w:br/>
      </w:r>
      <w:r w:rsidRPr="003E45F6">
        <w:t>2014-15</w:t>
      </w:r>
    </w:p>
    <w:tbl>
      <w:tblPr>
        <w:tblW w:w="0" w:type="auto"/>
        <w:tblBorders>
          <w:top w:val="single" w:sz="4" w:space="0" w:color="BFBFBF" w:themeColor="background1" w:themeShade="BF"/>
          <w:bottom w:val="single" w:sz="2" w:space="0" w:color="auto"/>
          <w:insideH w:val="single" w:sz="2" w:space="0" w:color="auto"/>
        </w:tblBorders>
        <w:tblLook w:val="04A0" w:firstRow="1" w:lastRow="0" w:firstColumn="1" w:lastColumn="0" w:noHBand="0" w:noVBand="1"/>
      </w:tblPr>
      <w:tblGrid>
        <w:gridCol w:w="1848"/>
        <w:gridCol w:w="1848"/>
        <w:gridCol w:w="1848"/>
        <w:gridCol w:w="1849"/>
      </w:tblGrid>
      <w:tr w:rsidR="00D226C7" w:rsidRPr="00E92189" w:rsidTr="00D226C7">
        <w:tc>
          <w:tcPr>
            <w:tcW w:w="1848" w:type="dxa"/>
            <w:shd w:val="clear" w:color="auto" w:fill="F2F2F2" w:themeFill="background1" w:themeFillShade="F2"/>
          </w:tcPr>
          <w:p w:rsidR="00D226C7" w:rsidRPr="00E92189" w:rsidRDefault="00D226C7" w:rsidP="00E92189">
            <w:pPr>
              <w:pStyle w:val="Tabletext"/>
            </w:pPr>
          </w:p>
        </w:tc>
        <w:tc>
          <w:tcPr>
            <w:tcW w:w="1848" w:type="dxa"/>
            <w:shd w:val="clear" w:color="auto" w:fill="F2F2F2" w:themeFill="background1" w:themeFillShade="F2"/>
          </w:tcPr>
          <w:p w:rsidR="00D226C7" w:rsidRPr="009D1691" w:rsidRDefault="00D226C7" w:rsidP="00E92189">
            <w:pPr>
              <w:pStyle w:val="Tabletext"/>
              <w:rPr>
                <w:rStyle w:val="Strong"/>
              </w:rPr>
            </w:pPr>
            <w:r w:rsidRPr="009D1691">
              <w:rPr>
                <w:rStyle w:val="Strong"/>
              </w:rPr>
              <w:t>NSW</w:t>
            </w:r>
          </w:p>
        </w:tc>
        <w:tc>
          <w:tcPr>
            <w:tcW w:w="1848" w:type="dxa"/>
            <w:shd w:val="clear" w:color="auto" w:fill="F2F2F2" w:themeFill="background1" w:themeFillShade="F2"/>
          </w:tcPr>
          <w:p w:rsidR="00D226C7" w:rsidRPr="009D1691" w:rsidRDefault="00D226C7" w:rsidP="00E92189">
            <w:pPr>
              <w:pStyle w:val="Tabletext"/>
              <w:rPr>
                <w:rStyle w:val="Strong"/>
              </w:rPr>
            </w:pPr>
            <w:r w:rsidRPr="009D1691">
              <w:rPr>
                <w:rStyle w:val="Strong"/>
              </w:rPr>
              <w:t>South Australia</w:t>
            </w:r>
          </w:p>
        </w:tc>
        <w:tc>
          <w:tcPr>
            <w:tcW w:w="1849" w:type="dxa"/>
            <w:shd w:val="clear" w:color="auto" w:fill="F2F2F2" w:themeFill="background1" w:themeFillShade="F2"/>
          </w:tcPr>
          <w:p w:rsidR="00D226C7" w:rsidRPr="009D1691" w:rsidRDefault="00D226C7" w:rsidP="00E92189">
            <w:pPr>
              <w:pStyle w:val="Tabletext"/>
              <w:rPr>
                <w:rStyle w:val="Strong"/>
              </w:rPr>
            </w:pPr>
            <w:r w:rsidRPr="009D1691">
              <w:rPr>
                <w:rStyle w:val="Strong"/>
              </w:rPr>
              <w:t>ACT</w:t>
            </w:r>
          </w:p>
        </w:tc>
      </w:tr>
      <w:tr w:rsidR="00D226C7" w:rsidRPr="00E92189" w:rsidTr="00D226C7">
        <w:tc>
          <w:tcPr>
            <w:tcW w:w="1848" w:type="dxa"/>
          </w:tcPr>
          <w:p w:rsidR="00D226C7" w:rsidRPr="00E92189" w:rsidRDefault="00D226C7" w:rsidP="00E92189">
            <w:pPr>
              <w:pStyle w:val="Tabletext"/>
            </w:pPr>
            <w:r w:rsidRPr="00E92189">
              <w:t>2009-10</w:t>
            </w:r>
          </w:p>
        </w:tc>
        <w:tc>
          <w:tcPr>
            <w:tcW w:w="1848" w:type="dxa"/>
          </w:tcPr>
          <w:p w:rsidR="00D226C7" w:rsidRPr="00E92189" w:rsidRDefault="00D226C7" w:rsidP="00E92189">
            <w:pPr>
              <w:pStyle w:val="Tabletext"/>
            </w:pPr>
            <w:r w:rsidRPr="00E92189">
              <w:t>14 811</w:t>
            </w:r>
          </w:p>
        </w:tc>
        <w:tc>
          <w:tcPr>
            <w:tcW w:w="1848" w:type="dxa"/>
          </w:tcPr>
          <w:p w:rsidR="00D226C7" w:rsidRPr="00E92189" w:rsidRDefault="00D226C7" w:rsidP="00E92189">
            <w:pPr>
              <w:pStyle w:val="Tabletext"/>
            </w:pPr>
            <w:r w:rsidRPr="00E92189">
              <w:t>3 410</w:t>
            </w:r>
          </w:p>
        </w:tc>
        <w:tc>
          <w:tcPr>
            <w:tcW w:w="1849" w:type="dxa"/>
          </w:tcPr>
          <w:p w:rsidR="00D226C7" w:rsidRPr="00E92189" w:rsidRDefault="00D226C7" w:rsidP="00E92189">
            <w:pPr>
              <w:pStyle w:val="Tabletext"/>
            </w:pPr>
            <w:r w:rsidRPr="00E92189">
              <w:t>1 611</w:t>
            </w:r>
          </w:p>
        </w:tc>
      </w:tr>
      <w:tr w:rsidR="00D226C7" w:rsidRPr="00E92189" w:rsidTr="00D226C7">
        <w:tc>
          <w:tcPr>
            <w:tcW w:w="1848" w:type="dxa"/>
          </w:tcPr>
          <w:p w:rsidR="00D226C7" w:rsidRPr="00E92189" w:rsidRDefault="00D226C7" w:rsidP="00E92189">
            <w:pPr>
              <w:pStyle w:val="Tabletext"/>
            </w:pPr>
            <w:r w:rsidRPr="00E92189">
              <w:t>2010-11</w:t>
            </w:r>
          </w:p>
        </w:tc>
        <w:tc>
          <w:tcPr>
            <w:tcW w:w="1848" w:type="dxa"/>
          </w:tcPr>
          <w:p w:rsidR="00D226C7" w:rsidRPr="00E92189" w:rsidRDefault="00D226C7" w:rsidP="00E92189">
            <w:pPr>
              <w:pStyle w:val="Tabletext"/>
            </w:pPr>
            <w:r w:rsidRPr="00E92189">
              <w:t>17 480</w:t>
            </w:r>
          </w:p>
        </w:tc>
        <w:tc>
          <w:tcPr>
            <w:tcW w:w="1848" w:type="dxa"/>
          </w:tcPr>
          <w:p w:rsidR="00D226C7" w:rsidRPr="00E92189" w:rsidRDefault="00D226C7" w:rsidP="00E92189">
            <w:pPr>
              <w:pStyle w:val="Tabletext"/>
            </w:pPr>
            <w:r w:rsidRPr="00E92189">
              <w:t>2 724</w:t>
            </w:r>
          </w:p>
        </w:tc>
        <w:tc>
          <w:tcPr>
            <w:tcW w:w="1849" w:type="dxa"/>
          </w:tcPr>
          <w:p w:rsidR="00D226C7" w:rsidRPr="00E92189" w:rsidRDefault="00D226C7" w:rsidP="00E92189">
            <w:pPr>
              <w:pStyle w:val="Tabletext"/>
            </w:pPr>
            <w:r w:rsidRPr="00E92189">
              <w:t>1 411</w:t>
            </w:r>
          </w:p>
        </w:tc>
      </w:tr>
      <w:tr w:rsidR="00D226C7" w:rsidRPr="00E92189" w:rsidTr="00D226C7">
        <w:tc>
          <w:tcPr>
            <w:tcW w:w="1848" w:type="dxa"/>
          </w:tcPr>
          <w:p w:rsidR="00D226C7" w:rsidRPr="00E92189" w:rsidRDefault="00D226C7" w:rsidP="00E92189">
            <w:pPr>
              <w:pStyle w:val="Tabletext"/>
            </w:pPr>
            <w:r w:rsidRPr="00E92189">
              <w:t>2011-12</w:t>
            </w:r>
          </w:p>
        </w:tc>
        <w:tc>
          <w:tcPr>
            <w:tcW w:w="1848" w:type="dxa"/>
          </w:tcPr>
          <w:p w:rsidR="00D226C7" w:rsidRPr="00E92189" w:rsidRDefault="00D226C7" w:rsidP="00E92189">
            <w:pPr>
              <w:pStyle w:val="Tabletext"/>
            </w:pPr>
            <w:r w:rsidRPr="00E92189">
              <w:t>20 118</w:t>
            </w:r>
          </w:p>
        </w:tc>
        <w:tc>
          <w:tcPr>
            <w:tcW w:w="1848" w:type="dxa"/>
          </w:tcPr>
          <w:p w:rsidR="00D226C7" w:rsidRPr="00E92189" w:rsidRDefault="00D226C7" w:rsidP="00E92189">
            <w:pPr>
              <w:pStyle w:val="Tabletext"/>
            </w:pPr>
            <w:r w:rsidRPr="00E92189">
              <w:t>4 403</w:t>
            </w:r>
          </w:p>
        </w:tc>
        <w:tc>
          <w:tcPr>
            <w:tcW w:w="1849" w:type="dxa"/>
          </w:tcPr>
          <w:p w:rsidR="00D226C7" w:rsidRPr="00E92189" w:rsidRDefault="00D226C7" w:rsidP="00E92189">
            <w:pPr>
              <w:pStyle w:val="Tabletext"/>
            </w:pPr>
            <w:r w:rsidRPr="00E92189">
              <w:t>2 356</w:t>
            </w:r>
          </w:p>
        </w:tc>
      </w:tr>
      <w:tr w:rsidR="00D226C7" w:rsidRPr="00E92189" w:rsidTr="00D226C7">
        <w:tc>
          <w:tcPr>
            <w:tcW w:w="1848" w:type="dxa"/>
          </w:tcPr>
          <w:p w:rsidR="00D226C7" w:rsidRPr="00E92189" w:rsidRDefault="00D226C7" w:rsidP="00E92189">
            <w:pPr>
              <w:pStyle w:val="Tabletext"/>
            </w:pPr>
            <w:r w:rsidRPr="00E92189">
              <w:t>2012-13</w:t>
            </w:r>
          </w:p>
        </w:tc>
        <w:tc>
          <w:tcPr>
            <w:tcW w:w="1848" w:type="dxa"/>
          </w:tcPr>
          <w:p w:rsidR="00D226C7" w:rsidRPr="00E92189" w:rsidRDefault="00D226C7" w:rsidP="00E92189">
            <w:pPr>
              <w:pStyle w:val="Tabletext"/>
            </w:pPr>
            <w:r w:rsidRPr="00E92189">
              <w:t>7 520</w:t>
            </w:r>
          </w:p>
        </w:tc>
        <w:tc>
          <w:tcPr>
            <w:tcW w:w="1848" w:type="dxa"/>
          </w:tcPr>
          <w:p w:rsidR="00D226C7" w:rsidRPr="00E92189" w:rsidRDefault="00D226C7" w:rsidP="00E92189">
            <w:pPr>
              <w:pStyle w:val="Tabletext"/>
            </w:pPr>
            <w:r w:rsidRPr="00E92189">
              <w:t>3 129</w:t>
            </w:r>
          </w:p>
        </w:tc>
        <w:tc>
          <w:tcPr>
            <w:tcW w:w="1849" w:type="dxa"/>
          </w:tcPr>
          <w:p w:rsidR="00D226C7" w:rsidRPr="00E92189" w:rsidRDefault="00D226C7" w:rsidP="00E92189">
            <w:pPr>
              <w:pStyle w:val="Tabletext"/>
            </w:pPr>
            <w:r w:rsidRPr="00E92189">
              <w:t>1 572</w:t>
            </w:r>
          </w:p>
        </w:tc>
      </w:tr>
      <w:tr w:rsidR="00D226C7" w:rsidRPr="00E92189" w:rsidTr="00D226C7">
        <w:tc>
          <w:tcPr>
            <w:tcW w:w="1848" w:type="dxa"/>
          </w:tcPr>
          <w:p w:rsidR="00D226C7" w:rsidRPr="00E92189" w:rsidRDefault="00D226C7" w:rsidP="00E92189">
            <w:pPr>
              <w:pStyle w:val="Tabletext"/>
            </w:pPr>
            <w:r w:rsidRPr="00E92189">
              <w:t>2013-14</w:t>
            </w:r>
          </w:p>
        </w:tc>
        <w:tc>
          <w:tcPr>
            <w:tcW w:w="1848" w:type="dxa"/>
          </w:tcPr>
          <w:p w:rsidR="00D226C7" w:rsidRPr="00E92189" w:rsidRDefault="00D226C7" w:rsidP="00E92189">
            <w:pPr>
              <w:pStyle w:val="Tabletext"/>
            </w:pPr>
            <w:r w:rsidRPr="00E92189">
              <w:t>4 921</w:t>
            </w:r>
          </w:p>
        </w:tc>
        <w:tc>
          <w:tcPr>
            <w:tcW w:w="1848" w:type="dxa"/>
          </w:tcPr>
          <w:p w:rsidR="00D226C7" w:rsidRPr="00E92189" w:rsidRDefault="00D226C7" w:rsidP="00E92189">
            <w:pPr>
              <w:pStyle w:val="Tabletext"/>
            </w:pPr>
            <w:r w:rsidRPr="00E92189">
              <w:t>3 418</w:t>
            </w:r>
          </w:p>
        </w:tc>
        <w:tc>
          <w:tcPr>
            <w:tcW w:w="1849" w:type="dxa"/>
          </w:tcPr>
          <w:p w:rsidR="00D226C7" w:rsidRPr="00E92189" w:rsidRDefault="00D226C7" w:rsidP="00E92189">
            <w:pPr>
              <w:pStyle w:val="Tabletext"/>
            </w:pPr>
            <w:r w:rsidRPr="00E92189">
              <w:t>1 066</w:t>
            </w:r>
          </w:p>
        </w:tc>
      </w:tr>
      <w:tr w:rsidR="00D226C7" w:rsidRPr="00E92189" w:rsidTr="00D226C7">
        <w:tc>
          <w:tcPr>
            <w:tcW w:w="1848" w:type="dxa"/>
          </w:tcPr>
          <w:p w:rsidR="00D226C7" w:rsidRPr="00E92189" w:rsidRDefault="00D226C7" w:rsidP="00E92189">
            <w:pPr>
              <w:pStyle w:val="Tabletext"/>
            </w:pPr>
            <w:r w:rsidRPr="00E92189">
              <w:t>2014-15</w:t>
            </w:r>
          </w:p>
        </w:tc>
        <w:tc>
          <w:tcPr>
            <w:tcW w:w="1848" w:type="dxa"/>
          </w:tcPr>
          <w:p w:rsidR="00D226C7" w:rsidRPr="00E92189" w:rsidRDefault="00D226C7" w:rsidP="00E92189">
            <w:pPr>
              <w:pStyle w:val="Tabletext"/>
            </w:pPr>
            <w:r w:rsidRPr="00E92189">
              <w:t>7 555</w:t>
            </w:r>
          </w:p>
        </w:tc>
        <w:tc>
          <w:tcPr>
            <w:tcW w:w="1848" w:type="dxa"/>
          </w:tcPr>
          <w:p w:rsidR="00D226C7" w:rsidRPr="00E92189" w:rsidRDefault="00D226C7" w:rsidP="00E92189">
            <w:pPr>
              <w:pStyle w:val="Tabletext"/>
            </w:pPr>
            <w:r w:rsidRPr="00E92189">
              <w:t>4 575</w:t>
            </w:r>
          </w:p>
        </w:tc>
        <w:tc>
          <w:tcPr>
            <w:tcW w:w="1849" w:type="dxa"/>
          </w:tcPr>
          <w:p w:rsidR="00D226C7" w:rsidRPr="00E92189" w:rsidRDefault="00D226C7" w:rsidP="00E92189">
            <w:pPr>
              <w:pStyle w:val="Tabletext"/>
            </w:pPr>
            <w:r w:rsidRPr="00E92189">
              <w:t>1 404</w:t>
            </w:r>
          </w:p>
        </w:tc>
      </w:tr>
    </w:tbl>
    <w:p w:rsidR="00975582" w:rsidRDefault="00975582" w:rsidP="00975582">
      <w:pPr>
        <w:pStyle w:val="Heading3"/>
        <w:numPr>
          <w:ilvl w:val="0"/>
          <w:numId w:val="0"/>
        </w:numPr>
        <w:ind w:left="1021"/>
      </w:pPr>
    </w:p>
    <w:p w:rsidR="00E92189" w:rsidRDefault="00E92189" w:rsidP="00E92189"/>
    <w:p w:rsidR="00E92189" w:rsidRDefault="00E92189" w:rsidP="00E92189"/>
    <w:p w:rsidR="00E92189" w:rsidRDefault="00E92189" w:rsidP="00E92189"/>
    <w:p w:rsidR="00E92189" w:rsidRDefault="00E92189" w:rsidP="00E92189"/>
    <w:p w:rsidR="00E92189" w:rsidRDefault="00E92189" w:rsidP="00E92189"/>
    <w:p w:rsidR="00E92189" w:rsidRDefault="00E92189" w:rsidP="00E92189"/>
    <w:p w:rsidR="00E92189" w:rsidRDefault="00E92189" w:rsidP="00E92189"/>
    <w:p w:rsidR="00754D9C" w:rsidRDefault="00754D9C" w:rsidP="00E92189"/>
    <w:p w:rsidR="00754D9C" w:rsidRPr="00E92189" w:rsidRDefault="00754D9C" w:rsidP="00E92189"/>
    <w:p w:rsidR="00D226C7" w:rsidRPr="00D42745" w:rsidRDefault="00D226C7" w:rsidP="00D226C7">
      <w:pPr>
        <w:pStyle w:val="Heading3"/>
      </w:pPr>
      <w:bookmarkStart w:id="30" w:name="_Toc432765965"/>
      <w:bookmarkStart w:id="31" w:name="_Toc433026819"/>
      <w:r w:rsidRPr="00D42745">
        <w:lastRenderedPageBreak/>
        <w:t>Disconnections of customers experiencing financial difficulty</w:t>
      </w:r>
      <w:bookmarkEnd w:id="30"/>
      <w:bookmarkEnd w:id="31"/>
    </w:p>
    <w:p w:rsidR="00D226C7" w:rsidRPr="00D226C7" w:rsidRDefault="00D226C7" w:rsidP="00D226C7">
      <w:r w:rsidRPr="006A2263">
        <w:t>Table 2.14</w:t>
      </w:r>
      <w:r w:rsidRPr="00D226C7">
        <w:t xml:space="preserve"> </w:t>
      </w:r>
      <w:r w:rsidR="00A471C1">
        <w:t>provides</w:t>
      </w:r>
      <w:r w:rsidR="00A471C1" w:rsidRPr="00D226C7">
        <w:t xml:space="preserve"> </w:t>
      </w:r>
      <w:r w:rsidRPr="00D226C7">
        <w:t xml:space="preserve">further </w:t>
      </w:r>
      <w:r w:rsidR="00A471C1">
        <w:t xml:space="preserve">information about </w:t>
      </w:r>
      <w:r w:rsidRPr="00D226C7">
        <w:t xml:space="preserve"> residential customers disconnected in 2014-15.</w:t>
      </w:r>
    </w:p>
    <w:p w:rsidR="00D226C7" w:rsidRPr="006A2263" w:rsidRDefault="00D226C7" w:rsidP="00D226C7">
      <w:pPr>
        <w:pStyle w:val="Tabletitle"/>
      </w:pPr>
      <w:r w:rsidRPr="006A2263">
        <w:t xml:space="preserve">Table 2.14: Residential customer disconnections, 2014-15  </w:t>
      </w:r>
    </w:p>
    <w:tbl>
      <w:tblPr>
        <w:tblStyle w:val="TableGrid"/>
        <w:tblW w:w="0" w:type="auto"/>
        <w:tblLook w:val="04A0" w:firstRow="1" w:lastRow="0" w:firstColumn="1" w:lastColumn="0" w:noHBand="0" w:noVBand="1"/>
      </w:tblPr>
      <w:tblGrid>
        <w:gridCol w:w="4536"/>
        <w:gridCol w:w="992"/>
        <w:gridCol w:w="993"/>
        <w:gridCol w:w="992"/>
        <w:gridCol w:w="993"/>
      </w:tblGrid>
      <w:tr w:rsidR="00D226C7" w:rsidTr="00D22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bottom w:val="nil"/>
            </w:tcBorders>
            <w:shd w:val="clear" w:color="auto" w:fill="F2F2F2" w:themeFill="background1" w:themeFillShade="F2"/>
          </w:tcPr>
          <w:p w:rsidR="00D226C7" w:rsidRPr="006A2263" w:rsidRDefault="00D226C7" w:rsidP="00975582">
            <w:pPr>
              <w:pStyle w:val="Tabletext"/>
            </w:pPr>
            <w:r w:rsidRPr="006A2263">
              <w:t>Type of customer disconnected</w:t>
            </w:r>
          </w:p>
        </w:tc>
        <w:tc>
          <w:tcPr>
            <w:tcW w:w="1985" w:type="dxa"/>
            <w:gridSpan w:val="2"/>
            <w:tcBorders>
              <w:bottom w:val="nil"/>
            </w:tcBorders>
            <w:shd w:val="clear" w:color="auto" w:fill="F2F2F2" w:themeFill="background1" w:themeFillShade="F2"/>
          </w:tcPr>
          <w:p w:rsidR="00D226C7" w:rsidRPr="006A2263" w:rsidRDefault="00D226C7" w:rsidP="00975582">
            <w:pPr>
              <w:pStyle w:val="Tabletext"/>
              <w:cnfStyle w:val="100000000000" w:firstRow="1" w:lastRow="0" w:firstColumn="0" w:lastColumn="0" w:oddVBand="0" w:evenVBand="0" w:oddHBand="0" w:evenHBand="0" w:firstRowFirstColumn="0" w:firstRowLastColumn="0" w:lastRowFirstColumn="0" w:lastRowLastColumn="0"/>
            </w:pPr>
            <w:r w:rsidRPr="006A2263">
              <w:t>Electricity (% of disconnections)</w:t>
            </w:r>
          </w:p>
        </w:tc>
        <w:tc>
          <w:tcPr>
            <w:tcW w:w="1985" w:type="dxa"/>
            <w:gridSpan w:val="2"/>
            <w:tcBorders>
              <w:bottom w:val="nil"/>
            </w:tcBorders>
            <w:shd w:val="clear" w:color="auto" w:fill="F2F2F2" w:themeFill="background1" w:themeFillShade="F2"/>
          </w:tcPr>
          <w:p w:rsidR="00D226C7" w:rsidRPr="006A2263" w:rsidRDefault="00D226C7" w:rsidP="00975582">
            <w:pPr>
              <w:pStyle w:val="Tabletext"/>
              <w:cnfStyle w:val="100000000000" w:firstRow="1" w:lastRow="0" w:firstColumn="0" w:lastColumn="0" w:oddVBand="0" w:evenVBand="0" w:oddHBand="0" w:evenHBand="0" w:firstRowFirstColumn="0" w:firstRowLastColumn="0" w:lastRowFirstColumn="0" w:lastRowLastColumn="0"/>
            </w:pPr>
            <w:r w:rsidRPr="006A2263">
              <w:t>Gas (% of disconnections)</w:t>
            </w:r>
          </w:p>
        </w:tc>
      </w:tr>
      <w:tr w:rsidR="00D226C7" w:rsidTr="00D226C7">
        <w:tc>
          <w:tcPr>
            <w:cnfStyle w:val="001000000000" w:firstRow="0" w:lastRow="0" w:firstColumn="1" w:lastColumn="0" w:oddVBand="0" w:evenVBand="0" w:oddHBand="0" w:evenHBand="0" w:firstRowFirstColumn="0" w:firstRowLastColumn="0" w:lastRowFirstColumn="0" w:lastRowLastColumn="0"/>
            <w:tcW w:w="4536" w:type="dxa"/>
            <w:tcBorders>
              <w:top w:val="nil"/>
              <w:bottom w:val="single" w:sz="4" w:space="0" w:color="auto"/>
            </w:tcBorders>
          </w:tcPr>
          <w:p w:rsidR="00D226C7" w:rsidRPr="006D4C8B" w:rsidRDefault="00D226C7" w:rsidP="00975582">
            <w:pPr>
              <w:pStyle w:val="Tabletext"/>
              <w:rPr>
                <w:rStyle w:val="Strong"/>
              </w:rPr>
            </w:pPr>
            <w:r w:rsidRPr="006D4C8B">
              <w:rPr>
                <w:rStyle w:val="Strong"/>
              </w:rPr>
              <w:t>Customer had been on a payment plan in the previous 12 months</w:t>
            </w:r>
          </w:p>
        </w:tc>
        <w:tc>
          <w:tcPr>
            <w:tcW w:w="992" w:type="dxa"/>
            <w:tcBorders>
              <w:top w:val="nil"/>
              <w:bottom w:val="single" w:sz="4" w:space="0" w:color="auto"/>
            </w:tcBorders>
          </w:tcPr>
          <w:p w:rsidR="00D226C7" w:rsidRPr="00D226C7" w:rsidRDefault="00D226C7" w:rsidP="00975582">
            <w:pPr>
              <w:pStyle w:val="Tabletext"/>
              <w:cnfStyle w:val="000000000000" w:firstRow="0" w:lastRow="0" w:firstColumn="0" w:lastColumn="0" w:oddVBand="0" w:evenVBand="0" w:oddHBand="0" w:evenHBand="0" w:firstRowFirstColumn="0" w:firstRowLastColumn="0" w:lastRowFirstColumn="0" w:lastRowLastColumn="0"/>
            </w:pPr>
            <w:r>
              <w:t>25%</w:t>
            </w:r>
          </w:p>
        </w:tc>
        <w:tc>
          <w:tcPr>
            <w:tcW w:w="993" w:type="dxa"/>
            <w:tcBorders>
              <w:top w:val="nil"/>
              <w:bottom w:val="single" w:sz="4" w:space="0" w:color="auto"/>
            </w:tcBorders>
          </w:tcPr>
          <w:p w:rsidR="00D226C7" w:rsidRPr="00D226C7" w:rsidRDefault="00D226C7" w:rsidP="00975582">
            <w:pPr>
              <w:pStyle w:val="Tabletext"/>
              <w:cnfStyle w:val="000000000000" w:firstRow="0" w:lastRow="0" w:firstColumn="0" w:lastColumn="0" w:oddVBand="0" w:evenVBand="0" w:oddHBand="0" w:evenHBand="0" w:firstRowFirstColumn="0" w:firstRowLastColumn="0" w:lastRowFirstColumn="0" w:lastRowLastColumn="0"/>
            </w:pPr>
            <w:r w:rsidRPr="00D226C7">
              <w:t>▲6</w:t>
            </w:r>
          </w:p>
        </w:tc>
        <w:tc>
          <w:tcPr>
            <w:tcW w:w="992" w:type="dxa"/>
            <w:tcBorders>
              <w:top w:val="nil"/>
              <w:bottom w:val="single" w:sz="4" w:space="0" w:color="auto"/>
            </w:tcBorders>
          </w:tcPr>
          <w:p w:rsidR="00D226C7" w:rsidRPr="00D226C7" w:rsidRDefault="00D226C7" w:rsidP="00975582">
            <w:pPr>
              <w:pStyle w:val="Tabletext"/>
              <w:cnfStyle w:val="000000000000" w:firstRow="0" w:lastRow="0" w:firstColumn="0" w:lastColumn="0" w:oddVBand="0" w:evenVBand="0" w:oddHBand="0" w:evenHBand="0" w:firstRowFirstColumn="0" w:firstRowLastColumn="0" w:lastRowFirstColumn="0" w:lastRowLastColumn="0"/>
            </w:pPr>
            <w:r>
              <w:t>19%</w:t>
            </w:r>
          </w:p>
        </w:tc>
        <w:tc>
          <w:tcPr>
            <w:tcW w:w="993" w:type="dxa"/>
            <w:tcBorders>
              <w:top w:val="nil"/>
              <w:bottom w:val="single" w:sz="4" w:space="0" w:color="auto"/>
            </w:tcBorders>
          </w:tcPr>
          <w:p w:rsidR="00D226C7" w:rsidRPr="00D226C7" w:rsidRDefault="00D226C7" w:rsidP="00975582">
            <w:pPr>
              <w:pStyle w:val="Tabletext"/>
              <w:cnfStyle w:val="000000000000" w:firstRow="0" w:lastRow="0" w:firstColumn="0" w:lastColumn="0" w:oddVBand="0" w:evenVBand="0" w:oddHBand="0" w:evenHBand="0" w:firstRowFirstColumn="0" w:firstRowLastColumn="0" w:lastRowFirstColumn="0" w:lastRowLastColumn="0"/>
            </w:pPr>
            <w:r w:rsidRPr="00D226C7">
              <w:t>▲7</w:t>
            </w:r>
          </w:p>
        </w:tc>
      </w:tr>
      <w:tr w:rsidR="00D226C7" w:rsidTr="00D226C7">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bottom w:val="single" w:sz="4" w:space="0" w:color="auto"/>
            </w:tcBorders>
          </w:tcPr>
          <w:p w:rsidR="00D226C7" w:rsidRPr="006D4C8B" w:rsidRDefault="00D226C7" w:rsidP="00975582">
            <w:pPr>
              <w:pStyle w:val="Tabletext"/>
              <w:rPr>
                <w:rStyle w:val="Strong"/>
              </w:rPr>
            </w:pPr>
            <w:r w:rsidRPr="006D4C8B">
              <w:rPr>
                <w:rStyle w:val="Strong"/>
              </w:rPr>
              <w:t>Customer had been disconnected on more than one occasion in the previous 24 months</w:t>
            </w:r>
          </w:p>
        </w:tc>
        <w:tc>
          <w:tcPr>
            <w:tcW w:w="992" w:type="dxa"/>
            <w:tcBorders>
              <w:top w:val="single" w:sz="4" w:space="0" w:color="auto"/>
              <w:bottom w:val="single" w:sz="4" w:space="0" w:color="auto"/>
            </w:tcBorders>
          </w:tcPr>
          <w:p w:rsidR="00D226C7" w:rsidRPr="00D226C7" w:rsidRDefault="00D226C7" w:rsidP="00975582">
            <w:pPr>
              <w:pStyle w:val="Tabletext"/>
              <w:cnfStyle w:val="000000000000" w:firstRow="0" w:lastRow="0" w:firstColumn="0" w:lastColumn="0" w:oddVBand="0" w:evenVBand="0" w:oddHBand="0" w:evenHBand="0" w:firstRowFirstColumn="0" w:firstRowLastColumn="0" w:lastRowFirstColumn="0" w:lastRowLastColumn="0"/>
            </w:pPr>
            <w:r>
              <w:t>10%</w:t>
            </w:r>
          </w:p>
        </w:tc>
        <w:tc>
          <w:tcPr>
            <w:tcW w:w="993" w:type="dxa"/>
            <w:tcBorders>
              <w:top w:val="single" w:sz="4" w:space="0" w:color="auto"/>
              <w:bottom w:val="single" w:sz="4" w:space="0" w:color="auto"/>
            </w:tcBorders>
          </w:tcPr>
          <w:p w:rsidR="00D226C7" w:rsidRPr="00D226C7" w:rsidRDefault="00D226C7" w:rsidP="00975582">
            <w:pPr>
              <w:pStyle w:val="Tabletext"/>
              <w:cnfStyle w:val="000000000000" w:firstRow="0" w:lastRow="0" w:firstColumn="0" w:lastColumn="0" w:oddVBand="0" w:evenVBand="0" w:oddHBand="0" w:evenHBand="0" w:firstRowFirstColumn="0" w:firstRowLastColumn="0" w:lastRowFirstColumn="0" w:lastRowLastColumn="0"/>
            </w:pPr>
            <w:r w:rsidRPr="00D226C7">
              <w:t>▲4</w:t>
            </w:r>
          </w:p>
        </w:tc>
        <w:tc>
          <w:tcPr>
            <w:tcW w:w="992" w:type="dxa"/>
            <w:tcBorders>
              <w:top w:val="single" w:sz="4" w:space="0" w:color="auto"/>
              <w:bottom w:val="single" w:sz="4" w:space="0" w:color="auto"/>
            </w:tcBorders>
          </w:tcPr>
          <w:p w:rsidR="00D226C7" w:rsidRPr="00D226C7" w:rsidRDefault="00D226C7" w:rsidP="00975582">
            <w:pPr>
              <w:pStyle w:val="Tabletext"/>
              <w:cnfStyle w:val="000000000000" w:firstRow="0" w:lastRow="0" w:firstColumn="0" w:lastColumn="0" w:oddVBand="0" w:evenVBand="0" w:oddHBand="0" w:evenHBand="0" w:firstRowFirstColumn="0" w:firstRowLastColumn="0" w:lastRowFirstColumn="0" w:lastRowLastColumn="0"/>
            </w:pPr>
            <w:r>
              <w:t>6%</w:t>
            </w:r>
          </w:p>
        </w:tc>
        <w:tc>
          <w:tcPr>
            <w:tcW w:w="993" w:type="dxa"/>
            <w:tcBorders>
              <w:top w:val="single" w:sz="4" w:space="0" w:color="auto"/>
              <w:bottom w:val="single" w:sz="4" w:space="0" w:color="auto"/>
            </w:tcBorders>
          </w:tcPr>
          <w:p w:rsidR="00D226C7" w:rsidRPr="00D226C7" w:rsidRDefault="00D226C7" w:rsidP="00975582">
            <w:pPr>
              <w:pStyle w:val="Tabletext"/>
              <w:cnfStyle w:val="000000000000" w:firstRow="0" w:lastRow="0" w:firstColumn="0" w:lastColumn="0" w:oddVBand="0" w:evenVBand="0" w:oddHBand="0" w:evenHBand="0" w:firstRowFirstColumn="0" w:firstRowLastColumn="0" w:lastRowFirstColumn="0" w:lastRowLastColumn="0"/>
            </w:pPr>
            <w:r w:rsidRPr="00D226C7">
              <w:t>▲2</w:t>
            </w:r>
          </w:p>
        </w:tc>
      </w:tr>
      <w:tr w:rsidR="00D226C7" w:rsidTr="00D226C7">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bottom w:val="single" w:sz="4" w:space="0" w:color="auto"/>
            </w:tcBorders>
          </w:tcPr>
          <w:p w:rsidR="00D226C7" w:rsidRPr="006D4C8B" w:rsidRDefault="00D226C7" w:rsidP="00975582">
            <w:pPr>
              <w:pStyle w:val="Tabletext"/>
              <w:rPr>
                <w:rStyle w:val="Strong"/>
              </w:rPr>
            </w:pPr>
            <w:r w:rsidRPr="006D4C8B">
              <w:rPr>
                <w:rStyle w:val="Strong"/>
              </w:rPr>
              <w:t>Customer was receiving an energy concession</w:t>
            </w:r>
          </w:p>
        </w:tc>
        <w:tc>
          <w:tcPr>
            <w:tcW w:w="992" w:type="dxa"/>
            <w:tcBorders>
              <w:top w:val="single" w:sz="4" w:space="0" w:color="auto"/>
              <w:bottom w:val="single" w:sz="4" w:space="0" w:color="auto"/>
            </w:tcBorders>
          </w:tcPr>
          <w:p w:rsidR="00D226C7" w:rsidRPr="00D226C7" w:rsidRDefault="00D226C7" w:rsidP="00975582">
            <w:pPr>
              <w:pStyle w:val="Tabletext"/>
              <w:cnfStyle w:val="000000000000" w:firstRow="0" w:lastRow="0" w:firstColumn="0" w:lastColumn="0" w:oddVBand="0" w:evenVBand="0" w:oddHBand="0" w:evenHBand="0" w:firstRowFirstColumn="0" w:firstRowLastColumn="0" w:lastRowFirstColumn="0" w:lastRowLastColumn="0"/>
            </w:pPr>
            <w:r>
              <w:t>26%</w:t>
            </w:r>
          </w:p>
        </w:tc>
        <w:tc>
          <w:tcPr>
            <w:tcW w:w="993" w:type="dxa"/>
            <w:tcBorders>
              <w:top w:val="single" w:sz="4" w:space="0" w:color="auto"/>
              <w:bottom w:val="single" w:sz="4" w:space="0" w:color="auto"/>
            </w:tcBorders>
          </w:tcPr>
          <w:p w:rsidR="00D226C7" w:rsidRPr="00D226C7" w:rsidRDefault="00D226C7" w:rsidP="00975582">
            <w:pPr>
              <w:pStyle w:val="Tabletext"/>
              <w:cnfStyle w:val="000000000000" w:firstRow="0" w:lastRow="0" w:firstColumn="0" w:lastColumn="0" w:oddVBand="0" w:evenVBand="0" w:oddHBand="0" w:evenHBand="0" w:firstRowFirstColumn="0" w:firstRowLastColumn="0" w:lastRowFirstColumn="0" w:lastRowLastColumn="0"/>
            </w:pPr>
            <w:r w:rsidRPr="00D226C7">
              <w:t>▲5</w:t>
            </w:r>
          </w:p>
        </w:tc>
        <w:tc>
          <w:tcPr>
            <w:tcW w:w="992" w:type="dxa"/>
            <w:tcBorders>
              <w:top w:val="single" w:sz="4" w:space="0" w:color="auto"/>
              <w:bottom w:val="single" w:sz="4" w:space="0" w:color="auto"/>
            </w:tcBorders>
          </w:tcPr>
          <w:p w:rsidR="00D226C7" w:rsidRPr="00D226C7" w:rsidRDefault="00D226C7" w:rsidP="00975582">
            <w:pPr>
              <w:pStyle w:val="Tabletext"/>
              <w:cnfStyle w:val="000000000000" w:firstRow="0" w:lastRow="0" w:firstColumn="0" w:lastColumn="0" w:oddVBand="0" w:evenVBand="0" w:oddHBand="0" w:evenHBand="0" w:firstRowFirstColumn="0" w:firstRowLastColumn="0" w:lastRowFirstColumn="0" w:lastRowLastColumn="0"/>
            </w:pPr>
            <w:r>
              <w:t>N/A</w:t>
            </w:r>
            <w:r w:rsidRPr="00D226C7">
              <w:rPr>
                <w:rStyle w:val="FootnoteReference"/>
              </w:rPr>
              <w:footnoteReference w:id="22"/>
            </w:r>
          </w:p>
        </w:tc>
        <w:tc>
          <w:tcPr>
            <w:tcW w:w="993" w:type="dxa"/>
            <w:tcBorders>
              <w:top w:val="single" w:sz="4" w:space="0" w:color="auto"/>
              <w:bottom w:val="single" w:sz="4" w:space="0" w:color="auto"/>
            </w:tcBorders>
          </w:tcPr>
          <w:p w:rsidR="00D226C7" w:rsidRPr="006A2263" w:rsidRDefault="00D226C7" w:rsidP="00975582">
            <w:pPr>
              <w:pStyle w:val="Tabletext"/>
              <w:cnfStyle w:val="000000000000" w:firstRow="0" w:lastRow="0" w:firstColumn="0" w:lastColumn="0" w:oddVBand="0" w:evenVBand="0" w:oddHBand="0" w:evenHBand="0" w:firstRowFirstColumn="0" w:firstRowLastColumn="0" w:lastRowFirstColumn="0" w:lastRowLastColumn="0"/>
            </w:pPr>
          </w:p>
        </w:tc>
      </w:tr>
      <w:tr w:rsidR="00D226C7" w:rsidTr="00D226C7">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bottom w:val="single" w:sz="4" w:space="0" w:color="BFBFBF" w:themeColor="background1" w:themeShade="BF"/>
            </w:tcBorders>
          </w:tcPr>
          <w:p w:rsidR="00D226C7" w:rsidRPr="006D4C8B" w:rsidRDefault="00D226C7" w:rsidP="00975582">
            <w:pPr>
              <w:pStyle w:val="Tabletext"/>
              <w:rPr>
                <w:rStyle w:val="Strong"/>
              </w:rPr>
            </w:pPr>
            <w:r w:rsidRPr="006D4C8B">
              <w:rPr>
                <w:rStyle w:val="Strong"/>
              </w:rPr>
              <w:t>Customer was on a hardship program</w:t>
            </w:r>
          </w:p>
        </w:tc>
        <w:tc>
          <w:tcPr>
            <w:tcW w:w="992" w:type="dxa"/>
            <w:tcBorders>
              <w:top w:val="single" w:sz="4" w:space="0" w:color="auto"/>
              <w:bottom w:val="single" w:sz="4" w:space="0" w:color="BFBFBF" w:themeColor="background1" w:themeShade="BF"/>
            </w:tcBorders>
          </w:tcPr>
          <w:p w:rsidR="00D226C7" w:rsidRPr="00D226C7" w:rsidRDefault="00D226C7" w:rsidP="00975582">
            <w:pPr>
              <w:pStyle w:val="Tabletext"/>
              <w:cnfStyle w:val="000000000000" w:firstRow="0" w:lastRow="0" w:firstColumn="0" w:lastColumn="0" w:oddVBand="0" w:evenVBand="0" w:oddHBand="0" w:evenHBand="0" w:firstRowFirstColumn="0" w:firstRowLastColumn="0" w:lastRowFirstColumn="0" w:lastRowLastColumn="0"/>
            </w:pPr>
            <w:r>
              <w:t>&lt;1%</w:t>
            </w:r>
          </w:p>
        </w:tc>
        <w:tc>
          <w:tcPr>
            <w:tcW w:w="993" w:type="dxa"/>
            <w:tcBorders>
              <w:top w:val="single" w:sz="4" w:space="0" w:color="auto"/>
              <w:bottom w:val="single" w:sz="4" w:space="0" w:color="BFBFBF" w:themeColor="background1" w:themeShade="BF"/>
            </w:tcBorders>
          </w:tcPr>
          <w:p w:rsidR="00D226C7" w:rsidRPr="00D226C7" w:rsidRDefault="00D226C7" w:rsidP="00975582">
            <w:pPr>
              <w:pStyle w:val="Tabletext"/>
              <w:cnfStyle w:val="000000000000" w:firstRow="0" w:lastRow="0" w:firstColumn="0" w:lastColumn="0" w:oddVBand="0" w:evenVBand="0" w:oddHBand="0" w:evenHBand="0" w:firstRowFirstColumn="0" w:firstRowLastColumn="0" w:lastRowFirstColumn="0" w:lastRowLastColumn="0"/>
            </w:pPr>
            <w:r w:rsidRPr="00D226C7">
              <w:t>●</w:t>
            </w:r>
          </w:p>
        </w:tc>
        <w:tc>
          <w:tcPr>
            <w:tcW w:w="992" w:type="dxa"/>
            <w:tcBorders>
              <w:top w:val="single" w:sz="4" w:space="0" w:color="auto"/>
              <w:bottom w:val="single" w:sz="4" w:space="0" w:color="BFBFBF" w:themeColor="background1" w:themeShade="BF"/>
            </w:tcBorders>
          </w:tcPr>
          <w:p w:rsidR="00D226C7" w:rsidRPr="00D226C7" w:rsidRDefault="00D226C7" w:rsidP="00975582">
            <w:pPr>
              <w:pStyle w:val="Tabletext"/>
              <w:cnfStyle w:val="000000000000" w:firstRow="0" w:lastRow="0" w:firstColumn="0" w:lastColumn="0" w:oddVBand="0" w:evenVBand="0" w:oddHBand="0" w:evenHBand="0" w:firstRowFirstColumn="0" w:firstRowLastColumn="0" w:lastRowFirstColumn="0" w:lastRowLastColumn="0"/>
            </w:pPr>
            <w:r>
              <w:t>&lt;1%</w:t>
            </w:r>
          </w:p>
        </w:tc>
        <w:tc>
          <w:tcPr>
            <w:tcW w:w="993" w:type="dxa"/>
            <w:tcBorders>
              <w:top w:val="single" w:sz="4" w:space="0" w:color="auto"/>
              <w:bottom w:val="single" w:sz="4" w:space="0" w:color="BFBFBF" w:themeColor="background1" w:themeShade="BF"/>
            </w:tcBorders>
          </w:tcPr>
          <w:p w:rsidR="00D226C7" w:rsidRPr="00D226C7" w:rsidRDefault="00D226C7" w:rsidP="00975582">
            <w:pPr>
              <w:pStyle w:val="Tabletext"/>
              <w:cnfStyle w:val="000000000000" w:firstRow="0" w:lastRow="0" w:firstColumn="0" w:lastColumn="0" w:oddVBand="0" w:evenVBand="0" w:oddHBand="0" w:evenHBand="0" w:firstRowFirstColumn="0" w:firstRowLastColumn="0" w:lastRowFirstColumn="0" w:lastRowLastColumn="0"/>
            </w:pPr>
            <w:r w:rsidRPr="00D226C7">
              <w:t>●</w:t>
            </w:r>
          </w:p>
        </w:tc>
      </w:tr>
    </w:tbl>
    <w:p w:rsidR="00D226C7" w:rsidRPr="00D226C7" w:rsidRDefault="00D226C7" w:rsidP="00D226C7">
      <w:r w:rsidRPr="00D42745">
        <w:t>As discussed earlier in this report, a small number of res</w:t>
      </w:r>
      <w:r w:rsidRPr="00D226C7">
        <w:t>idential customers in Tasmania use prepayment meters (</w:t>
      </w:r>
      <w:r w:rsidR="000C5E5F">
        <w:t>PAYG</w:t>
      </w:r>
      <w:r w:rsidRPr="00D226C7">
        <w:t xml:space="preserve">) to manage their electricity account. Around half of the customers that use </w:t>
      </w:r>
      <w:r w:rsidR="000C5E5F">
        <w:t>PAYG</w:t>
      </w:r>
      <w:r w:rsidR="000C5E5F" w:rsidRPr="00D226C7">
        <w:t xml:space="preserve"> </w:t>
      </w:r>
      <w:r w:rsidRPr="00D226C7">
        <w:t xml:space="preserve">also receive energy concessions. Table 2.15 shows the number of customers using </w:t>
      </w:r>
      <w:r w:rsidR="000C5E5F">
        <w:t>PAYG</w:t>
      </w:r>
      <w:r w:rsidR="000C5E5F" w:rsidRPr="00D226C7">
        <w:t xml:space="preserve"> </w:t>
      </w:r>
      <w:r w:rsidRPr="00D226C7">
        <w:t>(as at the end of June), as well as the number and length of self-disconnections</w:t>
      </w:r>
      <w:r w:rsidRPr="00891A88">
        <w:rPr>
          <w:rStyle w:val="Superscript"/>
        </w:rPr>
        <w:footnoteReference w:id="23"/>
      </w:r>
      <w:r w:rsidRPr="00D226C7">
        <w:t xml:space="preserve"> that occurred in each of the last three years. </w:t>
      </w:r>
    </w:p>
    <w:p w:rsidR="00D226C7" w:rsidRPr="003E45F6" w:rsidRDefault="00D226C7" w:rsidP="00D226C7">
      <w:pPr>
        <w:pStyle w:val="Tabletitle"/>
      </w:pPr>
      <w:r w:rsidRPr="003E45F6">
        <w:t>Table 2.1</w:t>
      </w:r>
      <w:r>
        <w:t>5</w:t>
      </w:r>
      <w:r w:rsidRPr="003E45F6">
        <w:t>: Disconnection of customers using prepayment meters in Tasmania</w:t>
      </w:r>
    </w:p>
    <w:tbl>
      <w:tblPr>
        <w:tblW w:w="0" w:type="auto"/>
        <w:tblLook w:val="04A0" w:firstRow="1" w:lastRow="0" w:firstColumn="1" w:lastColumn="0" w:noHBand="0" w:noVBand="1"/>
      </w:tblPr>
      <w:tblGrid>
        <w:gridCol w:w="959"/>
        <w:gridCol w:w="1276"/>
        <w:gridCol w:w="2693"/>
        <w:gridCol w:w="2126"/>
        <w:gridCol w:w="2188"/>
      </w:tblGrid>
      <w:tr w:rsidR="00D226C7" w:rsidRPr="00975582" w:rsidTr="002C6360">
        <w:tc>
          <w:tcPr>
            <w:tcW w:w="959" w:type="dxa"/>
            <w:shd w:val="clear" w:color="auto" w:fill="F2F2F2" w:themeFill="background1" w:themeFillShade="F2"/>
          </w:tcPr>
          <w:p w:rsidR="00D226C7" w:rsidRPr="00975582" w:rsidRDefault="00D226C7" w:rsidP="00975582">
            <w:pPr>
              <w:pStyle w:val="Tabletext"/>
            </w:pPr>
          </w:p>
        </w:tc>
        <w:tc>
          <w:tcPr>
            <w:tcW w:w="1276" w:type="dxa"/>
            <w:shd w:val="clear" w:color="auto" w:fill="F2F2F2" w:themeFill="background1" w:themeFillShade="F2"/>
          </w:tcPr>
          <w:p w:rsidR="00D226C7" w:rsidRPr="009D1691" w:rsidRDefault="00D226C7" w:rsidP="002C6360">
            <w:pPr>
              <w:pStyle w:val="Tabletext"/>
              <w:rPr>
                <w:rStyle w:val="Strong"/>
              </w:rPr>
            </w:pPr>
            <w:r w:rsidRPr="009D1691">
              <w:rPr>
                <w:rStyle w:val="Strong"/>
              </w:rPr>
              <w:t xml:space="preserve">Customers with </w:t>
            </w:r>
            <w:r w:rsidR="002C6360">
              <w:rPr>
                <w:rStyle w:val="Strong"/>
              </w:rPr>
              <w:t>PAYG</w:t>
            </w:r>
          </w:p>
        </w:tc>
        <w:tc>
          <w:tcPr>
            <w:tcW w:w="2693" w:type="dxa"/>
            <w:shd w:val="clear" w:color="auto" w:fill="F2F2F2" w:themeFill="background1" w:themeFillShade="F2"/>
          </w:tcPr>
          <w:p w:rsidR="00D226C7" w:rsidRPr="009D1691" w:rsidRDefault="002C6360" w:rsidP="00975582">
            <w:pPr>
              <w:pStyle w:val="Tabletext"/>
              <w:rPr>
                <w:rStyle w:val="Strong"/>
              </w:rPr>
            </w:pPr>
            <w:r>
              <w:rPr>
                <w:rStyle w:val="Strong"/>
              </w:rPr>
              <w:t>PAYG systems</w:t>
            </w:r>
            <w:r w:rsidRPr="009D1691">
              <w:rPr>
                <w:rStyle w:val="Strong"/>
              </w:rPr>
              <w:t xml:space="preserve"> </w:t>
            </w:r>
            <w:r w:rsidR="00D226C7" w:rsidRPr="009D1691">
              <w:rPr>
                <w:rStyle w:val="Strong"/>
              </w:rPr>
              <w:t>capable of detecting and reporting self-disconnections</w:t>
            </w:r>
          </w:p>
        </w:tc>
        <w:tc>
          <w:tcPr>
            <w:tcW w:w="2126" w:type="dxa"/>
            <w:shd w:val="clear" w:color="auto" w:fill="F2F2F2" w:themeFill="background1" w:themeFillShade="F2"/>
          </w:tcPr>
          <w:p w:rsidR="00D226C7" w:rsidRPr="009D1691" w:rsidRDefault="00D226C7" w:rsidP="00975582">
            <w:pPr>
              <w:pStyle w:val="Tabletext"/>
              <w:rPr>
                <w:rStyle w:val="Strong"/>
              </w:rPr>
            </w:pPr>
            <w:r w:rsidRPr="009D1691">
              <w:rPr>
                <w:rStyle w:val="Strong"/>
              </w:rPr>
              <w:t>Self-disconnection events</w:t>
            </w:r>
          </w:p>
        </w:tc>
        <w:tc>
          <w:tcPr>
            <w:tcW w:w="2188" w:type="dxa"/>
            <w:shd w:val="clear" w:color="auto" w:fill="F2F2F2" w:themeFill="background1" w:themeFillShade="F2"/>
          </w:tcPr>
          <w:p w:rsidR="00D226C7" w:rsidRPr="009D1691" w:rsidRDefault="00D226C7" w:rsidP="00975582">
            <w:pPr>
              <w:pStyle w:val="Tabletext"/>
              <w:rPr>
                <w:rStyle w:val="Strong"/>
              </w:rPr>
            </w:pPr>
            <w:r w:rsidRPr="009D1691">
              <w:rPr>
                <w:rStyle w:val="Strong"/>
              </w:rPr>
              <w:t>Average duration of self-disconnections (mins)</w:t>
            </w:r>
          </w:p>
        </w:tc>
      </w:tr>
      <w:tr w:rsidR="00D226C7" w:rsidRPr="00975582" w:rsidTr="002C6360">
        <w:tc>
          <w:tcPr>
            <w:tcW w:w="959" w:type="dxa"/>
            <w:tcBorders>
              <w:top w:val="single" w:sz="4" w:space="0" w:color="BFBFBF" w:themeColor="background1" w:themeShade="BF"/>
              <w:bottom w:val="single" w:sz="4" w:space="0" w:color="auto"/>
            </w:tcBorders>
          </w:tcPr>
          <w:p w:rsidR="00D226C7" w:rsidRPr="00975582" w:rsidRDefault="00D226C7" w:rsidP="00975582">
            <w:pPr>
              <w:pStyle w:val="Tabletext"/>
            </w:pPr>
            <w:r w:rsidRPr="00975582">
              <w:t>2012-13</w:t>
            </w:r>
          </w:p>
        </w:tc>
        <w:tc>
          <w:tcPr>
            <w:tcW w:w="1276" w:type="dxa"/>
            <w:tcBorders>
              <w:top w:val="single" w:sz="4" w:space="0" w:color="BFBFBF" w:themeColor="background1" w:themeShade="BF"/>
              <w:bottom w:val="single" w:sz="4" w:space="0" w:color="auto"/>
            </w:tcBorders>
          </w:tcPr>
          <w:p w:rsidR="00D226C7" w:rsidRPr="00975582" w:rsidRDefault="00D226C7" w:rsidP="00975582">
            <w:pPr>
              <w:pStyle w:val="Tabletext"/>
            </w:pPr>
            <w:r w:rsidRPr="00975582">
              <w:t>33 158</w:t>
            </w:r>
          </w:p>
        </w:tc>
        <w:tc>
          <w:tcPr>
            <w:tcW w:w="2693" w:type="dxa"/>
            <w:tcBorders>
              <w:top w:val="single" w:sz="4" w:space="0" w:color="BFBFBF" w:themeColor="background1" w:themeShade="BF"/>
              <w:bottom w:val="single" w:sz="4" w:space="0" w:color="auto"/>
            </w:tcBorders>
          </w:tcPr>
          <w:p w:rsidR="00D226C7" w:rsidRPr="00975582" w:rsidRDefault="00D226C7" w:rsidP="00975582">
            <w:pPr>
              <w:pStyle w:val="Tabletext"/>
            </w:pPr>
            <w:r w:rsidRPr="00975582">
              <w:t>4 662</w:t>
            </w:r>
          </w:p>
        </w:tc>
        <w:tc>
          <w:tcPr>
            <w:tcW w:w="2126" w:type="dxa"/>
            <w:tcBorders>
              <w:top w:val="single" w:sz="4" w:space="0" w:color="BFBFBF" w:themeColor="background1" w:themeShade="BF"/>
              <w:bottom w:val="single" w:sz="4" w:space="0" w:color="auto"/>
            </w:tcBorders>
          </w:tcPr>
          <w:p w:rsidR="00D226C7" w:rsidRPr="00975582" w:rsidRDefault="00D226C7" w:rsidP="00975582">
            <w:pPr>
              <w:pStyle w:val="Tabletext"/>
            </w:pPr>
            <w:r w:rsidRPr="00975582">
              <w:t>1 068</w:t>
            </w:r>
          </w:p>
        </w:tc>
        <w:tc>
          <w:tcPr>
            <w:tcW w:w="2188" w:type="dxa"/>
            <w:tcBorders>
              <w:top w:val="single" w:sz="4" w:space="0" w:color="BFBFBF" w:themeColor="background1" w:themeShade="BF"/>
              <w:bottom w:val="single" w:sz="4" w:space="0" w:color="auto"/>
            </w:tcBorders>
          </w:tcPr>
          <w:p w:rsidR="00D226C7" w:rsidRPr="00975582" w:rsidRDefault="00D226C7" w:rsidP="00975582">
            <w:pPr>
              <w:pStyle w:val="Tabletext"/>
            </w:pPr>
            <w:r w:rsidRPr="00975582">
              <w:t>225</w:t>
            </w:r>
          </w:p>
        </w:tc>
      </w:tr>
      <w:tr w:rsidR="00D226C7" w:rsidRPr="00975582" w:rsidTr="002C6360">
        <w:tc>
          <w:tcPr>
            <w:tcW w:w="959" w:type="dxa"/>
            <w:tcBorders>
              <w:top w:val="single" w:sz="4" w:space="0" w:color="auto"/>
              <w:bottom w:val="single" w:sz="4" w:space="0" w:color="auto"/>
            </w:tcBorders>
          </w:tcPr>
          <w:p w:rsidR="00D226C7" w:rsidRPr="00975582" w:rsidRDefault="00D226C7" w:rsidP="00975582">
            <w:pPr>
              <w:pStyle w:val="Tabletext"/>
            </w:pPr>
            <w:r w:rsidRPr="00975582">
              <w:t>2013-14</w:t>
            </w:r>
          </w:p>
        </w:tc>
        <w:tc>
          <w:tcPr>
            <w:tcW w:w="1276" w:type="dxa"/>
            <w:tcBorders>
              <w:top w:val="single" w:sz="4" w:space="0" w:color="auto"/>
              <w:bottom w:val="single" w:sz="4" w:space="0" w:color="auto"/>
            </w:tcBorders>
          </w:tcPr>
          <w:p w:rsidR="00D226C7" w:rsidRPr="00975582" w:rsidRDefault="00D226C7" w:rsidP="00975582">
            <w:pPr>
              <w:pStyle w:val="Tabletext"/>
            </w:pPr>
            <w:r w:rsidRPr="00975582">
              <w:t xml:space="preserve">30 640 </w:t>
            </w:r>
          </w:p>
        </w:tc>
        <w:tc>
          <w:tcPr>
            <w:tcW w:w="2693" w:type="dxa"/>
            <w:tcBorders>
              <w:top w:val="single" w:sz="4" w:space="0" w:color="auto"/>
              <w:bottom w:val="single" w:sz="4" w:space="0" w:color="auto"/>
            </w:tcBorders>
          </w:tcPr>
          <w:p w:rsidR="00D226C7" w:rsidRPr="00975582" w:rsidRDefault="00D226C7" w:rsidP="00975582">
            <w:pPr>
              <w:pStyle w:val="Tabletext"/>
            </w:pPr>
            <w:r w:rsidRPr="00975582">
              <w:t>7 194</w:t>
            </w:r>
          </w:p>
        </w:tc>
        <w:tc>
          <w:tcPr>
            <w:tcW w:w="2126" w:type="dxa"/>
            <w:tcBorders>
              <w:top w:val="single" w:sz="4" w:space="0" w:color="auto"/>
              <w:bottom w:val="single" w:sz="4" w:space="0" w:color="auto"/>
            </w:tcBorders>
          </w:tcPr>
          <w:p w:rsidR="00D226C7" w:rsidRPr="00975582" w:rsidRDefault="00D226C7" w:rsidP="00975582">
            <w:pPr>
              <w:pStyle w:val="Tabletext"/>
            </w:pPr>
            <w:r w:rsidRPr="00975582">
              <w:t>2 069</w:t>
            </w:r>
          </w:p>
        </w:tc>
        <w:tc>
          <w:tcPr>
            <w:tcW w:w="2188" w:type="dxa"/>
            <w:tcBorders>
              <w:top w:val="single" w:sz="4" w:space="0" w:color="auto"/>
              <w:bottom w:val="single" w:sz="4" w:space="0" w:color="auto"/>
            </w:tcBorders>
          </w:tcPr>
          <w:p w:rsidR="00D226C7" w:rsidRPr="00975582" w:rsidRDefault="00D226C7" w:rsidP="00975582">
            <w:pPr>
              <w:pStyle w:val="Tabletext"/>
            </w:pPr>
            <w:r w:rsidRPr="00975582">
              <w:t>287</w:t>
            </w:r>
          </w:p>
        </w:tc>
      </w:tr>
      <w:tr w:rsidR="00D226C7" w:rsidRPr="00975582" w:rsidTr="002C6360">
        <w:tc>
          <w:tcPr>
            <w:tcW w:w="959" w:type="dxa"/>
            <w:tcBorders>
              <w:top w:val="single" w:sz="4" w:space="0" w:color="auto"/>
              <w:bottom w:val="single" w:sz="4" w:space="0" w:color="BFBFBF" w:themeColor="background1" w:themeShade="BF"/>
            </w:tcBorders>
          </w:tcPr>
          <w:p w:rsidR="00D226C7" w:rsidRPr="00975582" w:rsidRDefault="00D226C7" w:rsidP="00975582">
            <w:pPr>
              <w:pStyle w:val="Tabletext"/>
            </w:pPr>
            <w:r w:rsidRPr="00975582">
              <w:t>2014-15</w:t>
            </w:r>
          </w:p>
        </w:tc>
        <w:tc>
          <w:tcPr>
            <w:tcW w:w="1276" w:type="dxa"/>
            <w:tcBorders>
              <w:top w:val="single" w:sz="4" w:space="0" w:color="auto"/>
              <w:bottom w:val="single" w:sz="4" w:space="0" w:color="BFBFBF" w:themeColor="background1" w:themeShade="BF"/>
            </w:tcBorders>
          </w:tcPr>
          <w:p w:rsidR="00D226C7" w:rsidRPr="00975582" w:rsidRDefault="00D226C7" w:rsidP="00975582">
            <w:pPr>
              <w:pStyle w:val="Tabletext"/>
            </w:pPr>
            <w:r w:rsidRPr="00975582">
              <w:t>29 612</w:t>
            </w:r>
          </w:p>
        </w:tc>
        <w:tc>
          <w:tcPr>
            <w:tcW w:w="2693" w:type="dxa"/>
            <w:tcBorders>
              <w:top w:val="single" w:sz="4" w:space="0" w:color="auto"/>
              <w:bottom w:val="single" w:sz="4" w:space="0" w:color="BFBFBF" w:themeColor="background1" w:themeShade="BF"/>
            </w:tcBorders>
          </w:tcPr>
          <w:p w:rsidR="00D226C7" w:rsidRPr="00975582" w:rsidRDefault="00D226C7" w:rsidP="00975582">
            <w:pPr>
              <w:pStyle w:val="Tabletext"/>
            </w:pPr>
            <w:r w:rsidRPr="00975582">
              <w:t>8 902</w:t>
            </w:r>
          </w:p>
        </w:tc>
        <w:tc>
          <w:tcPr>
            <w:tcW w:w="2126" w:type="dxa"/>
            <w:tcBorders>
              <w:top w:val="single" w:sz="4" w:space="0" w:color="auto"/>
              <w:bottom w:val="single" w:sz="4" w:space="0" w:color="BFBFBF" w:themeColor="background1" w:themeShade="BF"/>
            </w:tcBorders>
          </w:tcPr>
          <w:p w:rsidR="00D226C7" w:rsidRPr="00975582" w:rsidRDefault="00D226C7" w:rsidP="00975582">
            <w:pPr>
              <w:pStyle w:val="Tabletext"/>
            </w:pPr>
            <w:r w:rsidRPr="00975582">
              <w:t>2 632</w:t>
            </w:r>
          </w:p>
        </w:tc>
        <w:tc>
          <w:tcPr>
            <w:tcW w:w="2188" w:type="dxa"/>
            <w:tcBorders>
              <w:top w:val="single" w:sz="4" w:space="0" w:color="auto"/>
              <w:bottom w:val="single" w:sz="4" w:space="0" w:color="BFBFBF" w:themeColor="background1" w:themeShade="BF"/>
            </w:tcBorders>
          </w:tcPr>
          <w:p w:rsidR="00D226C7" w:rsidRPr="00975582" w:rsidRDefault="00D226C7" w:rsidP="00975582">
            <w:pPr>
              <w:pStyle w:val="Tabletext"/>
            </w:pPr>
            <w:r w:rsidRPr="00975582">
              <w:t>325</w:t>
            </w:r>
          </w:p>
        </w:tc>
      </w:tr>
    </w:tbl>
    <w:p w:rsidR="00D226C7" w:rsidRPr="00D42745" w:rsidRDefault="00D226C7" w:rsidP="00D226C7">
      <w:pPr>
        <w:pStyle w:val="Heading2"/>
      </w:pPr>
      <w:bookmarkStart w:id="32" w:name="_Toc433026820"/>
      <w:r w:rsidRPr="00D42745">
        <w:t>Energy concessions</w:t>
      </w:r>
      <w:bookmarkEnd w:id="32"/>
    </w:p>
    <w:p w:rsidR="00D226C7" w:rsidRPr="00D42745" w:rsidRDefault="00D226C7" w:rsidP="00D226C7">
      <w:r w:rsidRPr="00D42745">
        <w:t>A concession is a reduction, discount, subsidy, rebate, waiver or exemption provided by the government on the value of goods and services. It may be offered to a household, family or individual, and is generally provided on the basis of low income, special needs of disadvantage or some other category such as age or war service. Energy concessions are provide</w:t>
      </w:r>
      <w:r w:rsidR="006E5A69">
        <w:t>d</w:t>
      </w:r>
      <w:r w:rsidRPr="00D42745">
        <w:t xml:space="preserve"> by state and territory governments. </w:t>
      </w:r>
    </w:p>
    <w:p w:rsidR="00D226C7" w:rsidRPr="00D42745" w:rsidRDefault="00D226C7" w:rsidP="00D226C7">
      <w:r w:rsidRPr="00D42745">
        <w:lastRenderedPageBreak/>
        <w:t>We use the following indicators to report on energy concessions:</w:t>
      </w:r>
    </w:p>
    <w:p w:rsidR="00D226C7" w:rsidRPr="00D226C7" w:rsidRDefault="00D226C7" w:rsidP="00975582">
      <w:pPr>
        <w:pStyle w:val="Bulletpoint"/>
      </w:pPr>
      <w:r w:rsidRPr="00D42745">
        <w:t>number of customers in receipt of energy concessions</w:t>
      </w:r>
      <w:r w:rsidR="0000222B">
        <w:t xml:space="preserve"> (Table 2.16</w:t>
      </w:r>
      <w:r w:rsidRPr="00D226C7">
        <w:t>)</w:t>
      </w:r>
    </w:p>
    <w:p w:rsidR="00D226C7" w:rsidRPr="00D226C7" w:rsidRDefault="00D226C7" w:rsidP="00975582">
      <w:pPr>
        <w:pStyle w:val="Bulletpoint"/>
      </w:pPr>
      <w:r w:rsidRPr="00D42745">
        <w:t>number of customers in receipt of energy concessions who were disconnected for non-payment</w:t>
      </w:r>
      <w:r w:rsidRPr="00D226C7">
        <w:t xml:space="preserve"> (Table 2.14)</w:t>
      </w:r>
    </w:p>
    <w:p w:rsidR="00D226C7" w:rsidRDefault="00D226C7" w:rsidP="00975582">
      <w:pPr>
        <w:pStyle w:val="Bulletpoint"/>
      </w:pPr>
      <w:r w:rsidRPr="00D42745">
        <w:t>number of customers in receipt of energy concessions who were on a hardship program (Table 2.7).</w:t>
      </w:r>
    </w:p>
    <w:p w:rsidR="00D226C7" w:rsidRPr="003E45F6" w:rsidRDefault="0000222B" w:rsidP="00D226C7">
      <w:pPr>
        <w:pStyle w:val="Tabletitle"/>
      </w:pPr>
      <w:r>
        <w:t>Table 2.16</w:t>
      </w:r>
      <w:r w:rsidR="00D226C7" w:rsidRPr="003E45F6">
        <w:t>: Custome</w:t>
      </w:r>
      <w:r w:rsidR="00D226C7">
        <w:t>rs receiving energy concessions</w:t>
      </w:r>
    </w:p>
    <w:tbl>
      <w:tblPr>
        <w:tblW w:w="0" w:type="auto"/>
        <w:tblLayout w:type="fixed"/>
        <w:tblLook w:val="04A0" w:firstRow="1" w:lastRow="0" w:firstColumn="1" w:lastColumn="0" w:noHBand="0" w:noVBand="1"/>
      </w:tblPr>
      <w:tblGrid>
        <w:gridCol w:w="2268"/>
        <w:gridCol w:w="1417"/>
        <w:gridCol w:w="1418"/>
        <w:gridCol w:w="1417"/>
        <w:gridCol w:w="1418"/>
      </w:tblGrid>
      <w:tr w:rsidR="00D226C7" w:rsidRPr="00D42745" w:rsidTr="00D226C7">
        <w:tc>
          <w:tcPr>
            <w:tcW w:w="2268" w:type="dxa"/>
            <w:tcBorders>
              <w:bottom w:val="nil"/>
            </w:tcBorders>
            <w:shd w:val="clear" w:color="auto" w:fill="F2F2F2" w:themeFill="background1" w:themeFillShade="F2"/>
          </w:tcPr>
          <w:p w:rsidR="00D226C7" w:rsidRPr="009D1691" w:rsidRDefault="00D226C7" w:rsidP="00975582">
            <w:pPr>
              <w:pStyle w:val="Tabletext"/>
              <w:rPr>
                <w:rStyle w:val="Strong"/>
              </w:rPr>
            </w:pPr>
            <w:r w:rsidRPr="009D1691">
              <w:rPr>
                <w:rStyle w:val="Strong"/>
              </w:rPr>
              <w:t>Jurisdiction</w:t>
            </w:r>
          </w:p>
        </w:tc>
        <w:tc>
          <w:tcPr>
            <w:tcW w:w="5670" w:type="dxa"/>
            <w:gridSpan w:val="4"/>
            <w:tcBorders>
              <w:bottom w:val="nil"/>
            </w:tcBorders>
            <w:shd w:val="clear" w:color="auto" w:fill="F2F2F2" w:themeFill="background1" w:themeFillShade="F2"/>
          </w:tcPr>
          <w:p w:rsidR="00D226C7" w:rsidRPr="009D1691" w:rsidRDefault="00D226C7" w:rsidP="00975582">
            <w:pPr>
              <w:pStyle w:val="Tabletext"/>
              <w:rPr>
                <w:rStyle w:val="Strong"/>
              </w:rPr>
            </w:pPr>
            <w:r w:rsidRPr="009D1691">
              <w:rPr>
                <w:rStyle w:val="Strong"/>
              </w:rPr>
              <w:t>Customers receiving energy concessions (%)</w:t>
            </w:r>
          </w:p>
        </w:tc>
      </w:tr>
      <w:tr w:rsidR="00D226C7" w:rsidRPr="00D42745" w:rsidTr="00D226C7">
        <w:tc>
          <w:tcPr>
            <w:tcW w:w="2268" w:type="dxa"/>
            <w:tcBorders>
              <w:top w:val="nil"/>
              <w:bottom w:val="single" w:sz="4" w:space="0" w:color="auto"/>
            </w:tcBorders>
          </w:tcPr>
          <w:p w:rsidR="00D226C7" w:rsidRPr="00D42745" w:rsidRDefault="00D226C7" w:rsidP="00975582">
            <w:pPr>
              <w:pStyle w:val="Tabletext"/>
            </w:pPr>
          </w:p>
        </w:tc>
        <w:tc>
          <w:tcPr>
            <w:tcW w:w="2835" w:type="dxa"/>
            <w:gridSpan w:val="2"/>
            <w:tcBorders>
              <w:top w:val="nil"/>
              <w:bottom w:val="single" w:sz="4" w:space="0" w:color="auto"/>
            </w:tcBorders>
          </w:tcPr>
          <w:p w:rsidR="00D226C7" w:rsidRPr="00D226C7" w:rsidRDefault="00D226C7" w:rsidP="00975582">
            <w:pPr>
              <w:pStyle w:val="Tabletext"/>
            </w:pPr>
            <w:r w:rsidRPr="00D226C7">
              <w:t>Electricity</w:t>
            </w:r>
          </w:p>
        </w:tc>
        <w:tc>
          <w:tcPr>
            <w:tcW w:w="2835" w:type="dxa"/>
            <w:gridSpan w:val="2"/>
            <w:tcBorders>
              <w:top w:val="nil"/>
              <w:bottom w:val="single" w:sz="4" w:space="0" w:color="auto"/>
            </w:tcBorders>
          </w:tcPr>
          <w:p w:rsidR="00D226C7" w:rsidRPr="00D226C7" w:rsidRDefault="00D226C7" w:rsidP="00975582">
            <w:pPr>
              <w:pStyle w:val="Tabletext"/>
            </w:pPr>
            <w:r w:rsidRPr="00D226C7">
              <w:t>Gas</w:t>
            </w:r>
            <w:r w:rsidRPr="00D226C7">
              <w:rPr>
                <w:rStyle w:val="FootnoteReference"/>
              </w:rPr>
              <w:footnoteReference w:id="24"/>
            </w:r>
          </w:p>
        </w:tc>
      </w:tr>
      <w:tr w:rsidR="00D226C7" w:rsidRPr="00D42745" w:rsidTr="00D226C7">
        <w:tc>
          <w:tcPr>
            <w:tcW w:w="2268" w:type="dxa"/>
            <w:tcBorders>
              <w:top w:val="single" w:sz="4" w:space="0" w:color="auto"/>
              <w:bottom w:val="single" w:sz="4" w:space="0" w:color="auto"/>
            </w:tcBorders>
          </w:tcPr>
          <w:p w:rsidR="00D226C7" w:rsidRPr="00D226C7" w:rsidRDefault="00D226C7" w:rsidP="00975582">
            <w:pPr>
              <w:pStyle w:val="Tabletext"/>
            </w:pPr>
            <w:r w:rsidRPr="00D226C7">
              <w:t>New South Wales</w:t>
            </w:r>
          </w:p>
        </w:tc>
        <w:tc>
          <w:tcPr>
            <w:tcW w:w="1417" w:type="dxa"/>
            <w:tcBorders>
              <w:top w:val="single" w:sz="4" w:space="0" w:color="auto"/>
              <w:bottom w:val="single" w:sz="4" w:space="0" w:color="auto"/>
            </w:tcBorders>
          </w:tcPr>
          <w:p w:rsidR="00D226C7" w:rsidRPr="00D226C7" w:rsidRDefault="00D226C7" w:rsidP="00975582">
            <w:pPr>
              <w:pStyle w:val="Tabletext"/>
            </w:pPr>
            <w:r>
              <w:t>29</w:t>
            </w:r>
            <w:r w:rsidRPr="00D226C7">
              <w:t>%</w:t>
            </w:r>
          </w:p>
        </w:tc>
        <w:tc>
          <w:tcPr>
            <w:tcW w:w="1418" w:type="dxa"/>
            <w:tcBorders>
              <w:top w:val="single" w:sz="4" w:space="0" w:color="auto"/>
              <w:bottom w:val="single" w:sz="4" w:space="0" w:color="auto"/>
            </w:tcBorders>
          </w:tcPr>
          <w:p w:rsidR="00D226C7" w:rsidRPr="00D226C7" w:rsidRDefault="00D226C7" w:rsidP="00975582">
            <w:pPr>
              <w:pStyle w:val="Tabletext"/>
            </w:pPr>
            <w:r w:rsidRPr="00D226C7">
              <w:t>●</w:t>
            </w:r>
          </w:p>
        </w:tc>
        <w:tc>
          <w:tcPr>
            <w:tcW w:w="1417" w:type="dxa"/>
            <w:tcBorders>
              <w:top w:val="single" w:sz="4" w:space="0" w:color="auto"/>
              <w:bottom w:val="single" w:sz="4" w:space="0" w:color="auto"/>
            </w:tcBorders>
          </w:tcPr>
          <w:p w:rsidR="00D226C7" w:rsidRPr="00D226C7" w:rsidRDefault="00D226C7" w:rsidP="00975582">
            <w:pPr>
              <w:pStyle w:val="Tabletext"/>
            </w:pPr>
            <w:r>
              <w:t>0%</w:t>
            </w:r>
          </w:p>
        </w:tc>
        <w:tc>
          <w:tcPr>
            <w:tcW w:w="1418" w:type="dxa"/>
            <w:tcBorders>
              <w:top w:val="single" w:sz="4" w:space="0" w:color="auto"/>
              <w:bottom w:val="single" w:sz="4" w:space="0" w:color="auto"/>
            </w:tcBorders>
          </w:tcPr>
          <w:p w:rsidR="00D226C7" w:rsidRPr="007D2E6C" w:rsidRDefault="00D226C7" w:rsidP="00975582">
            <w:pPr>
              <w:pStyle w:val="Tabletext"/>
            </w:pPr>
          </w:p>
        </w:tc>
      </w:tr>
      <w:tr w:rsidR="00D226C7" w:rsidRPr="00D42745" w:rsidTr="00D226C7">
        <w:tc>
          <w:tcPr>
            <w:tcW w:w="2268" w:type="dxa"/>
            <w:tcBorders>
              <w:top w:val="single" w:sz="4" w:space="0" w:color="auto"/>
              <w:bottom w:val="single" w:sz="4" w:space="0" w:color="auto"/>
            </w:tcBorders>
          </w:tcPr>
          <w:p w:rsidR="00D226C7" w:rsidRPr="00D226C7" w:rsidRDefault="00D226C7" w:rsidP="00975582">
            <w:pPr>
              <w:pStyle w:val="Tabletext"/>
            </w:pPr>
            <w:r w:rsidRPr="00D226C7">
              <w:t>South Australia</w:t>
            </w:r>
          </w:p>
        </w:tc>
        <w:tc>
          <w:tcPr>
            <w:tcW w:w="1417" w:type="dxa"/>
            <w:tcBorders>
              <w:top w:val="single" w:sz="4" w:space="0" w:color="auto"/>
              <w:bottom w:val="single" w:sz="4" w:space="0" w:color="auto"/>
            </w:tcBorders>
          </w:tcPr>
          <w:p w:rsidR="00D226C7" w:rsidRPr="00D226C7" w:rsidRDefault="00D226C7" w:rsidP="00975582">
            <w:pPr>
              <w:pStyle w:val="Tabletext"/>
            </w:pPr>
            <w:r>
              <w:t>2</w:t>
            </w:r>
            <w:r w:rsidRPr="00D226C7">
              <w:t>9%</w:t>
            </w:r>
          </w:p>
        </w:tc>
        <w:tc>
          <w:tcPr>
            <w:tcW w:w="1418" w:type="dxa"/>
            <w:tcBorders>
              <w:top w:val="single" w:sz="4" w:space="0" w:color="auto"/>
              <w:bottom w:val="single" w:sz="4" w:space="0" w:color="auto"/>
            </w:tcBorders>
          </w:tcPr>
          <w:p w:rsidR="00D226C7" w:rsidRPr="00D226C7" w:rsidRDefault="00D226C7" w:rsidP="00975582">
            <w:pPr>
              <w:pStyle w:val="Tabletext"/>
            </w:pPr>
            <w:r w:rsidRPr="00D226C7">
              <w:t>●</w:t>
            </w:r>
          </w:p>
        </w:tc>
        <w:tc>
          <w:tcPr>
            <w:tcW w:w="1417" w:type="dxa"/>
            <w:tcBorders>
              <w:top w:val="single" w:sz="4" w:space="0" w:color="auto"/>
              <w:bottom w:val="single" w:sz="4" w:space="0" w:color="auto"/>
            </w:tcBorders>
          </w:tcPr>
          <w:p w:rsidR="00D226C7" w:rsidRPr="00D226C7" w:rsidRDefault="00D226C7" w:rsidP="00975582">
            <w:pPr>
              <w:pStyle w:val="Tabletext"/>
            </w:pPr>
            <w:r>
              <w:t>26%</w:t>
            </w:r>
          </w:p>
        </w:tc>
        <w:tc>
          <w:tcPr>
            <w:tcW w:w="1418" w:type="dxa"/>
            <w:tcBorders>
              <w:top w:val="single" w:sz="4" w:space="0" w:color="auto"/>
              <w:bottom w:val="single" w:sz="4" w:space="0" w:color="auto"/>
            </w:tcBorders>
          </w:tcPr>
          <w:p w:rsidR="00D226C7" w:rsidRPr="00D226C7" w:rsidRDefault="00D226C7" w:rsidP="00975582">
            <w:pPr>
              <w:pStyle w:val="Tabletext"/>
            </w:pPr>
            <w:r w:rsidRPr="00D226C7">
              <w:t>▲1</w:t>
            </w:r>
          </w:p>
        </w:tc>
      </w:tr>
      <w:tr w:rsidR="00D226C7" w:rsidRPr="00D42745" w:rsidTr="00D226C7">
        <w:tc>
          <w:tcPr>
            <w:tcW w:w="2268" w:type="dxa"/>
            <w:tcBorders>
              <w:top w:val="single" w:sz="4" w:space="0" w:color="auto"/>
              <w:bottom w:val="single" w:sz="4" w:space="0" w:color="auto"/>
            </w:tcBorders>
          </w:tcPr>
          <w:p w:rsidR="00D226C7" w:rsidRPr="00D226C7" w:rsidRDefault="00D226C7" w:rsidP="00975582">
            <w:pPr>
              <w:pStyle w:val="Tabletext"/>
            </w:pPr>
            <w:r w:rsidRPr="00D226C7">
              <w:t>Tasmania</w:t>
            </w:r>
          </w:p>
        </w:tc>
        <w:tc>
          <w:tcPr>
            <w:tcW w:w="1417" w:type="dxa"/>
            <w:tcBorders>
              <w:top w:val="single" w:sz="4" w:space="0" w:color="auto"/>
              <w:bottom w:val="single" w:sz="4" w:space="0" w:color="auto"/>
            </w:tcBorders>
          </w:tcPr>
          <w:p w:rsidR="00D226C7" w:rsidRPr="00D226C7" w:rsidRDefault="00D226C7" w:rsidP="00975582">
            <w:pPr>
              <w:pStyle w:val="Tabletext"/>
            </w:pPr>
            <w:r>
              <w:t>3</w:t>
            </w:r>
            <w:r w:rsidRPr="00D226C7">
              <w:t>8%</w:t>
            </w:r>
          </w:p>
        </w:tc>
        <w:tc>
          <w:tcPr>
            <w:tcW w:w="1418" w:type="dxa"/>
            <w:tcBorders>
              <w:top w:val="single" w:sz="4" w:space="0" w:color="auto"/>
              <w:bottom w:val="single" w:sz="4" w:space="0" w:color="auto"/>
            </w:tcBorders>
          </w:tcPr>
          <w:p w:rsidR="00D226C7" w:rsidRPr="00D226C7" w:rsidRDefault="00D226C7" w:rsidP="00975582">
            <w:pPr>
              <w:pStyle w:val="Tabletext"/>
            </w:pPr>
            <w:r>
              <w:t>-</w:t>
            </w:r>
          </w:p>
        </w:tc>
        <w:tc>
          <w:tcPr>
            <w:tcW w:w="1417" w:type="dxa"/>
            <w:tcBorders>
              <w:top w:val="single" w:sz="4" w:space="0" w:color="auto"/>
              <w:bottom w:val="single" w:sz="4" w:space="0" w:color="auto"/>
            </w:tcBorders>
          </w:tcPr>
          <w:p w:rsidR="00D226C7" w:rsidRPr="007D2E6C" w:rsidRDefault="00D226C7" w:rsidP="00975582">
            <w:pPr>
              <w:pStyle w:val="Tabletext"/>
            </w:pPr>
            <w:r w:rsidRPr="007D2E6C">
              <w:t>-</w:t>
            </w:r>
          </w:p>
        </w:tc>
        <w:tc>
          <w:tcPr>
            <w:tcW w:w="1418" w:type="dxa"/>
            <w:tcBorders>
              <w:top w:val="single" w:sz="4" w:space="0" w:color="auto"/>
              <w:bottom w:val="single" w:sz="4" w:space="0" w:color="auto"/>
            </w:tcBorders>
          </w:tcPr>
          <w:p w:rsidR="00D226C7" w:rsidRPr="007D2E6C" w:rsidRDefault="00D226C7" w:rsidP="00975582">
            <w:pPr>
              <w:pStyle w:val="Tabletext"/>
            </w:pPr>
          </w:p>
        </w:tc>
      </w:tr>
      <w:tr w:rsidR="00D226C7" w:rsidRPr="00D42745" w:rsidTr="00D226C7">
        <w:tc>
          <w:tcPr>
            <w:tcW w:w="2268" w:type="dxa"/>
            <w:tcBorders>
              <w:top w:val="single" w:sz="4" w:space="0" w:color="auto"/>
              <w:bottom w:val="single" w:sz="4" w:space="0" w:color="BFBFBF" w:themeColor="background1" w:themeShade="BF"/>
            </w:tcBorders>
          </w:tcPr>
          <w:p w:rsidR="00D226C7" w:rsidRPr="00D226C7" w:rsidRDefault="00D226C7" w:rsidP="00975582">
            <w:pPr>
              <w:pStyle w:val="Tabletext"/>
            </w:pPr>
            <w:r w:rsidRPr="00D226C7">
              <w:t>ACT</w:t>
            </w:r>
          </w:p>
        </w:tc>
        <w:tc>
          <w:tcPr>
            <w:tcW w:w="1417" w:type="dxa"/>
            <w:tcBorders>
              <w:top w:val="single" w:sz="4" w:space="0" w:color="auto"/>
              <w:bottom w:val="single" w:sz="4" w:space="0" w:color="BFBFBF" w:themeColor="background1" w:themeShade="BF"/>
            </w:tcBorders>
          </w:tcPr>
          <w:p w:rsidR="00D226C7" w:rsidRPr="00D226C7" w:rsidRDefault="00D226C7" w:rsidP="00975582">
            <w:pPr>
              <w:pStyle w:val="Tabletext"/>
            </w:pPr>
            <w:r w:rsidRPr="00F20AF2">
              <w:t>1</w:t>
            </w:r>
            <w:r w:rsidRPr="00D226C7">
              <w:t>7%</w:t>
            </w:r>
          </w:p>
        </w:tc>
        <w:tc>
          <w:tcPr>
            <w:tcW w:w="1418" w:type="dxa"/>
            <w:tcBorders>
              <w:top w:val="single" w:sz="4" w:space="0" w:color="auto"/>
              <w:bottom w:val="single" w:sz="4" w:space="0" w:color="BFBFBF" w:themeColor="background1" w:themeShade="BF"/>
            </w:tcBorders>
          </w:tcPr>
          <w:p w:rsidR="00D226C7" w:rsidRPr="00D226C7" w:rsidRDefault="00D226C7" w:rsidP="00975582">
            <w:pPr>
              <w:pStyle w:val="Tabletext"/>
            </w:pPr>
            <w:r w:rsidRPr="00D226C7">
              <w:t>▲1</w:t>
            </w:r>
          </w:p>
        </w:tc>
        <w:tc>
          <w:tcPr>
            <w:tcW w:w="1417" w:type="dxa"/>
            <w:tcBorders>
              <w:top w:val="single" w:sz="4" w:space="0" w:color="auto"/>
              <w:bottom w:val="single" w:sz="4" w:space="0" w:color="BFBFBF" w:themeColor="background1" w:themeShade="BF"/>
            </w:tcBorders>
          </w:tcPr>
          <w:p w:rsidR="00D226C7" w:rsidRPr="00D226C7" w:rsidRDefault="00D226C7" w:rsidP="00975582">
            <w:pPr>
              <w:pStyle w:val="Tabletext"/>
            </w:pPr>
            <w:r>
              <w:t>17%</w:t>
            </w:r>
          </w:p>
        </w:tc>
        <w:tc>
          <w:tcPr>
            <w:tcW w:w="1418" w:type="dxa"/>
            <w:tcBorders>
              <w:top w:val="single" w:sz="4" w:space="0" w:color="auto"/>
              <w:bottom w:val="single" w:sz="4" w:space="0" w:color="BFBFBF" w:themeColor="background1" w:themeShade="BF"/>
            </w:tcBorders>
          </w:tcPr>
          <w:p w:rsidR="00D226C7" w:rsidRPr="00D226C7" w:rsidRDefault="00D226C7" w:rsidP="00975582">
            <w:pPr>
              <w:pStyle w:val="Tabletext"/>
            </w:pPr>
            <w:r w:rsidRPr="00D226C7">
              <w:t>▲1</w:t>
            </w:r>
          </w:p>
        </w:tc>
      </w:tr>
    </w:tbl>
    <w:p w:rsidR="00D226C7" w:rsidRDefault="00D226C7" w:rsidP="00D226C7">
      <w:r w:rsidRPr="00D42745">
        <w:t>Chapter 3 of this report examines energ</w:t>
      </w:r>
      <w:r w:rsidRPr="00D226C7">
        <w:t>y concessions in greater detail, including concession eligibility and typical savings that customers make with concessions in each jurisdiction.</w:t>
      </w:r>
    </w:p>
    <w:p w:rsidR="00D226C7" w:rsidRPr="00D42745" w:rsidRDefault="00D226C7" w:rsidP="00D226C7">
      <w:pPr>
        <w:pStyle w:val="Heading2"/>
      </w:pPr>
      <w:bookmarkStart w:id="33" w:name="_Toc433026821"/>
      <w:r w:rsidRPr="00D42745">
        <w:t>Security deposits</w:t>
      </w:r>
      <w:bookmarkEnd w:id="33"/>
    </w:p>
    <w:p w:rsidR="00D226C7" w:rsidRDefault="00D226C7" w:rsidP="00D226C7">
      <w:r w:rsidRPr="00D42745">
        <w:t>Retailers can require small customers to provide security deposits in certain circumstances, for example if the customer owes the retailer money for another account or if the customer has fraudulently acquired energy in the previous two years.</w:t>
      </w:r>
      <w:r w:rsidRPr="00891A88">
        <w:rPr>
          <w:rStyle w:val="Superscript"/>
        </w:rPr>
        <w:footnoteReference w:id="25"/>
      </w:r>
      <w:r w:rsidRPr="00D226C7">
        <w:t xml:space="preserve"> Very few retailers hold security deposits—only Aurora Energy and Origin Energy in 2014-15.</w:t>
      </w:r>
    </w:p>
    <w:p w:rsidR="00D226C7" w:rsidRDefault="00D226C7" w:rsidP="00D226C7">
      <w:pPr>
        <w:pStyle w:val="Tabletitle"/>
      </w:pPr>
      <w:r w:rsidRPr="003E45F6">
        <w:t>Table 2.17: Security deposits held by retailers as at 30 June 2015</w:t>
      </w:r>
    </w:p>
    <w:tbl>
      <w:tblPr>
        <w:tblW w:w="0" w:type="auto"/>
        <w:tblLook w:val="04A0" w:firstRow="1" w:lastRow="0" w:firstColumn="1" w:lastColumn="0" w:noHBand="0" w:noVBand="1"/>
      </w:tblPr>
      <w:tblGrid>
        <w:gridCol w:w="1951"/>
        <w:gridCol w:w="3827"/>
        <w:gridCol w:w="3464"/>
      </w:tblGrid>
      <w:tr w:rsidR="009D1691" w:rsidRPr="00D42745" w:rsidTr="007061F2">
        <w:tc>
          <w:tcPr>
            <w:tcW w:w="1951" w:type="dxa"/>
            <w:shd w:val="clear" w:color="auto" w:fill="F2F2F2" w:themeFill="background1" w:themeFillShade="F2"/>
          </w:tcPr>
          <w:p w:rsidR="009D1691" w:rsidRPr="009D1691" w:rsidRDefault="009D1691" w:rsidP="007061F2">
            <w:pPr>
              <w:pStyle w:val="Tabletext"/>
              <w:rPr>
                <w:rStyle w:val="Strong"/>
              </w:rPr>
            </w:pPr>
            <w:r w:rsidRPr="009D1691">
              <w:rPr>
                <w:rStyle w:val="Strong"/>
              </w:rPr>
              <w:t>Retailer</w:t>
            </w:r>
          </w:p>
        </w:tc>
        <w:tc>
          <w:tcPr>
            <w:tcW w:w="3827" w:type="dxa"/>
            <w:shd w:val="clear" w:color="auto" w:fill="F2F2F2" w:themeFill="background1" w:themeFillShade="F2"/>
          </w:tcPr>
          <w:p w:rsidR="009D1691" w:rsidRPr="009D1691" w:rsidRDefault="009D1691" w:rsidP="007061F2">
            <w:pPr>
              <w:pStyle w:val="Tabletext"/>
              <w:rPr>
                <w:rStyle w:val="Strong"/>
              </w:rPr>
            </w:pPr>
            <w:r w:rsidRPr="009D1691">
              <w:rPr>
                <w:rStyle w:val="Strong"/>
              </w:rPr>
              <w:t xml:space="preserve">Customers with security deposits </w:t>
            </w:r>
          </w:p>
        </w:tc>
        <w:tc>
          <w:tcPr>
            <w:tcW w:w="3464" w:type="dxa"/>
            <w:shd w:val="clear" w:color="auto" w:fill="F2F2F2" w:themeFill="background1" w:themeFillShade="F2"/>
          </w:tcPr>
          <w:p w:rsidR="009D1691" w:rsidRPr="009D1691" w:rsidRDefault="009D1691" w:rsidP="007061F2">
            <w:pPr>
              <w:pStyle w:val="Tabletext"/>
              <w:rPr>
                <w:rStyle w:val="Strong"/>
              </w:rPr>
            </w:pPr>
            <w:r w:rsidRPr="009D1691">
              <w:rPr>
                <w:rStyle w:val="Strong"/>
              </w:rPr>
              <w:t>Total value of security deposits</w:t>
            </w:r>
          </w:p>
        </w:tc>
      </w:tr>
      <w:tr w:rsidR="009D1691" w:rsidRPr="00D42745" w:rsidTr="007061F2">
        <w:tc>
          <w:tcPr>
            <w:tcW w:w="1951" w:type="dxa"/>
            <w:tcBorders>
              <w:top w:val="single" w:sz="4" w:space="0" w:color="BFBFBF" w:themeColor="background1" w:themeShade="BF"/>
              <w:bottom w:val="single" w:sz="4" w:space="0" w:color="auto"/>
            </w:tcBorders>
          </w:tcPr>
          <w:p w:rsidR="009D1691" w:rsidRPr="009D1691" w:rsidRDefault="009D1691" w:rsidP="007061F2">
            <w:pPr>
              <w:pStyle w:val="Tabletext"/>
            </w:pPr>
            <w:r w:rsidRPr="009D1691">
              <w:t>Aurora Energy</w:t>
            </w:r>
          </w:p>
        </w:tc>
        <w:tc>
          <w:tcPr>
            <w:tcW w:w="3827" w:type="dxa"/>
            <w:tcBorders>
              <w:top w:val="single" w:sz="4" w:space="0" w:color="BFBFBF" w:themeColor="background1" w:themeShade="BF"/>
              <w:bottom w:val="single" w:sz="4" w:space="0" w:color="auto"/>
            </w:tcBorders>
          </w:tcPr>
          <w:p w:rsidR="009D1691" w:rsidRPr="009D1691" w:rsidRDefault="009D1691" w:rsidP="007061F2">
            <w:pPr>
              <w:pStyle w:val="Tabletext"/>
            </w:pPr>
            <w:r w:rsidRPr="009D1691">
              <w:t>92 (small business)</w:t>
            </w:r>
          </w:p>
        </w:tc>
        <w:tc>
          <w:tcPr>
            <w:tcW w:w="3464" w:type="dxa"/>
            <w:tcBorders>
              <w:top w:val="single" w:sz="4" w:space="0" w:color="BFBFBF" w:themeColor="background1" w:themeShade="BF"/>
              <w:bottom w:val="single" w:sz="4" w:space="0" w:color="auto"/>
            </w:tcBorders>
          </w:tcPr>
          <w:p w:rsidR="009D1691" w:rsidRPr="009D1691" w:rsidRDefault="009D1691" w:rsidP="007061F2">
            <w:pPr>
              <w:pStyle w:val="Tabletext"/>
            </w:pPr>
            <w:r w:rsidRPr="009D1691">
              <w:t>$287 135</w:t>
            </w:r>
          </w:p>
        </w:tc>
      </w:tr>
      <w:tr w:rsidR="009D1691" w:rsidRPr="00D42745" w:rsidTr="007061F2">
        <w:tc>
          <w:tcPr>
            <w:tcW w:w="1951" w:type="dxa"/>
            <w:tcBorders>
              <w:top w:val="single" w:sz="4" w:space="0" w:color="auto"/>
              <w:bottom w:val="single" w:sz="4" w:space="0" w:color="BFBFBF" w:themeColor="background1" w:themeShade="BF"/>
            </w:tcBorders>
          </w:tcPr>
          <w:p w:rsidR="009D1691" w:rsidRPr="009D1691" w:rsidRDefault="009D1691" w:rsidP="007061F2">
            <w:pPr>
              <w:pStyle w:val="Tabletext"/>
            </w:pPr>
            <w:r w:rsidRPr="009D1691">
              <w:t>Origin Energy</w:t>
            </w:r>
          </w:p>
        </w:tc>
        <w:tc>
          <w:tcPr>
            <w:tcW w:w="3827" w:type="dxa"/>
            <w:tcBorders>
              <w:top w:val="single" w:sz="4" w:space="0" w:color="auto"/>
              <w:bottom w:val="single" w:sz="4" w:space="0" w:color="BFBFBF" w:themeColor="background1" w:themeShade="BF"/>
            </w:tcBorders>
          </w:tcPr>
          <w:p w:rsidR="009D1691" w:rsidRPr="009D1691" w:rsidRDefault="009D1691" w:rsidP="007061F2">
            <w:pPr>
              <w:pStyle w:val="Tabletext"/>
            </w:pPr>
            <w:r w:rsidRPr="009D1691">
              <w:t>10 (residential)</w:t>
            </w:r>
          </w:p>
        </w:tc>
        <w:tc>
          <w:tcPr>
            <w:tcW w:w="3464" w:type="dxa"/>
            <w:tcBorders>
              <w:top w:val="single" w:sz="4" w:space="0" w:color="auto"/>
              <w:bottom w:val="single" w:sz="4" w:space="0" w:color="BFBFBF" w:themeColor="background1" w:themeShade="BF"/>
            </w:tcBorders>
          </w:tcPr>
          <w:p w:rsidR="009D1691" w:rsidRPr="009D1691" w:rsidRDefault="009D1691" w:rsidP="007061F2">
            <w:pPr>
              <w:pStyle w:val="Tabletext"/>
            </w:pPr>
            <w:r w:rsidRPr="009D1691">
              <w:t>$1 760</w:t>
            </w:r>
          </w:p>
        </w:tc>
      </w:tr>
    </w:tbl>
    <w:p w:rsidR="00D226C7" w:rsidRPr="00D42745" w:rsidRDefault="00D226C7" w:rsidP="00D226C7">
      <w:pPr>
        <w:pStyle w:val="Bulletpoint"/>
        <w:numPr>
          <w:ilvl w:val="0"/>
          <w:numId w:val="0"/>
        </w:numPr>
        <w:ind w:left="357" w:hanging="357"/>
      </w:pPr>
    </w:p>
    <w:p w:rsidR="00975582" w:rsidRDefault="00975582">
      <w:pPr>
        <w:spacing w:line="240" w:lineRule="auto"/>
      </w:pPr>
      <w:r>
        <w:br w:type="page"/>
      </w:r>
    </w:p>
    <w:p w:rsidR="004105B0" w:rsidRPr="004105B0" w:rsidRDefault="004105B0" w:rsidP="004105B0">
      <w:pPr>
        <w:pStyle w:val="Heading1"/>
      </w:pPr>
      <w:bookmarkStart w:id="34" w:name="_Toc433026822"/>
      <w:r>
        <w:lastRenderedPageBreak/>
        <w:t>Energy affordability</w:t>
      </w:r>
      <w:bookmarkEnd w:id="34"/>
    </w:p>
    <w:p w:rsidR="00891A88" w:rsidRPr="00B83258" w:rsidRDefault="00891A88" w:rsidP="00891A88">
      <w:pPr>
        <w:pStyle w:val="Heading2"/>
      </w:pPr>
      <w:bookmarkStart w:id="35" w:name="_Toc433026823"/>
      <w:r w:rsidRPr="00B83258">
        <w:t>How we report on energy affordability</w:t>
      </w:r>
      <w:bookmarkEnd w:id="35"/>
      <w:r w:rsidRPr="00B83258">
        <w:t xml:space="preserve"> </w:t>
      </w:r>
    </w:p>
    <w:p w:rsidR="00891A88" w:rsidRPr="003F12A6" w:rsidRDefault="00891A88" w:rsidP="00891A88">
      <w:r w:rsidRPr="0089015F">
        <w:t>This chapter provides an overview of the annual cost of electricity and gas around the country</w:t>
      </w:r>
      <w:r w:rsidRPr="00891A88">
        <w:rPr>
          <w:rStyle w:val="Superscript"/>
        </w:rPr>
        <w:footnoteReference w:id="26"/>
      </w:r>
      <w:r w:rsidRPr="003F12A6">
        <w:t xml:space="preserve"> for a ‘benchmark household’</w:t>
      </w:r>
      <w:r w:rsidRPr="00891A88">
        <w:rPr>
          <w:rStyle w:val="Superscript"/>
        </w:rPr>
        <w:footnoteReference w:id="27"/>
      </w:r>
      <w:r w:rsidRPr="003F12A6">
        <w:t xml:space="preserve"> as at June 2015.</w:t>
      </w:r>
    </w:p>
    <w:p w:rsidR="00891A88" w:rsidRPr="0089015F" w:rsidRDefault="00891A88" w:rsidP="00891A88">
      <w:r w:rsidRPr="0089015F">
        <w:t>Our state-by-state analysis shows:</w:t>
      </w:r>
    </w:p>
    <w:p w:rsidR="00891A88" w:rsidRPr="0089015F" w:rsidRDefault="00891A88" w:rsidP="00891A88">
      <w:pPr>
        <w:pStyle w:val="Bulletpoint"/>
      </w:pPr>
      <w:r w:rsidRPr="0089015F">
        <w:t>the range in prices of electricity and gas offers generally available to residential customers in each distribution zone</w:t>
      </w:r>
    </w:p>
    <w:p w:rsidR="00891A88" w:rsidRPr="003F12A6" w:rsidRDefault="00891A88" w:rsidP="00891A88">
      <w:pPr>
        <w:pStyle w:val="Bulletpoint"/>
      </w:pPr>
      <w:r w:rsidRPr="0089015F">
        <w:t>estimates of annual electricity and gas</w:t>
      </w:r>
      <w:r w:rsidRPr="003F12A6">
        <w:t xml:space="preserve"> bills (based on the median standing and market offers for benchmark consumption levels), and </w:t>
      </w:r>
    </w:p>
    <w:p w:rsidR="00891A88" w:rsidRPr="0089015F" w:rsidRDefault="00891A88" w:rsidP="00891A88">
      <w:pPr>
        <w:pStyle w:val="Bulletpoint"/>
      </w:pPr>
      <w:r w:rsidRPr="0089015F">
        <w:t xml:space="preserve">annual expenditure on electricity and gas bills as a share of disposable income for benchmark low, middle and high income households. For low income households, we also consider the impact of energy concessions. </w:t>
      </w:r>
    </w:p>
    <w:p w:rsidR="00891A88" w:rsidRPr="003F12A6" w:rsidRDefault="00891A88" w:rsidP="00891A88">
      <w:r w:rsidRPr="0089015F">
        <w:t xml:space="preserve">We have maintained our approach from previous years, as set out in </w:t>
      </w:r>
      <w:r w:rsidRPr="003F12A6">
        <w:t xml:space="preserve">Appendix </w:t>
      </w:r>
      <w:r w:rsidR="00821BFF">
        <w:t>7</w:t>
      </w:r>
      <w:r w:rsidRPr="003F12A6">
        <w:t xml:space="preserve">. </w:t>
      </w:r>
    </w:p>
    <w:p w:rsidR="00ED2BAE" w:rsidRDefault="00891A88" w:rsidP="00891A88">
      <w:r w:rsidRPr="0089015F">
        <w:t>We note, however, that due to the release of updated electricity consumption benchmarks and updated ABS income data during 2015 (which we used in this analysis), we have recalculated annual bills from previous years (</w:t>
      </w:r>
      <w:r w:rsidRPr="003F12A6">
        <w:t xml:space="preserve">2013 and 2014) to </w:t>
      </w:r>
      <w:r w:rsidR="00DE75CA">
        <w:t>provide</w:t>
      </w:r>
      <w:r w:rsidRPr="003F12A6">
        <w:t xml:space="preserve"> comparisons with </w:t>
      </w:r>
      <w:r w:rsidR="00980C96">
        <w:t>the</w:t>
      </w:r>
      <w:r w:rsidR="00980C96" w:rsidRPr="003F12A6">
        <w:t xml:space="preserve"> </w:t>
      </w:r>
      <w:r w:rsidRPr="003F12A6">
        <w:t>2015 analysis</w:t>
      </w:r>
      <w:r w:rsidR="00980C96">
        <w:t xml:space="preserve"> in this report</w:t>
      </w:r>
      <w:r w:rsidRPr="003F12A6">
        <w:t xml:space="preserve">. </w:t>
      </w:r>
      <w:r w:rsidR="00ED2BAE">
        <w:t xml:space="preserve">This means that estimates of energy bills in this report should not be compared with </w:t>
      </w:r>
      <w:r w:rsidR="00980C96">
        <w:t xml:space="preserve">estimates provided in </w:t>
      </w:r>
      <w:r w:rsidR="00ED2BAE">
        <w:t xml:space="preserve">previous reports. </w:t>
      </w:r>
    </w:p>
    <w:p w:rsidR="00ED2BAE" w:rsidRPr="003F12A6" w:rsidRDefault="000A2F5D" w:rsidP="00891A88">
      <w:r>
        <w:t>The</w:t>
      </w:r>
      <w:r w:rsidR="00891A88" w:rsidRPr="003F12A6">
        <w:t xml:space="preserve"> latest electricity benchmarking report shows that annual consumption has fallen 12.3 per cent on average. Adjusting for lower consumption levels ensures we do not overstate electricity bills and any potential </w:t>
      </w:r>
      <w:r w:rsidRPr="003F12A6">
        <w:t>savings</w:t>
      </w:r>
      <w:r>
        <w:t>; however our estimates could also potentially understate reductions in recent bills due to decreased consumption.</w:t>
      </w:r>
    </w:p>
    <w:p w:rsidR="00891A88" w:rsidRDefault="00891A88" w:rsidP="00891A88">
      <w:r w:rsidRPr="0089015F">
        <w:t>Unless we state otherwise, any reference to ‘market offer’ and ‘standing offer’ refers to the median market and standing</w:t>
      </w:r>
      <w:r w:rsidRPr="003F12A6">
        <w:t xml:space="preserve"> offer respectively. Similarly, any reference to an annual bill or charges refers to an estimated annual bill based on a benchmark household’s consumption level. In our analysis of electricity bills we use two benchmark consumption levels: one for low income households and one for middle and high income (typical) households. Our analysis of gas bills uses only typical consumption levels. ‘Income’ refers to annual disposable income.</w:t>
      </w:r>
      <w:r w:rsidRPr="00891A88">
        <w:rPr>
          <w:rStyle w:val="Superscript"/>
        </w:rPr>
        <w:footnoteReference w:id="28"/>
      </w:r>
      <w:r w:rsidRPr="003F12A6">
        <w:t xml:space="preserve"> </w:t>
      </w:r>
    </w:p>
    <w:p w:rsidR="000A2F5D" w:rsidRPr="003F12A6" w:rsidRDefault="000A2F5D" w:rsidP="00891A88"/>
    <w:p w:rsidR="00891A88" w:rsidRPr="0089015F" w:rsidRDefault="00891A88" w:rsidP="00891A88">
      <w:pPr>
        <w:pStyle w:val="Heading2"/>
      </w:pPr>
      <w:bookmarkStart w:id="36" w:name="_Toc433026824"/>
      <w:r w:rsidRPr="0089015F">
        <w:lastRenderedPageBreak/>
        <w:t>National comparison</w:t>
      </w:r>
      <w:bookmarkEnd w:id="36"/>
    </w:p>
    <w:p w:rsidR="00891A88" w:rsidRPr="0089015F" w:rsidRDefault="00891A88" w:rsidP="00891A88">
      <w:r w:rsidRPr="0089015F">
        <w:t xml:space="preserve">Energy bills vary across Australia, as households pay different prices and consume different amounts of energy. The prices in household energy bills cover the costs of wholesale electricity and natural gas, delivering energy through the networks, and retail services (such as call centres and billing). Each of these cost components vary across jurisdictions and distribution zones. </w:t>
      </w:r>
    </w:p>
    <w:p w:rsidR="00891A88" w:rsidRPr="003F12A6" w:rsidRDefault="00891A88" w:rsidP="00891A88">
      <w:r w:rsidRPr="0089015F">
        <w:t>Household consumption of electricity and gas is largely dependent on geographic location. For example, households in Tasmania consume more electricity due to the cooler climate</w:t>
      </w:r>
      <w:r w:rsidR="00FE4CAE">
        <w:t xml:space="preserve"> and because few households have gas</w:t>
      </w:r>
      <w:r w:rsidRPr="0089015F">
        <w:t xml:space="preserve">, and households in the ACT use more gas for heating. </w:t>
      </w:r>
    </w:p>
    <w:p w:rsidR="00891A88" w:rsidRPr="003F12A6" w:rsidRDefault="00891A88" w:rsidP="00891A88">
      <w:r w:rsidRPr="004A67B6">
        <w:t>Figure 3.1 shows that a</w:t>
      </w:r>
      <w:r w:rsidRPr="003F12A6">
        <w:t xml:space="preserve"> low income household that receives an energy concession, spent between 3 and 6.4 per cent of its income on electricity bills, depending on </w:t>
      </w:r>
      <w:r w:rsidR="00025F08">
        <w:t>location</w:t>
      </w:r>
      <w:r w:rsidRPr="003F12A6">
        <w:t xml:space="preserve"> (or between 3.6 and 8.4 per cent if they did not receive a concession). Gas bills were a smaller share of income, ranging from 2.6 to 4.4 per cent (or 2.9 to 4.8 per cent without a concession). </w:t>
      </w:r>
    </w:p>
    <w:p w:rsidR="003373F4" w:rsidRDefault="003373F4" w:rsidP="00891A88">
      <w:r>
        <w:t>Between June 2014 and June 2015</w:t>
      </w:r>
      <w:r w:rsidR="00891A88" w:rsidRPr="004A67B6">
        <w:t xml:space="preserve">, electricity bills decreased </w:t>
      </w:r>
      <w:r>
        <w:t xml:space="preserve">by </w:t>
      </w:r>
      <w:r w:rsidR="00DE75CA" w:rsidRPr="004A67B6">
        <w:t xml:space="preserve">between 3 and 15 per cent </w:t>
      </w:r>
      <w:r w:rsidR="00891A88" w:rsidRPr="004A67B6">
        <w:t>in most jurisdictions. The exc</w:t>
      </w:r>
      <w:r w:rsidR="00891A88" w:rsidRPr="003F12A6">
        <w:t>eption was in Queensland, where bills increased by 4 per cent. Gas bills decreased in Victoria and the ACT (by between 4 and 5 per cent), but increased in New South Wales (7 per cent), Queensland and South Australia (both 1 per cent).</w:t>
      </w:r>
      <w:r w:rsidR="00891A88" w:rsidRPr="00891A88">
        <w:rPr>
          <w:rStyle w:val="Superscript"/>
        </w:rPr>
        <w:footnoteReference w:id="29"/>
      </w:r>
      <w:r w:rsidR="00891A88" w:rsidRPr="003F12A6">
        <w:t xml:space="preserve"> </w:t>
      </w:r>
    </w:p>
    <w:p w:rsidR="00891A88" w:rsidRPr="003F12A6" w:rsidRDefault="002C0867" w:rsidP="00891A88">
      <w:r>
        <w:t xml:space="preserve">This compares with the previous year, where </w:t>
      </w:r>
      <w:r w:rsidR="003373F4">
        <w:t xml:space="preserve">both electricity and gas bills increased in </w:t>
      </w:r>
      <w:r>
        <w:t>all</w:t>
      </w:r>
      <w:r w:rsidR="003373F4">
        <w:t xml:space="preserve"> jurisdiction</w:t>
      </w:r>
      <w:r>
        <w:t>s</w:t>
      </w:r>
      <w:r w:rsidR="003373F4">
        <w:t xml:space="preserve">, with the exception of electricity bills in Tasmania. </w:t>
      </w:r>
      <w:r>
        <w:t xml:space="preserve">Although most increases were modest, there were significant increases in electricity bills in Queensland.  </w:t>
      </w:r>
      <w:r w:rsidR="003373F4">
        <w:t xml:space="preserve"> </w:t>
      </w:r>
      <w:r w:rsidR="00891A88" w:rsidRPr="003F12A6">
        <w:t xml:space="preserve"> </w:t>
      </w:r>
    </w:p>
    <w:p w:rsidR="00891A88" w:rsidRPr="003F12A6" w:rsidRDefault="00891A88" w:rsidP="00891A88">
      <w:r w:rsidRPr="004A67B6">
        <w:t xml:space="preserve">The primary reason for the decrease in energy bills was the removal of the carbon tax, which impacted electricity and gas prices from July 2014 and is reflected in the June 2015 energy bills used in this report. </w:t>
      </w:r>
      <w:r w:rsidRPr="003F12A6">
        <w:t>Since the removal of the carbon tax, energy bills have also been impacted by changes in wholesale and network prices.</w:t>
      </w:r>
    </w:p>
    <w:p w:rsidR="00891A88" w:rsidRPr="003F12A6" w:rsidRDefault="00891A88" w:rsidP="00891A88">
      <w:pPr>
        <w:rPr>
          <w:highlight w:val="yellow"/>
        </w:rPr>
      </w:pPr>
      <w:r w:rsidRPr="004A67B6">
        <w:t>Electricity bills remained highest in Tasmania ($1927</w:t>
      </w:r>
      <w:r w:rsidR="00980C96">
        <w:t xml:space="preserve"> for the standing offer</w:t>
      </w:r>
      <w:r w:rsidRPr="004A67B6">
        <w:t>) and lowest in Victoria ($1188</w:t>
      </w:r>
      <w:r w:rsidR="00980C96">
        <w:t xml:space="preserve"> for the median market offer</w:t>
      </w:r>
      <w:r w:rsidRPr="004A67B6">
        <w:t xml:space="preserve">). Electricity bills again accounted for the smallest share of disposable income for low income households in the ACT – 3.6 per cent (or 3 per cent with a concession). This is due to lower electricity charges and higher incomes relative to other jurisdictions. </w:t>
      </w:r>
    </w:p>
    <w:p w:rsidR="00891A88" w:rsidRPr="004A67B6" w:rsidRDefault="00891A88" w:rsidP="00891A88">
      <w:r w:rsidRPr="004A67B6">
        <w:t xml:space="preserve">Despite </w:t>
      </w:r>
      <w:r w:rsidR="00980C96">
        <w:t xml:space="preserve">Victoria having the lowest gas charges, </w:t>
      </w:r>
      <w:r w:rsidR="00A471C1" w:rsidRPr="004A67B6">
        <w:t xml:space="preserve">higher levels of gas consumption </w:t>
      </w:r>
      <w:r w:rsidR="00A471C1">
        <w:t xml:space="preserve">mean that </w:t>
      </w:r>
      <w:r w:rsidRPr="004A67B6">
        <w:t xml:space="preserve">gas bills </w:t>
      </w:r>
      <w:r w:rsidR="00A471C1">
        <w:t xml:space="preserve">represent </w:t>
      </w:r>
      <w:r w:rsidRPr="004A67B6">
        <w:t>the greatest proportion of household income relative to other jurisdictions</w:t>
      </w:r>
      <w:r w:rsidR="00A471C1">
        <w:t xml:space="preserve">. </w:t>
      </w:r>
    </w:p>
    <w:p w:rsidR="00891A88" w:rsidRPr="003F12A6" w:rsidRDefault="00891A88" w:rsidP="00891A88">
      <w:r w:rsidRPr="004A67B6">
        <w:t xml:space="preserve">Across all jurisdictions where market offers are available, the median market offer was between 5 and 20 per cent cheaper than the standing offer. The potential savings were slightly smaller for gas market offers (up to 16 per cent). </w:t>
      </w:r>
      <w:r w:rsidRPr="003F12A6">
        <w:t>The greatest difference between the median market and standing offer was in Victoria.</w:t>
      </w:r>
    </w:p>
    <w:p w:rsidR="00891A88" w:rsidRPr="004A67B6" w:rsidRDefault="00891A88" w:rsidP="00891A88">
      <w:r w:rsidRPr="004A67B6">
        <w:lastRenderedPageBreak/>
        <w:t>Compared with the median electricity market offer, the cheapest electricity market offers were around $200 per year cheaper in New South Wales and around $100 to $150 cheaper in Victoria and South Australia</w:t>
      </w:r>
      <w:r w:rsidR="00DE75CA">
        <w:t>, respectively</w:t>
      </w:r>
      <w:r w:rsidRPr="004A67B6">
        <w:t>. Potential savings in Queensland ($67) and the ACT ($83) were smaller, but still notable.</w:t>
      </w:r>
    </w:p>
    <w:p w:rsidR="00891A88" w:rsidRDefault="00891A88" w:rsidP="00891A88">
      <w:r w:rsidRPr="004A67B6">
        <w:t>The potential savings on gas are smaller</w:t>
      </w:r>
      <w:r w:rsidR="00DE75CA">
        <w:t xml:space="preserve"> than those offered for electricity</w:t>
      </w:r>
      <w:r w:rsidRPr="004A67B6">
        <w:t xml:space="preserve">. Compared with the median gas market offer, the cheapest gas market offers were around $100 to $150 per year cheaper in Victoria and the ACT, but only around $20 to $70 cheaper in Queensland, New South Wales and South Australia. </w:t>
      </w:r>
      <w:r w:rsidR="00FE4CAE">
        <w:t>There is less competition in retail gas markets, and this is not expected to improve in the near future due to uncertainty about conditions in the wholesale market.</w:t>
      </w:r>
      <w:r w:rsidRPr="004A67B6">
        <w:t xml:space="preserve"> </w:t>
      </w:r>
    </w:p>
    <w:p w:rsidR="006146AF" w:rsidRPr="004A67B6" w:rsidRDefault="006146AF" w:rsidP="00891A88">
      <w:r>
        <w:t xml:space="preserve">Energy concessions can significantly improve energy affordability. </w:t>
      </w:r>
      <w:r w:rsidR="003373F4">
        <w:t xml:space="preserve">The potential savings vary in each jurisdiction. </w:t>
      </w:r>
      <w:r>
        <w:t>For example,</w:t>
      </w:r>
      <w:r w:rsidR="00A95BE0">
        <w:t xml:space="preserve"> </w:t>
      </w:r>
      <w:r w:rsidR="00C56DCC">
        <w:t>with</w:t>
      </w:r>
      <w:r w:rsidR="00A95BE0">
        <w:t xml:space="preserve"> a concession</w:t>
      </w:r>
      <w:r w:rsidR="00C56DCC">
        <w:t>,</w:t>
      </w:r>
      <w:r>
        <w:t xml:space="preserve"> low income households could save between $200 and $</w:t>
      </w:r>
      <w:r w:rsidR="003373F4">
        <w:t xml:space="preserve">460 </w:t>
      </w:r>
      <w:r>
        <w:t>on electricity</w:t>
      </w:r>
      <w:r w:rsidR="00ED2BAE">
        <w:t xml:space="preserve"> and up to $200</w:t>
      </w:r>
      <w:r>
        <w:t xml:space="preserve"> on gas each year</w:t>
      </w:r>
      <w:r w:rsidR="00A95BE0">
        <w:t>.</w:t>
      </w:r>
      <w:r>
        <w:t xml:space="preserve"> </w:t>
      </w:r>
    </w:p>
    <w:p w:rsidR="000E018E" w:rsidRPr="00597772" w:rsidRDefault="00891A88" w:rsidP="00597772">
      <w:r w:rsidRPr="0089015F">
        <w:t>Tariff structures in retail energy markets typically consist of a fixed charge (daily supply charge) and one or more variable components (energy use charges). Our analysis shows that these daily supply charges make up between 17 and 37 per cent of electricity and gas bills faced by low income households.</w:t>
      </w:r>
      <w:r w:rsidRPr="003F12A6">
        <w:t xml:space="preserve"> </w:t>
      </w:r>
      <w:r w:rsidR="00751791">
        <w:t>Although all households pay the same value of daily supply charges, low income households typically consume less energy, and therefore a larger percentage of their bill goes towards these fixed costs when compared with other households.</w:t>
      </w:r>
    </w:p>
    <w:p w:rsidR="00891A88" w:rsidRPr="0089015F" w:rsidRDefault="00891A88" w:rsidP="00891A88">
      <w:pPr>
        <w:pStyle w:val="Tabletitle"/>
      </w:pPr>
      <w:r w:rsidRPr="0089015F">
        <w:t>Figure 3.1: Annual electricity and gas bills, and as a share of benchmark low income household’s disposable income (without concession) – jurisdiction specific ‘low’ consumption levels, June 2013, 2014 and 2015</w:t>
      </w:r>
    </w:p>
    <w:p w:rsidR="00891A88" w:rsidRPr="003F12A6" w:rsidRDefault="00891A88" w:rsidP="00891A88">
      <w:r w:rsidRPr="003F12A6">
        <w:rPr>
          <w:noProof/>
          <w:lang w:eastAsia="en-AU"/>
        </w:rPr>
        <w:drawing>
          <wp:inline distT="0" distB="0" distL="0" distR="0" wp14:anchorId="61A778C2" wp14:editId="70D0A428">
            <wp:extent cx="5760000" cy="2775600"/>
            <wp:effectExtent l="0" t="0" r="0" b="5715"/>
            <wp:docPr id="19" name="Picture 19" descr="Low income households in Tasmania had the highest annual electricity bills, at $1927 without a concession (8.4 per cent of disposable income). Low income households in the ACT had the highest annual gas bills, at $1532. Gas bills of customers in Victoria were lower, but represented the greatest share of income (4.8 per cent). Annual electricity bills comprised the smallest share of disposable income for benchmark low income households in the ACT—3.6 per cent, without a concession applied. Annual gas bills comprised the smallest share of disposable income for benchmark low income households in Queensland—around 2.9 per cent, without a concession applied."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2775600"/>
                    </a:xfrm>
                    <a:prstGeom prst="rect">
                      <a:avLst/>
                    </a:prstGeom>
                    <a:noFill/>
                  </pic:spPr>
                </pic:pic>
              </a:graphicData>
            </a:graphic>
          </wp:inline>
        </w:drawing>
      </w:r>
    </w:p>
    <w:p w:rsidR="00891A88" w:rsidRPr="0089015F" w:rsidRDefault="00891A88" w:rsidP="00891A88">
      <w:r w:rsidRPr="0089015F">
        <w:t>Figure 3.2 directly compares energy charges across jurisdictions, as it applies the same energy consumption levels to all jurisdictions – 6000 kWh of electricity and 24 000 MJ of gas.</w:t>
      </w:r>
    </w:p>
    <w:p w:rsidR="00A16606" w:rsidRDefault="00891A88" w:rsidP="00751791">
      <w:r w:rsidRPr="0089015F">
        <w:lastRenderedPageBreak/>
        <w:t xml:space="preserve">Electricity charges were highest in South Australia ($2156), followed by Queensland ($1881) and New South Wales ($1822). Electricity charges were lowest in the ACT ($1265). Queensland ($1077) and South Australia ($1062) had the highest gas bills, and Victoria had the cheapest ($648).    </w:t>
      </w:r>
    </w:p>
    <w:p w:rsidR="00891A88" w:rsidRPr="00FA2E79" w:rsidRDefault="00891A88" w:rsidP="00891A88">
      <w:pPr>
        <w:pStyle w:val="Tabletitle"/>
      </w:pPr>
      <w:r w:rsidRPr="00FA2E79">
        <w:t>Figure 3.2: Annual electricity and gas bills (6000 kWh and 24 000 MJ pa), June 2013, 2014 and 2015</w:t>
      </w:r>
    </w:p>
    <w:p w:rsidR="00891A88" w:rsidRPr="003F12A6" w:rsidRDefault="00891A88" w:rsidP="00891A88">
      <w:r w:rsidRPr="003F12A6">
        <w:rPr>
          <w:noProof/>
          <w:lang w:eastAsia="en-AU"/>
        </w:rPr>
        <w:drawing>
          <wp:inline distT="0" distB="0" distL="0" distR="0" wp14:anchorId="0F369223" wp14:editId="3B910914">
            <wp:extent cx="5760000" cy="2779200"/>
            <wp:effectExtent l="0" t="0" r="0" b="2540"/>
            <wp:docPr id="20" name="Picture 20" descr="With equal consumption (of 6000 kWh), the annual electricity bill is highest in South Australia ($2156) followed by Queensland ($1881). Electricity bills were $1822 in New South Wales, $1803 in Tasmania, $1677 in Victoria and $1265 in the ACT. There was less variation in gas prices across the jurisdictions. Gas charges were highest in Queensland and South Australia (annual bills of $1077 and $1062 respectively), followed by New South Wales and the ACT, and were cheapest in Victoria ($648)."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0" cy="2779200"/>
                    </a:xfrm>
                    <a:prstGeom prst="rect">
                      <a:avLst/>
                    </a:prstGeom>
                    <a:noFill/>
                  </pic:spPr>
                </pic:pic>
              </a:graphicData>
            </a:graphic>
          </wp:inline>
        </w:drawing>
      </w:r>
    </w:p>
    <w:p w:rsidR="00891A88" w:rsidRPr="0089015F" w:rsidRDefault="00891A88" w:rsidP="00891A88">
      <w:pPr>
        <w:pStyle w:val="Heading2"/>
      </w:pPr>
      <w:bookmarkStart w:id="37" w:name="_Toc433026825"/>
      <w:r w:rsidRPr="0089015F">
        <w:t>Queensland</w:t>
      </w:r>
      <w:bookmarkEnd w:id="37"/>
    </w:p>
    <w:p w:rsidR="00891A88" w:rsidRPr="0089015F" w:rsidRDefault="00891A88" w:rsidP="00891A88">
      <w:pPr>
        <w:pStyle w:val="Heading3"/>
      </w:pPr>
      <w:bookmarkStart w:id="38" w:name="_Toc432765972"/>
      <w:bookmarkStart w:id="39" w:name="_Toc433026826"/>
      <w:r w:rsidRPr="0089015F">
        <w:t>Energy prices and bills</w:t>
      </w:r>
      <w:bookmarkEnd w:id="38"/>
      <w:bookmarkEnd w:id="39"/>
      <w:r w:rsidRPr="0089015F">
        <w:t xml:space="preserve"> </w:t>
      </w:r>
    </w:p>
    <w:p w:rsidR="00891A88" w:rsidRPr="0089015F" w:rsidRDefault="00891A88" w:rsidP="00891A88">
      <w:r w:rsidRPr="0089015F">
        <w:t xml:space="preserve">There are two electricity distribution zones in Queensland: </w:t>
      </w:r>
    </w:p>
    <w:p w:rsidR="00891A88" w:rsidRPr="0089015F" w:rsidRDefault="00891A88" w:rsidP="00E92189">
      <w:pPr>
        <w:pStyle w:val="Bulletpoint"/>
      </w:pPr>
      <w:r w:rsidRPr="0089015F">
        <w:t xml:space="preserve">Energex covers south east Queensland and </w:t>
      </w:r>
    </w:p>
    <w:p w:rsidR="00891A88" w:rsidRPr="003F12A6" w:rsidRDefault="00891A88" w:rsidP="00E92189">
      <w:pPr>
        <w:pStyle w:val="Bulletpoint"/>
      </w:pPr>
      <w:r w:rsidRPr="0089015F">
        <w:t>Ergon Energy, the rest of the state.</w:t>
      </w:r>
      <w:r w:rsidRPr="00891A88">
        <w:rPr>
          <w:rStyle w:val="Superscript"/>
        </w:rPr>
        <w:footnoteReference w:id="30"/>
      </w:r>
      <w:r w:rsidRPr="003F12A6">
        <w:t xml:space="preserve"> </w:t>
      </w:r>
    </w:p>
    <w:p w:rsidR="00891A88" w:rsidRPr="0089015F" w:rsidRDefault="00891A88" w:rsidP="00891A88">
      <w:r w:rsidRPr="0089015F">
        <w:t xml:space="preserve">The costs of supplying customers in Ergon Energy’s regional and rural areas are much greater than those in south east Queensland, which is serviced by Energex.  This is mainly due to the higher transport costs over long distances and fewer customers to share the costs of energy infrastructure. The Queensland Government subsidises Ergon Energy under its uniform tariff policy to ensure that customers in rural areas are not disadvantaged. </w:t>
      </w:r>
    </w:p>
    <w:p w:rsidR="00891A88" w:rsidRPr="003F12A6" w:rsidRDefault="00891A88" w:rsidP="00891A88">
      <w:r w:rsidRPr="0089015F">
        <w:t>The Queensland Competition Authority (QCA) reviews the regul</w:t>
      </w:r>
      <w:r w:rsidRPr="003F12A6">
        <w:t xml:space="preserve">ated tariffs (sometimes called notified prices) each year and makes price determinations. </w:t>
      </w:r>
    </w:p>
    <w:p w:rsidR="00891A88" w:rsidRPr="0089015F" w:rsidRDefault="00891A88" w:rsidP="00891A88">
      <w:r w:rsidRPr="0089015F">
        <w:t xml:space="preserve">The Queensland Government delayed its plan to commence price deregulation in South East Queensland from 1 July 2015 while the Queensland Productivity Commission undertakes an inquiry into electricity prices. </w:t>
      </w:r>
      <w:r w:rsidR="00DE75CA">
        <w:t xml:space="preserve">The Queensland Government has announced </w:t>
      </w:r>
      <w:r w:rsidR="00DE75CA">
        <w:lastRenderedPageBreak/>
        <w:t>that r</w:t>
      </w:r>
      <w:r w:rsidRPr="0089015F">
        <w:t>etail electricity prices will continue to be regulated in regional Queensland, where competition is limited.</w:t>
      </w:r>
    </w:p>
    <w:p w:rsidR="00891A88" w:rsidRPr="0089015F" w:rsidRDefault="00891A88" w:rsidP="00891A88">
      <w:r w:rsidRPr="0089015F">
        <w:t>Ergon Energy sells electricity at regulated prices</w:t>
      </w:r>
      <w:r w:rsidR="00C10857">
        <w:t xml:space="preserve">. </w:t>
      </w:r>
      <w:r w:rsidRPr="0089015F">
        <w:t xml:space="preserve">The standing offer in both the Ergon and Energex zones is the same ($1479) due to the uniform tariff policy. </w:t>
      </w:r>
    </w:p>
    <w:p w:rsidR="00891A88" w:rsidRPr="0089015F" w:rsidRDefault="00891A88" w:rsidP="00891A88">
      <w:r w:rsidRPr="0089015F">
        <w:t>Households in the Energex zone, however, can choose from a range of market and standing electricity offers from up to eight retailers. Annual electricity bills for these offers ranged from $1320 to $1552.  Annual electricity bills for the median market offer were $1387, which was $92 less than the median standing offer (Figure 3.3).</w:t>
      </w:r>
    </w:p>
    <w:p w:rsidR="00891A88" w:rsidRPr="00FA2E79" w:rsidRDefault="00891A88" w:rsidP="00891A88">
      <w:pPr>
        <w:pStyle w:val="Tabletitle"/>
      </w:pPr>
      <w:r w:rsidRPr="00FA2E79">
        <w:t>Figure 3.3: Range of generally available electricity offers by distribution zone (4100 kWh) – June 2015</w:t>
      </w:r>
    </w:p>
    <w:p w:rsidR="00891A88" w:rsidRPr="003F12A6" w:rsidRDefault="00891A88" w:rsidP="00891A88">
      <w:r w:rsidRPr="003F12A6">
        <w:rPr>
          <w:noProof/>
          <w:lang w:eastAsia="en-AU"/>
        </w:rPr>
        <w:drawing>
          <wp:inline distT="0" distB="0" distL="0" distR="0" wp14:anchorId="46161F3B" wp14:editId="59B8E18A">
            <wp:extent cx="5760000" cy="4370400"/>
            <wp:effectExtent l="0" t="0" r="0" b="0"/>
            <wp:docPr id="21" name="Picture 21" descr="Annual electricity bills for offers in Energex ranged between $1320 for the cheapest market offer and $1552 for the most expensive. The estimated annual bill for the median market offer was $1387. The annual electricity bill for the median standing offer in Energex was $1479. The annual electricity bill for the median standing offer in Ergon was also $1479."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4370400"/>
                    </a:xfrm>
                    <a:prstGeom prst="rect">
                      <a:avLst/>
                    </a:prstGeom>
                    <a:noFill/>
                  </pic:spPr>
                </pic:pic>
              </a:graphicData>
            </a:graphic>
          </wp:inline>
        </w:drawing>
      </w:r>
    </w:p>
    <w:p w:rsidR="00891A88" w:rsidRPr="0089015F" w:rsidRDefault="00891A88" w:rsidP="00891A88">
      <w:r w:rsidRPr="0089015F">
        <w:t xml:space="preserve">Queensland has four gas distribution zones: Allgas Energy (south Brisbane and the Gold Coast), Australian Gas Networks (AGN) (Brisbane North and Ipswich), AGN (Northern) and AGN (Wide Bay). </w:t>
      </w:r>
    </w:p>
    <w:p w:rsidR="00891A88" w:rsidRPr="003F12A6" w:rsidRDefault="00891A88" w:rsidP="00891A88">
      <w:r w:rsidRPr="0089015F">
        <w:t xml:space="preserve">The AEMC 2015 Competition Review found that competition in Queensland’s regional retail gas market is not effective, with gas customers in some areas having little to no choice of retailer. The AEMC does not expect these conditions to change, given the small market and </w:t>
      </w:r>
      <w:r w:rsidRPr="0089015F">
        <w:lastRenderedPageBreak/>
        <w:t>tightening demand and supply in the wholesale gas market.</w:t>
      </w:r>
      <w:r w:rsidRPr="00891A88">
        <w:rPr>
          <w:rStyle w:val="Superscript"/>
        </w:rPr>
        <w:footnoteReference w:id="31"/>
      </w:r>
      <w:r w:rsidR="00065BA2">
        <w:t xml:space="preserve"> The COAG Energy Council has directed the AEMC to review the design, function and roles of facilitated gas markets </w:t>
      </w:r>
      <w:r w:rsidR="00C56DCC">
        <w:t xml:space="preserve">and </w:t>
      </w:r>
      <w:r w:rsidR="00065BA2">
        <w:t>gas transportation arrangements on the east coast of Australia.</w:t>
      </w:r>
      <w:r w:rsidR="00065BA2">
        <w:rPr>
          <w:rStyle w:val="FootnoteReference"/>
        </w:rPr>
        <w:footnoteReference w:id="32"/>
      </w:r>
    </w:p>
    <w:p w:rsidR="00891A88" w:rsidRPr="0089015F" w:rsidRDefault="00891A88" w:rsidP="00891A88">
      <w:r w:rsidRPr="0089015F">
        <w:t xml:space="preserve">Figure 3.4 shows the range of annual gas bills across the distribution zones. The median market offer was lowest in AGN (Wide Bay) ($451) and highest in AGN (Northern) ($752). </w:t>
      </w:r>
    </w:p>
    <w:p w:rsidR="00891A88" w:rsidRPr="003F12A6" w:rsidRDefault="00891A88" w:rsidP="00891A88">
      <w:r w:rsidRPr="0089015F">
        <w:t xml:space="preserve">The range between the cheapest and most expensive market offers in each zone was reasonably narrow (between $21 and $31 across the AGN distribution zones and $47 for Allgas Energy). </w:t>
      </w:r>
    </w:p>
    <w:p w:rsidR="00891A88" w:rsidRPr="00FA2E79" w:rsidRDefault="00891A88" w:rsidP="00891A88">
      <w:pPr>
        <w:pStyle w:val="Tabletitle"/>
      </w:pPr>
      <w:r w:rsidRPr="00FA2E79">
        <w:t>Figure 3.4: Range of generally available gas offers by distribution zone (10 000 MJ) – June 2015</w:t>
      </w:r>
    </w:p>
    <w:p w:rsidR="00891A88" w:rsidRDefault="00891A88" w:rsidP="00891A88">
      <w:r w:rsidRPr="003F12A6">
        <w:rPr>
          <w:noProof/>
          <w:lang w:eastAsia="en-AU"/>
        </w:rPr>
        <w:drawing>
          <wp:inline distT="0" distB="0" distL="0" distR="0" wp14:anchorId="24B1536F" wp14:editId="41DA9D2B">
            <wp:extent cx="5760000" cy="4370400"/>
            <wp:effectExtent l="0" t="0" r="0" b="0"/>
            <wp:docPr id="22" name="Picture 22" descr="Based on the median market offer, annual gas bills were cheapest in Australian Gas Networks Wide Bay ($451) and most expensive in Australian Gas Networks Northern ($752). In all zones but Allgas Energy, the annual bill for the median standing offer was the most expensive offer. Australian Gas Networks Wide Bay and Australian Gas Networks Northern had a very narrow range between the cheapest and most expensive market offers, at $21 and $31 respectively."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4370400"/>
                    </a:xfrm>
                    <a:prstGeom prst="rect">
                      <a:avLst/>
                    </a:prstGeom>
                    <a:noFill/>
                  </pic:spPr>
                </pic:pic>
              </a:graphicData>
            </a:graphic>
          </wp:inline>
        </w:drawing>
      </w:r>
    </w:p>
    <w:p w:rsidR="00FB75A7" w:rsidRDefault="00FB75A7" w:rsidP="00891A88"/>
    <w:p w:rsidR="00FB75A7" w:rsidRDefault="00FB75A7" w:rsidP="00891A88"/>
    <w:p w:rsidR="00FB75A7" w:rsidRDefault="00FB75A7" w:rsidP="00891A88"/>
    <w:p w:rsidR="00891A88" w:rsidRPr="0089015F" w:rsidRDefault="00891A88" w:rsidP="00891A88">
      <w:pPr>
        <w:pStyle w:val="Heading3"/>
      </w:pPr>
      <w:bookmarkStart w:id="40" w:name="_Toc432765973"/>
      <w:bookmarkStart w:id="41" w:name="_Toc433026827"/>
      <w:r w:rsidRPr="0089015F">
        <w:lastRenderedPageBreak/>
        <w:t>Energy bills as a percentage of income</w:t>
      </w:r>
      <w:bookmarkEnd w:id="40"/>
      <w:bookmarkEnd w:id="41"/>
      <w:r w:rsidRPr="0089015F">
        <w:t xml:space="preserve"> </w:t>
      </w:r>
    </w:p>
    <w:p w:rsidR="00C10857" w:rsidRPr="00597772" w:rsidRDefault="00891A88" w:rsidP="00597772">
      <w:r w:rsidRPr="0089015F">
        <w:t>Two types of rebate are available to eligible customers</w:t>
      </w:r>
      <w:r w:rsidR="00AD6902">
        <w:t xml:space="preserve"> in Queensland</w:t>
      </w:r>
      <w:r w:rsidRPr="0089015F">
        <w:t>.</w:t>
      </w:r>
      <w:r w:rsidRPr="00891A88">
        <w:rPr>
          <w:rStyle w:val="Superscript"/>
        </w:rPr>
        <w:footnoteReference w:id="33"/>
      </w:r>
      <w:r w:rsidRPr="003F12A6">
        <w:t xml:space="preserve"> In 2014-15, the Electricity Rebate provided up to $321 per year towards electricity bills. The Reticulated Natural Gas Rebate provided around $68 per year. Figure 3.5 shows the impact of these rebates on bills for a benchmark low income household. </w:t>
      </w:r>
    </w:p>
    <w:p w:rsidR="00891A88" w:rsidRPr="00FA2E79" w:rsidRDefault="00891A88" w:rsidP="00891A88">
      <w:pPr>
        <w:pStyle w:val="Tabletitle"/>
      </w:pPr>
      <w:r w:rsidRPr="00FA2E79">
        <w:t>Figure 3.5: Annual electricity and gas bills, and as a share of disposable income for a benchmark low income household (4100 kWh and 10 000 MJ)</w:t>
      </w:r>
    </w:p>
    <w:p w:rsidR="00891A88" w:rsidRPr="003F12A6" w:rsidRDefault="00891A88" w:rsidP="00891A88">
      <w:r w:rsidRPr="003F12A6">
        <w:rPr>
          <w:noProof/>
          <w:lang w:eastAsia="en-AU"/>
        </w:rPr>
        <w:drawing>
          <wp:inline distT="0" distB="0" distL="0" distR="0" wp14:anchorId="7ACC5E46" wp14:editId="0D49939A">
            <wp:extent cx="5760000" cy="3823200"/>
            <wp:effectExtent l="0" t="0" r="0" b="6350"/>
            <wp:docPr id="23" name="Picture 23" descr="For a low income household, the annual electricity bill for the median market offer was $1387 ($1066 with a concession). This is 5.6 per cent of annual disposable income, or 4.3 per cent with a concession. The annual electricity bill for the median standing offer was higher than the median market offer, at $1479 ($1158 with a concession). This represents 6 per cent of a benchmark low income household’s annual disposable income, or 4.7 per cent with a concession.&#10;The annual gas bill for the median market offer was $709 ($641 with a concession). This is 2.9 per cent of annual disposable income (2.6 per cent with a concession). The annual gas bill for the median standing offer was 4 per cent greater than the median market offer, at $735 ($667 with a concession). This represents 3 per cent of a benchmark low income household’s annual disposable income (2.7 per cent with a concession). &#10;"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0" cy="3823200"/>
                    </a:xfrm>
                    <a:prstGeom prst="rect">
                      <a:avLst/>
                    </a:prstGeom>
                    <a:noFill/>
                  </pic:spPr>
                </pic:pic>
              </a:graphicData>
            </a:graphic>
          </wp:inline>
        </w:drawing>
      </w:r>
    </w:p>
    <w:p w:rsidR="00891A88" w:rsidRPr="0089015F" w:rsidRDefault="00891A88" w:rsidP="00891A88">
      <w:r w:rsidRPr="0089015F">
        <w:t xml:space="preserve">For a low income household, the annual electricity bill for the median market offer was $1387 ($1066 with a concession). This is 5.6 per cent of annual disposable income, or 4.3 per cent with a concession. The annual electricity bill for the median standing offer was </w:t>
      </w:r>
      <w:r w:rsidR="00567963">
        <w:t>7 per cent</w:t>
      </w:r>
      <w:r w:rsidR="003474B4">
        <w:t xml:space="preserve"> </w:t>
      </w:r>
      <w:r w:rsidRPr="0089015F">
        <w:t>higher than the median market offer, at $1479 ($1158 with a concession). This represents 6 per cent of a benchmark low income household’s annual disposable income, or 4.7 per cent with a concession.</w:t>
      </w:r>
    </w:p>
    <w:p w:rsidR="00891A88" w:rsidRPr="003F12A6" w:rsidRDefault="00891A88" w:rsidP="00891A88">
      <w:r w:rsidRPr="0089015F">
        <w:t>Annual electricity bills increased by only 4 per cent over the 12 months to June 2015</w:t>
      </w:r>
      <w:r w:rsidRPr="003F12A6">
        <w:t>, compared with a 23 per cent increase the previous year. The main factors pushing up electricity prices are wholesale costs, the Solar Bonus Scheme</w:t>
      </w:r>
      <w:r w:rsidRPr="00891A88">
        <w:rPr>
          <w:rStyle w:val="Superscript"/>
        </w:rPr>
        <w:footnoteReference w:id="34"/>
      </w:r>
      <w:r w:rsidRPr="003F12A6">
        <w:t xml:space="preserve"> and network charges. </w:t>
      </w:r>
      <w:r w:rsidR="00567963">
        <w:t xml:space="preserve">The </w:t>
      </w:r>
      <w:r w:rsidR="00567963">
        <w:lastRenderedPageBreak/>
        <w:t xml:space="preserve">network charges make up around 42 per cent of a Queensland customer's bill. The AER's 2015-20 network determinations for Energex and Ergon </w:t>
      </w:r>
      <w:r w:rsidR="0045449C">
        <w:t>are estimated to provide customers with future bill reductions, which will be evident in future reports.</w:t>
      </w:r>
    </w:p>
    <w:p w:rsidR="00891A88" w:rsidRPr="003F12A6" w:rsidRDefault="00891A88" w:rsidP="00891A88">
      <w:r w:rsidRPr="0089015F">
        <w:t>The annual gas bill for the median market offer was $709 ($641 with a concession). This is 2.9 per cen</w:t>
      </w:r>
      <w:r w:rsidRPr="003F12A6">
        <w:t>t of annual disposable income (2.6 per cent with a concession). The annual gas bill for the median standing offer was 4 per cent greater than the median market offer, at $735 ($667 with a concession). This represents 3 per cent of a benchmark low income household’s annual disposable income (2.7 per cent with a concession).</w:t>
      </w:r>
    </w:p>
    <w:p w:rsidR="00891A88" w:rsidRPr="0089015F" w:rsidRDefault="00891A88" w:rsidP="00891A88">
      <w:r w:rsidRPr="0089015F">
        <w:t xml:space="preserve">Annual gas bills for households on market offers increased by 1 per cent over the previous year, and by 4 per cent for households on standing offers. </w:t>
      </w:r>
    </w:p>
    <w:p w:rsidR="00891A88" w:rsidRPr="0089015F" w:rsidRDefault="00891A88" w:rsidP="00891A88">
      <w:r w:rsidRPr="0089015F">
        <w:t>For a household consuming a typical amount of electricity</w:t>
      </w:r>
      <w:r w:rsidR="00567963" w:rsidRPr="00567963">
        <w:t>–</w:t>
      </w:r>
      <w:r w:rsidR="00567963">
        <w:t>5800 kWh in Queensland</w:t>
      </w:r>
      <w:r w:rsidR="00567963" w:rsidRPr="00567963">
        <w:t>–</w:t>
      </w:r>
      <w:r w:rsidRPr="0089015F">
        <w:t xml:space="preserve">annual bills represent 2.6 per cent of a middle income household’s annual disposable income and 1 per cent </w:t>
      </w:r>
      <w:r w:rsidR="003474B4" w:rsidRPr="0089015F">
        <w:t xml:space="preserve">of a </w:t>
      </w:r>
      <w:r w:rsidR="003474B4">
        <w:t>high</w:t>
      </w:r>
      <w:r w:rsidR="003474B4" w:rsidRPr="0089015F">
        <w:t xml:space="preserve"> income household’s annual disposable income</w:t>
      </w:r>
      <w:r w:rsidRPr="0089015F">
        <w:t xml:space="preserve">. </w:t>
      </w:r>
    </w:p>
    <w:p w:rsidR="00891A88" w:rsidRPr="003F12A6" w:rsidRDefault="00891A88" w:rsidP="00891A88">
      <w:r w:rsidRPr="0089015F">
        <w:t xml:space="preserve">For a household consuming a typical amount of gas, annual gas bills </w:t>
      </w:r>
      <w:r w:rsidRPr="003F12A6">
        <w:t>represent 1 per cent of a middle income household’s annual disposable income and 0.4 per cent of a high income household’s income (table 3.</w:t>
      </w:r>
      <w:r w:rsidR="00B97CA3">
        <w:t>1</w:t>
      </w:r>
      <w:r w:rsidRPr="003F12A6">
        <w:t xml:space="preserve">). </w:t>
      </w:r>
    </w:p>
    <w:p w:rsidR="00891A88" w:rsidRPr="00FA2E79" w:rsidRDefault="00891A88" w:rsidP="00891A88">
      <w:pPr>
        <w:pStyle w:val="Tabletitle"/>
      </w:pPr>
      <w:r w:rsidRPr="00FA2E79">
        <w:t>Table 3.</w:t>
      </w:r>
      <w:r w:rsidR="00B97CA3">
        <w:t>1</w:t>
      </w:r>
      <w:r w:rsidRPr="00FA2E79">
        <w:t>: Summary of annual electricity and gas bills (for the median market offer) and as a share of disposable income – June 2015</w:t>
      </w:r>
    </w:p>
    <w:tbl>
      <w:tblPr>
        <w:tblW w:w="0" w:type="auto"/>
        <w:tblLook w:val="04A0" w:firstRow="1" w:lastRow="0" w:firstColumn="1" w:lastColumn="0" w:noHBand="0" w:noVBand="1"/>
      </w:tblPr>
      <w:tblGrid>
        <w:gridCol w:w="3369"/>
        <w:gridCol w:w="2268"/>
        <w:gridCol w:w="1559"/>
        <w:gridCol w:w="2046"/>
      </w:tblGrid>
      <w:tr w:rsidR="00891A88" w:rsidRPr="0089015F" w:rsidTr="002F4D97">
        <w:tc>
          <w:tcPr>
            <w:tcW w:w="3369" w:type="dxa"/>
            <w:shd w:val="clear" w:color="auto" w:fill="F2F2F2" w:themeFill="background1" w:themeFillShade="F2"/>
          </w:tcPr>
          <w:p w:rsidR="00891A88" w:rsidRPr="006D4C8B" w:rsidRDefault="00891A88" w:rsidP="00E92189">
            <w:pPr>
              <w:pStyle w:val="Tabletext"/>
              <w:rPr>
                <w:rStyle w:val="Strong"/>
              </w:rPr>
            </w:pPr>
            <w:r w:rsidRPr="006D4C8B">
              <w:rPr>
                <w:rStyle w:val="Strong"/>
              </w:rPr>
              <w:t>Income level</w:t>
            </w:r>
          </w:p>
        </w:tc>
        <w:tc>
          <w:tcPr>
            <w:tcW w:w="2268" w:type="dxa"/>
            <w:shd w:val="clear" w:color="auto" w:fill="F2F2F2" w:themeFill="background1" w:themeFillShade="F2"/>
          </w:tcPr>
          <w:p w:rsidR="00891A88" w:rsidRPr="006D4C8B" w:rsidRDefault="00891A88" w:rsidP="00E92189">
            <w:pPr>
              <w:pStyle w:val="Tabletext"/>
              <w:rPr>
                <w:rStyle w:val="Strong"/>
              </w:rPr>
            </w:pPr>
            <w:r w:rsidRPr="006D4C8B">
              <w:rPr>
                <w:rStyle w:val="Strong"/>
              </w:rPr>
              <w:t>Annual consumption</w:t>
            </w:r>
          </w:p>
        </w:tc>
        <w:tc>
          <w:tcPr>
            <w:tcW w:w="1559" w:type="dxa"/>
            <w:shd w:val="clear" w:color="auto" w:fill="F2F2F2" w:themeFill="background1" w:themeFillShade="F2"/>
          </w:tcPr>
          <w:p w:rsidR="00891A88" w:rsidRPr="006D4C8B" w:rsidRDefault="00891A88" w:rsidP="00E92189">
            <w:pPr>
              <w:pStyle w:val="Tabletext"/>
              <w:rPr>
                <w:rStyle w:val="Strong"/>
              </w:rPr>
            </w:pPr>
            <w:r w:rsidRPr="006D4C8B">
              <w:rPr>
                <w:rStyle w:val="Strong"/>
              </w:rPr>
              <w:t xml:space="preserve">Annual bill ($) </w:t>
            </w:r>
          </w:p>
        </w:tc>
        <w:tc>
          <w:tcPr>
            <w:tcW w:w="2046" w:type="dxa"/>
            <w:shd w:val="clear" w:color="auto" w:fill="F2F2F2" w:themeFill="background1" w:themeFillShade="F2"/>
          </w:tcPr>
          <w:p w:rsidR="00891A88" w:rsidRPr="006D4C8B" w:rsidRDefault="00891A88" w:rsidP="00E92189">
            <w:pPr>
              <w:pStyle w:val="Tabletext"/>
              <w:rPr>
                <w:rStyle w:val="Strong"/>
              </w:rPr>
            </w:pPr>
            <w:r w:rsidRPr="006D4C8B">
              <w:rPr>
                <w:rStyle w:val="Strong"/>
              </w:rPr>
              <w:t>Proportion of annual income (%)</w:t>
            </w:r>
          </w:p>
        </w:tc>
      </w:tr>
      <w:tr w:rsidR="00891A88" w:rsidRPr="0089015F" w:rsidTr="002F4D97">
        <w:tc>
          <w:tcPr>
            <w:tcW w:w="3369" w:type="dxa"/>
            <w:tcBorders>
              <w:top w:val="single" w:sz="4" w:space="0" w:color="BFBFBF" w:themeColor="background1" w:themeShade="BF"/>
              <w:bottom w:val="single" w:sz="4" w:space="0" w:color="auto"/>
            </w:tcBorders>
          </w:tcPr>
          <w:p w:rsidR="00891A88" w:rsidRPr="003F12A6" w:rsidRDefault="00891A88" w:rsidP="00E92189">
            <w:pPr>
              <w:pStyle w:val="Tabletext"/>
            </w:pPr>
            <w:r w:rsidRPr="003F12A6">
              <w:t>Low income – with concession</w:t>
            </w:r>
          </w:p>
        </w:tc>
        <w:tc>
          <w:tcPr>
            <w:tcW w:w="2268"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Electricity 4100 kWh</w:t>
            </w:r>
          </w:p>
        </w:tc>
        <w:tc>
          <w:tcPr>
            <w:tcW w:w="1559"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1066</w:t>
            </w:r>
          </w:p>
        </w:tc>
        <w:tc>
          <w:tcPr>
            <w:tcW w:w="2046"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4.3</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Low income – without concession</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Electricity 4100 kWh</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1387</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5.6</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Middle income</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Electricity 5800 kWh</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1829</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2.6</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High income</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Electricity 5800 kWh</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1829</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1.0</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Low income – with concession</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Gas 10 000 MJ</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641</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2.6</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Low income – without concession</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Gas 10 000 MJ</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709</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2.9</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Middle income</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Gas 10 000 MJ</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709</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1.0</w:t>
            </w:r>
          </w:p>
        </w:tc>
      </w:tr>
      <w:tr w:rsidR="00891A88" w:rsidRPr="0089015F" w:rsidTr="002F4D97">
        <w:tc>
          <w:tcPr>
            <w:tcW w:w="3369" w:type="dxa"/>
            <w:tcBorders>
              <w:top w:val="single" w:sz="4" w:space="0" w:color="auto"/>
              <w:bottom w:val="single" w:sz="4" w:space="0" w:color="BFBFBF" w:themeColor="background1" w:themeShade="BF"/>
            </w:tcBorders>
          </w:tcPr>
          <w:p w:rsidR="00891A88" w:rsidRPr="003F12A6" w:rsidRDefault="00891A88" w:rsidP="00E92189">
            <w:pPr>
              <w:pStyle w:val="Tabletext"/>
            </w:pPr>
            <w:r w:rsidRPr="003F12A6">
              <w:t>High income</w:t>
            </w:r>
          </w:p>
        </w:tc>
        <w:tc>
          <w:tcPr>
            <w:tcW w:w="2268"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Gas 10 000 MJ</w:t>
            </w:r>
          </w:p>
        </w:tc>
        <w:tc>
          <w:tcPr>
            <w:tcW w:w="1559"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709</w:t>
            </w:r>
          </w:p>
        </w:tc>
        <w:tc>
          <w:tcPr>
            <w:tcW w:w="2046"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0.4</w:t>
            </w:r>
          </w:p>
        </w:tc>
      </w:tr>
    </w:tbl>
    <w:p w:rsidR="00891A88" w:rsidRPr="0089015F" w:rsidRDefault="00891A88" w:rsidP="00891A88">
      <w:pPr>
        <w:pStyle w:val="Heading3"/>
      </w:pPr>
      <w:bookmarkStart w:id="42" w:name="_Toc432765974"/>
      <w:bookmarkStart w:id="43" w:name="_Toc433026828"/>
      <w:r w:rsidRPr="0089015F">
        <w:t>Composition of energy bills and impact of concessions</w:t>
      </w:r>
      <w:bookmarkEnd w:id="42"/>
      <w:bookmarkEnd w:id="43"/>
    </w:p>
    <w:p w:rsidR="00891A88" w:rsidRPr="0089015F" w:rsidRDefault="00891A88" w:rsidP="00891A88">
      <w:r w:rsidRPr="0089015F">
        <w:t>Table 3.</w:t>
      </w:r>
      <w:r w:rsidR="00B97CA3">
        <w:t>2</w:t>
      </w:r>
      <w:r w:rsidR="00B97CA3" w:rsidRPr="0089015F">
        <w:t xml:space="preserve"> </w:t>
      </w:r>
      <w:r w:rsidRPr="0089015F">
        <w:t xml:space="preserve">shows the portions of low income household energy bills attributed to daily supply charges and energy use charges, as well as the savings provided by energy concessions.  </w:t>
      </w:r>
    </w:p>
    <w:p w:rsidR="00891A88" w:rsidRPr="0089015F" w:rsidRDefault="00891A88" w:rsidP="00891A88">
      <w:r w:rsidRPr="0089015F">
        <w:t xml:space="preserve">Daily supply charges for electricity were around $335 per annum in 2015, which represents 24 per cent of a low income household’s annual electricity bill, and 1.4 per cent of its disposable income. Daily supply charges for electricity have increased from $105 per annum </w:t>
      </w:r>
      <w:r w:rsidRPr="0089015F">
        <w:lastRenderedPageBreak/>
        <w:t>(10 per cent of an annual bill) in 2013, however proportionally are similar to other jurisdictions.</w:t>
      </w:r>
    </w:p>
    <w:p w:rsidR="00891A88" w:rsidRPr="0089015F" w:rsidRDefault="00891A88" w:rsidP="00891A88">
      <w:r w:rsidRPr="0089015F">
        <w:t>Daily supply charges for gas were around $260 per annum, which represents 37 per cent of a low income household’s annual gas bill, and around 1 per cent of its disposable income.</w:t>
      </w:r>
    </w:p>
    <w:p w:rsidR="00C10857" w:rsidRPr="00597772" w:rsidRDefault="00891A88" w:rsidP="00597772">
      <w:r w:rsidRPr="0089015F">
        <w:t xml:space="preserve">Energy concessions help eligible customers save 23 per cent on electricity and 10 per cent on gas. </w:t>
      </w:r>
    </w:p>
    <w:p w:rsidR="00891A88" w:rsidRPr="00FA2E79" w:rsidRDefault="00891A88" w:rsidP="00891A88">
      <w:pPr>
        <w:pStyle w:val="Tabletitle"/>
      </w:pPr>
      <w:r w:rsidRPr="00FA2E79">
        <w:t>Table 3.</w:t>
      </w:r>
      <w:r w:rsidR="00B97CA3">
        <w:t>2</w:t>
      </w:r>
      <w:r w:rsidRPr="00FA2E79">
        <w:t>: Composition of low income household energy bills (median market offer)</w:t>
      </w:r>
    </w:p>
    <w:tbl>
      <w:tblPr>
        <w:tblW w:w="9180" w:type="dxa"/>
        <w:tblLayout w:type="fixed"/>
        <w:tblLook w:val="04A0" w:firstRow="1" w:lastRow="0" w:firstColumn="1" w:lastColumn="0" w:noHBand="0" w:noVBand="1"/>
      </w:tblPr>
      <w:tblGrid>
        <w:gridCol w:w="2835"/>
        <w:gridCol w:w="959"/>
        <w:gridCol w:w="1417"/>
        <w:gridCol w:w="1843"/>
        <w:gridCol w:w="2126"/>
      </w:tblGrid>
      <w:tr w:rsidR="00891A88" w:rsidRPr="0089015F" w:rsidTr="002F4D97">
        <w:tc>
          <w:tcPr>
            <w:tcW w:w="2835" w:type="dxa"/>
            <w:shd w:val="clear" w:color="auto" w:fill="F2F2F2" w:themeFill="background1" w:themeFillShade="F2"/>
          </w:tcPr>
          <w:p w:rsidR="00891A88" w:rsidRPr="006D4C8B" w:rsidRDefault="00891A88" w:rsidP="00E92189">
            <w:pPr>
              <w:pStyle w:val="Tabletext"/>
              <w:rPr>
                <w:rStyle w:val="Strong"/>
              </w:rPr>
            </w:pPr>
            <w:r w:rsidRPr="006D4C8B">
              <w:rPr>
                <w:rStyle w:val="Strong"/>
              </w:rPr>
              <w:t>Fuel type – consumption</w:t>
            </w:r>
          </w:p>
        </w:tc>
        <w:tc>
          <w:tcPr>
            <w:tcW w:w="959" w:type="dxa"/>
            <w:shd w:val="clear" w:color="auto" w:fill="F2F2F2" w:themeFill="background1" w:themeFillShade="F2"/>
          </w:tcPr>
          <w:p w:rsidR="00891A88" w:rsidRPr="006D4C8B" w:rsidRDefault="00891A88" w:rsidP="00E92189">
            <w:pPr>
              <w:pStyle w:val="Tabletext"/>
              <w:rPr>
                <w:rStyle w:val="Strong"/>
              </w:rPr>
            </w:pPr>
            <w:r w:rsidRPr="006D4C8B">
              <w:rPr>
                <w:rStyle w:val="Strong"/>
              </w:rPr>
              <w:t>Year</w:t>
            </w:r>
          </w:p>
        </w:tc>
        <w:tc>
          <w:tcPr>
            <w:tcW w:w="1417" w:type="dxa"/>
            <w:shd w:val="clear" w:color="auto" w:fill="F2F2F2" w:themeFill="background1" w:themeFillShade="F2"/>
          </w:tcPr>
          <w:p w:rsidR="00891A88" w:rsidRPr="006D4C8B" w:rsidRDefault="00891A88" w:rsidP="00E92189">
            <w:pPr>
              <w:pStyle w:val="Tabletext"/>
              <w:rPr>
                <w:rStyle w:val="Strong"/>
              </w:rPr>
            </w:pPr>
            <w:r w:rsidRPr="006D4C8B">
              <w:rPr>
                <w:rStyle w:val="Strong"/>
              </w:rPr>
              <w:t>Daily supply charges (%)</w:t>
            </w:r>
          </w:p>
        </w:tc>
        <w:tc>
          <w:tcPr>
            <w:tcW w:w="1843" w:type="dxa"/>
            <w:shd w:val="clear" w:color="auto" w:fill="F2F2F2" w:themeFill="background1" w:themeFillShade="F2"/>
          </w:tcPr>
          <w:p w:rsidR="00891A88" w:rsidRPr="006D4C8B" w:rsidRDefault="00891A88" w:rsidP="00E92189">
            <w:pPr>
              <w:pStyle w:val="Tabletext"/>
              <w:rPr>
                <w:rStyle w:val="Strong"/>
              </w:rPr>
            </w:pPr>
            <w:r w:rsidRPr="006D4C8B">
              <w:rPr>
                <w:rStyle w:val="Strong"/>
              </w:rPr>
              <w:t>Energy use charges (%)</w:t>
            </w:r>
          </w:p>
        </w:tc>
        <w:tc>
          <w:tcPr>
            <w:tcW w:w="2126" w:type="dxa"/>
            <w:shd w:val="clear" w:color="auto" w:fill="F2F2F2" w:themeFill="background1" w:themeFillShade="F2"/>
          </w:tcPr>
          <w:p w:rsidR="00891A88" w:rsidRPr="006D4C8B" w:rsidRDefault="00891A88" w:rsidP="00E92189">
            <w:pPr>
              <w:pStyle w:val="Tabletext"/>
              <w:rPr>
                <w:rStyle w:val="Strong"/>
              </w:rPr>
            </w:pPr>
            <w:r w:rsidRPr="006D4C8B">
              <w:rPr>
                <w:rStyle w:val="Strong"/>
              </w:rPr>
              <w:t>Saving with concession (%)</w:t>
            </w:r>
          </w:p>
        </w:tc>
      </w:tr>
      <w:tr w:rsidR="00891A88" w:rsidRPr="0089015F" w:rsidTr="002F4D97">
        <w:tc>
          <w:tcPr>
            <w:tcW w:w="2835" w:type="dxa"/>
          </w:tcPr>
          <w:p w:rsidR="00891A88" w:rsidRPr="003F12A6" w:rsidRDefault="00891A88" w:rsidP="00E92189">
            <w:pPr>
              <w:pStyle w:val="Tabletext"/>
            </w:pPr>
            <w:r w:rsidRPr="003F12A6">
              <w:t>Electricity – 4100 kWh</w:t>
            </w:r>
          </w:p>
        </w:tc>
        <w:tc>
          <w:tcPr>
            <w:tcW w:w="959"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2013</w:t>
            </w:r>
          </w:p>
        </w:tc>
        <w:tc>
          <w:tcPr>
            <w:tcW w:w="1417"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9.7%</w:t>
            </w:r>
          </w:p>
        </w:tc>
        <w:tc>
          <w:tcPr>
            <w:tcW w:w="1843"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90.3%</w:t>
            </w:r>
          </w:p>
        </w:tc>
        <w:tc>
          <w:tcPr>
            <w:tcW w:w="2126"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21.2%</w:t>
            </w:r>
          </w:p>
        </w:tc>
      </w:tr>
      <w:tr w:rsidR="00891A88" w:rsidRPr="0089015F" w:rsidTr="002F4D97">
        <w:tc>
          <w:tcPr>
            <w:tcW w:w="2835" w:type="dxa"/>
            <w:tcBorders>
              <w:bottom w:val="nil"/>
            </w:tcBorders>
          </w:tcPr>
          <w:p w:rsidR="00891A88" w:rsidRPr="003F12A6" w:rsidRDefault="00891A88" w:rsidP="00E92189">
            <w:pPr>
              <w:pStyle w:val="Tabletext"/>
            </w:pPr>
          </w:p>
        </w:tc>
        <w:tc>
          <w:tcPr>
            <w:tcW w:w="959" w:type="dxa"/>
            <w:tcBorders>
              <w:top w:val="single" w:sz="4" w:space="0" w:color="auto"/>
              <w:bottom w:val="single" w:sz="4" w:space="0" w:color="auto"/>
            </w:tcBorders>
          </w:tcPr>
          <w:p w:rsidR="00891A88" w:rsidRPr="0089015F" w:rsidRDefault="00891A88" w:rsidP="00E92189">
            <w:pPr>
              <w:pStyle w:val="Tabletext"/>
            </w:pPr>
            <w:r w:rsidRPr="0089015F">
              <w:t>2014</w:t>
            </w:r>
          </w:p>
        </w:tc>
        <w:tc>
          <w:tcPr>
            <w:tcW w:w="1417" w:type="dxa"/>
            <w:tcBorders>
              <w:top w:val="single" w:sz="4" w:space="0" w:color="auto"/>
              <w:bottom w:val="single" w:sz="4" w:space="0" w:color="auto"/>
            </w:tcBorders>
          </w:tcPr>
          <w:p w:rsidR="00891A88" w:rsidRPr="0089015F" w:rsidRDefault="00891A88" w:rsidP="00E92189">
            <w:pPr>
              <w:pStyle w:val="Tabletext"/>
            </w:pPr>
            <w:r w:rsidRPr="0089015F">
              <w:t>15.1%</w:t>
            </w:r>
          </w:p>
        </w:tc>
        <w:tc>
          <w:tcPr>
            <w:tcW w:w="1843" w:type="dxa"/>
            <w:tcBorders>
              <w:top w:val="single" w:sz="4" w:space="0" w:color="auto"/>
              <w:bottom w:val="single" w:sz="4" w:space="0" w:color="auto"/>
            </w:tcBorders>
          </w:tcPr>
          <w:p w:rsidR="00891A88" w:rsidRPr="0089015F" w:rsidRDefault="00891A88" w:rsidP="00E92189">
            <w:pPr>
              <w:pStyle w:val="Tabletext"/>
            </w:pPr>
            <w:r w:rsidRPr="0089015F">
              <w:t>84.9%</w:t>
            </w:r>
          </w:p>
        </w:tc>
        <w:tc>
          <w:tcPr>
            <w:tcW w:w="2126" w:type="dxa"/>
            <w:tcBorders>
              <w:top w:val="single" w:sz="4" w:space="0" w:color="auto"/>
              <w:bottom w:val="single" w:sz="4" w:space="0" w:color="auto"/>
            </w:tcBorders>
          </w:tcPr>
          <w:p w:rsidR="00891A88" w:rsidRPr="0089015F" w:rsidRDefault="00891A88" w:rsidP="00E92189">
            <w:pPr>
              <w:pStyle w:val="Tabletext"/>
            </w:pPr>
            <w:r w:rsidRPr="0089015F">
              <w:t>21.2%</w:t>
            </w:r>
          </w:p>
        </w:tc>
      </w:tr>
      <w:tr w:rsidR="00891A88" w:rsidRPr="0089015F" w:rsidTr="002F4D97">
        <w:tc>
          <w:tcPr>
            <w:tcW w:w="2835" w:type="dxa"/>
            <w:tcBorders>
              <w:top w:val="nil"/>
              <w:bottom w:val="single" w:sz="4" w:space="0" w:color="auto"/>
            </w:tcBorders>
          </w:tcPr>
          <w:p w:rsidR="00891A88" w:rsidRPr="003F12A6" w:rsidRDefault="00891A88" w:rsidP="00E92189">
            <w:pPr>
              <w:pStyle w:val="Tabletext"/>
            </w:pPr>
          </w:p>
        </w:tc>
        <w:tc>
          <w:tcPr>
            <w:tcW w:w="959" w:type="dxa"/>
            <w:tcBorders>
              <w:top w:val="single" w:sz="4" w:space="0" w:color="auto"/>
              <w:bottom w:val="single" w:sz="4" w:space="0" w:color="auto"/>
            </w:tcBorders>
          </w:tcPr>
          <w:p w:rsidR="00891A88" w:rsidRPr="0089015F" w:rsidRDefault="00891A88" w:rsidP="00E92189">
            <w:pPr>
              <w:pStyle w:val="Tabletext"/>
            </w:pPr>
            <w:r w:rsidRPr="0089015F">
              <w:t>2015</w:t>
            </w:r>
          </w:p>
        </w:tc>
        <w:tc>
          <w:tcPr>
            <w:tcW w:w="1417" w:type="dxa"/>
            <w:tcBorders>
              <w:top w:val="single" w:sz="4" w:space="0" w:color="auto"/>
              <w:bottom w:val="single" w:sz="4" w:space="0" w:color="auto"/>
            </w:tcBorders>
          </w:tcPr>
          <w:p w:rsidR="00891A88" w:rsidRPr="0089015F" w:rsidRDefault="00891A88" w:rsidP="00E92189">
            <w:pPr>
              <w:pStyle w:val="Tabletext"/>
            </w:pPr>
            <w:r w:rsidRPr="0089015F">
              <w:t>24.1%</w:t>
            </w:r>
          </w:p>
        </w:tc>
        <w:tc>
          <w:tcPr>
            <w:tcW w:w="1843" w:type="dxa"/>
            <w:tcBorders>
              <w:top w:val="single" w:sz="4" w:space="0" w:color="auto"/>
              <w:bottom w:val="single" w:sz="4" w:space="0" w:color="auto"/>
            </w:tcBorders>
          </w:tcPr>
          <w:p w:rsidR="00891A88" w:rsidRPr="0089015F" w:rsidRDefault="00891A88" w:rsidP="00E92189">
            <w:pPr>
              <w:pStyle w:val="Tabletext"/>
            </w:pPr>
            <w:r w:rsidRPr="0089015F">
              <w:t>75.9%</w:t>
            </w:r>
          </w:p>
        </w:tc>
        <w:tc>
          <w:tcPr>
            <w:tcW w:w="2126" w:type="dxa"/>
            <w:tcBorders>
              <w:top w:val="single" w:sz="4" w:space="0" w:color="auto"/>
              <w:bottom w:val="single" w:sz="4" w:space="0" w:color="auto"/>
            </w:tcBorders>
          </w:tcPr>
          <w:p w:rsidR="00891A88" w:rsidRPr="0089015F" w:rsidRDefault="00891A88" w:rsidP="00E92189">
            <w:pPr>
              <w:pStyle w:val="Tabletext"/>
            </w:pPr>
            <w:r w:rsidRPr="0089015F">
              <w:t>23.1%</w:t>
            </w:r>
          </w:p>
        </w:tc>
      </w:tr>
      <w:tr w:rsidR="00891A88" w:rsidRPr="0089015F" w:rsidTr="002F4D97">
        <w:tc>
          <w:tcPr>
            <w:tcW w:w="2835" w:type="dxa"/>
            <w:tcBorders>
              <w:top w:val="single" w:sz="4" w:space="0" w:color="auto"/>
            </w:tcBorders>
          </w:tcPr>
          <w:p w:rsidR="00891A88" w:rsidRPr="003F12A6" w:rsidRDefault="00891A88" w:rsidP="00E92189">
            <w:pPr>
              <w:pStyle w:val="Tabletext"/>
            </w:pPr>
            <w:r w:rsidRPr="003F12A6">
              <w:t>Gas – 10 000 MJ</w:t>
            </w:r>
          </w:p>
        </w:tc>
        <w:tc>
          <w:tcPr>
            <w:tcW w:w="959" w:type="dxa"/>
            <w:tcBorders>
              <w:top w:val="single" w:sz="4" w:space="0" w:color="auto"/>
              <w:bottom w:val="single" w:sz="4" w:space="0" w:color="auto"/>
            </w:tcBorders>
          </w:tcPr>
          <w:p w:rsidR="00891A88" w:rsidRPr="0089015F" w:rsidRDefault="00891A88" w:rsidP="00E92189">
            <w:pPr>
              <w:pStyle w:val="Tabletext"/>
            </w:pPr>
            <w:r w:rsidRPr="0089015F">
              <w:t>2013</w:t>
            </w:r>
          </w:p>
        </w:tc>
        <w:tc>
          <w:tcPr>
            <w:tcW w:w="1417" w:type="dxa"/>
            <w:tcBorders>
              <w:top w:val="single" w:sz="4" w:space="0" w:color="auto"/>
              <w:bottom w:val="single" w:sz="4" w:space="0" w:color="auto"/>
            </w:tcBorders>
          </w:tcPr>
          <w:p w:rsidR="00891A88" w:rsidRPr="0089015F" w:rsidRDefault="00891A88" w:rsidP="00E92189">
            <w:pPr>
              <w:pStyle w:val="Tabletext"/>
            </w:pPr>
            <w:r w:rsidRPr="0089015F">
              <w:t>46.3%</w:t>
            </w:r>
          </w:p>
        </w:tc>
        <w:tc>
          <w:tcPr>
            <w:tcW w:w="1843" w:type="dxa"/>
            <w:tcBorders>
              <w:top w:val="single" w:sz="4" w:space="0" w:color="auto"/>
              <w:bottom w:val="single" w:sz="4" w:space="0" w:color="auto"/>
            </w:tcBorders>
          </w:tcPr>
          <w:p w:rsidR="00891A88" w:rsidRPr="0089015F" w:rsidRDefault="00891A88" w:rsidP="00E92189">
            <w:pPr>
              <w:pStyle w:val="Tabletext"/>
            </w:pPr>
            <w:r w:rsidRPr="0089015F">
              <w:t>53.7%</w:t>
            </w:r>
          </w:p>
        </w:tc>
        <w:tc>
          <w:tcPr>
            <w:tcW w:w="2126" w:type="dxa"/>
            <w:tcBorders>
              <w:top w:val="single" w:sz="4" w:space="0" w:color="auto"/>
              <w:bottom w:val="single" w:sz="4" w:space="0" w:color="auto"/>
            </w:tcBorders>
          </w:tcPr>
          <w:p w:rsidR="00891A88" w:rsidRPr="0089015F" w:rsidRDefault="00891A88" w:rsidP="00E92189">
            <w:pPr>
              <w:pStyle w:val="Tabletext"/>
            </w:pPr>
            <w:r w:rsidRPr="0089015F">
              <w:t>10.0%</w:t>
            </w:r>
          </w:p>
        </w:tc>
      </w:tr>
      <w:tr w:rsidR="00891A88" w:rsidRPr="0089015F" w:rsidTr="002F4D97">
        <w:tc>
          <w:tcPr>
            <w:tcW w:w="2835" w:type="dxa"/>
          </w:tcPr>
          <w:p w:rsidR="00891A88" w:rsidRPr="003F12A6" w:rsidRDefault="00891A88" w:rsidP="00E92189">
            <w:pPr>
              <w:pStyle w:val="Tabletext"/>
            </w:pPr>
          </w:p>
        </w:tc>
        <w:tc>
          <w:tcPr>
            <w:tcW w:w="959" w:type="dxa"/>
            <w:tcBorders>
              <w:top w:val="single" w:sz="4" w:space="0" w:color="auto"/>
              <w:bottom w:val="single" w:sz="4" w:space="0" w:color="auto"/>
            </w:tcBorders>
          </w:tcPr>
          <w:p w:rsidR="00891A88" w:rsidRPr="0089015F" w:rsidRDefault="00891A88" w:rsidP="00E92189">
            <w:pPr>
              <w:pStyle w:val="Tabletext"/>
            </w:pPr>
            <w:r w:rsidRPr="0089015F">
              <w:t>2014</w:t>
            </w:r>
          </w:p>
        </w:tc>
        <w:tc>
          <w:tcPr>
            <w:tcW w:w="1417" w:type="dxa"/>
            <w:tcBorders>
              <w:top w:val="single" w:sz="4" w:space="0" w:color="auto"/>
              <w:bottom w:val="single" w:sz="4" w:space="0" w:color="auto"/>
            </w:tcBorders>
          </w:tcPr>
          <w:p w:rsidR="00891A88" w:rsidRPr="0089015F" w:rsidRDefault="00891A88" w:rsidP="00E92189">
            <w:pPr>
              <w:pStyle w:val="Tabletext"/>
            </w:pPr>
            <w:r w:rsidRPr="0089015F">
              <w:t>42.4%</w:t>
            </w:r>
          </w:p>
        </w:tc>
        <w:tc>
          <w:tcPr>
            <w:tcW w:w="1843" w:type="dxa"/>
            <w:tcBorders>
              <w:top w:val="single" w:sz="4" w:space="0" w:color="auto"/>
              <w:bottom w:val="single" w:sz="4" w:space="0" w:color="auto"/>
            </w:tcBorders>
          </w:tcPr>
          <w:p w:rsidR="00891A88" w:rsidRPr="0089015F" w:rsidRDefault="00891A88" w:rsidP="00E92189">
            <w:pPr>
              <w:pStyle w:val="Tabletext"/>
            </w:pPr>
            <w:r w:rsidRPr="0089015F">
              <w:t>57.6%</w:t>
            </w:r>
          </w:p>
        </w:tc>
        <w:tc>
          <w:tcPr>
            <w:tcW w:w="2126" w:type="dxa"/>
            <w:tcBorders>
              <w:top w:val="single" w:sz="4" w:space="0" w:color="auto"/>
              <w:bottom w:val="single" w:sz="4" w:space="0" w:color="auto"/>
            </w:tcBorders>
          </w:tcPr>
          <w:p w:rsidR="00891A88" w:rsidRPr="0089015F" w:rsidRDefault="00891A88" w:rsidP="00E92189">
            <w:pPr>
              <w:pStyle w:val="Tabletext"/>
            </w:pPr>
            <w:r w:rsidRPr="0089015F">
              <w:t>9.3%</w:t>
            </w:r>
          </w:p>
        </w:tc>
      </w:tr>
      <w:tr w:rsidR="00891A88" w:rsidRPr="0089015F" w:rsidTr="002F4D97">
        <w:tc>
          <w:tcPr>
            <w:tcW w:w="2835" w:type="dxa"/>
          </w:tcPr>
          <w:p w:rsidR="00891A88" w:rsidRPr="0089015F" w:rsidRDefault="00891A88" w:rsidP="00E92189">
            <w:pPr>
              <w:pStyle w:val="Tabletext"/>
            </w:pPr>
          </w:p>
        </w:tc>
        <w:tc>
          <w:tcPr>
            <w:tcW w:w="959"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2015</w:t>
            </w:r>
          </w:p>
        </w:tc>
        <w:tc>
          <w:tcPr>
            <w:tcW w:w="1417"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36.8%</w:t>
            </w:r>
          </w:p>
        </w:tc>
        <w:tc>
          <w:tcPr>
            <w:tcW w:w="1843"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63.2%</w:t>
            </w:r>
          </w:p>
        </w:tc>
        <w:tc>
          <w:tcPr>
            <w:tcW w:w="2126"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9.6%</w:t>
            </w:r>
          </w:p>
        </w:tc>
      </w:tr>
    </w:tbl>
    <w:p w:rsidR="00891A88" w:rsidRPr="003F12A6" w:rsidRDefault="00891A88" w:rsidP="00891A88"/>
    <w:p w:rsidR="00891A88" w:rsidRPr="00891A88" w:rsidRDefault="00891A88" w:rsidP="00891A88">
      <w:pPr>
        <w:pStyle w:val="Heading2"/>
      </w:pPr>
      <w:r>
        <w:tab/>
      </w:r>
      <w:bookmarkStart w:id="44" w:name="_Toc433026829"/>
      <w:r w:rsidRPr="00891A88">
        <w:t>New South Wales</w:t>
      </w:r>
      <w:bookmarkEnd w:id="44"/>
    </w:p>
    <w:p w:rsidR="00891A88" w:rsidRDefault="00891A88" w:rsidP="00891A88">
      <w:pPr>
        <w:pStyle w:val="Heading3"/>
      </w:pPr>
      <w:bookmarkStart w:id="45" w:name="_Toc432765976"/>
      <w:bookmarkStart w:id="46" w:name="_Toc433026830"/>
      <w:r>
        <w:t>Energy prices and bills</w:t>
      </w:r>
      <w:bookmarkEnd w:id="45"/>
      <w:bookmarkEnd w:id="46"/>
    </w:p>
    <w:p w:rsidR="00891A88" w:rsidRPr="0089015F" w:rsidRDefault="00891A88" w:rsidP="00891A88">
      <w:r w:rsidRPr="0089015F">
        <w:t>There are three electricity distribution zones in New South Wales: Ausgrid, Endeavour Energy and Essential Energy. Seventeen retailers had offers generally available to electricity customers in New South Wales.</w:t>
      </w:r>
    </w:p>
    <w:p w:rsidR="00891A88" w:rsidRPr="0089015F" w:rsidRDefault="00891A88" w:rsidP="00891A88">
      <w:r w:rsidRPr="0089015F">
        <w:t xml:space="preserve">On 1 July 2014, the New South Wales Government removed price regulation from the retail electricity market. Customers on regulated offers that did not switch to a market contract before 1 July </w:t>
      </w:r>
      <w:r w:rsidR="00EE5CD0">
        <w:t xml:space="preserve">2014 </w:t>
      </w:r>
      <w:r w:rsidRPr="0089015F">
        <w:t xml:space="preserve">were automatically moved to a ‘transitional tariff’. </w:t>
      </w:r>
    </w:p>
    <w:p w:rsidR="00891A88" w:rsidRPr="0089015F" w:rsidRDefault="00891A88" w:rsidP="00891A88">
      <w:r w:rsidRPr="0089015F">
        <w:t>The Essential Energy distribution zone had the highest electricity bills ($2054) and also the greatest range between the cheapest and most expensive offers ($702) (figure 3.6). Essential Energy covers most of regional and rural New South Wales, so typically has fewer customers to pay for a larger area of network infrastructure. The greater network costs are reflected in the final bills to customers.</w:t>
      </w:r>
    </w:p>
    <w:p w:rsidR="00891A88" w:rsidRPr="0089015F" w:rsidRDefault="00891A88" w:rsidP="00891A88">
      <w:r w:rsidRPr="0089015F">
        <w:t xml:space="preserve">The Ausgrid and Endeavour Energy distribution zones had similar median market and standing offers (between $1360 and $1390), as well as a similar range between the cheapest and most expensive offers (around $300). Customers on standing offers in these areas could save around $200 a year if they switched to one of the cheapest market offers.   </w:t>
      </w:r>
    </w:p>
    <w:p w:rsidR="00FB75A7" w:rsidRPr="00597772" w:rsidRDefault="00891A88" w:rsidP="00597772">
      <w:r w:rsidRPr="0089015F">
        <w:lastRenderedPageBreak/>
        <w:t>In each distribution zone the median market offer is less than the median standing offer. As at 30 June 2015, 30 per cent of residential customers remained on standing offers.</w:t>
      </w:r>
    </w:p>
    <w:p w:rsidR="00891A88" w:rsidRPr="00FA2E79" w:rsidRDefault="00891A88" w:rsidP="00891A88">
      <w:pPr>
        <w:pStyle w:val="Tabletitle"/>
      </w:pPr>
      <w:r w:rsidRPr="00FA2E79">
        <w:t>Figure 3.6: Range of generally available electricity offers by distribution zone (4300 kWh) – June 2015</w:t>
      </w:r>
    </w:p>
    <w:p w:rsidR="00891A88" w:rsidRPr="003F12A6" w:rsidRDefault="00891A88" w:rsidP="00891A88">
      <w:r w:rsidRPr="003F12A6">
        <w:rPr>
          <w:noProof/>
          <w:lang w:eastAsia="en-AU"/>
        </w:rPr>
        <w:drawing>
          <wp:inline distT="0" distB="0" distL="0" distR="0" wp14:anchorId="5AB02B46" wp14:editId="3378FC57">
            <wp:extent cx="5759449" cy="4093535"/>
            <wp:effectExtent l="0" t="0" r="0" b="2540"/>
            <wp:docPr id="24" name="Picture 24" descr="Essential Energy’s distribution zone had the highest annual electricity bills at $1850 for the median market offer, and the largest range between the cheapest and the most expensive offers of $702. The range of offers was narrowest in Endeavour Energy’s distribution zone with annual bills ranging between $1162 and $1456. In the Ausgrid zone annual bills ranged from $1176 to $1501."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4093927"/>
                    </a:xfrm>
                    <a:prstGeom prst="rect">
                      <a:avLst/>
                    </a:prstGeom>
                    <a:noFill/>
                  </pic:spPr>
                </pic:pic>
              </a:graphicData>
            </a:graphic>
          </wp:inline>
        </w:drawing>
      </w:r>
    </w:p>
    <w:p w:rsidR="00891A88" w:rsidRPr="0089015F" w:rsidRDefault="00891A88" w:rsidP="00891A88">
      <w:r w:rsidRPr="0089015F">
        <w:t xml:space="preserve">There are four gas distribution zones in New South Wales: Jemena, AGN (Albury), AGN (Wagga Wagga) and ActewAGL Distribution. Six retailers had offers generally available to gas customers in the Jemena distribution zone, but there were only two retailers for AGN (Albury) and ActewAGL, and one retailer for AGN (Wagga Wagga).  </w:t>
      </w:r>
    </w:p>
    <w:p w:rsidR="00891A88" w:rsidRPr="0089015F" w:rsidRDefault="00891A88" w:rsidP="00891A88">
      <w:r w:rsidRPr="0089015F">
        <w:t xml:space="preserve">Regulated gas prices are determined by the Independent Pricing and Regulatory Tribunal (IPART) under voluntary pricing arrangements with ActewAGL, AGL and Origin Energy. </w:t>
      </w:r>
    </w:p>
    <w:p w:rsidR="00891A88" w:rsidRPr="0089015F" w:rsidRDefault="00891A88" w:rsidP="00891A88">
      <w:r w:rsidRPr="0089015F">
        <w:t xml:space="preserve">Figure 3.7 shows the range of annual gas bills across the distribution zones. Gas bills for the median market offer were highest in the Jemena distribution zone ($973), however were still $60 cheaper than the regulated offer ($1033). The median market offer was $791 in the AGN (Wagga Wagga) distribution zone – $65 cheaper than the regulated offer (both from Origin Energy).  </w:t>
      </w:r>
    </w:p>
    <w:p w:rsidR="00E92189" w:rsidRDefault="00E92189" w:rsidP="00891A88">
      <w:pPr>
        <w:pStyle w:val="Tabletitle"/>
      </w:pPr>
    </w:p>
    <w:p w:rsidR="00E92189" w:rsidRDefault="00E92189" w:rsidP="00891A88">
      <w:pPr>
        <w:pStyle w:val="Tabletitle"/>
      </w:pPr>
    </w:p>
    <w:p w:rsidR="00FB75A7" w:rsidRDefault="00FB75A7" w:rsidP="00891A88">
      <w:pPr>
        <w:pStyle w:val="Tabletitle"/>
      </w:pPr>
    </w:p>
    <w:p w:rsidR="00891A88" w:rsidRPr="00FA2E79" w:rsidRDefault="00891A88" w:rsidP="00891A88">
      <w:pPr>
        <w:pStyle w:val="Tabletitle"/>
      </w:pPr>
      <w:r w:rsidRPr="00FA2E79">
        <w:lastRenderedPageBreak/>
        <w:t>Figure 3.7: Range of generally available gas offers by distribution zone (24 000 MJ) – June 2015</w:t>
      </w:r>
    </w:p>
    <w:p w:rsidR="00891A88" w:rsidRPr="003F12A6" w:rsidRDefault="00891A88" w:rsidP="00891A88">
      <w:r w:rsidRPr="003F12A6">
        <w:rPr>
          <w:noProof/>
          <w:lang w:eastAsia="en-AU"/>
        </w:rPr>
        <w:drawing>
          <wp:inline distT="0" distB="0" distL="0" distR="0" wp14:anchorId="43755C43" wp14:editId="08615B32">
            <wp:extent cx="5760000" cy="4370400"/>
            <wp:effectExtent l="0" t="0" r="0" b="0"/>
            <wp:docPr id="25" name="Picture 25" descr="Annual gas bills for the median market offer were highest in Jemena’s zone (at $973), and lowest in the AGN (Albury) zone (at $585). Both the Jemena and AGN (Albury) zones had the largest range of $232 between the cheapest and most expensive offers."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0" cy="4370400"/>
                    </a:xfrm>
                    <a:prstGeom prst="rect">
                      <a:avLst/>
                    </a:prstGeom>
                    <a:noFill/>
                  </pic:spPr>
                </pic:pic>
              </a:graphicData>
            </a:graphic>
          </wp:inline>
        </w:drawing>
      </w:r>
    </w:p>
    <w:p w:rsidR="00891A88" w:rsidRPr="00891A88" w:rsidRDefault="00891A88" w:rsidP="00891A88">
      <w:pPr>
        <w:pStyle w:val="Heading3"/>
      </w:pPr>
      <w:bookmarkStart w:id="47" w:name="_Toc432765977"/>
      <w:bookmarkStart w:id="48" w:name="_Toc433026831"/>
      <w:r>
        <w:t>Energy</w:t>
      </w:r>
      <w:r w:rsidRPr="00891A88">
        <w:t xml:space="preserve"> bills as a percentage of income</w:t>
      </w:r>
      <w:bookmarkEnd w:id="47"/>
      <w:bookmarkEnd w:id="48"/>
    </w:p>
    <w:p w:rsidR="00891A88" w:rsidRPr="003F12A6" w:rsidRDefault="00891A88" w:rsidP="00891A88">
      <w:r w:rsidRPr="0089015F">
        <w:t>The Low Income Household Rebate is the primary energy concession available to eligible customers</w:t>
      </w:r>
      <w:r w:rsidRPr="00891A88">
        <w:rPr>
          <w:rStyle w:val="Superscript"/>
        </w:rPr>
        <w:footnoteReference w:id="35"/>
      </w:r>
      <w:r w:rsidRPr="003F12A6">
        <w:t xml:space="preserve"> in New South Wales. It applies only to electricity bills and is capped at $235 (excluding GST) per year. </w:t>
      </w:r>
    </w:p>
    <w:p w:rsidR="00891A88" w:rsidRPr="003F12A6" w:rsidRDefault="00891A88" w:rsidP="00891A88">
      <w:r w:rsidRPr="0089015F">
        <w:t>Some customers are also eligible</w:t>
      </w:r>
      <w:r w:rsidRPr="00891A88">
        <w:rPr>
          <w:rStyle w:val="Superscript"/>
        </w:rPr>
        <w:footnoteReference w:id="36"/>
      </w:r>
      <w:r w:rsidRPr="003F12A6">
        <w:t xml:space="preserve"> for the Family Energy Rebate, which is capped at $150 per year. For households eligible for both the Low Income Household Rebate and the Family Energy Rebate, the Family Energy Rebate is capped at $15 per year, making the maximum annual electricity concession available $250. The analysis of annual electricity bills in figure 3.8 includes the maximum value of both concessions. There is no concession available in N</w:t>
      </w:r>
      <w:r w:rsidR="00556A9C">
        <w:t xml:space="preserve">ew </w:t>
      </w:r>
      <w:r w:rsidRPr="003F12A6">
        <w:t>S</w:t>
      </w:r>
      <w:r w:rsidR="00556A9C">
        <w:t xml:space="preserve">outh </w:t>
      </w:r>
      <w:r w:rsidRPr="003F12A6">
        <w:t>W</w:t>
      </w:r>
      <w:r w:rsidR="00556A9C">
        <w:t>ales</w:t>
      </w:r>
      <w:r w:rsidRPr="003F12A6">
        <w:t xml:space="preserve"> for gas bills.</w:t>
      </w:r>
    </w:p>
    <w:p w:rsidR="008127F4" w:rsidRDefault="008127F4" w:rsidP="008127F4">
      <w:pPr>
        <w:pStyle w:val="Tabletitle"/>
      </w:pPr>
    </w:p>
    <w:p w:rsidR="00891A88" w:rsidRPr="003F12A6" w:rsidRDefault="00891A88" w:rsidP="008127F4">
      <w:pPr>
        <w:pStyle w:val="Tabletitle"/>
      </w:pPr>
      <w:r w:rsidRPr="003F12A6">
        <w:lastRenderedPageBreak/>
        <w:t>Figure 3.8: Annual electricity and gas bills, and as a share of disposable income for a benchmark low income household (4300 kWh and 24 000 MJ)</w:t>
      </w:r>
    </w:p>
    <w:p w:rsidR="00E92189" w:rsidRDefault="00891A88" w:rsidP="00891A88">
      <w:r w:rsidRPr="003F12A6">
        <w:rPr>
          <w:noProof/>
          <w:lang w:eastAsia="en-AU"/>
        </w:rPr>
        <w:drawing>
          <wp:inline distT="0" distB="0" distL="0" distR="0" wp14:anchorId="19F45360" wp14:editId="4D2F44EB">
            <wp:extent cx="5760000" cy="3751200"/>
            <wp:effectExtent l="0" t="0" r="0" b="1905"/>
            <wp:docPr id="26" name="Picture 26" descr="Across New South Wales, the annual bill for customers on the median market offer was $1386 (or $1111 with a concession). Annual bills for the median standing offer were greater, at $1429 (or $1154 with a concession). Low income households on a market offer and receiving an energy concession would spend 4.2 per cent of its income on electricity (or 5.3 per cent if it did not receive a concession). A low income household on the standing offer and receiving a concession would spend 4.4 per cent of its income, or 5.4 per cent without a concession.&#10;Annual gas bills were $923 for a household on the median market offer. The median regulated offer was lower ($867), as some gas distribution zones only had regulated offers or a small number of market offers. For a low income household, gas bills represent 3.5 per cent of income if on the market offer and 3.3 per cent on the regulated offer" title="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0" cy="3751200"/>
                    </a:xfrm>
                    <a:prstGeom prst="rect">
                      <a:avLst/>
                    </a:prstGeom>
                    <a:noFill/>
                  </pic:spPr>
                </pic:pic>
              </a:graphicData>
            </a:graphic>
          </wp:inline>
        </w:drawing>
      </w:r>
    </w:p>
    <w:p w:rsidR="00891A88" w:rsidRPr="0089015F" w:rsidRDefault="00891A88" w:rsidP="00891A88">
      <w:r w:rsidRPr="0089015F">
        <w:t xml:space="preserve">Across New South Wales, the annual bill for customers on the median market </w:t>
      </w:r>
      <w:r w:rsidR="00597772">
        <w:t xml:space="preserve">offer </w:t>
      </w:r>
      <w:r w:rsidRPr="0089015F">
        <w:t>was $1386 (or $111</w:t>
      </w:r>
      <w:r w:rsidR="001C01EE">
        <w:t>1</w:t>
      </w:r>
      <w:r w:rsidRPr="0089015F">
        <w:t xml:space="preserve"> with a concession). Annual bills for the median standing offer were greater, at $1429 (or $1154 with a concession). Low income households on a market offer and receiving an energy concession would spend 4.2 per cent of its income on electricity (or 5.3 per cent if it did not receive a concession). A low income household on the standing offer and receiving a concession would spend 4.4 per cent of its income, or 5.4 per cent without a concession.</w:t>
      </w:r>
    </w:p>
    <w:p w:rsidR="00891A88" w:rsidRPr="0089015F" w:rsidRDefault="00891A88" w:rsidP="00891A88">
      <w:r w:rsidRPr="0089015F">
        <w:t xml:space="preserve">Electricity bills decreased by 5.5 per cent from June 2014 to June 2015, which was likely due to the removal of the carbon </w:t>
      </w:r>
      <w:r w:rsidR="00D62679">
        <w:t>tax</w:t>
      </w:r>
      <w:r w:rsidRPr="0089015F">
        <w:t>. Electricity bills as a proportion of income for low income households decreased from 5.7 per cent in June 2014 to 5.3 per cent in June 2015.</w:t>
      </w:r>
    </w:p>
    <w:p w:rsidR="00891A88" w:rsidRPr="0089015F" w:rsidRDefault="00891A88" w:rsidP="00891A88">
      <w:r w:rsidRPr="0089015F">
        <w:t>Annual gas bills were $923 for a household on the median market offer. The median regulated offer was lower ($867), as some gas distribution zones only had regulated offers or a small number of market offers. For a low income household, gas bills represent 3.5 per cent of income if on the market offer and 3.3 per cent on the regulated offer. Gas bills increased by 6.9 per cent (market offers) and 4.8 per cent (regulated offers) from June 2014 to June 2015. Wholesale gas prices are attributed as the main driver for these price increases, along with some increases in network costs.</w:t>
      </w:r>
    </w:p>
    <w:p w:rsidR="00891A88" w:rsidRPr="0089015F" w:rsidRDefault="00891A88" w:rsidP="00891A88">
      <w:r w:rsidRPr="0089015F">
        <w:t>A middle income household consuming a typical amount of energy</w:t>
      </w:r>
      <w:r w:rsidR="00567963" w:rsidRPr="00567963">
        <w:t>–</w:t>
      </w:r>
      <w:r w:rsidRPr="0089015F">
        <w:t>5900 kWh</w:t>
      </w:r>
      <w:r w:rsidR="00567963">
        <w:t xml:space="preserve"> in New South Wales</w:t>
      </w:r>
      <w:r w:rsidR="00567963" w:rsidRPr="00567963">
        <w:t>–</w:t>
      </w:r>
      <w:r w:rsidRPr="0089015F">
        <w:t>spent 2.4 per cent of its income on electricity (table 3.</w:t>
      </w:r>
      <w:r w:rsidR="00B97CA3">
        <w:t>3</w:t>
      </w:r>
      <w:r w:rsidRPr="0089015F">
        <w:t xml:space="preserve">). For a high income </w:t>
      </w:r>
      <w:r w:rsidRPr="0089015F">
        <w:lastRenderedPageBreak/>
        <w:t xml:space="preserve">household, electricity accounted for 0.9 per cent of its income. Middle and high income households spent 1.3 per cent and 0.4 per cent on gas respectively.  </w:t>
      </w:r>
    </w:p>
    <w:p w:rsidR="00891A88" w:rsidRPr="00FA2E79" w:rsidRDefault="00891A88" w:rsidP="00891A88">
      <w:pPr>
        <w:pStyle w:val="Tabletitle"/>
      </w:pPr>
      <w:r w:rsidRPr="00FA2E79">
        <w:t>Table 3.</w:t>
      </w:r>
      <w:r w:rsidR="00B97CA3">
        <w:t>3</w:t>
      </w:r>
      <w:r w:rsidRPr="00FA2E79">
        <w:t>: Summary of annual electricity and gas bills (for the median market offer) and as a share of disposable income – June 2015</w:t>
      </w:r>
    </w:p>
    <w:tbl>
      <w:tblPr>
        <w:tblW w:w="0" w:type="auto"/>
        <w:tblLook w:val="04A0" w:firstRow="1" w:lastRow="0" w:firstColumn="1" w:lastColumn="0" w:noHBand="0" w:noVBand="1"/>
      </w:tblPr>
      <w:tblGrid>
        <w:gridCol w:w="3369"/>
        <w:gridCol w:w="2268"/>
        <w:gridCol w:w="1559"/>
        <w:gridCol w:w="2046"/>
      </w:tblGrid>
      <w:tr w:rsidR="00891A88" w:rsidRPr="0089015F" w:rsidTr="002F4D97">
        <w:tc>
          <w:tcPr>
            <w:tcW w:w="3369" w:type="dxa"/>
            <w:shd w:val="clear" w:color="auto" w:fill="F2F2F2" w:themeFill="background1" w:themeFillShade="F2"/>
          </w:tcPr>
          <w:p w:rsidR="00891A88" w:rsidRPr="006D4C8B" w:rsidRDefault="00891A88" w:rsidP="00E92189">
            <w:pPr>
              <w:pStyle w:val="Tabletext"/>
              <w:rPr>
                <w:rStyle w:val="Strong"/>
              </w:rPr>
            </w:pPr>
            <w:r w:rsidRPr="006D4C8B">
              <w:rPr>
                <w:rStyle w:val="Strong"/>
              </w:rPr>
              <w:t>Income level</w:t>
            </w:r>
          </w:p>
        </w:tc>
        <w:tc>
          <w:tcPr>
            <w:tcW w:w="2268" w:type="dxa"/>
            <w:shd w:val="clear" w:color="auto" w:fill="F2F2F2" w:themeFill="background1" w:themeFillShade="F2"/>
          </w:tcPr>
          <w:p w:rsidR="00891A88" w:rsidRPr="006D4C8B" w:rsidRDefault="00891A88" w:rsidP="00E92189">
            <w:pPr>
              <w:pStyle w:val="Tabletext"/>
              <w:rPr>
                <w:rStyle w:val="Strong"/>
              </w:rPr>
            </w:pPr>
            <w:r w:rsidRPr="006D4C8B">
              <w:rPr>
                <w:rStyle w:val="Strong"/>
              </w:rPr>
              <w:t>Annual consumption</w:t>
            </w:r>
          </w:p>
        </w:tc>
        <w:tc>
          <w:tcPr>
            <w:tcW w:w="1559" w:type="dxa"/>
            <w:shd w:val="clear" w:color="auto" w:fill="F2F2F2" w:themeFill="background1" w:themeFillShade="F2"/>
          </w:tcPr>
          <w:p w:rsidR="00891A88" w:rsidRPr="006D4C8B" w:rsidRDefault="00891A88" w:rsidP="00E92189">
            <w:pPr>
              <w:pStyle w:val="Tabletext"/>
              <w:rPr>
                <w:rStyle w:val="Strong"/>
              </w:rPr>
            </w:pPr>
            <w:r w:rsidRPr="006D4C8B">
              <w:rPr>
                <w:rStyle w:val="Strong"/>
              </w:rPr>
              <w:t xml:space="preserve">Annual bill ($) </w:t>
            </w:r>
          </w:p>
        </w:tc>
        <w:tc>
          <w:tcPr>
            <w:tcW w:w="2046" w:type="dxa"/>
            <w:shd w:val="clear" w:color="auto" w:fill="F2F2F2" w:themeFill="background1" w:themeFillShade="F2"/>
          </w:tcPr>
          <w:p w:rsidR="00891A88" w:rsidRPr="006D4C8B" w:rsidRDefault="00891A88" w:rsidP="00E92189">
            <w:pPr>
              <w:pStyle w:val="Tabletext"/>
              <w:rPr>
                <w:rStyle w:val="Strong"/>
              </w:rPr>
            </w:pPr>
            <w:r w:rsidRPr="006D4C8B">
              <w:rPr>
                <w:rStyle w:val="Strong"/>
              </w:rPr>
              <w:t>Proportion of annual income (%)</w:t>
            </w:r>
          </w:p>
        </w:tc>
      </w:tr>
      <w:tr w:rsidR="00891A88" w:rsidRPr="0089015F" w:rsidTr="002F4D97">
        <w:tc>
          <w:tcPr>
            <w:tcW w:w="3369" w:type="dxa"/>
            <w:tcBorders>
              <w:top w:val="single" w:sz="4" w:space="0" w:color="BFBFBF" w:themeColor="background1" w:themeShade="BF"/>
              <w:bottom w:val="single" w:sz="4" w:space="0" w:color="auto"/>
            </w:tcBorders>
          </w:tcPr>
          <w:p w:rsidR="00891A88" w:rsidRPr="003F12A6" w:rsidRDefault="00891A88" w:rsidP="00E92189">
            <w:pPr>
              <w:pStyle w:val="Tabletext"/>
            </w:pPr>
            <w:r w:rsidRPr="003F12A6">
              <w:t>Low income – with concession</w:t>
            </w:r>
          </w:p>
        </w:tc>
        <w:tc>
          <w:tcPr>
            <w:tcW w:w="2268"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Electricity 4300 kWh</w:t>
            </w:r>
          </w:p>
        </w:tc>
        <w:tc>
          <w:tcPr>
            <w:tcW w:w="1559"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1111</w:t>
            </w:r>
          </w:p>
        </w:tc>
        <w:tc>
          <w:tcPr>
            <w:tcW w:w="2046"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4.2</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Low income – without concession</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Electricity 4300 kWh</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1386</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5.3</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Middle income</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Electricity 5900 kWh</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1796</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2.4</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High income</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Electricity 5900 kWh</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1796</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0.9</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Low income – with concession</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Gas 24 000 MJ</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923</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3.5</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Low income – without concession</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Gas 24 000 MJ</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923</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3.5</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Middle income</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Gas 24 000 MJ</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923</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1.3</w:t>
            </w:r>
          </w:p>
        </w:tc>
      </w:tr>
      <w:tr w:rsidR="00891A88" w:rsidRPr="0089015F" w:rsidTr="002F4D97">
        <w:tc>
          <w:tcPr>
            <w:tcW w:w="3369" w:type="dxa"/>
            <w:tcBorders>
              <w:top w:val="single" w:sz="4" w:space="0" w:color="auto"/>
              <w:bottom w:val="single" w:sz="4" w:space="0" w:color="BFBFBF" w:themeColor="background1" w:themeShade="BF"/>
            </w:tcBorders>
          </w:tcPr>
          <w:p w:rsidR="00891A88" w:rsidRPr="003F12A6" w:rsidRDefault="00891A88" w:rsidP="00E92189">
            <w:pPr>
              <w:pStyle w:val="Tabletext"/>
            </w:pPr>
            <w:r w:rsidRPr="003F12A6">
              <w:t>High income</w:t>
            </w:r>
          </w:p>
        </w:tc>
        <w:tc>
          <w:tcPr>
            <w:tcW w:w="2268"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Gas 24 000 MJ</w:t>
            </w:r>
          </w:p>
        </w:tc>
        <w:tc>
          <w:tcPr>
            <w:tcW w:w="1559"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923</w:t>
            </w:r>
          </w:p>
        </w:tc>
        <w:tc>
          <w:tcPr>
            <w:tcW w:w="2046"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0.4</w:t>
            </w:r>
          </w:p>
        </w:tc>
      </w:tr>
    </w:tbl>
    <w:p w:rsidR="00891A88" w:rsidRPr="00324E2F" w:rsidRDefault="00891A88" w:rsidP="00891A88">
      <w:pPr>
        <w:pStyle w:val="Heading3"/>
      </w:pPr>
      <w:bookmarkStart w:id="49" w:name="_Toc432765978"/>
      <w:bookmarkStart w:id="50" w:name="_Toc433026832"/>
      <w:r w:rsidRPr="00324E2F">
        <w:t>Composition of energy bills and impact of concessions</w:t>
      </w:r>
      <w:bookmarkEnd w:id="49"/>
      <w:bookmarkEnd w:id="50"/>
    </w:p>
    <w:p w:rsidR="00891A88" w:rsidRPr="0089015F" w:rsidRDefault="00891A88" w:rsidP="00891A88">
      <w:r w:rsidRPr="0089015F">
        <w:t>Table 3.</w:t>
      </w:r>
      <w:r w:rsidR="00B97CA3">
        <w:t>4</w:t>
      </w:r>
      <w:r w:rsidR="00B97CA3" w:rsidRPr="0089015F">
        <w:t xml:space="preserve"> </w:t>
      </w:r>
      <w:r w:rsidRPr="0089015F">
        <w:t xml:space="preserve">shows the portions of low income household energy bills attributed to daily supply charges and energy use charges, as well as the savings provided by energy concessions.  </w:t>
      </w:r>
    </w:p>
    <w:p w:rsidR="00891A88" w:rsidRPr="0089015F" w:rsidRDefault="00891A88" w:rsidP="00891A88">
      <w:r w:rsidRPr="0089015F">
        <w:t>Daily supply charges for electricity were $344 per annum in 2015, which represents 25 per cent of a low income household’s annual electricity bill, and 1.3 per cent of its disposable income. Daily supply charges for electricity decreased by $12 per annum since June 2014.</w:t>
      </w:r>
    </w:p>
    <w:p w:rsidR="00891A88" w:rsidRPr="0089015F" w:rsidRDefault="00891A88" w:rsidP="00891A88">
      <w:r w:rsidRPr="0089015F">
        <w:t>Daily supply charges for gas were $207 per annum, which represents 22 per cent of a low income household’s annual gas bill, and 0.8 per cent of its disposable income.</w:t>
      </w:r>
    </w:p>
    <w:p w:rsidR="00891A88" w:rsidRPr="003F12A6" w:rsidRDefault="00F56099" w:rsidP="00891A88">
      <w:r>
        <w:t>The electricity</w:t>
      </w:r>
      <w:r w:rsidRPr="0089015F">
        <w:t xml:space="preserve"> </w:t>
      </w:r>
      <w:r w:rsidR="00891A88" w:rsidRPr="0089015F">
        <w:t>concession help</w:t>
      </w:r>
      <w:r>
        <w:t>s</w:t>
      </w:r>
      <w:r w:rsidR="00891A88" w:rsidRPr="0089015F">
        <w:t xml:space="preserve"> eligible customers save 20 per cent on </w:t>
      </w:r>
      <w:r w:rsidR="00891A88" w:rsidRPr="003F12A6">
        <w:t>electricity; however there is no assistance for gas bills.</w:t>
      </w:r>
    </w:p>
    <w:p w:rsidR="000E018E" w:rsidRDefault="000E018E" w:rsidP="00891A88">
      <w:pPr>
        <w:pStyle w:val="Tabletitle"/>
      </w:pPr>
    </w:p>
    <w:p w:rsidR="000E018E" w:rsidRDefault="000E018E" w:rsidP="00891A88">
      <w:pPr>
        <w:pStyle w:val="Tabletitle"/>
      </w:pPr>
    </w:p>
    <w:p w:rsidR="000E018E" w:rsidRDefault="000E018E" w:rsidP="00891A88">
      <w:pPr>
        <w:pStyle w:val="Tabletitle"/>
      </w:pPr>
    </w:p>
    <w:p w:rsidR="000E018E" w:rsidRDefault="000E018E" w:rsidP="00891A88">
      <w:pPr>
        <w:pStyle w:val="Tabletitle"/>
      </w:pPr>
    </w:p>
    <w:p w:rsidR="000E018E" w:rsidRDefault="000E018E" w:rsidP="00891A88">
      <w:pPr>
        <w:pStyle w:val="Tabletitle"/>
      </w:pPr>
    </w:p>
    <w:p w:rsidR="000E018E" w:rsidRDefault="000E018E" w:rsidP="00891A88">
      <w:pPr>
        <w:pStyle w:val="Tabletitle"/>
      </w:pPr>
    </w:p>
    <w:p w:rsidR="00891A88" w:rsidRPr="00FA2E79" w:rsidRDefault="00891A88" w:rsidP="00891A88">
      <w:pPr>
        <w:pStyle w:val="Tabletitle"/>
      </w:pPr>
      <w:r w:rsidRPr="00FA2E79">
        <w:lastRenderedPageBreak/>
        <w:t>Table 3.</w:t>
      </w:r>
      <w:r w:rsidR="00B97CA3">
        <w:t>4</w:t>
      </w:r>
      <w:r w:rsidRPr="00FA2E79">
        <w:t>: Composition of low income household energy bills (median market offer)</w:t>
      </w:r>
    </w:p>
    <w:tbl>
      <w:tblPr>
        <w:tblW w:w="9180" w:type="dxa"/>
        <w:tblLayout w:type="fixed"/>
        <w:tblLook w:val="04A0" w:firstRow="1" w:lastRow="0" w:firstColumn="1" w:lastColumn="0" w:noHBand="0" w:noVBand="1"/>
      </w:tblPr>
      <w:tblGrid>
        <w:gridCol w:w="2835"/>
        <w:gridCol w:w="959"/>
        <w:gridCol w:w="1417"/>
        <w:gridCol w:w="1843"/>
        <w:gridCol w:w="2126"/>
      </w:tblGrid>
      <w:tr w:rsidR="00891A88" w:rsidRPr="0089015F" w:rsidTr="002F4D97">
        <w:tc>
          <w:tcPr>
            <w:tcW w:w="2835" w:type="dxa"/>
            <w:shd w:val="clear" w:color="auto" w:fill="F2F2F2" w:themeFill="background1" w:themeFillShade="F2"/>
          </w:tcPr>
          <w:p w:rsidR="00891A88" w:rsidRPr="006D4C8B" w:rsidRDefault="00891A88" w:rsidP="00E92189">
            <w:pPr>
              <w:pStyle w:val="Tabletext"/>
              <w:rPr>
                <w:rStyle w:val="Strong"/>
              </w:rPr>
            </w:pPr>
            <w:r w:rsidRPr="006D4C8B">
              <w:rPr>
                <w:rStyle w:val="Strong"/>
              </w:rPr>
              <w:t>Fuel type – consumption</w:t>
            </w:r>
          </w:p>
        </w:tc>
        <w:tc>
          <w:tcPr>
            <w:tcW w:w="959" w:type="dxa"/>
            <w:shd w:val="clear" w:color="auto" w:fill="F2F2F2" w:themeFill="background1" w:themeFillShade="F2"/>
          </w:tcPr>
          <w:p w:rsidR="00891A88" w:rsidRPr="006D4C8B" w:rsidRDefault="00891A88" w:rsidP="00E92189">
            <w:pPr>
              <w:pStyle w:val="Tabletext"/>
              <w:rPr>
                <w:rStyle w:val="Strong"/>
              </w:rPr>
            </w:pPr>
            <w:r w:rsidRPr="006D4C8B">
              <w:rPr>
                <w:rStyle w:val="Strong"/>
              </w:rPr>
              <w:t>Year</w:t>
            </w:r>
          </w:p>
        </w:tc>
        <w:tc>
          <w:tcPr>
            <w:tcW w:w="1417" w:type="dxa"/>
            <w:shd w:val="clear" w:color="auto" w:fill="F2F2F2" w:themeFill="background1" w:themeFillShade="F2"/>
          </w:tcPr>
          <w:p w:rsidR="00891A88" w:rsidRPr="006D4C8B" w:rsidRDefault="00891A88" w:rsidP="00E92189">
            <w:pPr>
              <w:pStyle w:val="Tabletext"/>
              <w:rPr>
                <w:rStyle w:val="Strong"/>
              </w:rPr>
            </w:pPr>
            <w:r w:rsidRPr="006D4C8B">
              <w:rPr>
                <w:rStyle w:val="Strong"/>
              </w:rPr>
              <w:t>Daily supply charges (%)</w:t>
            </w:r>
          </w:p>
        </w:tc>
        <w:tc>
          <w:tcPr>
            <w:tcW w:w="1843" w:type="dxa"/>
            <w:shd w:val="clear" w:color="auto" w:fill="F2F2F2" w:themeFill="background1" w:themeFillShade="F2"/>
          </w:tcPr>
          <w:p w:rsidR="00891A88" w:rsidRPr="006D4C8B" w:rsidRDefault="00891A88" w:rsidP="00E92189">
            <w:pPr>
              <w:pStyle w:val="Tabletext"/>
              <w:rPr>
                <w:rStyle w:val="Strong"/>
              </w:rPr>
            </w:pPr>
            <w:r w:rsidRPr="006D4C8B">
              <w:rPr>
                <w:rStyle w:val="Strong"/>
              </w:rPr>
              <w:t>Energy use charges (%)</w:t>
            </w:r>
          </w:p>
        </w:tc>
        <w:tc>
          <w:tcPr>
            <w:tcW w:w="2126" w:type="dxa"/>
            <w:shd w:val="clear" w:color="auto" w:fill="F2F2F2" w:themeFill="background1" w:themeFillShade="F2"/>
          </w:tcPr>
          <w:p w:rsidR="00891A88" w:rsidRPr="006D4C8B" w:rsidRDefault="00891A88" w:rsidP="00E92189">
            <w:pPr>
              <w:pStyle w:val="Tabletext"/>
              <w:rPr>
                <w:rStyle w:val="Strong"/>
              </w:rPr>
            </w:pPr>
            <w:r w:rsidRPr="006D4C8B">
              <w:rPr>
                <w:rStyle w:val="Strong"/>
              </w:rPr>
              <w:t>Saving with concession (%)</w:t>
            </w:r>
          </w:p>
        </w:tc>
      </w:tr>
      <w:tr w:rsidR="00891A88" w:rsidRPr="0089015F" w:rsidTr="002F4D97">
        <w:tc>
          <w:tcPr>
            <w:tcW w:w="2835" w:type="dxa"/>
          </w:tcPr>
          <w:p w:rsidR="00891A88" w:rsidRPr="0089015F" w:rsidRDefault="00891A88" w:rsidP="00E92189">
            <w:pPr>
              <w:pStyle w:val="Tabletext"/>
            </w:pPr>
            <w:r w:rsidRPr="0089015F">
              <w:t>Electricity – 4300 kWh</w:t>
            </w:r>
          </w:p>
        </w:tc>
        <w:tc>
          <w:tcPr>
            <w:tcW w:w="959"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2013</w:t>
            </w:r>
          </w:p>
        </w:tc>
        <w:tc>
          <w:tcPr>
            <w:tcW w:w="1417"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19.0%</w:t>
            </w:r>
          </w:p>
        </w:tc>
        <w:tc>
          <w:tcPr>
            <w:tcW w:w="1843"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81.0%</w:t>
            </w:r>
          </w:p>
        </w:tc>
        <w:tc>
          <w:tcPr>
            <w:tcW w:w="2126"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17.6%</w:t>
            </w:r>
          </w:p>
        </w:tc>
      </w:tr>
      <w:tr w:rsidR="00891A88" w:rsidRPr="0089015F" w:rsidTr="002F4D97">
        <w:tc>
          <w:tcPr>
            <w:tcW w:w="2835" w:type="dxa"/>
            <w:tcBorders>
              <w:bottom w:val="nil"/>
            </w:tcBorders>
          </w:tcPr>
          <w:p w:rsidR="00891A88" w:rsidRPr="0089015F" w:rsidRDefault="00891A88" w:rsidP="00E92189">
            <w:pPr>
              <w:pStyle w:val="Tabletext"/>
            </w:pPr>
          </w:p>
        </w:tc>
        <w:tc>
          <w:tcPr>
            <w:tcW w:w="959" w:type="dxa"/>
            <w:tcBorders>
              <w:top w:val="single" w:sz="4" w:space="0" w:color="auto"/>
              <w:bottom w:val="single" w:sz="4" w:space="0" w:color="auto"/>
            </w:tcBorders>
          </w:tcPr>
          <w:p w:rsidR="00891A88" w:rsidRPr="0089015F" w:rsidRDefault="00891A88" w:rsidP="00E92189">
            <w:pPr>
              <w:pStyle w:val="Tabletext"/>
            </w:pPr>
            <w:r w:rsidRPr="0089015F">
              <w:t>2014</w:t>
            </w:r>
          </w:p>
        </w:tc>
        <w:tc>
          <w:tcPr>
            <w:tcW w:w="1417" w:type="dxa"/>
            <w:tcBorders>
              <w:top w:val="single" w:sz="4" w:space="0" w:color="auto"/>
              <w:bottom w:val="single" w:sz="4" w:space="0" w:color="auto"/>
            </w:tcBorders>
          </w:tcPr>
          <w:p w:rsidR="00891A88" w:rsidRPr="0089015F" w:rsidRDefault="00891A88" w:rsidP="00E92189">
            <w:pPr>
              <w:pStyle w:val="Tabletext"/>
            </w:pPr>
            <w:r w:rsidRPr="0089015F">
              <w:t>24.2%</w:t>
            </w:r>
          </w:p>
        </w:tc>
        <w:tc>
          <w:tcPr>
            <w:tcW w:w="1843" w:type="dxa"/>
            <w:tcBorders>
              <w:top w:val="single" w:sz="4" w:space="0" w:color="auto"/>
              <w:bottom w:val="single" w:sz="4" w:space="0" w:color="auto"/>
            </w:tcBorders>
          </w:tcPr>
          <w:p w:rsidR="00891A88" w:rsidRPr="0089015F" w:rsidRDefault="00891A88" w:rsidP="00E92189">
            <w:pPr>
              <w:pStyle w:val="Tabletext"/>
            </w:pPr>
            <w:r w:rsidRPr="0089015F">
              <w:t>75.8%</w:t>
            </w:r>
          </w:p>
        </w:tc>
        <w:tc>
          <w:tcPr>
            <w:tcW w:w="2126" w:type="dxa"/>
            <w:tcBorders>
              <w:top w:val="single" w:sz="4" w:space="0" w:color="auto"/>
              <w:bottom w:val="single" w:sz="4" w:space="0" w:color="auto"/>
            </w:tcBorders>
          </w:tcPr>
          <w:p w:rsidR="00891A88" w:rsidRPr="0089015F" w:rsidRDefault="00891A88" w:rsidP="00E92189">
            <w:pPr>
              <w:pStyle w:val="Tabletext"/>
            </w:pPr>
            <w:r w:rsidRPr="0089015F">
              <w:t>17.0%</w:t>
            </w:r>
          </w:p>
        </w:tc>
      </w:tr>
      <w:tr w:rsidR="00891A88" w:rsidRPr="0089015F" w:rsidTr="002F4D97">
        <w:tc>
          <w:tcPr>
            <w:tcW w:w="2835" w:type="dxa"/>
            <w:tcBorders>
              <w:top w:val="nil"/>
              <w:bottom w:val="single" w:sz="4" w:space="0" w:color="auto"/>
            </w:tcBorders>
          </w:tcPr>
          <w:p w:rsidR="00891A88" w:rsidRPr="0089015F" w:rsidRDefault="00891A88" w:rsidP="00E92189">
            <w:pPr>
              <w:pStyle w:val="Tabletext"/>
            </w:pPr>
          </w:p>
        </w:tc>
        <w:tc>
          <w:tcPr>
            <w:tcW w:w="959" w:type="dxa"/>
            <w:tcBorders>
              <w:top w:val="single" w:sz="4" w:space="0" w:color="auto"/>
              <w:bottom w:val="single" w:sz="4" w:space="0" w:color="auto"/>
            </w:tcBorders>
          </w:tcPr>
          <w:p w:rsidR="00891A88" w:rsidRPr="0089015F" w:rsidRDefault="00891A88" w:rsidP="00E92189">
            <w:pPr>
              <w:pStyle w:val="Tabletext"/>
            </w:pPr>
            <w:r w:rsidRPr="0089015F">
              <w:t>2015</w:t>
            </w:r>
          </w:p>
        </w:tc>
        <w:tc>
          <w:tcPr>
            <w:tcW w:w="1417" w:type="dxa"/>
            <w:tcBorders>
              <w:top w:val="single" w:sz="4" w:space="0" w:color="auto"/>
              <w:bottom w:val="single" w:sz="4" w:space="0" w:color="auto"/>
            </w:tcBorders>
          </w:tcPr>
          <w:p w:rsidR="00891A88" w:rsidRPr="0089015F" w:rsidRDefault="00891A88" w:rsidP="00E92189">
            <w:pPr>
              <w:pStyle w:val="Tabletext"/>
            </w:pPr>
            <w:r w:rsidRPr="0089015F">
              <w:t>24.8%</w:t>
            </w:r>
          </w:p>
        </w:tc>
        <w:tc>
          <w:tcPr>
            <w:tcW w:w="1843" w:type="dxa"/>
            <w:tcBorders>
              <w:top w:val="single" w:sz="4" w:space="0" w:color="auto"/>
              <w:bottom w:val="single" w:sz="4" w:space="0" w:color="auto"/>
            </w:tcBorders>
          </w:tcPr>
          <w:p w:rsidR="00891A88" w:rsidRPr="0089015F" w:rsidRDefault="00891A88" w:rsidP="00E92189">
            <w:pPr>
              <w:pStyle w:val="Tabletext"/>
            </w:pPr>
            <w:r w:rsidRPr="0089015F">
              <w:t>75.2%</w:t>
            </w:r>
          </w:p>
        </w:tc>
        <w:tc>
          <w:tcPr>
            <w:tcW w:w="2126" w:type="dxa"/>
            <w:tcBorders>
              <w:top w:val="single" w:sz="4" w:space="0" w:color="auto"/>
              <w:bottom w:val="single" w:sz="4" w:space="0" w:color="auto"/>
            </w:tcBorders>
          </w:tcPr>
          <w:p w:rsidR="00891A88" w:rsidRPr="0089015F" w:rsidRDefault="00891A88" w:rsidP="00E92189">
            <w:pPr>
              <w:pStyle w:val="Tabletext"/>
            </w:pPr>
            <w:r w:rsidRPr="0089015F">
              <w:t>19.8%</w:t>
            </w:r>
          </w:p>
        </w:tc>
      </w:tr>
      <w:tr w:rsidR="00891A88" w:rsidRPr="0089015F" w:rsidTr="002F4D97">
        <w:tc>
          <w:tcPr>
            <w:tcW w:w="2835" w:type="dxa"/>
            <w:tcBorders>
              <w:top w:val="single" w:sz="4" w:space="0" w:color="auto"/>
            </w:tcBorders>
          </w:tcPr>
          <w:p w:rsidR="00891A88" w:rsidRPr="0089015F" w:rsidRDefault="00891A88" w:rsidP="00E92189">
            <w:pPr>
              <w:pStyle w:val="Tabletext"/>
            </w:pPr>
            <w:r w:rsidRPr="0089015F">
              <w:t>Gas – 24 000 MJ</w:t>
            </w:r>
          </w:p>
        </w:tc>
        <w:tc>
          <w:tcPr>
            <w:tcW w:w="959" w:type="dxa"/>
            <w:tcBorders>
              <w:top w:val="single" w:sz="4" w:space="0" w:color="auto"/>
              <w:bottom w:val="single" w:sz="4" w:space="0" w:color="auto"/>
            </w:tcBorders>
          </w:tcPr>
          <w:p w:rsidR="00891A88" w:rsidRPr="0089015F" w:rsidRDefault="00891A88" w:rsidP="00E92189">
            <w:pPr>
              <w:pStyle w:val="Tabletext"/>
            </w:pPr>
            <w:r w:rsidRPr="0089015F">
              <w:t>2013</w:t>
            </w:r>
          </w:p>
        </w:tc>
        <w:tc>
          <w:tcPr>
            <w:tcW w:w="1417" w:type="dxa"/>
            <w:tcBorders>
              <w:top w:val="single" w:sz="4" w:space="0" w:color="auto"/>
              <w:bottom w:val="single" w:sz="4" w:space="0" w:color="auto"/>
            </w:tcBorders>
          </w:tcPr>
          <w:p w:rsidR="00891A88" w:rsidRPr="0089015F" w:rsidRDefault="00891A88" w:rsidP="00E92189">
            <w:pPr>
              <w:pStyle w:val="Tabletext"/>
            </w:pPr>
            <w:r w:rsidRPr="0089015F">
              <w:t>19.6%</w:t>
            </w:r>
          </w:p>
        </w:tc>
        <w:tc>
          <w:tcPr>
            <w:tcW w:w="1843" w:type="dxa"/>
            <w:tcBorders>
              <w:top w:val="single" w:sz="4" w:space="0" w:color="auto"/>
              <w:bottom w:val="single" w:sz="4" w:space="0" w:color="auto"/>
            </w:tcBorders>
          </w:tcPr>
          <w:p w:rsidR="00891A88" w:rsidRPr="0089015F" w:rsidRDefault="00891A88" w:rsidP="00E92189">
            <w:pPr>
              <w:pStyle w:val="Tabletext"/>
            </w:pPr>
            <w:r w:rsidRPr="0089015F">
              <w:t>80.4%</w:t>
            </w:r>
          </w:p>
        </w:tc>
        <w:tc>
          <w:tcPr>
            <w:tcW w:w="2126" w:type="dxa"/>
            <w:tcBorders>
              <w:top w:val="single" w:sz="4" w:space="0" w:color="auto"/>
              <w:bottom w:val="single" w:sz="4" w:space="0" w:color="auto"/>
            </w:tcBorders>
          </w:tcPr>
          <w:p w:rsidR="00891A88" w:rsidRPr="0089015F" w:rsidRDefault="00891A88" w:rsidP="00E92189">
            <w:pPr>
              <w:pStyle w:val="Tabletext"/>
            </w:pPr>
            <w:r w:rsidRPr="0089015F">
              <w:t>0.0%</w:t>
            </w:r>
          </w:p>
        </w:tc>
      </w:tr>
      <w:tr w:rsidR="00891A88" w:rsidRPr="0089015F" w:rsidTr="002F4D97">
        <w:tc>
          <w:tcPr>
            <w:tcW w:w="2835" w:type="dxa"/>
          </w:tcPr>
          <w:p w:rsidR="00891A88" w:rsidRPr="0089015F" w:rsidRDefault="00891A88" w:rsidP="00E92189">
            <w:pPr>
              <w:pStyle w:val="Tabletext"/>
            </w:pPr>
          </w:p>
        </w:tc>
        <w:tc>
          <w:tcPr>
            <w:tcW w:w="959" w:type="dxa"/>
            <w:tcBorders>
              <w:top w:val="single" w:sz="4" w:space="0" w:color="auto"/>
              <w:bottom w:val="single" w:sz="4" w:space="0" w:color="auto"/>
            </w:tcBorders>
          </w:tcPr>
          <w:p w:rsidR="00891A88" w:rsidRPr="0089015F" w:rsidRDefault="00891A88" w:rsidP="00E92189">
            <w:pPr>
              <w:pStyle w:val="Tabletext"/>
            </w:pPr>
            <w:r w:rsidRPr="0089015F">
              <w:t>2014</w:t>
            </w:r>
          </w:p>
        </w:tc>
        <w:tc>
          <w:tcPr>
            <w:tcW w:w="1417" w:type="dxa"/>
            <w:tcBorders>
              <w:top w:val="single" w:sz="4" w:space="0" w:color="auto"/>
              <w:bottom w:val="single" w:sz="4" w:space="0" w:color="auto"/>
            </w:tcBorders>
          </w:tcPr>
          <w:p w:rsidR="00891A88" w:rsidRPr="0089015F" w:rsidRDefault="00891A88" w:rsidP="00E92189">
            <w:pPr>
              <w:pStyle w:val="Tabletext"/>
            </w:pPr>
            <w:r w:rsidRPr="0089015F">
              <w:t>24.9%</w:t>
            </w:r>
          </w:p>
        </w:tc>
        <w:tc>
          <w:tcPr>
            <w:tcW w:w="1843" w:type="dxa"/>
            <w:tcBorders>
              <w:top w:val="single" w:sz="4" w:space="0" w:color="auto"/>
              <w:bottom w:val="single" w:sz="4" w:space="0" w:color="auto"/>
            </w:tcBorders>
          </w:tcPr>
          <w:p w:rsidR="00891A88" w:rsidRPr="0089015F" w:rsidRDefault="00891A88" w:rsidP="00E92189">
            <w:pPr>
              <w:pStyle w:val="Tabletext"/>
            </w:pPr>
            <w:r w:rsidRPr="0089015F">
              <w:t>75.1%</w:t>
            </w:r>
          </w:p>
        </w:tc>
        <w:tc>
          <w:tcPr>
            <w:tcW w:w="2126" w:type="dxa"/>
            <w:tcBorders>
              <w:top w:val="single" w:sz="4" w:space="0" w:color="auto"/>
              <w:bottom w:val="single" w:sz="4" w:space="0" w:color="auto"/>
            </w:tcBorders>
          </w:tcPr>
          <w:p w:rsidR="00891A88" w:rsidRPr="0089015F" w:rsidRDefault="00891A88" w:rsidP="00E92189">
            <w:pPr>
              <w:pStyle w:val="Tabletext"/>
            </w:pPr>
            <w:r w:rsidRPr="0089015F">
              <w:t>0.0%</w:t>
            </w:r>
          </w:p>
        </w:tc>
      </w:tr>
      <w:tr w:rsidR="00891A88" w:rsidRPr="0089015F" w:rsidTr="002F4D97">
        <w:tc>
          <w:tcPr>
            <w:tcW w:w="2835" w:type="dxa"/>
          </w:tcPr>
          <w:p w:rsidR="00891A88" w:rsidRPr="0089015F" w:rsidRDefault="00891A88" w:rsidP="00E92189">
            <w:pPr>
              <w:pStyle w:val="Tabletext"/>
            </w:pPr>
          </w:p>
        </w:tc>
        <w:tc>
          <w:tcPr>
            <w:tcW w:w="959"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2015</w:t>
            </w:r>
          </w:p>
        </w:tc>
        <w:tc>
          <w:tcPr>
            <w:tcW w:w="1417"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22.4%</w:t>
            </w:r>
          </w:p>
        </w:tc>
        <w:tc>
          <w:tcPr>
            <w:tcW w:w="1843"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77.6%</w:t>
            </w:r>
          </w:p>
        </w:tc>
        <w:tc>
          <w:tcPr>
            <w:tcW w:w="2126"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0.0%</w:t>
            </w:r>
          </w:p>
        </w:tc>
      </w:tr>
    </w:tbl>
    <w:p w:rsidR="00891A88" w:rsidRPr="00891A88" w:rsidRDefault="00891A88" w:rsidP="00891A88">
      <w:pPr>
        <w:pStyle w:val="Heading2"/>
      </w:pPr>
      <w:bookmarkStart w:id="51" w:name="_Toc433026833"/>
      <w:r w:rsidRPr="0089015F">
        <w:t>Victoria</w:t>
      </w:r>
      <w:bookmarkEnd w:id="51"/>
      <w:r w:rsidRPr="0089015F">
        <w:t xml:space="preserve"> </w:t>
      </w:r>
    </w:p>
    <w:p w:rsidR="00891A88" w:rsidRPr="00891A88" w:rsidRDefault="00891A88" w:rsidP="00891A88">
      <w:pPr>
        <w:pStyle w:val="Heading3"/>
      </w:pPr>
      <w:bookmarkStart w:id="52" w:name="_Toc432765980"/>
      <w:bookmarkStart w:id="53" w:name="_Toc433026834"/>
      <w:r>
        <w:t>Energy prices and bills</w:t>
      </w:r>
      <w:bookmarkEnd w:id="52"/>
      <w:bookmarkEnd w:id="53"/>
    </w:p>
    <w:p w:rsidR="00891A88" w:rsidRPr="003F12A6" w:rsidRDefault="00891A88" w:rsidP="00891A88">
      <w:r w:rsidRPr="0089015F">
        <w:t>There are five electricity d</w:t>
      </w:r>
      <w:r w:rsidRPr="003F12A6">
        <w:t xml:space="preserve">istribution zones in Victoria (Powercor, United Energy, CitiPower, Jemena and AusNet Services). Nineteen retailers had offers generally available to electricity customers in Victoria. </w:t>
      </w:r>
    </w:p>
    <w:p w:rsidR="00891A88" w:rsidRPr="0089015F" w:rsidRDefault="00891A88" w:rsidP="00891A88">
      <w:r w:rsidRPr="0089015F">
        <w:t xml:space="preserve">As in previous years, customers in AusNet Services’ distribution – which covers most of the eastern part of Victoria, including some of the eastern suburbs of Melbourne – had the highest electricity bills for the median market ($1315) and median standing offer ($1616). </w:t>
      </w:r>
    </w:p>
    <w:p w:rsidR="00891A88" w:rsidRPr="0089015F" w:rsidRDefault="00891A88" w:rsidP="00891A88">
      <w:r w:rsidRPr="0089015F">
        <w:t xml:space="preserve">The AusNet Services zone mainly covers rural Victoria, where a large amount of network infrastructure services a relatively small number of customers. The Jemena and Powercor distribution zones were again the next two most expensive zones, with annual bills for the median market offer of $1209 and $1207 respectively.  </w:t>
      </w:r>
    </w:p>
    <w:p w:rsidR="00891A88" w:rsidRPr="0089015F" w:rsidRDefault="00891A88" w:rsidP="00891A88">
      <w:r w:rsidRPr="0089015F">
        <w:t>In contrast, the Citi</w:t>
      </w:r>
      <w:r w:rsidR="008B0E6D">
        <w:t>P</w:t>
      </w:r>
      <w:r w:rsidRPr="0089015F">
        <w:t>ower distribution zone, which is smaller and covers inner Melbourne, had the cheapest possible annual electricity bills ($889 – almost $300 cheaper than the cheapest offer in the AusNet Services zone), as well as the cheapest median market offer ($1032).</w:t>
      </w:r>
    </w:p>
    <w:p w:rsidR="00891A88" w:rsidRPr="0089015F" w:rsidRDefault="00A471C1" w:rsidP="00891A88">
      <w:r>
        <w:t>W</w:t>
      </w:r>
      <w:r w:rsidR="00F56099">
        <w:t>ithin the NEM</w:t>
      </w:r>
      <w:r w:rsidR="00891A88" w:rsidRPr="0089015F">
        <w:t xml:space="preserve">, the range in electricity bills (from cheapest to most expensive) </w:t>
      </w:r>
      <w:r>
        <w:t xml:space="preserve">across distribution zones </w:t>
      </w:r>
      <w:r w:rsidR="00891A88" w:rsidRPr="0089015F">
        <w:t xml:space="preserve">was generally </w:t>
      </w:r>
      <w:r>
        <w:t>greatest</w:t>
      </w:r>
      <w:r w:rsidRPr="0089015F">
        <w:t xml:space="preserve"> </w:t>
      </w:r>
      <w:r w:rsidR="00891A88" w:rsidRPr="0089015F">
        <w:t>in Victoria. In all distribution zones</w:t>
      </w:r>
      <w:r w:rsidR="00F56099">
        <w:t xml:space="preserve"> in Victoria</w:t>
      </w:r>
      <w:r w:rsidR="00891A88" w:rsidRPr="0089015F">
        <w:t xml:space="preserve">, the median market offer was by far cheaper than the median standing offer – by up to $300. A customer still on a standing offer could save around $400 by switching to one of the cheapest market offers. </w:t>
      </w:r>
    </w:p>
    <w:p w:rsidR="00065BA2" w:rsidRDefault="00065BA2" w:rsidP="00891A88">
      <w:pPr>
        <w:pStyle w:val="Tabletitle"/>
      </w:pPr>
    </w:p>
    <w:p w:rsidR="00065BA2" w:rsidRDefault="00065BA2" w:rsidP="00891A88">
      <w:pPr>
        <w:pStyle w:val="Tabletitle"/>
      </w:pPr>
    </w:p>
    <w:p w:rsidR="00065BA2" w:rsidRDefault="00065BA2" w:rsidP="00891A88">
      <w:pPr>
        <w:pStyle w:val="Tabletitle"/>
      </w:pPr>
    </w:p>
    <w:p w:rsidR="00891A88" w:rsidRPr="00FA2E79" w:rsidRDefault="00891A88" w:rsidP="00891A88">
      <w:pPr>
        <w:pStyle w:val="Tabletitle"/>
      </w:pPr>
      <w:r w:rsidRPr="00FA2E79">
        <w:lastRenderedPageBreak/>
        <w:t>Figure 3.9: Range of generally available electricity offers by distribution zone (3700 kWh) – June 2015</w:t>
      </w:r>
    </w:p>
    <w:p w:rsidR="00891A88" w:rsidRPr="003F12A6" w:rsidRDefault="00891A88" w:rsidP="00891A88">
      <w:r w:rsidRPr="003F12A6">
        <w:rPr>
          <w:noProof/>
          <w:lang w:eastAsia="en-AU"/>
        </w:rPr>
        <w:drawing>
          <wp:inline distT="0" distB="0" distL="0" distR="0" wp14:anchorId="2973CA4F" wp14:editId="5A24F17E">
            <wp:extent cx="5759448" cy="3923414"/>
            <wp:effectExtent l="0" t="0" r="0" b="1270"/>
            <wp:docPr id="27" name="Picture 27" descr="Households of AusNet Services had the highest annual electricity bill for the median market offer at $1315. Annual bills were lower in the Citipower, United Energy, Jemena and Powercor distribution zones. Jemena had the largest range between the cheapest offer ($1064) and the most expensive offer ($1537). The Citipower distribution zone had the cheapest annual electricity bills ($1032), and the narrowest range ($407). In all zones, the median market offer was cheaper than the median standing offer (by at least $255)." title="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48" cy="3923414"/>
                    </a:xfrm>
                    <a:prstGeom prst="rect">
                      <a:avLst/>
                    </a:prstGeom>
                    <a:noFill/>
                  </pic:spPr>
                </pic:pic>
              </a:graphicData>
            </a:graphic>
          </wp:inline>
        </w:drawing>
      </w:r>
    </w:p>
    <w:p w:rsidR="00891A88" w:rsidRPr="003F12A6" w:rsidRDefault="00891A88" w:rsidP="00891A88">
      <w:r w:rsidRPr="0089015F">
        <w:t xml:space="preserve">There are eight gas distribution zones in Victoria: Multinet Main 1, Multinet Main 2, AusNet Services Central 1, Ausnet Services Central 2, AusNet Services West, AGN Central 1, AGN Central 2 and AGN North. Nine retailers had offers generally available to gas customers in Victoria. </w:t>
      </w:r>
    </w:p>
    <w:p w:rsidR="00891A88" w:rsidRPr="0089015F" w:rsidRDefault="00891A88" w:rsidP="00891A88">
      <w:r w:rsidRPr="0089015F">
        <w:t xml:space="preserve">Across the distribution zones, annual gas bills under the median standing offers were 12 to 15 per cent greater than annual gas bills under the median market offer. In all but one distribution zone the standing offer was the most expensive. </w:t>
      </w:r>
    </w:p>
    <w:p w:rsidR="00891A88" w:rsidRPr="0089015F" w:rsidRDefault="00891A88" w:rsidP="00891A88">
      <w:r w:rsidRPr="0089015F">
        <w:t xml:space="preserve">The gas distribution zone with the widest range of market offers was AusNet Services Central 2 ($330) and the narrowest was AGN North ($226).  </w:t>
      </w:r>
    </w:p>
    <w:p w:rsidR="00E92189" w:rsidRDefault="00E92189" w:rsidP="00891A88">
      <w:pPr>
        <w:pStyle w:val="Tabletitle"/>
      </w:pPr>
    </w:p>
    <w:p w:rsidR="00E92189" w:rsidRDefault="00E92189" w:rsidP="00891A88">
      <w:pPr>
        <w:pStyle w:val="Tabletitle"/>
      </w:pPr>
    </w:p>
    <w:p w:rsidR="00E92189" w:rsidRDefault="00E92189" w:rsidP="00891A88">
      <w:pPr>
        <w:pStyle w:val="Tabletitle"/>
      </w:pPr>
    </w:p>
    <w:p w:rsidR="00E92189" w:rsidRDefault="00E92189" w:rsidP="00891A88">
      <w:pPr>
        <w:pStyle w:val="Tabletitle"/>
      </w:pPr>
    </w:p>
    <w:p w:rsidR="00E92189" w:rsidRDefault="00E92189" w:rsidP="00891A88">
      <w:pPr>
        <w:pStyle w:val="Tabletitle"/>
      </w:pPr>
    </w:p>
    <w:p w:rsidR="00891A88" w:rsidRPr="00FA2E79" w:rsidRDefault="00891A88" w:rsidP="00891A88">
      <w:pPr>
        <w:pStyle w:val="Tabletitle"/>
      </w:pPr>
      <w:r w:rsidRPr="00FA2E79">
        <w:lastRenderedPageBreak/>
        <w:t>Figure 3.10: Range of generally available gas offers by distribution zone (63</w:t>
      </w:r>
      <w:r w:rsidR="00E92189">
        <w:t> </w:t>
      </w:r>
      <w:r w:rsidRPr="00FA2E79">
        <w:t>000 MJ) – June 2015</w:t>
      </w:r>
    </w:p>
    <w:p w:rsidR="00891A88" w:rsidRPr="003F12A6" w:rsidRDefault="00891A88" w:rsidP="00891A88">
      <w:r w:rsidRPr="003F12A6">
        <w:rPr>
          <w:noProof/>
          <w:lang w:eastAsia="en-AU"/>
        </w:rPr>
        <w:drawing>
          <wp:inline distT="0" distB="0" distL="0" distR="0" wp14:anchorId="565162D6" wp14:editId="0B499372">
            <wp:extent cx="5760000" cy="4370400"/>
            <wp:effectExtent l="0" t="0" r="0" b="0"/>
            <wp:docPr id="28" name="Picture 28" descr="The most expensive annual gas bill (for median market offers) was in the Australian Gas Networks Central distribution zone ($1247). The cheapest offer was in the Multinet Main 2 distribution zone ($1152). The gas distribution zone with the broadest range was Australian Gas Services Central 2 ($330) and the narrowest was Multinet Main 1 ($246). The median market gas offer was cheaper than the median standing offer in all zones." title="Fig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4370400"/>
                    </a:xfrm>
                    <a:prstGeom prst="rect">
                      <a:avLst/>
                    </a:prstGeom>
                    <a:noFill/>
                  </pic:spPr>
                </pic:pic>
              </a:graphicData>
            </a:graphic>
          </wp:inline>
        </w:drawing>
      </w:r>
    </w:p>
    <w:p w:rsidR="00891A88" w:rsidRPr="003F12A6" w:rsidRDefault="00891A88" w:rsidP="00891A88">
      <w:r w:rsidRPr="0089015F">
        <w:t>Customers still on standing offers are likely to be able to save money by switching to a market offer that suits their needs</w:t>
      </w:r>
      <w:r w:rsidRPr="003F12A6">
        <w:t>. Customers in Victoria can compare energy offers using the Victoria Energy Compare website (</w:t>
      </w:r>
      <w:hyperlink r:id="rId40" w:history="1">
        <w:r w:rsidR="00CF7F4C" w:rsidRPr="000269A9">
          <w:rPr>
            <w:rStyle w:val="Hyperlink"/>
          </w:rPr>
          <w:t>https://compare.switchon.vic.gov.au</w:t>
        </w:r>
      </w:hyperlink>
      <w:r w:rsidRPr="003F12A6">
        <w:t>).</w:t>
      </w:r>
      <w:r w:rsidR="00CF7F4C">
        <w:t xml:space="preserve"> </w:t>
      </w:r>
      <w:r w:rsidRPr="003F12A6">
        <w:t xml:space="preserve"> </w:t>
      </w:r>
    </w:p>
    <w:p w:rsidR="00891A88" w:rsidRPr="00891A88" w:rsidRDefault="00891A88" w:rsidP="00891A88">
      <w:pPr>
        <w:pStyle w:val="Heading3"/>
      </w:pPr>
      <w:bookmarkStart w:id="54" w:name="_Toc432765981"/>
      <w:bookmarkStart w:id="55" w:name="_Toc433026835"/>
      <w:r>
        <w:t>Energy</w:t>
      </w:r>
      <w:r w:rsidRPr="00891A88">
        <w:t xml:space="preserve"> bills as a percentage of income</w:t>
      </w:r>
      <w:bookmarkEnd w:id="54"/>
      <w:bookmarkEnd w:id="55"/>
    </w:p>
    <w:p w:rsidR="00891A88" w:rsidRPr="003F12A6" w:rsidRDefault="00891A88" w:rsidP="00891A88">
      <w:r w:rsidRPr="0089015F">
        <w:t>The Victorian Government offers electricity and gas concessions to eligible households.</w:t>
      </w:r>
      <w:r w:rsidRPr="003F12A6">
        <w:rPr>
          <w:rStyle w:val="FootnoteReference"/>
        </w:rPr>
        <w:footnoteReference w:id="37"/>
      </w:r>
      <w:r w:rsidRPr="003F12A6">
        <w:t xml:space="preserve"> The Annual Electricity Concession provides a 17.5 per cent discount off electricity bills. The discount does not apply to the first $171.60 or automatically to any value above $2763. Concession households with annual electricity bills of more than $2763 can apply for the Excess Electricity Concession to continue to receive the 17.5 per cent concession on electricity consumed above this amount.</w:t>
      </w:r>
    </w:p>
    <w:p w:rsidR="00891A88" w:rsidRPr="0089015F" w:rsidRDefault="00891A88" w:rsidP="00891A88">
      <w:r w:rsidRPr="0089015F">
        <w:t xml:space="preserve">The Winter Gas Concession also provides a 17.5 per cent discount off gas bills, but only applies to gas services in the six months between 1 May and 31 October each year. It does not apply to the first $62.40 or automatically to any value above $1462. Concession </w:t>
      </w:r>
      <w:r w:rsidRPr="0089015F">
        <w:lastRenderedPageBreak/>
        <w:t xml:space="preserve">households with gas bills of more than $1462 during the winter period can apply for the Excess Gas Concession to continue to receive the 17.5 per cent concession. Figure 3.11 shows the impact of these concessions on annual electricity and gas bills. </w:t>
      </w:r>
    </w:p>
    <w:p w:rsidR="00891A88" w:rsidRPr="00FA2E79" w:rsidRDefault="00891A88" w:rsidP="00891A88">
      <w:pPr>
        <w:pStyle w:val="Tabletitle"/>
      </w:pPr>
      <w:r w:rsidRPr="00FA2E79">
        <w:t>Figure 3.11: Annual electricity and gas bills, and as a share of disposable income for a benchmark low income household (3700 kWh and 63 000 MJ)</w:t>
      </w:r>
    </w:p>
    <w:p w:rsidR="00891A88" w:rsidRPr="003F12A6" w:rsidRDefault="00891A88" w:rsidP="00891A88">
      <w:r w:rsidRPr="003F12A6">
        <w:rPr>
          <w:noProof/>
          <w:lang w:eastAsia="en-AU"/>
        </w:rPr>
        <w:drawing>
          <wp:inline distT="0" distB="0" distL="0" distR="0" wp14:anchorId="20AA3EE1" wp14:editId="3E3AF5A3">
            <wp:extent cx="5760000" cy="3823200"/>
            <wp:effectExtent l="0" t="0" r="0" b="6350"/>
            <wp:docPr id="29" name="Picture 29" descr="The electricity bill for a household on the median market offer was $1188 (or $1011 with a concession). Electricity bills for the standing offer were higher, at $1479 (or $1250 with a concession). A low income household on the median market offer and receiving an energy concession would spend 4.1 per cent of its disposable income on electricity (or 4.8 per cent without a concession). For the median standing offer, the annual electricity bill would comprise 5 per cent of a low income household’s disposable income (receiving a concession), or 5.9 per cent without a concession.&#10;Annual gas bills for the median market offer were $1206 (or $1106 with a concession), and for the median standing offer were $1368 (or $1254 with a concession). A low income household on the median market offer and receiving an energy concession would spend 4.4 per cent of its disposable income on gas (or 4.8 per cent without a concession). For the median standing offer, the annual gas bill would comprise 5 per cent of a low income household’s disposable income (receiving a concession), or 5.5 per cent without a concession.&#10;" title="Fig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00" cy="3823200"/>
                    </a:xfrm>
                    <a:prstGeom prst="rect">
                      <a:avLst/>
                    </a:prstGeom>
                    <a:noFill/>
                  </pic:spPr>
                </pic:pic>
              </a:graphicData>
            </a:graphic>
          </wp:inline>
        </w:drawing>
      </w:r>
    </w:p>
    <w:p w:rsidR="00891A88" w:rsidRPr="0089015F" w:rsidRDefault="00891A88" w:rsidP="00891A88">
      <w:r w:rsidRPr="0089015F">
        <w:t>The electricity bill for a household on the median market offer was $1188 (or $1011 with a concession). Electricity bills for the standing offer were higher, at $1479 (or $1250 with a concession). A low income household on the median market offer and receiving an energy concession would spend 4.1 per cent of its disposable income on electricity (or 4.8 per cent without a concession). For the median standing offer, the annual electricity bill would comprise 5 per cent of a low income household’s disposable income (receiving a concession), or 5.9 per cent without a concession.</w:t>
      </w:r>
    </w:p>
    <w:p w:rsidR="00891A88" w:rsidRPr="0089015F" w:rsidRDefault="00891A88" w:rsidP="00891A88">
      <w:r w:rsidRPr="0089015F">
        <w:t>Annual electricity bills for the median market offer decreased by 7 per cent in 2015 when compared to 2014. As a proportion of income, the decrease was from 5.2 per cent to 4.8 per cent. Electricity bills for the standing offer only decreased by 1 per cent over the same period. Annual electricity bills for market offers have decreased to totals below those from June 2013.</w:t>
      </w:r>
    </w:p>
    <w:p w:rsidR="00891A88" w:rsidRPr="0089015F" w:rsidRDefault="00891A88" w:rsidP="00891A88">
      <w:r w:rsidRPr="0089015F">
        <w:t xml:space="preserve">Annual gas bills for the median market offer were $1206 (or $1106 with a concession), and for the median standing offer were $1368 (or $1254 with a concession). A low income household on the median market offer and receiving an energy concession would spend 4.4 per cent of its disposable income on gas (or 4.8 per cent without a concession). For the median standing offer, the annual gas bill would comprise 5 per cent of a low income </w:t>
      </w:r>
      <w:r w:rsidRPr="0089015F">
        <w:lastRenderedPageBreak/>
        <w:t>household’s disposable income (receiving a concession), or 5.5 per cent without a concession.</w:t>
      </w:r>
    </w:p>
    <w:p w:rsidR="00891A88" w:rsidRPr="0089015F" w:rsidRDefault="00891A88" w:rsidP="00891A88">
      <w:r w:rsidRPr="0089015F">
        <w:t>Annual gas bills for the median market offer decreased by 4 per cent from June 2014 to June 2015. Low income households spent 4.8 per cent of their income on gas, compared 5.1 per cent in June 2014 and 5 per cent in June 2013.</w:t>
      </w:r>
    </w:p>
    <w:p w:rsidR="00891A88" w:rsidRPr="0089015F" w:rsidRDefault="00891A88" w:rsidP="00891A88">
      <w:r w:rsidRPr="0089015F">
        <w:t>A benchmark middle income household consuming a typical amount of electricity – 4900 kWh in Victoria – spent 2 per cent of its disposable income on electricity bills. A high income household consuming the same amount of electricity spend 0.8 per cent of its income. Middle and high income households spent 1.7 per cent and 0.6 per cent of their disposable income respectively on gas.</w:t>
      </w:r>
    </w:p>
    <w:p w:rsidR="00891A88" w:rsidRPr="00FA2E79" w:rsidRDefault="00891A88" w:rsidP="00891A88">
      <w:pPr>
        <w:pStyle w:val="Tabletitle"/>
      </w:pPr>
      <w:r w:rsidRPr="00FA2E79">
        <w:t>Table 3.</w:t>
      </w:r>
      <w:r w:rsidR="00B97CA3">
        <w:t>5</w:t>
      </w:r>
      <w:r w:rsidRPr="00FA2E79">
        <w:t>: Summary of annual electricity and gas bills (for the median market offer) and as a share of disposable income – June 2015</w:t>
      </w:r>
    </w:p>
    <w:tbl>
      <w:tblPr>
        <w:tblW w:w="0" w:type="auto"/>
        <w:tblLook w:val="04A0" w:firstRow="1" w:lastRow="0" w:firstColumn="1" w:lastColumn="0" w:noHBand="0" w:noVBand="1"/>
      </w:tblPr>
      <w:tblGrid>
        <w:gridCol w:w="3369"/>
        <w:gridCol w:w="2268"/>
        <w:gridCol w:w="1559"/>
        <w:gridCol w:w="2046"/>
      </w:tblGrid>
      <w:tr w:rsidR="00891A88" w:rsidRPr="0089015F" w:rsidTr="002F4D97">
        <w:tc>
          <w:tcPr>
            <w:tcW w:w="3369" w:type="dxa"/>
            <w:shd w:val="clear" w:color="auto" w:fill="F2F2F2" w:themeFill="background1" w:themeFillShade="F2"/>
          </w:tcPr>
          <w:p w:rsidR="00891A88" w:rsidRPr="006D4C8B" w:rsidRDefault="00891A88" w:rsidP="00E92189">
            <w:pPr>
              <w:pStyle w:val="Tabletext"/>
              <w:rPr>
                <w:rStyle w:val="Strong"/>
              </w:rPr>
            </w:pPr>
            <w:r w:rsidRPr="006D4C8B">
              <w:rPr>
                <w:rStyle w:val="Strong"/>
              </w:rPr>
              <w:t>Income level</w:t>
            </w:r>
          </w:p>
        </w:tc>
        <w:tc>
          <w:tcPr>
            <w:tcW w:w="2268" w:type="dxa"/>
            <w:shd w:val="clear" w:color="auto" w:fill="F2F2F2" w:themeFill="background1" w:themeFillShade="F2"/>
          </w:tcPr>
          <w:p w:rsidR="00891A88" w:rsidRPr="006D4C8B" w:rsidRDefault="00891A88" w:rsidP="00E92189">
            <w:pPr>
              <w:pStyle w:val="Tabletext"/>
              <w:rPr>
                <w:rStyle w:val="Strong"/>
              </w:rPr>
            </w:pPr>
            <w:r w:rsidRPr="006D4C8B">
              <w:rPr>
                <w:rStyle w:val="Strong"/>
              </w:rPr>
              <w:t>Annual consumption</w:t>
            </w:r>
          </w:p>
        </w:tc>
        <w:tc>
          <w:tcPr>
            <w:tcW w:w="1559" w:type="dxa"/>
            <w:shd w:val="clear" w:color="auto" w:fill="F2F2F2" w:themeFill="background1" w:themeFillShade="F2"/>
          </w:tcPr>
          <w:p w:rsidR="00891A88" w:rsidRPr="006D4C8B" w:rsidRDefault="00891A88" w:rsidP="00E92189">
            <w:pPr>
              <w:pStyle w:val="Tabletext"/>
              <w:rPr>
                <w:rStyle w:val="Strong"/>
              </w:rPr>
            </w:pPr>
            <w:r w:rsidRPr="006D4C8B">
              <w:rPr>
                <w:rStyle w:val="Strong"/>
              </w:rPr>
              <w:t xml:space="preserve">Annual bill ($) </w:t>
            </w:r>
          </w:p>
        </w:tc>
        <w:tc>
          <w:tcPr>
            <w:tcW w:w="2046" w:type="dxa"/>
            <w:shd w:val="clear" w:color="auto" w:fill="F2F2F2" w:themeFill="background1" w:themeFillShade="F2"/>
          </w:tcPr>
          <w:p w:rsidR="00891A88" w:rsidRPr="006D4C8B" w:rsidRDefault="00891A88" w:rsidP="00E92189">
            <w:pPr>
              <w:pStyle w:val="Tabletext"/>
              <w:rPr>
                <w:rStyle w:val="Strong"/>
              </w:rPr>
            </w:pPr>
            <w:r w:rsidRPr="006D4C8B">
              <w:rPr>
                <w:rStyle w:val="Strong"/>
              </w:rPr>
              <w:t>Proportion of annual income (%)</w:t>
            </w:r>
          </w:p>
        </w:tc>
      </w:tr>
      <w:tr w:rsidR="00891A88" w:rsidRPr="0089015F" w:rsidTr="002F4D97">
        <w:tc>
          <w:tcPr>
            <w:tcW w:w="3369" w:type="dxa"/>
            <w:tcBorders>
              <w:top w:val="single" w:sz="4" w:space="0" w:color="BFBFBF" w:themeColor="background1" w:themeShade="BF"/>
              <w:bottom w:val="single" w:sz="4" w:space="0" w:color="auto"/>
            </w:tcBorders>
          </w:tcPr>
          <w:p w:rsidR="00891A88" w:rsidRPr="003F12A6" w:rsidRDefault="00891A88" w:rsidP="00E92189">
            <w:pPr>
              <w:pStyle w:val="Tabletext"/>
            </w:pPr>
            <w:r w:rsidRPr="003F12A6">
              <w:t>Low income – with concession</w:t>
            </w:r>
          </w:p>
        </w:tc>
        <w:tc>
          <w:tcPr>
            <w:tcW w:w="2268"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Electricity 3700 kWh</w:t>
            </w:r>
          </w:p>
        </w:tc>
        <w:tc>
          <w:tcPr>
            <w:tcW w:w="1559"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1011</w:t>
            </w:r>
          </w:p>
        </w:tc>
        <w:tc>
          <w:tcPr>
            <w:tcW w:w="2046"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4.1</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Low income – without concession</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Electricity 3700 kWh</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1188</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4.8</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Middle income</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Electricity 4900 kWh</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1436</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2.0</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High income</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Electricity 4900 kWh</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1436</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0.8</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Low income – with concession</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Gas 63 000 MJ</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1106</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4.4</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Low income – without concession</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Gas 63 000 MJ</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1206</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4.8</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Middle income</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Gas 63 000 MJ</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1206</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1.7</w:t>
            </w:r>
          </w:p>
        </w:tc>
      </w:tr>
      <w:tr w:rsidR="00891A88" w:rsidRPr="0089015F" w:rsidTr="002F4D97">
        <w:tc>
          <w:tcPr>
            <w:tcW w:w="3369" w:type="dxa"/>
            <w:tcBorders>
              <w:top w:val="single" w:sz="4" w:space="0" w:color="auto"/>
              <w:bottom w:val="single" w:sz="4" w:space="0" w:color="BFBFBF" w:themeColor="background1" w:themeShade="BF"/>
            </w:tcBorders>
          </w:tcPr>
          <w:p w:rsidR="00891A88" w:rsidRPr="003F12A6" w:rsidRDefault="00891A88" w:rsidP="00E92189">
            <w:pPr>
              <w:pStyle w:val="Tabletext"/>
            </w:pPr>
            <w:r w:rsidRPr="003F12A6">
              <w:t>High income</w:t>
            </w:r>
          </w:p>
        </w:tc>
        <w:tc>
          <w:tcPr>
            <w:tcW w:w="2268"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Gas 63 000 MJ</w:t>
            </w:r>
          </w:p>
        </w:tc>
        <w:tc>
          <w:tcPr>
            <w:tcW w:w="1559"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1206</w:t>
            </w:r>
          </w:p>
        </w:tc>
        <w:tc>
          <w:tcPr>
            <w:tcW w:w="2046"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0.6</w:t>
            </w:r>
          </w:p>
        </w:tc>
      </w:tr>
    </w:tbl>
    <w:p w:rsidR="00891A88" w:rsidRPr="0065579A" w:rsidRDefault="00891A88" w:rsidP="00891A88">
      <w:pPr>
        <w:pStyle w:val="Heading3"/>
      </w:pPr>
      <w:bookmarkStart w:id="56" w:name="_Toc432765982"/>
      <w:bookmarkStart w:id="57" w:name="_Toc433026836"/>
      <w:r w:rsidRPr="0065579A">
        <w:t>Composition of energy bills and impact of concessions</w:t>
      </w:r>
      <w:bookmarkEnd w:id="56"/>
      <w:bookmarkEnd w:id="57"/>
    </w:p>
    <w:p w:rsidR="00891A88" w:rsidRPr="0089015F" w:rsidRDefault="00891A88" w:rsidP="00891A88">
      <w:r w:rsidRPr="0089015F">
        <w:t>Table 3.</w:t>
      </w:r>
      <w:r w:rsidR="00B97CA3">
        <w:t>6</w:t>
      </w:r>
      <w:r w:rsidR="00B97CA3" w:rsidRPr="0089015F">
        <w:t xml:space="preserve"> </w:t>
      </w:r>
      <w:r w:rsidRPr="0089015F">
        <w:t xml:space="preserve">shows the portions of low income household energy bills attributed to daily supply charges and energy use charges, as well as the savings provided by energy concessions.  </w:t>
      </w:r>
    </w:p>
    <w:p w:rsidR="00891A88" w:rsidRPr="003F12A6" w:rsidRDefault="00891A88" w:rsidP="00891A88">
      <w:pPr>
        <w:rPr>
          <w:highlight w:val="yellow"/>
        </w:rPr>
      </w:pPr>
      <w:r w:rsidRPr="0089015F">
        <w:t xml:space="preserve">Daily supply charges for electricity were $401 per annum in 2015, which represents 34 per cent of a low income household’s annual electricity bill, and 1.6 per cent of its disposable income. Daily supply charges for electricity did not significantly increase in 2015; however in Victoria they represent the largest portion of annual bills when compared with other jurisdictions. </w:t>
      </w:r>
    </w:p>
    <w:p w:rsidR="00891A88" w:rsidRPr="003F12A6" w:rsidRDefault="00891A88" w:rsidP="00891A88">
      <w:r w:rsidRPr="0089015F">
        <w:t xml:space="preserve">Daily supply charges for gas were $249 per annum, which represents 21 per cent of a low income household’s annual gas bill, and 1 per cent of its disposable income. </w:t>
      </w:r>
    </w:p>
    <w:p w:rsidR="00891A88" w:rsidRPr="003F12A6" w:rsidRDefault="00891A88" w:rsidP="00891A88">
      <w:r w:rsidRPr="0089015F">
        <w:lastRenderedPageBreak/>
        <w:t>Energy concessions help eligible customers save 15 per cent on electricity and 8 per cent on gas.</w:t>
      </w:r>
      <w:r w:rsidRPr="00891A88">
        <w:rPr>
          <w:rStyle w:val="Superscript"/>
        </w:rPr>
        <w:footnoteReference w:id="38"/>
      </w:r>
      <w:r w:rsidRPr="003F12A6">
        <w:t xml:space="preserve"> </w:t>
      </w:r>
    </w:p>
    <w:p w:rsidR="00891A88" w:rsidRPr="00FA2E79" w:rsidRDefault="00891A88" w:rsidP="00891A88">
      <w:pPr>
        <w:pStyle w:val="Tabletitle"/>
      </w:pPr>
      <w:r w:rsidRPr="00FA2E79">
        <w:t>Table 3.</w:t>
      </w:r>
      <w:r w:rsidR="00B97CA3">
        <w:t>6</w:t>
      </w:r>
      <w:r w:rsidRPr="00FA2E79">
        <w:t>: Composition of low income household energy bills (median market offer)</w:t>
      </w:r>
    </w:p>
    <w:tbl>
      <w:tblPr>
        <w:tblW w:w="9180" w:type="dxa"/>
        <w:tblLayout w:type="fixed"/>
        <w:tblLook w:val="04A0" w:firstRow="1" w:lastRow="0" w:firstColumn="1" w:lastColumn="0" w:noHBand="0" w:noVBand="1"/>
      </w:tblPr>
      <w:tblGrid>
        <w:gridCol w:w="2835"/>
        <w:gridCol w:w="959"/>
        <w:gridCol w:w="1417"/>
        <w:gridCol w:w="1843"/>
        <w:gridCol w:w="2126"/>
      </w:tblGrid>
      <w:tr w:rsidR="00891A88" w:rsidRPr="0089015F" w:rsidTr="002F4D97">
        <w:tc>
          <w:tcPr>
            <w:tcW w:w="2835" w:type="dxa"/>
            <w:shd w:val="clear" w:color="auto" w:fill="F2F2F2" w:themeFill="background1" w:themeFillShade="F2"/>
          </w:tcPr>
          <w:p w:rsidR="00891A88" w:rsidRPr="009D1691" w:rsidRDefault="00891A88" w:rsidP="009D1691">
            <w:pPr>
              <w:pStyle w:val="Tabletext"/>
              <w:rPr>
                <w:rStyle w:val="Strong"/>
              </w:rPr>
            </w:pPr>
            <w:r w:rsidRPr="009D1691">
              <w:rPr>
                <w:rStyle w:val="Strong"/>
              </w:rPr>
              <w:t>Fuel type – consumption</w:t>
            </w:r>
          </w:p>
        </w:tc>
        <w:tc>
          <w:tcPr>
            <w:tcW w:w="959" w:type="dxa"/>
            <w:shd w:val="clear" w:color="auto" w:fill="F2F2F2" w:themeFill="background1" w:themeFillShade="F2"/>
          </w:tcPr>
          <w:p w:rsidR="00891A88" w:rsidRPr="009D1691" w:rsidRDefault="00891A88" w:rsidP="009D1691">
            <w:pPr>
              <w:pStyle w:val="Tabletext"/>
              <w:rPr>
                <w:rStyle w:val="Strong"/>
              </w:rPr>
            </w:pPr>
            <w:r w:rsidRPr="009D1691">
              <w:rPr>
                <w:rStyle w:val="Strong"/>
              </w:rPr>
              <w:t>Year</w:t>
            </w:r>
          </w:p>
        </w:tc>
        <w:tc>
          <w:tcPr>
            <w:tcW w:w="1417" w:type="dxa"/>
            <w:shd w:val="clear" w:color="auto" w:fill="F2F2F2" w:themeFill="background1" w:themeFillShade="F2"/>
          </w:tcPr>
          <w:p w:rsidR="00891A88" w:rsidRPr="009D1691" w:rsidRDefault="00891A88" w:rsidP="009D1691">
            <w:pPr>
              <w:pStyle w:val="Tabletext"/>
              <w:rPr>
                <w:rStyle w:val="Strong"/>
              </w:rPr>
            </w:pPr>
            <w:r w:rsidRPr="009D1691">
              <w:rPr>
                <w:rStyle w:val="Strong"/>
              </w:rPr>
              <w:t>Daily supply charges (%)</w:t>
            </w:r>
          </w:p>
        </w:tc>
        <w:tc>
          <w:tcPr>
            <w:tcW w:w="1843" w:type="dxa"/>
            <w:shd w:val="clear" w:color="auto" w:fill="F2F2F2" w:themeFill="background1" w:themeFillShade="F2"/>
          </w:tcPr>
          <w:p w:rsidR="00891A88" w:rsidRPr="009D1691" w:rsidRDefault="00891A88" w:rsidP="009D1691">
            <w:pPr>
              <w:pStyle w:val="Tabletext"/>
              <w:rPr>
                <w:rStyle w:val="Strong"/>
              </w:rPr>
            </w:pPr>
            <w:r w:rsidRPr="009D1691">
              <w:rPr>
                <w:rStyle w:val="Strong"/>
              </w:rPr>
              <w:t>Energy use charges (%)</w:t>
            </w:r>
          </w:p>
        </w:tc>
        <w:tc>
          <w:tcPr>
            <w:tcW w:w="2126" w:type="dxa"/>
            <w:shd w:val="clear" w:color="auto" w:fill="F2F2F2" w:themeFill="background1" w:themeFillShade="F2"/>
          </w:tcPr>
          <w:p w:rsidR="00891A88" w:rsidRPr="009D1691" w:rsidRDefault="00891A88" w:rsidP="009D1691">
            <w:pPr>
              <w:pStyle w:val="Tabletext"/>
              <w:rPr>
                <w:rStyle w:val="Strong"/>
              </w:rPr>
            </w:pPr>
            <w:r w:rsidRPr="009D1691">
              <w:rPr>
                <w:rStyle w:val="Strong"/>
              </w:rPr>
              <w:t>Saving with concession (%)</w:t>
            </w:r>
          </w:p>
        </w:tc>
      </w:tr>
      <w:tr w:rsidR="00891A88" w:rsidRPr="0089015F" w:rsidTr="002F4D97">
        <w:tc>
          <w:tcPr>
            <w:tcW w:w="2835" w:type="dxa"/>
          </w:tcPr>
          <w:p w:rsidR="00891A88" w:rsidRPr="003F12A6" w:rsidRDefault="00891A88" w:rsidP="009D1691">
            <w:pPr>
              <w:pStyle w:val="Tabletext"/>
            </w:pPr>
            <w:r w:rsidRPr="003F12A6">
              <w:t>Electricity – 3700 kWh</w:t>
            </w:r>
          </w:p>
        </w:tc>
        <w:tc>
          <w:tcPr>
            <w:tcW w:w="959" w:type="dxa"/>
            <w:tcBorders>
              <w:top w:val="single" w:sz="4" w:space="0" w:color="BFBFBF" w:themeColor="background1" w:themeShade="BF"/>
              <w:bottom w:val="single" w:sz="4" w:space="0" w:color="auto"/>
            </w:tcBorders>
          </w:tcPr>
          <w:p w:rsidR="00891A88" w:rsidRPr="0089015F" w:rsidRDefault="00891A88" w:rsidP="009D1691">
            <w:pPr>
              <w:pStyle w:val="Tabletext"/>
            </w:pPr>
            <w:r w:rsidRPr="0089015F">
              <w:t>2013</w:t>
            </w:r>
          </w:p>
        </w:tc>
        <w:tc>
          <w:tcPr>
            <w:tcW w:w="1417" w:type="dxa"/>
            <w:tcBorders>
              <w:top w:val="single" w:sz="4" w:space="0" w:color="BFBFBF" w:themeColor="background1" w:themeShade="BF"/>
              <w:bottom w:val="single" w:sz="4" w:space="0" w:color="auto"/>
            </w:tcBorders>
          </w:tcPr>
          <w:p w:rsidR="00891A88" w:rsidRPr="0089015F" w:rsidRDefault="00891A88" w:rsidP="009D1691">
            <w:pPr>
              <w:pStyle w:val="Tabletext"/>
            </w:pPr>
            <w:r w:rsidRPr="0089015F">
              <w:t>26.6%</w:t>
            </w:r>
          </w:p>
        </w:tc>
        <w:tc>
          <w:tcPr>
            <w:tcW w:w="1843" w:type="dxa"/>
            <w:tcBorders>
              <w:top w:val="single" w:sz="4" w:space="0" w:color="BFBFBF" w:themeColor="background1" w:themeShade="BF"/>
              <w:bottom w:val="single" w:sz="4" w:space="0" w:color="auto"/>
            </w:tcBorders>
          </w:tcPr>
          <w:p w:rsidR="00891A88" w:rsidRPr="0089015F" w:rsidRDefault="00891A88" w:rsidP="009D1691">
            <w:pPr>
              <w:pStyle w:val="Tabletext"/>
            </w:pPr>
            <w:r w:rsidRPr="0089015F">
              <w:t>73.4%</w:t>
            </w:r>
          </w:p>
        </w:tc>
        <w:tc>
          <w:tcPr>
            <w:tcW w:w="2126" w:type="dxa"/>
            <w:tcBorders>
              <w:top w:val="single" w:sz="4" w:space="0" w:color="BFBFBF" w:themeColor="background1" w:themeShade="BF"/>
              <w:bottom w:val="single" w:sz="4" w:space="0" w:color="auto"/>
            </w:tcBorders>
          </w:tcPr>
          <w:p w:rsidR="00891A88" w:rsidRPr="0089015F" w:rsidRDefault="00891A88" w:rsidP="009D1691">
            <w:pPr>
              <w:pStyle w:val="Tabletext"/>
            </w:pPr>
            <w:r w:rsidRPr="0089015F">
              <w:t>15.1%</w:t>
            </w:r>
          </w:p>
        </w:tc>
      </w:tr>
      <w:tr w:rsidR="00891A88" w:rsidRPr="0089015F" w:rsidTr="002F4D97">
        <w:tc>
          <w:tcPr>
            <w:tcW w:w="2835" w:type="dxa"/>
            <w:tcBorders>
              <w:bottom w:val="nil"/>
            </w:tcBorders>
          </w:tcPr>
          <w:p w:rsidR="00891A88" w:rsidRPr="003F12A6" w:rsidRDefault="00891A88" w:rsidP="009D1691">
            <w:pPr>
              <w:pStyle w:val="Tabletext"/>
            </w:pPr>
          </w:p>
        </w:tc>
        <w:tc>
          <w:tcPr>
            <w:tcW w:w="959" w:type="dxa"/>
            <w:tcBorders>
              <w:top w:val="single" w:sz="4" w:space="0" w:color="auto"/>
              <w:bottom w:val="single" w:sz="4" w:space="0" w:color="auto"/>
            </w:tcBorders>
          </w:tcPr>
          <w:p w:rsidR="00891A88" w:rsidRPr="0089015F" w:rsidRDefault="00891A88" w:rsidP="009D1691">
            <w:pPr>
              <w:pStyle w:val="Tabletext"/>
            </w:pPr>
            <w:r w:rsidRPr="0089015F">
              <w:t>2014</w:t>
            </w:r>
          </w:p>
        </w:tc>
        <w:tc>
          <w:tcPr>
            <w:tcW w:w="1417" w:type="dxa"/>
            <w:tcBorders>
              <w:top w:val="single" w:sz="4" w:space="0" w:color="auto"/>
              <w:bottom w:val="single" w:sz="4" w:space="0" w:color="auto"/>
            </w:tcBorders>
          </w:tcPr>
          <w:p w:rsidR="00891A88" w:rsidRPr="0089015F" w:rsidRDefault="00891A88" w:rsidP="009D1691">
            <w:pPr>
              <w:pStyle w:val="Tabletext"/>
            </w:pPr>
            <w:r w:rsidRPr="0089015F">
              <w:t>31.3%</w:t>
            </w:r>
          </w:p>
        </w:tc>
        <w:tc>
          <w:tcPr>
            <w:tcW w:w="1843" w:type="dxa"/>
            <w:tcBorders>
              <w:top w:val="single" w:sz="4" w:space="0" w:color="auto"/>
              <w:bottom w:val="single" w:sz="4" w:space="0" w:color="auto"/>
            </w:tcBorders>
          </w:tcPr>
          <w:p w:rsidR="00891A88" w:rsidRPr="0089015F" w:rsidRDefault="00891A88" w:rsidP="009D1691">
            <w:pPr>
              <w:pStyle w:val="Tabletext"/>
            </w:pPr>
            <w:r w:rsidRPr="0089015F">
              <w:t>68.7%</w:t>
            </w:r>
          </w:p>
        </w:tc>
        <w:tc>
          <w:tcPr>
            <w:tcW w:w="2126" w:type="dxa"/>
            <w:tcBorders>
              <w:top w:val="single" w:sz="4" w:space="0" w:color="auto"/>
              <w:bottom w:val="single" w:sz="4" w:space="0" w:color="auto"/>
            </w:tcBorders>
          </w:tcPr>
          <w:p w:rsidR="00891A88" w:rsidRPr="0089015F" w:rsidRDefault="00891A88" w:rsidP="009D1691">
            <w:pPr>
              <w:pStyle w:val="Tabletext"/>
            </w:pPr>
            <w:r w:rsidRPr="0089015F">
              <w:t>15.1%</w:t>
            </w:r>
          </w:p>
        </w:tc>
      </w:tr>
      <w:tr w:rsidR="00891A88" w:rsidRPr="0089015F" w:rsidTr="002F4D97">
        <w:tc>
          <w:tcPr>
            <w:tcW w:w="2835" w:type="dxa"/>
            <w:tcBorders>
              <w:top w:val="nil"/>
              <w:bottom w:val="single" w:sz="4" w:space="0" w:color="auto"/>
            </w:tcBorders>
          </w:tcPr>
          <w:p w:rsidR="00891A88" w:rsidRPr="003F12A6" w:rsidRDefault="00891A88" w:rsidP="009D1691">
            <w:pPr>
              <w:pStyle w:val="Tabletext"/>
            </w:pPr>
          </w:p>
        </w:tc>
        <w:tc>
          <w:tcPr>
            <w:tcW w:w="959" w:type="dxa"/>
            <w:tcBorders>
              <w:top w:val="single" w:sz="4" w:space="0" w:color="auto"/>
              <w:bottom w:val="single" w:sz="4" w:space="0" w:color="auto"/>
            </w:tcBorders>
          </w:tcPr>
          <w:p w:rsidR="00891A88" w:rsidRPr="0089015F" w:rsidRDefault="00891A88" w:rsidP="009D1691">
            <w:pPr>
              <w:pStyle w:val="Tabletext"/>
            </w:pPr>
            <w:r w:rsidRPr="0089015F">
              <w:t>2015</w:t>
            </w:r>
          </w:p>
        </w:tc>
        <w:tc>
          <w:tcPr>
            <w:tcW w:w="1417" w:type="dxa"/>
            <w:tcBorders>
              <w:top w:val="single" w:sz="4" w:space="0" w:color="auto"/>
              <w:bottom w:val="single" w:sz="4" w:space="0" w:color="auto"/>
            </w:tcBorders>
          </w:tcPr>
          <w:p w:rsidR="00891A88" w:rsidRPr="0089015F" w:rsidRDefault="00891A88" w:rsidP="009D1691">
            <w:pPr>
              <w:pStyle w:val="Tabletext"/>
            </w:pPr>
            <w:r w:rsidRPr="0089015F">
              <w:t>33.7%</w:t>
            </w:r>
          </w:p>
        </w:tc>
        <w:tc>
          <w:tcPr>
            <w:tcW w:w="1843" w:type="dxa"/>
            <w:tcBorders>
              <w:top w:val="single" w:sz="4" w:space="0" w:color="auto"/>
              <w:bottom w:val="single" w:sz="4" w:space="0" w:color="auto"/>
            </w:tcBorders>
          </w:tcPr>
          <w:p w:rsidR="00891A88" w:rsidRPr="0089015F" w:rsidRDefault="00891A88" w:rsidP="009D1691">
            <w:pPr>
              <w:pStyle w:val="Tabletext"/>
            </w:pPr>
            <w:r w:rsidRPr="0089015F">
              <w:t>66.3%</w:t>
            </w:r>
          </w:p>
        </w:tc>
        <w:tc>
          <w:tcPr>
            <w:tcW w:w="2126" w:type="dxa"/>
            <w:tcBorders>
              <w:top w:val="single" w:sz="4" w:space="0" w:color="auto"/>
              <w:bottom w:val="single" w:sz="4" w:space="0" w:color="auto"/>
            </w:tcBorders>
          </w:tcPr>
          <w:p w:rsidR="00891A88" w:rsidRPr="0089015F" w:rsidRDefault="00891A88" w:rsidP="009D1691">
            <w:pPr>
              <w:pStyle w:val="Tabletext"/>
            </w:pPr>
            <w:r w:rsidRPr="0089015F">
              <w:t>15.0%</w:t>
            </w:r>
          </w:p>
        </w:tc>
      </w:tr>
      <w:tr w:rsidR="00891A88" w:rsidRPr="0089015F" w:rsidTr="002F4D97">
        <w:tc>
          <w:tcPr>
            <w:tcW w:w="2835" w:type="dxa"/>
            <w:tcBorders>
              <w:top w:val="single" w:sz="4" w:space="0" w:color="auto"/>
            </w:tcBorders>
          </w:tcPr>
          <w:p w:rsidR="00891A88" w:rsidRPr="003F12A6" w:rsidRDefault="00891A88" w:rsidP="009D1691">
            <w:pPr>
              <w:pStyle w:val="Tabletext"/>
            </w:pPr>
            <w:r w:rsidRPr="003F12A6">
              <w:t>Gas – 63 000 MJ</w:t>
            </w:r>
          </w:p>
        </w:tc>
        <w:tc>
          <w:tcPr>
            <w:tcW w:w="959" w:type="dxa"/>
            <w:tcBorders>
              <w:top w:val="single" w:sz="4" w:space="0" w:color="auto"/>
              <w:bottom w:val="single" w:sz="4" w:space="0" w:color="auto"/>
            </w:tcBorders>
          </w:tcPr>
          <w:p w:rsidR="00891A88" w:rsidRPr="0089015F" w:rsidRDefault="00891A88" w:rsidP="009D1691">
            <w:pPr>
              <w:pStyle w:val="Tabletext"/>
            </w:pPr>
            <w:r w:rsidRPr="0089015F">
              <w:t>2013</w:t>
            </w:r>
          </w:p>
        </w:tc>
        <w:tc>
          <w:tcPr>
            <w:tcW w:w="1417" w:type="dxa"/>
            <w:tcBorders>
              <w:top w:val="single" w:sz="4" w:space="0" w:color="auto"/>
              <w:bottom w:val="single" w:sz="4" w:space="0" w:color="auto"/>
            </w:tcBorders>
          </w:tcPr>
          <w:p w:rsidR="00891A88" w:rsidRPr="0089015F" w:rsidRDefault="00891A88" w:rsidP="009D1691">
            <w:pPr>
              <w:pStyle w:val="Tabletext"/>
            </w:pPr>
            <w:r w:rsidRPr="0089015F">
              <w:t>17.9%</w:t>
            </w:r>
          </w:p>
        </w:tc>
        <w:tc>
          <w:tcPr>
            <w:tcW w:w="1843" w:type="dxa"/>
            <w:tcBorders>
              <w:top w:val="single" w:sz="4" w:space="0" w:color="auto"/>
              <w:bottom w:val="single" w:sz="4" w:space="0" w:color="auto"/>
            </w:tcBorders>
          </w:tcPr>
          <w:p w:rsidR="00891A88" w:rsidRPr="0089015F" w:rsidRDefault="00891A88" w:rsidP="009D1691">
            <w:pPr>
              <w:pStyle w:val="Tabletext"/>
            </w:pPr>
            <w:r w:rsidRPr="0089015F">
              <w:t>82.1%</w:t>
            </w:r>
          </w:p>
        </w:tc>
        <w:tc>
          <w:tcPr>
            <w:tcW w:w="2126" w:type="dxa"/>
            <w:tcBorders>
              <w:top w:val="single" w:sz="4" w:space="0" w:color="auto"/>
              <w:bottom w:val="single" w:sz="4" w:space="0" w:color="auto"/>
            </w:tcBorders>
          </w:tcPr>
          <w:p w:rsidR="00891A88" w:rsidRPr="0089015F" w:rsidRDefault="00891A88" w:rsidP="009D1691">
            <w:pPr>
              <w:pStyle w:val="Tabletext"/>
            </w:pPr>
            <w:r w:rsidRPr="0089015F">
              <w:t>8.3%</w:t>
            </w:r>
          </w:p>
        </w:tc>
      </w:tr>
      <w:tr w:rsidR="00891A88" w:rsidRPr="0089015F" w:rsidTr="002F4D97">
        <w:tc>
          <w:tcPr>
            <w:tcW w:w="2835" w:type="dxa"/>
          </w:tcPr>
          <w:p w:rsidR="00891A88" w:rsidRPr="003F12A6" w:rsidRDefault="00891A88" w:rsidP="009D1691">
            <w:pPr>
              <w:pStyle w:val="Tabletext"/>
            </w:pPr>
          </w:p>
        </w:tc>
        <w:tc>
          <w:tcPr>
            <w:tcW w:w="959" w:type="dxa"/>
            <w:tcBorders>
              <w:top w:val="single" w:sz="4" w:space="0" w:color="auto"/>
              <w:bottom w:val="single" w:sz="4" w:space="0" w:color="auto"/>
            </w:tcBorders>
          </w:tcPr>
          <w:p w:rsidR="00891A88" w:rsidRPr="0089015F" w:rsidRDefault="00891A88" w:rsidP="009D1691">
            <w:pPr>
              <w:pStyle w:val="Tabletext"/>
            </w:pPr>
            <w:r w:rsidRPr="0089015F">
              <w:t>2014</w:t>
            </w:r>
          </w:p>
        </w:tc>
        <w:tc>
          <w:tcPr>
            <w:tcW w:w="1417" w:type="dxa"/>
            <w:tcBorders>
              <w:top w:val="single" w:sz="4" w:space="0" w:color="auto"/>
              <w:bottom w:val="single" w:sz="4" w:space="0" w:color="auto"/>
            </w:tcBorders>
          </w:tcPr>
          <w:p w:rsidR="00891A88" w:rsidRPr="0089015F" w:rsidRDefault="00891A88" w:rsidP="009D1691">
            <w:pPr>
              <w:pStyle w:val="Tabletext"/>
            </w:pPr>
            <w:r w:rsidRPr="0089015F">
              <w:t>18.2%</w:t>
            </w:r>
          </w:p>
        </w:tc>
        <w:tc>
          <w:tcPr>
            <w:tcW w:w="1843" w:type="dxa"/>
            <w:tcBorders>
              <w:top w:val="single" w:sz="4" w:space="0" w:color="auto"/>
              <w:bottom w:val="single" w:sz="4" w:space="0" w:color="auto"/>
            </w:tcBorders>
          </w:tcPr>
          <w:p w:rsidR="00891A88" w:rsidRPr="0089015F" w:rsidRDefault="00891A88" w:rsidP="009D1691">
            <w:pPr>
              <w:pStyle w:val="Tabletext"/>
            </w:pPr>
            <w:r w:rsidRPr="0089015F">
              <w:t>81.8%</w:t>
            </w:r>
          </w:p>
        </w:tc>
        <w:tc>
          <w:tcPr>
            <w:tcW w:w="2126" w:type="dxa"/>
            <w:tcBorders>
              <w:top w:val="single" w:sz="4" w:space="0" w:color="auto"/>
              <w:bottom w:val="single" w:sz="4" w:space="0" w:color="auto"/>
            </w:tcBorders>
          </w:tcPr>
          <w:p w:rsidR="00891A88" w:rsidRPr="0089015F" w:rsidRDefault="00891A88" w:rsidP="009D1691">
            <w:pPr>
              <w:pStyle w:val="Tabletext"/>
            </w:pPr>
            <w:r w:rsidRPr="0089015F">
              <w:t>8.3%</w:t>
            </w:r>
          </w:p>
        </w:tc>
      </w:tr>
      <w:tr w:rsidR="00891A88" w:rsidRPr="0089015F" w:rsidTr="002F4D97">
        <w:tc>
          <w:tcPr>
            <w:tcW w:w="2835" w:type="dxa"/>
          </w:tcPr>
          <w:p w:rsidR="00891A88" w:rsidRPr="003F12A6" w:rsidRDefault="00891A88" w:rsidP="009D1691">
            <w:pPr>
              <w:pStyle w:val="Tabletext"/>
            </w:pPr>
          </w:p>
        </w:tc>
        <w:tc>
          <w:tcPr>
            <w:tcW w:w="959" w:type="dxa"/>
            <w:tcBorders>
              <w:top w:val="single" w:sz="4" w:space="0" w:color="auto"/>
              <w:bottom w:val="single" w:sz="4" w:space="0" w:color="BFBFBF" w:themeColor="background1" w:themeShade="BF"/>
            </w:tcBorders>
          </w:tcPr>
          <w:p w:rsidR="00891A88" w:rsidRPr="0089015F" w:rsidRDefault="00891A88" w:rsidP="009D1691">
            <w:pPr>
              <w:pStyle w:val="Tabletext"/>
            </w:pPr>
            <w:r w:rsidRPr="0089015F">
              <w:t>2015</w:t>
            </w:r>
          </w:p>
        </w:tc>
        <w:tc>
          <w:tcPr>
            <w:tcW w:w="1417" w:type="dxa"/>
            <w:tcBorders>
              <w:top w:val="single" w:sz="4" w:space="0" w:color="auto"/>
              <w:bottom w:val="single" w:sz="4" w:space="0" w:color="BFBFBF" w:themeColor="background1" w:themeShade="BF"/>
            </w:tcBorders>
          </w:tcPr>
          <w:p w:rsidR="00891A88" w:rsidRPr="0089015F" w:rsidRDefault="00891A88" w:rsidP="009D1691">
            <w:pPr>
              <w:pStyle w:val="Tabletext"/>
            </w:pPr>
            <w:r w:rsidRPr="0089015F">
              <w:t>20.6%</w:t>
            </w:r>
          </w:p>
        </w:tc>
        <w:tc>
          <w:tcPr>
            <w:tcW w:w="1843" w:type="dxa"/>
            <w:tcBorders>
              <w:top w:val="single" w:sz="4" w:space="0" w:color="auto"/>
              <w:bottom w:val="single" w:sz="4" w:space="0" w:color="BFBFBF" w:themeColor="background1" w:themeShade="BF"/>
            </w:tcBorders>
          </w:tcPr>
          <w:p w:rsidR="00891A88" w:rsidRPr="0089015F" w:rsidRDefault="00891A88" w:rsidP="009D1691">
            <w:pPr>
              <w:pStyle w:val="Tabletext"/>
            </w:pPr>
            <w:r w:rsidRPr="0089015F">
              <w:t>79.4%</w:t>
            </w:r>
          </w:p>
        </w:tc>
        <w:tc>
          <w:tcPr>
            <w:tcW w:w="2126" w:type="dxa"/>
            <w:tcBorders>
              <w:top w:val="single" w:sz="4" w:space="0" w:color="auto"/>
              <w:bottom w:val="single" w:sz="4" w:space="0" w:color="BFBFBF" w:themeColor="background1" w:themeShade="BF"/>
            </w:tcBorders>
          </w:tcPr>
          <w:p w:rsidR="00891A88" w:rsidRPr="0089015F" w:rsidRDefault="00891A88" w:rsidP="009D1691">
            <w:pPr>
              <w:pStyle w:val="Tabletext"/>
            </w:pPr>
            <w:r w:rsidRPr="0089015F">
              <w:t>8.3%</w:t>
            </w:r>
          </w:p>
        </w:tc>
      </w:tr>
    </w:tbl>
    <w:p w:rsidR="00891A88" w:rsidRDefault="00891A88" w:rsidP="00891A88">
      <w:pPr>
        <w:pStyle w:val="Heading2"/>
        <w:numPr>
          <w:ilvl w:val="0"/>
          <w:numId w:val="0"/>
        </w:numPr>
      </w:pPr>
    </w:p>
    <w:p w:rsidR="00891A88" w:rsidRPr="00891A88" w:rsidRDefault="00891A88" w:rsidP="00891A88">
      <w:pPr>
        <w:pStyle w:val="Heading2"/>
      </w:pPr>
      <w:bookmarkStart w:id="58" w:name="_Toc433026837"/>
      <w:r w:rsidRPr="00324E2F">
        <w:t>South Australia</w:t>
      </w:r>
      <w:bookmarkEnd w:id="58"/>
    </w:p>
    <w:p w:rsidR="00891A88" w:rsidRPr="00891A88" w:rsidRDefault="00891A88" w:rsidP="00891A88">
      <w:pPr>
        <w:pStyle w:val="Heading3"/>
      </w:pPr>
      <w:bookmarkStart w:id="59" w:name="_Toc432765984"/>
      <w:bookmarkStart w:id="60" w:name="_Toc433026838"/>
      <w:r>
        <w:t>Energy prices and bills</w:t>
      </w:r>
      <w:bookmarkEnd w:id="59"/>
      <w:bookmarkEnd w:id="60"/>
    </w:p>
    <w:p w:rsidR="00891A88" w:rsidRPr="0089015F" w:rsidRDefault="00891A88" w:rsidP="00891A88">
      <w:r w:rsidRPr="0089015F">
        <w:t xml:space="preserve">South Australia has one electricity distribution zone (SA Power Networks). Seventeen retailers had offers generally available to electricity customers in South Australia. Figure 3.12 shows the range in generally available electricity offers. </w:t>
      </w:r>
    </w:p>
    <w:p w:rsidR="00891A88" w:rsidRPr="0089015F" w:rsidRDefault="00891A88" w:rsidP="00891A88">
      <w:r w:rsidRPr="0089015F">
        <w:t xml:space="preserve">Although it is not quite the most expensive offer, the median standing offer ($1538) was 12 per cent greater than the median market offer ($1370). A customer on a standing offer could save around $300 from their annual bill by switching to one of the cheapest market offers.  </w:t>
      </w:r>
    </w:p>
    <w:p w:rsidR="00E92189" w:rsidRDefault="00E92189" w:rsidP="00891A88">
      <w:pPr>
        <w:pStyle w:val="Tabletitle"/>
      </w:pPr>
    </w:p>
    <w:p w:rsidR="00E92189" w:rsidRDefault="00E92189" w:rsidP="00891A88">
      <w:pPr>
        <w:pStyle w:val="Tabletitle"/>
      </w:pPr>
    </w:p>
    <w:p w:rsidR="00E92189" w:rsidRDefault="00E92189" w:rsidP="00891A88">
      <w:pPr>
        <w:pStyle w:val="Tabletitle"/>
      </w:pPr>
    </w:p>
    <w:p w:rsidR="00E92189" w:rsidRDefault="00E92189" w:rsidP="00891A88">
      <w:pPr>
        <w:pStyle w:val="Tabletitle"/>
      </w:pPr>
    </w:p>
    <w:p w:rsidR="00E92189" w:rsidRDefault="00E92189" w:rsidP="00891A88">
      <w:pPr>
        <w:pStyle w:val="Tabletitle"/>
      </w:pPr>
    </w:p>
    <w:p w:rsidR="00891A88" w:rsidRPr="00FA2E79" w:rsidRDefault="00891A88" w:rsidP="00891A88">
      <w:pPr>
        <w:pStyle w:val="Tabletitle"/>
      </w:pPr>
      <w:r w:rsidRPr="00FA2E79">
        <w:lastRenderedPageBreak/>
        <w:t>Figure 3.12: Range of generally available electricity offers by distribution zone (3700 kWh) – June 2015</w:t>
      </w:r>
    </w:p>
    <w:p w:rsidR="00891A88" w:rsidRPr="003F12A6" w:rsidRDefault="00891A88" w:rsidP="00891A88">
      <w:r w:rsidRPr="003F12A6">
        <w:rPr>
          <w:noProof/>
          <w:lang w:eastAsia="en-AU"/>
        </w:rPr>
        <w:drawing>
          <wp:inline distT="0" distB="0" distL="0" distR="0" wp14:anchorId="76EE3505" wp14:editId="2B74F39C">
            <wp:extent cx="5759449" cy="4040373"/>
            <wp:effectExtent l="0" t="0" r="0" b="0"/>
            <wp:docPr id="30" name="Picture 30" descr="In the SA Power Networks distribution zone – the only zone – the range between the cheapest offer ($1235) and the most expensive offer ($1583) was $349. The median standing offer ($1538) was higher than the median market offer ($1370)." title="Fig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49" cy="4040373"/>
                    </a:xfrm>
                    <a:prstGeom prst="rect">
                      <a:avLst/>
                    </a:prstGeom>
                    <a:noFill/>
                  </pic:spPr>
                </pic:pic>
              </a:graphicData>
            </a:graphic>
          </wp:inline>
        </w:drawing>
      </w:r>
    </w:p>
    <w:p w:rsidR="00891A88" w:rsidRPr="0089015F" w:rsidRDefault="00891A88" w:rsidP="00891A88">
      <w:r w:rsidRPr="0089015F">
        <w:t xml:space="preserve">Australian Gas Networks (AGN) is the gas distributor in South Australia. It has five pricing zones: Metro Area, Mount Gambier, Port Pirie, Riverland and Whyalla. Four retailers had offers generally available to gas customers. </w:t>
      </w:r>
    </w:p>
    <w:p w:rsidR="00891A88" w:rsidRPr="0089015F" w:rsidRDefault="00891A88" w:rsidP="00891A88">
      <w:r w:rsidRPr="0089015F">
        <w:t xml:space="preserve">In the Mount Gambier, Port Pirie and Whyalla pricing zones, the standing offer was more expensive than any market offer, and Origin Energy market offers were the cheapest. In the Metro and Riverland zones, the median market and standing offers were the same, as was the range in charges of offers ($208). Annual gas bills for median standing offers were 3 to 10 per cent greater than the median market offers.  </w:t>
      </w:r>
    </w:p>
    <w:p w:rsidR="00E92189" w:rsidRDefault="00E92189" w:rsidP="00891A88">
      <w:pPr>
        <w:pStyle w:val="Tabletitle"/>
      </w:pPr>
    </w:p>
    <w:p w:rsidR="00E92189" w:rsidRDefault="00E92189" w:rsidP="00891A88">
      <w:pPr>
        <w:pStyle w:val="Tabletitle"/>
      </w:pPr>
    </w:p>
    <w:p w:rsidR="00E92189" w:rsidRDefault="00E92189" w:rsidP="00891A88">
      <w:pPr>
        <w:pStyle w:val="Tabletitle"/>
      </w:pPr>
    </w:p>
    <w:p w:rsidR="00E92189" w:rsidRDefault="00E92189" w:rsidP="00891A88">
      <w:pPr>
        <w:pStyle w:val="Tabletitle"/>
      </w:pPr>
    </w:p>
    <w:p w:rsidR="00E92189" w:rsidRDefault="00E92189" w:rsidP="00891A88">
      <w:pPr>
        <w:pStyle w:val="Tabletitle"/>
      </w:pPr>
    </w:p>
    <w:p w:rsidR="00597772" w:rsidRDefault="00597772" w:rsidP="00891A88">
      <w:pPr>
        <w:pStyle w:val="Tabletitle"/>
      </w:pPr>
    </w:p>
    <w:p w:rsidR="00891A88" w:rsidRPr="00FA2E79" w:rsidRDefault="00891A88" w:rsidP="00891A88">
      <w:pPr>
        <w:pStyle w:val="Tabletitle"/>
      </w:pPr>
      <w:r w:rsidRPr="00FA2E79">
        <w:lastRenderedPageBreak/>
        <w:t xml:space="preserve">Figure 3.13: Range of generally available gas offers by distribution zone </w:t>
      </w:r>
      <w:r w:rsidR="00597772">
        <w:br/>
      </w:r>
      <w:r w:rsidRPr="00FA2E79">
        <w:t>(21 000 MJ) – June 2015</w:t>
      </w:r>
    </w:p>
    <w:p w:rsidR="00891A88" w:rsidRPr="003F12A6" w:rsidRDefault="00891A88" w:rsidP="00891A88">
      <w:r w:rsidRPr="003F12A6">
        <w:rPr>
          <w:noProof/>
          <w:lang w:eastAsia="en-AU"/>
        </w:rPr>
        <w:drawing>
          <wp:inline distT="0" distB="0" distL="0" distR="0" wp14:anchorId="40B265A3" wp14:editId="16F20060">
            <wp:extent cx="5760000" cy="4370400"/>
            <wp:effectExtent l="0" t="0" r="0" b="0"/>
            <wp:docPr id="31" name="Picture 31" descr="There was little variation in prices both within and across the five gas pricing zones in South Australia. The most expensive was around $1198 and the cheapest offer was around $990. The difference between median market offers and median standing offers was between $30 and $100 per year." title="Fig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0" cy="4370400"/>
                    </a:xfrm>
                    <a:prstGeom prst="rect">
                      <a:avLst/>
                    </a:prstGeom>
                    <a:noFill/>
                  </pic:spPr>
                </pic:pic>
              </a:graphicData>
            </a:graphic>
          </wp:inline>
        </w:drawing>
      </w:r>
    </w:p>
    <w:p w:rsidR="00891A88" w:rsidRPr="00891A88" w:rsidRDefault="00891A88" w:rsidP="00891A88">
      <w:pPr>
        <w:pStyle w:val="Heading3"/>
      </w:pPr>
      <w:bookmarkStart w:id="61" w:name="_Toc432765985"/>
      <w:bookmarkStart w:id="62" w:name="_Toc433026839"/>
      <w:r>
        <w:t>Energy</w:t>
      </w:r>
      <w:r w:rsidRPr="00891A88">
        <w:t xml:space="preserve"> bills as a percentage of income</w:t>
      </w:r>
      <w:bookmarkEnd w:id="61"/>
      <w:bookmarkEnd w:id="62"/>
    </w:p>
    <w:p w:rsidR="00891A88" w:rsidRPr="003F12A6" w:rsidRDefault="00891A88" w:rsidP="00891A88">
      <w:r w:rsidRPr="0089015F">
        <w:t>Eligible households in South Australia can receive a concession of up to $215 (in total) on their annual household energy (electricity and gas) bills.</w:t>
      </w:r>
      <w:r w:rsidRPr="00891A88">
        <w:rPr>
          <w:rStyle w:val="Superscript"/>
        </w:rPr>
        <w:footnoteReference w:id="39"/>
      </w:r>
      <w:r w:rsidRPr="003F12A6">
        <w:t xml:space="preserve"> In our analysis, we applied a concession of $107.50 each to the annual electricity and gas bills of low income households (figure 3.14).</w:t>
      </w:r>
    </w:p>
    <w:p w:rsidR="00891A88" w:rsidRPr="003F12A6" w:rsidRDefault="00891A88" w:rsidP="00891A88"/>
    <w:p w:rsidR="00E92189" w:rsidRDefault="00E92189" w:rsidP="00891A88">
      <w:pPr>
        <w:pStyle w:val="Tabletitle"/>
      </w:pPr>
    </w:p>
    <w:p w:rsidR="00E92189" w:rsidRDefault="00E92189" w:rsidP="00891A88">
      <w:pPr>
        <w:pStyle w:val="Tabletitle"/>
      </w:pPr>
    </w:p>
    <w:p w:rsidR="00E92189" w:rsidRDefault="00E92189" w:rsidP="00891A88">
      <w:pPr>
        <w:pStyle w:val="Tabletitle"/>
      </w:pPr>
    </w:p>
    <w:p w:rsidR="00E92189" w:rsidRDefault="00E92189" w:rsidP="00891A88">
      <w:pPr>
        <w:pStyle w:val="Tabletitle"/>
      </w:pPr>
    </w:p>
    <w:p w:rsidR="00891A88" w:rsidRPr="00FA2E79" w:rsidRDefault="00891A88" w:rsidP="00891A88">
      <w:pPr>
        <w:pStyle w:val="Tabletitle"/>
      </w:pPr>
      <w:r w:rsidRPr="00FA2E79">
        <w:lastRenderedPageBreak/>
        <w:t>Figure 3.14: Annual electricity and gas bills, and as a share of disposable income for a benchmark low income household (3700 kWh and 21 000 MJ)</w:t>
      </w:r>
    </w:p>
    <w:p w:rsidR="00891A88" w:rsidRPr="003F12A6" w:rsidRDefault="00891A88" w:rsidP="00891A88">
      <w:r w:rsidRPr="003F12A6">
        <w:rPr>
          <w:noProof/>
          <w:lang w:eastAsia="en-AU"/>
        </w:rPr>
        <w:drawing>
          <wp:inline distT="0" distB="0" distL="0" distR="0" wp14:anchorId="5D051467" wp14:editId="26EC8FBB">
            <wp:extent cx="5760000" cy="3823200"/>
            <wp:effectExtent l="0" t="0" r="0" b="6350"/>
            <wp:docPr id="32" name="Picture 32" descr="The electricity bill for a household on the median market offer was $1370 (or $1263 with a concession). Electricity bills for the standing offer were higher, at $1538 (or $1431 with a concession). A low income household on the median market offer and receiving an energy concession would spend 5.4 per cent of its disposable income on electricity (or 5.9 per cent without a concession). For the median standing offer, the annual electricity bill would comprise 6.1 per cent of a low income household’s disposable income (receiving a concession), or 6.6 per cent without a concession.&#10;Annual gas bills for the median market offer were $1008 (or $901 with a concession), and for the median standing offer were $1110 (or $1003 with a concession). A low income household on the median market offer and receiving an energy concession would spend 3.9 per cent of its disposable income on gas (or 4.3 per cent without a concession). For the median standing offer, the annual gas bill would comprise 4.3 per cent of a low income household’s disposable income (receiving a concession), or 4.8 per cent without a concession.&#10;" title="Fig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00" cy="3823200"/>
                    </a:xfrm>
                    <a:prstGeom prst="rect">
                      <a:avLst/>
                    </a:prstGeom>
                    <a:noFill/>
                  </pic:spPr>
                </pic:pic>
              </a:graphicData>
            </a:graphic>
          </wp:inline>
        </w:drawing>
      </w:r>
    </w:p>
    <w:p w:rsidR="00891A88" w:rsidRPr="0089015F" w:rsidRDefault="00891A88" w:rsidP="00891A88">
      <w:r w:rsidRPr="0089015F">
        <w:t>The electricity bill for a household on the median market offer was $1370 (or $1263 with a concession). Electricity bills for the standing offer were higher, at $1538 (or $1431 with a concession). A low income household on the median market offer and receiving an energy concession would spend 5.4 per cent of its disposable income on electricity (or 5.9 per cent without a concession). For the median standing offer, the annual electricity bill would comprise 6.1 per cent of a low income household’s disposable income (receiving a concession), or 6.6 per cent without a concession.</w:t>
      </w:r>
    </w:p>
    <w:p w:rsidR="00891A88" w:rsidRPr="0089015F" w:rsidRDefault="00891A88" w:rsidP="00891A88">
      <w:r w:rsidRPr="0089015F">
        <w:t>Annual electricity bills for the median market offer decreased by 3 per cent in 2015 when compared to 2014. As a proportion of income, the decrease was from 6.2 per cent to 5.9 per cent. Electricity bills for the standing offer decreased by less than 1 per cent over the same period. Annual electricity bills for market offers have decreased to totals below those from June 2013.</w:t>
      </w:r>
    </w:p>
    <w:p w:rsidR="00891A88" w:rsidRPr="0089015F" w:rsidRDefault="00891A88" w:rsidP="00891A88">
      <w:r w:rsidRPr="0089015F">
        <w:t>Annual gas bills for the median market offer were $1008 (or $901 with a concession), and for the median standing offer were $1110 (or $1003 with a concession). A low income household on the median market offer and receiving an energy concession would spend 3.9 per cent of its disposable income on gas (or 4.3 per cent without a concession). For the median standing offer, the annual gas bill would comprise 4.3 per cent of a low income household’s disposable income (receiving a concession), or 4.8 per cent without a concession.</w:t>
      </w:r>
    </w:p>
    <w:p w:rsidR="00891A88" w:rsidRPr="0089015F" w:rsidRDefault="00891A88" w:rsidP="00891A88">
      <w:r w:rsidRPr="0089015F">
        <w:lastRenderedPageBreak/>
        <w:t>Annual gas bills for the median market offer increased by 1 per cent from June 2014 to June 2015. This follows a 10 per cent increase in the previous year. Low income households spent 4.8 per cent of their income on gas, the same proportion compared with June 2014.</w:t>
      </w:r>
    </w:p>
    <w:p w:rsidR="00E92189" w:rsidRDefault="00891A88" w:rsidP="008127F4">
      <w:r w:rsidRPr="0089015F">
        <w:t>A benchmark middle income household consuming a typical amount of electricity – 5100 kWh in South Australia – spent 3 per cent of its disposable income on electricity bills. A high income household consuming the same amount of electricity spend 1.1 per cent of its income. Middle and high income households spent 1.6 per cent and 0.6 per cent of their disposable income respectively on gas.</w:t>
      </w:r>
    </w:p>
    <w:p w:rsidR="00891A88" w:rsidRPr="00FA2E79" w:rsidRDefault="00891A88" w:rsidP="00891A88">
      <w:pPr>
        <w:pStyle w:val="Tabletitle"/>
      </w:pPr>
      <w:r w:rsidRPr="00FA2E79">
        <w:t>Table 3.</w:t>
      </w:r>
      <w:r w:rsidR="00E8677A">
        <w:t>7</w:t>
      </w:r>
      <w:r w:rsidRPr="00FA2E79">
        <w:t>: Summary of annual electricity and gas bills (for the median market offer) and as a share of disposable income – June 2015</w:t>
      </w:r>
    </w:p>
    <w:tbl>
      <w:tblPr>
        <w:tblW w:w="0" w:type="auto"/>
        <w:tblLook w:val="04A0" w:firstRow="1" w:lastRow="0" w:firstColumn="1" w:lastColumn="0" w:noHBand="0" w:noVBand="1"/>
      </w:tblPr>
      <w:tblGrid>
        <w:gridCol w:w="3369"/>
        <w:gridCol w:w="2268"/>
        <w:gridCol w:w="1559"/>
        <w:gridCol w:w="2046"/>
      </w:tblGrid>
      <w:tr w:rsidR="00891A88" w:rsidRPr="0089015F" w:rsidTr="002F4D97">
        <w:tc>
          <w:tcPr>
            <w:tcW w:w="3369" w:type="dxa"/>
            <w:shd w:val="clear" w:color="auto" w:fill="F2F2F2" w:themeFill="background1" w:themeFillShade="F2"/>
          </w:tcPr>
          <w:p w:rsidR="00891A88" w:rsidRPr="009D1691" w:rsidRDefault="00891A88" w:rsidP="00E92189">
            <w:pPr>
              <w:pStyle w:val="Tabletext"/>
              <w:rPr>
                <w:rStyle w:val="Strong"/>
              </w:rPr>
            </w:pPr>
            <w:r w:rsidRPr="009D1691">
              <w:rPr>
                <w:rStyle w:val="Strong"/>
              </w:rPr>
              <w:t>Income level</w:t>
            </w:r>
          </w:p>
        </w:tc>
        <w:tc>
          <w:tcPr>
            <w:tcW w:w="2268" w:type="dxa"/>
            <w:shd w:val="clear" w:color="auto" w:fill="F2F2F2" w:themeFill="background1" w:themeFillShade="F2"/>
          </w:tcPr>
          <w:p w:rsidR="00891A88" w:rsidRPr="009D1691" w:rsidRDefault="00891A88" w:rsidP="00E92189">
            <w:pPr>
              <w:pStyle w:val="Tabletext"/>
              <w:rPr>
                <w:rStyle w:val="Strong"/>
              </w:rPr>
            </w:pPr>
            <w:r w:rsidRPr="009D1691">
              <w:rPr>
                <w:rStyle w:val="Strong"/>
              </w:rPr>
              <w:t>Annual consumption</w:t>
            </w:r>
          </w:p>
        </w:tc>
        <w:tc>
          <w:tcPr>
            <w:tcW w:w="1559" w:type="dxa"/>
            <w:shd w:val="clear" w:color="auto" w:fill="F2F2F2" w:themeFill="background1" w:themeFillShade="F2"/>
          </w:tcPr>
          <w:p w:rsidR="00891A88" w:rsidRPr="009D1691" w:rsidRDefault="00891A88" w:rsidP="00E92189">
            <w:pPr>
              <w:pStyle w:val="Tabletext"/>
              <w:rPr>
                <w:rStyle w:val="Strong"/>
              </w:rPr>
            </w:pPr>
            <w:r w:rsidRPr="009D1691">
              <w:rPr>
                <w:rStyle w:val="Strong"/>
              </w:rPr>
              <w:t xml:space="preserve">Annual bill ($) </w:t>
            </w:r>
          </w:p>
        </w:tc>
        <w:tc>
          <w:tcPr>
            <w:tcW w:w="2046" w:type="dxa"/>
            <w:shd w:val="clear" w:color="auto" w:fill="F2F2F2" w:themeFill="background1" w:themeFillShade="F2"/>
          </w:tcPr>
          <w:p w:rsidR="00891A88" w:rsidRPr="009D1691" w:rsidRDefault="00891A88" w:rsidP="00E92189">
            <w:pPr>
              <w:pStyle w:val="Tabletext"/>
              <w:rPr>
                <w:rStyle w:val="Strong"/>
              </w:rPr>
            </w:pPr>
            <w:r w:rsidRPr="009D1691">
              <w:rPr>
                <w:rStyle w:val="Strong"/>
              </w:rPr>
              <w:t>Proportion of annual income (%)</w:t>
            </w:r>
          </w:p>
        </w:tc>
      </w:tr>
      <w:tr w:rsidR="00891A88" w:rsidRPr="0089015F" w:rsidTr="002F4D97">
        <w:tc>
          <w:tcPr>
            <w:tcW w:w="3369" w:type="dxa"/>
            <w:tcBorders>
              <w:top w:val="single" w:sz="4" w:space="0" w:color="BFBFBF" w:themeColor="background1" w:themeShade="BF"/>
              <w:bottom w:val="single" w:sz="4" w:space="0" w:color="auto"/>
            </w:tcBorders>
          </w:tcPr>
          <w:p w:rsidR="00891A88" w:rsidRPr="003F12A6" w:rsidRDefault="00891A88" w:rsidP="00E92189">
            <w:pPr>
              <w:pStyle w:val="Tabletext"/>
            </w:pPr>
            <w:r w:rsidRPr="003F12A6">
              <w:t>Low income – with concession</w:t>
            </w:r>
          </w:p>
        </w:tc>
        <w:tc>
          <w:tcPr>
            <w:tcW w:w="2268"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Electricity 3700 kWh</w:t>
            </w:r>
          </w:p>
        </w:tc>
        <w:tc>
          <w:tcPr>
            <w:tcW w:w="1559"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1263</w:t>
            </w:r>
          </w:p>
        </w:tc>
        <w:tc>
          <w:tcPr>
            <w:tcW w:w="2046"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5.4</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Low income – without concession</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Electricity 3700 kWh</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1370</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5.9</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Middle income</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Electricity 5100 kWh</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1842</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3.0</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High income</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Electricity 5100 kWh</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1842</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1.1</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Low income – with concession</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Gas 21 000 MJ</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901</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3.9</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Low income – without concession</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Gas 21 000 MJ</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1008</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4.3</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Middle income</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Gas 21 000 MJ</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1008</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1.6</w:t>
            </w:r>
          </w:p>
        </w:tc>
      </w:tr>
      <w:tr w:rsidR="00891A88" w:rsidRPr="0089015F" w:rsidTr="002F4D97">
        <w:tc>
          <w:tcPr>
            <w:tcW w:w="3369" w:type="dxa"/>
            <w:tcBorders>
              <w:top w:val="single" w:sz="4" w:space="0" w:color="auto"/>
              <w:bottom w:val="single" w:sz="4" w:space="0" w:color="BFBFBF" w:themeColor="background1" w:themeShade="BF"/>
            </w:tcBorders>
          </w:tcPr>
          <w:p w:rsidR="00891A88" w:rsidRPr="003F12A6" w:rsidRDefault="00891A88" w:rsidP="00E92189">
            <w:pPr>
              <w:pStyle w:val="Tabletext"/>
            </w:pPr>
            <w:r w:rsidRPr="003F12A6">
              <w:t>High income</w:t>
            </w:r>
          </w:p>
        </w:tc>
        <w:tc>
          <w:tcPr>
            <w:tcW w:w="2268"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Gas 21 000 MJ</w:t>
            </w:r>
          </w:p>
        </w:tc>
        <w:tc>
          <w:tcPr>
            <w:tcW w:w="1559"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1008</w:t>
            </w:r>
          </w:p>
        </w:tc>
        <w:tc>
          <w:tcPr>
            <w:tcW w:w="2046"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0.6</w:t>
            </w:r>
          </w:p>
        </w:tc>
      </w:tr>
    </w:tbl>
    <w:p w:rsidR="00891A88" w:rsidRPr="0065579A" w:rsidRDefault="00891A88" w:rsidP="00891A88">
      <w:pPr>
        <w:pStyle w:val="Heading3"/>
      </w:pPr>
      <w:bookmarkStart w:id="63" w:name="_Toc432765986"/>
      <w:bookmarkStart w:id="64" w:name="_Toc433026840"/>
      <w:r w:rsidRPr="0065579A">
        <w:t>Composition of energy bills and impact of concessions</w:t>
      </w:r>
      <w:bookmarkEnd w:id="63"/>
      <w:bookmarkEnd w:id="64"/>
    </w:p>
    <w:p w:rsidR="00891A88" w:rsidRPr="0089015F" w:rsidRDefault="00891A88" w:rsidP="00891A88">
      <w:r w:rsidRPr="0089015F">
        <w:t>Table 3.</w:t>
      </w:r>
      <w:r w:rsidR="00E8677A">
        <w:t>8</w:t>
      </w:r>
      <w:r w:rsidR="00E8677A" w:rsidRPr="0089015F">
        <w:t xml:space="preserve"> </w:t>
      </w:r>
      <w:r w:rsidRPr="0089015F">
        <w:t xml:space="preserve">shows the portions of low income household energy bills attributed to daily supply charges and energy use charges, as well as the savings provided by energy concessions.  </w:t>
      </w:r>
    </w:p>
    <w:p w:rsidR="00891A88" w:rsidRPr="0089015F" w:rsidRDefault="00891A88" w:rsidP="00891A88">
      <w:r w:rsidRPr="0089015F">
        <w:t xml:space="preserve">Daily supply charges for electricity were around $276 per annum in 2015, which represents 20 per cent of a low income household’s annual electricity bill and 1.2 per cent of its disposable income. Although annual electricity bills for customers consuming 3700 kWh in South Australia were around $180 greater compared with Victoria, customers in South Australia paid around $125 less in daily supply charges.   </w:t>
      </w:r>
    </w:p>
    <w:p w:rsidR="00891A88" w:rsidRPr="0089015F" w:rsidRDefault="00891A88" w:rsidP="00891A88">
      <w:r w:rsidRPr="0089015F">
        <w:t xml:space="preserve">Daily supply charges for gas were $260 per annum, which represents 26 per cent of a low income household’s annual gas bill and 1.1 per cent of its disposable income. </w:t>
      </w:r>
    </w:p>
    <w:p w:rsidR="00891A88" w:rsidRPr="0089015F" w:rsidRDefault="00891A88" w:rsidP="00891A88">
      <w:r w:rsidRPr="0089015F">
        <w:t>In 2014-15 the South Australian Government increased the total electricity and gas concession from $165 to $215. Applied equally to electricity and gas, these concessions provide respective savings of around 8 per cent and 11 per cent.</w:t>
      </w:r>
    </w:p>
    <w:p w:rsidR="00597772" w:rsidRDefault="00597772" w:rsidP="00891A88">
      <w:pPr>
        <w:pStyle w:val="Tabletitle"/>
      </w:pPr>
    </w:p>
    <w:p w:rsidR="00891A88" w:rsidRDefault="00891A88" w:rsidP="00891A88">
      <w:pPr>
        <w:pStyle w:val="Tabletitle"/>
      </w:pPr>
      <w:r w:rsidRPr="00FA2E79">
        <w:lastRenderedPageBreak/>
        <w:t>Table 3.</w:t>
      </w:r>
      <w:r w:rsidR="00E8677A">
        <w:t>8</w:t>
      </w:r>
      <w:r w:rsidRPr="00FA2E79">
        <w:t>: Composition of low income household energy bills (median market offer)</w:t>
      </w:r>
    </w:p>
    <w:tbl>
      <w:tblPr>
        <w:tblW w:w="9180" w:type="dxa"/>
        <w:tblLayout w:type="fixed"/>
        <w:tblLook w:val="04A0" w:firstRow="1" w:lastRow="0" w:firstColumn="1" w:lastColumn="0" w:noHBand="0" w:noVBand="1"/>
      </w:tblPr>
      <w:tblGrid>
        <w:gridCol w:w="2835"/>
        <w:gridCol w:w="959"/>
        <w:gridCol w:w="1417"/>
        <w:gridCol w:w="1843"/>
        <w:gridCol w:w="2126"/>
      </w:tblGrid>
      <w:tr w:rsidR="009D1691" w:rsidRPr="00496ECD" w:rsidTr="007061F2">
        <w:tc>
          <w:tcPr>
            <w:tcW w:w="2835" w:type="dxa"/>
            <w:shd w:val="clear" w:color="auto" w:fill="F2F2F2" w:themeFill="background1" w:themeFillShade="F2"/>
          </w:tcPr>
          <w:p w:rsidR="009D1691" w:rsidRPr="009D1691" w:rsidRDefault="009D1691" w:rsidP="009D1691">
            <w:pPr>
              <w:pStyle w:val="Tabletext"/>
              <w:rPr>
                <w:rStyle w:val="Strong"/>
              </w:rPr>
            </w:pPr>
            <w:r w:rsidRPr="009D1691">
              <w:rPr>
                <w:rStyle w:val="Strong"/>
              </w:rPr>
              <w:t>Fuel type – consumption</w:t>
            </w:r>
          </w:p>
        </w:tc>
        <w:tc>
          <w:tcPr>
            <w:tcW w:w="959" w:type="dxa"/>
            <w:shd w:val="clear" w:color="auto" w:fill="F2F2F2" w:themeFill="background1" w:themeFillShade="F2"/>
          </w:tcPr>
          <w:p w:rsidR="009D1691" w:rsidRPr="009D1691" w:rsidRDefault="009D1691" w:rsidP="009D1691">
            <w:pPr>
              <w:pStyle w:val="Tabletext"/>
              <w:rPr>
                <w:rStyle w:val="Strong"/>
              </w:rPr>
            </w:pPr>
            <w:r w:rsidRPr="009D1691">
              <w:rPr>
                <w:rStyle w:val="Strong"/>
              </w:rPr>
              <w:t>Year</w:t>
            </w:r>
          </w:p>
        </w:tc>
        <w:tc>
          <w:tcPr>
            <w:tcW w:w="1417" w:type="dxa"/>
            <w:shd w:val="clear" w:color="auto" w:fill="F2F2F2" w:themeFill="background1" w:themeFillShade="F2"/>
          </w:tcPr>
          <w:p w:rsidR="009D1691" w:rsidRPr="009D1691" w:rsidRDefault="009D1691" w:rsidP="009D1691">
            <w:pPr>
              <w:pStyle w:val="Tabletext"/>
              <w:rPr>
                <w:rStyle w:val="Strong"/>
              </w:rPr>
            </w:pPr>
            <w:r w:rsidRPr="009D1691">
              <w:rPr>
                <w:rStyle w:val="Strong"/>
              </w:rPr>
              <w:t>Daily supply charges (%)</w:t>
            </w:r>
          </w:p>
        </w:tc>
        <w:tc>
          <w:tcPr>
            <w:tcW w:w="1843" w:type="dxa"/>
            <w:shd w:val="clear" w:color="auto" w:fill="F2F2F2" w:themeFill="background1" w:themeFillShade="F2"/>
          </w:tcPr>
          <w:p w:rsidR="009D1691" w:rsidRPr="009D1691" w:rsidRDefault="009D1691" w:rsidP="009D1691">
            <w:pPr>
              <w:pStyle w:val="Tabletext"/>
              <w:rPr>
                <w:rStyle w:val="Strong"/>
              </w:rPr>
            </w:pPr>
            <w:r w:rsidRPr="009D1691">
              <w:rPr>
                <w:rStyle w:val="Strong"/>
              </w:rPr>
              <w:t>Energy use charges (%)</w:t>
            </w:r>
          </w:p>
        </w:tc>
        <w:tc>
          <w:tcPr>
            <w:tcW w:w="2126" w:type="dxa"/>
            <w:shd w:val="clear" w:color="auto" w:fill="F2F2F2" w:themeFill="background1" w:themeFillShade="F2"/>
          </w:tcPr>
          <w:p w:rsidR="009D1691" w:rsidRPr="009D1691" w:rsidRDefault="009D1691" w:rsidP="009D1691">
            <w:pPr>
              <w:pStyle w:val="Tabletext"/>
              <w:rPr>
                <w:rStyle w:val="Strong"/>
              </w:rPr>
            </w:pPr>
            <w:r w:rsidRPr="009D1691">
              <w:rPr>
                <w:rStyle w:val="Strong"/>
              </w:rPr>
              <w:t>Saving with concession (%)</w:t>
            </w:r>
          </w:p>
        </w:tc>
      </w:tr>
      <w:tr w:rsidR="009D1691" w:rsidRPr="00496ECD" w:rsidTr="007061F2">
        <w:tc>
          <w:tcPr>
            <w:tcW w:w="2835" w:type="dxa"/>
          </w:tcPr>
          <w:p w:rsidR="009D1691" w:rsidRPr="009D1691" w:rsidRDefault="009D1691" w:rsidP="009D1691">
            <w:pPr>
              <w:pStyle w:val="Tabletext"/>
            </w:pPr>
            <w:r w:rsidRPr="009D1691">
              <w:t>Electricity – 3700 kWh</w:t>
            </w:r>
          </w:p>
        </w:tc>
        <w:tc>
          <w:tcPr>
            <w:tcW w:w="959" w:type="dxa"/>
            <w:tcBorders>
              <w:top w:val="single" w:sz="4" w:space="0" w:color="BFBFBF" w:themeColor="background1" w:themeShade="BF"/>
              <w:bottom w:val="single" w:sz="4" w:space="0" w:color="auto"/>
            </w:tcBorders>
          </w:tcPr>
          <w:p w:rsidR="009D1691" w:rsidRPr="009D1691" w:rsidRDefault="009D1691" w:rsidP="009D1691">
            <w:pPr>
              <w:pStyle w:val="Tabletext"/>
            </w:pPr>
            <w:r w:rsidRPr="009D1691">
              <w:t>2013</w:t>
            </w:r>
          </w:p>
        </w:tc>
        <w:tc>
          <w:tcPr>
            <w:tcW w:w="1417" w:type="dxa"/>
            <w:tcBorders>
              <w:top w:val="single" w:sz="4" w:space="0" w:color="BFBFBF" w:themeColor="background1" w:themeShade="BF"/>
              <w:bottom w:val="single" w:sz="4" w:space="0" w:color="auto"/>
            </w:tcBorders>
          </w:tcPr>
          <w:p w:rsidR="009D1691" w:rsidRPr="009D1691" w:rsidRDefault="009D1691" w:rsidP="009D1691">
            <w:pPr>
              <w:pStyle w:val="Tabletext"/>
            </w:pPr>
            <w:r w:rsidRPr="009D1691">
              <w:t>19.1%</w:t>
            </w:r>
          </w:p>
        </w:tc>
        <w:tc>
          <w:tcPr>
            <w:tcW w:w="1843" w:type="dxa"/>
            <w:tcBorders>
              <w:top w:val="single" w:sz="4" w:space="0" w:color="BFBFBF" w:themeColor="background1" w:themeShade="BF"/>
              <w:bottom w:val="single" w:sz="4" w:space="0" w:color="auto"/>
            </w:tcBorders>
          </w:tcPr>
          <w:p w:rsidR="009D1691" w:rsidRPr="009D1691" w:rsidRDefault="009D1691" w:rsidP="009D1691">
            <w:pPr>
              <w:pStyle w:val="Tabletext"/>
            </w:pPr>
            <w:r w:rsidRPr="009D1691">
              <w:t>80.9%</w:t>
            </w:r>
          </w:p>
        </w:tc>
        <w:tc>
          <w:tcPr>
            <w:tcW w:w="2126" w:type="dxa"/>
            <w:tcBorders>
              <w:top w:val="single" w:sz="4" w:space="0" w:color="BFBFBF" w:themeColor="background1" w:themeShade="BF"/>
              <w:bottom w:val="single" w:sz="4" w:space="0" w:color="auto"/>
            </w:tcBorders>
          </w:tcPr>
          <w:p w:rsidR="009D1691" w:rsidRPr="009D1691" w:rsidRDefault="009D1691" w:rsidP="009D1691">
            <w:pPr>
              <w:pStyle w:val="Tabletext"/>
            </w:pPr>
            <w:r w:rsidRPr="009D1691">
              <w:t>6.0%</w:t>
            </w:r>
          </w:p>
        </w:tc>
      </w:tr>
      <w:tr w:rsidR="009D1691" w:rsidRPr="00496ECD" w:rsidTr="007061F2">
        <w:tc>
          <w:tcPr>
            <w:tcW w:w="2835" w:type="dxa"/>
            <w:tcBorders>
              <w:bottom w:val="nil"/>
            </w:tcBorders>
          </w:tcPr>
          <w:p w:rsidR="009D1691" w:rsidRPr="009D1691" w:rsidRDefault="009D1691" w:rsidP="009D1691">
            <w:pPr>
              <w:pStyle w:val="Tabletext"/>
            </w:pPr>
          </w:p>
        </w:tc>
        <w:tc>
          <w:tcPr>
            <w:tcW w:w="959" w:type="dxa"/>
            <w:tcBorders>
              <w:top w:val="single" w:sz="4" w:space="0" w:color="auto"/>
              <w:bottom w:val="single" w:sz="4" w:space="0" w:color="auto"/>
            </w:tcBorders>
          </w:tcPr>
          <w:p w:rsidR="009D1691" w:rsidRPr="009D1691" w:rsidRDefault="009D1691" w:rsidP="009D1691">
            <w:pPr>
              <w:pStyle w:val="Tabletext"/>
            </w:pPr>
            <w:r w:rsidRPr="009D1691">
              <w:t>2014</w:t>
            </w:r>
          </w:p>
        </w:tc>
        <w:tc>
          <w:tcPr>
            <w:tcW w:w="1417" w:type="dxa"/>
            <w:tcBorders>
              <w:top w:val="single" w:sz="4" w:space="0" w:color="auto"/>
              <w:bottom w:val="single" w:sz="4" w:space="0" w:color="auto"/>
            </w:tcBorders>
          </w:tcPr>
          <w:p w:rsidR="009D1691" w:rsidRPr="009D1691" w:rsidRDefault="009D1691" w:rsidP="009D1691">
            <w:pPr>
              <w:pStyle w:val="Tabletext"/>
            </w:pPr>
            <w:r w:rsidRPr="009D1691">
              <w:t>18.9%</w:t>
            </w:r>
          </w:p>
        </w:tc>
        <w:tc>
          <w:tcPr>
            <w:tcW w:w="1843" w:type="dxa"/>
            <w:tcBorders>
              <w:top w:val="single" w:sz="4" w:space="0" w:color="auto"/>
              <w:bottom w:val="single" w:sz="4" w:space="0" w:color="auto"/>
            </w:tcBorders>
          </w:tcPr>
          <w:p w:rsidR="009D1691" w:rsidRPr="009D1691" w:rsidRDefault="009D1691" w:rsidP="009D1691">
            <w:pPr>
              <w:pStyle w:val="Tabletext"/>
            </w:pPr>
            <w:r w:rsidRPr="009D1691">
              <w:t>81.1%</w:t>
            </w:r>
          </w:p>
        </w:tc>
        <w:tc>
          <w:tcPr>
            <w:tcW w:w="2126" w:type="dxa"/>
            <w:tcBorders>
              <w:top w:val="single" w:sz="4" w:space="0" w:color="auto"/>
              <w:bottom w:val="single" w:sz="4" w:space="0" w:color="auto"/>
            </w:tcBorders>
          </w:tcPr>
          <w:p w:rsidR="009D1691" w:rsidRPr="009D1691" w:rsidRDefault="009D1691" w:rsidP="009D1691">
            <w:pPr>
              <w:pStyle w:val="Tabletext"/>
            </w:pPr>
            <w:r w:rsidRPr="009D1691">
              <w:t>5.8%</w:t>
            </w:r>
          </w:p>
        </w:tc>
      </w:tr>
      <w:tr w:rsidR="009D1691" w:rsidRPr="00496ECD" w:rsidTr="007061F2">
        <w:tc>
          <w:tcPr>
            <w:tcW w:w="2835" w:type="dxa"/>
            <w:tcBorders>
              <w:top w:val="nil"/>
              <w:bottom w:val="single" w:sz="4" w:space="0" w:color="auto"/>
            </w:tcBorders>
          </w:tcPr>
          <w:p w:rsidR="009D1691" w:rsidRPr="009D1691" w:rsidRDefault="009D1691" w:rsidP="009D1691">
            <w:pPr>
              <w:pStyle w:val="Tabletext"/>
            </w:pPr>
          </w:p>
        </w:tc>
        <w:tc>
          <w:tcPr>
            <w:tcW w:w="959" w:type="dxa"/>
            <w:tcBorders>
              <w:top w:val="single" w:sz="4" w:space="0" w:color="auto"/>
              <w:bottom w:val="single" w:sz="4" w:space="0" w:color="auto"/>
            </w:tcBorders>
          </w:tcPr>
          <w:p w:rsidR="009D1691" w:rsidRPr="009D1691" w:rsidRDefault="009D1691" w:rsidP="009D1691">
            <w:pPr>
              <w:pStyle w:val="Tabletext"/>
            </w:pPr>
            <w:r w:rsidRPr="009D1691">
              <w:t>2015</w:t>
            </w:r>
          </w:p>
        </w:tc>
        <w:tc>
          <w:tcPr>
            <w:tcW w:w="1417" w:type="dxa"/>
            <w:tcBorders>
              <w:top w:val="single" w:sz="4" w:space="0" w:color="auto"/>
              <w:bottom w:val="single" w:sz="4" w:space="0" w:color="auto"/>
            </w:tcBorders>
          </w:tcPr>
          <w:p w:rsidR="009D1691" w:rsidRPr="009D1691" w:rsidRDefault="009D1691" w:rsidP="009D1691">
            <w:pPr>
              <w:pStyle w:val="Tabletext"/>
            </w:pPr>
            <w:r w:rsidRPr="009D1691">
              <w:t>20.1%</w:t>
            </w:r>
          </w:p>
        </w:tc>
        <w:tc>
          <w:tcPr>
            <w:tcW w:w="1843" w:type="dxa"/>
            <w:tcBorders>
              <w:top w:val="single" w:sz="4" w:space="0" w:color="auto"/>
              <w:bottom w:val="single" w:sz="4" w:space="0" w:color="auto"/>
            </w:tcBorders>
          </w:tcPr>
          <w:p w:rsidR="009D1691" w:rsidRPr="009D1691" w:rsidRDefault="009D1691" w:rsidP="009D1691">
            <w:pPr>
              <w:pStyle w:val="Tabletext"/>
            </w:pPr>
            <w:r w:rsidRPr="009D1691">
              <w:t>79.9%</w:t>
            </w:r>
          </w:p>
        </w:tc>
        <w:tc>
          <w:tcPr>
            <w:tcW w:w="2126" w:type="dxa"/>
            <w:tcBorders>
              <w:top w:val="single" w:sz="4" w:space="0" w:color="auto"/>
              <w:bottom w:val="single" w:sz="4" w:space="0" w:color="auto"/>
            </w:tcBorders>
          </w:tcPr>
          <w:p w:rsidR="009D1691" w:rsidRPr="009D1691" w:rsidRDefault="009D1691" w:rsidP="009D1691">
            <w:pPr>
              <w:pStyle w:val="Tabletext"/>
            </w:pPr>
            <w:r w:rsidRPr="009D1691">
              <w:t>7.8%</w:t>
            </w:r>
          </w:p>
        </w:tc>
      </w:tr>
      <w:tr w:rsidR="009D1691" w:rsidRPr="00496ECD" w:rsidTr="007061F2">
        <w:tc>
          <w:tcPr>
            <w:tcW w:w="2835" w:type="dxa"/>
            <w:tcBorders>
              <w:top w:val="single" w:sz="4" w:space="0" w:color="auto"/>
            </w:tcBorders>
          </w:tcPr>
          <w:p w:rsidR="009D1691" w:rsidRPr="009D1691" w:rsidRDefault="009D1691" w:rsidP="009D1691">
            <w:pPr>
              <w:pStyle w:val="Tabletext"/>
            </w:pPr>
            <w:r w:rsidRPr="009D1691">
              <w:t>Gas – 24 000 MJ</w:t>
            </w:r>
          </w:p>
        </w:tc>
        <w:tc>
          <w:tcPr>
            <w:tcW w:w="959" w:type="dxa"/>
            <w:tcBorders>
              <w:top w:val="single" w:sz="4" w:space="0" w:color="auto"/>
              <w:bottom w:val="single" w:sz="4" w:space="0" w:color="auto"/>
            </w:tcBorders>
          </w:tcPr>
          <w:p w:rsidR="009D1691" w:rsidRPr="009D1691" w:rsidRDefault="009D1691" w:rsidP="009D1691">
            <w:pPr>
              <w:pStyle w:val="Tabletext"/>
            </w:pPr>
            <w:r w:rsidRPr="009D1691">
              <w:t>2013</w:t>
            </w:r>
          </w:p>
        </w:tc>
        <w:tc>
          <w:tcPr>
            <w:tcW w:w="1417" w:type="dxa"/>
            <w:tcBorders>
              <w:top w:val="single" w:sz="4" w:space="0" w:color="auto"/>
              <w:bottom w:val="single" w:sz="4" w:space="0" w:color="auto"/>
            </w:tcBorders>
          </w:tcPr>
          <w:p w:rsidR="009D1691" w:rsidRPr="009D1691" w:rsidRDefault="009D1691" w:rsidP="009D1691">
            <w:pPr>
              <w:pStyle w:val="Tabletext"/>
            </w:pPr>
            <w:r w:rsidRPr="009D1691">
              <w:t>28.8%</w:t>
            </w:r>
          </w:p>
        </w:tc>
        <w:tc>
          <w:tcPr>
            <w:tcW w:w="1843" w:type="dxa"/>
            <w:tcBorders>
              <w:top w:val="single" w:sz="4" w:space="0" w:color="auto"/>
              <w:bottom w:val="single" w:sz="4" w:space="0" w:color="auto"/>
            </w:tcBorders>
          </w:tcPr>
          <w:p w:rsidR="009D1691" w:rsidRPr="009D1691" w:rsidRDefault="009D1691" w:rsidP="009D1691">
            <w:pPr>
              <w:pStyle w:val="Tabletext"/>
            </w:pPr>
            <w:r w:rsidRPr="009D1691">
              <w:t>71.2%</w:t>
            </w:r>
          </w:p>
        </w:tc>
        <w:tc>
          <w:tcPr>
            <w:tcW w:w="2126" w:type="dxa"/>
            <w:tcBorders>
              <w:top w:val="single" w:sz="4" w:space="0" w:color="auto"/>
              <w:bottom w:val="single" w:sz="4" w:space="0" w:color="auto"/>
            </w:tcBorders>
          </w:tcPr>
          <w:p w:rsidR="009D1691" w:rsidRPr="009D1691" w:rsidRDefault="009D1691" w:rsidP="009D1691">
            <w:pPr>
              <w:pStyle w:val="Tabletext"/>
            </w:pPr>
            <w:r w:rsidRPr="009D1691">
              <w:t>9.1%</w:t>
            </w:r>
          </w:p>
        </w:tc>
      </w:tr>
      <w:tr w:rsidR="009D1691" w:rsidRPr="00496ECD" w:rsidTr="007061F2">
        <w:tc>
          <w:tcPr>
            <w:tcW w:w="2835" w:type="dxa"/>
          </w:tcPr>
          <w:p w:rsidR="009D1691" w:rsidRPr="009D1691" w:rsidRDefault="009D1691" w:rsidP="009D1691">
            <w:pPr>
              <w:pStyle w:val="Tabletext"/>
            </w:pPr>
          </w:p>
        </w:tc>
        <w:tc>
          <w:tcPr>
            <w:tcW w:w="959" w:type="dxa"/>
            <w:tcBorders>
              <w:top w:val="single" w:sz="4" w:space="0" w:color="auto"/>
              <w:bottom w:val="single" w:sz="4" w:space="0" w:color="auto"/>
            </w:tcBorders>
          </w:tcPr>
          <w:p w:rsidR="009D1691" w:rsidRPr="009D1691" w:rsidRDefault="009D1691" w:rsidP="009D1691">
            <w:pPr>
              <w:pStyle w:val="Tabletext"/>
            </w:pPr>
            <w:r w:rsidRPr="009D1691">
              <w:t>2014</w:t>
            </w:r>
          </w:p>
        </w:tc>
        <w:tc>
          <w:tcPr>
            <w:tcW w:w="1417" w:type="dxa"/>
            <w:tcBorders>
              <w:top w:val="single" w:sz="4" w:space="0" w:color="auto"/>
              <w:bottom w:val="single" w:sz="4" w:space="0" w:color="auto"/>
            </w:tcBorders>
          </w:tcPr>
          <w:p w:rsidR="009D1691" w:rsidRPr="009D1691" w:rsidRDefault="009D1691" w:rsidP="009D1691">
            <w:pPr>
              <w:pStyle w:val="Tabletext"/>
            </w:pPr>
            <w:r w:rsidRPr="009D1691">
              <w:t>27.3%</w:t>
            </w:r>
          </w:p>
        </w:tc>
        <w:tc>
          <w:tcPr>
            <w:tcW w:w="1843" w:type="dxa"/>
            <w:tcBorders>
              <w:top w:val="single" w:sz="4" w:space="0" w:color="auto"/>
              <w:bottom w:val="single" w:sz="4" w:space="0" w:color="auto"/>
            </w:tcBorders>
          </w:tcPr>
          <w:p w:rsidR="009D1691" w:rsidRPr="009D1691" w:rsidRDefault="009D1691" w:rsidP="009D1691">
            <w:pPr>
              <w:pStyle w:val="Tabletext"/>
            </w:pPr>
            <w:r w:rsidRPr="009D1691">
              <w:t>72.7%</w:t>
            </w:r>
          </w:p>
        </w:tc>
        <w:tc>
          <w:tcPr>
            <w:tcW w:w="2126" w:type="dxa"/>
            <w:tcBorders>
              <w:top w:val="single" w:sz="4" w:space="0" w:color="auto"/>
              <w:bottom w:val="single" w:sz="4" w:space="0" w:color="auto"/>
            </w:tcBorders>
          </w:tcPr>
          <w:p w:rsidR="009D1691" w:rsidRPr="009D1691" w:rsidRDefault="009D1691" w:rsidP="009D1691">
            <w:pPr>
              <w:pStyle w:val="Tabletext"/>
            </w:pPr>
            <w:r w:rsidRPr="009D1691">
              <w:t>8.3%</w:t>
            </w:r>
          </w:p>
        </w:tc>
      </w:tr>
      <w:tr w:rsidR="009D1691" w:rsidRPr="00496ECD" w:rsidTr="007061F2">
        <w:tc>
          <w:tcPr>
            <w:tcW w:w="2835" w:type="dxa"/>
          </w:tcPr>
          <w:p w:rsidR="009D1691" w:rsidRPr="009D1691" w:rsidRDefault="009D1691" w:rsidP="009D1691">
            <w:pPr>
              <w:pStyle w:val="Tabletext"/>
            </w:pPr>
          </w:p>
        </w:tc>
        <w:tc>
          <w:tcPr>
            <w:tcW w:w="959" w:type="dxa"/>
            <w:tcBorders>
              <w:top w:val="single" w:sz="4" w:space="0" w:color="auto"/>
              <w:bottom w:val="single" w:sz="4" w:space="0" w:color="BFBFBF" w:themeColor="background1" w:themeShade="BF"/>
            </w:tcBorders>
          </w:tcPr>
          <w:p w:rsidR="009D1691" w:rsidRPr="009D1691" w:rsidRDefault="009D1691" w:rsidP="009D1691">
            <w:pPr>
              <w:pStyle w:val="Tabletext"/>
            </w:pPr>
            <w:r w:rsidRPr="009D1691">
              <w:t>2015</w:t>
            </w:r>
          </w:p>
        </w:tc>
        <w:tc>
          <w:tcPr>
            <w:tcW w:w="1417" w:type="dxa"/>
            <w:tcBorders>
              <w:top w:val="single" w:sz="4" w:space="0" w:color="auto"/>
              <w:bottom w:val="single" w:sz="4" w:space="0" w:color="BFBFBF" w:themeColor="background1" w:themeShade="BF"/>
            </w:tcBorders>
          </w:tcPr>
          <w:p w:rsidR="009D1691" w:rsidRPr="009D1691" w:rsidRDefault="009D1691" w:rsidP="009D1691">
            <w:pPr>
              <w:pStyle w:val="Tabletext"/>
            </w:pPr>
            <w:r w:rsidRPr="009D1691">
              <w:t>25.8%</w:t>
            </w:r>
          </w:p>
        </w:tc>
        <w:tc>
          <w:tcPr>
            <w:tcW w:w="1843" w:type="dxa"/>
            <w:tcBorders>
              <w:top w:val="single" w:sz="4" w:space="0" w:color="auto"/>
              <w:bottom w:val="single" w:sz="4" w:space="0" w:color="BFBFBF" w:themeColor="background1" w:themeShade="BF"/>
            </w:tcBorders>
          </w:tcPr>
          <w:p w:rsidR="009D1691" w:rsidRPr="009D1691" w:rsidRDefault="009D1691" w:rsidP="009D1691">
            <w:pPr>
              <w:pStyle w:val="Tabletext"/>
            </w:pPr>
            <w:r w:rsidRPr="009D1691">
              <w:t>74.2%</w:t>
            </w:r>
          </w:p>
        </w:tc>
        <w:tc>
          <w:tcPr>
            <w:tcW w:w="2126" w:type="dxa"/>
            <w:tcBorders>
              <w:top w:val="single" w:sz="4" w:space="0" w:color="auto"/>
              <w:bottom w:val="single" w:sz="4" w:space="0" w:color="BFBFBF" w:themeColor="background1" w:themeShade="BF"/>
            </w:tcBorders>
          </w:tcPr>
          <w:p w:rsidR="009D1691" w:rsidRPr="009D1691" w:rsidRDefault="009D1691" w:rsidP="009D1691">
            <w:pPr>
              <w:pStyle w:val="Tabletext"/>
            </w:pPr>
            <w:r w:rsidRPr="009D1691">
              <w:t>10.7%</w:t>
            </w:r>
          </w:p>
        </w:tc>
      </w:tr>
    </w:tbl>
    <w:p w:rsidR="00891A88" w:rsidRDefault="00891A88" w:rsidP="00891A88">
      <w:pPr>
        <w:pStyle w:val="Heading2"/>
        <w:numPr>
          <w:ilvl w:val="0"/>
          <w:numId w:val="0"/>
        </w:numPr>
      </w:pPr>
    </w:p>
    <w:p w:rsidR="00891A88" w:rsidRPr="0089015F" w:rsidRDefault="00891A88" w:rsidP="00891A88">
      <w:pPr>
        <w:pStyle w:val="Heading2"/>
      </w:pPr>
      <w:bookmarkStart w:id="65" w:name="_Toc433026841"/>
      <w:r w:rsidRPr="0089015F">
        <w:t>Tasmania</w:t>
      </w:r>
      <w:bookmarkEnd w:id="65"/>
    </w:p>
    <w:p w:rsidR="00891A88" w:rsidRPr="0089015F" w:rsidRDefault="00891A88" w:rsidP="00891A88">
      <w:pPr>
        <w:pStyle w:val="Heading3"/>
      </w:pPr>
      <w:bookmarkStart w:id="66" w:name="_Toc432765988"/>
      <w:bookmarkStart w:id="67" w:name="_Toc433026842"/>
      <w:r w:rsidRPr="0089015F">
        <w:t>Electricity bills as a percentage of income</w:t>
      </w:r>
      <w:bookmarkEnd w:id="66"/>
      <w:bookmarkEnd w:id="67"/>
    </w:p>
    <w:p w:rsidR="00891A88" w:rsidRPr="003F12A6" w:rsidRDefault="00891A88" w:rsidP="00891A88">
      <w:r w:rsidRPr="0089015F">
        <w:t>The sole electricity distribution zone in Tasmania is TasNetworks.</w:t>
      </w:r>
      <w:r w:rsidRPr="00891A88">
        <w:rPr>
          <w:rStyle w:val="Superscript"/>
        </w:rPr>
        <w:footnoteReference w:id="40"/>
      </w:r>
      <w:r w:rsidRPr="003F12A6">
        <w:t xml:space="preserve"> Aurora Energy remains the only electricity retailer available to residential customers. </w:t>
      </w:r>
    </w:p>
    <w:p w:rsidR="00891A88" w:rsidRPr="003F12A6" w:rsidRDefault="00891A88" w:rsidP="00891A88">
      <w:r w:rsidRPr="0089015F">
        <w:t>From 1 Ju</w:t>
      </w:r>
      <w:r w:rsidRPr="003F12A6">
        <w:t>ly 2014, electricity customers could choose to enter a market retail contract with Aurora Energy, or with a potential new entrant retailer. Customers could also choose to remain on the regulated standard retail contract. As at 30 June 2015, no new retailer had entered the Tasmanian electricity market, and Aurora Energy’s customers remained on standard retail contracts under regulated prices.</w:t>
      </w:r>
      <w:r w:rsidRPr="00891A88">
        <w:rPr>
          <w:rStyle w:val="Superscript"/>
        </w:rPr>
        <w:footnoteReference w:id="41"/>
      </w:r>
      <w:r w:rsidRPr="003F12A6">
        <w:t xml:space="preserve"> </w:t>
      </w:r>
    </w:p>
    <w:p w:rsidR="00891A88" w:rsidRPr="003F12A6" w:rsidRDefault="00891A88" w:rsidP="00891A88">
      <w:r w:rsidRPr="0089015F">
        <w:t xml:space="preserve">Eligible customers </w:t>
      </w:r>
      <w:r w:rsidR="0045449C">
        <w:t xml:space="preserve">in Tasmania </w:t>
      </w:r>
      <w:r w:rsidRPr="0089015F">
        <w:t>can receive a rebate of 125.71 cents per day towards their electricity bills.</w:t>
      </w:r>
      <w:r w:rsidRPr="00891A88">
        <w:rPr>
          <w:rStyle w:val="Superscript"/>
        </w:rPr>
        <w:footnoteReference w:id="42"/>
      </w:r>
      <w:r w:rsidRPr="003F12A6">
        <w:t xml:space="preserve"> Figure 3.15 shows the impact of this concession on the annual electricity bills of residential customers on the standing offer.</w:t>
      </w:r>
    </w:p>
    <w:p w:rsidR="00E92189" w:rsidRDefault="00E92189" w:rsidP="00891A88">
      <w:pPr>
        <w:pStyle w:val="Tabletitle"/>
      </w:pPr>
    </w:p>
    <w:p w:rsidR="00E92189" w:rsidRDefault="00E92189" w:rsidP="00891A88">
      <w:pPr>
        <w:pStyle w:val="Tabletitle"/>
      </w:pPr>
    </w:p>
    <w:p w:rsidR="00E92189" w:rsidRDefault="00E92189" w:rsidP="00891A88">
      <w:pPr>
        <w:pStyle w:val="Tabletitle"/>
      </w:pPr>
    </w:p>
    <w:p w:rsidR="00E92189" w:rsidRDefault="00E92189" w:rsidP="00891A88">
      <w:pPr>
        <w:pStyle w:val="Tabletitle"/>
      </w:pPr>
    </w:p>
    <w:p w:rsidR="00891A88" w:rsidRPr="00FA2E79" w:rsidRDefault="00891A88" w:rsidP="00891A88">
      <w:pPr>
        <w:pStyle w:val="Tabletitle"/>
      </w:pPr>
      <w:r w:rsidRPr="00FA2E79">
        <w:lastRenderedPageBreak/>
        <w:t>Figure 3.15: Annual electricity and gas bills, and as a share of disposable income for a benchmark low income household (6500 kWh)</w:t>
      </w:r>
    </w:p>
    <w:p w:rsidR="00891A88" w:rsidRDefault="00891A88" w:rsidP="00891A88">
      <w:r w:rsidRPr="003F12A6">
        <w:rPr>
          <w:noProof/>
          <w:lang w:eastAsia="en-AU"/>
        </w:rPr>
        <w:drawing>
          <wp:inline distT="0" distB="0" distL="0" distR="0" wp14:anchorId="5C52CA61" wp14:editId="6F2AD615">
            <wp:extent cx="5760000" cy="4197600"/>
            <wp:effectExtent l="0" t="0" r="0" b="0"/>
            <wp:docPr id="33" name="Picture 33" descr="For a low income household receiving the energy concession, the annual electricity bill decreased by 10 per cent in 2015, from $1631 to $1468. Electricity bills represented a relatively high proportion of a low income household’s disposable income, at 6.4 per cent (or 8.4 per cent if it did not receive a concession)." title="Fig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00" cy="4197600"/>
                    </a:xfrm>
                    <a:prstGeom prst="rect">
                      <a:avLst/>
                    </a:prstGeom>
                    <a:noFill/>
                  </pic:spPr>
                </pic:pic>
              </a:graphicData>
            </a:graphic>
          </wp:inline>
        </w:drawing>
      </w:r>
    </w:p>
    <w:p w:rsidR="008127F4" w:rsidRPr="0089015F" w:rsidRDefault="008127F4" w:rsidP="00891A88"/>
    <w:p w:rsidR="00891A88" w:rsidRPr="0089015F" w:rsidRDefault="00891A88" w:rsidP="00891A88">
      <w:r w:rsidRPr="0089015F">
        <w:t>For a low income household receiving the energy concession, the annual electricity bill decreased by 10 per cent in 2015, from $1631 to $1468. Electricity bills represented a relatively high proportion of a low income household’s disposable income, at 6.4 per cent (or 8.4 per cent if it did not receive a concession).</w:t>
      </w:r>
    </w:p>
    <w:p w:rsidR="00891A88" w:rsidRPr="0089015F" w:rsidRDefault="00891A88" w:rsidP="00891A88">
      <w:r w:rsidRPr="0089015F">
        <w:t>It is not surprising to see that Tasmanian households have higher electricity bills relative to other jurisdictions, as only a small proportion of households are connected to gas and the cooler climate typically demands greater electricity use for heating.</w:t>
      </w:r>
    </w:p>
    <w:p w:rsidR="00891A88" w:rsidRPr="0089015F" w:rsidRDefault="00891A88" w:rsidP="00891A88">
      <w:r w:rsidRPr="0089015F">
        <w:t>A middle income household consuming 8800 kWh per annum in Tasmania spent 4.3 per cent of its disposable income on electricity bills. This would account for 1.7 per cent of a high income household’s disposable income (table 3.</w:t>
      </w:r>
      <w:r w:rsidR="00E8677A">
        <w:t>9</w:t>
      </w:r>
      <w:r w:rsidRPr="0089015F">
        <w:t xml:space="preserve">). </w:t>
      </w:r>
    </w:p>
    <w:p w:rsidR="00E92189" w:rsidRDefault="00E92189" w:rsidP="00891A88">
      <w:pPr>
        <w:pStyle w:val="Tabletitle"/>
      </w:pPr>
    </w:p>
    <w:p w:rsidR="00E92189" w:rsidRDefault="00E92189" w:rsidP="00891A88">
      <w:pPr>
        <w:pStyle w:val="Tabletitle"/>
      </w:pPr>
    </w:p>
    <w:p w:rsidR="00E92189" w:rsidRDefault="00E92189" w:rsidP="00891A88">
      <w:pPr>
        <w:pStyle w:val="Tabletitle"/>
      </w:pPr>
    </w:p>
    <w:p w:rsidR="00891A88" w:rsidRPr="00FA2E79" w:rsidRDefault="00891A88" w:rsidP="00891A88">
      <w:pPr>
        <w:pStyle w:val="Tabletitle"/>
      </w:pPr>
      <w:r w:rsidRPr="00FA2E79">
        <w:lastRenderedPageBreak/>
        <w:t>Table 3.</w:t>
      </w:r>
      <w:r w:rsidR="00E8677A">
        <w:t>9</w:t>
      </w:r>
      <w:r w:rsidRPr="00FA2E79">
        <w:t>: Summary of annual electricity bills (for the standing offer) and as a share of disposable income – June 2015</w:t>
      </w:r>
    </w:p>
    <w:tbl>
      <w:tblPr>
        <w:tblW w:w="0" w:type="auto"/>
        <w:tblLook w:val="04A0" w:firstRow="1" w:lastRow="0" w:firstColumn="1" w:lastColumn="0" w:noHBand="0" w:noVBand="1"/>
      </w:tblPr>
      <w:tblGrid>
        <w:gridCol w:w="3369"/>
        <w:gridCol w:w="2268"/>
        <w:gridCol w:w="1559"/>
        <w:gridCol w:w="2046"/>
      </w:tblGrid>
      <w:tr w:rsidR="00891A88" w:rsidRPr="0089015F" w:rsidTr="002F4D97">
        <w:tc>
          <w:tcPr>
            <w:tcW w:w="3369" w:type="dxa"/>
            <w:shd w:val="clear" w:color="auto" w:fill="F2F2F2" w:themeFill="background1" w:themeFillShade="F2"/>
          </w:tcPr>
          <w:p w:rsidR="00891A88" w:rsidRPr="009D1691" w:rsidRDefault="00891A88" w:rsidP="00E92189">
            <w:pPr>
              <w:pStyle w:val="Tabletext"/>
              <w:rPr>
                <w:rStyle w:val="Strong"/>
              </w:rPr>
            </w:pPr>
            <w:r w:rsidRPr="009D1691">
              <w:rPr>
                <w:rStyle w:val="Strong"/>
              </w:rPr>
              <w:t>Income level</w:t>
            </w:r>
          </w:p>
        </w:tc>
        <w:tc>
          <w:tcPr>
            <w:tcW w:w="2268" w:type="dxa"/>
            <w:shd w:val="clear" w:color="auto" w:fill="F2F2F2" w:themeFill="background1" w:themeFillShade="F2"/>
          </w:tcPr>
          <w:p w:rsidR="00891A88" w:rsidRPr="009D1691" w:rsidRDefault="00891A88" w:rsidP="00E92189">
            <w:pPr>
              <w:pStyle w:val="Tabletext"/>
              <w:rPr>
                <w:rStyle w:val="Strong"/>
              </w:rPr>
            </w:pPr>
            <w:r w:rsidRPr="009D1691">
              <w:rPr>
                <w:rStyle w:val="Strong"/>
              </w:rPr>
              <w:t>Annual consumption</w:t>
            </w:r>
          </w:p>
        </w:tc>
        <w:tc>
          <w:tcPr>
            <w:tcW w:w="1559" w:type="dxa"/>
            <w:shd w:val="clear" w:color="auto" w:fill="F2F2F2" w:themeFill="background1" w:themeFillShade="F2"/>
          </w:tcPr>
          <w:p w:rsidR="00891A88" w:rsidRPr="009D1691" w:rsidRDefault="00891A88" w:rsidP="00E92189">
            <w:pPr>
              <w:pStyle w:val="Tabletext"/>
              <w:rPr>
                <w:rStyle w:val="Strong"/>
              </w:rPr>
            </w:pPr>
            <w:r w:rsidRPr="009D1691">
              <w:rPr>
                <w:rStyle w:val="Strong"/>
              </w:rPr>
              <w:t xml:space="preserve">Annual bill ($) </w:t>
            </w:r>
          </w:p>
        </w:tc>
        <w:tc>
          <w:tcPr>
            <w:tcW w:w="2046" w:type="dxa"/>
            <w:shd w:val="clear" w:color="auto" w:fill="F2F2F2" w:themeFill="background1" w:themeFillShade="F2"/>
          </w:tcPr>
          <w:p w:rsidR="00891A88" w:rsidRPr="009D1691" w:rsidRDefault="00891A88" w:rsidP="00E92189">
            <w:pPr>
              <w:pStyle w:val="Tabletext"/>
              <w:rPr>
                <w:rStyle w:val="Strong"/>
              </w:rPr>
            </w:pPr>
            <w:r w:rsidRPr="009D1691">
              <w:rPr>
                <w:rStyle w:val="Strong"/>
              </w:rPr>
              <w:t>Proportion of annual income (%)</w:t>
            </w:r>
          </w:p>
        </w:tc>
      </w:tr>
      <w:tr w:rsidR="00891A88" w:rsidRPr="0089015F" w:rsidTr="002F4D97">
        <w:tc>
          <w:tcPr>
            <w:tcW w:w="3369" w:type="dxa"/>
            <w:tcBorders>
              <w:top w:val="single" w:sz="4" w:space="0" w:color="BFBFBF" w:themeColor="background1" w:themeShade="BF"/>
              <w:bottom w:val="single" w:sz="4" w:space="0" w:color="auto"/>
            </w:tcBorders>
          </w:tcPr>
          <w:p w:rsidR="00891A88" w:rsidRPr="003F12A6" w:rsidRDefault="00891A88" w:rsidP="00E92189">
            <w:pPr>
              <w:pStyle w:val="Tabletext"/>
            </w:pPr>
            <w:r w:rsidRPr="003F12A6">
              <w:t>Low income – with concession</w:t>
            </w:r>
          </w:p>
        </w:tc>
        <w:tc>
          <w:tcPr>
            <w:tcW w:w="2268"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Electricity 6500 kWh</w:t>
            </w:r>
          </w:p>
        </w:tc>
        <w:tc>
          <w:tcPr>
            <w:tcW w:w="1559"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1468</w:t>
            </w:r>
          </w:p>
        </w:tc>
        <w:tc>
          <w:tcPr>
            <w:tcW w:w="2046"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6.4</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Low income – without concession</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Electricity 6500 kWh</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1927</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8.4</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Middle income</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Electricity 8800 kWh</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2495</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4.3</w:t>
            </w:r>
          </w:p>
        </w:tc>
      </w:tr>
      <w:tr w:rsidR="00891A88" w:rsidRPr="0089015F" w:rsidTr="002F4D97">
        <w:tc>
          <w:tcPr>
            <w:tcW w:w="3369" w:type="dxa"/>
            <w:tcBorders>
              <w:top w:val="single" w:sz="4" w:space="0" w:color="auto"/>
              <w:bottom w:val="single" w:sz="4" w:space="0" w:color="BFBFBF" w:themeColor="background1" w:themeShade="BF"/>
            </w:tcBorders>
          </w:tcPr>
          <w:p w:rsidR="00891A88" w:rsidRPr="003F12A6" w:rsidRDefault="00891A88" w:rsidP="00E92189">
            <w:pPr>
              <w:pStyle w:val="Tabletext"/>
            </w:pPr>
            <w:r w:rsidRPr="003F12A6">
              <w:t>High income</w:t>
            </w:r>
          </w:p>
        </w:tc>
        <w:tc>
          <w:tcPr>
            <w:tcW w:w="2268"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Electricity 8800 kWh</w:t>
            </w:r>
          </w:p>
        </w:tc>
        <w:tc>
          <w:tcPr>
            <w:tcW w:w="1559"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2495</w:t>
            </w:r>
          </w:p>
        </w:tc>
        <w:tc>
          <w:tcPr>
            <w:tcW w:w="2046"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1.7</w:t>
            </w:r>
          </w:p>
        </w:tc>
      </w:tr>
    </w:tbl>
    <w:p w:rsidR="00891A88" w:rsidRPr="00324E2F" w:rsidRDefault="00891A88" w:rsidP="00891A88">
      <w:pPr>
        <w:pStyle w:val="Heading3"/>
      </w:pPr>
      <w:bookmarkStart w:id="68" w:name="_Toc432765989"/>
      <w:bookmarkStart w:id="69" w:name="_Toc433026843"/>
      <w:r w:rsidRPr="00324E2F">
        <w:t>Composition of energy bills and impact of concessions</w:t>
      </w:r>
      <w:bookmarkEnd w:id="68"/>
      <w:bookmarkEnd w:id="69"/>
    </w:p>
    <w:p w:rsidR="00891A88" w:rsidRPr="0089015F" w:rsidRDefault="00891A88" w:rsidP="00891A88">
      <w:r w:rsidRPr="0089015F">
        <w:t>Table 3.</w:t>
      </w:r>
      <w:r w:rsidR="00E8677A">
        <w:t>10</w:t>
      </w:r>
      <w:r w:rsidR="00E8677A" w:rsidRPr="0089015F">
        <w:t xml:space="preserve"> </w:t>
      </w:r>
      <w:r w:rsidRPr="0089015F">
        <w:t xml:space="preserve">shows the portions of low income household electricity bills attributed to daily supply charges and energy use charges, as well as the savings provided by energy concessions.  </w:t>
      </w:r>
    </w:p>
    <w:p w:rsidR="00891A88" w:rsidRPr="0089015F" w:rsidRDefault="00891A88" w:rsidP="00891A88">
      <w:r w:rsidRPr="0089015F">
        <w:t xml:space="preserve">Daily supply charges for electricity were $320 per annum in 2015, which represents 17 per cent of a low income household’s annual electricity bill and 1.4 per cent of its disposable income. </w:t>
      </w:r>
    </w:p>
    <w:p w:rsidR="00891A88" w:rsidRPr="003F12A6" w:rsidRDefault="00891A88" w:rsidP="00891A88">
      <w:pPr>
        <w:rPr>
          <w:highlight w:val="yellow"/>
        </w:rPr>
      </w:pPr>
      <w:r w:rsidRPr="0089015F">
        <w:t xml:space="preserve">Energy concessions help eligible customers save around 24 per cent </w:t>
      </w:r>
      <w:r w:rsidR="000E018E">
        <w:t xml:space="preserve">($459) </w:t>
      </w:r>
      <w:r w:rsidRPr="0089015F">
        <w:t xml:space="preserve">on electricity. </w:t>
      </w:r>
    </w:p>
    <w:p w:rsidR="00891A88" w:rsidRDefault="00891A88" w:rsidP="00891A88">
      <w:pPr>
        <w:pStyle w:val="Tabletitle"/>
      </w:pPr>
      <w:r w:rsidRPr="00FA2E79">
        <w:t>Table 3.</w:t>
      </w:r>
      <w:r w:rsidR="00E8677A">
        <w:t>10</w:t>
      </w:r>
      <w:r w:rsidRPr="00FA2E79">
        <w:t>: Composition of low income household energy bills (regulated offer)</w:t>
      </w:r>
    </w:p>
    <w:tbl>
      <w:tblPr>
        <w:tblW w:w="9180" w:type="dxa"/>
        <w:tblLayout w:type="fixed"/>
        <w:tblLook w:val="04A0" w:firstRow="1" w:lastRow="0" w:firstColumn="1" w:lastColumn="0" w:noHBand="0" w:noVBand="1"/>
      </w:tblPr>
      <w:tblGrid>
        <w:gridCol w:w="2835"/>
        <w:gridCol w:w="959"/>
        <w:gridCol w:w="1417"/>
        <w:gridCol w:w="1843"/>
        <w:gridCol w:w="2126"/>
      </w:tblGrid>
      <w:tr w:rsidR="009D1691" w:rsidRPr="0089015F" w:rsidTr="007061F2">
        <w:tc>
          <w:tcPr>
            <w:tcW w:w="2835" w:type="dxa"/>
            <w:shd w:val="clear" w:color="auto" w:fill="F2F2F2" w:themeFill="background1" w:themeFillShade="F2"/>
          </w:tcPr>
          <w:p w:rsidR="009D1691" w:rsidRPr="009D1691" w:rsidRDefault="009D1691" w:rsidP="007061F2">
            <w:pPr>
              <w:pStyle w:val="Tabletext"/>
              <w:rPr>
                <w:rStyle w:val="Strong"/>
              </w:rPr>
            </w:pPr>
            <w:r w:rsidRPr="009D1691">
              <w:rPr>
                <w:rStyle w:val="Strong"/>
              </w:rPr>
              <w:t>Fuel type – consumption</w:t>
            </w:r>
          </w:p>
        </w:tc>
        <w:tc>
          <w:tcPr>
            <w:tcW w:w="959" w:type="dxa"/>
            <w:shd w:val="clear" w:color="auto" w:fill="F2F2F2" w:themeFill="background1" w:themeFillShade="F2"/>
          </w:tcPr>
          <w:p w:rsidR="009D1691" w:rsidRPr="009D1691" w:rsidRDefault="009D1691" w:rsidP="007061F2">
            <w:pPr>
              <w:pStyle w:val="Tabletext"/>
              <w:rPr>
                <w:rStyle w:val="Strong"/>
              </w:rPr>
            </w:pPr>
            <w:r w:rsidRPr="009D1691">
              <w:rPr>
                <w:rStyle w:val="Strong"/>
              </w:rPr>
              <w:t>Year</w:t>
            </w:r>
          </w:p>
        </w:tc>
        <w:tc>
          <w:tcPr>
            <w:tcW w:w="1417" w:type="dxa"/>
            <w:shd w:val="clear" w:color="auto" w:fill="F2F2F2" w:themeFill="background1" w:themeFillShade="F2"/>
          </w:tcPr>
          <w:p w:rsidR="009D1691" w:rsidRPr="009D1691" w:rsidRDefault="009D1691" w:rsidP="007061F2">
            <w:pPr>
              <w:pStyle w:val="Tabletext"/>
              <w:rPr>
                <w:rStyle w:val="Strong"/>
              </w:rPr>
            </w:pPr>
            <w:r w:rsidRPr="009D1691">
              <w:rPr>
                <w:rStyle w:val="Strong"/>
              </w:rPr>
              <w:t>Daily supply charges (%)</w:t>
            </w:r>
          </w:p>
        </w:tc>
        <w:tc>
          <w:tcPr>
            <w:tcW w:w="1843" w:type="dxa"/>
            <w:shd w:val="clear" w:color="auto" w:fill="F2F2F2" w:themeFill="background1" w:themeFillShade="F2"/>
          </w:tcPr>
          <w:p w:rsidR="009D1691" w:rsidRPr="009D1691" w:rsidRDefault="009D1691" w:rsidP="007061F2">
            <w:pPr>
              <w:pStyle w:val="Tabletext"/>
              <w:rPr>
                <w:rStyle w:val="Strong"/>
              </w:rPr>
            </w:pPr>
            <w:r w:rsidRPr="009D1691">
              <w:rPr>
                <w:rStyle w:val="Strong"/>
              </w:rPr>
              <w:t>Energy use charges (%)</w:t>
            </w:r>
          </w:p>
        </w:tc>
        <w:tc>
          <w:tcPr>
            <w:tcW w:w="2126" w:type="dxa"/>
            <w:shd w:val="clear" w:color="auto" w:fill="F2F2F2" w:themeFill="background1" w:themeFillShade="F2"/>
          </w:tcPr>
          <w:p w:rsidR="009D1691" w:rsidRPr="009D1691" w:rsidRDefault="009D1691" w:rsidP="007061F2">
            <w:pPr>
              <w:pStyle w:val="Tabletext"/>
              <w:rPr>
                <w:rStyle w:val="Strong"/>
              </w:rPr>
            </w:pPr>
            <w:r w:rsidRPr="009D1691">
              <w:rPr>
                <w:rStyle w:val="Strong"/>
              </w:rPr>
              <w:t>Saving with concession (%)</w:t>
            </w:r>
          </w:p>
        </w:tc>
      </w:tr>
      <w:tr w:rsidR="009D1691" w:rsidRPr="0089015F" w:rsidTr="007061F2">
        <w:tc>
          <w:tcPr>
            <w:tcW w:w="2835" w:type="dxa"/>
          </w:tcPr>
          <w:p w:rsidR="009D1691" w:rsidRPr="009D1691" w:rsidRDefault="009D1691" w:rsidP="007061F2">
            <w:pPr>
              <w:pStyle w:val="Tabletext"/>
            </w:pPr>
            <w:r w:rsidRPr="009D1691">
              <w:t>Electricity – 6500 kWh</w:t>
            </w:r>
          </w:p>
        </w:tc>
        <w:tc>
          <w:tcPr>
            <w:tcW w:w="959" w:type="dxa"/>
            <w:tcBorders>
              <w:top w:val="single" w:sz="4" w:space="0" w:color="BFBFBF" w:themeColor="background1" w:themeShade="BF"/>
              <w:bottom w:val="single" w:sz="4" w:space="0" w:color="auto"/>
            </w:tcBorders>
          </w:tcPr>
          <w:p w:rsidR="009D1691" w:rsidRPr="009D1691" w:rsidRDefault="009D1691" w:rsidP="007061F2">
            <w:pPr>
              <w:pStyle w:val="Tabletext"/>
            </w:pPr>
            <w:r w:rsidRPr="009D1691">
              <w:t>2013</w:t>
            </w:r>
          </w:p>
        </w:tc>
        <w:tc>
          <w:tcPr>
            <w:tcW w:w="1417" w:type="dxa"/>
            <w:tcBorders>
              <w:top w:val="single" w:sz="4" w:space="0" w:color="BFBFBF" w:themeColor="background1" w:themeShade="BF"/>
              <w:bottom w:val="single" w:sz="4" w:space="0" w:color="auto"/>
            </w:tcBorders>
          </w:tcPr>
          <w:p w:rsidR="009D1691" w:rsidRPr="009D1691" w:rsidRDefault="009D1691" w:rsidP="007061F2">
            <w:pPr>
              <w:pStyle w:val="Tabletext"/>
            </w:pPr>
            <w:r w:rsidRPr="009D1691">
              <w:t>16.6%</w:t>
            </w:r>
          </w:p>
        </w:tc>
        <w:tc>
          <w:tcPr>
            <w:tcW w:w="1843" w:type="dxa"/>
            <w:tcBorders>
              <w:top w:val="single" w:sz="4" w:space="0" w:color="BFBFBF" w:themeColor="background1" w:themeShade="BF"/>
              <w:bottom w:val="single" w:sz="4" w:space="0" w:color="auto"/>
            </w:tcBorders>
          </w:tcPr>
          <w:p w:rsidR="009D1691" w:rsidRPr="009D1691" w:rsidRDefault="009D1691" w:rsidP="007061F2">
            <w:pPr>
              <w:pStyle w:val="Tabletext"/>
            </w:pPr>
            <w:r w:rsidRPr="009D1691">
              <w:t>83.4%</w:t>
            </w:r>
          </w:p>
        </w:tc>
        <w:tc>
          <w:tcPr>
            <w:tcW w:w="2126" w:type="dxa"/>
            <w:tcBorders>
              <w:top w:val="single" w:sz="4" w:space="0" w:color="BFBFBF" w:themeColor="background1" w:themeShade="BF"/>
              <w:bottom w:val="single" w:sz="4" w:space="0" w:color="auto"/>
            </w:tcBorders>
          </w:tcPr>
          <w:p w:rsidR="009D1691" w:rsidRPr="009D1691" w:rsidRDefault="009D1691" w:rsidP="007061F2">
            <w:pPr>
              <w:pStyle w:val="Tabletext"/>
            </w:pPr>
            <w:r w:rsidRPr="009D1691">
              <w:t>20.8%</w:t>
            </w:r>
          </w:p>
        </w:tc>
      </w:tr>
      <w:tr w:rsidR="009D1691" w:rsidRPr="0089015F" w:rsidTr="007061F2">
        <w:tc>
          <w:tcPr>
            <w:tcW w:w="2835" w:type="dxa"/>
          </w:tcPr>
          <w:p w:rsidR="009D1691" w:rsidRPr="009D1691" w:rsidRDefault="009D1691" w:rsidP="007061F2">
            <w:pPr>
              <w:pStyle w:val="Tabletext"/>
            </w:pPr>
          </w:p>
        </w:tc>
        <w:tc>
          <w:tcPr>
            <w:tcW w:w="959" w:type="dxa"/>
            <w:tcBorders>
              <w:top w:val="single" w:sz="4" w:space="0" w:color="auto"/>
              <w:bottom w:val="single" w:sz="4" w:space="0" w:color="auto"/>
            </w:tcBorders>
          </w:tcPr>
          <w:p w:rsidR="009D1691" w:rsidRPr="009D1691" w:rsidRDefault="009D1691" w:rsidP="007061F2">
            <w:pPr>
              <w:pStyle w:val="Tabletext"/>
            </w:pPr>
            <w:r w:rsidRPr="009D1691">
              <w:t>2014</w:t>
            </w:r>
          </w:p>
        </w:tc>
        <w:tc>
          <w:tcPr>
            <w:tcW w:w="1417" w:type="dxa"/>
            <w:tcBorders>
              <w:top w:val="single" w:sz="4" w:space="0" w:color="auto"/>
              <w:bottom w:val="single" w:sz="4" w:space="0" w:color="auto"/>
            </w:tcBorders>
          </w:tcPr>
          <w:p w:rsidR="009D1691" w:rsidRPr="009D1691" w:rsidRDefault="009D1691" w:rsidP="007061F2">
            <w:pPr>
              <w:pStyle w:val="Tabletext"/>
            </w:pPr>
            <w:r w:rsidRPr="009D1691">
              <w:t>16.6%</w:t>
            </w:r>
          </w:p>
        </w:tc>
        <w:tc>
          <w:tcPr>
            <w:tcW w:w="1843" w:type="dxa"/>
            <w:tcBorders>
              <w:top w:val="single" w:sz="4" w:space="0" w:color="auto"/>
              <w:bottom w:val="single" w:sz="4" w:space="0" w:color="auto"/>
            </w:tcBorders>
          </w:tcPr>
          <w:p w:rsidR="009D1691" w:rsidRPr="009D1691" w:rsidRDefault="009D1691" w:rsidP="007061F2">
            <w:pPr>
              <w:pStyle w:val="Tabletext"/>
            </w:pPr>
            <w:r w:rsidRPr="009D1691">
              <w:t>83.4%</w:t>
            </w:r>
          </w:p>
        </w:tc>
        <w:tc>
          <w:tcPr>
            <w:tcW w:w="2126" w:type="dxa"/>
            <w:tcBorders>
              <w:top w:val="single" w:sz="4" w:space="0" w:color="auto"/>
              <w:bottom w:val="single" w:sz="4" w:space="0" w:color="auto"/>
            </w:tcBorders>
          </w:tcPr>
          <w:p w:rsidR="009D1691" w:rsidRPr="009D1691" w:rsidRDefault="009D1691" w:rsidP="007061F2">
            <w:pPr>
              <w:pStyle w:val="Tabletext"/>
            </w:pPr>
            <w:r w:rsidRPr="009D1691">
              <w:t>22.0%</w:t>
            </w:r>
          </w:p>
        </w:tc>
      </w:tr>
      <w:tr w:rsidR="009D1691" w:rsidRPr="0089015F" w:rsidTr="007061F2">
        <w:tc>
          <w:tcPr>
            <w:tcW w:w="2835" w:type="dxa"/>
            <w:tcBorders>
              <w:bottom w:val="single" w:sz="4" w:space="0" w:color="auto"/>
            </w:tcBorders>
          </w:tcPr>
          <w:p w:rsidR="009D1691" w:rsidRPr="009D1691" w:rsidRDefault="009D1691" w:rsidP="007061F2">
            <w:pPr>
              <w:pStyle w:val="Tabletext"/>
            </w:pPr>
          </w:p>
        </w:tc>
        <w:tc>
          <w:tcPr>
            <w:tcW w:w="959" w:type="dxa"/>
            <w:tcBorders>
              <w:top w:val="single" w:sz="4" w:space="0" w:color="auto"/>
              <w:bottom w:val="single" w:sz="4" w:space="0" w:color="auto"/>
            </w:tcBorders>
          </w:tcPr>
          <w:p w:rsidR="009D1691" w:rsidRPr="009D1691" w:rsidRDefault="009D1691" w:rsidP="007061F2">
            <w:pPr>
              <w:pStyle w:val="Tabletext"/>
            </w:pPr>
            <w:r w:rsidRPr="009D1691">
              <w:t>2015</w:t>
            </w:r>
          </w:p>
        </w:tc>
        <w:tc>
          <w:tcPr>
            <w:tcW w:w="1417" w:type="dxa"/>
            <w:tcBorders>
              <w:top w:val="single" w:sz="4" w:space="0" w:color="auto"/>
              <w:bottom w:val="single" w:sz="4" w:space="0" w:color="auto"/>
            </w:tcBorders>
          </w:tcPr>
          <w:p w:rsidR="009D1691" w:rsidRPr="009D1691" w:rsidRDefault="009D1691" w:rsidP="007061F2">
            <w:pPr>
              <w:pStyle w:val="Tabletext"/>
            </w:pPr>
            <w:r w:rsidRPr="009D1691">
              <w:t>16.6%</w:t>
            </w:r>
          </w:p>
        </w:tc>
        <w:tc>
          <w:tcPr>
            <w:tcW w:w="1843" w:type="dxa"/>
            <w:tcBorders>
              <w:top w:val="single" w:sz="4" w:space="0" w:color="auto"/>
              <w:bottom w:val="single" w:sz="4" w:space="0" w:color="auto"/>
            </w:tcBorders>
          </w:tcPr>
          <w:p w:rsidR="009D1691" w:rsidRPr="009D1691" w:rsidRDefault="009D1691" w:rsidP="007061F2">
            <w:pPr>
              <w:pStyle w:val="Tabletext"/>
            </w:pPr>
            <w:r w:rsidRPr="009D1691">
              <w:t>83.4%</w:t>
            </w:r>
          </w:p>
        </w:tc>
        <w:tc>
          <w:tcPr>
            <w:tcW w:w="2126" w:type="dxa"/>
            <w:tcBorders>
              <w:top w:val="single" w:sz="4" w:space="0" w:color="auto"/>
              <w:bottom w:val="single" w:sz="4" w:space="0" w:color="auto"/>
            </w:tcBorders>
          </w:tcPr>
          <w:p w:rsidR="009D1691" w:rsidRPr="009D1691" w:rsidRDefault="009D1691" w:rsidP="007061F2">
            <w:pPr>
              <w:pStyle w:val="Tabletext"/>
            </w:pPr>
            <w:r w:rsidRPr="009D1691">
              <w:t>23.8%</w:t>
            </w:r>
          </w:p>
        </w:tc>
      </w:tr>
    </w:tbl>
    <w:p w:rsidR="00E92189" w:rsidRDefault="00E92189" w:rsidP="00E92189">
      <w:pPr>
        <w:pStyle w:val="Heading2"/>
        <w:numPr>
          <w:ilvl w:val="0"/>
          <w:numId w:val="0"/>
        </w:numPr>
        <w:ind w:left="1002"/>
      </w:pPr>
    </w:p>
    <w:p w:rsidR="00891A88" w:rsidRPr="0089015F" w:rsidRDefault="00891A88" w:rsidP="00891A88">
      <w:pPr>
        <w:pStyle w:val="Heading2"/>
      </w:pPr>
      <w:bookmarkStart w:id="70" w:name="_Toc433026844"/>
      <w:r w:rsidRPr="0089015F">
        <w:t>ACT</w:t>
      </w:r>
      <w:bookmarkEnd w:id="70"/>
    </w:p>
    <w:p w:rsidR="00891A88" w:rsidRDefault="00891A88" w:rsidP="00891A88">
      <w:pPr>
        <w:pStyle w:val="Heading3"/>
      </w:pPr>
      <w:bookmarkStart w:id="71" w:name="_Toc432765991"/>
      <w:bookmarkStart w:id="72" w:name="_Toc433026845"/>
      <w:r>
        <w:t xml:space="preserve">Energy </w:t>
      </w:r>
      <w:bookmarkEnd w:id="71"/>
      <w:bookmarkEnd w:id="72"/>
      <w:r w:rsidR="001C01EE">
        <w:t>prices and bills</w:t>
      </w:r>
    </w:p>
    <w:p w:rsidR="00891A88" w:rsidRPr="0089015F" w:rsidRDefault="00891A88" w:rsidP="00891A88">
      <w:r w:rsidRPr="0089015F">
        <w:t>The ACT has one electricity and one gas distribution zone (both ActewAGL distribution). ActewAGL Retail is the incumbent retailer for energy, water and telecommunications, and supplies around 95 per cent of residential electricity and gas customers. There are two other retailers offering energy contracts to customers in the ACT.</w:t>
      </w:r>
    </w:p>
    <w:p w:rsidR="00891A88" w:rsidRPr="0089015F" w:rsidRDefault="00891A88" w:rsidP="00891A88">
      <w:r w:rsidRPr="0089015F">
        <w:t xml:space="preserve">As noted earlier in this report, the entry of Origin Energy into the ACT retail energy market in late 2014 provided households with an additional range of market offers, containing various </w:t>
      </w:r>
      <w:r w:rsidRPr="0089015F">
        <w:lastRenderedPageBreak/>
        <w:t xml:space="preserve">conditional discounts. Some of ActewAGL’s customers also switched from standing offers to market offers in the 12 months to June 2015. </w:t>
      </w:r>
    </w:p>
    <w:p w:rsidR="00891A88" w:rsidRPr="0089015F" w:rsidRDefault="00891A88" w:rsidP="00891A88">
      <w:r w:rsidRPr="0089015F">
        <w:t xml:space="preserve">Figure 3.16 shows the range in generally available electricity and gas offers in the ACT. The cheapest market offer for electricity ($1117) was almost $300 cheaper than the most expensive market offer ($1413) and over $200 cheaper than the median standing offer ($1344). Figure 3.16 also shows a range of $268 between the cheapest ($1397) and most expensive ($1665) gas bills.  </w:t>
      </w:r>
    </w:p>
    <w:p w:rsidR="00891A88" w:rsidRPr="00FA2E79" w:rsidRDefault="00891A88" w:rsidP="00891A88">
      <w:pPr>
        <w:pStyle w:val="Tabletitle"/>
      </w:pPr>
      <w:r w:rsidRPr="00FA2E79">
        <w:t>Figure 3.16: Range of generally available electricity and gas offers by distribution zone (5600 kWh and 48 000 MJ) – June 2015</w:t>
      </w:r>
    </w:p>
    <w:p w:rsidR="00891A88" w:rsidRPr="003F12A6" w:rsidRDefault="00891A88" w:rsidP="00891A88">
      <w:r w:rsidRPr="003F12A6">
        <w:rPr>
          <w:noProof/>
          <w:lang w:eastAsia="en-AU"/>
        </w:rPr>
        <w:drawing>
          <wp:inline distT="0" distB="0" distL="0" distR="0" wp14:anchorId="5963E494" wp14:editId="6844F2D5">
            <wp:extent cx="5760000" cy="4370400"/>
            <wp:effectExtent l="0" t="0" r="0" b="0"/>
            <wp:docPr id="34" name="Picture 34" descr="For electricity, the annual bill for the median standing offer was $1344, whilst the median market offer was $1200 ($144 cheaper). The median standing gas offer was $80 more expensive than the standing offer. " title="Fig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00" cy="4370400"/>
                    </a:xfrm>
                    <a:prstGeom prst="rect">
                      <a:avLst/>
                    </a:prstGeom>
                    <a:noFill/>
                  </pic:spPr>
                </pic:pic>
              </a:graphicData>
            </a:graphic>
          </wp:inline>
        </w:drawing>
      </w:r>
    </w:p>
    <w:p w:rsidR="00891A88" w:rsidRPr="00324E2F" w:rsidRDefault="00891A88" w:rsidP="00891A88">
      <w:pPr>
        <w:pStyle w:val="Heading3"/>
      </w:pPr>
      <w:bookmarkStart w:id="73" w:name="_Toc432765992"/>
      <w:bookmarkStart w:id="74" w:name="_Toc433026846"/>
      <w:r w:rsidRPr="00324E2F">
        <w:t>Electricity and gas bills as a percentage of income</w:t>
      </w:r>
      <w:bookmarkEnd w:id="73"/>
      <w:bookmarkEnd w:id="74"/>
    </w:p>
    <w:p w:rsidR="00891A88" w:rsidRPr="003F12A6" w:rsidRDefault="00891A88" w:rsidP="00891A88">
      <w:r w:rsidRPr="0089015F">
        <w:t>The main energy concession available in the ACT is for both electricity and gas, and is calculated daily, with rates depending on the season.</w:t>
      </w:r>
      <w:r w:rsidRPr="00891A88">
        <w:rPr>
          <w:rStyle w:val="Superscript"/>
        </w:rPr>
        <w:footnoteReference w:id="43"/>
      </w:r>
      <w:r w:rsidRPr="003F12A6">
        <w:t xml:space="preserve"> The annual rebate amount in 2014-15 is $338.21. There is also the Utility Concession that can be used towards electricity, gas and water bills, which provided a maximum rebate of $88.25 in 2014-15.</w:t>
      </w:r>
    </w:p>
    <w:p w:rsidR="00891A88" w:rsidRPr="0089015F" w:rsidRDefault="00891A88" w:rsidP="00891A88">
      <w:r w:rsidRPr="0089015F">
        <w:lastRenderedPageBreak/>
        <w:t xml:space="preserve">Our analysis assumed that customers eligible for this concession (annual amount of $338.21) applied half towards their electricity bill and half towards their gas bill. Furthermore, we assumed that the utility concession (annual amount of $88.25) was equally divided across a customer’s electricity, gas and water bills. We therefore deducted $198.52 from both the annual electricity and gas bills in our analysis to show the impact of concessions (figure 3.17). </w:t>
      </w:r>
    </w:p>
    <w:p w:rsidR="00891A88" w:rsidRPr="00FA2E79" w:rsidRDefault="00891A88" w:rsidP="00891A88">
      <w:pPr>
        <w:pStyle w:val="Tabletitle"/>
      </w:pPr>
      <w:r w:rsidRPr="00FA2E79">
        <w:t>Figure 3.17: Annual electricity and gas bills, and as a share of disposable income for a benchmark low income household (5600 kWh and 48 000 MJ)</w:t>
      </w:r>
    </w:p>
    <w:p w:rsidR="00891A88" w:rsidRPr="003F12A6" w:rsidRDefault="00891A88" w:rsidP="00891A88">
      <w:r w:rsidRPr="003F12A6">
        <w:rPr>
          <w:noProof/>
          <w:lang w:eastAsia="en-AU"/>
        </w:rPr>
        <w:drawing>
          <wp:inline distT="0" distB="0" distL="0" distR="0" wp14:anchorId="3824B2E4" wp14:editId="72EFA2AD">
            <wp:extent cx="5760000" cy="3826800"/>
            <wp:effectExtent l="0" t="0" r="0" b="2540"/>
            <wp:docPr id="35" name="Picture 35" descr="The annual electricity bill was $1200 for a low income household on the median market offer (or $1001 with a concession). The annual bill for the median standing offer was greater, at $1344 (or $1146 with a concession). A low income household on the median market offer and receiving an energy concession would spend 3 per cent of its disposable income on electricity (or 3.6 per cent without a concession). For the median standing offer, the annual electricity bill would comprise 3.5 per cent of a low income household’s disposable income (receiving a concession), or 4.1 per cent without a concession.&#10;The annual gas bill was $1532 for a low income household on the median market offer (or $1333 with a concession). This represents 4.6 per cent of disposable income (4 per cent with a concession). &#10;" title="Fig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00" cy="3826800"/>
                    </a:xfrm>
                    <a:prstGeom prst="rect">
                      <a:avLst/>
                    </a:prstGeom>
                    <a:noFill/>
                  </pic:spPr>
                </pic:pic>
              </a:graphicData>
            </a:graphic>
          </wp:inline>
        </w:drawing>
      </w:r>
    </w:p>
    <w:p w:rsidR="00891A88" w:rsidRPr="0089015F" w:rsidRDefault="00891A88" w:rsidP="00891A88">
      <w:r w:rsidRPr="0089015F">
        <w:t>The annual electricity bill was $1200 for a low income household on the median market offer (or $1001 with a concession). The annual bill for the median standing offer was greater, at $1344 (or $1146 with a concession). A low income household on the median market offer and receiving an energy concession would spend 3 per cent of its disposable income on electricity (or 3.6 per cent without a concession). For the median standing offer, the annual electricity bill would comprise 3.5 per cent of a low income household’s disposable income (receiving a concession), or 4.1 per cent without a concession.</w:t>
      </w:r>
    </w:p>
    <w:p w:rsidR="00891A88" w:rsidRPr="0089015F" w:rsidRDefault="00891A88" w:rsidP="00891A88">
      <w:r w:rsidRPr="0089015F">
        <w:t>Annual electricity bills for the median market offer decreased by 15 per cent in 2015 when compared to 2014. Electricity bills for the standing offer decreased by 3 per cent over the same period. Annual electricity bills for market offers have decreased to totals below those from June 2013.</w:t>
      </w:r>
    </w:p>
    <w:p w:rsidR="00891A88" w:rsidRPr="0089015F" w:rsidRDefault="00891A88" w:rsidP="00891A88">
      <w:r w:rsidRPr="0089015F">
        <w:t xml:space="preserve">The annual gas bill was $1532 for a low income household on the median market offer (or $1333 with a concession). This represents 4.6 per cent of disposable income (4 per cent with a concession). </w:t>
      </w:r>
    </w:p>
    <w:p w:rsidR="00891A88" w:rsidRPr="0089015F" w:rsidRDefault="00891A88" w:rsidP="00891A88">
      <w:r w:rsidRPr="0089015F">
        <w:lastRenderedPageBreak/>
        <w:t xml:space="preserve">The median market offer for both electricity and gas was cheaper than the median standing offer, whereas in previous years it was the opposite. This is likely due to the emergence of competition and Origin Energy’s use of conditional discounts. </w:t>
      </w:r>
    </w:p>
    <w:p w:rsidR="00891A88" w:rsidRPr="0089015F" w:rsidRDefault="00891A88" w:rsidP="00891A88">
      <w:r w:rsidRPr="0089015F">
        <w:t>A middle income household consuming 7500 kWh per annum in the ACT spent 1.5 per cent of its disposable income on electricity. This would account for 0.7 per cent of a high income household’s disposable income (table 3.</w:t>
      </w:r>
      <w:r w:rsidR="00E8677A" w:rsidRPr="0089015F">
        <w:t>1</w:t>
      </w:r>
      <w:r w:rsidR="00E8677A">
        <w:t>1</w:t>
      </w:r>
      <w:r w:rsidRPr="0089015F">
        <w:t xml:space="preserve">). </w:t>
      </w:r>
    </w:p>
    <w:p w:rsidR="00891A88" w:rsidRPr="00FA2E79" w:rsidRDefault="00891A88" w:rsidP="00891A88">
      <w:pPr>
        <w:pStyle w:val="Tabletitle"/>
      </w:pPr>
      <w:r w:rsidRPr="00FA2E79">
        <w:t>Table 3.</w:t>
      </w:r>
      <w:r w:rsidR="00E8677A" w:rsidRPr="00FA2E79">
        <w:t>1</w:t>
      </w:r>
      <w:r w:rsidR="00E8677A">
        <w:t>1</w:t>
      </w:r>
      <w:r w:rsidRPr="00FA2E79">
        <w:t>: Summary of annual electricity and gas bills (for the median market offer) and as a share of disposable income – June 2015</w:t>
      </w:r>
    </w:p>
    <w:tbl>
      <w:tblPr>
        <w:tblW w:w="0" w:type="auto"/>
        <w:tblLook w:val="04A0" w:firstRow="1" w:lastRow="0" w:firstColumn="1" w:lastColumn="0" w:noHBand="0" w:noVBand="1"/>
      </w:tblPr>
      <w:tblGrid>
        <w:gridCol w:w="3369"/>
        <w:gridCol w:w="2268"/>
        <w:gridCol w:w="1559"/>
        <w:gridCol w:w="2046"/>
      </w:tblGrid>
      <w:tr w:rsidR="00891A88" w:rsidRPr="0089015F" w:rsidTr="002F4D97">
        <w:tc>
          <w:tcPr>
            <w:tcW w:w="3369" w:type="dxa"/>
            <w:shd w:val="clear" w:color="auto" w:fill="F2F2F2" w:themeFill="background1" w:themeFillShade="F2"/>
          </w:tcPr>
          <w:p w:rsidR="00891A88" w:rsidRPr="009D1691" w:rsidRDefault="00891A88" w:rsidP="00E92189">
            <w:pPr>
              <w:pStyle w:val="Tabletext"/>
              <w:rPr>
                <w:rStyle w:val="Strong"/>
              </w:rPr>
            </w:pPr>
            <w:r w:rsidRPr="009D1691">
              <w:rPr>
                <w:rStyle w:val="Strong"/>
              </w:rPr>
              <w:t>Income level</w:t>
            </w:r>
          </w:p>
        </w:tc>
        <w:tc>
          <w:tcPr>
            <w:tcW w:w="2268" w:type="dxa"/>
            <w:shd w:val="clear" w:color="auto" w:fill="F2F2F2" w:themeFill="background1" w:themeFillShade="F2"/>
          </w:tcPr>
          <w:p w:rsidR="00891A88" w:rsidRPr="009D1691" w:rsidRDefault="00891A88" w:rsidP="00E92189">
            <w:pPr>
              <w:pStyle w:val="Tabletext"/>
              <w:rPr>
                <w:rStyle w:val="Strong"/>
              </w:rPr>
            </w:pPr>
            <w:r w:rsidRPr="009D1691">
              <w:rPr>
                <w:rStyle w:val="Strong"/>
              </w:rPr>
              <w:t>Annual consumption</w:t>
            </w:r>
          </w:p>
        </w:tc>
        <w:tc>
          <w:tcPr>
            <w:tcW w:w="1559" w:type="dxa"/>
            <w:shd w:val="clear" w:color="auto" w:fill="F2F2F2" w:themeFill="background1" w:themeFillShade="F2"/>
          </w:tcPr>
          <w:p w:rsidR="00891A88" w:rsidRPr="009D1691" w:rsidRDefault="00891A88" w:rsidP="00E92189">
            <w:pPr>
              <w:pStyle w:val="Tabletext"/>
              <w:rPr>
                <w:rStyle w:val="Strong"/>
              </w:rPr>
            </w:pPr>
            <w:r w:rsidRPr="009D1691">
              <w:rPr>
                <w:rStyle w:val="Strong"/>
              </w:rPr>
              <w:t xml:space="preserve">Annual bill ($) </w:t>
            </w:r>
          </w:p>
        </w:tc>
        <w:tc>
          <w:tcPr>
            <w:tcW w:w="2046" w:type="dxa"/>
            <w:shd w:val="clear" w:color="auto" w:fill="F2F2F2" w:themeFill="background1" w:themeFillShade="F2"/>
          </w:tcPr>
          <w:p w:rsidR="00891A88" w:rsidRPr="009D1691" w:rsidRDefault="00891A88" w:rsidP="00E92189">
            <w:pPr>
              <w:pStyle w:val="Tabletext"/>
              <w:rPr>
                <w:rStyle w:val="Strong"/>
              </w:rPr>
            </w:pPr>
            <w:r w:rsidRPr="009D1691">
              <w:rPr>
                <w:rStyle w:val="Strong"/>
              </w:rPr>
              <w:t>Proportion of annual income (%)</w:t>
            </w:r>
          </w:p>
        </w:tc>
      </w:tr>
      <w:tr w:rsidR="00891A88" w:rsidRPr="0089015F" w:rsidTr="002F4D97">
        <w:tc>
          <w:tcPr>
            <w:tcW w:w="3369" w:type="dxa"/>
            <w:tcBorders>
              <w:top w:val="single" w:sz="4" w:space="0" w:color="BFBFBF" w:themeColor="background1" w:themeShade="BF"/>
              <w:bottom w:val="single" w:sz="4" w:space="0" w:color="auto"/>
            </w:tcBorders>
          </w:tcPr>
          <w:p w:rsidR="00891A88" w:rsidRPr="003F12A6" w:rsidRDefault="00891A88" w:rsidP="00E92189">
            <w:pPr>
              <w:pStyle w:val="Tabletext"/>
            </w:pPr>
            <w:r w:rsidRPr="003F12A6">
              <w:t>Low income – with concession</w:t>
            </w:r>
          </w:p>
        </w:tc>
        <w:tc>
          <w:tcPr>
            <w:tcW w:w="2268"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Electricity 5600 kWh</w:t>
            </w:r>
          </w:p>
        </w:tc>
        <w:tc>
          <w:tcPr>
            <w:tcW w:w="1559"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1001</w:t>
            </w:r>
          </w:p>
        </w:tc>
        <w:tc>
          <w:tcPr>
            <w:tcW w:w="2046" w:type="dxa"/>
            <w:tcBorders>
              <w:top w:val="single" w:sz="4" w:space="0" w:color="BFBFBF" w:themeColor="background1" w:themeShade="BF"/>
              <w:bottom w:val="single" w:sz="4" w:space="0" w:color="auto"/>
            </w:tcBorders>
          </w:tcPr>
          <w:p w:rsidR="00891A88" w:rsidRPr="0089015F" w:rsidRDefault="00891A88" w:rsidP="00E92189">
            <w:pPr>
              <w:pStyle w:val="Tabletext"/>
            </w:pPr>
            <w:r w:rsidRPr="0089015F">
              <w:t>3.0</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Low income – without concession</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Electricity 5600 kWh</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1200</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3.6</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Middle income</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Electricity 7500 kWh</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1481</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1.5</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High income</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Electricity 7500 kWh</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1481</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0.7</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Low income – with concession</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Gas 48 000 MJ</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1333</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4.0</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Low income – without concession</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Gas 48 000 MJ</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1532</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4.6</w:t>
            </w:r>
          </w:p>
        </w:tc>
      </w:tr>
      <w:tr w:rsidR="00891A88" w:rsidRPr="0089015F" w:rsidTr="002F4D97">
        <w:tc>
          <w:tcPr>
            <w:tcW w:w="3369" w:type="dxa"/>
            <w:tcBorders>
              <w:top w:val="single" w:sz="4" w:space="0" w:color="auto"/>
              <w:bottom w:val="single" w:sz="4" w:space="0" w:color="auto"/>
            </w:tcBorders>
          </w:tcPr>
          <w:p w:rsidR="00891A88" w:rsidRPr="003F12A6" w:rsidRDefault="00891A88" w:rsidP="00E92189">
            <w:pPr>
              <w:pStyle w:val="Tabletext"/>
            </w:pPr>
            <w:r w:rsidRPr="003F12A6">
              <w:t>Middle income</w:t>
            </w:r>
          </w:p>
        </w:tc>
        <w:tc>
          <w:tcPr>
            <w:tcW w:w="2268" w:type="dxa"/>
            <w:tcBorders>
              <w:top w:val="single" w:sz="4" w:space="0" w:color="auto"/>
              <w:bottom w:val="single" w:sz="4" w:space="0" w:color="auto"/>
            </w:tcBorders>
          </w:tcPr>
          <w:p w:rsidR="00891A88" w:rsidRPr="0089015F" w:rsidRDefault="00891A88" w:rsidP="00E92189">
            <w:pPr>
              <w:pStyle w:val="Tabletext"/>
            </w:pPr>
            <w:r w:rsidRPr="0089015F">
              <w:t>Gas 48 000 MJ</w:t>
            </w:r>
          </w:p>
        </w:tc>
        <w:tc>
          <w:tcPr>
            <w:tcW w:w="1559" w:type="dxa"/>
            <w:tcBorders>
              <w:top w:val="single" w:sz="4" w:space="0" w:color="auto"/>
              <w:bottom w:val="single" w:sz="4" w:space="0" w:color="auto"/>
            </w:tcBorders>
          </w:tcPr>
          <w:p w:rsidR="00891A88" w:rsidRPr="0089015F" w:rsidRDefault="00891A88" w:rsidP="00E92189">
            <w:pPr>
              <w:pStyle w:val="Tabletext"/>
            </w:pPr>
            <w:r w:rsidRPr="0089015F">
              <w:t>1532</w:t>
            </w:r>
          </w:p>
        </w:tc>
        <w:tc>
          <w:tcPr>
            <w:tcW w:w="2046" w:type="dxa"/>
            <w:tcBorders>
              <w:top w:val="single" w:sz="4" w:space="0" w:color="auto"/>
              <w:bottom w:val="single" w:sz="4" w:space="0" w:color="auto"/>
            </w:tcBorders>
          </w:tcPr>
          <w:p w:rsidR="00891A88" w:rsidRPr="0089015F" w:rsidRDefault="00891A88" w:rsidP="00E92189">
            <w:pPr>
              <w:pStyle w:val="Tabletext"/>
            </w:pPr>
            <w:r w:rsidRPr="0089015F">
              <w:t>1.6</w:t>
            </w:r>
          </w:p>
        </w:tc>
      </w:tr>
      <w:tr w:rsidR="00891A88" w:rsidRPr="0089015F" w:rsidTr="002F4D97">
        <w:tc>
          <w:tcPr>
            <w:tcW w:w="3369" w:type="dxa"/>
            <w:tcBorders>
              <w:top w:val="single" w:sz="4" w:space="0" w:color="auto"/>
              <w:bottom w:val="single" w:sz="4" w:space="0" w:color="BFBFBF" w:themeColor="background1" w:themeShade="BF"/>
            </w:tcBorders>
          </w:tcPr>
          <w:p w:rsidR="00891A88" w:rsidRPr="003F12A6" w:rsidRDefault="00891A88" w:rsidP="00E92189">
            <w:pPr>
              <w:pStyle w:val="Tabletext"/>
            </w:pPr>
            <w:r w:rsidRPr="003F12A6">
              <w:t>High income</w:t>
            </w:r>
          </w:p>
        </w:tc>
        <w:tc>
          <w:tcPr>
            <w:tcW w:w="2268"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Gas 48 000 MJ</w:t>
            </w:r>
          </w:p>
        </w:tc>
        <w:tc>
          <w:tcPr>
            <w:tcW w:w="1559"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1532</w:t>
            </w:r>
          </w:p>
        </w:tc>
        <w:tc>
          <w:tcPr>
            <w:tcW w:w="2046" w:type="dxa"/>
            <w:tcBorders>
              <w:top w:val="single" w:sz="4" w:space="0" w:color="auto"/>
              <w:bottom w:val="single" w:sz="4" w:space="0" w:color="BFBFBF" w:themeColor="background1" w:themeShade="BF"/>
            </w:tcBorders>
          </w:tcPr>
          <w:p w:rsidR="00891A88" w:rsidRPr="0089015F" w:rsidRDefault="00891A88" w:rsidP="00E92189">
            <w:pPr>
              <w:pStyle w:val="Tabletext"/>
            </w:pPr>
            <w:r w:rsidRPr="0089015F">
              <w:t>0.7</w:t>
            </w:r>
          </w:p>
        </w:tc>
      </w:tr>
    </w:tbl>
    <w:p w:rsidR="00891A88" w:rsidRPr="00324E2F" w:rsidRDefault="00891A88" w:rsidP="00891A88">
      <w:pPr>
        <w:pStyle w:val="Heading3"/>
      </w:pPr>
      <w:bookmarkStart w:id="75" w:name="_Toc432765993"/>
      <w:bookmarkStart w:id="76" w:name="_Toc433026847"/>
      <w:r w:rsidRPr="00324E2F">
        <w:t>Composition of energy bills and impact of concessions</w:t>
      </w:r>
      <w:bookmarkEnd w:id="75"/>
      <w:bookmarkEnd w:id="76"/>
    </w:p>
    <w:p w:rsidR="00E8677A" w:rsidRPr="00E8677A" w:rsidRDefault="00E8677A" w:rsidP="00E8677A">
      <w:r w:rsidRPr="00E8677A">
        <w:t>Table 3.</w:t>
      </w:r>
      <w:r>
        <w:t>12</w:t>
      </w:r>
      <w:r w:rsidRPr="00E8677A">
        <w:t xml:space="preserve"> shows the portions of low income household energy bills attributed to daily supply charges and energy use charges, as well as the savings provided by energy concessions.  </w:t>
      </w:r>
    </w:p>
    <w:p w:rsidR="00891A88" w:rsidRPr="0089015F" w:rsidRDefault="00891A88" w:rsidP="00891A88">
      <w:r w:rsidRPr="0089015F">
        <w:t xml:space="preserve">Daily supply charges for electricity were $319 per annum in 2015, which represents 27 per cent of a low income household’s annual electricity bill and around 1 per cent of its disposable income.  </w:t>
      </w:r>
    </w:p>
    <w:p w:rsidR="00891A88" w:rsidRPr="0089015F" w:rsidRDefault="00891A88" w:rsidP="00891A88">
      <w:r w:rsidRPr="0089015F">
        <w:t xml:space="preserve">Daily supply charges for gas were $268 per annum, which represents 18 per cent of a low income household’s annual gas bill and around 0.8 per cent of its disposable income. </w:t>
      </w:r>
    </w:p>
    <w:p w:rsidR="00891A88" w:rsidRPr="003F12A6" w:rsidRDefault="00891A88" w:rsidP="00891A88">
      <w:pPr>
        <w:rPr>
          <w:highlight w:val="yellow"/>
        </w:rPr>
      </w:pPr>
      <w:r w:rsidRPr="0089015F">
        <w:t>Energy concessions help eligible customers save 17 per cent on electricity and 13 per cent on gas. These concessions increased by 5 per cent in 2014-15.</w:t>
      </w:r>
    </w:p>
    <w:p w:rsidR="00E92189" w:rsidRDefault="00E92189" w:rsidP="00891A88">
      <w:pPr>
        <w:pStyle w:val="Tabletitle"/>
      </w:pPr>
    </w:p>
    <w:p w:rsidR="00E92189" w:rsidRDefault="00E92189" w:rsidP="00891A88">
      <w:pPr>
        <w:pStyle w:val="Tabletitle"/>
      </w:pPr>
    </w:p>
    <w:p w:rsidR="00197D65" w:rsidRDefault="00197D65" w:rsidP="00891A88">
      <w:pPr>
        <w:pStyle w:val="Tabletitle"/>
      </w:pPr>
    </w:p>
    <w:p w:rsidR="00891A88" w:rsidRDefault="00891A88" w:rsidP="00891A88">
      <w:pPr>
        <w:pStyle w:val="Tabletitle"/>
      </w:pPr>
      <w:r w:rsidRPr="00FA2E79">
        <w:lastRenderedPageBreak/>
        <w:t>Table 3.1</w:t>
      </w:r>
      <w:r w:rsidR="00E8677A">
        <w:t>2</w:t>
      </w:r>
      <w:r w:rsidRPr="00FA2E79">
        <w:t>: Composition of low income household energy bills (median market offer)</w:t>
      </w:r>
    </w:p>
    <w:tbl>
      <w:tblPr>
        <w:tblW w:w="9180" w:type="dxa"/>
        <w:tblLayout w:type="fixed"/>
        <w:tblLook w:val="04A0" w:firstRow="1" w:lastRow="0" w:firstColumn="1" w:lastColumn="0" w:noHBand="0" w:noVBand="1"/>
      </w:tblPr>
      <w:tblGrid>
        <w:gridCol w:w="2835"/>
        <w:gridCol w:w="959"/>
        <w:gridCol w:w="1417"/>
        <w:gridCol w:w="1843"/>
        <w:gridCol w:w="2126"/>
      </w:tblGrid>
      <w:tr w:rsidR="009D1691" w:rsidRPr="0089015F" w:rsidTr="007061F2">
        <w:tc>
          <w:tcPr>
            <w:tcW w:w="2835" w:type="dxa"/>
            <w:shd w:val="clear" w:color="auto" w:fill="F2F2F2" w:themeFill="background1" w:themeFillShade="F2"/>
          </w:tcPr>
          <w:p w:rsidR="009D1691" w:rsidRPr="009D1691" w:rsidRDefault="009D1691" w:rsidP="007061F2">
            <w:pPr>
              <w:pStyle w:val="Tabletext"/>
              <w:rPr>
                <w:rStyle w:val="Strong"/>
              </w:rPr>
            </w:pPr>
            <w:r w:rsidRPr="009D1691">
              <w:rPr>
                <w:rStyle w:val="Strong"/>
              </w:rPr>
              <w:t>Fuel type – consumption</w:t>
            </w:r>
          </w:p>
        </w:tc>
        <w:tc>
          <w:tcPr>
            <w:tcW w:w="959" w:type="dxa"/>
            <w:shd w:val="clear" w:color="auto" w:fill="F2F2F2" w:themeFill="background1" w:themeFillShade="F2"/>
          </w:tcPr>
          <w:p w:rsidR="009D1691" w:rsidRPr="009D1691" w:rsidRDefault="009D1691" w:rsidP="007061F2">
            <w:pPr>
              <w:pStyle w:val="Tabletext"/>
              <w:rPr>
                <w:rStyle w:val="Strong"/>
              </w:rPr>
            </w:pPr>
            <w:r w:rsidRPr="009D1691">
              <w:rPr>
                <w:rStyle w:val="Strong"/>
              </w:rPr>
              <w:t>Year</w:t>
            </w:r>
          </w:p>
        </w:tc>
        <w:tc>
          <w:tcPr>
            <w:tcW w:w="1417" w:type="dxa"/>
            <w:shd w:val="clear" w:color="auto" w:fill="F2F2F2" w:themeFill="background1" w:themeFillShade="F2"/>
          </w:tcPr>
          <w:p w:rsidR="009D1691" w:rsidRPr="009D1691" w:rsidRDefault="009D1691" w:rsidP="007061F2">
            <w:pPr>
              <w:pStyle w:val="Tabletext"/>
              <w:rPr>
                <w:rStyle w:val="Strong"/>
              </w:rPr>
            </w:pPr>
            <w:r w:rsidRPr="009D1691">
              <w:rPr>
                <w:rStyle w:val="Strong"/>
              </w:rPr>
              <w:t>Daily supply charges (%)</w:t>
            </w:r>
          </w:p>
        </w:tc>
        <w:tc>
          <w:tcPr>
            <w:tcW w:w="1843" w:type="dxa"/>
            <w:shd w:val="clear" w:color="auto" w:fill="F2F2F2" w:themeFill="background1" w:themeFillShade="F2"/>
          </w:tcPr>
          <w:p w:rsidR="009D1691" w:rsidRPr="009D1691" w:rsidRDefault="009D1691" w:rsidP="007061F2">
            <w:pPr>
              <w:pStyle w:val="Tabletext"/>
              <w:rPr>
                <w:rStyle w:val="Strong"/>
              </w:rPr>
            </w:pPr>
            <w:r w:rsidRPr="009D1691">
              <w:rPr>
                <w:rStyle w:val="Strong"/>
              </w:rPr>
              <w:t>Energy use charges (%)</w:t>
            </w:r>
          </w:p>
        </w:tc>
        <w:tc>
          <w:tcPr>
            <w:tcW w:w="2126" w:type="dxa"/>
            <w:shd w:val="clear" w:color="auto" w:fill="F2F2F2" w:themeFill="background1" w:themeFillShade="F2"/>
          </w:tcPr>
          <w:p w:rsidR="009D1691" w:rsidRPr="009D1691" w:rsidRDefault="009D1691" w:rsidP="007061F2">
            <w:pPr>
              <w:pStyle w:val="Tabletext"/>
              <w:rPr>
                <w:rStyle w:val="Strong"/>
              </w:rPr>
            </w:pPr>
            <w:r w:rsidRPr="009D1691">
              <w:rPr>
                <w:rStyle w:val="Strong"/>
              </w:rPr>
              <w:t>Saving with concession (%)</w:t>
            </w:r>
          </w:p>
        </w:tc>
      </w:tr>
      <w:tr w:rsidR="009D1691" w:rsidRPr="0089015F" w:rsidTr="007061F2">
        <w:tc>
          <w:tcPr>
            <w:tcW w:w="2835" w:type="dxa"/>
          </w:tcPr>
          <w:p w:rsidR="009D1691" w:rsidRPr="009D1691" w:rsidRDefault="009D1691" w:rsidP="007061F2">
            <w:pPr>
              <w:pStyle w:val="Tabletext"/>
            </w:pPr>
            <w:r w:rsidRPr="009D1691">
              <w:t>Electricity – 5600 kWh</w:t>
            </w:r>
          </w:p>
        </w:tc>
        <w:tc>
          <w:tcPr>
            <w:tcW w:w="959" w:type="dxa"/>
            <w:tcBorders>
              <w:top w:val="single" w:sz="4" w:space="0" w:color="BFBFBF" w:themeColor="background1" w:themeShade="BF"/>
              <w:bottom w:val="single" w:sz="4" w:space="0" w:color="auto"/>
            </w:tcBorders>
          </w:tcPr>
          <w:p w:rsidR="009D1691" w:rsidRPr="009D1691" w:rsidRDefault="009D1691" w:rsidP="007061F2">
            <w:pPr>
              <w:pStyle w:val="Tabletext"/>
            </w:pPr>
            <w:r w:rsidRPr="009D1691">
              <w:t>2013</w:t>
            </w:r>
          </w:p>
        </w:tc>
        <w:tc>
          <w:tcPr>
            <w:tcW w:w="1417" w:type="dxa"/>
            <w:tcBorders>
              <w:top w:val="single" w:sz="4" w:space="0" w:color="BFBFBF" w:themeColor="background1" w:themeShade="BF"/>
              <w:bottom w:val="single" w:sz="4" w:space="0" w:color="auto"/>
            </w:tcBorders>
          </w:tcPr>
          <w:p w:rsidR="009D1691" w:rsidRPr="009D1691" w:rsidRDefault="009D1691" w:rsidP="007061F2">
            <w:pPr>
              <w:pStyle w:val="Tabletext"/>
            </w:pPr>
            <w:r w:rsidRPr="009D1691">
              <w:t>29.0%</w:t>
            </w:r>
          </w:p>
        </w:tc>
        <w:tc>
          <w:tcPr>
            <w:tcW w:w="1843" w:type="dxa"/>
            <w:tcBorders>
              <w:top w:val="single" w:sz="4" w:space="0" w:color="BFBFBF" w:themeColor="background1" w:themeShade="BF"/>
              <w:bottom w:val="single" w:sz="4" w:space="0" w:color="auto"/>
            </w:tcBorders>
          </w:tcPr>
          <w:p w:rsidR="009D1691" w:rsidRPr="009D1691" w:rsidRDefault="009D1691" w:rsidP="007061F2">
            <w:pPr>
              <w:pStyle w:val="Tabletext"/>
            </w:pPr>
            <w:r w:rsidRPr="009D1691">
              <w:t>71.0%</w:t>
            </w:r>
          </w:p>
        </w:tc>
        <w:tc>
          <w:tcPr>
            <w:tcW w:w="2126" w:type="dxa"/>
            <w:tcBorders>
              <w:top w:val="single" w:sz="4" w:space="0" w:color="BFBFBF" w:themeColor="background1" w:themeShade="BF"/>
              <w:bottom w:val="single" w:sz="4" w:space="0" w:color="auto"/>
            </w:tcBorders>
          </w:tcPr>
          <w:p w:rsidR="009D1691" w:rsidRPr="009D1691" w:rsidRDefault="009D1691" w:rsidP="007061F2">
            <w:pPr>
              <w:pStyle w:val="Tabletext"/>
            </w:pPr>
            <w:r w:rsidRPr="009D1691">
              <w:t>12.8%</w:t>
            </w:r>
          </w:p>
        </w:tc>
      </w:tr>
      <w:tr w:rsidR="009D1691" w:rsidRPr="0089015F" w:rsidTr="007061F2">
        <w:tc>
          <w:tcPr>
            <w:tcW w:w="2835" w:type="dxa"/>
            <w:tcBorders>
              <w:bottom w:val="nil"/>
            </w:tcBorders>
          </w:tcPr>
          <w:p w:rsidR="009D1691" w:rsidRPr="009D1691" w:rsidRDefault="009D1691" w:rsidP="007061F2">
            <w:pPr>
              <w:pStyle w:val="Tabletext"/>
            </w:pPr>
          </w:p>
        </w:tc>
        <w:tc>
          <w:tcPr>
            <w:tcW w:w="959" w:type="dxa"/>
            <w:tcBorders>
              <w:top w:val="single" w:sz="4" w:space="0" w:color="auto"/>
              <w:bottom w:val="single" w:sz="4" w:space="0" w:color="auto"/>
            </w:tcBorders>
          </w:tcPr>
          <w:p w:rsidR="009D1691" w:rsidRPr="009D1691" w:rsidRDefault="009D1691" w:rsidP="007061F2">
            <w:pPr>
              <w:pStyle w:val="Tabletext"/>
            </w:pPr>
            <w:r w:rsidRPr="009D1691">
              <w:t>2014</w:t>
            </w:r>
          </w:p>
        </w:tc>
        <w:tc>
          <w:tcPr>
            <w:tcW w:w="1417" w:type="dxa"/>
            <w:tcBorders>
              <w:top w:val="single" w:sz="4" w:space="0" w:color="auto"/>
              <w:bottom w:val="single" w:sz="4" w:space="0" w:color="auto"/>
            </w:tcBorders>
          </w:tcPr>
          <w:p w:rsidR="009D1691" w:rsidRPr="009D1691" w:rsidRDefault="009D1691" w:rsidP="007061F2">
            <w:pPr>
              <w:pStyle w:val="Tabletext"/>
            </w:pPr>
            <w:r w:rsidRPr="009D1691">
              <w:t>19.9%</w:t>
            </w:r>
          </w:p>
        </w:tc>
        <w:tc>
          <w:tcPr>
            <w:tcW w:w="1843" w:type="dxa"/>
            <w:tcBorders>
              <w:top w:val="single" w:sz="4" w:space="0" w:color="auto"/>
              <w:bottom w:val="single" w:sz="4" w:space="0" w:color="auto"/>
            </w:tcBorders>
          </w:tcPr>
          <w:p w:rsidR="009D1691" w:rsidRPr="009D1691" w:rsidRDefault="009D1691" w:rsidP="007061F2">
            <w:pPr>
              <w:pStyle w:val="Tabletext"/>
            </w:pPr>
            <w:r w:rsidRPr="009D1691">
              <w:t>80.1%</w:t>
            </w:r>
          </w:p>
        </w:tc>
        <w:tc>
          <w:tcPr>
            <w:tcW w:w="2126" w:type="dxa"/>
            <w:tcBorders>
              <w:top w:val="single" w:sz="4" w:space="0" w:color="auto"/>
              <w:bottom w:val="single" w:sz="4" w:space="0" w:color="auto"/>
            </w:tcBorders>
          </w:tcPr>
          <w:p w:rsidR="009D1691" w:rsidRPr="009D1691" w:rsidRDefault="009D1691" w:rsidP="007061F2">
            <w:pPr>
              <w:pStyle w:val="Tabletext"/>
            </w:pPr>
            <w:r w:rsidRPr="009D1691">
              <w:t>13.4%</w:t>
            </w:r>
          </w:p>
        </w:tc>
      </w:tr>
      <w:tr w:rsidR="009D1691" w:rsidRPr="0089015F" w:rsidTr="007061F2">
        <w:tc>
          <w:tcPr>
            <w:tcW w:w="2835" w:type="dxa"/>
            <w:tcBorders>
              <w:top w:val="nil"/>
              <w:bottom w:val="single" w:sz="4" w:space="0" w:color="auto"/>
            </w:tcBorders>
          </w:tcPr>
          <w:p w:rsidR="009D1691" w:rsidRPr="009D1691" w:rsidRDefault="009D1691" w:rsidP="007061F2">
            <w:pPr>
              <w:pStyle w:val="Tabletext"/>
            </w:pPr>
          </w:p>
        </w:tc>
        <w:tc>
          <w:tcPr>
            <w:tcW w:w="959" w:type="dxa"/>
            <w:tcBorders>
              <w:top w:val="single" w:sz="4" w:space="0" w:color="auto"/>
              <w:bottom w:val="single" w:sz="4" w:space="0" w:color="auto"/>
            </w:tcBorders>
          </w:tcPr>
          <w:p w:rsidR="009D1691" w:rsidRPr="009D1691" w:rsidRDefault="009D1691" w:rsidP="007061F2">
            <w:pPr>
              <w:pStyle w:val="Tabletext"/>
            </w:pPr>
            <w:r w:rsidRPr="009D1691">
              <w:t>2015</w:t>
            </w:r>
          </w:p>
        </w:tc>
        <w:tc>
          <w:tcPr>
            <w:tcW w:w="1417" w:type="dxa"/>
            <w:tcBorders>
              <w:top w:val="single" w:sz="4" w:space="0" w:color="auto"/>
              <w:bottom w:val="single" w:sz="4" w:space="0" w:color="auto"/>
            </w:tcBorders>
          </w:tcPr>
          <w:p w:rsidR="009D1691" w:rsidRPr="009D1691" w:rsidRDefault="009D1691" w:rsidP="007061F2">
            <w:pPr>
              <w:pStyle w:val="Tabletext"/>
            </w:pPr>
            <w:r w:rsidRPr="009D1691">
              <w:t>26.6%</w:t>
            </w:r>
          </w:p>
        </w:tc>
        <w:tc>
          <w:tcPr>
            <w:tcW w:w="1843" w:type="dxa"/>
            <w:tcBorders>
              <w:top w:val="single" w:sz="4" w:space="0" w:color="auto"/>
              <w:bottom w:val="single" w:sz="4" w:space="0" w:color="auto"/>
            </w:tcBorders>
          </w:tcPr>
          <w:p w:rsidR="009D1691" w:rsidRPr="009D1691" w:rsidRDefault="009D1691" w:rsidP="007061F2">
            <w:pPr>
              <w:pStyle w:val="Tabletext"/>
            </w:pPr>
            <w:r w:rsidRPr="009D1691">
              <w:t>73.4%</w:t>
            </w:r>
          </w:p>
        </w:tc>
        <w:tc>
          <w:tcPr>
            <w:tcW w:w="2126" w:type="dxa"/>
            <w:tcBorders>
              <w:top w:val="single" w:sz="4" w:space="0" w:color="auto"/>
              <w:bottom w:val="single" w:sz="4" w:space="0" w:color="auto"/>
            </w:tcBorders>
          </w:tcPr>
          <w:p w:rsidR="009D1691" w:rsidRPr="009D1691" w:rsidRDefault="009D1691" w:rsidP="007061F2">
            <w:pPr>
              <w:pStyle w:val="Tabletext"/>
            </w:pPr>
            <w:r w:rsidRPr="009D1691">
              <w:t>16.5%</w:t>
            </w:r>
          </w:p>
        </w:tc>
      </w:tr>
      <w:tr w:rsidR="009D1691" w:rsidRPr="0089015F" w:rsidTr="007061F2">
        <w:tc>
          <w:tcPr>
            <w:tcW w:w="2835" w:type="dxa"/>
            <w:tcBorders>
              <w:top w:val="single" w:sz="4" w:space="0" w:color="auto"/>
            </w:tcBorders>
          </w:tcPr>
          <w:p w:rsidR="009D1691" w:rsidRPr="009D1691" w:rsidRDefault="009D1691" w:rsidP="007061F2">
            <w:pPr>
              <w:pStyle w:val="Tabletext"/>
            </w:pPr>
            <w:r w:rsidRPr="009D1691">
              <w:t>Gas – 24 000 MJ</w:t>
            </w:r>
          </w:p>
        </w:tc>
        <w:tc>
          <w:tcPr>
            <w:tcW w:w="959" w:type="dxa"/>
            <w:tcBorders>
              <w:top w:val="single" w:sz="4" w:space="0" w:color="auto"/>
              <w:bottom w:val="single" w:sz="4" w:space="0" w:color="auto"/>
            </w:tcBorders>
          </w:tcPr>
          <w:p w:rsidR="009D1691" w:rsidRPr="009D1691" w:rsidRDefault="009D1691" w:rsidP="007061F2">
            <w:pPr>
              <w:pStyle w:val="Tabletext"/>
            </w:pPr>
            <w:r w:rsidRPr="009D1691">
              <w:t>2013</w:t>
            </w:r>
          </w:p>
        </w:tc>
        <w:tc>
          <w:tcPr>
            <w:tcW w:w="1417" w:type="dxa"/>
            <w:tcBorders>
              <w:top w:val="single" w:sz="4" w:space="0" w:color="auto"/>
              <w:bottom w:val="single" w:sz="4" w:space="0" w:color="auto"/>
            </w:tcBorders>
          </w:tcPr>
          <w:p w:rsidR="009D1691" w:rsidRPr="009D1691" w:rsidRDefault="009D1691" w:rsidP="007061F2">
            <w:pPr>
              <w:pStyle w:val="Tabletext"/>
            </w:pPr>
            <w:r w:rsidRPr="009D1691">
              <w:t>17.8%</w:t>
            </w:r>
          </w:p>
        </w:tc>
        <w:tc>
          <w:tcPr>
            <w:tcW w:w="1843" w:type="dxa"/>
            <w:tcBorders>
              <w:top w:val="single" w:sz="4" w:space="0" w:color="auto"/>
              <w:bottom w:val="single" w:sz="4" w:space="0" w:color="auto"/>
            </w:tcBorders>
          </w:tcPr>
          <w:p w:rsidR="009D1691" w:rsidRPr="009D1691" w:rsidRDefault="009D1691" w:rsidP="007061F2">
            <w:pPr>
              <w:pStyle w:val="Tabletext"/>
            </w:pPr>
            <w:r w:rsidRPr="009D1691">
              <w:t>82.2%</w:t>
            </w:r>
          </w:p>
        </w:tc>
        <w:tc>
          <w:tcPr>
            <w:tcW w:w="2126" w:type="dxa"/>
            <w:tcBorders>
              <w:top w:val="single" w:sz="4" w:space="0" w:color="auto"/>
              <w:bottom w:val="single" w:sz="4" w:space="0" w:color="auto"/>
            </w:tcBorders>
          </w:tcPr>
          <w:p w:rsidR="009D1691" w:rsidRPr="009D1691" w:rsidRDefault="009D1691" w:rsidP="007061F2">
            <w:pPr>
              <w:pStyle w:val="Tabletext"/>
            </w:pPr>
            <w:r w:rsidRPr="009D1691">
              <w:t>12.1%</w:t>
            </w:r>
          </w:p>
        </w:tc>
      </w:tr>
      <w:tr w:rsidR="009D1691" w:rsidRPr="0089015F" w:rsidTr="007061F2">
        <w:tc>
          <w:tcPr>
            <w:tcW w:w="2835" w:type="dxa"/>
          </w:tcPr>
          <w:p w:rsidR="009D1691" w:rsidRPr="009D1691" w:rsidRDefault="009D1691" w:rsidP="007061F2">
            <w:pPr>
              <w:pStyle w:val="Tabletext"/>
            </w:pPr>
          </w:p>
        </w:tc>
        <w:tc>
          <w:tcPr>
            <w:tcW w:w="959" w:type="dxa"/>
            <w:tcBorders>
              <w:top w:val="single" w:sz="4" w:space="0" w:color="auto"/>
              <w:bottom w:val="single" w:sz="4" w:space="0" w:color="auto"/>
            </w:tcBorders>
          </w:tcPr>
          <w:p w:rsidR="009D1691" w:rsidRPr="009D1691" w:rsidRDefault="009D1691" w:rsidP="007061F2">
            <w:pPr>
              <w:pStyle w:val="Tabletext"/>
            </w:pPr>
            <w:r w:rsidRPr="009D1691">
              <w:t>2014</w:t>
            </w:r>
          </w:p>
        </w:tc>
        <w:tc>
          <w:tcPr>
            <w:tcW w:w="1417" w:type="dxa"/>
            <w:tcBorders>
              <w:top w:val="single" w:sz="4" w:space="0" w:color="auto"/>
              <w:bottom w:val="single" w:sz="4" w:space="0" w:color="auto"/>
            </w:tcBorders>
          </w:tcPr>
          <w:p w:rsidR="009D1691" w:rsidRPr="009D1691" w:rsidRDefault="009D1691" w:rsidP="007061F2">
            <w:pPr>
              <w:pStyle w:val="Tabletext"/>
            </w:pPr>
            <w:r w:rsidRPr="009D1691">
              <w:t>17.4%</w:t>
            </w:r>
          </w:p>
        </w:tc>
        <w:tc>
          <w:tcPr>
            <w:tcW w:w="1843" w:type="dxa"/>
            <w:tcBorders>
              <w:top w:val="single" w:sz="4" w:space="0" w:color="auto"/>
              <w:bottom w:val="single" w:sz="4" w:space="0" w:color="auto"/>
            </w:tcBorders>
          </w:tcPr>
          <w:p w:rsidR="009D1691" w:rsidRPr="009D1691" w:rsidRDefault="009D1691" w:rsidP="007061F2">
            <w:pPr>
              <w:pStyle w:val="Tabletext"/>
            </w:pPr>
            <w:r w:rsidRPr="009D1691">
              <w:t>82.6%</w:t>
            </w:r>
          </w:p>
        </w:tc>
        <w:tc>
          <w:tcPr>
            <w:tcW w:w="2126" w:type="dxa"/>
            <w:tcBorders>
              <w:top w:val="single" w:sz="4" w:space="0" w:color="auto"/>
              <w:bottom w:val="single" w:sz="4" w:space="0" w:color="auto"/>
            </w:tcBorders>
          </w:tcPr>
          <w:p w:rsidR="009D1691" w:rsidRPr="009D1691" w:rsidRDefault="009D1691" w:rsidP="007061F2">
            <w:pPr>
              <w:pStyle w:val="Tabletext"/>
            </w:pPr>
            <w:r w:rsidRPr="009D1691">
              <w:t>11.7%</w:t>
            </w:r>
          </w:p>
        </w:tc>
      </w:tr>
      <w:tr w:rsidR="009D1691" w:rsidRPr="0089015F" w:rsidTr="007061F2">
        <w:tc>
          <w:tcPr>
            <w:tcW w:w="2835" w:type="dxa"/>
            <w:tcBorders>
              <w:bottom w:val="single" w:sz="4" w:space="0" w:color="auto"/>
            </w:tcBorders>
          </w:tcPr>
          <w:p w:rsidR="009D1691" w:rsidRPr="009D1691" w:rsidRDefault="009D1691" w:rsidP="007061F2">
            <w:pPr>
              <w:pStyle w:val="Tabletext"/>
            </w:pPr>
          </w:p>
        </w:tc>
        <w:tc>
          <w:tcPr>
            <w:tcW w:w="959" w:type="dxa"/>
            <w:tcBorders>
              <w:top w:val="single" w:sz="4" w:space="0" w:color="auto"/>
              <w:bottom w:val="single" w:sz="4" w:space="0" w:color="auto"/>
            </w:tcBorders>
          </w:tcPr>
          <w:p w:rsidR="009D1691" w:rsidRPr="009D1691" w:rsidRDefault="009D1691" w:rsidP="007061F2">
            <w:pPr>
              <w:pStyle w:val="Tabletext"/>
            </w:pPr>
            <w:r w:rsidRPr="009D1691">
              <w:t>2015</w:t>
            </w:r>
          </w:p>
        </w:tc>
        <w:tc>
          <w:tcPr>
            <w:tcW w:w="1417" w:type="dxa"/>
            <w:tcBorders>
              <w:top w:val="single" w:sz="4" w:space="0" w:color="auto"/>
              <w:bottom w:val="single" w:sz="4" w:space="0" w:color="auto"/>
            </w:tcBorders>
          </w:tcPr>
          <w:p w:rsidR="009D1691" w:rsidRPr="009D1691" w:rsidRDefault="009D1691" w:rsidP="007061F2">
            <w:pPr>
              <w:pStyle w:val="Tabletext"/>
            </w:pPr>
            <w:r w:rsidRPr="009D1691">
              <w:t>17.5%</w:t>
            </w:r>
          </w:p>
        </w:tc>
        <w:tc>
          <w:tcPr>
            <w:tcW w:w="1843" w:type="dxa"/>
            <w:tcBorders>
              <w:top w:val="single" w:sz="4" w:space="0" w:color="auto"/>
              <w:bottom w:val="single" w:sz="4" w:space="0" w:color="auto"/>
            </w:tcBorders>
          </w:tcPr>
          <w:p w:rsidR="009D1691" w:rsidRPr="009D1691" w:rsidRDefault="009D1691" w:rsidP="007061F2">
            <w:pPr>
              <w:pStyle w:val="Tabletext"/>
            </w:pPr>
            <w:r w:rsidRPr="009D1691">
              <w:t>82.5%</w:t>
            </w:r>
          </w:p>
        </w:tc>
        <w:tc>
          <w:tcPr>
            <w:tcW w:w="2126" w:type="dxa"/>
            <w:tcBorders>
              <w:top w:val="single" w:sz="4" w:space="0" w:color="auto"/>
              <w:bottom w:val="single" w:sz="4" w:space="0" w:color="auto"/>
            </w:tcBorders>
          </w:tcPr>
          <w:p w:rsidR="009D1691" w:rsidRPr="009D1691" w:rsidRDefault="009D1691" w:rsidP="007061F2">
            <w:pPr>
              <w:pStyle w:val="Tabletext"/>
            </w:pPr>
            <w:r w:rsidRPr="009D1691">
              <w:t>13.0%</w:t>
            </w:r>
          </w:p>
        </w:tc>
      </w:tr>
    </w:tbl>
    <w:p w:rsidR="00164030" w:rsidRPr="00D94878" w:rsidRDefault="00164030" w:rsidP="00D94878">
      <w:pPr>
        <w:rPr>
          <w:rFonts w:eastAsiaTheme="majorEastAsia" w:cstheme="majorBidi"/>
          <w:color w:val="70635A"/>
          <w:sz w:val="36"/>
          <w:szCs w:val="28"/>
        </w:rPr>
      </w:pPr>
    </w:p>
    <w:p w:rsidR="002F4D97" w:rsidRDefault="002F4D97" w:rsidP="002F4D97">
      <w:pPr>
        <w:pStyle w:val="Heading1"/>
      </w:pPr>
      <w:bookmarkStart w:id="77" w:name="_Toc433026848"/>
      <w:bookmarkEnd w:id="0"/>
      <w:r>
        <w:lastRenderedPageBreak/>
        <w:t>Appendices</w:t>
      </w:r>
      <w:bookmarkEnd w:id="77"/>
    </w:p>
    <w:p w:rsidR="002F4D97" w:rsidRPr="002F4D97" w:rsidRDefault="002F4D97" w:rsidP="002F4D97">
      <w:r>
        <w:br w:type="page"/>
      </w:r>
    </w:p>
    <w:p w:rsidR="002F4D97" w:rsidRPr="00A2789F" w:rsidRDefault="002F4D97" w:rsidP="002F4D97">
      <w:pPr>
        <w:pStyle w:val="Heading2"/>
        <w:numPr>
          <w:ilvl w:val="0"/>
          <w:numId w:val="0"/>
        </w:numPr>
      </w:pPr>
      <w:bookmarkStart w:id="78" w:name="_Toc433026849"/>
      <w:r>
        <w:lastRenderedPageBreak/>
        <w:t xml:space="preserve">Appendix 1: </w:t>
      </w:r>
      <w:r>
        <w:tab/>
        <w:t>Customer profile of energy retailers</w:t>
      </w:r>
      <w:bookmarkEnd w:id="78"/>
      <w:r w:rsidRPr="00606F7C">
        <w:t xml:space="preserve"> </w:t>
      </w:r>
    </w:p>
    <w:tbl>
      <w:tblPr>
        <w:tblW w:w="0" w:type="auto"/>
        <w:tblBorders>
          <w:bottom w:val="single" w:sz="4" w:space="0" w:color="BFBFBF" w:themeColor="background1" w:themeShade="BF"/>
          <w:insideH w:val="single" w:sz="4" w:space="0" w:color="auto"/>
        </w:tblBorders>
        <w:tblLook w:val="04A0" w:firstRow="1" w:lastRow="0" w:firstColumn="1" w:lastColumn="0" w:noHBand="0" w:noVBand="1"/>
      </w:tblPr>
      <w:tblGrid>
        <w:gridCol w:w="3402"/>
        <w:gridCol w:w="1361"/>
        <w:gridCol w:w="1361"/>
        <w:gridCol w:w="1361"/>
        <w:gridCol w:w="1361"/>
      </w:tblGrid>
      <w:tr w:rsidR="002F4D97" w:rsidTr="002F4D97">
        <w:tc>
          <w:tcPr>
            <w:tcW w:w="3402" w:type="dxa"/>
            <w:tcBorders>
              <w:top w:val="nil"/>
              <w:bottom w:val="nil"/>
            </w:tcBorders>
            <w:shd w:val="clear" w:color="auto" w:fill="F2F2F2" w:themeFill="background1" w:themeFillShade="F2"/>
          </w:tcPr>
          <w:p w:rsidR="002F4D97" w:rsidRPr="002F4D97" w:rsidRDefault="002F4D97" w:rsidP="002F4D97">
            <w:pPr>
              <w:pStyle w:val="Tabletext"/>
              <w:rPr>
                <w:rStyle w:val="Strong"/>
              </w:rPr>
            </w:pPr>
          </w:p>
        </w:tc>
        <w:tc>
          <w:tcPr>
            <w:tcW w:w="2722" w:type="dxa"/>
            <w:gridSpan w:val="2"/>
            <w:tcBorders>
              <w:top w:val="nil"/>
              <w:bottom w:val="nil"/>
            </w:tcBorders>
            <w:shd w:val="clear" w:color="auto" w:fill="F2F2F2" w:themeFill="background1" w:themeFillShade="F2"/>
          </w:tcPr>
          <w:p w:rsidR="002F4D97" w:rsidRPr="002F4D97" w:rsidRDefault="002F4D97" w:rsidP="002F4D97">
            <w:pPr>
              <w:pStyle w:val="Tabletext"/>
              <w:rPr>
                <w:rStyle w:val="Strong"/>
              </w:rPr>
            </w:pPr>
            <w:r w:rsidRPr="002F4D97">
              <w:rPr>
                <w:rStyle w:val="Strong"/>
              </w:rPr>
              <w:t>Electricity</w:t>
            </w:r>
          </w:p>
        </w:tc>
        <w:tc>
          <w:tcPr>
            <w:tcW w:w="2722" w:type="dxa"/>
            <w:gridSpan w:val="2"/>
            <w:tcBorders>
              <w:top w:val="nil"/>
              <w:bottom w:val="nil"/>
            </w:tcBorders>
            <w:shd w:val="clear" w:color="auto" w:fill="F2F2F2" w:themeFill="background1" w:themeFillShade="F2"/>
          </w:tcPr>
          <w:p w:rsidR="002F4D97" w:rsidRPr="002F4D97" w:rsidRDefault="002F4D97" w:rsidP="002F4D97">
            <w:pPr>
              <w:pStyle w:val="Tabletext"/>
              <w:rPr>
                <w:rStyle w:val="Strong"/>
              </w:rPr>
            </w:pPr>
            <w:r w:rsidRPr="002F4D97">
              <w:rPr>
                <w:rStyle w:val="Strong"/>
              </w:rPr>
              <w:t>Gas</w:t>
            </w:r>
          </w:p>
        </w:tc>
      </w:tr>
      <w:tr w:rsidR="002F4D97" w:rsidTr="002F4D97">
        <w:tc>
          <w:tcPr>
            <w:tcW w:w="3402" w:type="dxa"/>
            <w:tcBorders>
              <w:top w:val="nil"/>
            </w:tcBorders>
            <w:shd w:val="clear" w:color="auto" w:fill="F2F2F2" w:themeFill="background1" w:themeFillShade="F2"/>
          </w:tcPr>
          <w:p w:rsidR="002F4D97" w:rsidRPr="002F4D97" w:rsidRDefault="002F4D97" w:rsidP="002F4D97">
            <w:pPr>
              <w:pStyle w:val="Tabletext"/>
              <w:rPr>
                <w:rStyle w:val="Strong"/>
              </w:rPr>
            </w:pPr>
            <w:r w:rsidRPr="002F4D97">
              <w:rPr>
                <w:rStyle w:val="Strong"/>
              </w:rPr>
              <w:t>Retailer</w:t>
            </w:r>
          </w:p>
        </w:tc>
        <w:tc>
          <w:tcPr>
            <w:tcW w:w="1361" w:type="dxa"/>
            <w:tcBorders>
              <w:top w:val="nil"/>
            </w:tcBorders>
            <w:shd w:val="clear" w:color="auto" w:fill="F2F2F2" w:themeFill="background1" w:themeFillShade="F2"/>
          </w:tcPr>
          <w:p w:rsidR="002F4D97" w:rsidRPr="002F4D97" w:rsidRDefault="002F4D97" w:rsidP="002F4D97">
            <w:pPr>
              <w:pStyle w:val="Tabletext"/>
              <w:rPr>
                <w:rStyle w:val="Strong"/>
              </w:rPr>
            </w:pPr>
            <w:r w:rsidRPr="002F4D97">
              <w:rPr>
                <w:rStyle w:val="Strong"/>
              </w:rPr>
              <w:t>Small customers</w:t>
            </w:r>
          </w:p>
        </w:tc>
        <w:tc>
          <w:tcPr>
            <w:tcW w:w="1361" w:type="dxa"/>
            <w:tcBorders>
              <w:top w:val="nil"/>
            </w:tcBorders>
            <w:shd w:val="clear" w:color="auto" w:fill="F2F2F2" w:themeFill="background1" w:themeFillShade="F2"/>
          </w:tcPr>
          <w:p w:rsidR="002F4D97" w:rsidRPr="002F4D97" w:rsidRDefault="002F4D97" w:rsidP="002F4D97">
            <w:pPr>
              <w:pStyle w:val="Tabletext"/>
              <w:rPr>
                <w:rStyle w:val="Strong"/>
              </w:rPr>
            </w:pPr>
            <w:r w:rsidRPr="002F4D97">
              <w:rPr>
                <w:rStyle w:val="Strong"/>
              </w:rPr>
              <w:t>Large customers</w:t>
            </w:r>
          </w:p>
        </w:tc>
        <w:tc>
          <w:tcPr>
            <w:tcW w:w="1361" w:type="dxa"/>
            <w:tcBorders>
              <w:top w:val="nil"/>
            </w:tcBorders>
            <w:shd w:val="clear" w:color="auto" w:fill="F2F2F2" w:themeFill="background1" w:themeFillShade="F2"/>
          </w:tcPr>
          <w:p w:rsidR="002F4D97" w:rsidRPr="002F4D97" w:rsidRDefault="002F4D97" w:rsidP="002F4D97">
            <w:pPr>
              <w:pStyle w:val="Tabletext"/>
              <w:rPr>
                <w:rStyle w:val="Strong"/>
              </w:rPr>
            </w:pPr>
            <w:r w:rsidRPr="002F4D97">
              <w:rPr>
                <w:rStyle w:val="Strong"/>
              </w:rPr>
              <w:t>Small customers</w:t>
            </w:r>
          </w:p>
        </w:tc>
        <w:tc>
          <w:tcPr>
            <w:tcW w:w="1361" w:type="dxa"/>
            <w:tcBorders>
              <w:top w:val="nil"/>
            </w:tcBorders>
            <w:shd w:val="clear" w:color="auto" w:fill="F2F2F2" w:themeFill="background1" w:themeFillShade="F2"/>
          </w:tcPr>
          <w:p w:rsidR="002F4D97" w:rsidRPr="002F4D97" w:rsidRDefault="002F4D97" w:rsidP="002F4D97">
            <w:pPr>
              <w:pStyle w:val="Tabletext"/>
              <w:rPr>
                <w:rStyle w:val="Strong"/>
              </w:rPr>
            </w:pPr>
            <w:r w:rsidRPr="002F4D97">
              <w:rPr>
                <w:rStyle w:val="Strong"/>
              </w:rPr>
              <w:t>Large customers</w:t>
            </w:r>
          </w:p>
        </w:tc>
      </w:tr>
      <w:tr w:rsidR="002F4D97" w:rsidTr="002F4D97">
        <w:trPr>
          <w:trHeight w:hRule="exact" w:val="510"/>
        </w:trPr>
        <w:tc>
          <w:tcPr>
            <w:tcW w:w="3402" w:type="dxa"/>
          </w:tcPr>
          <w:p w:rsidR="002F4D97" w:rsidRPr="002F4D97" w:rsidRDefault="002F4D97" w:rsidP="002F4D97">
            <w:pPr>
              <w:pStyle w:val="Tabletext"/>
              <w:rPr>
                <w:rStyle w:val="Strong"/>
              </w:rPr>
            </w:pPr>
            <w:r w:rsidRPr="002F4D97">
              <w:rPr>
                <w:rStyle w:val="Strong"/>
              </w:rPr>
              <w:t>New South Wales</w:t>
            </w:r>
          </w:p>
        </w:tc>
        <w:tc>
          <w:tcPr>
            <w:tcW w:w="1361" w:type="dxa"/>
          </w:tcPr>
          <w:p w:rsidR="002F4D97" w:rsidRDefault="002F4D97" w:rsidP="002F4D97">
            <w:pPr>
              <w:pStyle w:val="Tabletext"/>
            </w:pPr>
          </w:p>
        </w:tc>
        <w:tc>
          <w:tcPr>
            <w:tcW w:w="1361" w:type="dxa"/>
          </w:tcPr>
          <w:p w:rsidR="002F4D97" w:rsidRDefault="002F4D97" w:rsidP="002F4D97">
            <w:pPr>
              <w:pStyle w:val="Tabletext"/>
            </w:pPr>
          </w:p>
        </w:tc>
        <w:tc>
          <w:tcPr>
            <w:tcW w:w="1361" w:type="dxa"/>
          </w:tcPr>
          <w:p w:rsidR="002F4D97" w:rsidRDefault="002F4D97" w:rsidP="002F4D97">
            <w:pPr>
              <w:pStyle w:val="Tabletext"/>
            </w:pPr>
          </w:p>
        </w:tc>
        <w:tc>
          <w:tcPr>
            <w:tcW w:w="1361" w:type="dxa"/>
          </w:tcPr>
          <w:p w:rsidR="002F4D97"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ActewAGL</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r>
      <w:tr w:rsidR="002F4D97" w:rsidTr="002F4D97">
        <w:trPr>
          <w:trHeight w:hRule="exact" w:val="510"/>
        </w:trPr>
        <w:tc>
          <w:tcPr>
            <w:tcW w:w="3402" w:type="dxa"/>
          </w:tcPr>
          <w:p w:rsidR="002F4D97" w:rsidRPr="000949FD" w:rsidRDefault="002F4D97" w:rsidP="002F4D97">
            <w:pPr>
              <w:pStyle w:val="Tabletext"/>
            </w:pPr>
            <w:r w:rsidRPr="000949FD">
              <w:t>AGL</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r>
      <w:tr w:rsidR="002F4D97" w:rsidTr="002F4D97">
        <w:trPr>
          <w:trHeight w:hRule="exact" w:val="510"/>
        </w:trPr>
        <w:tc>
          <w:tcPr>
            <w:tcW w:w="3402" w:type="dxa"/>
          </w:tcPr>
          <w:p w:rsidR="002F4D97" w:rsidRPr="000949FD" w:rsidRDefault="002F4D97" w:rsidP="002F4D97">
            <w:pPr>
              <w:pStyle w:val="Tabletext"/>
            </w:pPr>
            <w:r w:rsidRPr="000949FD">
              <w:t>Alinta Energy</w:t>
            </w:r>
          </w:p>
        </w:tc>
        <w:tc>
          <w:tcPr>
            <w:tcW w:w="1361" w:type="dxa"/>
          </w:tcPr>
          <w:p w:rsidR="002F4D97" w:rsidRPr="00606F7C" w:rsidRDefault="002F4D97" w:rsidP="002F4D97">
            <w:pPr>
              <w:pStyle w:val="Tabletext"/>
            </w:pP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Blue NRG</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Click Energy</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CovaU</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COzero Energy Retail</w:t>
            </w:r>
          </w:p>
        </w:tc>
        <w:tc>
          <w:tcPr>
            <w:tcW w:w="1361" w:type="dxa"/>
          </w:tcPr>
          <w:p w:rsidR="002F4D97" w:rsidRDefault="002F4D97" w:rsidP="002F4D97">
            <w:pPr>
              <w:pStyle w:val="Tabletext"/>
            </w:pP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Diamond Energy</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EnergyAustralia</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r>
      <w:tr w:rsidR="002F4D97" w:rsidTr="002F4D97">
        <w:trPr>
          <w:trHeight w:hRule="exact" w:val="510"/>
        </w:trPr>
        <w:tc>
          <w:tcPr>
            <w:tcW w:w="3402" w:type="dxa"/>
          </w:tcPr>
          <w:p w:rsidR="002F4D97" w:rsidRPr="000949FD" w:rsidRDefault="002F4D97" w:rsidP="002F4D97">
            <w:pPr>
              <w:pStyle w:val="Tabletext"/>
            </w:pPr>
            <w:r w:rsidRPr="000949FD">
              <w:t>EnergyAustralia Yallourn</w:t>
            </w:r>
          </w:p>
        </w:tc>
        <w:tc>
          <w:tcPr>
            <w:tcW w:w="1361" w:type="dxa"/>
          </w:tcPr>
          <w:p w:rsidR="002F4D97" w:rsidRPr="00606F7C" w:rsidRDefault="002F4D97" w:rsidP="002F4D97">
            <w:pPr>
              <w:pStyle w:val="Tabletext"/>
            </w:pP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ERM Power Retail</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GoEnergy</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2F4D97" w:rsidRDefault="002F4D97" w:rsidP="002F4D97">
            <w:pPr>
              <w:pStyle w:val="Tabletext"/>
            </w:pPr>
            <w:r>
              <w:t>X</w:t>
            </w:r>
          </w:p>
        </w:tc>
      </w:tr>
      <w:tr w:rsidR="002F4D97" w:rsidTr="002F4D97">
        <w:trPr>
          <w:trHeight w:hRule="exact" w:val="510"/>
        </w:trPr>
        <w:tc>
          <w:tcPr>
            <w:tcW w:w="3402" w:type="dxa"/>
          </w:tcPr>
          <w:p w:rsidR="002F4D97" w:rsidRPr="000949FD" w:rsidRDefault="002F4D97" w:rsidP="002F4D97">
            <w:pPr>
              <w:pStyle w:val="Tabletext"/>
            </w:pPr>
            <w:r w:rsidRPr="000949FD">
              <w:t>Infigen Energy Markets</w:t>
            </w:r>
          </w:p>
        </w:tc>
        <w:tc>
          <w:tcPr>
            <w:tcW w:w="1361" w:type="dxa"/>
          </w:tcPr>
          <w:p w:rsidR="002F4D97" w:rsidRPr="00606F7C" w:rsidRDefault="002F4D97" w:rsidP="002F4D97">
            <w:pPr>
              <w:pStyle w:val="Tabletext"/>
            </w:pP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Lumo Energy</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r>
      <w:tr w:rsidR="002F4D97" w:rsidTr="002F4D97">
        <w:trPr>
          <w:trHeight w:hRule="exact" w:val="510"/>
        </w:trPr>
        <w:tc>
          <w:tcPr>
            <w:tcW w:w="3402" w:type="dxa"/>
          </w:tcPr>
          <w:p w:rsidR="002F4D97" w:rsidRPr="000949FD" w:rsidRDefault="002F4D97" w:rsidP="002F4D97">
            <w:pPr>
              <w:pStyle w:val="Tabletext"/>
            </w:pPr>
            <w:r w:rsidRPr="000949FD">
              <w:t>M2 Energy</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Macquarie Bank</w:t>
            </w:r>
          </w:p>
        </w:tc>
        <w:tc>
          <w:tcPr>
            <w:tcW w:w="1361" w:type="dxa"/>
          </w:tcPr>
          <w:p w:rsidR="002F4D97" w:rsidRDefault="002F4D97" w:rsidP="002F4D97">
            <w:pPr>
              <w:pStyle w:val="Tabletext"/>
            </w:pP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Momentum Energy</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Next Business Energy</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Origin Energy</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r>
      <w:tr w:rsidR="002F4D97" w:rsidTr="002F4D97">
        <w:trPr>
          <w:trHeight w:hRule="exact" w:val="510"/>
        </w:trPr>
        <w:tc>
          <w:tcPr>
            <w:tcW w:w="3402" w:type="dxa"/>
          </w:tcPr>
          <w:p w:rsidR="002F4D97" w:rsidRPr="000949FD" w:rsidRDefault="002F4D97" w:rsidP="002F4D97">
            <w:pPr>
              <w:pStyle w:val="Tabletext"/>
            </w:pPr>
            <w:r w:rsidRPr="000949FD">
              <w:t>Pooled Energy</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Powerdirect</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Powershop</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lastRenderedPageBreak/>
              <w:t>Progressive Green</w:t>
            </w:r>
          </w:p>
        </w:tc>
        <w:tc>
          <w:tcPr>
            <w:tcW w:w="1361" w:type="dxa"/>
          </w:tcPr>
          <w:p w:rsidR="002F4D97" w:rsidRPr="00606F7C" w:rsidRDefault="002F4D97" w:rsidP="002F4D97">
            <w:pPr>
              <w:pStyle w:val="Tabletext"/>
            </w:pP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QEnergy</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Red Energy</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Sanctuary Energy</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Simply Energy</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Stanwell</w:t>
            </w:r>
          </w:p>
        </w:tc>
        <w:tc>
          <w:tcPr>
            <w:tcW w:w="1361" w:type="dxa"/>
          </w:tcPr>
          <w:p w:rsidR="002F4D97" w:rsidRPr="00606F7C" w:rsidRDefault="002F4D97" w:rsidP="002F4D97">
            <w:pPr>
              <w:pStyle w:val="Tabletext"/>
            </w:pP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WINenergy</w:t>
            </w:r>
          </w:p>
        </w:tc>
        <w:tc>
          <w:tcPr>
            <w:tcW w:w="1361" w:type="dxa"/>
          </w:tcPr>
          <w:p w:rsidR="002F4D97" w:rsidRPr="00606F7C" w:rsidRDefault="002F4D97" w:rsidP="002F4D97">
            <w:pPr>
              <w:pStyle w:val="Tabletext"/>
            </w:pP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2F4D97" w:rsidRDefault="002F4D97" w:rsidP="002F4D97">
            <w:pPr>
              <w:pStyle w:val="Tabletext"/>
              <w:rPr>
                <w:rStyle w:val="Strong"/>
              </w:rPr>
            </w:pPr>
            <w:r w:rsidRPr="002F4D97">
              <w:rPr>
                <w:rStyle w:val="Strong"/>
              </w:rPr>
              <w:t>South Australia</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AGL</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r>
      <w:tr w:rsidR="002F4D97" w:rsidTr="002F4D97">
        <w:trPr>
          <w:trHeight w:hRule="exact" w:val="510"/>
        </w:trPr>
        <w:tc>
          <w:tcPr>
            <w:tcW w:w="3402" w:type="dxa"/>
          </w:tcPr>
          <w:p w:rsidR="002F4D97" w:rsidRPr="000949FD" w:rsidRDefault="002F4D97" w:rsidP="002F4D97">
            <w:pPr>
              <w:pStyle w:val="Tabletext"/>
            </w:pPr>
            <w:r w:rsidRPr="000949FD">
              <w:t>Alinta Energy</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COzero Energy Retail</w:t>
            </w:r>
          </w:p>
        </w:tc>
        <w:tc>
          <w:tcPr>
            <w:tcW w:w="1361" w:type="dxa"/>
          </w:tcPr>
          <w:p w:rsidR="002F4D97" w:rsidRPr="00606F7C" w:rsidRDefault="002F4D97" w:rsidP="002F4D97">
            <w:pPr>
              <w:pStyle w:val="Tabletext"/>
            </w:pP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Diamond Energy</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EnergyAustralia</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r>
      <w:tr w:rsidR="002F4D97" w:rsidTr="002F4D97">
        <w:trPr>
          <w:trHeight w:hRule="exact" w:val="510"/>
        </w:trPr>
        <w:tc>
          <w:tcPr>
            <w:tcW w:w="3402" w:type="dxa"/>
          </w:tcPr>
          <w:p w:rsidR="002F4D97" w:rsidRPr="000949FD" w:rsidRDefault="002F4D97" w:rsidP="002F4D97">
            <w:pPr>
              <w:pStyle w:val="Tabletext"/>
            </w:pPr>
            <w:r w:rsidRPr="000949FD">
              <w:t>EnergyAustralia Yallourn</w:t>
            </w:r>
          </w:p>
        </w:tc>
        <w:tc>
          <w:tcPr>
            <w:tcW w:w="1361" w:type="dxa"/>
          </w:tcPr>
          <w:p w:rsidR="002F4D97" w:rsidRPr="00606F7C" w:rsidRDefault="002F4D97" w:rsidP="002F4D97">
            <w:pPr>
              <w:pStyle w:val="Tabletext"/>
            </w:pP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ERM Power Retail</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Lumo Energy</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M2 Energy</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Macquarie Bank</w:t>
            </w:r>
          </w:p>
        </w:tc>
        <w:tc>
          <w:tcPr>
            <w:tcW w:w="1361" w:type="dxa"/>
          </w:tcPr>
          <w:p w:rsidR="002F4D97" w:rsidRDefault="002F4D97" w:rsidP="002F4D97">
            <w:pPr>
              <w:pStyle w:val="Tabletext"/>
            </w:pP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Momentum Energy</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Origin Energy</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r>
      <w:tr w:rsidR="002F4D97" w:rsidTr="002F4D97">
        <w:trPr>
          <w:trHeight w:hRule="exact" w:val="510"/>
        </w:trPr>
        <w:tc>
          <w:tcPr>
            <w:tcW w:w="3402" w:type="dxa"/>
          </w:tcPr>
          <w:p w:rsidR="002F4D97" w:rsidRPr="000949FD" w:rsidRDefault="002F4D97" w:rsidP="002F4D97">
            <w:pPr>
              <w:pStyle w:val="Tabletext"/>
            </w:pPr>
            <w:r w:rsidRPr="000949FD">
              <w:t>Pacific Hydro</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Powerdirect</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Progressive Green</w:t>
            </w:r>
          </w:p>
        </w:tc>
        <w:tc>
          <w:tcPr>
            <w:tcW w:w="1361" w:type="dxa"/>
          </w:tcPr>
          <w:p w:rsidR="002F4D97" w:rsidRPr="00606F7C" w:rsidRDefault="002F4D97" w:rsidP="002F4D97">
            <w:pPr>
              <w:pStyle w:val="Tabletext"/>
            </w:pP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QEnergy</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Red Energy</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Sanctuary Energy</w:t>
            </w:r>
          </w:p>
        </w:tc>
        <w:tc>
          <w:tcPr>
            <w:tcW w:w="1361" w:type="dxa"/>
          </w:tcPr>
          <w:p w:rsidR="002F4D97" w:rsidRPr="002F4D97" w:rsidRDefault="002F4D97" w:rsidP="002F4D97">
            <w:pPr>
              <w:pStyle w:val="Tabletext"/>
            </w:pPr>
            <w:r>
              <w:t>X</w:t>
            </w: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c>
          <w:tcPr>
            <w:tcW w:w="1361" w:type="dxa"/>
          </w:tcPr>
          <w:p w:rsidR="002F4D97" w:rsidRPr="00606F7C"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lastRenderedPageBreak/>
              <w:t>Simply Energy</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r>
      <w:tr w:rsidR="002F4D97" w:rsidTr="002F4D97">
        <w:trPr>
          <w:trHeight w:hRule="exact" w:val="510"/>
        </w:trPr>
        <w:tc>
          <w:tcPr>
            <w:tcW w:w="3402" w:type="dxa"/>
          </w:tcPr>
          <w:p w:rsidR="002F4D97" w:rsidRPr="000949FD" w:rsidRDefault="002F4D97" w:rsidP="002F4D97">
            <w:pPr>
              <w:pStyle w:val="Tabletext"/>
            </w:pPr>
            <w:r w:rsidRPr="000949FD">
              <w:t>WINenergy</w:t>
            </w:r>
          </w:p>
        </w:tc>
        <w:tc>
          <w:tcPr>
            <w:tcW w:w="1361" w:type="dxa"/>
          </w:tcPr>
          <w:p w:rsidR="002F4D97" w:rsidRPr="002F4D97" w:rsidRDefault="002F4D97" w:rsidP="002F4D97">
            <w:pPr>
              <w:pStyle w:val="Tabletext"/>
            </w:pPr>
            <w:r>
              <w:t>X</w:t>
            </w:r>
          </w:p>
        </w:tc>
        <w:tc>
          <w:tcPr>
            <w:tcW w:w="1361" w:type="dxa"/>
          </w:tcPr>
          <w:p w:rsidR="002F4D97" w:rsidRPr="00A174E2" w:rsidRDefault="002F4D97" w:rsidP="002F4D97">
            <w:pPr>
              <w:pStyle w:val="Tabletext"/>
            </w:pPr>
          </w:p>
        </w:tc>
        <w:tc>
          <w:tcPr>
            <w:tcW w:w="1361" w:type="dxa"/>
          </w:tcPr>
          <w:p w:rsidR="002F4D97" w:rsidRPr="00A174E2" w:rsidRDefault="002F4D97" w:rsidP="002F4D97">
            <w:pPr>
              <w:pStyle w:val="Tabletext"/>
            </w:pPr>
          </w:p>
        </w:tc>
        <w:tc>
          <w:tcPr>
            <w:tcW w:w="1361" w:type="dxa"/>
          </w:tcPr>
          <w:p w:rsidR="002F4D97" w:rsidRPr="00A174E2" w:rsidRDefault="002F4D97" w:rsidP="002F4D97">
            <w:pPr>
              <w:pStyle w:val="Tabletext"/>
            </w:pPr>
          </w:p>
        </w:tc>
      </w:tr>
      <w:tr w:rsidR="002F4D97" w:rsidTr="002F4D97">
        <w:trPr>
          <w:trHeight w:hRule="exact" w:val="510"/>
        </w:trPr>
        <w:tc>
          <w:tcPr>
            <w:tcW w:w="3402" w:type="dxa"/>
          </w:tcPr>
          <w:p w:rsidR="002F4D97" w:rsidRPr="002F4D97" w:rsidRDefault="002F4D97" w:rsidP="002F4D97">
            <w:pPr>
              <w:pStyle w:val="Tabletext"/>
              <w:rPr>
                <w:rStyle w:val="Strong"/>
              </w:rPr>
            </w:pPr>
            <w:r w:rsidRPr="002F4D97">
              <w:rPr>
                <w:rStyle w:val="Strong"/>
              </w:rPr>
              <w:t>ACT</w:t>
            </w:r>
          </w:p>
        </w:tc>
        <w:tc>
          <w:tcPr>
            <w:tcW w:w="1361" w:type="dxa"/>
          </w:tcPr>
          <w:p w:rsidR="002F4D97" w:rsidRPr="00A174E2" w:rsidRDefault="002F4D97" w:rsidP="002F4D97">
            <w:pPr>
              <w:pStyle w:val="Tabletext"/>
            </w:pPr>
          </w:p>
        </w:tc>
        <w:tc>
          <w:tcPr>
            <w:tcW w:w="1361" w:type="dxa"/>
          </w:tcPr>
          <w:p w:rsidR="002F4D97" w:rsidRPr="00A174E2" w:rsidRDefault="002F4D97" w:rsidP="002F4D97">
            <w:pPr>
              <w:pStyle w:val="Tabletext"/>
            </w:pPr>
          </w:p>
        </w:tc>
        <w:tc>
          <w:tcPr>
            <w:tcW w:w="1361" w:type="dxa"/>
          </w:tcPr>
          <w:p w:rsidR="002F4D97" w:rsidRPr="00A174E2" w:rsidRDefault="002F4D97" w:rsidP="002F4D97">
            <w:pPr>
              <w:pStyle w:val="Tabletext"/>
            </w:pPr>
          </w:p>
        </w:tc>
        <w:tc>
          <w:tcPr>
            <w:tcW w:w="1361" w:type="dxa"/>
          </w:tcPr>
          <w:p w:rsidR="002F4D97" w:rsidRPr="00A174E2"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ActewAGL</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r>
      <w:tr w:rsidR="002F4D97" w:rsidTr="002F4D97">
        <w:trPr>
          <w:trHeight w:hRule="exact" w:val="510"/>
        </w:trPr>
        <w:tc>
          <w:tcPr>
            <w:tcW w:w="3402" w:type="dxa"/>
          </w:tcPr>
          <w:p w:rsidR="002F4D97" w:rsidRPr="000949FD" w:rsidRDefault="002F4D97" w:rsidP="002F4D97">
            <w:pPr>
              <w:pStyle w:val="Tabletext"/>
            </w:pPr>
            <w:r w:rsidRPr="000949FD">
              <w:t>AGL</w:t>
            </w:r>
          </w:p>
        </w:tc>
        <w:tc>
          <w:tcPr>
            <w:tcW w:w="1361" w:type="dxa"/>
          </w:tcPr>
          <w:p w:rsidR="002F4D97" w:rsidRPr="00A174E2" w:rsidRDefault="002F4D97" w:rsidP="002F4D97">
            <w:pPr>
              <w:pStyle w:val="Tabletext"/>
            </w:pPr>
          </w:p>
        </w:tc>
        <w:tc>
          <w:tcPr>
            <w:tcW w:w="1361" w:type="dxa"/>
          </w:tcPr>
          <w:p w:rsidR="002F4D97" w:rsidRPr="002F4D97" w:rsidRDefault="002F4D97" w:rsidP="002F4D97">
            <w:pPr>
              <w:pStyle w:val="Tabletext"/>
            </w:pPr>
            <w:r>
              <w:t>X</w:t>
            </w:r>
          </w:p>
        </w:tc>
        <w:tc>
          <w:tcPr>
            <w:tcW w:w="1361" w:type="dxa"/>
          </w:tcPr>
          <w:p w:rsidR="002F4D97" w:rsidRPr="00A174E2" w:rsidRDefault="002F4D97" w:rsidP="002F4D97">
            <w:pPr>
              <w:pStyle w:val="Tabletext"/>
            </w:pPr>
          </w:p>
        </w:tc>
        <w:tc>
          <w:tcPr>
            <w:tcW w:w="1361" w:type="dxa"/>
          </w:tcPr>
          <w:p w:rsidR="002F4D97" w:rsidRPr="00A174E2"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Alinta Energy</w:t>
            </w:r>
          </w:p>
        </w:tc>
        <w:tc>
          <w:tcPr>
            <w:tcW w:w="1361" w:type="dxa"/>
          </w:tcPr>
          <w:p w:rsidR="002F4D97" w:rsidRPr="00A174E2" w:rsidRDefault="002F4D97" w:rsidP="002F4D97">
            <w:pPr>
              <w:pStyle w:val="Tabletext"/>
            </w:pPr>
          </w:p>
        </w:tc>
        <w:tc>
          <w:tcPr>
            <w:tcW w:w="1361" w:type="dxa"/>
          </w:tcPr>
          <w:p w:rsidR="002F4D97" w:rsidRPr="002F4D97" w:rsidRDefault="002F4D97" w:rsidP="002F4D97">
            <w:pPr>
              <w:pStyle w:val="Tabletext"/>
            </w:pPr>
            <w:r>
              <w:t>X</w:t>
            </w:r>
          </w:p>
        </w:tc>
        <w:tc>
          <w:tcPr>
            <w:tcW w:w="1361" w:type="dxa"/>
          </w:tcPr>
          <w:p w:rsidR="002F4D97" w:rsidRPr="00A174E2" w:rsidRDefault="002F4D97" w:rsidP="002F4D97">
            <w:pPr>
              <w:pStyle w:val="Tabletext"/>
            </w:pPr>
          </w:p>
        </w:tc>
        <w:tc>
          <w:tcPr>
            <w:tcW w:w="1361" w:type="dxa"/>
          </w:tcPr>
          <w:p w:rsidR="002F4D97" w:rsidRPr="00A174E2"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EnergyAustralia</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r>
      <w:tr w:rsidR="002F4D97" w:rsidTr="002F4D97">
        <w:trPr>
          <w:trHeight w:hRule="exact" w:val="510"/>
        </w:trPr>
        <w:tc>
          <w:tcPr>
            <w:tcW w:w="3402" w:type="dxa"/>
          </w:tcPr>
          <w:p w:rsidR="002F4D97" w:rsidRPr="000949FD" w:rsidRDefault="002F4D97" w:rsidP="002F4D97">
            <w:pPr>
              <w:pStyle w:val="Tabletext"/>
            </w:pPr>
            <w:r w:rsidRPr="000949FD">
              <w:t>EnergyAustralia Yallourn</w:t>
            </w:r>
          </w:p>
        </w:tc>
        <w:tc>
          <w:tcPr>
            <w:tcW w:w="1361" w:type="dxa"/>
          </w:tcPr>
          <w:p w:rsidR="002F4D97" w:rsidRPr="00A174E2" w:rsidRDefault="002F4D97" w:rsidP="002F4D97">
            <w:pPr>
              <w:pStyle w:val="Tabletext"/>
            </w:pPr>
          </w:p>
        </w:tc>
        <w:tc>
          <w:tcPr>
            <w:tcW w:w="1361" w:type="dxa"/>
          </w:tcPr>
          <w:p w:rsidR="002F4D97" w:rsidRPr="002F4D97" w:rsidRDefault="002F4D97" w:rsidP="002F4D97">
            <w:pPr>
              <w:pStyle w:val="Tabletext"/>
            </w:pPr>
            <w:r>
              <w:t>X</w:t>
            </w:r>
          </w:p>
        </w:tc>
        <w:tc>
          <w:tcPr>
            <w:tcW w:w="1361" w:type="dxa"/>
          </w:tcPr>
          <w:p w:rsidR="002F4D97" w:rsidRPr="00A174E2" w:rsidRDefault="002F4D97" w:rsidP="002F4D97">
            <w:pPr>
              <w:pStyle w:val="Tabletext"/>
            </w:pPr>
          </w:p>
        </w:tc>
        <w:tc>
          <w:tcPr>
            <w:tcW w:w="1361" w:type="dxa"/>
          </w:tcPr>
          <w:p w:rsidR="002F4D97" w:rsidRPr="00A174E2"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ERM Power Retail</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A174E2" w:rsidRDefault="002F4D97" w:rsidP="002F4D97">
            <w:pPr>
              <w:pStyle w:val="Tabletext"/>
            </w:pPr>
          </w:p>
        </w:tc>
        <w:tc>
          <w:tcPr>
            <w:tcW w:w="1361" w:type="dxa"/>
          </w:tcPr>
          <w:p w:rsidR="002F4D97" w:rsidRPr="00A174E2"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GoEnergy</w:t>
            </w:r>
          </w:p>
        </w:tc>
        <w:tc>
          <w:tcPr>
            <w:tcW w:w="1361" w:type="dxa"/>
          </w:tcPr>
          <w:p w:rsidR="002F4D97" w:rsidRDefault="002F4D97" w:rsidP="002F4D97">
            <w:pPr>
              <w:pStyle w:val="Tabletext"/>
            </w:pPr>
          </w:p>
        </w:tc>
        <w:tc>
          <w:tcPr>
            <w:tcW w:w="1361" w:type="dxa"/>
          </w:tcPr>
          <w:p w:rsidR="002F4D97" w:rsidRDefault="002F4D97" w:rsidP="002F4D97">
            <w:pPr>
              <w:pStyle w:val="Tabletext"/>
            </w:pPr>
            <w:r>
              <w:t>X</w:t>
            </w:r>
          </w:p>
        </w:tc>
        <w:tc>
          <w:tcPr>
            <w:tcW w:w="1361" w:type="dxa"/>
          </w:tcPr>
          <w:p w:rsidR="002F4D97" w:rsidRPr="00A174E2" w:rsidRDefault="002F4D97" w:rsidP="002F4D97">
            <w:pPr>
              <w:pStyle w:val="Tabletext"/>
            </w:pPr>
          </w:p>
        </w:tc>
        <w:tc>
          <w:tcPr>
            <w:tcW w:w="1361" w:type="dxa"/>
          </w:tcPr>
          <w:p w:rsidR="002F4D97" w:rsidRPr="00A174E2"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Macquarie Bank</w:t>
            </w:r>
          </w:p>
        </w:tc>
        <w:tc>
          <w:tcPr>
            <w:tcW w:w="1361" w:type="dxa"/>
          </w:tcPr>
          <w:p w:rsidR="002F4D97" w:rsidRDefault="002F4D97" w:rsidP="002F4D97">
            <w:pPr>
              <w:pStyle w:val="Tabletext"/>
            </w:pPr>
          </w:p>
        </w:tc>
        <w:tc>
          <w:tcPr>
            <w:tcW w:w="1361" w:type="dxa"/>
          </w:tcPr>
          <w:p w:rsidR="002F4D97" w:rsidRDefault="002F4D97" w:rsidP="002F4D97">
            <w:pPr>
              <w:pStyle w:val="Tabletext"/>
            </w:pPr>
            <w:r>
              <w:t>X</w:t>
            </w:r>
          </w:p>
        </w:tc>
        <w:tc>
          <w:tcPr>
            <w:tcW w:w="1361" w:type="dxa"/>
          </w:tcPr>
          <w:p w:rsidR="002F4D97" w:rsidRPr="00A174E2" w:rsidRDefault="002F4D97" w:rsidP="002F4D97">
            <w:pPr>
              <w:pStyle w:val="Tabletext"/>
            </w:pPr>
          </w:p>
        </w:tc>
        <w:tc>
          <w:tcPr>
            <w:tcW w:w="1361" w:type="dxa"/>
          </w:tcPr>
          <w:p w:rsidR="002F4D97" w:rsidRPr="00A174E2"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Momentum Energy</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A174E2" w:rsidRDefault="002F4D97" w:rsidP="002F4D97">
            <w:pPr>
              <w:pStyle w:val="Tabletext"/>
            </w:pPr>
          </w:p>
        </w:tc>
        <w:tc>
          <w:tcPr>
            <w:tcW w:w="1361" w:type="dxa"/>
          </w:tcPr>
          <w:p w:rsidR="002F4D97" w:rsidRPr="00A174E2"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Origin Energy</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r>
      <w:tr w:rsidR="002F4D97" w:rsidTr="002F4D97">
        <w:trPr>
          <w:trHeight w:hRule="exact" w:val="510"/>
        </w:trPr>
        <w:tc>
          <w:tcPr>
            <w:tcW w:w="3402" w:type="dxa"/>
          </w:tcPr>
          <w:p w:rsidR="002F4D97" w:rsidRPr="000949FD" w:rsidRDefault="002F4D97" w:rsidP="002F4D97">
            <w:pPr>
              <w:pStyle w:val="Tabletext"/>
            </w:pPr>
            <w:r w:rsidRPr="000949FD">
              <w:t>Powerdirect</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A174E2" w:rsidRDefault="002F4D97" w:rsidP="002F4D97">
            <w:pPr>
              <w:pStyle w:val="Tabletext"/>
            </w:pPr>
          </w:p>
        </w:tc>
        <w:tc>
          <w:tcPr>
            <w:tcW w:w="1361" w:type="dxa"/>
          </w:tcPr>
          <w:p w:rsidR="002F4D97" w:rsidRPr="00A174E2"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Red Energy</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A174E2" w:rsidRDefault="002F4D97" w:rsidP="002F4D97">
            <w:pPr>
              <w:pStyle w:val="Tabletext"/>
            </w:pPr>
          </w:p>
        </w:tc>
        <w:tc>
          <w:tcPr>
            <w:tcW w:w="1361" w:type="dxa"/>
          </w:tcPr>
          <w:p w:rsidR="002F4D97" w:rsidRPr="00A174E2" w:rsidRDefault="002F4D97" w:rsidP="002F4D97">
            <w:pPr>
              <w:pStyle w:val="Tabletext"/>
            </w:pPr>
          </w:p>
        </w:tc>
      </w:tr>
      <w:tr w:rsidR="002F4D97" w:rsidTr="002F4D97">
        <w:trPr>
          <w:trHeight w:hRule="exact" w:val="510"/>
        </w:trPr>
        <w:tc>
          <w:tcPr>
            <w:tcW w:w="3402" w:type="dxa"/>
          </w:tcPr>
          <w:p w:rsidR="002F4D97" w:rsidRPr="002F4D97" w:rsidRDefault="002F4D97" w:rsidP="002F4D97">
            <w:pPr>
              <w:pStyle w:val="Tabletext"/>
            </w:pPr>
            <w:r w:rsidRPr="002F4D97">
              <w:t>Tasmania</w:t>
            </w:r>
          </w:p>
        </w:tc>
        <w:tc>
          <w:tcPr>
            <w:tcW w:w="1361" w:type="dxa"/>
          </w:tcPr>
          <w:p w:rsidR="002F4D97" w:rsidRPr="00A174E2" w:rsidRDefault="002F4D97" w:rsidP="002F4D97">
            <w:pPr>
              <w:pStyle w:val="Tabletext"/>
            </w:pPr>
          </w:p>
        </w:tc>
        <w:tc>
          <w:tcPr>
            <w:tcW w:w="1361" w:type="dxa"/>
          </w:tcPr>
          <w:p w:rsidR="002F4D97" w:rsidRPr="00A174E2" w:rsidRDefault="002F4D97" w:rsidP="002F4D97">
            <w:pPr>
              <w:pStyle w:val="Tabletext"/>
            </w:pPr>
          </w:p>
        </w:tc>
        <w:tc>
          <w:tcPr>
            <w:tcW w:w="1361" w:type="dxa"/>
          </w:tcPr>
          <w:p w:rsidR="002F4D97" w:rsidRPr="00A174E2" w:rsidRDefault="002F4D97" w:rsidP="002F4D97">
            <w:pPr>
              <w:pStyle w:val="Tabletext"/>
            </w:pPr>
          </w:p>
        </w:tc>
        <w:tc>
          <w:tcPr>
            <w:tcW w:w="1361" w:type="dxa"/>
          </w:tcPr>
          <w:p w:rsidR="002F4D97" w:rsidRPr="00A174E2"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Aurora Energy</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A174E2" w:rsidRDefault="002F4D97" w:rsidP="002F4D97">
            <w:pPr>
              <w:pStyle w:val="Tabletext"/>
            </w:pPr>
          </w:p>
        </w:tc>
        <w:tc>
          <w:tcPr>
            <w:tcW w:w="1361" w:type="dxa"/>
          </w:tcPr>
          <w:p w:rsidR="002F4D97" w:rsidRPr="00A174E2"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ERM Power Retail</w:t>
            </w:r>
          </w:p>
        </w:tc>
        <w:tc>
          <w:tcPr>
            <w:tcW w:w="1361" w:type="dxa"/>
          </w:tcPr>
          <w:p w:rsidR="002F4D97" w:rsidRPr="002F4D97" w:rsidRDefault="002F4D97" w:rsidP="002F4D97">
            <w:pPr>
              <w:pStyle w:val="Tabletext"/>
            </w:pPr>
            <w:r>
              <w:t>X</w:t>
            </w:r>
          </w:p>
        </w:tc>
        <w:tc>
          <w:tcPr>
            <w:tcW w:w="1361" w:type="dxa"/>
          </w:tcPr>
          <w:p w:rsidR="002F4D97" w:rsidRPr="002F4D97" w:rsidRDefault="002F4D97" w:rsidP="002F4D97">
            <w:pPr>
              <w:pStyle w:val="Tabletext"/>
            </w:pPr>
            <w:r>
              <w:t>X</w:t>
            </w:r>
          </w:p>
        </w:tc>
        <w:tc>
          <w:tcPr>
            <w:tcW w:w="1361" w:type="dxa"/>
          </w:tcPr>
          <w:p w:rsidR="002F4D97" w:rsidRPr="00A174E2" w:rsidRDefault="002F4D97" w:rsidP="002F4D97">
            <w:pPr>
              <w:pStyle w:val="Tabletext"/>
            </w:pPr>
          </w:p>
        </w:tc>
        <w:tc>
          <w:tcPr>
            <w:tcW w:w="1361" w:type="dxa"/>
          </w:tcPr>
          <w:p w:rsidR="002F4D97" w:rsidRPr="00A174E2"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Macquarie Bank</w:t>
            </w:r>
          </w:p>
        </w:tc>
        <w:tc>
          <w:tcPr>
            <w:tcW w:w="1361" w:type="dxa"/>
          </w:tcPr>
          <w:p w:rsidR="002F4D97" w:rsidRDefault="002F4D97" w:rsidP="002F4D97">
            <w:pPr>
              <w:pStyle w:val="Tabletext"/>
            </w:pPr>
          </w:p>
        </w:tc>
        <w:tc>
          <w:tcPr>
            <w:tcW w:w="1361" w:type="dxa"/>
          </w:tcPr>
          <w:p w:rsidR="002F4D97" w:rsidRDefault="002F4D97" w:rsidP="002F4D97">
            <w:pPr>
              <w:pStyle w:val="Tabletext"/>
            </w:pPr>
            <w:r>
              <w:t>X</w:t>
            </w:r>
          </w:p>
        </w:tc>
        <w:tc>
          <w:tcPr>
            <w:tcW w:w="1361" w:type="dxa"/>
          </w:tcPr>
          <w:p w:rsidR="002F4D97" w:rsidRPr="00A174E2" w:rsidRDefault="002F4D97" w:rsidP="002F4D97">
            <w:pPr>
              <w:pStyle w:val="Tabletext"/>
            </w:pPr>
          </w:p>
        </w:tc>
        <w:tc>
          <w:tcPr>
            <w:tcW w:w="1361" w:type="dxa"/>
          </w:tcPr>
          <w:p w:rsidR="002F4D97" w:rsidRPr="00A174E2" w:rsidRDefault="002F4D97" w:rsidP="002F4D97">
            <w:pPr>
              <w:pStyle w:val="Tabletext"/>
            </w:pPr>
          </w:p>
        </w:tc>
      </w:tr>
      <w:tr w:rsidR="002F4D97" w:rsidTr="002F4D97">
        <w:trPr>
          <w:trHeight w:hRule="exact" w:val="510"/>
        </w:trPr>
        <w:tc>
          <w:tcPr>
            <w:tcW w:w="3402" w:type="dxa"/>
          </w:tcPr>
          <w:p w:rsidR="002F4D97" w:rsidRPr="000949FD" w:rsidRDefault="002F4D97" w:rsidP="002F4D97">
            <w:pPr>
              <w:pStyle w:val="Tabletext"/>
            </w:pPr>
            <w:r w:rsidRPr="000949FD">
              <w:t>Progressive Green</w:t>
            </w:r>
          </w:p>
        </w:tc>
        <w:tc>
          <w:tcPr>
            <w:tcW w:w="1361" w:type="dxa"/>
          </w:tcPr>
          <w:p w:rsidR="002F4D97" w:rsidRPr="00A174E2" w:rsidRDefault="002F4D97" w:rsidP="002F4D97">
            <w:pPr>
              <w:pStyle w:val="Tabletext"/>
            </w:pPr>
          </w:p>
        </w:tc>
        <w:tc>
          <w:tcPr>
            <w:tcW w:w="1361" w:type="dxa"/>
          </w:tcPr>
          <w:p w:rsidR="002F4D97" w:rsidRPr="002F4D97" w:rsidRDefault="002F4D97" w:rsidP="002F4D97">
            <w:pPr>
              <w:pStyle w:val="Tabletext"/>
            </w:pPr>
            <w:r>
              <w:t>X</w:t>
            </w:r>
          </w:p>
        </w:tc>
        <w:tc>
          <w:tcPr>
            <w:tcW w:w="1361" w:type="dxa"/>
          </w:tcPr>
          <w:p w:rsidR="002F4D97" w:rsidRPr="00A174E2" w:rsidRDefault="002F4D97" w:rsidP="002F4D97">
            <w:pPr>
              <w:pStyle w:val="Tabletext"/>
            </w:pPr>
          </w:p>
        </w:tc>
        <w:tc>
          <w:tcPr>
            <w:tcW w:w="1361" w:type="dxa"/>
          </w:tcPr>
          <w:p w:rsidR="002F4D97" w:rsidRPr="00A174E2" w:rsidRDefault="002F4D97" w:rsidP="002F4D97">
            <w:pPr>
              <w:pStyle w:val="Tabletext"/>
            </w:pPr>
          </w:p>
        </w:tc>
      </w:tr>
    </w:tbl>
    <w:p w:rsidR="002F4D97" w:rsidRDefault="002F4D97" w:rsidP="002F4D97"/>
    <w:p w:rsidR="002F4D97" w:rsidRPr="002F4D97" w:rsidRDefault="002F4D97" w:rsidP="002F4D97"/>
    <w:p w:rsidR="002F4D97" w:rsidRPr="002F4D97" w:rsidRDefault="002F4D97" w:rsidP="002F4D97">
      <w:r>
        <w:br w:type="page"/>
      </w:r>
    </w:p>
    <w:p w:rsidR="002F4D97" w:rsidRPr="00A2789F" w:rsidRDefault="002F4D97" w:rsidP="002F4D97">
      <w:pPr>
        <w:pStyle w:val="Heading2"/>
        <w:numPr>
          <w:ilvl w:val="0"/>
          <w:numId w:val="0"/>
        </w:numPr>
        <w:ind w:left="1002" w:hanging="576"/>
      </w:pPr>
      <w:bookmarkStart w:id="79" w:name="_Toc433026850"/>
      <w:r w:rsidRPr="00A2789F">
        <w:lastRenderedPageBreak/>
        <w:t xml:space="preserve">Appendix </w:t>
      </w:r>
      <w:r>
        <w:t xml:space="preserve">2: </w:t>
      </w:r>
      <w:r>
        <w:tab/>
        <w:t>South Australian service standards</w:t>
      </w:r>
      <w:bookmarkEnd w:id="79"/>
    </w:p>
    <w:p w:rsidR="002F4D97" w:rsidRDefault="002F4D97" w:rsidP="002F4D97">
      <w:r>
        <w:t xml:space="preserve">Clause 7 of the National Energy Retail (Local Provisions) Regulations imposes minimum service standards on retailers selling energy to small customers in South Australia. The service standards require retailers to use best endeavours to respond to 95 per cent of written enquiries within five business days, and to answer 85 per cent of telephone calls within 30 seconds between 8 am and 6 pm from Monday to Friday. </w:t>
      </w:r>
    </w:p>
    <w:p w:rsidR="002F4D97" w:rsidRDefault="002F4D97" w:rsidP="002F4D97">
      <w:r>
        <w:t xml:space="preserve">Retailers must report to the AER on their compliance with these standards and give reasons for any non-compliance as well as information on strategies to improve compliance in the future. </w:t>
      </w:r>
    </w:p>
    <w:tbl>
      <w:tblPr>
        <w:tblW w:w="0" w:type="auto"/>
        <w:tblBorders>
          <w:top w:val="single" w:sz="4" w:space="0" w:color="BFBFBF" w:themeColor="background1" w:themeShade="BF"/>
          <w:bottom w:val="single" w:sz="2" w:space="0" w:color="auto"/>
          <w:insideH w:val="single" w:sz="2" w:space="0" w:color="auto"/>
        </w:tblBorders>
        <w:tblLook w:val="04A0" w:firstRow="1" w:lastRow="0" w:firstColumn="1" w:lastColumn="0" w:noHBand="0" w:noVBand="1"/>
      </w:tblPr>
      <w:tblGrid>
        <w:gridCol w:w="2268"/>
        <w:gridCol w:w="1134"/>
        <w:gridCol w:w="1134"/>
        <w:gridCol w:w="1134"/>
        <w:gridCol w:w="1134"/>
        <w:gridCol w:w="1134"/>
        <w:gridCol w:w="1134"/>
      </w:tblGrid>
      <w:tr w:rsidR="002F4D97" w:rsidTr="002F4D97">
        <w:tc>
          <w:tcPr>
            <w:tcW w:w="2268" w:type="dxa"/>
            <w:shd w:val="clear" w:color="auto" w:fill="F2F2F2" w:themeFill="background1" w:themeFillShade="F2"/>
          </w:tcPr>
          <w:p w:rsidR="002F4D97" w:rsidRPr="002F4D97" w:rsidRDefault="002F4D97" w:rsidP="002F4D97">
            <w:pPr>
              <w:pStyle w:val="Tabletext"/>
              <w:rPr>
                <w:rStyle w:val="Strong"/>
              </w:rPr>
            </w:pPr>
            <w:r w:rsidRPr="002F4D97">
              <w:rPr>
                <w:rStyle w:val="Strong"/>
              </w:rPr>
              <w:t>Retailer</w:t>
            </w:r>
          </w:p>
        </w:tc>
        <w:tc>
          <w:tcPr>
            <w:tcW w:w="3402" w:type="dxa"/>
            <w:gridSpan w:val="3"/>
            <w:shd w:val="clear" w:color="auto" w:fill="F2F2F2" w:themeFill="background1" w:themeFillShade="F2"/>
          </w:tcPr>
          <w:p w:rsidR="002F4D97" w:rsidRPr="002F4D97" w:rsidRDefault="002F4D97" w:rsidP="002F4D97">
            <w:pPr>
              <w:pStyle w:val="Tabletext"/>
              <w:rPr>
                <w:rStyle w:val="Strong"/>
              </w:rPr>
            </w:pPr>
            <w:r w:rsidRPr="002F4D97">
              <w:rPr>
                <w:rStyle w:val="Strong"/>
              </w:rPr>
              <w:t>Percentage of written enquiries responded to within five business days</w:t>
            </w:r>
          </w:p>
        </w:tc>
        <w:tc>
          <w:tcPr>
            <w:tcW w:w="3402" w:type="dxa"/>
            <w:gridSpan w:val="3"/>
            <w:shd w:val="clear" w:color="auto" w:fill="F2F2F2" w:themeFill="background1" w:themeFillShade="F2"/>
          </w:tcPr>
          <w:p w:rsidR="002F4D97" w:rsidRPr="002F4D97" w:rsidRDefault="002F4D97" w:rsidP="002F4D97">
            <w:pPr>
              <w:pStyle w:val="Tabletext"/>
              <w:rPr>
                <w:rStyle w:val="Strong"/>
              </w:rPr>
            </w:pPr>
            <w:r w:rsidRPr="002F4D97">
              <w:rPr>
                <w:rStyle w:val="Strong"/>
              </w:rPr>
              <w:t>Percentage of telephone calls answered within 30 seconds</w:t>
            </w:r>
          </w:p>
        </w:tc>
      </w:tr>
      <w:tr w:rsidR="002F4D97" w:rsidTr="002F4D97">
        <w:trPr>
          <w:trHeight w:hRule="exact" w:val="510"/>
        </w:trPr>
        <w:tc>
          <w:tcPr>
            <w:tcW w:w="2268" w:type="dxa"/>
          </w:tcPr>
          <w:p w:rsidR="002F4D97" w:rsidRPr="002F4D97" w:rsidRDefault="002F4D97" w:rsidP="002F4D97">
            <w:pPr>
              <w:pStyle w:val="Tabletext"/>
            </w:pPr>
          </w:p>
        </w:tc>
        <w:tc>
          <w:tcPr>
            <w:tcW w:w="1134" w:type="dxa"/>
          </w:tcPr>
          <w:p w:rsidR="002F4D97" w:rsidRPr="002F4D97" w:rsidRDefault="002F4D97" w:rsidP="002F4D97">
            <w:pPr>
              <w:pStyle w:val="Tabletext"/>
              <w:rPr>
                <w:rStyle w:val="Strong"/>
              </w:rPr>
            </w:pPr>
            <w:r w:rsidRPr="002F4D97">
              <w:rPr>
                <w:rStyle w:val="Strong"/>
              </w:rPr>
              <w:t>2012-13</w:t>
            </w:r>
          </w:p>
        </w:tc>
        <w:tc>
          <w:tcPr>
            <w:tcW w:w="1134" w:type="dxa"/>
          </w:tcPr>
          <w:p w:rsidR="002F4D97" w:rsidRPr="002F4D97" w:rsidRDefault="002F4D97" w:rsidP="002F4D97">
            <w:pPr>
              <w:pStyle w:val="Tabletext"/>
              <w:rPr>
                <w:rStyle w:val="Strong"/>
              </w:rPr>
            </w:pPr>
            <w:r w:rsidRPr="002F4D97">
              <w:rPr>
                <w:rStyle w:val="Strong"/>
              </w:rPr>
              <w:t>2013-14</w:t>
            </w:r>
          </w:p>
        </w:tc>
        <w:tc>
          <w:tcPr>
            <w:tcW w:w="1134" w:type="dxa"/>
          </w:tcPr>
          <w:p w:rsidR="002F4D97" w:rsidRPr="002F4D97" w:rsidRDefault="002F4D97" w:rsidP="002F4D97">
            <w:pPr>
              <w:pStyle w:val="Tabletext"/>
              <w:rPr>
                <w:rStyle w:val="Strong"/>
              </w:rPr>
            </w:pPr>
            <w:r w:rsidRPr="002F4D97">
              <w:rPr>
                <w:rStyle w:val="Strong"/>
              </w:rPr>
              <w:t>2014-15</w:t>
            </w:r>
          </w:p>
        </w:tc>
        <w:tc>
          <w:tcPr>
            <w:tcW w:w="1134" w:type="dxa"/>
          </w:tcPr>
          <w:p w:rsidR="002F4D97" w:rsidRPr="002F4D97" w:rsidRDefault="002F4D97" w:rsidP="002F4D97">
            <w:pPr>
              <w:pStyle w:val="Tabletext"/>
              <w:rPr>
                <w:rStyle w:val="Strong"/>
              </w:rPr>
            </w:pPr>
            <w:r w:rsidRPr="002F4D97">
              <w:rPr>
                <w:rStyle w:val="Strong"/>
              </w:rPr>
              <w:t>2012-13</w:t>
            </w:r>
          </w:p>
        </w:tc>
        <w:tc>
          <w:tcPr>
            <w:tcW w:w="1134" w:type="dxa"/>
          </w:tcPr>
          <w:p w:rsidR="002F4D97" w:rsidRPr="002F4D97" w:rsidRDefault="002F4D97" w:rsidP="002F4D97">
            <w:pPr>
              <w:pStyle w:val="Tabletext"/>
              <w:rPr>
                <w:rStyle w:val="Strong"/>
              </w:rPr>
            </w:pPr>
            <w:r w:rsidRPr="002F4D97">
              <w:rPr>
                <w:rStyle w:val="Strong"/>
              </w:rPr>
              <w:t>2013-14</w:t>
            </w:r>
          </w:p>
        </w:tc>
        <w:tc>
          <w:tcPr>
            <w:tcW w:w="1134" w:type="dxa"/>
          </w:tcPr>
          <w:p w:rsidR="002F4D97" w:rsidRPr="002F4D97" w:rsidRDefault="002F4D97" w:rsidP="002F4D97">
            <w:pPr>
              <w:pStyle w:val="Tabletext"/>
              <w:rPr>
                <w:rStyle w:val="Strong"/>
              </w:rPr>
            </w:pPr>
            <w:r w:rsidRPr="002F4D97">
              <w:rPr>
                <w:rStyle w:val="Strong"/>
              </w:rPr>
              <w:t>2014-15</w:t>
            </w:r>
          </w:p>
        </w:tc>
      </w:tr>
      <w:tr w:rsidR="002F4D97" w:rsidTr="002F4D97">
        <w:trPr>
          <w:trHeight w:hRule="exact" w:val="510"/>
        </w:trPr>
        <w:tc>
          <w:tcPr>
            <w:tcW w:w="2268" w:type="dxa"/>
          </w:tcPr>
          <w:p w:rsidR="002F4D97" w:rsidRPr="00C5360A" w:rsidRDefault="002F4D97" w:rsidP="002F4D97">
            <w:pPr>
              <w:pStyle w:val="Tabletext"/>
            </w:pPr>
            <w:r w:rsidRPr="00C5360A">
              <w:t>AGL</w:t>
            </w:r>
          </w:p>
        </w:tc>
        <w:tc>
          <w:tcPr>
            <w:tcW w:w="1134" w:type="dxa"/>
          </w:tcPr>
          <w:p w:rsidR="002F4D97" w:rsidRPr="002F4D97" w:rsidRDefault="002F4D97" w:rsidP="002F4D97">
            <w:pPr>
              <w:pStyle w:val="Tabletext"/>
            </w:pPr>
            <w:r w:rsidRPr="002F4D97">
              <w:t>80%</w:t>
            </w:r>
          </w:p>
        </w:tc>
        <w:tc>
          <w:tcPr>
            <w:tcW w:w="1134" w:type="dxa"/>
          </w:tcPr>
          <w:p w:rsidR="002F4D97" w:rsidRPr="00CD2BD9" w:rsidRDefault="002F4D97" w:rsidP="002F4D97">
            <w:pPr>
              <w:pStyle w:val="Tabletext"/>
            </w:pPr>
            <w:r w:rsidRPr="00CD2BD9">
              <w:t>97%</w:t>
            </w:r>
          </w:p>
        </w:tc>
        <w:tc>
          <w:tcPr>
            <w:tcW w:w="1134" w:type="dxa"/>
          </w:tcPr>
          <w:p w:rsidR="002F4D97" w:rsidRPr="00CD2BD9" w:rsidRDefault="002F4D97" w:rsidP="002F4D97">
            <w:pPr>
              <w:pStyle w:val="Tabletext"/>
            </w:pPr>
            <w:r w:rsidRPr="00CD2BD9">
              <w:t>95%</w:t>
            </w:r>
          </w:p>
        </w:tc>
        <w:tc>
          <w:tcPr>
            <w:tcW w:w="1134" w:type="dxa"/>
          </w:tcPr>
          <w:p w:rsidR="002F4D97" w:rsidRPr="00CD2BD9" w:rsidRDefault="002F4D97" w:rsidP="002F4D97">
            <w:pPr>
              <w:pStyle w:val="Tabletext"/>
            </w:pPr>
            <w:r w:rsidRPr="00CD2BD9">
              <w:t>89%</w:t>
            </w:r>
          </w:p>
        </w:tc>
        <w:tc>
          <w:tcPr>
            <w:tcW w:w="1134" w:type="dxa"/>
          </w:tcPr>
          <w:p w:rsidR="002F4D97" w:rsidRPr="00CD2BD9" w:rsidRDefault="002F4D97" w:rsidP="002F4D97">
            <w:pPr>
              <w:pStyle w:val="Tabletext"/>
            </w:pPr>
            <w:r w:rsidRPr="00CD2BD9">
              <w:t>93%</w:t>
            </w:r>
          </w:p>
        </w:tc>
        <w:tc>
          <w:tcPr>
            <w:tcW w:w="1134" w:type="dxa"/>
          </w:tcPr>
          <w:p w:rsidR="002F4D97" w:rsidRPr="00CD2BD9" w:rsidRDefault="002F4D97" w:rsidP="002F4D97">
            <w:pPr>
              <w:pStyle w:val="Tabletext"/>
            </w:pPr>
            <w:r w:rsidRPr="00CD2BD9">
              <w:t>93%</w:t>
            </w:r>
          </w:p>
        </w:tc>
      </w:tr>
      <w:tr w:rsidR="002F4D97" w:rsidTr="002F4D97">
        <w:trPr>
          <w:trHeight w:hRule="exact" w:val="510"/>
        </w:trPr>
        <w:tc>
          <w:tcPr>
            <w:tcW w:w="2268" w:type="dxa"/>
          </w:tcPr>
          <w:p w:rsidR="002F4D97" w:rsidRPr="00C5360A" w:rsidRDefault="002F4D97" w:rsidP="002F4D97">
            <w:pPr>
              <w:pStyle w:val="Tabletext"/>
            </w:pPr>
            <w:r w:rsidRPr="00C5360A">
              <w:t>Alinta Energy</w:t>
            </w:r>
          </w:p>
        </w:tc>
        <w:tc>
          <w:tcPr>
            <w:tcW w:w="1134" w:type="dxa"/>
          </w:tcPr>
          <w:p w:rsidR="002F4D97" w:rsidRPr="00CD2BD9" w:rsidRDefault="002F4D97" w:rsidP="002F4D97">
            <w:pPr>
              <w:pStyle w:val="Tabletext"/>
            </w:pPr>
            <w:r w:rsidRPr="00CD2BD9">
              <w:t>97%</w:t>
            </w:r>
          </w:p>
        </w:tc>
        <w:tc>
          <w:tcPr>
            <w:tcW w:w="1134" w:type="dxa"/>
          </w:tcPr>
          <w:p w:rsidR="002F4D97" w:rsidRPr="00CD2BD9" w:rsidRDefault="002F4D97" w:rsidP="002F4D97">
            <w:pPr>
              <w:pStyle w:val="Tabletext"/>
            </w:pPr>
            <w:r w:rsidRPr="00CD2BD9">
              <w:t>100%</w:t>
            </w:r>
          </w:p>
        </w:tc>
        <w:tc>
          <w:tcPr>
            <w:tcW w:w="1134" w:type="dxa"/>
          </w:tcPr>
          <w:p w:rsidR="002F4D97" w:rsidRPr="00CD2BD9" w:rsidRDefault="002F4D97" w:rsidP="002F4D97">
            <w:pPr>
              <w:pStyle w:val="Tabletext"/>
            </w:pPr>
            <w:r w:rsidRPr="00CD2BD9">
              <w:t>98%</w:t>
            </w:r>
          </w:p>
        </w:tc>
        <w:tc>
          <w:tcPr>
            <w:tcW w:w="1134" w:type="dxa"/>
          </w:tcPr>
          <w:p w:rsidR="002F4D97" w:rsidRPr="002F4D97" w:rsidRDefault="002F4D97" w:rsidP="002F4D97">
            <w:pPr>
              <w:pStyle w:val="Tabletext"/>
            </w:pPr>
            <w:r w:rsidRPr="002F4D97">
              <w:t>76%</w:t>
            </w:r>
          </w:p>
        </w:tc>
        <w:tc>
          <w:tcPr>
            <w:tcW w:w="1134" w:type="dxa"/>
          </w:tcPr>
          <w:p w:rsidR="002F4D97" w:rsidRPr="002F4D97" w:rsidRDefault="002F4D97" w:rsidP="002F4D97">
            <w:pPr>
              <w:pStyle w:val="Tabletext"/>
            </w:pPr>
            <w:r w:rsidRPr="002F4D97">
              <w:t>77%</w:t>
            </w:r>
          </w:p>
        </w:tc>
        <w:tc>
          <w:tcPr>
            <w:tcW w:w="1134" w:type="dxa"/>
          </w:tcPr>
          <w:p w:rsidR="002F4D97" w:rsidRPr="002F4D97" w:rsidRDefault="002F4D97" w:rsidP="002F4D97">
            <w:pPr>
              <w:pStyle w:val="Tabletext"/>
            </w:pPr>
            <w:r w:rsidRPr="002F4D97">
              <w:t>77%</w:t>
            </w:r>
          </w:p>
        </w:tc>
      </w:tr>
      <w:tr w:rsidR="002F4D97" w:rsidTr="002F4D97">
        <w:trPr>
          <w:trHeight w:hRule="exact" w:val="510"/>
        </w:trPr>
        <w:tc>
          <w:tcPr>
            <w:tcW w:w="2268" w:type="dxa"/>
          </w:tcPr>
          <w:p w:rsidR="002F4D97" w:rsidRPr="00C5360A" w:rsidRDefault="002F4D97" w:rsidP="002F4D97">
            <w:pPr>
              <w:pStyle w:val="Tabletext"/>
            </w:pPr>
            <w:r w:rsidRPr="00C5360A">
              <w:t>Diamond Energy</w:t>
            </w:r>
          </w:p>
        </w:tc>
        <w:tc>
          <w:tcPr>
            <w:tcW w:w="1134" w:type="dxa"/>
          </w:tcPr>
          <w:p w:rsidR="002F4D97" w:rsidRPr="00CD2BD9" w:rsidRDefault="002F4D97" w:rsidP="002F4D97">
            <w:pPr>
              <w:pStyle w:val="Tabletext"/>
            </w:pPr>
            <w:r w:rsidRPr="00CD2BD9">
              <w:t>100%</w:t>
            </w:r>
          </w:p>
        </w:tc>
        <w:tc>
          <w:tcPr>
            <w:tcW w:w="1134" w:type="dxa"/>
          </w:tcPr>
          <w:p w:rsidR="002F4D97" w:rsidRPr="00CD2BD9" w:rsidRDefault="002F4D97" w:rsidP="002F4D97">
            <w:pPr>
              <w:pStyle w:val="Tabletext"/>
            </w:pPr>
            <w:r w:rsidRPr="00CD2BD9">
              <w:t>100%</w:t>
            </w:r>
          </w:p>
        </w:tc>
        <w:tc>
          <w:tcPr>
            <w:tcW w:w="1134" w:type="dxa"/>
          </w:tcPr>
          <w:p w:rsidR="002F4D97" w:rsidRPr="00CD2BD9" w:rsidRDefault="001C01EE" w:rsidP="002F4D97">
            <w:pPr>
              <w:pStyle w:val="Tabletext"/>
            </w:pPr>
            <w:r>
              <w:t>95%</w:t>
            </w:r>
          </w:p>
        </w:tc>
        <w:tc>
          <w:tcPr>
            <w:tcW w:w="1134" w:type="dxa"/>
          </w:tcPr>
          <w:p w:rsidR="002F4D97" w:rsidRPr="00CD2BD9" w:rsidRDefault="002F4D97" w:rsidP="002F4D97">
            <w:pPr>
              <w:pStyle w:val="Tabletext"/>
            </w:pPr>
            <w:r w:rsidRPr="00CD2BD9">
              <w:t>98%</w:t>
            </w:r>
          </w:p>
        </w:tc>
        <w:tc>
          <w:tcPr>
            <w:tcW w:w="1134" w:type="dxa"/>
          </w:tcPr>
          <w:p w:rsidR="002F4D97" w:rsidRPr="00CD2BD9" w:rsidRDefault="002F4D97" w:rsidP="002F4D97">
            <w:pPr>
              <w:pStyle w:val="Tabletext"/>
            </w:pPr>
            <w:r w:rsidRPr="00CD2BD9">
              <w:t>100%</w:t>
            </w:r>
          </w:p>
        </w:tc>
        <w:tc>
          <w:tcPr>
            <w:tcW w:w="1134" w:type="dxa"/>
          </w:tcPr>
          <w:p w:rsidR="002F4D97" w:rsidRPr="00CD2BD9" w:rsidRDefault="001C01EE" w:rsidP="002F4D97">
            <w:pPr>
              <w:pStyle w:val="Tabletext"/>
            </w:pPr>
            <w:r>
              <w:t>95%</w:t>
            </w:r>
          </w:p>
        </w:tc>
      </w:tr>
      <w:tr w:rsidR="002F4D97" w:rsidTr="002F4D97">
        <w:trPr>
          <w:trHeight w:hRule="exact" w:val="510"/>
        </w:trPr>
        <w:tc>
          <w:tcPr>
            <w:tcW w:w="2268" w:type="dxa"/>
          </w:tcPr>
          <w:p w:rsidR="002F4D97" w:rsidRPr="00C5360A" w:rsidRDefault="002F4D97" w:rsidP="002F4D97">
            <w:pPr>
              <w:pStyle w:val="Tabletext"/>
            </w:pPr>
            <w:r w:rsidRPr="00C5360A">
              <w:t>EnergyAustralia</w:t>
            </w:r>
          </w:p>
        </w:tc>
        <w:tc>
          <w:tcPr>
            <w:tcW w:w="1134" w:type="dxa"/>
          </w:tcPr>
          <w:p w:rsidR="002F4D97" w:rsidRPr="002F4D97" w:rsidRDefault="002F4D97" w:rsidP="002F4D97">
            <w:pPr>
              <w:pStyle w:val="Tabletext"/>
            </w:pPr>
            <w:r w:rsidRPr="002F4D97">
              <w:t>74%</w:t>
            </w:r>
          </w:p>
        </w:tc>
        <w:tc>
          <w:tcPr>
            <w:tcW w:w="1134" w:type="dxa"/>
          </w:tcPr>
          <w:p w:rsidR="002F4D97" w:rsidRPr="00CD2BD9" w:rsidRDefault="002F4D97" w:rsidP="002F4D97">
            <w:pPr>
              <w:pStyle w:val="Tabletext"/>
            </w:pPr>
            <w:r w:rsidRPr="00CD2BD9">
              <w:t>100%</w:t>
            </w:r>
          </w:p>
        </w:tc>
        <w:tc>
          <w:tcPr>
            <w:tcW w:w="1134" w:type="dxa"/>
          </w:tcPr>
          <w:p w:rsidR="002F4D97" w:rsidRPr="00CD2BD9" w:rsidRDefault="002F4D97" w:rsidP="002F4D97">
            <w:pPr>
              <w:pStyle w:val="Tabletext"/>
            </w:pPr>
            <w:r w:rsidRPr="00CD2BD9">
              <w:t>95%</w:t>
            </w:r>
          </w:p>
        </w:tc>
        <w:tc>
          <w:tcPr>
            <w:tcW w:w="1134" w:type="dxa"/>
          </w:tcPr>
          <w:p w:rsidR="002F4D97" w:rsidRPr="002F4D97" w:rsidRDefault="002F4D97" w:rsidP="002F4D97">
            <w:pPr>
              <w:pStyle w:val="Tabletext"/>
            </w:pPr>
            <w:r w:rsidRPr="002F4D97">
              <w:t>60%</w:t>
            </w:r>
          </w:p>
        </w:tc>
        <w:tc>
          <w:tcPr>
            <w:tcW w:w="1134" w:type="dxa"/>
          </w:tcPr>
          <w:p w:rsidR="002F4D97" w:rsidRPr="002F4D97" w:rsidRDefault="002F4D97" w:rsidP="002F4D97">
            <w:pPr>
              <w:pStyle w:val="Tabletext"/>
            </w:pPr>
            <w:r w:rsidRPr="002F4D97">
              <w:t>71%</w:t>
            </w:r>
          </w:p>
        </w:tc>
        <w:tc>
          <w:tcPr>
            <w:tcW w:w="1134" w:type="dxa"/>
          </w:tcPr>
          <w:p w:rsidR="002F4D97" w:rsidRPr="00CD2BD9" w:rsidRDefault="002F4D97" w:rsidP="002F4D97">
            <w:pPr>
              <w:pStyle w:val="Tabletext"/>
            </w:pPr>
            <w:r w:rsidRPr="00CD2BD9">
              <w:t>93%</w:t>
            </w:r>
          </w:p>
        </w:tc>
      </w:tr>
      <w:tr w:rsidR="002F4D97" w:rsidTr="002F4D97">
        <w:trPr>
          <w:trHeight w:hRule="exact" w:val="510"/>
        </w:trPr>
        <w:tc>
          <w:tcPr>
            <w:tcW w:w="2268" w:type="dxa"/>
          </w:tcPr>
          <w:p w:rsidR="002F4D97" w:rsidRPr="00C5360A" w:rsidRDefault="002F4D97" w:rsidP="002F4D97">
            <w:pPr>
              <w:pStyle w:val="Tabletext"/>
            </w:pPr>
            <w:r w:rsidRPr="00C5360A">
              <w:t xml:space="preserve">ERM Power Retail </w:t>
            </w:r>
          </w:p>
        </w:tc>
        <w:tc>
          <w:tcPr>
            <w:tcW w:w="1134" w:type="dxa"/>
          </w:tcPr>
          <w:p w:rsidR="002F4D97" w:rsidRPr="00CD2BD9" w:rsidRDefault="002F4D97" w:rsidP="002F4D97">
            <w:pPr>
              <w:pStyle w:val="Tabletext"/>
            </w:pPr>
            <w:r w:rsidRPr="00CD2BD9">
              <w:t>N/A</w:t>
            </w:r>
          </w:p>
        </w:tc>
        <w:tc>
          <w:tcPr>
            <w:tcW w:w="1134" w:type="dxa"/>
          </w:tcPr>
          <w:p w:rsidR="002F4D97" w:rsidRPr="00CD2BD9" w:rsidRDefault="002F4D97" w:rsidP="002F4D97">
            <w:pPr>
              <w:pStyle w:val="Tabletext"/>
            </w:pPr>
            <w:r w:rsidRPr="00CD2BD9">
              <w:t>100%</w:t>
            </w:r>
          </w:p>
        </w:tc>
        <w:tc>
          <w:tcPr>
            <w:tcW w:w="1134" w:type="dxa"/>
          </w:tcPr>
          <w:p w:rsidR="002F4D97" w:rsidRPr="00CD2BD9" w:rsidRDefault="002F4D97" w:rsidP="002F4D97">
            <w:pPr>
              <w:pStyle w:val="Tabletext"/>
            </w:pPr>
            <w:r w:rsidRPr="00CD2BD9">
              <w:t>100%</w:t>
            </w:r>
          </w:p>
        </w:tc>
        <w:tc>
          <w:tcPr>
            <w:tcW w:w="1134" w:type="dxa"/>
          </w:tcPr>
          <w:p w:rsidR="002F4D97" w:rsidRPr="00CD2BD9" w:rsidRDefault="002F4D97" w:rsidP="002F4D97">
            <w:pPr>
              <w:pStyle w:val="Tabletext"/>
            </w:pPr>
            <w:r w:rsidRPr="00CD2BD9">
              <w:t>N/A</w:t>
            </w:r>
          </w:p>
        </w:tc>
        <w:tc>
          <w:tcPr>
            <w:tcW w:w="1134" w:type="dxa"/>
          </w:tcPr>
          <w:p w:rsidR="002F4D97" w:rsidRPr="00CD2BD9" w:rsidRDefault="002F4D97" w:rsidP="002F4D97">
            <w:pPr>
              <w:pStyle w:val="Tabletext"/>
            </w:pPr>
            <w:r w:rsidRPr="00CD2BD9">
              <w:t>100%</w:t>
            </w:r>
          </w:p>
        </w:tc>
        <w:tc>
          <w:tcPr>
            <w:tcW w:w="1134" w:type="dxa"/>
          </w:tcPr>
          <w:p w:rsidR="002F4D97" w:rsidRPr="00CD2BD9" w:rsidRDefault="002F4D97" w:rsidP="002F4D97">
            <w:pPr>
              <w:pStyle w:val="Tabletext"/>
            </w:pPr>
            <w:r w:rsidRPr="00CD2BD9">
              <w:t>95%</w:t>
            </w:r>
          </w:p>
        </w:tc>
      </w:tr>
      <w:tr w:rsidR="002F4D97" w:rsidTr="002F4D97">
        <w:trPr>
          <w:trHeight w:hRule="exact" w:val="510"/>
        </w:trPr>
        <w:tc>
          <w:tcPr>
            <w:tcW w:w="2268" w:type="dxa"/>
          </w:tcPr>
          <w:p w:rsidR="002F4D97" w:rsidRPr="00C5360A" w:rsidRDefault="002F4D97" w:rsidP="002F4D97">
            <w:pPr>
              <w:pStyle w:val="Tabletext"/>
            </w:pPr>
            <w:r w:rsidRPr="00C5360A">
              <w:t>Lumo Energy</w:t>
            </w:r>
          </w:p>
        </w:tc>
        <w:tc>
          <w:tcPr>
            <w:tcW w:w="1134" w:type="dxa"/>
          </w:tcPr>
          <w:p w:rsidR="002F4D97" w:rsidRPr="00CD2BD9" w:rsidRDefault="002F4D97" w:rsidP="002F4D97">
            <w:pPr>
              <w:pStyle w:val="Tabletext"/>
            </w:pPr>
            <w:r w:rsidRPr="00CD2BD9">
              <w:t>93%</w:t>
            </w:r>
          </w:p>
        </w:tc>
        <w:tc>
          <w:tcPr>
            <w:tcW w:w="1134" w:type="dxa"/>
          </w:tcPr>
          <w:p w:rsidR="002F4D97" w:rsidRPr="002F4D97" w:rsidRDefault="002F4D97" w:rsidP="002F4D97">
            <w:pPr>
              <w:pStyle w:val="Tabletext"/>
            </w:pPr>
            <w:r w:rsidRPr="002F4D97">
              <w:t>92%</w:t>
            </w:r>
          </w:p>
        </w:tc>
        <w:tc>
          <w:tcPr>
            <w:tcW w:w="1134" w:type="dxa"/>
          </w:tcPr>
          <w:p w:rsidR="002F4D97" w:rsidRPr="00CD2BD9" w:rsidRDefault="002F4D97" w:rsidP="002F4D97">
            <w:pPr>
              <w:pStyle w:val="Tabletext"/>
            </w:pPr>
            <w:r w:rsidRPr="00CD2BD9">
              <w:t>99%</w:t>
            </w:r>
          </w:p>
        </w:tc>
        <w:tc>
          <w:tcPr>
            <w:tcW w:w="1134" w:type="dxa"/>
          </w:tcPr>
          <w:p w:rsidR="002F4D97" w:rsidRPr="00CD2BD9" w:rsidRDefault="002F4D97" w:rsidP="002F4D97">
            <w:pPr>
              <w:pStyle w:val="Tabletext"/>
            </w:pPr>
            <w:r w:rsidRPr="00CD2BD9">
              <w:t>85%</w:t>
            </w:r>
          </w:p>
        </w:tc>
        <w:tc>
          <w:tcPr>
            <w:tcW w:w="1134" w:type="dxa"/>
          </w:tcPr>
          <w:p w:rsidR="002F4D97" w:rsidRPr="00CD2BD9" w:rsidRDefault="002F4D97" w:rsidP="002F4D97">
            <w:pPr>
              <w:pStyle w:val="Tabletext"/>
            </w:pPr>
            <w:r w:rsidRPr="00CD2BD9">
              <w:t>88%</w:t>
            </w:r>
          </w:p>
        </w:tc>
        <w:tc>
          <w:tcPr>
            <w:tcW w:w="1134" w:type="dxa"/>
          </w:tcPr>
          <w:p w:rsidR="002F4D97" w:rsidRPr="00CD2BD9" w:rsidRDefault="002F4D97" w:rsidP="002F4D97">
            <w:pPr>
              <w:pStyle w:val="Tabletext"/>
            </w:pPr>
            <w:r w:rsidRPr="00CD2BD9">
              <w:t>92%</w:t>
            </w:r>
          </w:p>
        </w:tc>
      </w:tr>
      <w:tr w:rsidR="002F4D97" w:rsidTr="002F4D97">
        <w:trPr>
          <w:trHeight w:hRule="exact" w:val="510"/>
        </w:trPr>
        <w:tc>
          <w:tcPr>
            <w:tcW w:w="2268" w:type="dxa"/>
          </w:tcPr>
          <w:p w:rsidR="002F4D97" w:rsidRPr="00C5360A" w:rsidRDefault="002F4D97" w:rsidP="002F4D97">
            <w:pPr>
              <w:pStyle w:val="Tabletext"/>
            </w:pPr>
            <w:r w:rsidRPr="00C5360A">
              <w:t>M2 Energy</w:t>
            </w:r>
          </w:p>
        </w:tc>
        <w:tc>
          <w:tcPr>
            <w:tcW w:w="1134" w:type="dxa"/>
          </w:tcPr>
          <w:p w:rsidR="002F4D97" w:rsidRPr="00CD2BD9" w:rsidRDefault="002F4D97" w:rsidP="002F4D97">
            <w:pPr>
              <w:pStyle w:val="Tabletext"/>
            </w:pPr>
            <w:r w:rsidRPr="00CD2BD9">
              <w:t>N/A</w:t>
            </w:r>
          </w:p>
        </w:tc>
        <w:tc>
          <w:tcPr>
            <w:tcW w:w="1134" w:type="dxa"/>
          </w:tcPr>
          <w:p w:rsidR="002F4D97" w:rsidRPr="00CD2BD9" w:rsidRDefault="002F4D97" w:rsidP="002F4D97">
            <w:pPr>
              <w:pStyle w:val="Tabletext"/>
            </w:pPr>
            <w:r w:rsidRPr="00CD2BD9">
              <w:t>100%</w:t>
            </w:r>
          </w:p>
        </w:tc>
        <w:tc>
          <w:tcPr>
            <w:tcW w:w="1134" w:type="dxa"/>
          </w:tcPr>
          <w:p w:rsidR="002F4D97" w:rsidRPr="002F4D97" w:rsidRDefault="002F4D97" w:rsidP="002F4D97">
            <w:pPr>
              <w:pStyle w:val="Tabletext"/>
            </w:pPr>
            <w:r w:rsidRPr="002F4D97">
              <w:t>88%</w:t>
            </w:r>
          </w:p>
        </w:tc>
        <w:tc>
          <w:tcPr>
            <w:tcW w:w="1134" w:type="dxa"/>
          </w:tcPr>
          <w:p w:rsidR="002F4D97" w:rsidRPr="00CD2BD9" w:rsidRDefault="002F4D97" w:rsidP="002F4D97">
            <w:pPr>
              <w:pStyle w:val="Tabletext"/>
            </w:pPr>
            <w:r w:rsidRPr="00CD2BD9">
              <w:t>N/A</w:t>
            </w:r>
          </w:p>
        </w:tc>
        <w:tc>
          <w:tcPr>
            <w:tcW w:w="1134" w:type="dxa"/>
          </w:tcPr>
          <w:p w:rsidR="002F4D97" w:rsidRPr="002F4D97" w:rsidRDefault="002F4D97" w:rsidP="002F4D97">
            <w:pPr>
              <w:pStyle w:val="Tabletext"/>
            </w:pPr>
            <w:r w:rsidRPr="002F4D97">
              <w:t>70%</w:t>
            </w:r>
          </w:p>
        </w:tc>
        <w:tc>
          <w:tcPr>
            <w:tcW w:w="1134" w:type="dxa"/>
          </w:tcPr>
          <w:p w:rsidR="002F4D97" w:rsidRPr="002F4D97" w:rsidRDefault="002F4D97" w:rsidP="002F4D97">
            <w:pPr>
              <w:pStyle w:val="Tabletext"/>
            </w:pPr>
            <w:r w:rsidRPr="002F4D97">
              <w:t>79%</w:t>
            </w:r>
          </w:p>
        </w:tc>
      </w:tr>
      <w:tr w:rsidR="002F4D97" w:rsidTr="002F4D97">
        <w:trPr>
          <w:trHeight w:hRule="exact" w:val="510"/>
        </w:trPr>
        <w:tc>
          <w:tcPr>
            <w:tcW w:w="2268" w:type="dxa"/>
          </w:tcPr>
          <w:p w:rsidR="002F4D97" w:rsidRPr="00C5360A" w:rsidRDefault="002F4D97" w:rsidP="002F4D97">
            <w:pPr>
              <w:pStyle w:val="Tabletext"/>
            </w:pPr>
            <w:r w:rsidRPr="00C5360A">
              <w:t>Momentum Energy</w:t>
            </w:r>
          </w:p>
        </w:tc>
        <w:tc>
          <w:tcPr>
            <w:tcW w:w="1134" w:type="dxa"/>
          </w:tcPr>
          <w:p w:rsidR="002F4D97" w:rsidRPr="00CD2BD9" w:rsidRDefault="002F4D97" w:rsidP="002F4D97">
            <w:pPr>
              <w:pStyle w:val="Tabletext"/>
            </w:pPr>
            <w:r w:rsidRPr="00CD2BD9">
              <w:t>98%</w:t>
            </w:r>
          </w:p>
        </w:tc>
        <w:tc>
          <w:tcPr>
            <w:tcW w:w="1134" w:type="dxa"/>
          </w:tcPr>
          <w:p w:rsidR="002F4D97" w:rsidRPr="00CD2BD9" w:rsidRDefault="002F4D97" w:rsidP="002F4D97">
            <w:pPr>
              <w:pStyle w:val="Tabletext"/>
            </w:pPr>
            <w:r w:rsidRPr="00CD2BD9">
              <w:t>100%</w:t>
            </w:r>
          </w:p>
        </w:tc>
        <w:tc>
          <w:tcPr>
            <w:tcW w:w="1134" w:type="dxa"/>
          </w:tcPr>
          <w:p w:rsidR="002F4D97" w:rsidRPr="002F4D97" w:rsidRDefault="002F4D97" w:rsidP="002F4D97">
            <w:pPr>
              <w:pStyle w:val="Tabletext"/>
            </w:pPr>
            <w:r>
              <w:t>100%</w:t>
            </w:r>
          </w:p>
        </w:tc>
        <w:tc>
          <w:tcPr>
            <w:tcW w:w="1134" w:type="dxa"/>
          </w:tcPr>
          <w:p w:rsidR="002F4D97" w:rsidRPr="002F4D97" w:rsidRDefault="002F4D97" w:rsidP="002F4D97">
            <w:pPr>
              <w:pStyle w:val="Tabletext"/>
            </w:pPr>
            <w:r w:rsidRPr="002F4D97">
              <w:t>77%</w:t>
            </w:r>
          </w:p>
        </w:tc>
        <w:tc>
          <w:tcPr>
            <w:tcW w:w="1134" w:type="dxa"/>
          </w:tcPr>
          <w:p w:rsidR="002F4D97" w:rsidRPr="002F4D97" w:rsidRDefault="002F4D97" w:rsidP="002F4D97">
            <w:pPr>
              <w:pStyle w:val="Tabletext"/>
            </w:pPr>
            <w:r w:rsidRPr="002F4D97">
              <w:t>72%</w:t>
            </w:r>
          </w:p>
        </w:tc>
        <w:tc>
          <w:tcPr>
            <w:tcW w:w="1134" w:type="dxa"/>
          </w:tcPr>
          <w:p w:rsidR="002F4D97" w:rsidRPr="002F4D97" w:rsidRDefault="002F4D97" w:rsidP="002F4D97">
            <w:pPr>
              <w:pStyle w:val="Tabletext"/>
            </w:pPr>
            <w:r w:rsidRPr="002F4D97">
              <w:t>83%</w:t>
            </w:r>
          </w:p>
        </w:tc>
      </w:tr>
      <w:tr w:rsidR="002F4D97" w:rsidTr="002F4D97">
        <w:trPr>
          <w:trHeight w:hRule="exact" w:val="510"/>
        </w:trPr>
        <w:tc>
          <w:tcPr>
            <w:tcW w:w="2268" w:type="dxa"/>
          </w:tcPr>
          <w:p w:rsidR="002F4D97" w:rsidRPr="00C5360A" w:rsidRDefault="002F4D97" w:rsidP="002F4D97">
            <w:pPr>
              <w:pStyle w:val="Tabletext"/>
            </w:pPr>
            <w:r w:rsidRPr="00C5360A">
              <w:t>Origin Energy</w:t>
            </w:r>
          </w:p>
        </w:tc>
        <w:tc>
          <w:tcPr>
            <w:tcW w:w="1134" w:type="dxa"/>
          </w:tcPr>
          <w:p w:rsidR="002F4D97" w:rsidRPr="002F4D97" w:rsidRDefault="002F4D97" w:rsidP="002F4D97">
            <w:pPr>
              <w:pStyle w:val="Tabletext"/>
            </w:pPr>
            <w:r w:rsidRPr="002F4D97">
              <w:t>47%</w:t>
            </w:r>
          </w:p>
        </w:tc>
        <w:tc>
          <w:tcPr>
            <w:tcW w:w="1134" w:type="dxa"/>
          </w:tcPr>
          <w:p w:rsidR="002F4D97" w:rsidRPr="00CD2BD9" w:rsidRDefault="002F4D97" w:rsidP="002F4D97">
            <w:pPr>
              <w:pStyle w:val="Tabletext"/>
            </w:pPr>
            <w:r w:rsidRPr="00CD2BD9">
              <w:t>97%</w:t>
            </w:r>
          </w:p>
        </w:tc>
        <w:tc>
          <w:tcPr>
            <w:tcW w:w="1134" w:type="dxa"/>
          </w:tcPr>
          <w:p w:rsidR="002F4D97" w:rsidRPr="00CD2BD9" w:rsidRDefault="002F4D97" w:rsidP="002F4D97">
            <w:pPr>
              <w:pStyle w:val="Tabletext"/>
            </w:pPr>
            <w:r w:rsidRPr="00CD2BD9">
              <w:t>99%</w:t>
            </w:r>
          </w:p>
        </w:tc>
        <w:tc>
          <w:tcPr>
            <w:tcW w:w="1134" w:type="dxa"/>
          </w:tcPr>
          <w:p w:rsidR="002F4D97" w:rsidRPr="002F4D97" w:rsidRDefault="002F4D97" w:rsidP="002F4D97">
            <w:pPr>
              <w:pStyle w:val="Tabletext"/>
            </w:pPr>
            <w:r w:rsidRPr="002F4D97">
              <w:t>84%</w:t>
            </w:r>
          </w:p>
        </w:tc>
        <w:tc>
          <w:tcPr>
            <w:tcW w:w="1134" w:type="dxa"/>
          </w:tcPr>
          <w:p w:rsidR="002F4D97" w:rsidRPr="00CD2BD9" w:rsidRDefault="002F4D97" w:rsidP="002F4D97">
            <w:pPr>
              <w:pStyle w:val="Tabletext"/>
            </w:pPr>
            <w:r w:rsidRPr="00CD2BD9">
              <w:t>93%</w:t>
            </w:r>
          </w:p>
        </w:tc>
        <w:tc>
          <w:tcPr>
            <w:tcW w:w="1134" w:type="dxa"/>
          </w:tcPr>
          <w:p w:rsidR="002F4D97" w:rsidRPr="00CD2BD9" w:rsidRDefault="002F4D97" w:rsidP="002F4D97">
            <w:pPr>
              <w:pStyle w:val="Tabletext"/>
            </w:pPr>
            <w:r w:rsidRPr="00CD2BD9">
              <w:t>94%</w:t>
            </w:r>
          </w:p>
        </w:tc>
      </w:tr>
      <w:tr w:rsidR="002F4D97" w:rsidTr="002F4D97">
        <w:trPr>
          <w:trHeight w:hRule="exact" w:val="510"/>
        </w:trPr>
        <w:tc>
          <w:tcPr>
            <w:tcW w:w="2268" w:type="dxa"/>
          </w:tcPr>
          <w:p w:rsidR="002F4D97" w:rsidRPr="00C5360A" w:rsidRDefault="002F4D97" w:rsidP="002F4D97">
            <w:pPr>
              <w:pStyle w:val="Tabletext"/>
            </w:pPr>
            <w:r w:rsidRPr="00C5360A">
              <w:t>Pacific Hydro</w:t>
            </w:r>
          </w:p>
        </w:tc>
        <w:tc>
          <w:tcPr>
            <w:tcW w:w="1134" w:type="dxa"/>
          </w:tcPr>
          <w:p w:rsidR="002F4D97" w:rsidRPr="00CD2BD9" w:rsidRDefault="002F4D97" w:rsidP="002F4D97">
            <w:pPr>
              <w:pStyle w:val="Tabletext"/>
            </w:pPr>
            <w:r w:rsidRPr="00CD2BD9">
              <w:t>N/A</w:t>
            </w:r>
          </w:p>
        </w:tc>
        <w:tc>
          <w:tcPr>
            <w:tcW w:w="1134" w:type="dxa"/>
          </w:tcPr>
          <w:p w:rsidR="002F4D97" w:rsidRPr="00CD2BD9" w:rsidRDefault="002F4D97" w:rsidP="002F4D97">
            <w:pPr>
              <w:pStyle w:val="Tabletext"/>
            </w:pPr>
            <w:r w:rsidRPr="00CD2BD9">
              <w:t>N/A</w:t>
            </w:r>
          </w:p>
        </w:tc>
        <w:tc>
          <w:tcPr>
            <w:tcW w:w="1134" w:type="dxa"/>
          </w:tcPr>
          <w:p w:rsidR="002F4D97" w:rsidRPr="00CD2BD9" w:rsidRDefault="002F4D97" w:rsidP="002F4D97">
            <w:pPr>
              <w:pStyle w:val="Tabletext"/>
            </w:pPr>
            <w:r w:rsidRPr="00CD2BD9">
              <w:t>100%</w:t>
            </w:r>
          </w:p>
        </w:tc>
        <w:tc>
          <w:tcPr>
            <w:tcW w:w="1134" w:type="dxa"/>
          </w:tcPr>
          <w:p w:rsidR="002F4D97" w:rsidRPr="00CD2BD9" w:rsidRDefault="002F4D97" w:rsidP="002F4D97">
            <w:pPr>
              <w:pStyle w:val="Tabletext"/>
            </w:pPr>
            <w:r w:rsidRPr="00CD2BD9">
              <w:t>N/A</w:t>
            </w:r>
          </w:p>
        </w:tc>
        <w:tc>
          <w:tcPr>
            <w:tcW w:w="1134" w:type="dxa"/>
          </w:tcPr>
          <w:p w:rsidR="002F4D97" w:rsidRPr="00CD2BD9" w:rsidRDefault="002F4D97" w:rsidP="002F4D97">
            <w:pPr>
              <w:pStyle w:val="Tabletext"/>
            </w:pPr>
            <w:r w:rsidRPr="00CD2BD9">
              <w:t>100%</w:t>
            </w:r>
          </w:p>
        </w:tc>
        <w:tc>
          <w:tcPr>
            <w:tcW w:w="1134" w:type="dxa"/>
          </w:tcPr>
          <w:p w:rsidR="002F4D97" w:rsidRPr="00CD2BD9" w:rsidRDefault="002F4D97" w:rsidP="002F4D97">
            <w:pPr>
              <w:pStyle w:val="Tabletext"/>
            </w:pPr>
            <w:r w:rsidRPr="00CD2BD9">
              <w:t>97%</w:t>
            </w:r>
          </w:p>
        </w:tc>
      </w:tr>
      <w:tr w:rsidR="002F4D97" w:rsidTr="002F4D97">
        <w:trPr>
          <w:trHeight w:hRule="exact" w:val="510"/>
        </w:trPr>
        <w:tc>
          <w:tcPr>
            <w:tcW w:w="2268" w:type="dxa"/>
          </w:tcPr>
          <w:p w:rsidR="002F4D97" w:rsidRPr="00C5360A" w:rsidRDefault="002F4D97" w:rsidP="002F4D97">
            <w:pPr>
              <w:pStyle w:val="Tabletext"/>
            </w:pPr>
            <w:r w:rsidRPr="00C5360A">
              <w:t>Powerdirect</w:t>
            </w:r>
          </w:p>
        </w:tc>
        <w:tc>
          <w:tcPr>
            <w:tcW w:w="1134" w:type="dxa"/>
          </w:tcPr>
          <w:p w:rsidR="002F4D97" w:rsidRPr="002F4D97" w:rsidRDefault="002F4D97" w:rsidP="002F4D97">
            <w:pPr>
              <w:pStyle w:val="Tabletext"/>
            </w:pPr>
            <w:r w:rsidRPr="002F4D97">
              <w:t>73%</w:t>
            </w:r>
          </w:p>
        </w:tc>
        <w:tc>
          <w:tcPr>
            <w:tcW w:w="1134" w:type="dxa"/>
          </w:tcPr>
          <w:p w:rsidR="002F4D97" w:rsidRPr="00CD2BD9" w:rsidRDefault="002F4D97" w:rsidP="002F4D97">
            <w:pPr>
              <w:pStyle w:val="Tabletext"/>
            </w:pPr>
            <w:r w:rsidRPr="00CD2BD9">
              <w:t>95%</w:t>
            </w:r>
          </w:p>
        </w:tc>
        <w:tc>
          <w:tcPr>
            <w:tcW w:w="1134" w:type="dxa"/>
          </w:tcPr>
          <w:p w:rsidR="002F4D97" w:rsidRPr="00CD2BD9" w:rsidRDefault="002F4D97" w:rsidP="002F4D97">
            <w:pPr>
              <w:pStyle w:val="Tabletext"/>
            </w:pPr>
            <w:r w:rsidRPr="00CD2BD9">
              <w:t>95%</w:t>
            </w:r>
          </w:p>
        </w:tc>
        <w:tc>
          <w:tcPr>
            <w:tcW w:w="1134" w:type="dxa"/>
          </w:tcPr>
          <w:p w:rsidR="002F4D97" w:rsidRPr="002F4D97" w:rsidRDefault="002F4D97" w:rsidP="002F4D97">
            <w:pPr>
              <w:pStyle w:val="Tabletext"/>
            </w:pPr>
            <w:r w:rsidRPr="002F4D97">
              <w:t>66%</w:t>
            </w:r>
          </w:p>
        </w:tc>
        <w:tc>
          <w:tcPr>
            <w:tcW w:w="1134" w:type="dxa"/>
          </w:tcPr>
          <w:p w:rsidR="002F4D97" w:rsidRPr="002F4D97" w:rsidRDefault="002F4D97" w:rsidP="002F4D97">
            <w:pPr>
              <w:pStyle w:val="Tabletext"/>
            </w:pPr>
            <w:r w:rsidRPr="002F4D97">
              <w:t>65%</w:t>
            </w:r>
          </w:p>
        </w:tc>
        <w:tc>
          <w:tcPr>
            <w:tcW w:w="1134" w:type="dxa"/>
          </w:tcPr>
          <w:p w:rsidR="002F4D97" w:rsidRPr="00CD2BD9" w:rsidRDefault="002F4D97" w:rsidP="002F4D97">
            <w:pPr>
              <w:pStyle w:val="Tabletext"/>
            </w:pPr>
            <w:r w:rsidRPr="00CD2BD9">
              <w:t>85%</w:t>
            </w:r>
          </w:p>
        </w:tc>
      </w:tr>
      <w:tr w:rsidR="002F4D97" w:rsidTr="002F4D97">
        <w:trPr>
          <w:trHeight w:hRule="exact" w:val="510"/>
        </w:trPr>
        <w:tc>
          <w:tcPr>
            <w:tcW w:w="2268" w:type="dxa"/>
          </w:tcPr>
          <w:p w:rsidR="002F4D97" w:rsidRPr="00C5360A" w:rsidRDefault="002F4D97" w:rsidP="002F4D97">
            <w:pPr>
              <w:pStyle w:val="Tabletext"/>
            </w:pPr>
            <w:r w:rsidRPr="00C5360A">
              <w:t>QEnergy</w:t>
            </w:r>
          </w:p>
        </w:tc>
        <w:tc>
          <w:tcPr>
            <w:tcW w:w="1134" w:type="dxa"/>
          </w:tcPr>
          <w:p w:rsidR="002F4D97" w:rsidRPr="002F4D97" w:rsidRDefault="002F4D97" w:rsidP="002F4D97">
            <w:pPr>
              <w:pStyle w:val="Tabletext"/>
            </w:pPr>
            <w:r w:rsidRPr="002F4D97">
              <w:t>40%</w:t>
            </w:r>
          </w:p>
        </w:tc>
        <w:tc>
          <w:tcPr>
            <w:tcW w:w="1134" w:type="dxa"/>
          </w:tcPr>
          <w:p w:rsidR="002F4D97" w:rsidRPr="00CD2BD9" w:rsidRDefault="002F4D97" w:rsidP="002F4D97">
            <w:pPr>
              <w:pStyle w:val="Tabletext"/>
            </w:pPr>
            <w:r w:rsidRPr="00CD2BD9">
              <w:t>97%</w:t>
            </w:r>
          </w:p>
        </w:tc>
        <w:tc>
          <w:tcPr>
            <w:tcW w:w="1134" w:type="dxa"/>
          </w:tcPr>
          <w:p w:rsidR="002F4D97" w:rsidRPr="002F4D97" w:rsidRDefault="002F4D97" w:rsidP="002F4D97">
            <w:pPr>
              <w:pStyle w:val="Tabletext"/>
            </w:pPr>
            <w:r>
              <w:t>100%</w:t>
            </w:r>
          </w:p>
        </w:tc>
        <w:tc>
          <w:tcPr>
            <w:tcW w:w="1134" w:type="dxa"/>
          </w:tcPr>
          <w:p w:rsidR="002F4D97" w:rsidRPr="00CD2BD9" w:rsidRDefault="002F4D97" w:rsidP="002F4D97">
            <w:pPr>
              <w:pStyle w:val="Tabletext"/>
            </w:pPr>
            <w:r w:rsidRPr="00CD2BD9">
              <w:t>87%</w:t>
            </w:r>
          </w:p>
        </w:tc>
        <w:tc>
          <w:tcPr>
            <w:tcW w:w="1134" w:type="dxa"/>
          </w:tcPr>
          <w:p w:rsidR="002F4D97" w:rsidRPr="00CD2BD9" w:rsidRDefault="002F4D97" w:rsidP="002F4D97">
            <w:pPr>
              <w:pStyle w:val="Tabletext"/>
            </w:pPr>
            <w:r w:rsidRPr="00CD2BD9">
              <w:t>98%</w:t>
            </w:r>
          </w:p>
        </w:tc>
        <w:tc>
          <w:tcPr>
            <w:tcW w:w="1134" w:type="dxa"/>
          </w:tcPr>
          <w:p w:rsidR="002F4D97" w:rsidRPr="002F4D97" w:rsidRDefault="002F4D97" w:rsidP="002F4D97">
            <w:pPr>
              <w:pStyle w:val="Tabletext"/>
            </w:pPr>
            <w:r>
              <w:t>100%</w:t>
            </w:r>
          </w:p>
        </w:tc>
      </w:tr>
      <w:tr w:rsidR="002F4D97" w:rsidTr="002F4D97">
        <w:trPr>
          <w:trHeight w:hRule="exact" w:val="510"/>
        </w:trPr>
        <w:tc>
          <w:tcPr>
            <w:tcW w:w="2268" w:type="dxa"/>
          </w:tcPr>
          <w:p w:rsidR="002F4D97" w:rsidRPr="00C5360A" w:rsidRDefault="002F4D97" w:rsidP="002F4D97">
            <w:pPr>
              <w:pStyle w:val="Tabletext"/>
            </w:pPr>
            <w:r w:rsidRPr="00C5360A">
              <w:t>Red Energy</w:t>
            </w:r>
          </w:p>
        </w:tc>
        <w:tc>
          <w:tcPr>
            <w:tcW w:w="1134" w:type="dxa"/>
          </w:tcPr>
          <w:p w:rsidR="002F4D97" w:rsidRPr="00CD2BD9" w:rsidRDefault="002F4D97" w:rsidP="002F4D97">
            <w:pPr>
              <w:pStyle w:val="Tabletext"/>
            </w:pPr>
            <w:r w:rsidRPr="00CD2BD9">
              <w:t>100%</w:t>
            </w:r>
          </w:p>
        </w:tc>
        <w:tc>
          <w:tcPr>
            <w:tcW w:w="1134" w:type="dxa"/>
          </w:tcPr>
          <w:p w:rsidR="002F4D97" w:rsidRPr="00CD2BD9" w:rsidRDefault="002F4D97" w:rsidP="002F4D97">
            <w:pPr>
              <w:pStyle w:val="Tabletext"/>
            </w:pPr>
            <w:r w:rsidRPr="00CD2BD9">
              <w:t>100%</w:t>
            </w:r>
          </w:p>
        </w:tc>
        <w:tc>
          <w:tcPr>
            <w:tcW w:w="1134" w:type="dxa"/>
          </w:tcPr>
          <w:p w:rsidR="002F4D97" w:rsidRPr="00CD2BD9" w:rsidRDefault="002F4D97" w:rsidP="002F4D97">
            <w:pPr>
              <w:pStyle w:val="Tabletext"/>
            </w:pPr>
            <w:r w:rsidRPr="00CD2BD9">
              <w:t>100%</w:t>
            </w:r>
          </w:p>
        </w:tc>
        <w:tc>
          <w:tcPr>
            <w:tcW w:w="1134" w:type="dxa"/>
          </w:tcPr>
          <w:p w:rsidR="002F4D97" w:rsidRPr="00CD2BD9" w:rsidRDefault="002F4D97" w:rsidP="002F4D97">
            <w:pPr>
              <w:pStyle w:val="Tabletext"/>
            </w:pPr>
            <w:r w:rsidRPr="00CD2BD9">
              <w:t>93%</w:t>
            </w:r>
          </w:p>
        </w:tc>
        <w:tc>
          <w:tcPr>
            <w:tcW w:w="1134" w:type="dxa"/>
          </w:tcPr>
          <w:p w:rsidR="002F4D97" w:rsidRPr="00CD2BD9" w:rsidRDefault="002F4D97" w:rsidP="002F4D97">
            <w:pPr>
              <w:pStyle w:val="Tabletext"/>
            </w:pPr>
            <w:r w:rsidRPr="00CD2BD9">
              <w:t>96%</w:t>
            </w:r>
          </w:p>
        </w:tc>
        <w:tc>
          <w:tcPr>
            <w:tcW w:w="1134" w:type="dxa"/>
          </w:tcPr>
          <w:p w:rsidR="002F4D97" w:rsidRPr="00CD2BD9" w:rsidRDefault="002F4D97" w:rsidP="002F4D97">
            <w:pPr>
              <w:pStyle w:val="Tabletext"/>
            </w:pPr>
            <w:r w:rsidRPr="00CD2BD9">
              <w:t>94%</w:t>
            </w:r>
          </w:p>
        </w:tc>
      </w:tr>
      <w:tr w:rsidR="002F4D97" w:rsidTr="002F4D97">
        <w:trPr>
          <w:trHeight w:hRule="exact" w:val="510"/>
        </w:trPr>
        <w:tc>
          <w:tcPr>
            <w:tcW w:w="2268" w:type="dxa"/>
          </w:tcPr>
          <w:p w:rsidR="002F4D97" w:rsidRPr="00C5360A" w:rsidRDefault="002F4D97" w:rsidP="002F4D97">
            <w:pPr>
              <w:pStyle w:val="Tabletext"/>
            </w:pPr>
            <w:r w:rsidRPr="00C5360A">
              <w:t>Sanctuary Energy</w:t>
            </w:r>
          </w:p>
        </w:tc>
        <w:tc>
          <w:tcPr>
            <w:tcW w:w="1134" w:type="dxa"/>
          </w:tcPr>
          <w:p w:rsidR="002F4D97" w:rsidRPr="002F4D97" w:rsidRDefault="002F4D97" w:rsidP="002F4D97">
            <w:pPr>
              <w:pStyle w:val="Tabletext"/>
            </w:pPr>
            <w:r w:rsidRPr="002F4D97">
              <w:t>83%</w:t>
            </w:r>
          </w:p>
        </w:tc>
        <w:tc>
          <w:tcPr>
            <w:tcW w:w="1134" w:type="dxa"/>
          </w:tcPr>
          <w:p w:rsidR="002F4D97" w:rsidRPr="00CD2BD9" w:rsidRDefault="002F4D97" w:rsidP="002F4D97">
            <w:pPr>
              <w:pStyle w:val="Tabletext"/>
            </w:pPr>
            <w:r w:rsidRPr="00CD2BD9">
              <w:t>100%</w:t>
            </w:r>
          </w:p>
        </w:tc>
        <w:tc>
          <w:tcPr>
            <w:tcW w:w="1134" w:type="dxa"/>
          </w:tcPr>
          <w:p w:rsidR="002F4D97" w:rsidRPr="002F4D97" w:rsidRDefault="002F4D97" w:rsidP="002F4D97">
            <w:pPr>
              <w:pStyle w:val="Tabletext"/>
            </w:pPr>
            <w:r w:rsidRPr="002F4D97">
              <w:t>88%</w:t>
            </w:r>
          </w:p>
        </w:tc>
        <w:tc>
          <w:tcPr>
            <w:tcW w:w="1134" w:type="dxa"/>
          </w:tcPr>
          <w:p w:rsidR="002F4D97" w:rsidRPr="002F4D97" w:rsidRDefault="002F4D97" w:rsidP="002F4D97">
            <w:pPr>
              <w:pStyle w:val="Tabletext"/>
            </w:pPr>
            <w:r w:rsidRPr="002F4D97">
              <w:t>78%</w:t>
            </w:r>
          </w:p>
        </w:tc>
        <w:tc>
          <w:tcPr>
            <w:tcW w:w="1134" w:type="dxa"/>
          </w:tcPr>
          <w:p w:rsidR="002F4D97" w:rsidRPr="002F4D97" w:rsidRDefault="002F4D97" w:rsidP="002F4D97">
            <w:pPr>
              <w:pStyle w:val="Tabletext"/>
            </w:pPr>
            <w:r w:rsidRPr="002F4D97">
              <w:t>77%</w:t>
            </w:r>
          </w:p>
        </w:tc>
        <w:tc>
          <w:tcPr>
            <w:tcW w:w="1134" w:type="dxa"/>
          </w:tcPr>
          <w:p w:rsidR="002F4D97" w:rsidRPr="002F4D97" w:rsidRDefault="002F4D97" w:rsidP="002F4D97">
            <w:pPr>
              <w:pStyle w:val="Tabletext"/>
            </w:pPr>
            <w:r w:rsidRPr="002F4D97">
              <w:t>80%</w:t>
            </w:r>
          </w:p>
        </w:tc>
      </w:tr>
      <w:tr w:rsidR="002F4D97" w:rsidTr="002F4D97">
        <w:trPr>
          <w:trHeight w:hRule="exact" w:val="510"/>
        </w:trPr>
        <w:tc>
          <w:tcPr>
            <w:tcW w:w="2268" w:type="dxa"/>
          </w:tcPr>
          <w:p w:rsidR="002F4D97" w:rsidRPr="00C5360A" w:rsidRDefault="002F4D97" w:rsidP="002F4D97">
            <w:pPr>
              <w:pStyle w:val="Tabletext"/>
            </w:pPr>
            <w:r w:rsidRPr="00C5360A">
              <w:t>Simply Energy</w:t>
            </w:r>
          </w:p>
        </w:tc>
        <w:tc>
          <w:tcPr>
            <w:tcW w:w="1134" w:type="dxa"/>
          </w:tcPr>
          <w:p w:rsidR="002F4D97" w:rsidRPr="00CD2BD9" w:rsidRDefault="002F4D97" w:rsidP="002F4D97">
            <w:pPr>
              <w:pStyle w:val="Tabletext"/>
            </w:pPr>
            <w:r w:rsidRPr="00CD2BD9">
              <w:t>100%</w:t>
            </w:r>
          </w:p>
        </w:tc>
        <w:tc>
          <w:tcPr>
            <w:tcW w:w="1134" w:type="dxa"/>
          </w:tcPr>
          <w:p w:rsidR="002F4D97" w:rsidRPr="002F4D97" w:rsidRDefault="002F4D97" w:rsidP="002F4D97">
            <w:pPr>
              <w:pStyle w:val="Tabletext"/>
            </w:pPr>
            <w:r w:rsidRPr="002F4D97">
              <w:t>78%</w:t>
            </w:r>
          </w:p>
        </w:tc>
        <w:tc>
          <w:tcPr>
            <w:tcW w:w="1134" w:type="dxa"/>
          </w:tcPr>
          <w:p w:rsidR="002F4D97" w:rsidRPr="002F4D97" w:rsidRDefault="002F4D97" w:rsidP="002F4D97">
            <w:pPr>
              <w:pStyle w:val="Tabletext"/>
            </w:pPr>
            <w:r>
              <w:t>100%</w:t>
            </w:r>
          </w:p>
        </w:tc>
        <w:tc>
          <w:tcPr>
            <w:tcW w:w="1134" w:type="dxa"/>
          </w:tcPr>
          <w:p w:rsidR="002F4D97" w:rsidRPr="00CD2BD9" w:rsidRDefault="002F4D97" w:rsidP="002F4D97">
            <w:pPr>
              <w:pStyle w:val="Tabletext"/>
            </w:pPr>
            <w:r w:rsidRPr="00CD2BD9">
              <w:t>85%</w:t>
            </w:r>
          </w:p>
        </w:tc>
        <w:tc>
          <w:tcPr>
            <w:tcW w:w="1134" w:type="dxa"/>
          </w:tcPr>
          <w:p w:rsidR="002F4D97" w:rsidRPr="00CD2BD9" w:rsidRDefault="002F4D97" w:rsidP="002F4D97">
            <w:pPr>
              <w:pStyle w:val="Tabletext"/>
            </w:pPr>
            <w:r w:rsidRPr="00CD2BD9">
              <w:t>93%</w:t>
            </w:r>
          </w:p>
        </w:tc>
        <w:tc>
          <w:tcPr>
            <w:tcW w:w="1134" w:type="dxa"/>
          </w:tcPr>
          <w:p w:rsidR="002F4D97" w:rsidRPr="002F4D97" w:rsidRDefault="002F4D97" w:rsidP="002F4D97">
            <w:pPr>
              <w:pStyle w:val="Tabletext"/>
            </w:pPr>
            <w:r>
              <w:t>91%</w:t>
            </w:r>
          </w:p>
        </w:tc>
      </w:tr>
    </w:tbl>
    <w:p w:rsidR="002F4D97" w:rsidRPr="0017238B" w:rsidRDefault="002F4D97" w:rsidP="002F4D97">
      <w:pPr>
        <w:rPr>
          <w:highlight w:val="yellow"/>
        </w:rPr>
      </w:pPr>
      <w:r w:rsidRPr="0017238B">
        <w:t xml:space="preserve">Alinta Energy, Momentum Energy and Sanctuary Energy have all failed to meet the telephone responsiveness service standard for the last three years. M2 Energy has also failed to meet this standard in the two years it has operated in the South Australian retail energy market. </w:t>
      </w:r>
      <w:r>
        <w:br w:type="page"/>
      </w:r>
    </w:p>
    <w:p w:rsidR="002F4D97" w:rsidRPr="002F4D97" w:rsidRDefault="002F4D97" w:rsidP="002F4D97">
      <w:pPr>
        <w:pStyle w:val="Heading2"/>
        <w:numPr>
          <w:ilvl w:val="0"/>
          <w:numId w:val="0"/>
        </w:numPr>
        <w:ind w:left="1002" w:hanging="576"/>
      </w:pPr>
      <w:bookmarkStart w:id="80" w:name="_Toc433026851"/>
      <w:r>
        <w:lastRenderedPageBreak/>
        <w:t xml:space="preserve">Appendix 3: </w:t>
      </w:r>
      <w:r w:rsidRPr="002F4D97">
        <w:tab/>
        <w:t>Distribution service standards, associated GSL schemes and small claims compensation regimes</w:t>
      </w:r>
      <w:bookmarkEnd w:id="80"/>
    </w:p>
    <w:p w:rsidR="002F4D97" w:rsidRDefault="002F4D97" w:rsidP="002F4D97">
      <w:r>
        <w:t>Section 285 of the Retail Law specifies that a retail market performance report must include, amongst other things, a report on the performance of distributors by reference to distributor service standards and associated Guaranteed Service Level (GSL) schemes.</w:t>
      </w:r>
      <w:r>
        <w:rPr>
          <w:rStyle w:val="FootnoteReference"/>
        </w:rPr>
        <w:footnoteReference w:id="44"/>
      </w:r>
      <w:r>
        <w:t xml:space="preserve"> The Retail Law defines distributor service standards as service standards imposed on distributors by or under energy laws</w:t>
      </w:r>
      <w:r>
        <w:rPr>
          <w:rStyle w:val="FootnoteReference"/>
        </w:rPr>
        <w:footnoteReference w:id="45"/>
      </w:r>
      <w:r>
        <w:t>, including, for example, service standards relating to the following:</w:t>
      </w:r>
      <w:r>
        <w:rPr>
          <w:rStyle w:val="FootnoteReference"/>
        </w:rPr>
        <w:footnoteReference w:id="46"/>
      </w:r>
    </w:p>
    <w:p w:rsidR="002F4D97" w:rsidRDefault="002F4D97" w:rsidP="002F4D97">
      <w:pPr>
        <w:pStyle w:val="Bulletpoint"/>
      </w:pPr>
      <w:r>
        <w:t>the frequency and duration of supply interruptions</w:t>
      </w:r>
    </w:p>
    <w:p w:rsidR="002F4D97" w:rsidRDefault="002F4D97" w:rsidP="002F4D97">
      <w:pPr>
        <w:pStyle w:val="Bulletpoint"/>
      </w:pPr>
      <w:r>
        <w:t>the timely notice of planned interruptions</w:t>
      </w:r>
    </w:p>
    <w:p w:rsidR="002F4D97" w:rsidRDefault="002F4D97" w:rsidP="002F4D97">
      <w:pPr>
        <w:pStyle w:val="Bulletpoint"/>
      </w:pPr>
      <w:r>
        <w:t>the quality of supply (excluding frequency) for electricity (including voltage variations)</w:t>
      </w:r>
    </w:p>
    <w:p w:rsidR="002F4D97" w:rsidRDefault="002F4D97" w:rsidP="002F4D97">
      <w:pPr>
        <w:pStyle w:val="Bulletpoint"/>
      </w:pPr>
      <w:r>
        <w:t>wrongful de-energisation (disconnection)</w:t>
      </w:r>
    </w:p>
    <w:p w:rsidR="002F4D97" w:rsidRDefault="002F4D97" w:rsidP="002F4D97">
      <w:pPr>
        <w:pStyle w:val="Bulletpoint"/>
      </w:pPr>
      <w:r>
        <w:t>timeframes for de-energisation and re-energisation (reconnection)</w:t>
      </w:r>
    </w:p>
    <w:p w:rsidR="002F4D97" w:rsidRDefault="002F4D97" w:rsidP="002F4D97">
      <w:pPr>
        <w:pStyle w:val="Bulletpoint"/>
      </w:pPr>
      <w:r>
        <w:t>being on time for appointments</w:t>
      </w:r>
    </w:p>
    <w:p w:rsidR="002F4D97" w:rsidRDefault="002F4D97" w:rsidP="002F4D97">
      <w:pPr>
        <w:pStyle w:val="Bulletpoint"/>
      </w:pPr>
      <w:r>
        <w:t>response time for fault calls</w:t>
      </w:r>
    </w:p>
    <w:p w:rsidR="002F4D97" w:rsidRDefault="002F4D97" w:rsidP="002F4D97">
      <w:pPr>
        <w:pStyle w:val="Bulletpoint"/>
      </w:pPr>
      <w:r>
        <w:t>the provision of fault information.</w:t>
      </w:r>
    </w:p>
    <w:p w:rsidR="002F4D97" w:rsidRDefault="002F4D97" w:rsidP="002F4D97">
      <w:r w:rsidRPr="00CA2424">
        <w:t>A number of service standards are set by the individual jurisdictions and therefore differ between individual states and territories. The following tables summarise distributors’ performance against their respective jurisdictional service standards and GSL schemes.</w:t>
      </w:r>
    </w:p>
    <w:p w:rsidR="00C56DCC" w:rsidRPr="00C56DCC" w:rsidRDefault="00C56DCC" w:rsidP="00F14DD1">
      <w:pPr>
        <w:pStyle w:val="Heading3"/>
        <w:numPr>
          <w:ilvl w:val="0"/>
          <w:numId w:val="0"/>
        </w:numPr>
      </w:pPr>
      <w:r w:rsidRPr="00C56DCC">
        <w:t>Summary of distributor performance</w:t>
      </w:r>
    </w:p>
    <w:p w:rsidR="00C56DCC" w:rsidRPr="00C56DCC" w:rsidRDefault="00C56DCC" w:rsidP="00C56DCC">
      <w:pPr>
        <w:rPr>
          <w:rStyle w:val="Strong"/>
        </w:rPr>
      </w:pPr>
      <w:r w:rsidRPr="00C56DCC">
        <w:rPr>
          <w:rStyle w:val="Strong"/>
        </w:rPr>
        <w:t>New South Wales</w:t>
      </w:r>
    </w:p>
    <w:p w:rsidR="00C56DCC" w:rsidRPr="00C56DCC" w:rsidRDefault="00C56DCC" w:rsidP="00F14DD1">
      <w:pPr>
        <w:pStyle w:val="Bulletpoint"/>
      </w:pPr>
      <w:r w:rsidRPr="00C56DCC">
        <w:t>On a pro rata basis, the number of customer complaints received by Essential Energy was the lowest in the state.</w:t>
      </w:r>
    </w:p>
    <w:p w:rsidR="00C56DCC" w:rsidRPr="00C56DCC" w:rsidRDefault="00C56DCC" w:rsidP="00F14DD1">
      <w:pPr>
        <w:pStyle w:val="Bulletpoint"/>
      </w:pPr>
      <w:r w:rsidRPr="00C56DCC">
        <w:t>Endeavour Energy had a proportionally high rate of telephone calls compared to the other NSW distributors.</w:t>
      </w:r>
      <w:r>
        <w:t xml:space="preserve"> This is likely due to heavy storm activity in late 2014, and April 2015. </w:t>
      </w:r>
    </w:p>
    <w:p w:rsidR="00C56DCC" w:rsidRPr="00C56DCC" w:rsidRDefault="00C56DCC" w:rsidP="00F14DD1">
      <w:pPr>
        <w:pStyle w:val="Bulletpoint"/>
      </w:pPr>
      <w:r w:rsidRPr="00C56DCC">
        <w:t>Ausgrid reported a low percentage of calls answered within 30 seconds.</w:t>
      </w:r>
    </w:p>
    <w:p w:rsidR="00C56DCC" w:rsidRDefault="00C56DCC" w:rsidP="00F14DD1">
      <w:pPr>
        <w:pStyle w:val="Bulletpoint"/>
      </w:pPr>
      <w:r w:rsidRPr="00C56DCC">
        <w:t>Faulty street light repairs were actioned within the 12 business day window in the majority of cases.</w:t>
      </w:r>
    </w:p>
    <w:p w:rsidR="00C56DCC" w:rsidRPr="00C56DCC" w:rsidRDefault="007077F1" w:rsidP="00F14DD1">
      <w:pPr>
        <w:pStyle w:val="Bulletpoint"/>
      </w:pPr>
      <w:r>
        <w:t>Ausgrid and Essential Energy</w:t>
      </w:r>
      <w:r w:rsidR="00C56DCC" w:rsidRPr="00C56DCC">
        <w:t xml:space="preserve"> reported no instances of </w:t>
      </w:r>
      <w:r>
        <w:t xml:space="preserve">connections not being made on time, and Endeavour Energy reported five instances. </w:t>
      </w:r>
    </w:p>
    <w:p w:rsidR="00C56DCC" w:rsidRPr="00C56DCC" w:rsidRDefault="00C56DCC" w:rsidP="00C56DCC">
      <w:pPr>
        <w:rPr>
          <w:rStyle w:val="Strong"/>
        </w:rPr>
      </w:pPr>
      <w:r w:rsidRPr="00C56DCC">
        <w:rPr>
          <w:rStyle w:val="Strong"/>
        </w:rPr>
        <w:lastRenderedPageBreak/>
        <w:t>South Australia</w:t>
      </w:r>
    </w:p>
    <w:p w:rsidR="00C56DCC" w:rsidRPr="00C56DCC" w:rsidRDefault="00C56DCC" w:rsidP="00F14DD1">
      <w:pPr>
        <w:pStyle w:val="Bulletpoint"/>
      </w:pPr>
      <w:r w:rsidRPr="00C56DCC">
        <w:t>Overall SAPN reliability levels are relatively good compared to the national averages (taking into account the mix of urban and rural service areas).</w:t>
      </w:r>
    </w:p>
    <w:p w:rsidR="00C56DCC" w:rsidRPr="00C56DCC" w:rsidRDefault="007077F1" w:rsidP="00F14DD1">
      <w:pPr>
        <w:pStyle w:val="Bulletpoint"/>
      </w:pPr>
      <w:r>
        <w:t>Compensation</w:t>
      </w:r>
      <w:r w:rsidR="00C56DCC" w:rsidRPr="00C56DCC">
        <w:t xml:space="preserve"> paid to customers where the duration of supply interruptions exceed</w:t>
      </w:r>
      <w:r w:rsidR="00C56DCC">
        <w:t>ed</w:t>
      </w:r>
      <w:r w:rsidR="00C56DCC" w:rsidRPr="00C56DCC">
        <w:t xml:space="preserve"> the threshold amount was $2,371,405</w:t>
      </w:r>
      <w:r w:rsidR="00C56DCC">
        <w:t>.</w:t>
      </w:r>
    </w:p>
    <w:p w:rsidR="00C56DCC" w:rsidRPr="00C56DCC" w:rsidRDefault="00C56DCC" w:rsidP="00F14DD1">
      <w:pPr>
        <w:pStyle w:val="Bulletpoint"/>
      </w:pPr>
      <w:r w:rsidRPr="00C56DCC">
        <w:t>SAPN reported a high proportion of calls answered within 30 seconds.</w:t>
      </w:r>
    </w:p>
    <w:p w:rsidR="00C56DCC" w:rsidRPr="00C56DCC" w:rsidRDefault="00C56DCC" w:rsidP="00F14DD1">
      <w:pPr>
        <w:pStyle w:val="Bulletpoint"/>
      </w:pPr>
      <w:r w:rsidRPr="00C56DCC">
        <w:t>Street light repairs were typically undertaken within the performance targets – particularly in country areas.</w:t>
      </w:r>
    </w:p>
    <w:p w:rsidR="00C56DCC" w:rsidRPr="00C56DCC" w:rsidRDefault="00C56DCC" w:rsidP="00F14DD1">
      <w:pPr>
        <w:pStyle w:val="Bulletpoint"/>
      </w:pPr>
      <w:r w:rsidRPr="00C56DCC">
        <w:t>SAP</w:t>
      </w:r>
      <w:r>
        <w:t>N</w:t>
      </w:r>
      <w:r w:rsidRPr="00C56DCC">
        <w:t xml:space="preserve"> reported no instances of appointments with customers where a </w:t>
      </w:r>
      <w:r w:rsidR="007077F1">
        <w:t xml:space="preserve">SAPN </w:t>
      </w:r>
      <w:r w:rsidRPr="00C56DCC">
        <w:t xml:space="preserve">representative </w:t>
      </w:r>
      <w:r w:rsidR="007077F1">
        <w:t>w</w:t>
      </w:r>
      <w:r w:rsidRPr="00C56DCC">
        <w:t xml:space="preserve">as more than 15 minutes late. </w:t>
      </w:r>
    </w:p>
    <w:p w:rsidR="00C56DCC" w:rsidRPr="00C56DCC" w:rsidRDefault="00C56DCC" w:rsidP="00C56DCC">
      <w:pPr>
        <w:rPr>
          <w:rStyle w:val="Strong"/>
        </w:rPr>
      </w:pPr>
      <w:r w:rsidRPr="00C56DCC">
        <w:rPr>
          <w:rStyle w:val="Strong"/>
        </w:rPr>
        <w:t>ACT</w:t>
      </w:r>
    </w:p>
    <w:p w:rsidR="00C56DCC" w:rsidRPr="00C56DCC" w:rsidRDefault="00C56DCC" w:rsidP="00F14DD1">
      <w:pPr>
        <w:pStyle w:val="Bulletpoint"/>
      </w:pPr>
      <w:r w:rsidRPr="00C56DCC">
        <w:t>Overall ActewAGL reliability levels are relatively good compared to the national averages (taking into account the mix of urban and rural service areas).</w:t>
      </w:r>
    </w:p>
    <w:p w:rsidR="00C56DCC" w:rsidRPr="00C56DCC" w:rsidRDefault="00C56DCC" w:rsidP="00F14DD1">
      <w:pPr>
        <w:pStyle w:val="Bulletpoint"/>
      </w:pPr>
      <w:r w:rsidRPr="00C56DCC">
        <w:t xml:space="preserve">ActewAGL reported a relatively low number of complaints compared to the NSW and SA DNSPs. </w:t>
      </w:r>
    </w:p>
    <w:p w:rsidR="00C56DCC" w:rsidRPr="00C56DCC" w:rsidRDefault="00C56DCC" w:rsidP="00F14DD1">
      <w:pPr>
        <w:pStyle w:val="Bulletpoint"/>
      </w:pPr>
      <w:r w:rsidRPr="00C56DCC">
        <w:t>The</w:t>
      </w:r>
      <w:r w:rsidR="007077F1">
        <w:t>re were 298</w:t>
      </w:r>
      <w:r w:rsidRPr="00C56DCC">
        <w:t xml:space="preserve"> instances where ActewAGL did not provide at least 4 business </w:t>
      </w:r>
      <w:r w:rsidR="007077F1" w:rsidRPr="00C56DCC">
        <w:t>days' notice</w:t>
      </w:r>
      <w:r w:rsidRPr="00C56DCC">
        <w:t xml:space="preserve"> o</w:t>
      </w:r>
      <w:r w:rsidR="007077F1">
        <w:t>f a planned interruption</w:t>
      </w:r>
      <w:r w:rsidRPr="00C56DCC">
        <w:t>.</w:t>
      </w:r>
    </w:p>
    <w:p w:rsidR="00C56DCC" w:rsidRPr="00C56DCC" w:rsidRDefault="00C56DCC" w:rsidP="00C56DCC">
      <w:pPr>
        <w:rPr>
          <w:rStyle w:val="Strong"/>
        </w:rPr>
      </w:pPr>
      <w:r w:rsidRPr="00C56DCC">
        <w:rPr>
          <w:rStyle w:val="Strong"/>
        </w:rPr>
        <w:t>Tasmania</w:t>
      </w:r>
    </w:p>
    <w:p w:rsidR="007077F1" w:rsidRDefault="007077F1" w:rsidP="00F14DD1">
      <w:pPr>
        <w:pStyle w:val="Bulletpoint"/>
      </w:pPr>
      <w:r>
        <w:t xml:space="preserve">TasNetworks reported receiving 537 customer complaints in 2014-15 - a relatively low number compared to other distributors. </w:t>
      </w:r>
    </w:p>
    <w:p w:rsidR="00C56DCC" w:rsidRPr="00C56DCC" w:rsidRDefault="00C56DCC" w:rsidP="00F14DD1">
      <w:pPr>
        <w:pStyle w:val="Bulletpoint"/>
      </w:pPr>
      <w:r w:rsidRPr="00C56DCC">
        <w:t xml:space="preserve">The number of instances where TasNetworks did not provide sufficient notice of a planned interruption was relatively low at 36 </w:t>
      </w:r>
      <w:r w:rsidR="007077F1" w:rsidRPr="00C56DCC">
        <w:t>customers</w:t>
      </w:r>
      <w:r w:rsidRPr="00C56DCC">
        <w:t xml:space="preserve"> for the period.</w:t>
      </w:r>
    </w:p>
    <w:p w:rsidR="00C56DCC" w:rsidRPr="00C56DCC" w:rsidRDefault="00C56DCC" w:rsidP="00F14DD1">
      <w:pPr>
        <w:pStyle w:val="Bulletpoint"/>
        <w:rPr>
          <w:rStyle w:val="Strong"/>
          <w:rFonts w:eastAsiaTheme="majorEastAsia" w:cstheme="majorBidi"/>
          <w:b w:val="0"/>
          <w:bCs w:val="0"/>
          <w:color w:val="70635A" w:themeColor="text2"/>
          <w:sz w:val="28"/>
        </w:rPr>
      </w:pPr>
      <w:r w:rsidRPr="00C56DCC">
        <w:t xml:space="preserve">TasNetworks reported a total of $3,203,600 in payments for exceeding minimum restorations times. </w:t>
      </w:r>
    </w:p>
    <w:p w:rsidR="002F4D97" w:rsidRDefault="002F4D97" w:rsidP="002F4D97">
      <w:pPr>
        <w:rPr>
          <w:highlight w:val="yellow"/>
        </w:rPr>
      </w:pPr>
    </w:p>
    <w:p w:rsidR="002F4D97" w:rsidRDefault="002F4D97" w:rsidP="002F4D97">
      <w:pPr>
        <w:rPr>
          <w:highlight w:val="yellow"/>
        </w:rPr>
      </w:pPr>
    </w:p>
    <w:p w:rsidR="002F4D97" w:rsidRDefault="002F4D97" w:rsidP="002F4D97">
      <w:pPr>
        <w:rPr>
          <w:highlight w:val="yellow"/>
        </w:rPr>
      </w:pPr>
    </w:p>
    <w:p w:rsidR="002F4D97" w:rsidRDefault="002F4D97" w:rsidP="002F4D97">
      <w:pPr>
        <w:rPr>
          <w:highlight w:val="yellow"/>
        </w:rPr>
      </w:pPr>
    </w:p>
    <w:p w:rsidR="002F4D97" w:rsidRDefault="002F4D97" w:rsidP="002F4D97">
      <w:pPr>
        <w:rPr>
          <w:highlight w:val="yellow"/>
        </w:rPr>
      </w:pPr>
    </w:p>
    <w:p w:rsidR="002F4D97" w:rsidRDefault="002F4D97" w:rsidP="002F4D97">
      <w:pPr>
        <w:rPr>
          <w:highlight w:val="yellow"/>
        </w:rPr>
      </w:pPr>
    </w:p>
    <w:p w:rsidR="002F4D97" w:rsidRDefault="002F4D97" w:rsidP="002F4D97">
      <w:pPr>
        <w:rPr>
          <w:highlight w:val="yellow"/>
        </w:rPr>
      </w:pPr>
    </w:p>
    <w:p w:rsidR="002F4D97" w:rsidRDefault="002F4D97" w:rsidP="002F4D97">
      <w:pPr>
        <w:rPr>
          <w:highlight w:val="yellow"/>
        </w:rPr>
      </w:pPr>
    </w:p>
    <w:p w:rsidR="002F4D97" w:rsidRDefault="002F4D97" w:rsidP="002F4D97">
      <w:pPr>
        <w:rPr>
          <w:highlight w:val="yellow"/>
        </w:rPr>
      </w:pPr>
    </w:p>
    <w:p w:rsidR="002F4D97" w:rsidRPr="005C30C4" w:rsidRDefault="002F4D97" w:rsidP="002F4D97">
      <w:pPr>
        <w:pStyle w:val="Tabletitle"/>
      </w:pPr>
      <w:r>
        <w:lastRenderedPageBreak/>
        <w:t>Ta</w:t>
      </w:r>
      <w:r w:rsidRPr="005C30C4">
        <w:t>ble A.1: NSW electricity distributor performance, 2014-15</w:t>
      </w:r>
    </w:p>
    <w:tbl>
      <w:tblPr>
        <w:tblW w:w="0" w:type="auto"/>
        <w:tblBorders>
          <w:insideH w:val="single" w:sz="4" w:space="0" w:color="auto"/>
        </w:tblBorders>
        <w:tblLook w:val="04A0" w:firstRow="1" w:lastRow="0" w:firstColumn="1" w:lastColumn="0" w:noHBand="0" w:noVBand="1"/>
      </w:tblPr>
      <w:tblGrid>
        <w:gridCol w:w="5495"/>
        <w:gridCol w:w="1276"/>
        <w:gridCol w:w="1275"/>
        <w:gridCol w:w="1196"/>
      </w:tblGrid>
      <w:tr w:rsidR="002F4D97" w:rsidTr="002F4D97">
        <w:trPr>
          <w:trHeight w:val="560"/>
        </w:trPr>
        <w:tc>
          <w:tcPr>
            <w:tcW w:w="5495" w:type="dxa"/>
          </w:tcPr>
          <w:p w:rsidR="002F4D97" w:rsidRDefault="002F4D97" w:rsidP="002F4D97">
            <w:pPr>
              <w:pStyle w:val="Tabletext"/>
            </w:pPr>
          </w:p>
        </w:tc>
        <w:tc>
          <w:tcPr>
            <w:tcW w:w="1276" w:type="dxa"/>
          </w:tcPr>
          <w:p w:rsidR="002F4D97" w:rsidRPr="002F4D97" w:rsidRDefault="002F4D97" w:rsidP="002F4D97">
            <w:pPr>
              <w:pStyle w:val="Tabletext"/>
              <w:rPr>
                <w:rStyle w:val="Strong"/>
              </w:rPr>
            </w:pPr>
            <w:r w:rsidRPr="002F4D97">
              <w:rPr>
                <w:rStyle w:val="Strong"/>
              </w:rPr>
              <w:t>Ausgrid</w:t>
            </w:r>
          </w:p>
        </w:tc>
        <w:tc>
          <w:tcPr>
            <w:tcW w:w="1275" w:type="dxa"/>
          </w:tcPr>
          <w:p w:rsidR="002F4D97" w:rsidRPr="002F4D97" w:rsidRDefault="002F4D97" w:rsidP="002F4D97">
            <w:pPr>
              <w:pStyle w:val="Tabletext"/>
              <w:rPr>
                <w:rStyle w:val="Strong"/>
              </w:rPr>
            </w:pPr>
            <w:r w:rsidRPr="002F4D97">
              <w:rPr>
                <w:rStyle w:val="Strong"/>
              </w:rPr>
              <w:t>Endeavour Energy</w:t>
            </w:r>
          </w:p>
        </w:tc>
        <w:tc>
          <w:tcPr>
            <w:tcW w:w="1196" w:type="dxa"/>
          </w:tcPr>
          <w:p w:rsidR="002F4D97" w:rsidRPr="002F4D97" w:rsidRDefault="002F4D97" w:rsidP="002F4D97">
            <w:pPr>
              <w:pStyle w:val="Tabletext"/>
              <w:rPr>
                <w:rStyle w:val="Strong"/>
              </w:rPr>
            </w:pPr>
            <w:r w:rsidRPr="002F4D97">
              <w:rPr>
                <w:rStyle w:val="Strong"/>
              </w:rPr>
              <w:t>Essential Energy</w:t>
            </w:r>
          </w:p>
        </w:tc>
      </w:tr>
      <w:tr w:rsidR="002F4D97" w:rsidTr="002F4D97">
        <w:tc>
          <w:tcPr>
            <w:tcW w:w="5495" w:type="dxa"/>
          </w:tcPr>
          <w:p w:rsidR="002F4D97" w:rsidRPr="002F4D97" w:rsidRDefault="002F4D97" w:rsidP="002F4D97">
            <w:pPr>
              <w:pStyle w:val="Tabletext"/>
              <w:rPr>
                <w:rStyle w:val="Strong"/>
              </w:rPr>
            </w:pPr>
            <w:r w:rsidRPr="002F4D97">
              <w:rPr>
                <w:rStyle w:val="Strong"/>
              </w:rPr>
              <w:t>Customers</w:t>
            </w:r>
          </w:p>
        </w:tc>
        <w:tc>
          <w:tcPr>
            <w:tcW w:w="1276" w:type="dxa"/>
          </w:tcPr>
          <w:p w:rsidR="002F4D97" w:rsidRDefault="002F4D97" w:rsidP="002F4D97">
            <w:pPr>
              <w:pStyle w:val="Tabletext"/>
            </w:pPr>
          </w:p>
        </w:tc>
        <w:tc>
          <w:tcPr>
            <w:tcW w:w="1275" w:type="dxa"/>
          </w:tcPr>
          <w:p w:rsidR="002F4D97" w:rsidRDefault="002F4D97" w:rsidP="002F4D97">
            <w:pPr>
              <w:pStyle w:val="Tabletext"/>
            </w:pPr>
          </w:p>
        </w:tc>
        <w:tc>
          <w:tcPr>
            <w:tcW w:w="1196" w:type="dxa"/>
          </w:tcPr>
          <w:p w:rsidR="002F4D97" w:rsidRDefault="002F4D97" w:rsidP="002F4D97">
            <w:pPr>
              <w:pStyle w:val="Tabletext"/>
            </w:pPr>
          </w:p>
        </w:tc>
      </w:tr>
      <w:tr w:rsidR="002F4D97" w:rsidTr="002F4D97">
        <w:tc>
          <w:tcPr>
            <w:tcW w:w="5495" w:type="dxa"/>
          </w:tcPr>
          <w:p w:rsidR="002F4D97" w:rsidRPr="00C5360A" w:rsidRDefault="002F4D97" w:rsidP="002F4D97">
            <w:pPr>
              <w:pStyle w:val="Tabletext"/>
            </w:pPr>
            <w:r w:rsidRPr="00C5360A">
              <w:t>Total number of customers</w:t>
            </w:r>
          </w:p>
        </w:tc>
        <w:tc>
          <w:tcPr>
            <w:tcW w:w="1276" w:type="dxa"/>
          </w:tcPr>
          <w:p w:rsidR="002F4D97" w:rsidRDefault="002F4D97" w:rsidP="002F4D97">
            <w:pPr>
              <w:pStyle w:val="Tabletext"/>
            </w:pPr>
            <w:r>
              <w:t>1 679 151</w:t>
            </w:r>
          </w:p>
        </w:tc>
        <w:tc>
          <w:tcPr>
            <w:tcW w:w="1275" w:type="dxa"/>
          </w:tcPr>
          <w:p w:rsidR="002F4D97" w:rsidRDefault="002F4D97" w:rsidP="002F4D97">
            <w:pPr>
              <w:pStyle w:val="Tabletext"/>
            </w:pPr>
            <w:r>
              <w:t>933 557</w:t>
            </w:r>
          </w:p>
        </w:tc>
        <w:tc>
          <w:tcPr>
            <w:tcW w:w="1196" w:type="dxa"/>
          </w:tcPr>
          <w:p w:rsidR="002F4D97" w:rsidRDefault="002F4D97" w:rsidP="002F4D97">
            <w:pPr>
              <w:pStyle w:val="Tabletext"/>
            </w:pPr>
            <w:r>
              <w:t>824 459</w:t>
            </w:r>
          </w:p>
        </w:tc>
      </w:tr>
      <w:tr w:rsidR="002F4D97" w:rsidTr="002F4D97">
        <w:tc>
          <w:tcPr>
            <w:tcW w:w="5495" w:type="dxa"/>
          </w:tcPr>
          <w:p w:rsidR="002F4D97" w:rsidRPr="00C5360A" w:rsidRDefault="002F4D97" w:rsidP="002F4D97">
            <w:pPr>
              <w:pStyle w:val="Tabletext"/>
            </w:pPr>
            <w:r w:rsidRPr="00C5360A">
              <w:t>Residential customers</w:t>
            </w:r>
          </w:p>
        </w:tc>
        <w:tc>
          <w:tcPr>
            <w:tcW w:w="1276" w:type="dxa"/>
          </w:tcPr>
          <w:p w:rsidR="002F4D97" w:rsidRDefault="002F4D97" w:rsidP="002F4D97">
            <w:pPr>
              <w:pStyle w:val="Tabletext"/>
            </w:pPr>
            <w:r>
              <w:t>1 493 892</w:t>
            </w:r>
          </w:p>
        </w:tc>
        <w:tc>
          <w:tcPr>
            <w:tcW w:w="1275" w:type="dxa"/>
          </w:tcPr>
          <w:p w:rsidR="002F4D97" w:rsidRDefault="002F4D97" w:rsidP="002F4D97">
            <w:pPr>
              <w:pStyle w:val="Tabletext"/>
            </w:pPr>
            <w:r>
              <w:t>850 139</w:t>
            </w:r>
          </w:p>
        </w:tc>
        <w:tc>
          <w:tcPr>
            <w:tcW w:w="1196" w:type="dxa"/>
          </w:tcPr>
          <w:p w:rsidR="002F4D97" w:rsidRDefault="002F4D97" w:rsidP="002F4D97">
            <w:pPr>
              <w:pStyle w:val="Tabletext"/>
            </w:pPr>
            <w:r>
              <w:t>726 970</w:t>
            </w:r>
          </w:p>
        </w:tc>
      </w:tr>
      <w:tr w:rsidR="002F4D97" w:rsidTr="002F4D97">
        <w:tc>
          <w:tcPr>
            <w:tcW w:w="5495" w:type="dxa"/>
          </w:tcPr>
          <w:p w:rsidR="002F4D97" w:rsidRPr="00C5360A" w:rsidRDefault="002F4D97" w:rsidP="002F4D97">
            <w:pPr>
              <w:pStyle w:val="Tabletext"/>
            </w:pPr>
            <w:r w:rsidRPr="00C5360A">
              <w:t>Small non-residential customers</w:t>
            </w:r>
          </w:p>
        </w:tc>
        <w:tc>
          <w:tcPr>
            <w:tcW w:w="1276" w:type="dxa"/>
          </w:tcPr>
          <w:p w:rsidR="002F4D97" w:rsidRDefault="002F4D97" w:rsidP="002F4D97">
            <w:pPr>
              <w:pStyle w:val="Tabletext"/>
            </w:pPr>
            <w:r>
              <w:t>172 356</w:t>
            </w:r>
          </w:p>
        </w:tc>
        <w:tc>
          <w:tcPr>
            <w:tcW w:w="1275" w:type="dxa"/>
          </w:tcPr>
          <w:p w:rsidR="002F4D97" w:rsidRDefault="002F4D97" w:rsidP="002F4D97">
            <w:pPr>
              <w:pStyle w:val="Tabletext"/>
            </w:pPr>
            <w:r>
              <w:t>78 588</w:t>
            </w:r>
          </w:p>
        </w:tc>
        <w:tc>
          <w:tcPr>
            <w:tcW w:w="1196" w:type="dxa"/>
          </w:tcPr>
          <w:p w:rsidR="002F4D97" w:rsidRDefault="002F4D97" w:rsidP="002F4D97">
            <w:pPr>
              <w:pStyle w:val="Tabletext"/>
            </w:pPr>
            <w:r>
              <w:t>93 127</w:t>
            </w:r>
          </w:p>
        </w:tc>
      </w:tr>
      <w:tr w:rsidR="002F4D97" w:rsidTr="002F4D97">
        <w:tc>
          <w:tcPr>
            <w:tcW w:w="5495" w:type="dxa"/>
          </w:tcPr>
          <w:p w:rsidR="002F4D97" w:rsidRPr="002F4D97" w:rsidRDefault="002F4D97" w:rsidP="002F4D97">
            <w:pPr>
              <w:pStyle w:val="Tabletext"/>
              <w:rPr>
                <w:rStyle w:val="Strong"/>
              </w:rPr>
            </w:pPr>
            <w:r w:rsidRPr="002F4D97">
              <w:rPr>
                <w:rStyle w:val="Strong"/>
              </w:rPr>
              <w:t>Complaints</w:t>
            </w:r>
          </w:p>
        </w:tc>
        <w:tc>
          <w:tcPr>
            <w:tcW w:w="1276" w:type="dxa"/>
          </w:tcPr>
          <w:p w:rsidR="002F4D97" w:rsidRDefault="002F4D97" w:rsidP="002F4D97">
            <w:pPr>
              <w:pStyle w:val="Tabletext"/>
            </w:pPr>
          </w:p>
        </w:tc>
        <w:tc>
          <w:tcPr>
            <w:tcW w:w="1275" w:type="dxa"/>
          </w:tcPr>
          <w:p w:rsidR="002F4D97" w:rsidRDefault="002F4D97" w:rsidP="002F4D97">
            <w:pPr>
              <w:pStyle w:val="Tabletext"/>
            </w:pPr>
          </w:p>
        </w:tc>
        <w:tc>
          <w:tcPr>
            <w:tcW w:w="1196" w:type="dxa"/>
          </w:tcPr>
          <w:p w:rsidR="002F4D97" w:rsidRDefault="002F4D97" w:rsidP="002F4D97">
            <w:pPr>
              <w:pStyle w:val="Tabletext"/>
            </w:pPr>
          </w:p>
        </w:tc>
      </w:tr>
      <w:tr w:rsidR="002F4D97" w:rsidTr="002F4D97">
        <w:tc>
          <w:tcPr>
            <w:tcW w:w="5495" w:type="dxa"/>
          </w:tcPr>
          <w:p w:rsidR="002F4D97" w:rsidRPr="00C5360A" w:rsidRDefault="002F4D97" w:rsidP="002F4D97">
            <w:pPr>
              <w:pStyle w:val="Tabletext"/>
            </w:pPr>
            <w:r w:rsidRPr="00C5360A">
              <w:t>Total complaints received</w:t>
            </w:r>
          </w:p>
        </w:tc>
        <w:tc>
          <w:tcPr>
            <w:tcW w:w="1276" w:type="dxa"/>
          </w:tcPr>
          <w:p w:rsidR="002F4D97" w:rsidRPr="002F4D97" w:rsidRDefault="002F4D97" w:rsidP="002F4D97">
            <w:pPr>
              <w:pStyle w:val="Tabletext"/>
            </w:pPr>
            <w:r>
              <w:t>4 753</w:t>
            </w:r>
            <w:r w:rsidRPr="002F4D97">
              <w:rPr>
                <w:rStyle w:val="FootnoteReference"/>
              </w:rPr>
              <w:footnoteReference w:id="47"/>
            </w:r>
          </w:p>
        </w:tc>
        <w:tc>
          <w:tcPr>
            <w:tcW w:w="1275" w:type="dxa"/>
          </w:tcPr>
          <w:p w:rsidR="002F4D97" w:rsidRDefault="002F4D97" w:rsidP="002F4D97">
            <w:pPr>
              <w:pStyle w:val="Tabletext"/>
            </w:pPr>
            <w:r>
              <w:t>3 019</w:t>
            </w:r>
          </w:p>
        </w:tc>
        <w:tc>
          <w:tcPr>
            <w:tcW w:w="1196" w:type="dxa"/>
          </w:tcPr>
          <w:p w:rsidR="002F4D97" w:rsidRDefault="002F4D97" w:rsidP="002F4D97">
            <w:pPr>
              <w:pStyle w:val="Tabletext"/>
            </w:pPr>
            <w:r>
              <w:t>2 108</w:t>
            </w:r>
          </w:p>
        </w:tc>
      </w:tr>
      <w:tr w:rsidR="002F4D97" w:rsidTr="002F4D97">
        <w:tc>
          <w:tcPr>
            <w:tcW w:w="5495" w:type="dxa"/>
          </w:tcPr>
          <w:p w:rsidR="002F4D97" w:rsidRPr="00C5360A" w:rsidRDefault="002F4D97" w:rsidP="002F4D97">
            <w:pPr>
              <w:pStyle w:val="Tabletext"/>
            </w:pPr>
            <w:r w:rsidRPr="00C5360A">
              <w:t>Residential (%)</w:t>
            </w:r>
          </w:p>
        </w:tc>
        <w:tc>
          <w:tcPr>
            <w:tcW w:w="1276" w:type="dxa"/>
          </w:tcPr>
          <w:p w:rsidR="002F4D97" w:rsidRDefault="002F4D97" w:rsidP="002F4D97">
            <w:pPr>
              <w:pStyle w:val="Tabletext"/>
            </w:pPr>
            <w:r>
              <w:t>N/A</w:t>
            </w:r>
          </w:p>
        </w:tc>
        <w:tc>
          <w:tcPr>
            <w:tcW w:w="1275" w:type="dxa"/>
          </w:tcPr>
          <w:p w:rsidR="002F4D97" w:rsidRDefault="002F4D97" w:rsidP="002F4D97">
            <w:pPr>
              <w:pStyle w:val="Tabletext"/>
            </w:pPr>
            <w:r>
              <w:t>94%</w:t>
            </w:r>
          </w:p>
        </w:tc>
        <w:tc>
          <w:tcPr>
            <w:tcW w:w="1196" w:type="dxa"/>
          </w:tcPr>
          <w:p w:rsidR="002F4D97" w:rsidRDefault="002F4D97" w:rsidP="002F4D97">
            <w:pPr>
              <w:pStyle w:val="Tabletext"/>
            </w:pPr>
            <w:r>
              <w:t>88%</w:t>
            </w:r>
          </w:p>
        </w:tc>
      </w:tr>
      <w:tr w:rsidR="002F4D97" w:rsidTr="002F4D97">
        <w:tc>
          <w:tcPr>
            <w:tcW w:w="5495" w:type="dxa"/>
          </w:tcPr>
          <w:p w:rsidR="002F4D97" w:rsidRPr="00C5360A" w:rsidRDefault="002F4D97" w:rsidP="002F4D97">
            <w:pPr>
              <w:pStyle w:val="Tabletext"/>
            </w:pPr>
            <w:r w:rsidRPr="00C5360A">
              <w:t>Small non-residential (%)</w:t>
            </w:r>
          </w:p>
        </w:tc>
        <w:tc>
          <w:tcPr>
            <w:tcW w:w="1276" w:type="dxa"/>
          </w:tcPr>
          <w:p w:rsidR="002F4D97" w:rsidRDefault="002F4D97" w:rsidP="002F4D97">
            <w:pPr>
              <w:pStyle w:val="Tabletext"/>
            </w:pPr>
            <w:r>
              <w:t>N/A</w:t>
            </w:r>
          </w:p>
        </w:tc>
        <w:tc>
          <w:tcPr>
            <w:tcW w:w="1275" w:type="dxa"/>
          </w:tcPr>
          <w:p w:rsidR="002F4D97" w:rsidRDefault="002F4D97" w:rsidP="002F4D97">
            <w:pPr>
              <w:pStyle w:val="Tabletext"/>
            </w:pPr>
            <w:r>
              <w:t>6%</w:t>
            </w:r>
          </w:p>
        </w:tc>
        <w:tc>
          <w:tcPr>
            <w:tcW w:w="1196" w:type="dxa"/>
          </w:tcPr>
          <w:p w:rsidR="002F4D97" w:rsidRDefault="002F4D97" w:rsidP="002F4D97">
            <w:pPr>
              <w:pStyle w:val="Tabletext"/>
            </w:pPr>
            <w:r>
              <w:t>12%</w:t>
            </w:r>
          </w:p>
        </w:tc>
      </w:tr>
      <w:tr w:rsidR="002F4D97" w:rsidTr="002F4D97">
        <w:tc>
          <w:tcPr>
            <w:tcW w:w="5495" w:type="dxa"/>
          </w:tcPr>
          <w:p w:rsidR="002F4D97" w:rsidRPr="00225A77" w:rsidRDefault="002F4D97" w:rsidP="002F4D97">
            <w:pPr>
              <w:pStyle w:val="Tabletext"/>
              <w:rPr>
                <w:rStyle w:val="Strong"/>
              </w:rPr>
            </w:pPr>
            <w:r w:rsidRPr="00225A77">
              <w:rPr>
                <w:rStyle w:val="Strong"/>
              </w:rPr>
              <w:t>Telephone services</w:t>
            </w:r>
          </w:p>
        </w:tc>
        <w:tc>
          <w:tcPr>
            <w:tcW w:w="1276" w:type="dxa"/>
          </w:tcPr>
          <w:p w:rsidR="002F4D97" w:rsidRDefault="002F4D97" w:rsidP="002F4D97">
            <w:pPr>
              <w:pStyle w:val="Tabletext"/>
            </w:pPr>
          </w:p>
        </w:tc>
        <w:tc>
          <w:tcPr>
            <w:tcW w:w="1275" w:type="dxa"/>
          </w:tcPr>
          <w:p w:rsidR="002F4D97" w:rsidRDefault="002F4D97" w:rsidP="002F4D97">
            <w:pPr>
              <w:pStyle w:val="Tabletext"/>
            </w:pPr>
          </w:p>
        </w:tc>
        <w:tc>
          <w:tcPr>
            <w:tcW w:w="1196" w:type="dxa"/>
          </w:tcPr>
          <w:p w:rsidR="002F4D97" w:rsidRDefault="002F4D97" w:rsidP="002F4D97">
            <w:pPr>
              <w:pStyle w:val="Tabletext"/>
            </w:pPr>
          </w:p>
        </w:tc>
      </w:tr>
      <w:tr w:rsidR="002F4D97" w:rsidTr="002F4D97">
        <w:tc>
          <w:tcPr>
            <w:tcW w:w="5495" w:type="dxa"/>
          </w:tcPr>
          <w:p w:rsidR="002F4D97" w:rsidRPr="00C5360A" w:rsidRDefault="002F4D97" w:rsidP="002F4D97">
            <w:pPr>
              <w:pStyle w:val="Tabletext"/>
            </w:pPr>
            <w:r w:rsidRPr="00C5360A">
              <w:t>Total calls received</w:t>
            </w:r>
          </w:p>
        </w:tc>
        <w:tc>
          <w:tcPr>
            <w:tcW w:w="1276" w:type="dxa"/>
          </w:tcPr>
          <w:p w:rsidR="002F4D97" w:rsidRDefault="002F4D97" w:rsidP="002F4D97">
            <w:pPr>
              <w:pStyle w:val="Tabletext"/>
            </w:pPr>
            <w:r>
              <w:t>478 414</w:t>
            </w:r>
          </w:p>
        </w:tc>
        <w:tc>
          <w:tcPr>
            <w:tcW w:w="1275" w:type="dxa"/>
          </w:tcPr>
          <w:p w:rsidR="002F4D97" w:rsidRDefault="002F4D97" w:rsidP="002F4D97">
            <w:pPr>
              <w:pStyle w:val="Tabletext"/>
            </w:pPr>
            <w:r>
              <w:t>436 323</w:t>
            </w:r>
          </w:p>
        </w:tc>
        <w:tc>
          <w:tcPr>
            <w:tcW w:w="1196" w:type="dxa"/>
          </w:tcPr>
          <w:p w:rsidR="002F4D97" w:rsidRDefault="002F4D97" w:rsidP="002F4D97">
            <w:pPr>
              <w:pStyle w:val="Tabletext"/>
            </w:pPr>
            <w:r>
              <w:t>264 070</w:t>
            </w:r>
          </w:p>
        </w:tc>
      </w:tr>
      <w:tr w:rsidR="002F4D97" w:rsidTr="002F4D97">
        <w:tc>
          <w:tcPr>
            <w:tcW w:w="5495" w:type="dxa"/>
          </w:tcPr>
          <w:p w:rsidR="002F4D97" w:rsidRPr="00C5360A" w:rsidRDefault="002F4D97" w:rsidP="002F4D97">
            <w:pPr>
              <w:pStyle w:val="Tabletext"/>
            </w:pPr>
            <w:r w:rsidRPr="00C5360A">
              <w:t>Calls answered within 30 seconds (%)</w:t>
            </w:r>
          </w:p>
        </w:tc>
        <w:tc>
          <w:tcPr>
            <w:tcW w:w="1276" w:type="dxa"/>
          </w:tcPr>
          <w:p w:rsidR="002F4D97" w:rsidRDefault="002F4D97" w:rsidP="002F4D97">
            <w:pPr>
              <w:pStyle w:val="Tabletext"/>
            </w:pPr>
            <w:r>
              <w:t>23%</w:t>
            </w:r>
          </w:p>
        </w:tc>
        <w:tc>
          <w:tcPr>
            <w:tcW w:w="1275" w:type="dxa"/>
          </w:tcPr>
          <w:p w:rsidR="002F4D97" w:rsidRDefault="002F4D97" w:rsidP="002F4D97">
            <w:pPr>
              <w:pStyle w:val="Tabletext"/>
            </w:pPr>
            <w:r>
              <w:t>74%</w:t>
            </w:r>
          </w:p>
        </w:tc>
        <w:tc>
          <w:tcPr>
            <w:tcW w:w="1196" w:type="dxa"/>
          </w:tcPr>
          <w:p w:rsidR="002F4D97" w:rsidRDefault="002F4D97" w:rsidP="002F4D97">
            <w:pPr>
              <w:pStyle w:val="Tabletext"/>
            </w:pPr>
            <w:r>
              <w:t>69%</w:t>
            </w:r>
          </w:p>
        </w:tc>
      </w:tr>
      <w:tr w:rsidR="002F4D97" w:rsidTr="002F4D97">
        <w:tc>
          <w:tcPr>
            <w:tcW w:w="5495" w:type="dxa"/>
          </w:tcPr>
          <w:p w:rsidR="002F4D97" w:rsidRPr="00C5360A" w:rsidRDefault="002F4D97" w:rsidP="002F4D97">
            <w:pPr>
              <w:pStyle w:val="Tabletext"/>
            </w:pPr>
            <w:r w:rsidRPr="00C5360A">
              <w:t>Calls abandoned (%)</w:t>
            </w:r>
          </w:p>
        </w:tc>
        <w:tc>
          <w:tcPr>
            <w:tcW w:w="1276" w:type="dxa"/>
          </w:tcPr>
          <w:p w:rsidR="002F4D97" w:rsidRDefault="002F4D97" w:rsidP="002F4D97">
            <w:pPr>
              <w:pStyle w:val="Tabletext"/>
            </w:pPr>
            <w:r>
              <w:t>9%</w:t>
            </w:r>
          </w:p>
        </w:tc>
        <w:tc>
          <w:tcPr>
            <w:tcW w:w="1275" w:type="dxa"/>
          </w:tcPr>
          <w:p w:rsidR="002F4D97" w:rsidRDefault="002F4D97" w:rsidP="002F4D97">
            <w:pPr>
              <w:pStyle w:val="Tabletext"/>
            </w:pPr>
            <w:r>
              <w:t>6%</w:t>
            </w:r>
          </w:p>
        </w:tc>
        <w:tc>
          <w:tcPr>
            <w:tcW w:w="1196" w:type="dxa"/>
          </w:tcPr>
          <w:p w:rsidR="002F4D97" w:rsidRDefault="002F4D97" w:rsidP="002F4D97">
            <w:pPr>
              <w:pStyle w:val="Tabletext"/>
            </w:pPr>
            <w:r>
              <w:t>8%</w:t>
            </w:r>
          </w:p>
        </w:tc>
      </w:tr>
      <w:tr w:rsidR="002F4D97" w:rsidTr="002F4D97">
        <w:tc>
          <w:tcPr>
            <w:tcW w:w="5495" w:type="dxa"/>
          </w:tcPr>
          <w:p w:rsidR="002F4D97" w:rsidRPr="002F4D97" w:rsidRDefault="002F4D97" w:rsidP="002F4D97">
            <w:pPr>
              <w:pStyle w:val="Tabletext"/>
              <w:rPr>
                <w:rStyle w:val="Strong"/>
              </w:rPr>
            </w:pPr>
            <w:r w:rsidRPr="002F4D97">
              <w:rPr>
                <w:rStyle w:val="Strong"/>
              </w:rPr>
              <w:t>Promptness of connection</w:t>
            </w:r>
          </w:p>
        </w:tc>
        <w:tc>
          <w:tcPr>
            <w:tcW w:w="1276" w:type="dxa"/>
          </w:tcPr>
          <w:p w:rsidR="002F4D97" w:rsidRDefault="002F4D97" w:rsidP="002F4D97">
            <w:pPr>
              <w:pStyle w:val="Tabletext"/>
            </w:pPr>
          </w:p>
        </w:tc>
        <w:tc>
          <w:tcPr>
            <w:tcW w:w="1275" w:type="dxa"/>
          </w:tcPr>
          <w:p w:rsidR="002F4D97" w:rsidRDefault="002F4D97" w:rsidP="002F4D97">
            <w:pPr>
              <w:pStyle w:val="Tabletext"/>
            </w:pPr>
          </w:p>
        </w:tc>
        <w:tc>
          <w:tcPr>
            <w:tcW w:w="1196" w:type="dxa"/>
          </w:tcPr>
          <w:p w:rsidR="002F4D97" w:rsidRDefault="002F4D97" w:rsidP="002F4D97">
            <w:pPr>
              <w:pStyle w:val="Tabletext"/>
            </w:pPr>
          </w:p>
        </w:tc>
      </w:tr>
      <w:tr w:rsidR="002F4D97" w:rsidTr="002F4D97">
        <w:tc>
          <w:tcPr>
            <w:tcW w:w="5495" w:type="dxa"/>
          </w:tcPr>
          <w:p w:rsidR="002F4D97" w:rsidRPr="00C5360A" w:rsidRDefault="002F4D97" w:rsidP="002F4D97">
            <w:pPr>
              <w:pStyle w:val="Tabletext"/>
            </w:pPr>
            <w:r w:rsidRPr="00C5360A">
              <w:t>Connections provided for new and existing premises</w:t>
            </w:r>
          </w:p>
        </w:tc>
        <w:tc>
          <w:tcPr>
            <w:tcW w:w="1276" w:type="dxa"/>
          </w:tcPr>
          <w:p w:rsidR="002F4D97" w:rsidRDefault="002F4D97" w:rsidP="002F4D97">
            <w:pPr>
              <w:pStyle w:val="Tabletext"/>
            </w:pPr>
            <w:r>
              <w:t>225</w:t>
            </w:r>
          </w:p>
        </w:tc>
        <w:tc>
          <w:tcPr>
            <w:tcW w:w="1275" w:type="dxa"/>
          </w:tcPr>
          <w:p w:rsidR="002F4D97" w:rsidRDefault="002F4D97" w:rsidP="002F4D97">
            <w:pPr>
              <w:pStyle w:val="Tabletext"/>
            </w:pPr>
            <w:r>
              <w:t>114 201</w:t>
            </w:r>
          </w:p>
        </w:tc>
        <w:tc>
          <w:tcPr>
            <w:tcW w:w="1196" w:type="dxa"/>
          </w:tcPr>
          <w:p w:rsidR="002F4D97" w:rsidRDefault="002F4D97" w:rsidP="002F4D97">
            <w:pPr>
              <w:pStyle w:val="Tabletext"/>
            </w:pPr>
            <w:r>
              <w:t>200 466</w:t>
            </w:r>
          </w:p>
        </w:tc>
      </w:tr>
      <w:tr w:rsidR="002F4D97" w:rsidTr="002F4D97">
        <w:tc>
          <w:tcPr>
            <w:tcW w:w="5495" w:type="dxa"/>
          </w:tcPr>
          <w:p w:rsidR="002F4D97" w:rsidRPr="00C5360A" w:rsidRDefault="002F4D97" w:rsidP="002F4D97">
            <w:pPr>
              <w:pStyle w:val="Tabletext"/>
            </w:pPr>
            <w:r w:rsidRPr="00C5360A">
              <w:t>Connections not provided on or before agreed time</w:t>
            </w:r>
          </w:p>
        </w:tc>
        <w:tc>
          <w:tcPr>
            <w:tcW w:w="1276" w:type="dxa"/>
          </w:tcPr>
          <w:p w:rsidR="002F4D97" w:rsidRDefault="002F4D97" w:rsidP="002F4D97">
            <w:pPr>
              <w:pStyle w:val="Tabletext"/>
            </w:pPr>
            <w:r>
              <w:t>0</w:t>
            </w:r>
          </w:p>
        </w:tc>
        <w:tc>
          <w:tcPr>
            <w:tcW w:w="1275" w:type="dxa"/>
          </w:tcPr>
          <w:p w:rsidR="002F4D97" w:rsidRDefault="002F4D97" w:rsidP="002F4D97">
            <w:pPr>
              <w:pStyle w:val="Tabletext"/>
            </w:pPr>
            <w:r>
              <w:t>5</w:t>
            </w:r>
          </w:p>
        </w:tc>
        <w:tc>
          <w:tcPr>
            <w:tcW w:w="1196" w:type="dxa"/>
          </w:tcPr>
          <w:p w:rsidR="002F4D97" w:rsidRDefault="002F4D97" w:rsidP="002F4D97">
            <w:pPr>
              <w:pStyle w:val="Tabletext"/>
            </w:pPr>
            <w:r>
              <w:t>0</w:t>
            </w:r>
          </w:p>
        </w:tc>
      </w:tr>
      <w:tr w:rsidR="002F4D97" w:rsidTr="002F4D97">
        <w:tc>
          <w:tcPr>
            <w:tcW w:w="5495" w:type="dxa"/>
          </w:tcPr>
          <w:p w:rsidR="002F4D97" w:rsidRPr="00C5360A" w:rsidRDefault="002F4D97" w:rsidP="002F4D97">
            <w:pPr>
              <w:pStyle w:val="Tabletext"/>
            </w:pPr>
            <w:r w:rsidRPr="00C5360A">
              <w:t>Compensation paid for failing to provide connections on time</w:t>
            </w:r>
          </w:p>
        </w:tc>
        <w:tc>
          <w:tcPr>
            <w:tcW w:w="1276" w:type="dxa"/>
          </w:tcPr>
          <w:p w:rsidR="002F4D97" w:rsidRDefault="002F4D97" w:rsidP="002F4D97">
            <w:pPr>
              <w:pStyle w:val="Tabletext"/>
            </w:pPr>
            <w:r>
              <w:t>$0</w:t>
            </w:r>
          </w:p>
        </w:tc>
        <w:tc>
          <w:tcPr>
            <w:tcW w:w="1275" w:type="dxa"/>
          </w:tcPr>
          <w:p w:rsidR="002F4D97" w:rsidRDefault="002F4D97" w:rsidP="002F4D97">
            <w:pPr>
              <w:pStyle w:val="Tabletext"/>
            </w:pPr>
            <w:r>
              <w:t>$900</w:t>
            </w:r>
          </w:p>
        </w:tc>
        <w:tc>
          <w:tcPr>
            <w:tcW w:w="1196" w:type="dxa"/>
          </w:tcPr>
          <w:p w:rsidR="002F4D97" w:rsidRDefault="002F4D97" w:rsidP="002F4D97">
            <w:pPr>
              <w:pStyle w:val="Tabletext"/>
            </w:pPr>
            <w:r>
              <w:t>$0</w:t>
            </w:r>
          </w:p>
        </w:tc>
      </w:tr>
      <w:tr w:rsidR="002F4D97" w:rsidTr="002F4D97">
        <w:tc>
          <w:tcPr>
            <w:tcW w:w="5495" w:type="dxa"/>
          </w:tcPr>
          <w:p w:rsidR="002F4D97" w:rsidRPr="002F4D97" w:rsidRDefault="002F4D97" w:rsidP="002F4D97">
            <w:pPr>
              <w:pStyle w:val="Tabletext"/>
              <w:rPr>
                <w:rStyle w:val="Strong"/>
              </w:rPr>
            </w:pPr>
            <w:r w:rsidRPr="002F4D97">
              <w:rPr>
                <w:rStyle w:val="Strong"/>
              </w:rPr>
              <w:t>Faulty street lights</w:t>
            </w:r>
          </w:p>
        </w:tc>
        <w:tc>
          <w:tcPr>
            <w:tcW w:w="1276" w:type="dxa"/>
          </w:tcPr>
          <w:p w:rsidR="002F4D97" w:rsidRDefault="002F4D97" w:rsidP="002F4D97">
            <w:pPr>
              <w:pStyle w:val="Tabletext"/>
            </w:pPr>
          </w:p>
        </w:tc>
        <w:tc>
          <w:tcPr>
            <w:tcW w:w="1275" w:type="dxa"/>
          </w:tcPr>
          <w:p w:rsidR="002F4D97" w:rsidRDefault="002F4D97" w:rsidP="002F4D97">
            <w:pPr>
              <w:pStyle w:val="Tabletext"/>
            </w:pPr>
          </w:p>
        </w:tc>
        <w:tc>
          <w:tcPr>
            <w:tcW w:w="1196" w:type="dxa"/>
          </w:tcPr>
          <w:p w:rsidR="002F4D97" w:rsidRDefault="002F4D97" w:rsidP="002F4D97">
            <w:pPr>
              <w:pStyle w:val="Tabletext"/>
            </w:pPr>
          </w:p>
        </w:tc>
      </w:tr>
      <w:tr w:rsidR="002F4D97" w:rsidTr="002F4D97">
        <w:tc>
          <w:tcPr>
            <w:tcW w:w="5495" w:type="dxa"/>
          </w:tcPr>
          <w:p w:rsidR="002F4D97" w:rsidRPr="00C5360A" w:rsidRDefault="002F4D97" w:rsidP="002F4D97">
            <w:pPr>
              <w:pStyle w:val="Tabletext"/>
            </w:pPr>
            <w:r w:rsidRPr="00C5360A">
              <w:t>Number of reported street light faults</w:t>
            </w:r>
          </w:p>
        </w:tc>
        <w:tc>
          <w:tcPr>
            <w:tcW w:w="1276" w:type="dxa"/>
          </w:tcPr>
          <w:p w:rsidR="002F4D97" w:rsidRDefault="002F4D97" w:rsidP="002F4D97">
            <w:pPr>
              <w:pStyle w:val="Tabletext"/>
            </w:pPr>
            <w:r>
              <w:t>11 594</w:t>
            </w:r>
          </w:p>
        </w:tc>
        <w:tc>
          <w:tcPr>
            <w:tcW w:w="1275" w:type="dxa"/>
          </w:tcPr>
          <w:p w:rsidR="002F4D97" w:rsidRDefault="002F4D97" w:rsidP="002F4D97">
            <w:pPr>
              <w:pStyle w:val="Tabletext"/>
            </w:pPr>
            <w:r>
              <w:t>22,110</w:t>
            </w:r>
          </w:p>
        </w:tc>
        <w:tc>
          <w:tcPr>
            <w:tcW w:w="1196" w:type="dxa"/>
          </w:tcPr>
          <w:p w:rsidR="002F4D97" w:rsidRDefault="002F4D97" w:rsidP="002F4D97">
            <w:pPr>
              <w:pStyle w:val="Tabletext"/>
            </w:pPr>
            <w:r>
              <w:t>6 788</w:t>
            </w:r>
          </w:p>
        </w:tc>
      </w:tr>
      <w:tr w:rsidR="002F4D97" w:rsidTr="002F4D97">
        <w:tc>
          <w:tcPr>
            <w:tcW w:w="5495" w:type="dxa"/>
          </w:tcPr>
          <w:p w:rsidR="002F4D97" w:rsidRPr="00C5360A" w:rsidRDefault="002F4D97" w:rsidP="002F4D97">
            <w:pPr>
              <w:pStyle w:val="Tabletext"/>
            </w:pPr>
            <w:r w:rsidRPr="00C5360A">
              <w:t>Occasions where repairs not completed on or before agreed date</w:t>
            </w:r>
          </w:p>
        </w:tc>
        <w:tc>
          <w:tcPr>
            <w:tcW w:w="1276" w:type="dxa"/>
          </w:tcPr>
          <w:p w:rsidR="002F4D97" w:rsidRDefault="002F4D97" w:rsidP="002F4D97">
            <w:pPr>
              <w:pStyle w:val="Tabletext"/>
            </w:pPr>
            <w:r>
              <w:t>604</w:t>
            </w:r>
          </w:p>
        </w:tc>
        <w:tc>
          <w:tcPr>
            <w:tcW w:w="1275" w:type="dxa"/>
          </w:tcPr>
          <w:p w:rsidR="002F4D97" w:rsidRDefault="002F4D97" w:rsidP="002F4D97">
            <w:pPr>
              <w:pStyle w:val="Tabletext"/>
            </w:pPr>
            <w:r>
              <w:t>285</w:t>
            </w:r>
          </w:p>
        </w:tc>
        <w:tc>
          <w:tcPr>
            <w:tcW w:w="1196" w:type="dxa"/>
          </w:tcPr>
          <w:p w:rsidR="002F4D97" w:rsidRDefault="002F4D97" w:rsidP="002F4D97">
            <w:pPr>
              <w:pStyle w:val="Tabletext"/>
            </w:pPr>
            <w:r>
              <w:t>44</w:t>
            </w:r>
          </w:p>
        </w:tc>
      </w:tr>
      <w:tr w:rsidR="002F4D97" w:rsidTr="002F4D97">
        <w:tc>
          <w:tcPr>
            <w:tcW w:w="5495" w:type="dxa"/>
          </w:tcPr>
          <w:p w:rsidR="002F4D97" w:rsidRPr="00C5360A" w:rsidRDefault="002F4D97" w:rsidP="002F4D97">
            <w:pPr>
              <w:pStyle w:val="Tabletext"/>
            </w:pPr>
            <w:r w:rsidRPr="00C5360A">
              <w:t>Compensation paid to customers</w:t>
            </w:r>
          </w:p>
        </w:tc>
        <w:tc>
          <w:tcPr>
            <w:tcW w:w="1276" w:type="dxa"/>
          </w:tcPr>
          <w:p w:rsidR="002F4D97" w:rsidRDefault="002F4D97" w:rsidP="002F4D97">
            <w:pPr>
              <w:pStyle w:val="Tabletext"/>
            </w:pPr>
            <w:r>
              <w:t>$7 860</w:t>
            </w:r>
          </w:p>
        </w:tc>
        <w:tc>
          <w:tcPr>
            <w:tcW w:w="1275" w:type="dxa"/>
          </w:tcPr>
          <w:p w:rsidR="002F4D97" w:rsidRDefault="002F4D97" w:rsidP="002F4D97">
            <w:pPr>
              <w:pStyle w:val="Tabletext"/>
            </w:pPr>
            <w:r>
              <w:t>$4 275</w:t>
            </w:r>
          </w:p>
        </w:tc>
        <w:tc>
          <w:tcPr>
            <w:tcW w:w="1196" w:type="dxa"/>
          </w:tcPr>
          <w:p w:rsidR="002F4D97" w:rsidRDefault="002F4D97" w:rsidP="002F4D97">
            <w:pPr>
              <w:pStyle w:val="Tabletext"/>
            </w:pPr>
            <w:r>
              <w:t>$660</w:t>
            </w:r>
          </w:p>
        </w:tc>
      </w:tr>
      <w:tr w:rsidR="002F4D97" w:rsidTr="002F4D97">
        <w:tc>
          <w:tcPr>
            <w:tcW w:w="5495" w:type="dxa"/>
          </w:tcPr>
          <w:p w:rsidR="002F4D97" w:rsidRPr="00225A77" w:rsidRDefault="002F4D97" w:rsidP="002F4D97">
            <w:pPr>
              <w:pStyle w:val="Tabletext"/>
              <w:rPr>
                <w:rStyle w:val="Strong"/>
              </w:rPr>
            </w:pPr>
            <w:r w:rsidRPr="00225A77">
              <w:rPr>
                <w:rStyle w:val="Strong"/>
              </w:rPr>
              <w:t>Planned interruptions</w:t>
            </w:r>
          </w:p>
        </w:tc>
        <w:tc>
          <w:tcPr>
            <w:tcW w:w="1276" w:type="dxa"/>
          </w:tcPr>
          <w:p w:rsidR="002F4D97" w:rsidRDefault="002F4D97" w:rsidP="002F4D97">
            <w:pPr>
              <w:pStyle w:val="Tabletext"/>
            </w:pPr>
          </w:p>
        </w:tc>
        <w:tc>
          <w:tcPr>
            <w:tcW w:w="1275" w:type="dxa"/>
          </w:tcPr>
          <w:p w:rsidR="002F4D97" w:rsidRDefault="002F4D97" w:rsidP="002F4D97">
            <w:pPr>
              <w:pStyle w:val="Tabletext"/>
            </w:pPr>
          </w:p>
        </w:tc>
        <w:tc>
          <w:tcPr>
            <w:tcW w:w="1196" w:type="dxa"/>
          </w:tcPr>
          <w:p w:rsidR="002F4D97" w:rsidRDefault="002F4D97" w:rsidP="002F4D97">
            <w:pPr>
              <w:pStyle w:val="Tabletext"/>
            </w:pPr>
          </w:p>
        </w:tc>
      </w:tr>
      <w:tr w:rsidR="002F4D97" w:rsidTr="002F4D97">
        <w:tc>
          <w:tcPr>
            <w:tcW w:w="5495" w:type="dxa"/>
          </w:tcPr>
          <w:p w:rsidR="002F4D97" w:rsidRPr="00C5360A" w:rsidRDefault="002F4D97" w:rsidP="002F4D97">
            <w:pPr>
              <w:pStyle w:val="Tabletext"/>
            </w:pPr>
            <w:r w:rsidRPr="00C5360A">
              <w:t>Number of planned interruptions</w:t>
            </w:r>
          </w:p>
        </w:tc>
        <w:tc>
          <w:tcPr>
            <w:tcW w:w="1276" w:type="dxa"/>
          </w:tcPr>
          <w:p w:rsidR="002F4D97" w:rsidRDefault="002F4D97" w:rsidP="002F4D97">
            <w:pPr>
              <w:pStyle w:val="Tabletext"/>
            </w:pPr>
            <w:r>
              <w:t>6 202</w:t>
            </w:r>
          </w:p>
        </w:tc>
        <w:tc>
          <w:tcPr>
            <w:tcW w:w="1275" w:type="dxa"/>
          </w:tcPr>
          <w:p w:rsidR="002F4D97" w:rsidRDefault="002F4D97" w:rsidP="002F4D97">
            <w:pPr>
              <w:pStyle w:val="Tabletext"/>
            </w:pPr>
            <w:r>
              <w:t>8 512</w:t>
            </w:r>
          </w:p>
        </w:tc>
        <w:tc>
          <w:tcPr>
            <w:tcW w:w="1196" w:type="dxa"/>
          </w:tcPr>
          <w:p w:rsidR="002F4D97" w:rsidRDefault="002F4D97" w:rsidP="002F4D97">
            <w:pPr>
              <w:pStyle w:val="Tabletext"/>
            </w:pPr>
            <w:r>
              <w:t>16 071</w:t>
            </w:r>
          </w:p>
        </w:tc>
      </w:tr>
      <w:tr w:rsidR="002F4D97" w:rsidTr="002F4D97">
        <w:tc>
          <w:tcPr>
            <w:tcW w:w="5495" w:type="dxa"/>
          </w:tcPr>
          <w:p w:rsidR="002F4D97" w:rsidRPr="00C5360A" w:rsidRDefault="002F4D97" w:rsidP="002F4D97">
            <w:pPr>
              <w:pStyle w:val="Tabletext"/>
            </w:pPr>
            <w:r w:rsidRPr="00C5360A">
              <w:t>Occasions where there was insufficient notice of the interruption</w:t>
            </w:r>
          </w:p>
        </w:tc>
        <w:tc>
          <w:tcPr>
            <w:tcW w:w="1276" w:type="dxa"/>
          </w:tcPr>
          <w:p w:rsidR="002F4D97" w:rsidRDefault="002F4D97" w:rsidP="002F4D97">
            <w:pPr>
              <w:pStyle w:val="Tabletext"/>
            </w:pPr>
            <w:r>
              <w:t>28</w:t>
            </w:r>
          </w:p>
        </w:tc>
        <w:tc>
          <w:tcPr>
            <w:tcW w:w="1275" w:type="dxa"/>
          </w:tcPr>
          <w:p w:rsidR="002F4D97" w:rsidRDefault="002F4D97" w:rsidP="002F4D97">
            <w:pPr>
              <w:pStyle w:val="Tabletext"/>
            </w:pPr>
            <w:r>
              <w:t>59</w:t>
            </w:r>
          </w:p>
        </w:tc>
        <w:tc>
          <w:tcPr>
            <w:tcW w:w="1196" w:type="dxa"/>
          </w:tcPr>
          <w:p w:rsidR="002F4D97" w:rsidRDefault="002F4D97" w:rsidP="002F4D97">
            <w:pPr>
              <w:pStyle w:val="Tabletext"/>
            </w:pPr>
            <w:r>
              <w:t>232</w:t>
            </w:r>
          </w:p>
        </w:tc>
      </w:tr>
      <w:tr w:rsidR="002F4D97" w:rsidTr="002F4D97">
        <w:tc>
          <w:tcPr>
            <w:tcW w:w="5495" w:type="dxa"/>
          </w:tcPr>
          <w:p w:rsidR="002F4D97" w:rsidRPr="00C5360A" w:rsidRDefault="002F4D97" w:rsidP="002F4D97">
            <w:pPr>
              <w:pStyle w:val="Tabletext"/>
            </w:pPr>
            <w:r w:rsidRPr="00C5360A">
              <w:lastRenderedPageBreak/>
              <w:t>Occasions where the planned interruption was for longer than the time indicated on the notice</w:t>
            </w:r>
          </w:p>
        </w:tc>
        <w:tc>
          <w:tcPr>
            <w:tcW w:w="1276" w:type="dxa"/>
          </w:tcPr>
          <w:p w:rsidR="002F4D97" w:rsidRPr="002F4D97" w:rsidRDefault="002F4D97" w:rsidP="002F4D97">
            <w:pPr>
              <w:pStyle w:val="Tabletext"/>
            </w:pPr>
            <w:r>
              <w:t>0</w:t>
            </w:r>
            <w:r w:rsidRPr="002F4D97">
              <w:rPr>
                <w:rStyle w:val="FootnoteReference"/>
              </w:rPr>
              <w:footnoteReference w:id="48"/>
            </w:r>
          </w:p>
        </w:tc>
        <w:tc>
          <w:tcPr>
            <w:tcW w:w="1275" w:type="dxa"/>
          </w:tcPr>
          <w:p w:rsidR="002F4D97" w:rsidRDefault="002F4D97" w:rsidP="002F4D97">
            <w:pPr>
              <w:pStyle w:val="Tabletext"/>
            </w:pPr>
            <w:r>
              <w:t>65</w:t>
            </w:r>
          </w:p>
        </w:tc>
        <w:tc>
          <w:tcPr>
            <w:tcW w:w="1196" w:type="dxa"/>
          </w:tcPr>
          <w:p w:rsidR="002F4D97" w:rsidRDefault="002F4D97" w:rsidP="002F4D97">
            <w:pPr>
              <w:pStyle w:val="Tabletext"/>
            </w:pPr>
            <w:r>
              <w:t>1 311</w:t>
            </w:r>
          </w:p>
        </w:tc>
      </w:tr>
      <w:tr w:rsidR="002F4D97" w:rsidTr="002F4D97">
        <w:tc>
          <w:tcPr>
            <w:tcW w:w="5495" w:type="dxa"/>
          </w:tcPr>
          <w:p w:rsidR="002F4D97" w:rsidRPr="00C5360A" w:rsidRDefault="002F4D97" w:rsidP="002F4D97">
            <w:pPr>
              <w:pStyle w:val="Tabletext"/>
            </w:pPr>
          </w:p>
        </w:tc>
        <w:tc>
          <w:tcPr>
            <w:tcW w:w="1276" w:type="dxa"/>
          </w:tcPr>
          <w:p w:rsidR="002F4D97" w:rsidRDefault="002F4D97" w:rsidP="002F4D97">
            <w:pPr>
              <w:pStyle w:val="Tabletext"/>
            </w:pPr>
          </w:p>
        </w:tc>
        <w:tc>
          <w:tcPr>
            <w:tcW w:w="1275" w:type="dxa"/>
          </w:tcPr>
          <w:p w:rsidR="002F4D97" w:rsidRDefault="002F4D97" w:rsidP="002F4D97">
            <w:pPr>
              <w:pStyle w:val="Tabletext"/>
            </w:pPr>
          </w:p>
        </w:tc>
        <w:tc>
          <w:tcPr>
            <w:tcW w:w="1196" w:type="dxa"/>
          </w:tcPr>
          <w:p w:rsidR="002F4D97" w:rsidRDefault="002F4D97" w:rsidP="002F4D97">
            <w:pPr>
              <w:pStyle w:val="Tabletext"/>
            </w:pPr>
          </w:p>
        </w:tc>
      </w:tr>
    </w:tbl>
    <w:p w:rsidR="002F4D97" w:rsidRDefault="002F4D97" w:rsidP="002F4D97">
      <w:pPr>
        <w:pStyle w:val="TableHeading"/>
      </w:pPr>
    </w:p>
    <w:p w:rsidR="002F4D97" w:rsidRPr="002F4D97" w:rsidRDefault="002F4D97" w:rsidP="002F4D97">
      <w:r>
        <w:br w:type="page"/>
      </w:r>
    </w:p>
    <w:p w:rsidR="002F4D97" w:rsidRPr="002C1AA6" w:rsidRDefault="002F4D97" w:rsidP="002F4D97">
      <w:pPr>
        <w:pStyle w:val="Tabletitle"/>
      </w:pPr>
      <w:r>
        <w:lastRenderedPageBreak/>
        <w:t>Table A.2</w:t>
      </w:r>
      <w:r w:rsidRPr="009C233A">
        <w:t>: SA electricity distributor performance, 2014-15 (SA Power Networks)</w:t>
      </w:r>
    </w:p>
    <w:tbl>
      <w:tblPr>
        <w:tblW w:w="0" w:type="auto"/>
        <w:tblLook w:val="04A0" w:firstRow="1" w:lastRow="0" w:firstColumn="1" w:lastColumn="0" w:noHBand="0" w:noVBand="1"/>
      </w:tblPr>
      <w:tblGrid>
        <w:gridCol w:w="7905"/>
        <w:gridCol w:w="1337"/>
      </w:tblGrid>
      <w:tr w:rsidR="002F4D97" w:rsidTr="002F4D97">
        <w:tc>
          <w:tcPr>
            <w:tcW w:w="7905" w:type="dxa"/>
            <w:tcBorders>
              <w:top w:val="single" w:sz="4" w:space="0" w:color="BFBFBF" w:themeColor="background1" w:themeShade="BF"/>
              <w:bottom w:val="single" w:sz="4" w:space="0" w:color="auto"/>
            </w:tcBorders>
          </w:tcPr>
          <w:p w:rsidR="002F4D97" w:rsidRPr="00DD0F4D" w:rsidRDefault="002F4D97" w:rsidP="00D00B57">
            <w:pPr>
              <w:pStyle w:val="Tabletext"/>
              <w:rPr>
                <w:rStyle w:val="Strong"/>
              </w:rPr>
            </w:pPr>
            <w:r w:rsidRPr="00DD0F4D">
              <w:rPr>
                <w:rStyle w:val="Strong"/>
              </w:rPr>
              <w:t>Customers</w:t>
            </w:r>
          </w:p>
        </w:tc>
        <w:tc>
          <w:tcPr>
            <w:tcW w:w="1337" w:type="dxa"/>
            <w:tcBorders>
              <w:top w:val="single" w:sz="4" w:space="0" w:color="BFBFBF" w:themeColor="background1" w:themeShade="BF"/>
              <w:bottom w:val="single" w:sz="4" w:space="0" w:color="auto"/>
            </w:tcBorders>
          </w:tcPr>
          <w:p w:rsidR="002F4D97" w:rsidRDefault="002F4D97" w:rsidP="00D00B57">
            <w:pPr>
              <w:pStyle w:val="Tabletext"/>
            </w:pPr>
          </w:p>
        </w:tc>
      </w:tr>
      <w:tr w:rsidR="002F4D97" w:rsidTr="002F4D97">
        <w:tc>
          <w:tcPr>
            <w:tcW w:w="7905" w:type="dxa"/>
            <w:tcBorders>
              <w:top w:val="single" w:sz="4" w:space="0" w:color="auto"/>
              <w:bottom w:val="single" w:sz="4" w:space="0" w:color="auto"/>
            </w:tcBorders>
          </w:tcPr>
          <w:p w:rsidR="002F4D97" w:rsidRPr="00C5360A" w:rsidRDefault="002F4D97" w:rsidP="00D00B57">
            <w:pPr>
              <w:pStyle w:val="Tabletext"/>
            </w:pPr>
            <w:r w:rsidRPr="00C5360A">
              <w:t>Total number of customers</w:t>
            </w:r>
          </w:p>
        </w:tc>
        <w:tc>
          <w:tcPr>
            <w:tcW w:w="1337" w:type="dxa"/>
            <w:tcBorders>
              <w:top w:val="single" w:sz="4" w:space="0" w:color="auto"/>
              <w:bottom w:val="single" w:sz="4" w:space="0" w:color="auto"/>
            </w:tcBorders>
          </w:tcPr>
          <w:p w:rsidR="002F4D97" w:rsidRDefault="002F4D97" w:rsidP="00D00B57">
            <w:pPr>
              <w:pStyle w:val="Tabletext"/>
            </w:pPr>
            <w:r>
              <w:t>849 954</w:t>
            </w:r>
          </w:p>
        </w:tc>
      </w:tr>
      <w:tr w:rsidR="002F4D97" w:rsidTr="002F4D97">
        <w:tc>
          <w:tcPr>
            <w:tcW w:w="7905" w:type="dxa"/>
            <w:tcBorders>
              <w:top w:val="single" w:sz="4" w:space="0" w:color="auto"/>
              <w:bottom w:val="single" w:sz="4" w:space="0" w:color="auto"/>
            </w:tcBorders>
          </w:tcPr>
          <w:p w:rsidR="002F4D97" w:rsidRPr="00C5360A" w:rsidRDefault="002F4D97" w:rsidP="00D00B57">
            <w:pPr>
              <w:pStyle w:val="Tabletext"/>
            </w:pPr>
            <w:r w:rsidRPr="00C5360A">
              <w:t>Residential customers</w:t>
            </w:r>
          </w:p>
        </w:tc>
        <w:tc>
          <w:tcPr>
            <w:tcW w:w="1337" w:type="dxa"/>
            <w:tcBorders>
              <w:top w:val="single" w:sz="4" w:space="0" w:color="auto"/>
              <w:bottom w:val="single" w:sz="4" w:space="0" w:color="auto"/>
            </w:tcBorders>
          </w:tcPr>
          <w:p w:rsidR="002F4D97" w:rsidRDefault="002F4D97" w:rsidP="00D00B57">
            <w:pPr>
              <w:pStyle w:val="Tabletext"/>
            </w:pPr>
            <w:r>
              <w:t>751 078</w:t>
            </w:r>
          </w:p>
        </w:tc>
      </w:tr>
      <w:tr w:rsidR="002F4D97" w:rsidTr="002F4D97">
        <w:tc>
          <w:tcPr>
            <w:tcW w:w="7905" w:type="dxa"/>
            <w:tcBorders>
              <w:top w:val="single" w:sz="4" w:space="0" w:color="auto"/>
              <w:bottom w:val="single" w:sz="4" w:space="0" w:color="auto"/>
            </w:tcBorders>
          </w:tcPr>
          <w:p w:rsidR="002F4D97" w:rsidRPr="00C5360A" w:rsidRDefault="002F4D97" w:rsidP="00D00B57">
            <w:pPr>
              <w:pStyle w:val="Tabletext"/>
            </w:pPr>
            <w:r w:rsidRPr="00C5360A">
              <w:t>Small non-residential customers</w:t>
            </w:r>
          </w:p>
        </w:tc>
        <w:tc>
          <w:tcPr>
            <w:tcW w:w="1337" w:type="dxa"/>
            <w:tcBorders>
              <w:top w:val="single" w:sz="4" w:space="0" w:color="auto"/>
              <w:bottom w:val="single" w:sz="4" w:space="0" w:color="auto"/>
            </w:tcBorders>
          </w:tcPr>
          <w:p w:rsidR="002F4D97" w:rsidRDefault="002F4D97" w:rsidP="00D00B57">
            <w:pPr>
              <w:pStyle w:val="Tabletext"/>
            </w:pPr>
            <w:r>
              <w:t>98 876</w:t>
            </w:r>
          </w:p>
        </w:tc>
      </w:tr>
      <w:tr w:rsidR="002F4D97" w:rsidTr="002F4D97">
        <w:tc>
          <w:tcPr>
            <w:tcW w:w="7905" w:type="dxa"/>
            <w:tcBorders>
              <w:top w:val="single" w:sz="4" w:space="0" w:color="auto"/>
              <w:bottom w:val="single" w:sz="4" w:space="0" w:color="auto"/>
            </w:tcBorders>
          </w:tcPr>
          <w:p w:rsidR="002F4D97" w:rsidRPr="002F4D97" w:rsidRDefault="002F4D97" w:rsidP="00D00B57">
            <w:pPr>
              <w:pStyle w:val="Tabletext"/>
            </w:pPr>
            <w:r w:rsidRPr="002F4D97">
              <w:t>Complaints</w:t>
            </w:r>
          </w:p>
        </w:tc>
        <w:tc>
          <w:tcPr>
            <w:tcW w:w="1337" w:type="dxa"/>
            <w:tcBorders>
              <w:top w:val="single" w:sz="4" w:space="0" w:color="auto"/>
              <w:bottom w:val="single" w:sz="4" w:space="0" w:color="auto"/>
            </w:tcBorders>
          </w:tcPr>
          <w:p w:rsidR="002F4D97" w:rsidRDefault="002F4D97" w:rsidP="00D00B57">
            <w:pPr>
              <w:pStyle w:val="Tabletext"/>
            </w:pPr>
          </w:p>
        </w:tc>
      </w:tr>
      <w:tr w:rsidR="002F4D97" w:rsidTr="002F4D97">
        <w:tc>
          <w:tcPr>
            <w:tcW w:w="7905" w:type="dxa"/>
            <w:tcBorders>
              <w:top w:val="single" w:sz="4" w:space="0" w:color="auto"/>
              <w:bottom w:val="single" w:sz="4" w:space="0" w:color="auto"/>
            </w:tcBorders>
          </w:tcPr>
          <w:p w:rsidR="002F4D97" w:rsidRPr="00C5360A" w:rsidRDefault="002F4D97" w:rsidP="00D00B57">
            <w:pPr>
              <w:pStyle w:val="Tabletext"/>
            </w:pPr>
            <w:r w:rsidRPr="00C5360A">
              <w:t>Total complaints received</w:t>
            </w:r>
          </w:p>
        </w:tc>
        <w:tc>
          <w:tcPr>
            <w:tcW w:w="1337" w:type="dxa"/>
            <w:tcBorders>
              <w:top w:val="single" w:sz="4" w:space="0" w:color="auto"/>
              <w:bottom w:val="single" w:sz="4" w:space="0" w:color="auto"/>
            </w:tcBorders>
          </w:tcPr>
          <w:p w:rsidR="002F4D97" w:rsidRDefault="002F4D97" w:rsidP="00D00B57">
            <w:pPr>
              <w:pStyle w:val="Tabletext"/>
            </w:pPr>
            <w:r>
              <w:t>2 034</w:t>
            </w:r>
          </w:p>
        </w:tc>
      </w:tr>
      <w:tr w:rsidR="002F4D97" w:rsidTr="002F4D97">
        <w:tc>
          <w:tcPr>
            <w:tcW w:w="7905" w:type="dxa"/>
            <w:tcBorders>
              <w:top w:val="single" w:sz="4" w:space="0" w:color="auto"/>
              <w:bottom w:val="single" w:sz="4" w:space="0" w:color="auto"/>
            </w:tcBorders>
          </w:tcPr>
          <w:p w:rsidR="002F4D97" w:rsidRPr="00DD0F4D" w:rsidRDefault="002F4D97" w:rsidP="00D00B57">
            <w:pPr>
              <w:pStyle w:val="Tabletext"/>
              <w:rPr>
                <w:rStyle w:val="Strong"/>
              </w:rPr>
            </w:pPr>
            <w:r w:rsidRPr="00DD0F4D">
              <w:rPr>
                <w:rStyle w:val="Strong"/>
              </w:rPr>
              <w:t>Customer service</w:t>
            </w:r>
          </w:p>
        </w:tc>
        <w:tc>
          <w:tcPr>
            <w:tcW w:w="1337" w:type="dxa"/>
            <w:tcBorders>
              <w:top w:val="single" w:sz="4" w:space="0" w:color="auto"/>
              <w:bottom w:val="single" w:sz="4" w:space="0" w:color="auto"/>
            </w:tcBorders>
          </w:tcPr>
          <w:p w:rsidR="002F4D97" w:rsidRDefault="002F4D97" w:rsidP="00D00B57">
            <w:pPr>
              <w:pStyle w:val="Tabletext"/>
            </w:pPr>
          </w:p>
        </w:tc>
      </w:tr>
      <w:tr w:rsidR="002F4D97" w:rsidTr="002F4D97">
        <w:tc>
          <w:tcPr>
            <w:tcW w:w="7905" w:type="dxa"/>
            <w:tcBorders>
              <w:top w:val="single" w:sz="4" w:space="0" w:color="auto"/>
              <w:bottom w:val="single" w:sz="4" w:space="0" w:color="auto"/>
            </w:tcBorders>
          </w:tcPr>
          <w:p w:rsidR="002F4D97" w:rsidRPr="00C5360A" w:rsidRDefault="002F4D97" w:rsidP="00D00B57">
            <w:pPr>
              <w:pStyle w:val="Tabletext"/>
            </w:pPr>
            <w:r w:rsidRPr="00C5360A">
              <w:t>Total calls received</w:t>
            </w:r>
          </w:p>
        </w:tc>
        <w:tc>
          <w:tcPr>
            <w:tcW w:w="1337" w:type="dxa"/>
            <w:tcBorders>
              <w:top w:val="single" w:sz="4" w:space="0" w:color="auto"/>
              <w:bottom w:val="single" w:sz="4" w:space="0" w:color="auto"/>
            </w:tcBorders>
          </w:tcPr>
          <w:p w:rsidR="002F4D97" w:rsidRDefault="002F4D97" w:rsidP="00D00B57">
            <w:pPr>
              <w:pStyle w:val="Tabletext"/>
            </w:pPr>
            <w:r>
              <w:t>475 052</w:t>
            </w:r>
          </w:p>
        </w:tc>
      </w:tr>
      <w:tr w:rsidR="002F4D97" w:rsidTr="002F4D97">
        <w:tc>
          <w:tcPr>
            <w:tcW w:w="7905" w:type="dxa"/>
            <w:tcBorders>
              <w:top w:val="single" w:sz="4" w:space="0" w:color="auto"/>
              <w:bottom w:val="single" w:sz="4" w:space="0" w:color="auto"/>
            </w:tcBorders>
          </w:tcPr>
          <w:p w:rsidR="002F4D97" w:rsidRPr="00C5360A" w:rsidRDefault="002F4D97" w:rsidP="00D00B57">
            <w:pPr>
              <w:pStyle w:val="Tabletext"/>
            </w:pPr>
            <w:r w:rsidRPr="00C5360A">
              <w:t>Calls answered within 30 seconds (%)</w:t>
            </w:r>
          </w:p>
        </w:tc>
        <w:tc>
          <w:tcPr>
            <w:tcW w:w="1337" w:type="dxa"/>
            <w:tcBorders>
              <w:top w:val="single" w:sz="4" w:space="0" w:color="auto"/>
              <w:bottom w:val="single" w:sz="4" w:space="0" w:color="auto"/>
            </w:tcBorders>
          </w:tcPr>
          <w:p w:rsidR="002F4D97" w:rsidRDefault="002F4D97" w:rsidP="00D00B57">
            <w:pPr>
              <w:pStyle w:val="Tabletext"/>
            </w:pPr>
            <w:r>
              <w:t>91%</w:t>
            </w:r>
          </w:p>
        </w:tc>
      </w:tr>
      <w:tr w:rsidR="002F4D97" w:rsidTr="002F4D97">
        <w:tc>
          <w:tcPr>
            <w:tcW w:w="7905" w:type="dxa"/>
            <w:tcBorders>
              <w:top w:val="single" w:sz="4" w:space="0" w:color="auto"/>
              <w:bottom w:val="single" w:sz="4" w:space="0" w:color="auto"/>
            </w:tcBorders>
          </w:tcPr>
          <w:p w:rsidR="002F4D97" w:rsidRPr="00C5360A" w:rsidRDefault="002F4D97" w:rsidP="00D00B57">
            <w:pPr>
              <w:pStyle w:val="Tabletext"/>
            </w:pPr>
            <w:r w:rsidRPr="00C5360A">
              <w:t>Calls abandoned (%)</w:t>
            </w:r>
          </w:p>
        </w:tc>
        <w:tc>
          <w:tcPr>
            <w:tcW w:w="1337" w:type="dxa"/>
            <w:tcBorders>
              <w:top w:val="single" w:sz="4" w:space="0" w:color="auto"/>
              <w:bottom w:val="single" w:sz="4" w:space="0" w:color="auto"/>
            </w:tcBorders>
          </w:tcPr>
          <w:p w:rsidR="002F4D97" w:rsidRDefault="002F4D97" w:rsidP="00D00B57">
            <w:pPr>
              <w:pStyle w:val="Tabletext"/>
            </w:pPr>
            <w:r>
              <w:t>5%</w:t>
            </w:r>
          </w:p>
        </w:tc>
      </w:tr>
      <w:tr w:rsidR="002F4D97" w:rsidTr="002F4D97">
        <w:tc>
          <w:tcPr>
            <w:tcW w:w="7905" w:type="dxa"/>
            <w:tcBorders>
              <w:top w:val="single" w:sz="4" w:space="0" w:color="auto"/>
              <w:bottom w:val="single" w:sz="4" w:space="0" w:color="auto"/>
            </w:tcBorders>
          </w:tcPr>
          <w:p w:rsidR="002F4D97" w:rsidRPr="00DD0F4D" w:rsidRDefault="002F4D97" w:rsidP="00D00B57">
            <w:pPr>
              <w:pStyle w:val="Tabletext"/>
              <w:rPr>
                <w:rStyle w:val="Strong"/>
              </w:rPr>
            </w:pPr>
            <w:r w:rsidRPr="00DD0F4D">
              <w:rPr>
                <w:rStyle w:val="Strong"/>
              </w:rPr>
              <w:t>Promptness of connection</w:t>
            </w:r>
          </w:p>
        </w:tc>
        <w:tc>
          <w:tcPr>
            <w:tcW w:w="1337" w:type="dxa"/>
            <w:tcBorders>
              <w:top w:val="single" w:sz="4" w:space="0" w:color="auto"/>
              <w:bottom w:val="single" w:sz="4" w:space="0" w:color="auto"/>
            </w:tcBorders>
          </w:tcPr>
          <w:p w:rsidR="002F4D97" w:rsidRDefault="002F4D97" w:rsidP="00D00B57">
            <w:pPr>
              <w:pStyle w:val="Tabletext"/>
            </w:pPr>
          </w:p>
        </w:tc>
      </w:tr>
      <w:tr w:rsidR="002F4D97" w:rsidTr="002F4D97">
        <w:tc>
          <w:tcPr>
            <w:tcW w:w="7905" w:type="dxa"/>
            <w:tcBorders>
              <w:top w:val="single" w:sz="4" w:space="0" w:color="auto"/>
              <w:bottom w:val="single" w:sz="4" w:space="0" w:color="auto"/>
            </w:tcBorders>
          </w:tcPr>
          <w:p w:rsidR="002F4D97" w:rsidRPr="00C5360A" w:rsidRDefault="002F4D97" w:rsidP="00D00B57">
            <w:pPr>
              <w:pStyle w:val="Tabletext"/>
            </w:pPr>
            <w:r w:rsidRPr="00C5360A">
              <w:t xml:space="preserve">New supply addresses connected </w:t>
            </w:r>
          </w:p>
        </w:tc>
        <w:tc>
          <w:tcPr>
            <w:tcW w:w="1337" w:type="dxa"/>
            <w:tcBorders>
              <w:top w:val="single" w:sz="4" w:space="0" w:color="auto"/>
              <w:bottom w:val="single" w:sz="4" w:space="0" w:color="auto"/>
            </w:tcBorders>
          </w:tcPr>
          <w:p w:rsidR="002F4D97" w:rsidRDefault="002F4D97" w:rsidP="00D00B57">
            <w:pPr>
              <w:pStyle w:val="Tabletext"/>
            </w:pPr>
            <w:r>
              <w:t>11 901</w:t>
            </w:r>
          </w:p>
        </w:tc>
      </w:tr>
      <w:tr w:rsidR="002F4D97" w:rsidTr="002F4D97">
        <w:tc>
          <w:tcPr>
            <w:tcW w:w="7905" w:type="dxa"/>
            <w:tcBorders>
              <w:top w:val="single" w:sz="4" w:space="0" w:color="auto"/>
              <w:bottom w:val="single" w:sz="4" w:space="0" w:color="auto"/>
            </w:tcBorders>
          </w:tcPr>
          <w:p w:rsidR="002F4D97" w:rsidRPr="00C5360A" w:rsidRDefault="002F4D97" w:rsidP="00D00B57">
            <w:pPr>
              <w:pStyle w:val="Tabletext"/>
            </w:pPr>
            <w:r w:rsidRPr="00C5360A">
              <w:t>Connections not provided on or before agreed time</w:t>
            </w:r>
          </w:p>
        </w:tc>
        <w:tc>
          <w:tcPr>
            <w:tcW w:w="1337" w:type="dxa"/>
            <w:tcBorders>
              <w:top w:val="single" w:sz="4" w:space="0" w:color="auto"/>
              <w:bottom w:val="single" w:sz="4" w:space="0" w:color="auto"/>
            </w:tcBorders>
          </w:tcPr>
          <w:p w:rsidR="002F4D97" w:rsidRDefault="002F4D97" w:rsidP="00D00B57">
            <w:pPr>
              <w:pStyle w:val="Tabletext"/>
            </w:pPr>
            <w:r>
              <w:t>141</w:t>
            </w:r>
          </w:p>
        </w:tc>
      </w:tr>
      <w:tr w:rsidR="002F4D97" w:rsidTr="002F4D97">
        <w:tc>
          <w:tcPr>
            <w:tcW w:w="7905" w:type="dxa"/>
            <w:tcBorders>
              <w:top w:val="single" w:sz="4" w:space="0" w:color="auto"/>
              <w:bottom w:val="single" w:sz="4" w:space="0" w:color="auto"/>
            </w:tcBorders>
          </w:tcPr>
          <w:p w:rsidR="002F4D97" w:rsidRPr="00C5360A" w:rsidRDefault="002F4D97" w:rsidP="00D00B57">
            <w:pPr>
              <w:pStyle w:val="Tabletext"/>
            </w:pPr>
            <w:r w:rsidRPr="00C5360A">
              <w:t>Compensation paid for failing to provide connections on time</w:t>
            </w:r>
          </w:p>
        </w:tc>
        <w:tc>
          <w:tcPr>
            <w:tcW w:w="1337" w:type="dxa"/>
            <w:tcBorders>
              <w:top w:val="single" w:sz="4" w:space="0" w:color="auto"/>
              <w:bottom w:val="single" w:sz="4" w:space="0" w:color="auto"/>
            </w:tcBorders>
          </w:tcPr>
          <w:p w:rsidR="002F4D97" w:rsidRDefault="002F4D97" w:rsidP="00D00B57">
            <w:pPr>
              <w:pStyle w:val="Tabletext"/>
            </w:pPr>
            <w:r>
              <w:t>$37 620</w:t>
            </w:r>
          </w:p>
        </w:tc>
      </w:tr>
      <w:tr w:rsidR="002F4D97" w:rsidTr="002F4D97">
        <w:tc>
          <w:tcPr>
            <w:tcW w:w="7905" w:type="dxa"/>
            <w:tcBorders>
              <w:top w:val="single" w:sz="4" w:space="0" w:color="auto"/>
              <w:bottom w:val="single" w:sz="4" w:space="0" w:color="auto"/>
            </w:tcBorders>
          </w:tcPr>
          <w:p w:rsidR="002F4D97" w:rsidRPr="00DD0F4D" w:rsidRDefault="002F4D97" w:rsidP="00D00B57">
            <w:pPr>
              <w:pStyle w:val="Tabletext"/>
              <w:rPr>
                <w:rStyle w:val="Strong"/>
              </w:rPr>
            </w:pPr>
            <w:r w:rsidRPr="00DD0F4D">
              <w:rPr>
                <w:rStyle w:val="Strong"/>
              </w:rPr>
              <w:t>Faulty street lights – Adelaide Business Area, Adelaide Metropolitan Area and Major Regional Areas</w:t>
            </w:r>
          </w:p>
        </w:tc>
        <w:tc>
          <w:tcPr>
            <w:tcW w:w="1337" w:type="dxa"/>
            <w:tcBorders>
              <w:top w:val="single" w:sz="4" w:space="0" w:color="auto"/>
              <w:bottom w:val="single" w:sz="4" w:space="0" w:color="auto"/>
            </w:tcBorders>
          </w:tcPr>
          <w:p w:rsidR="002F4D97" w:rsidRDefault="002F4D97" w:rsidP="00D00B57">
            <w:pPr>
              <w:pStyle w:val="Tabletext"/>
            </w:pPr>
          </w:p>
        </w:tc>
      </w:tr>
      <w:tr w:rsidR="002F4D97" w:rsidTr="002F4D97">
        <w:tc>
          <w:tcPr>
            <w:tcW w:w="7905" w:type="dxa"/>
            <w:tcBorders>
              <w:top w:val="single" w:sz="4" w:space="0" w:color="auto"/>
              <w:bottom w:val="single" w:sz="4" w:space="0" w:color="auto"/>
            </w:tcBorders>
          </w:tcPr>
          <w:p w:rsidR="002F4D97" w:rsidRPr="00C5360A" w:rsidRDefault="002F4D97" w:rsidP="00D00B57">
            <w:pPr>
              <w:pStyle w:val="Tabletext"/>
            </w:pPr>
            <w:r w:rsidRPr="00C5360A">
              <w:t>Number of reported street light faults</w:t>
            </w:r>
          </w:p>
        </w:tc>
        <w:tc>
          <w:tcPr>
            <w:tcW w:w="1337" w:type="dxa"/>
            <w:tcBorders>
              <w:top w:val="single" w:sz="4" w:space="0" w:color="auto"/>
              <w:bottom w:val="single" w:sz="4" w:space="0" w:color="auto"/>
            </w:tcBorders>
          </w:tcPr>
          <w:p w:rsidR="002F4D97" w:rsidRDefault="002F4D97" w:rsidP="00D00B57">
            <w:pPr>
              <w:pStyle w:val="Tabletext"/>
            </w:pPr>
            <w:r>
              <w:t>26 182</w:t>
            </w:r>
          </w:p>
        </w:tc>
      </w:tr>
      <w:tr w:rsidR="002F4D97" w:rsidTr="002F4D97">
        <w:tc>
          <w:tcPr>
            <w:tcW w:w="7905" w:type="dxa"/>
            <w:tcBorders>
              <w:top w:val="single" w:sz="4" w:space="0" w:color="auto"/>
              <w:bottom w:val="single" w:sz="4" w:space="0" w:color="auto"/>
            </w:tcBorders>
          </w:tcPr>
          <w:p w:rsidR="002F4D97" w:rsidRPr="00C5360A" w:rsidRDefault="002F4D97" w:rsidP="00D00B57">
            <w:pPr>
              <w:pStyle w:val="Tabletext"/>
            </w:pPr>
            <w:r w:rsidRPr="00C5360A">
              <w:t>Occasions where repairs not completed on or before agreed date (within five days)</w:t>
            </w:r>
          </w:p>
        </w:tc>
        <w:tc>
          <w:tcPr>
            <w:tcW w:w="1337" w:type="dxa"/>
            <w:tcBorders>
              <w:top w:val="single" w:sz="4" w:space="0" w:color="auto"/>
              <w:bottom w:val="single" w:sz="4" w:space="0" w:color="auto"/>
            </w:tcBorders>
          </w:tcPr>
          <w:p w:rsidR="002F4D97" w:rsidRDefault="002F4D97" w:rsidP="00D00B57">
            <w:pPr>
              <w:pStyle w:val="Tabletext"/>
            </w:pPr>
            <w:r>
              <w:t>1 795</w:t>
            </w:r>
          </w:p>
        </w:tc>
      </w:tr>
      <w:tr w:rsidR="002F4D97" w:rsidTr="002F4D97">
        <w:tc>
          <w:tcPr>
            <w:tcW w:w="7905" w:type="dxa"/>
            <w:tcBorders>
              <w:top w:val="single" w:sz="4" w:space="0" w:color="auto"/>
              <w:bottom w:val="single" w:sz="4" w:space="0" w:color="auto"/>
            </w:tcBorders>
          </w:tcPr>
          <w:p w:rsidR="002F4D97" w:rsidRPr="00C5360A" w:rsidRDefault="002F4D97" w:rsidP="00D00B57">
            <w:pPr>
              <w:pStyle w:val="Tabletext"/>
            </w:pPr>
            <w:r w:rsidRPr="00C5360A">
              <w:t>Compensation paid to customers</w:t>
            </w:r>
          </w:p>
        </w:tc>
        <w:tc>
          <w:tcPr>
            <w:tcW w:w="1337" w:type="dxa"/>
            <w:tcBorders>
              <w:top w:val="single" w:sz="4" w:space="0" w:color="auto"/>
              <w:bottom w:val="single" w:sz="4" w:space="0" w:color="auto"/>
            </w:tcBorders>
          </w:tcPr>
          <w:p w:rsidR="002F4D97" w:rsidRDefault="002F4D97" w:rsidP="00D00B57">
            <w:pPr>
              <w:pStyle w:val="Tabletext"/>
            </w:pPr>
            <w:r>
              <w:t>$255 400</w:t>
            </w:r>
          </w:p>
        </w:tc>
      </w:tr>
      <w:tr w:rsidR="002F4D97" w:rsidTr="002F4D97">
        <w:tc>
          <w:tcPr>
            <w:tcW w:w="7905" w:type="dxa"/>
            <w:tcBorders>
              <w:top w:val="single" w:sz="4" w:space="0" w:color="auto"/>
              <w:bottom w:val="single" w:sz="4" w:space="0" w:color="auto"/>
            </w:tcBorders>
          </w:tcPr>
          <w:p w:rsidR="002F4D97" w:rsidRPr="00DD0F4D" w:rsidRDefault="002F4D97" w:rsidP="00D00B57">
            <w:pPr>
              <w:pStyle w:val="Tabletext"/>
              <w:rPr>
                <w:rStyle w:val="Strong"/>
              </w:rPr>
            </w:pPr>
            <w:r w:rsidRPr="00DD0F4D">
              <w:rPr>
                <w:rStyle w:val="Strong"/>
              </w:rPr>
              <w:t>Faulty street lights – Country Areas</w:t>
            </w:r>
          </w:p>
        </w:tc>
        <w:tc>
          <w:tcPr>
            <w:tcW w:w="1337" w:type="dxa"/>
            <w:tcBorders>
              <w:top w:val="single" w:sz="4" w:space="0" w:color="auto"/>
              <w:bottom w:val="single" w:sz="4" w:space="0" w:color="auto"/>
            </w:tcBorders>
          </w:tcPr>
          <w:p w:rsidR="002F4D97" w:rsidRDefault="002F4D97" w:rsidP="00D00B57">
            <w:pPr>
              <w:pStyle w:val="Tabletext"/>
            </w:pPr>
          </w:p>
        </w:tc>
      </w:tr>
      <w:tr w:rsidR="002F4D97" w:rsidTr="002F4D97">
        <w:tc>
          <w:tcPr>
            <w:tcW w:w="7905" w:type="dxa"/>
            <w:tcBorders>
              <w:top w:val="single" w:sz="4" w:space="0" w:color="auto"/>
              <w:bottom w:val="single" w:sz="4" w:space="0" w:color="auto"/>
            </w:tcBorders>
          </w:tcPr>
          <w:p w:rsidR="002F4D97" w:rsidRPr="00C5360A" w:rsidRDefault="002F4D97" w:rsidP="00D00B57">
            <w:pPr>
              <w:pStyle w:val="Tabletext"/>
            </w:pPr>
            <w:r w:rsidRPr="00C5360A">
              <w:t>Number of reported street light faults</w:t>
            </w:r>
          </w:p>
        </w:tc>
        <w:tc>
          <w:tcPr>
            <w:tcW w:w="1337" w:type="dxa"/>
            <w:tcBorders>
              <w:top w:val="single" w:sz="4" w:space="0" w:color="auto"/>
              <w:bottom w:val="single" w:sz="4" w:space="0" w:color="auto"/>
            </w:tcBorders>
          </w:tcPr>
          <w:p w:rsidR="002F4D97" w:rsidRDefault="002F4D97" w:rsidP="00D00B57">
            <w:pPr>
              <w:pStyle w:val="Tabletext"/>
            </w:pPr>
            <w:r>
              <w:t>3 867</w:t>
            </w:r>
          </w:p>
        </w:tc>
      </w:tr>
      <w:tr w:rsidR="002F4D97" w:rsidTr="002F4D97">
        <w:tc>
          <w:tcPr>
            <w:tcW w:w="7905" w:type="dxa"/>
            <w:tcBorders>
              <w:top w:val="single" w:sz="4" w:space="0" w:color="auto"/>
              <w:bottom w:val="single" w:sz="4" w:space="0" w:color="auto"/>
            </w:tcBorders>
          </w:tcPr>
          <w:p w:rsidR="002F4D97" w:rsidRPr="00C5360A" w:rsidRDefault="002F4D97" w:rsidP="00D00B57">
            <w:pPr>
              <w:pStyle w:val="Tabletext"/>
            </w:pPr>
            <w:r w:rsidRPr="00C5360A">
              <w:t>Occasions where repairs not completed on or before agreed date (within ten days)</w:t>
            </w:r>
          </w:p>
        </w:tc>
        <w:tc>
          <w:tcPr>
            <w:tcW w:w="1337" w:type="dxa"/>
            <w:tcBorders>
              <w:top w:val="single" w:sz="4" w:space="0" w:color="auto"/>
              <w:bottom w:val="single" w:sz="4" w:space="0" w:color="auto"/>
            </w:tcBorders>
          </w:tcPr>
          <w:p w:rsidR="002F4D97" w:rsidRDefault="002F4D97" w:rsidP="00D00B57">
            <w:pPr>
              <w:pStyle w:val="Tabletext"/>
            </w:pPr>
            <w:r>
              <w:t>27</w:t>
            </w:r>
          </w:p>
        </w:tc>
      </w:tr>
      <w:tr w:rsidR="002F4D97" w:rsidTr="002F4D97">
        <w:tc>
          <w:tcPr>
            <w:tcW w:w="7905" w:type="dxa"/>
            <w:tcBorders>
              <w:top w:val="single" w:sz="4" w:space="0" w:color="auto"/>
              <w:bottom w:val="single" w:sz="4" w:space="0" w:color="auto"/>
            </w:tcBorders>
          </w:tcPr>
          <w:p w:rsidR="002F4D97" w:rsidRPr="00C5360A" w:rsidRDefault="002F4D97" w:rsidP="00D00B57">
            <w:pPr>
              <w:pStyle w:val="Tabletext"/>
            </w:pPr>
            <w:r w:rsidRPr="00C5360A">
              <w:t>Compensation paid to customers</w:t>
            </w:r>
          </w:p>
        </w:tc>
        <w:tc>
          <w:tcPr>
            <w:tcW w:w="1337" w:type="dxa"/>
            <w:tcBorders>
              <w:top w:val="single" w:sz="4" w:space="0" w:color="auto"/>
              <w:bottom w:val="single" w:sz="4" w:space="0" w:color="auto"/>
            </w:tcBorders>
          </w:tcPr>
          <w:p w:rsidR="002F4D97" w:rsidRDefault="002F4D97" w:rsidP="00D00B57">
            <w:pPr>
              <w:pStyle w:val="Tabletext"/>
            </w:pPr>
            <w:r>
              <w:t>$1 575</w:t>
            </w:r>
          </w:p>
        </w:tc>
      </w:tr>
      <w:tr w:rsidR="002F4D97" w:rsidTr="002F4D97">
        <w:tc>
          <w:tcPr>
            <w:tcW w:w="7905" w:type="dxa"/>
            <w:tcBorders>
              <w:top w:val="single" w:sz="4" w:space="0" w:color="auto"/>
              <w:bottom w:val="single" w:sz="4" w:space="0" w:color="auto"/>
            </w:tcBorders>
          </w:tcPr>
          <w:p w:rsidR="002F4D97" w:rsidRPr="00DD0F4D" w:rsidRDefault="002F4D97" w:rsidP="00D00B57">
            <w:pPr>
              <w:pStyle w:val="Tabletext"/>
              <w:rPr>
                <w:rStyle w:val="Strong"/>
              </w:rPr>
            </w:pPr>
            <w:r w:rsidRPr="00DD0F4D">
              <w:rPr>
                <w:rStyle w:val="Strong"/>
              </w:rPr>
              <w:t>Timeliness of appointments</w:t>
            </w:r>
          </w:p>
        </w:tc>
        <w:tc>
          <w:tcPr>
            <w:tcW w:w="1337" w:type="dxa"/>
            <w:tcBorders>
              <w:top w:val="single" w:sz="4" w:space="0" w:color="auto"/>
              <w:bottom w:val="single" w:sz="4" w:space="0" w:color="auto"/>
            </w:tcBorders>
          </w:tcPr>
          <w:p w:rsidR="002F4D97" w:rsidRDefault="002F4D97" w:rsidP="00D00B57">
            <w:pPr>
              <w:pStyle w:val="Tabletext"/>
            </w:pPr>
          </w:p>
        </w:tc>
      </w:tr>
      <w:tr w:rsidR="002F4D97" w:rsidTr="002F4D97">
        <w:tc>
          <w:tcPr>
            <w:tcW w:w="7905" w:type="dxa"/>
            <w:tcBorders>
              <w:top w:val="single" w:sz="4" w:space="0" w:color="auto"/>
              <w:bottom w:val="single" w:sz="4" w:space="0" w:color="auto"/>
            </w:tcBorders>
          </w:tcPr>
          <w:p w:rsidR="002F4D97" w:rsidRPr="00C5360A" w:rsidRDefault="002F4D97" w:rsidP="00D00B57">
            <w:pPr>
              <w:pStyle w:val="Tabletext"/>
            </w:pPr>
            <w:r w:rsidRPr="00C5360A">
              <w:t>Total number of appointments</w:t>
            </w:r>
          </w:p>
        </w:tc>
        <w:tc>
          <w:tcPr>
            <w:tcW w:w="1337" w:type="dxa"/>
            <w:tcBorders>
              <w:top w:val="single" w:sz="4" w:space="0" w:color="auto"/>
              <w:bottom w:val="single" w:sz="4" w:space="0" w:color="auto"/>
            </w:tcBorders>
          </w:tcPr>
          <w:p w:rsidR="002F4D97" w:rsidRDefault="002F4D97" w:rsidP="00D00B57">
            <w:pPr>
              <w:pStyle w:val="Tabletext"/>
            </w:pPr>
            <w:r>
              <w:t>31 973</w:t>
            </w:r>
          </w:p>
        </w:tc>
      </w:tr>
      <w:tr w:rsidR="002F4D97" w:rsidTr="002F4D97">
        <w:tc>
          <w:tcPr>
            <w:tcW w:w="7905" w:type="dxa"/>
            <w:tcBorders>
              <w:top w:val="single" w:sz="4" w:space="0" w:color="auto"/>
              <w:bottom w:val="single" w:sz="4" w:space="0" w:color="auto"/>
            </w:tcBorders>
          </w:tcPr>
          <w:p w:rsidR="002F4D97" w:rsidRPr="00C5360A" w:rsidRDefault="002F4D97" w:rsidP="00D00B57">
            <w:pPr>
              <w:pStyle w:val="Tabletext"/>
            </w:pPr>
            <w:r w:rsidRPr="00C5360A">
              <w:t>Total number of appointments with customers where a representative of SAPN is more than 15 minutes late</w:t>
            </w:r>
          </w:p>
        </w:tc>
        <w:tc>
          <w:tcPr>
            <w:tcW w:w="1337" w:type="dxa"/>
            <w:tcBorders>
              <w:top w:val="single" w:sz="4" w:space="0" w:color="auto"/>
              <w:bottom w:val="single" w:sz="4" w:space="0" w:color="auto"/>
            </w:tcBorders>
          </w:tcPr>
          <w:p w:rsidR="002F4D97" w:rsidRDefault="002F4D97" w:rsidP="00D00B57">
            <w:pPr>
              <w:pStyle w:val="Tabletext"/>
            </w:pPr>
            <w:r>
              <w:t>0</w:t>
            </w:r>
          </w:p>
        </w:tc>
      </w:tr>
      <w:tr w:rsidR="002F4D97" w:rsidTr="002F4D97">
        <w:tc>
          <w:tcPr>
            <w:tcW w:w="7905" w:type="dxa"/>
            <w:tcBorders>
              <w:top w:val="single" w:sz="4" w:space="0" w:color="auto"/>
              <w:bottom w:val="single" w:sz="4" w:space="0" w:color="BFBFBF" w:themeColor="background1" w:themeShade="BF"/>
            </w:tcBorders>
          </w:tcPr>
          <w:p w:rsidR="002F4D97" w:rsidRPr="00C5360A" w:rsidRDefault="002F4D97" w:rsidP="00D00B57">
            <w:pPr>
              <w:pStyle w:val="Tabletext"/>
            </w:pPr>
            <w:r w:rsidRPr="00C5360A">
              <w:t>Compensation paid to customers</w:t>
            </w:r>
          </w:p>
        </w:tc>
        <w:tc>
          <w:tcPr>
            <w:tcW w:w="1337" w:type="dxa"/>
            <w:tcBorders>
              <w:top w:val="single" w:sz="4" w:space="0" w:color="auto"/>
              <w:bottom w:val="single" w:sz="4" w:space="0" w:color="BFBFBF" w:themeColor="background1" w:themeShade="BF"/>
            </w:tcBorders>
          </w:tcPr>
          <w:p w:rsidR="002F4D97" w:rsidRDefault="002F4D97" w:rsidP="00D00B57">
            <w:pPr>
              <w:pStyle w:val="Tabletext"/>
            </w:pPr>
            <w:r>
              <w:t>$0</w:t>
            </w:r>
          </w:p>
        </w:tc>
      </w:tr>
    </w:tbl>
    <w:p w:rsidR="002F4D97" w:rsidRDefault="002F4D97" w:rsidP="002F4D97">
      <w:r>
        <w:br w:type="page"/>
      </w:r>
    </w:p>
    <w:p w:rsidR="002F4D97" w:rsidRPr="002C1AA6" w:rsidRDefault="002F4D97" w:rsidP="00DD0F4D">
      <w:pPr>
        <w:pStyle w:val="Tabletitle"/>
      </w:pPr>
      <w:r w:rsidRPr="00812ACA">
        <w:lastRenderedPageBreak/>
        <w:t>Table A.3: Duration of supply interruptions, 2014-15 (SA Power Networks)</w:t>
      </w:r>
    </w:p>
    <w:tbl>
      <w:tblPr>
        <w:tblW w:w="0" w:type="auto"/>
        <w:tblLook w:val="04A0" w:firstRow="1" w:lastRow="0" w:firstColumn="1" w:lastColumn="0" w:noHBand="0" w:noVBand="1"/>
      </w:tblPr>
      <w:tblGrid>
        <w:gridCol w:w="7905"/>
        <w:gridCol w:w="1337"/>
      </w:tblGrid>
      <w:tr w:rsidR="002F4D97" w:rsidTr="002F4D97">
        <w:tc>
          <w:tcPr>
            <w:tcW w:w="7905" w:type="dxa"/>
            <w:tcBorders>
              <w:top w:val="single" w:sz="4" w:space="0" w:color="BFBFBF" w:themeColor="background1" w:themeShade="BF"/>
              <w:bottom w:val="single" w:sz="4" w:space="0" w:color="auto"/>
            </w:tcBorders>
          </w:tcPr>
          <w:p w:rsidR="002F4D97" w:rsidRPr="00DD0F4D" w:rsidRDefault="002F4D97" w:rsidP="00D00B57">
            <w:pPr>
              <w:pStyle w:val="Tabletext"/>
              <w:rPr>
                <w:rStyle w:val="Strong"/>
              </w:rPr>
            </w:pPr>
            <w:r w:rsidRPr="00DD0F4D">
              <w:rPr>
                <w:rStyle w:val="Strong"/>
              </w:rPr>
              <w:t>System Average Interruption Duration Index (SAIDI)</w:t>
            </w:r>
          </w:p>
        </w:tc>
        <w:tc>
          <w:tcPr>
            <w:tcW w:w="1337" w:type="dxa"/>
            <w:tcBorders>
              <w:top w:val="single" w:sz="4" w:space="0" w:color="BFBFBF" w:themeColor="background1" w:themeShade="BF"/>
              <w:bottom w:val="single" w:sz="4" w:space="0" w:color="auto"/>
            </w:tcBorders>
          </w:tcPr>
          <w:p w:rsidR="002F4D97" w:rsidRDefault="002F4D97" w:rsidP="00D00B57">
            <w:pPr>
              <w:pStyle w:val="Tabletext"/>
            </w:pPr>
          </w:p>
        </w:tc>
      </w:tr>
      <w:tr w:rsidR="002F4D97" w:rsidRPr="003D4655" w:rsidTr="002F4D97">
        <w:tc>
          <w:tcPr>
            <w:tcW w:w="7905" w:type="dxa"/>
            <w:tcBorders>
              <w:top w:val="single" w:sz="4" w:space="0" w:color="auto"/>
              <w:bottom w:val="single" w:sz="4" w:space="0" w:color="auto"/>
            </w:tcBorders>
          </w:tcPr>
          <w:p w:rsidR="002F4D97" w:rsidRPr="00D267FE" w:rsidRDefault="002F4D97" w:rsidP="00D00B57">
            <w:pPr>
              <w:pStyle w:val="Tabletext"/>
            </w:pPr>
            <w:r w:rsidRPr="00D267FE">
              <w:t>Adelaide Business Area</w:t>
            </w:r>
          </w:p>
        </w:tc>
        <w:tc>
          <w:tcPr>
            <w:tcW w:w="1337" w:type="dxa"/>
            <w:tcBorders>
              <w:top w:val="single" w:sz="4" w:space="0" w:color="auto"/>
              <w:bottom w:val="single" w:sz="4" w:space="0" w:color="auto"/>
            </w:tcBorders>
          </w:tcPr>
          <w:p w:rsidR="002F4D97" w:rsidRPr="003D4655" w:rsidRDefault="002F4D97" w:rsidP="00D00B57">
            <w:pPr>
              <w:pStyle w:val="Tabletext"/>
            </w:pPr>
            <w:r w:rsidRPr="003D4655">
              <w:t>10.9</w:t>
            </w:r>
          </w:p>
        </w:tc>
      </w:tr>
      <w:tr w:rsidR="002F4D97" w:rsidRPr="003D4655" w:rsidTr="002F4D97">
        <w:tc>
          <w:tcPr>
            <w:tcW w:w="7905" w:type="dxa"/>
            <w:tcBorders>
              <w:top w:val="single" w:sz="4" w:space="0" w:color="auto"/>
              <w:bottom w:val="single" w:sz="4" w:space="0" w:color="auto"/>
            </w:tcBorders>
          </w:tcPr>
          <w:p w:rsidR="002F4D97" w:rsidRPr="00D267FE" w:rsidRDefault="002F4D97" w:rsidP="00D00B57">
            <w:pPr>
              <w:pStyle w:val="Tabletext"/>
            </w:pPr>
            <w:r w:rsidRPr="00D267FE">
              <w:t>Major Metropolitan Areas</w:t>
            </w:r>
          </w:p>
        </w:tc>
        <w:tc>
          <w:tcPr>
            <w:tcW w:w="1337" w:type="dxa"/>
            <w:tcBorders>
              <w:top w:val="single" w:sz="4" w:space="0" w:color="auto"/>
              <w:bottom w:val="single" w:sz="4" w:space="0" w:color="auto"/>
            </w:tcBorders>
          </w:tcPr>
          <w:p w:rsidR="002F4D97" w:rsidRPr="002F4D97" w:rsidRDefault="002F4D97" w:rsidP="00D00B57">
            <w:pPr>
              <w:pStyle w:val="Tabletext"/>
            </w:pPr>
            <w:r>
              <w:t>104.5</w:t>
            </w:r>
          </w:p>
        </w:tc>
      </w:tr>
      <w:tr w:rsidR="002F4D97" w:rsidRPr="003D4655" w:rsidTr="002F4D97">
        <w:tc>
          <w:tcPr>
            <w:tcW w:w="7905" w:type="dxa"/>
            <w:tcBorders>
              <w:top w:val="single" w:sz="4" w:space="0" w:color="auto"/>
              <w:bottom w:val="single" w:sz="4" w:space="0" w:color="auto"/>
            </w:tcBorders>
          </w:tcPr>
          <w:p w:rsidR="002F4D97" w:rsidRPr="00D267FE" w:rsidRDefault="002F4D97" w:rsidP="00D00B57">
            <w:pPr>
              <w:pStyle w:val="Tabletext"/>
            </w:pPr>
            <w:r w:rsidRPr="00D267FE">
              <w:t>Barossa/Mid-North and Yorke Peninsula/Riverland/Murraylands</w:t>
            </w:r>
          </w:p>
        </w:tc>
        <w:tc>
          <w:tcPr>
            <w:tcW w:w="1337" w:type="dxa"/>
            <w:tcBorders>
              <w:top w:val="single" w:sz="4" w:space="0" w:color="auto"/>
              <w:bottom w:val="single" w:sz="4" w:space="0" w:color="auto"/>
            </w:tcBorders>
          </w:tcPr>
          <w:p w:rsidR="002F4D97" w:rsidRPr="002F4D97" w:rsidRDefault="002F4D97" w:rsidP="00D00B57">
            <w:pPr>
              <w:pStyle w:val="Tabletext"/>
            </w:pPr>
            <w:r>
              <w:t>279.7</w:t>
            </w:r>
          </w:p>
        </w:tc>
      </w:tr>
      <w:tr w:rsidR="002F4D97" w:rsidRPr="003D4655" w:rsidTr="002F4D97">
        <w:tc>
          <w:tcPr>
            <w:tcW w:w="7905" w:type="dxa"/>
            <w:tcBorders>
              <w:top w:val="single" w:sz="4" w:space="0" w:color="auto"/>
              <w:bottom w:val="single" w:sz="4" w:space="0" w:color="auto"/>
            </w:tcBorders>
          </w:tcPr>
          <w:p w:rsidR="002F4D97" w:rsidRPr="00D267FE" w:rsidRDefault="002F4D97" w:rsidP="00D00B57">
            <w:pPr>
              <w:pStyle w:val="Tabletext"/>
            </w:pPr>
            <w:r w:rsidRPr="00D267FE">
              <w:t>Eastern Hills/Fleurieu Peninsula</w:t>
            </w:r>
          </w:p>
        </w:tc>
        <w:tc>
          <w:tcPr>
            <w:tcW w:w="1337" w:type="dxa"/>
            <w:tcBorders>
              <w:top w:val="single" w:sz="4" w:space="0" w:color="auto"/>
              <w:bottom w:val="single" w:sz="4" w:space="0" w:color="auto"/>
            </w:tcBorders>
          </w:tcPr>
          <w:p w:rsidR="002F4D97" w:rsidRPr="002F4D97" w:rsidRDefault="002F4D97" w:rsidP="00D00B57">
            <w:pPr>
              <w:pStyle w:val="Tabletext"/>
            </w:pPr>
            <w:r>
              <w:t>229.0</w:t>
            </w:r>
          </w:p>
        </w:tc>
      </w:tr>
      <w:tr w:rsidR="002F4D97" w:rsidRPr="003D4655" w:rsidTr="002F4D97">
        <w:tc>
          <w:tcPr>
            <w:tcW w:w="7905" w:type="dxa"/>
            <w:tcBorders>
              <w:top w:val="single" w:sz="4" w:space="0" w:color="auto"/>
              <w:bottom w:val="single" w:sz="4" w:space="0" w:color="auto"/>
            </w:tcBorders>
          </w:tcPr>
          <w:p w:rsidR="002F4D97" w:rsidRPr="00D267FE" w:rsidRDefault="002F4D97" w:rsidP="00D00B57">
            <w:pPr>
              <w:pStyle w:val="Tabletext"/>
            </w:pPr>
            <w:r w:rsidRPr="00D267FE">
              <w:t>Upper North and Eyre Peninsula</w:t>
            </w:r>
          </w:p>
        </w:tc>
        <w:tc>
          <w:tcPr>
            <w:tcW w:w="1337" w:type="dxa"/>
            <w:tcBorders>
              <w:top w:val="single" w:sz="4" w:space="0" w:color="auto"/>
              <w:bottom w:val="single" w:sz="4" w:space="0" w:color="auto"/>
            </w:tcBorders>
          </w:tcPr>
          <w:p w:rsidR="002F4D97" w:rsidRPr="002F4D97" w:rsidRDefault="002F4D97" w:rsidP="00D00B57">
            <w:pPr>
              <w:pStyle w:val="Tabletext"/>
            </w:pPr>
            <w:r>
              <w:t>353.8</w:t>
            </w:r>
          </w:p>
        </w:tc>
      </w:tr>
      <w:tr w:rsidR="002F4D97" w:rsidRPr="003D4655" w:rsidTr="002F4D97">
        <w:tc>
          <w:tcPr>
            <w:tcW w:w="7905" w:type="dxa"/>
            <w:tcBorders>
              <w:top w:val="single" w:sz="4" w:space="0" w:color="auto"/>
              <w:bottom w:val="single" w:sz="4" w:space="0" w:color="auto"/>
            </w:tcBorders>
          </w:tcPr>
          <w:p w:rsidR="002F4D97" w:rsidRPr="00D267FE" w:rsidRDefault="002F4D97" w:rsidP="00D00B57">
            <w:pPr>
              <w:pStyle w:val="Tabletext"/>
            </w:pPr>
            <w:r w:rsidRPr="00D267FE">
              <w:t>South East</w:t>
            </w:r>
          </w:p>
        </w:tc>
        <w:tc>
          <w:tcPr>
            <w:tcW w:w="1337" w:type="dxa"/>
            <w:tcBorders>
              <w:top w:val="single" w:sz="4" w:space="0" w:color="auto"/>
              <w:bottom w:val="single" w:sz="4" w:space="0" w:color="auto"/>
            </w:tcBorders>
          </w:tcPr>
          <w:p w:rsidR="002F4D97" w:rsidRPr="002F4D97" w:rsidRDefault="002F4D97" w:rsidP="00D00B57">
            <w:pPr>
              <w:pStyle w:val="Tabletext"/>
            </w:pPr>
            <w:r>
              <w:t>198.9</w:t>
            </w:r>
          </w:p>
        </w:tc>
      </w:tr>
      <w:tr w:rsidR="002F4D97" w:rsidRPr="003D4655" w:rsidTr="002F4D97">
        <w:tc>
          <w:tcPr>
            <w:tcW w:w="7905" w:type="dxa"/>
            <w:tcBorders>
              <w:top w:val="single" w:sz="4" w:space="0" w:color="auto"/>
              <w:bottom w:val="single" w:sz="4" w:space="0" w:color="auto"/>
            </w:tcBorders>
          </w:tcPr>
          <w:p w:rsidR="002F4D97" w:rsidRPr="00D267FE" w:rsidRDefault="002F4D97" w:rsidP="00D00B57">
            <w:pPr>
              <w:pStyle w:val="Tabletext"/>
            </w:pPr>
            <w:r w:rsidRPr="00D267FE">
              <w:t>Kangaroo Island</w:t>
            </w:r>
          </w:p>
        </w:tc>
        <w:tc>
          <w:tcPr>
            <w:tcW w:w="1337" w:type="dxa"/>
            <w:tcBorders>
              <w:top w:val="single" w:sz="4" w:space="0" w:color="auto"/>
              <w:bottom w:val="single" w:sz="4" w:space="0" w:color="auto"/>
            </w:tcBorders>
          </w:tcPr>
          <w:p w:rsidR="002F4D97" w:rsidRPr="002F4D97" w:rsidRDefault="002F4D97" w:rsidP="00D00B57">
            <w:pPr>
              <w:pStyle w:val="Tabletext"/>
            </w:pPr>
            <w:r>
              <w:t>266.4</w:t>
            </w:r>
          </w:p>
        </w:tc>
      </w:tr>
      <w:tr w:rsidR="002F4D97" w:rsidRPr="003D4655" w:rsidTr="002F4D97">
        <w:tc>
          <w:tcPr>
            <w:tcW w:w="7905" w:type="dxa"/>
            <w:tcBorders>
              <w:top w:val="single" w:sz="4" w:space="0" w:color="auto"/>
              <w:bottom w:val="single" w:sz="4" w:space="0" w:color="auto"/>
            </w:tcBorders>
          </w:tcPr>
          <w:p w:rsidR="002F4D97" w:rsidRPr="00DD0F4D" w:rsidRDefault="002F4D97" w:rsidP="00D00B57">
            <w:pPr>
              <w:pStyle w:val="Tabletext"/>
              <w:rPr>
                <w:rStyle w:val="Strong"/>
              </w:rPr>
            </w:pPr>
            <w:r w:rsidRPr="00DD0F4D">
              <w:rPr>
                <w:rStyle w:val="Strong"/>
              </w:rPr>
              <w:t>SAIDI TOTAL</w:t>
            </w:r>
          </w:p>
        </w:tc>
        <w:tc>
          <w:tcPr>
            <w:tcW w:w="1337" w:type="dxa"/>
            <w:tcBorders>
              <w:top w:val="single" w:sz="4" w:space="0" w:color="auto"/>
              <w:bottom w:val="single" w:sz="4" w:space="0" w:color="auto"/>
            </w:tcBorders>
          </w:tcPr>
          <w:p w:rsidR="002F4D97" w:rsidRPr="002F4D97" w:rsidRDefault="002F4D97" w:rsidP="00D00B57">
            <w:pPr>
              <w:pStyle w:val="Tabletext"/>
            </w:pPr>
            <w:r w:rsidRPr="002F4D97">
              <w:t>151.9</w:t>
            </w:r>
          </w:p>
        </w:tc>
      </w:tr>
      <w:tr w:rsidR="002F4D97" w:rsidRPr="003D4655" w:rsidTr="002F4D97">
        <w:tc>
          <w:tcPr>
            <w:tcW w:w="7905" w:type="dxa"/>
            <w:tcBorders>
              <w:top w:val="single" w:sz="4" w:space="0" w:color="auto"/>
              <w:bottom w:val="single" w:sz="4" w:space="0" w:color="auto"/>
            </w:tcBorders>
          </w:tcPr>
          <w:p w:rsidR="002F4D97" w:rsidRPr="00D267FE" w:rsidRDefault="002F4D97" w:rsidP="00D00B57">
            <w:pPr>
              <w:pStyle w:val="Tabletext"/>
            </w:pPr>
            <w:r w:rsidRPr="00D267FE">
              <w:t>Percentage contribution of planned interruptions to state-wide SAIDI</w:t>
            </w:r>
          </w:p>
        </w:tc>
        <w:tc>
          <w:tcPr>
            <w:tcW w:w="1337" w:type="dxa"/>
            <w:tcBorders>
              <w:top w:val="single" w:sz="4" w:space="0" w:color="auto"/>
              <w:bottom w:val="single" w:sz="4" w:space="0" w:color="auto"/>
            </w:tcBorders>
          </w:tcPr>
          <w:p w:rsidR="002F4D97" w:rsidRPr="002F4D97" w:rsidRDefault="002F4D97" w:rsidP="00D00B57">
            <w:pPr>
              <w:pStyle w:val="Tabletext"/>
            </w:pPr>
            <w:r>
              <w:t>37%</w:t>
            </w:r>
          </w:p>
        </w:tc>
      </w:tr>
      <w:tr w:rsidR="002F4D97" w:rsidRPr="003D4655" w:rsidTr="002F4D97">
        <w:tc>
          <w:tcPr>
            <w:tcW w:w="7905" w:type="dxa"/>
            <w:tcBorders>
              <w:top w:val="single" w:sz="4" w:space="0" w:color="auto"/>
              <w:bottom w:val="single" w:sz="4" w:space="0" w:color="auto"/>
            </w:tcBorders>
          </w:tcPr>
          <w:p w:rsidR="002F4D97" w:rsidRPr="00D267FE" w:rsidRDefault="002F4D97" w:rsidP="00D00B57">
            <w:pPr>
              <w:pStyle w:val="Tabletext"/>
            </w:pPr>
            <w:r w:rsidRPr="00D267FE">
              <w:t>Number of customers who experienced a supply interruption greater than 12 hours but less than or equal to 15 hours</w:t>
            </w:r>
          </w:p>
        </w:tc>
        <w:tc>
          <w:tcPr>
            <w:tcW w:w="1337" w:type="dxa"/>
            <w:tcBorders>
              <w:top w:val="single" w:sz="4" w:space="0" w:color="auto"/>
              <w:bottom w:val="single" w:sz="4" w:space="0" w:color="auto"/>
            </w:tcBorders>
          </w:tcPr>
          <w:p w:rsidR="002F4D97" w:rsidRPr="002F4D97" w:rsidRDefault="002F4D97" w:rsidP="00D00B57">
            <w:pPr>
              <w:pStyle w:val="Tabletext"/>
            </w:pPr>
            <w:r>
              <w:t>3 477</w:t>
            </w:r>
          </w:p>
        </w:tc>
      </w:tr>
      <w:tr w:rsidR="002F4D97" w:rsidRPr="003D4655" w:rsidTr="002F4D97">
        <w:tc>
          <w:tcPr>
            <w:tcW w:w="7905" w:type="dxa"/>
            <w:tcBorders>
              <w:top w:val="single" w:sz="4" w:space="0" w:color="auto"/>
              <w:bottom w:val="single" w:sz="4" w:space="0" w:color="auto"/>
            </w:tcBorders>
          </w:tcPr>
          <w:p w:rsidR="002F4D97" w:rsidRPr="00D267FE" w:rsidRDefault="002F4D97" w:rsidP="00D00B57">
            <w:pPr>
              <w:pStyle w:val="Tabletext"/>
            </w:pPr>
            <w:r w:rsidRPr="00D267FE">
              <w:t>Compensation paid to customers who experienced a supply interruption greater than 12 hours but less than or equal to 15 hours</w:t>
            </w:r>
          </w:p>
        </w:tc>
        <w:tc>
          <w:tcPr>
            <w:tcW w:w="1337" w:type="dxa"/>
            <w:tcBorders>
              <w:top w:val="single" w:sz="4" w:space="0" w:color="auto"/>
              <w:bottom w:val="single" w:sz="4" w:space="0" w:color="auto"/>
            </w:tcBorders>
          </w:tcPr>
          <w:p w:rsidR="002F4D97" w:rsidRPr="002F4D97" w:rsidRDefault="002F4D97" w:rsidP="00D00B57">
            <w:pPr>
              <w:pStyle w:val="Tabletext"/>
            </w:pPr>
            <w:r>
              <w:t>$312 930</w:t>
            </w:r>
          </w:p>
        </w:tc>
      </w:tr>
      <w:tr w:rsidR="002F4D97" w:rsidRPr="003D4655" w:rsidTr="002F4D97">
        <w:tc>
          <w:tcPr>
            <w:tcW w:w="7905" w:type="dxa"/>
            <w:tcBorders>
              <w:top w:val="single" w:sz="4" w:space="0" w:color="auto"/>
              <w:bottom w:val="single" w:sz="4" w:space="0" w:color="auto"/>
            </w:tcBorders>
          </w:tcPr>
          <w:p w:rsidR="002F4D97" w:rsidRPr="00D267FE" w:rsidRDefault="002F4D97" w:rsidP="00D00B57">
            <w:pPr>
              <w:pStyle w:val="Tabletext"/>
            </w:pPr>
            <w:r w:rsidRPr="00D267FE">
              <w:t>Number of customers who experienced a supply interruption greater than 15 hours but less than or equal to 18 hours</w:t>
            </w:r>
          </w:p>
        </w:tc>
        <w:tc>
          <w:tcPr>
            <w:tcW w:w="1337" w:type="dxa"/>
            <w:tcBorders>
              <w:top w:val="single" w:sz="4" w:space="0" w:color="auto"/>
              <w:bottom w:val="single" w:sz="4" w:space="0" w:color="auto"/>
            </w:tcBorders>
          </w:tcPr>
          <w:p w:rsidR="002F4D97" w:rsidRPr="002F4D97" w:rsidRDefault="002F4D97" w:rsidP="00D00B57">
            <w:pPr>
              <w:pStyle w:val="Tabletext"/>
            </w:pPr>
            <w:r>
              <w:t>2 870</w:t>
            </w:r>
          </w:p>
        </w:tc>
      </w:tr>
      <w:tr w:rsidR="002F4D97" w:rsidRPr="003D4655" w:rsidTr="002F4D97">
        <w:tc>
          <w:tcPr>
            <w:tcW w:w="7905" w:type="dxa"/>
            <w:tcBorders>
              <w:top w:val="single" w:sz="4" w:space="0" w:color="auto"/>
              <w:bottom w:val="single" w:sz="4" w:space="0" w:color="auto"/>
            </w:tcBorders>
          </w:tcPr>
          <w:p w:rsidR="002F4D97" w:rsidRPr="00D267FE" w:rsidRDefault="002F4D97" w:rsidP="00D00B57">
            <w:pPr>
              <w:pStyle w:val="Tabletext"/>
            </w:pPr>
            <w:r w:rsidRPr="00D267FE">
              <w:t>Compensation paid to customers who experienced a supply interruption greater than 15 hours but less than or equal to 18 hours</w:t>
            </w:r>
          </w:p>
        </w:tc>
        <w:tc>
          <w:tcPr>
            <w:tcW w:w="1337" w:type="dxa"/>
            <w:tcBorders>
              <w:top w:val="single" w:sz="4" w:space="0" w:color="auto"/>
              <w:bottom w:val="single" w:sz="4" w:space="0" w:color="auto"/>
            </w:tcBorders>
          </w:tcPr>
          <w:p w:rsidR="002F4D97" w:rsidRPr="002F4D97" w:rsidRDefault="002F4D97" w:rsidP="00D00B57">
            <w:pPr>
              <w:pStyle w:val="Tabletext"/>
            </w:pPr>
            <w:r>
              <w:t>$401 800</w:t>
            </w:r>
          </w:p>
        </w:tc>
      </w:tr>
      <w:tr w:rsidR="002F4D97" w:rsidRPr="003D4655" w:rsidTr="002F4D97">
        <w:tc>
          <w:tcPr>
            <w:tcW w:w="7905" w:type="dxa"/>
            <w:tcBorders>
              <w:top w:val="single" w:sz="4" w:space="0" w:color="auto"/>
              <w:bottom w:val="single" w:sz="4" w:space="0" w:color="auto"/>
            </w:tcBorders>
          </w:tcPr>
          <w:p w:rsidR="002F4D97" w:rsidRPr="00D267FE" w:rsidRDefault="002F4D97" w:rsidP="00D00B57">
            <w:pPr>
              <w:pStyle w:val="Tabletext"/>
            </w:pPr>
            <w:r w:rsidRPr="00D267FE">
              <w:t>Number of customers who experienced a supply interruption greater than 18 hours but less than or equal to 24 hours</w:t>
            </w:r>
          </w:p>
        </w:tc>
        <w:tc>
          <w:tcPr>
            <w:tcW w:w="1337" w:type="dxa"/>
            <w:tcBorders>
              <w:top w:val="single" w:sz="4" w:space="0" w:color="auto"/>
              <w:bottom w:val="single" w:sz="4" w:space="0" w:color="auto"/>
            </w:tcBorders>
          </w:tcPr>
          <w:p w:rsidR="002F4D97" w:rsidRPr="002F4D97" w:rsidRDefault="002F4D97" w:rsidP="00D00B57">
            <w:pPr>
              <w:pStyle w:val="Tabletext"/>
            </w:pPr>
            <w:r>
              <w:t>3 369</w:t>
            </w:r>
          </w:p>
        </w:tc>
      </w:tr>
      <w:tr w:rsidR="002F4D97" w:rsidRPr="003D4655" w:rsidTr="002F4D97">
        <w:tc>
          <w:tcPr>
            <w:tcW w:w="7905" w:type="dxa"/>
            <w:tcBorders>
              <w:top w:val="single" w:sz="4" w:space="0" w:color="auto"/>
              <w:bottom w:val="single" w:sz="4" w:space="0" w:color="auto"/>
            </w:tcBorders>
          </w:tcPr>
          <w:p w:rsidR="002F4D97" w:rsidRPr="00D267FE" w:rsidRDefault="002F4D97" w:rsidP="00D00B57">
            <w:pPr>
              <w:pStyle w:val="Tabletext"/>
            </w:pPr>
            <w:r w:rsidRPr="00D267FE">
              <w:t>Compensation paid to customers who experienced a supply interruption greater than 18 hours but less than or equal to 24 hours</w:t>
            </w:r>
          </w:p>
        </w:tc>
        <w:tc>
          <w:tcPr>
            <w:tcW w:w="1337" w:type="dxa"/>
            <w:tcBorders>
              <w:top w:val="single" w:sz="4" w:space="0" w:color="auto"/>
              <w:bottom w:val="single" w:sz="4" w:space="0" w:color="auto"/>
            </w:tcBorders>
          </w:tcPr>
          <w:p w:rsidR="002F4D97" w:rsidRPr="002F4D97" w:rsidRDefault="002F4D97" w:rsidP="00D00B57">
            <w:pPr>
              <w:pStyle w:val="Tabletext"/>
            </w:pPr>
            <w:r>
              <w:t>$623 265</w:t>
            </w:r>
          </w:p>
        </w:tc>
      </w:tr>
      <w:tr w:rsidR="002F4D97" w:rsidRPr="003D4655" w:rsidTr="002F4D97">
        <w:tc>
          <w:tcPr>
            <w:tcW w:w="7905" w:type="dxa"/>
            <w:tcBorders>
              <w:top w:val="single" w:sz="4" w:space="0" w:color="auto"/>
              <w:bottom w:val="single" w:sz="4" w:space="0" w:color="auto"/>
            </w:tcBorders>
          </w:tcPr>
          <w:p w:rsidR="002F4D97" w:rsidRPr="00D267FE" w:rsidRDefault="002F4D97" w:rsidP="00D00B57">
            <w:pPr>
              <w:pStyle w:val="Tabletext"/>
            </w:pPr>
            <w:r w:rsidRPr="00D267FE">
              <w:t>Number of customers who experienced a supply interruption greater than 24 hours</w:t>
            </w:r>
          </w:p>
        </w:tc>
        <w:tc>
          <w:tcPr>
            <w:tcW w:w="1337" w:type="dxa"/>
            <w:tcBorders>
              <w:top w:val="single" w:sz="4" w:space="0" w:color="auto"/>
              <w:bottom w:val="single" w:sz="4" w:space="0" w:color="auto"/>
            </w:tcBorders>
          </w:tcPr>
          <w:p w:rsidR="002F4D97" w:rsidRPr="002F4D97" w:rsidRDefault="002F4D97" w:rsidP="00D00B57">
            <w:pPr>
              <w:pStyle w:val="Tabletext"/>
            </w:pPr>
            <w:r>
              <w:t>2 793</w:t>
            </w:r>
          </w:p>
        </w:tc>
      </w:tr>
      <w:tr w:rsidR="002F4D97" w:rsidRPr="003D4655" w:rsidTr="002F4D97">
        <w:tc>
          <w:tcPr>
            <w:tcW w:w="7905" w:type="dxa"/>
            <w:tcBorders>
              <w:top w:val="single" w:sz="4" w:space="0" w:color="auto"/>
              <w:bottom w:val="single" w:sz="4" w:space="0" w:color="auto"/>
            </w:tcBorders>
          </w:tcPr>
          <w:p w:rsidR="002F4D97" w:rsidRPr="00D267FE" w:rsidRDefault="002F4D97" w:rsidP="00D00B57">
            <w:pPr>
              <w:pStyle w:val="Tabletext"/>
            </w:pPr>
            <w:r w:rsidRPr="00D267FE">
              <w:t>Compensation paid to customers who experienced a supply interruption greater than 24 hours</w:t>
            </w:r>
          </w:p>
        </w:tc>
        <w:tc>
          <w:tcPr>
            <w:tcW w:w="1337" w:type="dxa"/>
            <w:tcBorders>
              <w:top w:val="single" w:sz="4" w:space="0" w:color="auto"/>
              <w:bottom w:val="single" w:sz="4" w:space="0" w:color="auto"/>
            </w:tcBorders>
          </w:tcPr>
          <w:p w:rsidR="002F4D97" w:rsidRPr="002F4D97" w:rsidRDefault="002F4D97" w:rsidP="00D00B57">
            <w:pPr>
              <w:pStyle w:val="Tabletext"/>
            </w:pPr>
            <w:r>
              <w:t>$1 033 410</w:t>
            </w:r>
          </w:p>
        </w:tc>
      </w:tr>
      <w:tr w:rsidR="002F4D97" w:rsidRPr="003D4655" w:rsidTr="002F4D97">
        <w:tc>
          <w:tcPr>
            <w:tcW w:w="7905" w:type="dxa"/>
            <w:tcBorders>
              <w:top w:val="single" w:sz="4" w:space="0" w:color="auto"/>
              <w:bottom w:val="single" w:sz="4" w:space="0" w:color="BFBFBF" w:themeColor="background1" w:themeShade="BF"/>
            </w:tcBorders>
          </w:tcPr>
          <w:p w:rsidR="002F4D97" w:rsidRPr="002F4D97" w:rsidRDefault="002F4D97" w:rsidP="00D00B57">
            <w:pPr>
              <w:pStyle w:val="Tabletext"/>
            </w:pPr>
            <w:r w:rsidRPr="002F4D97">
              <w:t>Total amounts paid to customers for duration of supply interruptions exceeding the threshold amount</w:t>
            </w:r>
          </w:p>
        </w:tc>
        <w:tc>
          <w:tcPr>
            <w:tcW w:w="1337" w:type="dxa"/>
            <w:tcBorders>
              <w:top w:val="single" w:sz="4" w:space="0" w:color="auto"/>
              <w:bottom w:val="single" w:sz="4" w:space="0" w:color="BFBFBF" w:themeColor="background1" w:themeShade="BF"/>
            </w:tcBorders>
          </w:tcPr>
          <w:p w:rsidR="002F4D97" w:rsidRPr="002F4D97" w:rsidRDefault="002F4D97" w:rsidP="00D00B57">
            <w:pPr>
              <w:pStyle w:val="Tabletext"/>
            </w:pPr>
            <w:r w:rsidRPr="002F4D97">
              <w:t>$2 371 405</w:t>
            </w:r>
          </w:p>
        </w:tc>
      </w:tr>
    </w:tbl>
    <w:p w:rsidR="002F4D97" w:rsidRPr="002F4D97" w:rsidRDefault="002F4D97" w:rsidP="002F4D97"/>
    <w:p w:rsidR="00D00B57" w:rsidRDefault="00D00B57" w:rsidP="00DD0F4D">
      <w:pPr>
        <w:pStyle w:val="Tabletitle"/>
      </w:pPr>
    </w:p>
    <w:p w:rsidR="00D00B57" w:rsidRDefault="00D00B57" w:rsidP="00DD0F4D">
      <w:pPr>
        <w:pStyle w:val="Tabletitle"/>
      </w:pPr>
    </w:p>
    <w:p w:rsidR="00D00B57" w:rsidRDefault="00D00B57" w:rsidP="00DD0F4D">
      <w:pPr>
        <w:pStyle w:val="Tabletitle"/>
      </w:pPr>
    </w:p>
    <w:p w:rsidR="002F4D97" w:rsidRPr="002C1AA6" w:rsidRDefault="002F4D97" w:rsidP="00DD0F4D">
      <w:pPr>
        <w:pStyle w:val="Tabletitle"/>
      </w:pPr>
      <w:r w:rsidRPr="00AC08A1">
        <w:lastRenderedPageBreak/>
        <w:t>Table A.</w:t>
      </w:r>
      <w:r>
        <w:t>4</w:t>
      </w:r>
      <w:r w:rsidRPr="00AC08A1">
        <w:t>: Frequency of supply interruptions, 2014-15 (SA Power Networks)</w:t>
      </w:r>
    </w:p>
    <w:tbl>
      <w:tblPr>
        <w:tblW w:w="0" w:type="auto"/>
        <w:tblLook w:val="04A0" w:firstRow="1" w:lastRow="0" w:firstColumn="1" w:lastColumn="0" w:noHBand="0" w:noVBand="1"/>
      </w:tblPr>
      <w:tblGrid>
        <w:gridCol w:w="8188"/>
        <w:gridCol w:w="1054"/>
      </w:tblGrid>
      <w:tr w:rsidR="002F4D97" w:rsidTr="002F4D97">
        <w:tc>
          <w:tcPr>
            <w:tcW w:w="8188" w:type="dxa"/>
            <w:tcBorders>
              <w:top w:val="single" w:sz="4" w:space="0" w:color="BFBFBF" w:themeColor="background1" w:themeShade="BF"/>
              <w:bottom w:val="single" w:sz="4" w:space="0" w:color="auto"/>
            </w:tcBorders>
          </w:tcPr>
          <w:p w:rsidR="002F4D97" w:rsidRPr="00DD0F4D" w:rsidRDefault="002F4D97" w:rsidP="00D00B57">
            <w:pPr>
              <w:pStyle w:val="Tabletext"/>
              <w:rPr>
                <w:rStyle w:val="Strong"/>
              </w:rPr>
            </w:pPr>
            <w:r w:rsidRPr="00DD0F4D">
              <w:rPr>
                <w:rStyle w:val="Strong"/>
              </w:rPr>
              <w:t>System Average Interruption Frequency Index (SAIFI)</w:t>
            </w:r>
          </w:p>
        </w:tc>
        <w:tc>
          <w:tcPr>
            <w:tcW w:w="1054" w:type="dxa"/>
            <w:tcBorders>
              <w:top w:val="single" w:sz="4" w:space="0" w:color="BFBFBF" w:themeColor="background1" w:themeShade="BF"/>
              <w:bottom w:val="single" w:sz="4" w:space="0" w:color="auto"/>
            </w:tcBorders>
          </w:tcPr>
          <w:p w:rsidR="002F4D97" w:rsidRPr="00A454D2" w:rsidRDefault="002F4D97" w:rsidP="00D00B57">
            <w:pPr>
              <w:pStyle w:val="Tabletext"/>
            </w:pPr>
          </w:p>
        </w:tc>
      </w:tr>
      <w:tr w:rsidR="002F4D97" w:rsidTr="002F4D97">
        <w:tc>
          <w:tcPr>
            <w:tcW w:w="8188" w:type="dxa"/>
            <w:tcBorders>
              <w:top w:val="single" w:sz="4" w:space="0" w:color="auto"/>
              <w:bottom w:val="single" w:sz="4" w:space="0" w:color="auto"/>
            </w:tcBorders>
          </w:tcPr>
          <w:p w:rsidR="002F4D97" w:rsidRPr="00D267FE" w:rsidRDefault="002F4D97" w:rsidP="00D00B57">
            <w:pPr>
              <w:pStyle w:val="Tabletext"/>
            </w:pPr>
            <w:r w:rsidRPr="00D267FE">
              <w:t>Adelaide Business Area</w:t>
            </w:r>
          </w:p>
        </w:tc>
        <w:tc>
          <w:tcPr>
            <w:tcW w:w="1054" w:type="dxa"/>
            <w:tcBorders>
              <w:top w:val="single" w:sz="4" w:space="0" w:color="auto"/>
              <w:bottom w:val="single" w:sz="4" w:space="0" w:color="auto"/>
            </w:tcBorders>
          </w:tcPr>
          <w:p w:rsidR="002F4D97" w:rsidRPr="002F4D97" w:rsidRDefault="002F4D97" w:rsidP="00D00B57">
            <w:pPr>
              <w:pStyle w:val="Tabletext"/>
            </w:pPr>
            <w:r>
              <w:t>0.151</w:t>
            </w:r>
          </w:p>
        </w:tc>
      </w:tr>
      <w:tr w:rsidR="002F4D97" w:rsidTr="002F4D97">
        <w:tc>
          <w:tcPr>
            <w:tcW w:w="8188" w:type="dxa"/>
            <w:tcBorders>
              <w:top w:val="single" w:sz="4" w:space="0" w:color="auto"/>
              <w:bottom w:val="single" w:sz="4" w:space="0" w:color="auto"/>
            </w:tcBorders>
          </w:tcPr>
          <w:p w:rsidR="002F4D97" w:rsidRPr="00D267FE" w:rsidRDefault="002F4D97" w:rsidP="00D00B57">
            <w:pPr>
              <w:pStyle w:val="Tabletext"/>
            </w:pPr>
            <w:r w:rsidRPr="00D267FE">
              <w:t>Major Metropolitan Areas</w:t>
            </w:r>
          </w:p>
        </w:tc>
        <w:tc>
          <w:tcPr>
            <w:tcW w:w="1054" w:type="dxa"/>
            <w:tcBorders>
              <w:top w:val="single" w:sz="4" w:space="0" w:color="auto"/>
              <w:bottom w:val="single" w:sz="4" w:space="0" w:color="auto"/>
            </w:tcBorders>
          </w:tcPr>
          <w:p w:rsidR="002F4D97" w:rsidRPr="002F4D97" w:rsidRDefault="002F4D97" w:rsidP="00D00B57">
            <w:pPr>
              <w:pStyle w:val="Tabletext"/>
            </w:pPr>
            <w:r>
              <w:t>1.121</w:t>
            </w:r>
          </w:p>
        </w:tc>
      </w:tr>
      <w:tr w:rsidR="002F4D97" w:rsidTr="002F4D97">
        <w:tc>
          <w:tcPr>
            <w:tcW w:w="8188" w:type="dxa"/>
            <w:tcBorders>
              <w:top w:val="single" w:sz="4" w:space="0" w:color="auto"/>
              <w:bottom w:val="single" w:sz="4" w:space="0" w:color="auto"/>
            </w:tcBorders>
          </w:tcPr>
          <w:p w:rsidR="002F4D97" w:rsidRPr="00D267FE" w:rsidRDefault="002F4D97" w:rsidP="00D00B57">
            <w:pPr>
              <w:pStyle w:val="Tabletext"/>
            </w:pPr>
            <w:r w:rsidRPr="00D267FE">
              <w:t>Barossa/Mid-North and Yorke Peninsula/Riverland/Murraylands</w:t>
            </w:r>
          </w:p>
        </w:tc>
        <w:tc>
          <w:tcPr>
            <w:tcW w:w="1054" w:type="dxa"/>
            <w:tcBorders>
              <w:top w:val="single" w:sz="4" w:space="0" w:color="auto"/>
              <w:bottom w:val="single" w:sz="4" w:space="0" w:color="auto"/>
            </w:tcBorders>
          </w:tcPr>
          <w:p w:rsidR="002F4D97" w:rsidRPr="002F4D97" w:rsidRDefault="002F4D97" w:rsidP="00D00B57">
            <w:pPr>
              <w:pStyle w:val="Tabletext"/>
            </w:pPr>
            <w:r>
              <w:t>1.361</w:t>
            </w:r>
          </w:p>
        </w:tc>
      </w:tr>
      <w:tr w:rsidR="002F4D97" w:rsidTr="002F4D97">
        <w:tc>
          <w:tcPr>
            <w:tcW w:w="8188" w:type="dxa"/>
            <w:tcBorders>
              <w:top w:val="single" w:sz="4" w:space="0" w:color="auto"/>
              <w:bottom w:val="single" w:sz="4" w:space="0" w:color="auto"/>
            </w:tcBorders>
          </w:tcPr>
          <w:p w:rsidR="002F4D97" w:rsidRPr="00D267FE" w:rsidRDefault="002F4D97" w:rsidP="00D00B57">
            <w:pPr>
              <w:pStyle w:val="Tabletext"/>
            </w:pPr>
            <w:r w:rsidRPr="00D267FE">
              <w:t>Eastern Hills/Fleurieu Peninsula</w:t>
            </w:r>
          </w:p>
        </w:tc>
        <w:tc>
          <w:tcPr>
            <w:tcW w:w="1054" w:type="dxa"/>
            <w:tcBorders>
              <w:top w:val="single" w:sz="4" w:space="0" w:color="auto"/>
              <w:bottom w:val="single" w:sz="4" w:space="0" w:color="auto"/>
            </w:tcBorders>
          </w:tcPr>
          <w:p w:rsidR="002F4D97" w:rsidRPr="002F4D97" w:rsidRDefault="002F4D97" w:rsidP="00D00B57">
            <w:pPr>
              <w:pStyle w:val="Tabletext"/>
            </w:pPr>
            <w:r>
              <w:t>1.575</w:t>
            </w:r>
          </w:p>
        </w:tc>
      </w:tr>
      <w:tr w:rsidR="002F4D97" w:rsidTr="002F4D97">
        <w:tc>
          <w:tcPr>
            <w:tcW w:w="8188" w:type="dxa"/>
            <w:tcBorders>
              <w:top w:val="single" w:sz="4" w:space="0" w:color="auto"/>
              <w:bottom w:val="single" w:sz="4" w:space="0" w:color="auto"/>
            </w:tcBorders>
          </w:tcPr>
          <w:p w:rsidR="002F4D97" w:rsidRPr="00D267FE" w:rsidRDefault="002F4D97" w:rsidP="00D00B57">
            <w:pPr>
              <w:pStyle w:val="Tabletext"/>
            </w:pPr>
            <w:r w:rsidRPr="00D267FE">
              <w:t>Upper North and Eyre Peninsula</w:t>
            </w:r>
          </w:p>
        </w:tc>
        <w:tc>
          <w:tcPr>
            <w:tcW w:w="1054" w:type="dxa"/>
            <w:tcBorders>
              <w:top w:val="single" w:sz="4" w:space="0" w:color="auto"/>
              <w:bottom w:val="single" w:sz="4" w:space="0" w:color="auto"/>
            </w:tcBorders>
          </w:tcPr>
          <w:p w:rsidR="002F4D97" w:rsidRPr="002F4D97" w:rsidRDefault="002F4D97" w:rsidP="00D00B57">
            <w:pPr>
              <w:pStyle w:val="Tabletext"/>
            </w:pPr>
            <w:r>
              <w:t>1.432</w:t>
            </w:r>
          </w:p>
        </w:tc>
      </w:tr>
      <w:tr w:rsidR="002F4D97" w:rsidTr="002F4D97">
        <w:tc>
          <w:tcPr>
            <w:tcW w:w="8188" w:type="dxa"/>
            <w:tcBorders>
              <w:top w:val="single" w:sz="4" w:space="0" w:color="auto"/>
              <w:bottom w:val="single" w:sz="4" w:space="0" w:color="auto"/>
            </w:tcBorders>
          </w:tcPr>
          <w:p w:rsidR="002F4D97" w:rsidRPr="00D267FE" w:rsidRDefault="002F4D97" w:rsidP="00D00B57">
            <w:pPr>
              <w:pStyle w:val="Tabletext"/>
            </w:pPr>
            <w:r w:rsidRPr="00D267FE">
              <w:t>South East</w:t>
            </w:r>
          </w:p>
        </w:tc>
        <w:tc>
          <w:tcPr>
            <w:tcW w:w="1054" w:type="dxa"/>
            <w:tcBorders>
              <w:top w:val="single" w:sz="4" w:space="0" w:color="auto"/>
              <w:bottom w:val="single" w:sz="4" w:space="0" w:color="auto"/>
            </w:tcBorders>
          </w:tcPr>
          <w:p w:rsidR="002F4D97" w:rsidRPr="002F4D97" w:rsidRDefault="002F4D97" w:rsidP="00D00B57">
            <w:pPr>
              <w:pStyle w:val="Tabletext"/>
            </w:pPr>
            <w:r>
              <w:t>1.667</w:t>
            </w:r>
          </w:p>
        </w:tc>
      </w:tr>
      <w:tr w:rsidR="002F4D97" w:rsidTr="002F4D97">
        <w:tc>
          <w:tcPr>
            <w:tcW w:w="8188" w:type="dxa"/>
            <w:tcBorders>
              <w:top w:val="single" w:sz="4" w:space="0" w:color="auto"/>
              <w:bottom w:val="single" w:sz="4" w:space="0" w:color="auto"/>
            </w:tcBorders>
          </w:tcPr>
          <w:p w:rsidR="002F4D97" w:rsidRPr="00D267FE" w:rsidRDefault="002F4D97" w:rsidP="00D00B57">
            <w:pPr>
              <w:pStyle w:val="Tabletext"/>
            </w:pPr>
            <w:r w:rsidRPr="00D267FE">
              <w:t>Kangaroo Island</w:t>
            </w:r>
          </w:p>
        </w:tc>
        <w:tc>
          <w:tcPr>
            <w:tcW w:w="1054" w:type="dxa"/>
            <w:tcBorders>
              <w:top w:val="single" w:sz="4" w:space="0" w:color="auto"/>
              <w:bottom w:val="single" w:sz="4" w:space="0" w:color="auto"/>
            </w:tcBorders>
          </w:tcPr>
          <w:p w:rsidR="002F4D97" w:rsidRPr="002F4D97" w:rsidRDefault="002F4D97" w:rsidP="00D00B57">
            <w:pPr>
              <w:pStyle w:val="Tabletext"/>
            </w:pPr>
            <w:r>
              <w:t>3.177</w:t>
            </w:r>
          </w:p>
        </w:tc>
      </w:tr>
      <w:tr w:rsidR="002F4D97" w:rsidTr="002F4D97">
        <w:tc>
          <w:tcPr>
            <w:tcW w:w="8188" w:type="dxa"/>
            <w:tcBorders>
              <w:top w:val="single" w:sz="4" w:space="0" w:color="auto"/>
              <w:bottom w:val="single" w:sz="4" w:space="0" w:color="auto"/>
            </w:tcBorders>
          </w:tcPr>
          <w:p w:rsidR="002F4D97" w:rsidRPr="00DD0F4D" w:rsidRDefault="002F4D97" w:rsidP="00D00B57">
            <w:pPr>
              <w:pStyle w:val="Tabletext"/>
              <w:rPr>
                <w:rStyle w:val="Strong"/>
              </w:rPr>
            </w:pPr>
            <w:r w:rsidRPr="00DD0F4D">
              <w:rPr>
                <w:rStyle w:val="Strong"/>
              </w:rPr>
              <w:t>SAIFI TOTAL</w:t>
            </w:r>
          </w:p>
        </w:tc>
        <w:tc>
          <w:tcPr>
            <w:tcW w:w="1054" w:type="dxa"/>
            <w:tcBorders>
              <w:top w:val="single" w:sz="4" w:space="0" w:color="auto"/>
              <w:bottom w:val="single" w:sz="4" w:space="0" w:color="auto"/>
            </w:tcBorders>
          </w:tcPr>
          <w:p w:rsidR="002F4D97" w:rsidRPr="002F4D97" w:rsidRDefault="002F4D97" w:rsidP="00D00B57">
            <w:pPr>
              <w:pStyle w:val="Tabletext"/>
            </w:pPr>
            <w:r w:rsidRPr="002F4D97">
              <w:t>1.228</w:t>
            </w:r>
          </w:p>
        </w:tc>
      </w:tr>
      <w:tr w:rsidR="002F4D97" w:rsidTr="002F4D97">
        <w:tc>
          <w:tcPr>
            <w:tcW w:w="8188" w:type="dxa"/>
            <w:tcBorders>
              <w:top w:val="single" w:sz="4" w:space="0" w:color="auto"/>
              <w:bottom w:val="single" w:sz="4" w:space="0" w:color="auto"/>
            </w:tcBorders>
          </w:tcPr>
          <w:p w:rsidR="002F4D97" w:rsidRPr="00D267FE" w:rsidRDefault="002F4D97" w:rsidP="00D00B57">
            <w:pPr>
              <w:pStyle w:val="Tabletext"/>
            </w:pPr>
            <w:r w:rsidRPr="00D267FE">
              <w:t>Number of customers with greater than 9 but less than or equal to 12 interruptions</w:t>
            </w:r>
          </w:p>
        </w:tc>
        <w:tc>
          <w:tcPr>
            <w:tcW w:w="1054" w:type="dxa"/>
            <w:tcBorders>
              <w:top w:val="single" w:sz="4" w:space="0" w:color="auto"/>
              <w:bottom w:val="single" w:sz="4" w:space="0" w:color="auto"/>
            </w:tcBorders>
          </w:tcPr>
          <w:p w:rsidR="002F4D97" w:rsidRPr="002F4D97" w:rsidRDefault="002F4D97" w:rsidP="00D00B57">
            <w:pPr>
              <w:pStyle w:val="Tabletext"/>
            </w:pPr>
            <w:r>
              <w:t>779</w:t>
            </w:r>
          </w:p>
        </w:tc>
      </w:tr>
      <w:tr w:rsidR="002F4D97" w:rsidTr="002F4D97">
        <w:tc>
          <w:tcPr>
            <w:tcW w:w="8188" w:type="dxa"/>
            <w:tcBorders>
              <w:top w:val="single" w:sz="4" w:space="0" w:color="auto"/>
              <w:bottom w:val="single" w:sz="4" w:space="0" w:color="auto"/>
            </w:tcBorders>
          </w:tcPr>
          <w:p w:rsidR="002F4D97" w:rsidRPr="00D267FE" w:rsidRDefault="002F4D97" w:rsidP="00D00B57">
            <w:pPr>
              <w:pStyle w:val="Tabletext"/>
            </w:pPr>
            <w:r w:rsidRPr="00D267FE">
              <w:t>Compensation paid to customers with greater than 9 but less than or equal to 12 interruptions</w:t>
            </w:r>
          </w:p>
        </w:tc>
        <w:tc>
          <w:tcPr>
            <w:tcW w:w="1054" w:type="dxa"/>
            <w:tcBorders>
              <w:top w:val="single" w:sz="4" w:space="0" w:color="auto"/>
              <w:bottom w:val="single" w:sz="4" w:space="0" w:color="auto"/>
            </w:tcBorders>
          </w:tcPr>
          <w:p w:rsidR="002F4D97" w:rsidRPr="002F4D97" w:rsidRDefault="002F4D97" w:rsidP="00D00B57">
            <w:pPr>
              <w:pStyle w:val="Tabletext"/>
            </w:pPr>
            <w:r>
              <w:t>$70 110</w:t>
            </w:r>
          </w:p>
        </w:tc>
      </w:tr>
      <w:tr w:rsidR="002F4D97" w:rsidTr="002F4D97">
        <w:tc>
          <w:tcPr>
            <w:tcW w:w="8188" w:type="dxa"/>
            <w:tcBorders>
              <w:top w:val="single" w:sz="4" w:space="0" w:color="auto"/>
              <w:bottom w:val="single" w:sz="4" w:space="0" w:color="auto"/>
            </w:tcBorders>
          </w:tcPr>
          <w:p w:rsidR="002F4D97" w:rsidRPr="00D267FE" w:rsidRDefault="002F4D97" w:rsidP="00D00B57">
            <w:pPr>
              <w:pStyle w:val="Tabletext"/>
            </w:pPr>
            <w:r w:rsidRPr="00D267FE">
              <w:t>Number of customers with greater than 12 but less than or equal to 15 interruptions</w:t>
            </w:r>
          </w:p>
        </w:tc>
        <w:tc>
          <w:tcPr>
            <w:tcW w:w="1054" w:type="dxa"/>
            <w:tcBorders>
              <w:top w:val="single" w:sz="4" w:space="0" w:color="auto"/>
              <w:bottom w:val="single" w:sz="4" w:space="0" w:color="auto"/>
            </w:tcBorders>
          </w:tcPr>
          <w:p w:rsidR="002F4D97" w:rsidRPr="002F4D97" w:rsidRDefault="002F4D97" w:rsidP="00D00B57">
            <w:pPr>
              <w:pStyle w:val="Tabletext"/>
            </w:pPr>
            <w:r>
              <w:t>58</w:t>
            </w:r>
          </w:p>
        </w:tc>
      </w:tr>
      <w:tr w:rsidR="002F4D97" w:rsidTr="002F4D97">
        <w:tc>
          <w:tcPr>
            <w:tcW w:w="8188" w:type="dxa"/>
            <w:tcBorders>
              <w:top w:val="single" w:sz="4" w:space="0" w:color="auto"/>
              <w:bottom w:val="single" w:sz="4" w:space="0" w:color="auto"/>
            </w:tcBorders>
          </w:tcPr>
          <w:p w:rsidR="002F4D97" w:rsidRPr="00D267FE" w:rsidRDefault="002F4D97" w:rsidP="00D00B57">
            <w:pPr>
              <w:pStyle w:val="Tabletext"/>
            </w:pPr>
            <w:r w:rsidRPr="00D267FE">
              <w:t>Compensation paid to customers with greater than 12 but less than or equal to 15 interruptions</w:t>
            </w:r>
          </w:p>
        </w:tc>
        <w:tc>
          <w:tcPr>
            <w:tcW w:w="1054" w:type="dxa"/>
            <w:tcBorders>
              <w:top w:val="single" w:sz="4" w:space="0" w:color="auto"/>
              <w:bottom w:val="single" w:sz="4" w:space="0" w:color="auto"/>
            </w:tcBorders>
          </w:tcPr>
          <w:p w:rsidR="002F4D97" w:rsidRPr="002F4D97" w:rsidRDefault="002F4D97" w:rsidP="00D00B57">
            <w:pPr>
              <w:pStyle w:val="Tabletext"/>
            </w:pPr>
            <w:r>
              <w:t>$8 120</w:t>
            </w:r>
          </w:p>
        </w:tc>
      </w:tr>
      <w:tr w:rsidR="002F4D97" w:rsidTr="002F4D97">
        <w:tc>
          <w:tcPr>
            <w:tcW w:w="8188" w:type="dxa"/>
            <w:tcBorders>
              <w:top w:val="single" w:sz="4" w:space="0" w:color="auto"/>
              <w:bottom w:val="single" w:sz="4" w:space="0" w:color="auto"/>
            </w:tcBorders>
          </w:tcPr>
          <w:p w:rsidR="002F4D97" w:rsidRPr="00D267FE" w:rsidRDefault="002F4D97" w:rsidP="00D00B57">
            <w:pPr>
              <w:pStyle w:val="Tabletext"/>
            </w:pPr>
            <w:r w:rsidRPr="00D267FE">
              <w:t>Number of customers with greater than 15 interruptions</w:t>
            </w:r>
          </w:p>
        </w:tc>
        <w:tc>
          <w:tcPr>
            <w:tcW w:w="1054" w:type="dxa"/>
            <w:tcBorders>
              <w:top w:val="single" w:sz="4" w:space="0" w:color="auto"/>
              <w:bottom w:val="single" w:sz="4" w:space="0" w:color="auto"/>
            </w:tcBorders>
          </w:tcPr>
          <w:p w:rsidR="002F4D97" w:rsidRPr="002F4D97" w:rsidRDefault="002F4D97" w:rsidP="00D00B57">
            <w:pPr>
              <w:pStyle w:val="Tabletext"/>
            </w:pPr>
            <w:r>
              <w:t>12</w:t>
            </w:r>
          </w:p>
        </w:tc>
      </w:tr>
      <w:tr w:rsidR="002F4D97" w:rsidTr="002F4D97">
        <w:tc>
          <w:tcPr>
            <w:tcW w:w="8188" w:type="dxa"/>
            <w:tcBorders>
              <w:top w:val="single" w:sz="4" w:space="0" w:color="auto"/>
              <w:bottom w:val="single" w:sz="4" w:space="0" w:color="auto"/>
            </w:tcBorders>
          </w:tcPr>
          <w:p w:rsidR="002F4D97" w:rsidRPr="00D267FE" w:rsidRDefault="002F4D97" w:rsidP="00D00B57">
            <w:pPr>
              <w:pStyle w:val="Tabletext"/>
            </w:pPr>
            <w:r w:rsidRPr="00D267FE">
              <w:t>Compensation paid to customers with greater than 15 interruptions</w:t>
            </w:r>
          </w:p>
        </w:tc>
        <w:tc>
          <w:tcPr>
            <w:tcW w:w="1054" w:type="dxa"/>
            <w:tcBorders>
              <w:top w:val="single" w:sz="4" w:space="0" w:color="auto"/>
              <w:bottom w:val="single" w:sz="4" w:space="0" w:color="auto"/>
            </w:tcBorders>
          </w:tcPr>
          <w:p w:rsidR="002F4D97" w:rsidRPr="002F4D97" w:rsidRDefault="002F4D97" w:rsidP="00D00B57">
            <w:pPr>
              <w:pStyle w:val="Tabletext"/>
            </w:pPr>
            <w:r>
              <w:t>$2 220</w:t>
            </w:r>
          </w:p>
        </w:tc>
      </w:tr>
      <w:tr w:rsidR="002F4D97" w:rsidTr="002F4D97">
        <w:tc>
          <w:tcPr>
            <w:tcW w:w="8188" w:type="dxa"/>
            <w:tcBorders>
              <w:top w:val="single" w:sz="4" w:space="0" w:color="auto"/>
              <w:bottom w:val="single" w:sz="4" w:space="0" w:color="BFBFBF" w:themeColor="background1" w:themeShade="BF"/>
            </w:tcBorders>
          </w:tcPr>
          <w:p w:rsidR="002F4D97" w:rsidRPr="002F4D97" w:rsidRDefault="002F4D97" w:rsidP="00D00B57">
            <w:pPr>
              <w:pStyle w:val="Tabletext"/>
            </w:pPr>
            <w:r w:rsidRPr="002F4D97">
              <w:t>Total amounts paid to customers for frequency of supply interruptions exceeding the threshold amount</w:t>
            </w:r>
          </w:p>
        </w:tc>
        <w:tc>
          <w:tcPr>
            <w:tcW w:w="1054" w:type="dxa"/>
            <w:tcBorders>
              <w:top w:val="single" w:sz="4" w:space="0" w:color="auto"/>
              <w:bottom w:val="single" w:sz="4" w:space="0" w:color="BFBFBF" w:themeColor="background1" w:themeShade="BF"/>
            </w:tcBorders>
          </w:tcPr>
          <w:p w:rsidR="002F4D97" w:rsidRPr="002F4D97" w:rsidRDefault="002F4D97" w:rsidP="00D00B57">
            <w:pPr>
              <w:pStyle w:val="Tabletext"/>
            </w:pPr>
            <w:r w:rsidRPr="002F4D97">
              <w:t>$80 450</w:t>
            </w:r>
          </w:p>
        </w:tc>
      </w:tr>
    </w:tbl>
    <w:p w:rsidR="002F4D97" w:rsidRDefault="002F4D97" w:rsidP="002F4D97">
      <w:r>
        <w:br w:type="page"/>
      </w:r>
    </w:p>
    <w:p w:rsidR="002F4D97" w:rsidRPr="002C1AA6" w:rsidRDefault="002F4D97" w:rsidP="00DD0F4D">
      <w:pPr>
        <w:pStyle w:val="Tabletitle"/>
      </w:pPr>
      <w:r w:rsidRPr="00A9362F">
        <w:lastRenderedPageBreak/>
        <w:t>Table A.5: ACT electricity distributor performance, 2014-15 (ActewAGL)</w:t>
      </w:r>
    </w:p>
    <w:tbl>
      <w:tblPr>
        <w:tblW w:w="0" w:type="auto"/>
        <w:tblLook w:val="04A0" w:firstRow="1" w:lastRow="0" w:firstColumn="1" w:lastColumn="0" w:noHBand="0" w:noVBand="1"/>
      </w:tblPr>
      <w:tblGrid>
        <w:gridCol w:w="8046"/>
        <w:gridCol w:w="1196"/>
      </w:tblGrid>
      <w:tr w:rsidR="002F4D97" w:rsidTr="002F4D97">
        <w:tc>
          <w:tcPr>
            <w:tcW w:w="8046" w:type="dxa"/>
            <w:tcBorders>
              <w:top w:val="single" w:sz="4" w:space="0" w:color="BFBFBF" w:themeColor="background1" w:themeShade="BF"/>
              <w:bottom w:val="single" w:sz="4" w:space="0" w:color="auto"/>
            </w:tcBorders>
          </w:tcPr>
          <w:p w:rsidR="002F4D97" w:rsidRPr="00DD0F4D" w:rsidRDefault="002F4D97" w:rsidP="00DD0F4D">
            <w:pPr>
              <w:pStyle w:val="Tabletext"/>
              <w:rPr>
                <w:rStyle w:val="Strong"/>
              </w:rPr>
            </w:pPr>
            <w:r w:rsidRPr="00DD0F4D">
              <w:rPr>
                <w:rStyle w:val="Strong"/>
              </w:rPr>
              <w:t>Complaints</w:t>
            </w:r>
          </w:p>
        </w:tc>
        <w:tc>
          <w:tcPr>
            <w:tcW w:w="1196" w:type="dxa"/>
            <w:tcBorders>
              <w:top w:val="single" w:sz="4" w:space="0" w:color="BFBFBF" w:themeColor="background1" w:themeShade="BF"/>
              <w:bottom w:val="single" w:sz="4" w:space="0" w:color="auto"/>
            </w:tcBorders>
          </w:tcPr>
          <w:p w:rsidR="002F4D97" w:rsidRDefault="002F4D97" w:rsidP="00DD0F4D">
            <w:pPr>
              <w:pStyle w:val="Tabletext"/>
            </w:pPr>
          </w:p>
        </w:tc>
      </w:tr>
      <w:tr w:rsidR="002F4D97" w:rsidTr="002F4D97">
        <w:tc>
          <w:tcPr>
            <w:tcW w:w="8046" w:type="dxa"/>
            <w:tcBorders>
              <w:top w:val="single" w:sz="4" w:space="0" w:color="auto"/>
              <w:bottom w:val="single" w:sz="4" w:space="0" w:color="auto"/>
            </w:tcBorders>
          </w:tcPr>
          <w:p w:rsidR="002F4D97" w:rsidRPr="00455098" w:rsidRDefault="002F4D97" w:rsidP="00DD0F4D">
            <w:pPr>
              <w:pStyle w:val="Tabletext"/>
            </w:pPr>
            <w:r w:rsidRPr="00455098">
              <w:t>Total complaints received</w:t>
            </w:r>
          </w:p>
        </w:tc>
        <w:tc>
          <w:tcPr>
            <w:tcW w:w="1196" w:type="dxa"/>
            <w:tcBorders>
              <w:top w:val="single" w:sz="4" w:space="0" w:color="auto"/>
              <w:bottom w:val="single" w:sz="4" w:space="0" w:color="auto"/>
            </w:tcBorders>
          </w:tcPr>
          <w:p w:rsidR="002F4D97" w:rsidRPr="002F4D97" w:rsidRDefault="002F4D97" w:rsidP="00DD0F4D">
            <w:pPr>
              <w:pStyle w:val="Tabletext"/>
            </w:pPr>
            <w:r w:rsidRPr="002C08C8">
              <w:t>507</w:t>
            </w:r>
          </w:p>
        </w:tc>
      </w:tr>
      <w:tr w:rsidR="002F4D97" w:rsidTr="002F4D97">
        <w:tc>
          <w:tcPr>
            <w:tcW w:w="8046" w:type="dxa"/>
            <w:tcBorders>
              <w:top w:val="single" w:sz="4" w:space="0" w:color="auto"/>
              <w:bottom w:val="single" w:sz="4" w:space="0" w:color="auto"/>
            </w:tcBorders>
          </w:tcPr>
          <w:p w:rsidR="002F4D97" w:rsidRPr="00455098" w:rsidRDefault="002F4D97" w:rsidP="00DD0F4D">
            <w:pPr>
              <w:pStyle w:val="Tabletext"/>
            </w:pPr>
            <w:r w:rsidRPr="00455098">
              <w:t>Complaints responded to within 20 business days</w:t>
            </w:r>
          </w:p>
        </w:tc>
        <w:tc>
          <w:tcPr>
            <w:tcW w:w="1196" w:type="dxa"/>
            <w:tcBorders>
              <w:top w:val="single" w:sz="4" w:space="0" w:color="auto"/>
              <w:bottom w:val="single" w:sz="4" w:space="0" w:color="auto"/>
            </w:tcBorders>
          </w:tcPr>
          <w:p w:rsidR="002F4D97" w:rsidRPr="002F4D97" w:rsidRDefault="002F4D97" w:rsidP="00DD0F4D">
            <w:pPr>
              <w:pStyle w:val="Tabletext"/>
            </w:pPr>
            <w:r>
              <w:t>463</w:t>
            </w:r>
          </w:p>
        </w:tc>
      </w:tr>
      <w:tr w:rsidR="002F4D97" w:rsidTr="002F4D97">
        <w:tc>
          <w:tcPr>
            <w:tcW w:w="8046" w:type="dxa"/>
            <w:tcBorders>
              <w:top w:val="single" w:sz="4" w:space="0" w:color="auto"/>
              <w:bottom w:val="single" w:sz="4" w:space="0" w:color="auto"/>
            </w:tcBorders>
          </w:tcPr>
          <w:p w:rsidR="002F4D97" w:rsidRPr="00225A77" w:rsidRDefault="002F4D97" w:rsidP="00DD0F4D">
            <w:pPr>
              <w:pStyle w:val="Tabletext"/>
              <w:rPr>
                <w:rStyle w:val="Strong"/>
              </w:rPr>
            </w:pPr>
            <w:r w:rsidRPr="00225A77">
              <w:rPr>
                <w:rStyle w:val="Strong"/>
              </w:rPr>
              <w:t>Planned interruptions</w:t>
            </w:r>
          </w:p>
        </w:tc>
        <w:tc>
          <w:tcPr>
            <w:tcW w:w="1196" w:type="dxa"/>
            <w:tcBorders>
              <w:top w:val="single" w:sz="4" w:space="0" w:color="auto"/>
              <w:bottom w:val="single" w:sz="4" w:space="0" w:color="auto"/>
            </w:tcBorders>
          </w:tcPr>
          <w:p w:rsidR="002F4D97" w:rsidRPr="002C08C8" w:rsidRDefault="002F4D97" w:rsidP="00DD0F4D">
            <w:pPr>
              <w:pStyle w:val="Tabletext"/>
            </w:pPr>
          </w:p>
        </w:tc>
      </w:tr>
      <w:tr w:rsidR="002F4D97" w:rsidTr="002F4D97">
        <w:tc>
          <w:tcPr>
            <w:tcW w:w="8046" w:type="dxa"/>
            <w:tcBorders>
              <w:top w:val="single" w:sz="4" w:space="0" w:color="auto"/>
              <w:bottom w:val="single" w:sz="4" w:space="0" w:color="auto"/>
            </w:tcBorders>
          </w:tcPr>
          <w:p w:rsidR="002F4D97" w:rsidRPr="00455098" w:rsidRDefault="002F4D97" w:rsidP="00DD0F4D">
            <w:pPr>
              <w:pStyle w:val="Tabletext"/>
            </w:pPr>
            <w:r w:rsidRPr="00455098">
              <w:t>Number of planned interruptions</w:t>
            </w:r>
          </w:p>
        </w:tc>
        <w:tc>
          <w:tcPr>
            <w:tcW w:w="1196" w:type="dxa"/>
            <w:tcBorders>
              <w:top w:val="single" w:sz="4" w:space="0" w:color="auto"/>
              <w:bottom w:val="single" w:sz="4" w:space="0" w:color="auto"/>
            </w:tcBorders>
          </w:tcPr>
          <w:p w:rsidR="002F4D97" w:rsidRPr="002F4D97" w:rsidRDefault="002F4D97" w:rsidP="00DD0F4D">
            <w:pPr>
              <w:pStyle w:val="Tabletext"/>
            </w:pPr>
            <w:r>
              <w:t>1479</w:t>
            </w:r>
          </w:p>
        </w:tc>
      </w:tr>
      <w:tr w:rsidR="002F4D97" w:rsidTr="002F4D97">
        <w:tc>
          <w:tcPr>
            <w:tcW w:w="8046" w:type="dxa"/>
            <w:tcBorders>
              <w:top w:val="single" w:sz="4" w:space="0" w:color="auto"/>
              <w:bottom w:val="single" w:sz="4" w:space="0" w:color="auto"/>
            </w:tcBorders>
          </w:tcPr>
          <w:p w:rsidR="002F4D97" w:rsidRPr="00455098" w:rsidRDefault="002F4D97" w:rsidP="00DD0F4D">
            <w:pPr>
              <w:pStyle w:val="Tabletext"/>
            </w:pPr>
            <w:r w:rsidRPr="00455098">
              <w:t>Instances where notice of at least 4 business days was not provided to customers</w:t>
            </w:r>
          </w:p>
        </w:tc>
        <w:tc>
          <w:tcPr>
            <w:tcW w:w="1196" w:type="dxa"/>
            <w:tcBorders>
              <w:top w:val="single" w:sz="4" w:space="0" w:color="auto"/>
              <w:bottom w:val="single" w:sz="4" w:space="0" w:color="auto"/>
            </w:tcBorders>
          </w:tcPr>
          <w:p w:rsidR="002F4D97" w:rsidRPr="002F4D97" w:rsidRDefault="002F4D97" w:rsidP="00DD0F4D">
            <w:pPr>
              <w:pStyle w:val="Tabletext"/>
            </w:pPr>
            <w:r>
              <w:t>298</w:t>
            </w:r>
          </w:p>
        </w:tc>
      </w:tr>
      <w:tr w:rsidR="002F4D97" w:rsidTr="002F4D97">
        <w:tc>
          <w:tcPr>
            <w:tcW w:w="8046" w:type="dxa"/>
            <w:tcBorders>
              <w:top w:val="single" w:sz="4" w:space="0" w:color="auto"/>
              <w:bottom w:val="single" w:sz="4" w:space="0" w:color="auto"/>
            </w:tcBorders>
          </w:tcPr>
          <w:p w:rsidR="002F4D97" w:rsidRPr="00455098" w:rsidRDefault="002F4D97" w:rsidP="00DD0F4D">
            <w:pPr>
              <w:pStyle w:val="Tabletext"/>
            </w:pPr>
            <w:r w:rsidRPr="00455098">
              <w:t>Instances where supply was not restored within 12 hours of the initial interruption</w:t>
            </w:r>
          </w:p>
        </w:tc>
        <w:tc>
          <w:tcPr>
            <w:tcW w:w="1196" w:type="dxa"/>
            <w:tcBorders>
              <w:top w:val="single" w:sz="4" w:space="0" w:color="auto"/>
              <w:bottom w:val="single" w:sz="4" w:space="0" w:color="auto"/>
            </w:tcBorders>
          </w:tcPr>
          <w:p w:rsidR="002F4D97" w:rsidRPr="002F4D97" w:rsidRDefault="002F4D97" w:rsidP="00DD0F4D">
            <w:pPr>
              <w:pStyle w:val="Tabletext"/>
            </w:pPr>
            <w:r>
              <w:t>4</w:t>
            </w:r>
          </w:p>
        </w:tc>
      </w:tr>
      <w:tr w:rsidR="002F4D97" w:rsidTr="002F4D97">
        <w:tc>
          <w:tcPr>
            <w:tcW w:w="8046" w:type="dxa"/>
            <w:tcBorders>
              <w:top w:val="single" w:sz="4" w:space="0" w:color="auto"/>
              <w:bottom w:val="single" w:sz="4" w:space="0" w:color="auto"/>
            </w:tcBorders>
          </w:tcPr>
          <w:p w:rsidR="002F4D97" w:rsidRPr="00455098" w:rsidRDefault="002F4D97" w:rsidP="00DD0F4D">
            <w:pPr>
              <w:pStyle w:val="Tabletext"/>
            </w:pPr>
            <w:r w:rsidRPr="00455098">
              <w:t xml:space="preserve">Number of customers that received compensation </w:t>
            </w:r>
          </w:p>
        </w:tc>
        <w:tc>
          <w:tcPr>
            <w:tcW w:w="1196" w:type="dxa"/>
            <w:tcBorders>
              <w:top w:val="single" w:sz="4" w:space="0" w:color="auto"/>
              <w:bottom w:val="single" w:sz="4" w:space="0" w:color="auto"/>
            </w:tcBorders>
          </w:tcPr>
          <w:p w:rsidR="002F4D97" w:rsidRPr="002F4D97" w:rsidRDefault="002F4D97" w:rsidP="00DD0F4D">
            <w:pPr>
              <w:pStyle w:val="Tabletext"/>
            </w:pPr>
            <w:r>
              <w:t>46</w:t>
            </w:r>
          </w:p>
        </w:tc>
      </w:tr>
      <w:tr w:rsidR="002F4D97" w:rsidTr="002F4D97">
        <w:tc>
          <w:tcPr>
            <w:tcW w:w="8046" w:type="dxa"/>
            <w:tcBorders>
              <w:top w:val="single" w:sz="4" w:space="0" w:color="auto"/>
              <w:bottom w:val="single" w:sz="4" w:space="0" w:color="auto"/>
            </w:tcBorders>
          </w:tcPr>
          <w:p w:rsidR="002F4D97" w:rsidRPr="00455098" w:rsidRDefault="002F4D97" w:rsidP="00DD0F4D">
            <w:pPr>
              <w:pStyle w:val="Tabletext"/>
            </w:pPr>
            <w:r w:rsidRPr="00455098">
              <w:t>Compensation paid</w:t>
            </w:r>
          </w:p>
        </w:tc>
        <w:tc>
          <w:tcPr>
            <w:tcW w:w="1196" w:type="dxa"/>
            <w:tcBorders>
              <w:top w:val="single" w:sz="4" w:space="0" w:color="auto"/>
              <w:bottom w:val="single" w:sz="4" w:space="0" w:color="auto"/>
            </w:tcBorders>
          </w:tcPr>
          <w:p w:rsidR="002F4D97" w:rsidRPr="002F4D97" w:rsidRDefault="002F4D97" w:rsidP="00DD0F4D">
            <w:pPr>
              <w:pStyle w:val="Tabletext"/>
            </w:pPr>
            <w:r>
              <w:t>$2 567</w:t>
            </w:r>
          </w:p>
        </w:tc>
      </w:tr>
      <w:tr w:rsidR="002F4D97" w:rsidTr="002F4D97">
        <w:tc>
          <w:tcPr>
            <w:tcW w:w="8046" w:type="dxa"/>
            <w:tcBorders>
              <w:top w:val="single" w:sz="4" w:space="0" w:color="auto"/>
              <w:bottom w:val="single" w:sz="4" w:space="0" w:color="auto"/>
            </w:tcBorders>
          </w:tcPr>
          <w:p w:rsidR="002F4D97" w:rsidRPr="00225A77" w:rsidRDefault="002F4D97" w:rsidP="00DD0F4D">
            <w:pPr>
              <w:pStyle w:val="Tabletext"/>
              <w:rPr>
                <w:rStyle w:val="Strong"/>
              </w:rPr>
            </w:pPr>
            <w:r w:rsidRPr="00225A77">
              <w:rPr>
                <w:rStyle w:val="Strong"/>
              </w:rPr>
              <w:t>Unplanned interruptions</w:t>
            </w:r>
          </w:p>
        </w:tc>
        <w:tc>
          <w:tcPr>
            <w:tcW w:w="1196" w:type="dxa"/>
            <w:tcBorders>
              <w:top w:val="single" w:sz="4" w:space="0" w:color="auto"/>
              <w:bottom w:val="single" w:sz="4" w:space="0" w:color="auto"/>
            </w:tcBorders>
          </w:tcPr>
          <w:p w:rsidR="002F4D97" w:rsidRPr="002C08C8" w:rsidRDefault="002F4D97" w:rsidP="00DD0F4D">
            <w:pPr>
              <w:pStyle w:val="Tabletext"/>
            </w:pPr>
          </w:p>
        </w:tc>
      </w:tr>
      <w:tr w:rsidR="002F4D97" w:rsidTr="002F4D97">
        <w:tc>
          <w:tcPr>
            <w:tcW w:w="8046" w:type="dxa"/>
            <w:tcBorders>
              <w:top w:val="single" w:sz="4" w:space="0" w:color="auto"/>
              <w:bottom w:val="single" w:sz="4" w:space="0" w:color="auto"/>
            </w:tcBorders>
          </w:tcPr>
          <w:p w:rsidR="002F4D97" w:rsidRPr="00455098" w:rsidRDefault="002F4D97" w:rsidP="00DD0F4D">
            <w:pPr>
              <w:pStyle w:val="Tabletext"/>
            </w:pPr>
            <w:r w:rsidRPr="00455098">
              <w:t>Number of unplanned interruptions</w:t>
            </w:r>
          </w:p>
        </w:tc>
        <w:tc>
          <w:tcPr>
            <w:tcW w:w="1196" w:type="dxa"/>
            <w:tcBorders>
              <w:top w:val="single" w:sz="4" w:space="0" w:color="auto"/>
              <w:bottom w:val="single" w:sz="4" w:space="0" w:color="auto"/>
            </w:tcBorders>
          </w:tcPr>
          <w:p w:rsidR="002F4D97" w:rsidRPr="002F4D97" w:rsidRDefault="002F4D97" w:rsidP="00DD0F4D">
            <w:pPr>
              <w:pStyle w:val="Tabletext"/>
            </w:pPr>
            <w:r>
              <w:t>2331</w:t>
            </w:r>
          </w:p>
        </w:tc>
      </w:tr>
      <w:tr w:rsidR="002F4D97" w:rsidTr="002F4D97">
        <w:tc>
          <w:tcPr>
            <w:tcW w:w="8046" w:type="dxa"/>
            <w:tcBorders>
              <w:top w:val="single" w:sz="4" w:space="0" w:color="auto"/>
              <w:bottom w:val="single" w:sz="4" w:space="0" w:color="auto"/>
            </w:tcBorders>
          </w:tcPr>
          <w:p w:rsidR="002F4D97" w:rsidRPr="00455098" w:rsidRDefault="002F4D97" w:rsidP="00DD0F4D">
            <w:pPr>
              <w:pStyle w:val="Tabletext"/>
            </w:pPr>
            <w:r w:rsidRPr="00455098">
              <w:t>Instances where supply was not restored within 12 hours of the initial interruption</w:t>
            </w:r>
          </w:p>
        </w:tc>
        <w:tc>
          <w:tcPr>
            <w:tcW w:w="1196" w:type="dxa"/>
            <w:tcBorders>
              <w:top w:val="single" w:sz="4" w:space="0" w:color="auto"/>
              <w:bottom w:val="single" w:sz="4" w:space="0" w:color="auto"/>
            </w:tcBorders>
          </w:tcPr>
          <w:p w:rsidR="002F4D97" w:rsidRPr="002F4D97" w:rsidRDefault="002F4D97" w:rsidP="00DD0F4D">
            <w:pPr>
              <w:pStyle w:val="Tabletext"/>
            </w:pPr>
            <w:r>
              <w:t>19</w:t>
            </w:r>
          </w:p>
        </w:tc>
      </w:tr>
      <w:tr w:rsidR="002F4D97" w:rsidTr="002F4D97">
        <w:tc>
          <w:tcPr>
            <w:tcW w:w="8046" w:type="dxa"/>
            <w:tcBorders>
              <w:top w:val="single" w:sz="4" w:space="0" w:color="auto"/>
              <w:bottom w:val="single" w:sz="4" w:space="0" w:color="auto"/>
            </w:tcBorders>
          </w:tcPr>
          <w:p w:rsidR="002F4D97" w:rsidRPr="00455098" w:rsidRDefault="002F4D97" w:rsidP="00DD0F4D">
            <w:pPr>
              <w:pStyle w:val="Tabletext"/>
            </w:pPr>
            <w:r w:rsidRPr="00455098">
              <w:t>Compensation paid to customers</w:t>
            </w:r>
          </w:p>
        </w:tc>
        <w:tc>
          <w:tcPr>
            <w:tcW w:w="1196" w:type="dxa"/>
            <w:tcBorders>
              <w:top w:val="single" w:sz="4" w:space="0" w:color="auto"/>
              <w:bottom w:val="single" w:sz="4" w:space="0" w:color="auto"/>
            </w:tcBorders>
          </w:tcPr>
          <w:p w:rsidR="002F4D97" w:rsidRPr="002F4D97" w:rsidRDefault="002F4D97" w:rsidP="00DD0F4D">
            <w:pPr>
              <w:pStyle w:val="Tabletext"/>
            </w:pPr>
            <w:r>
              <w:t>$0</w:t>
            </w:r>
          </w:p>
        </w:tc>
      </w:tr>
      <w:tr w:rsidR="002F4D97" w:rsidTr="002F4D97">
        <w:tc>
          <w:tcPr>
            <w:tcW w:w="8046" w:type="dxa"/>
            <w:tcBorders>
              <w:top w:val="single" w:sz="4" w:space="0" w:color="auto"/>
              <w:bottom w:val="single" w:sz="4" w:space="0" w:color="auto"/>
            </w:tcBorders>
          </w:tcPr>
          <w:p w:rsidR="002F4D97" w:rsidRPr="00DD0F4D" w:rsidRDefault="002F4D97" w:rsidP="00DD0F4D">
            <w:pPr>
              <w:pStyle w:val="Tabletext"/>
              <w:rPr>
                <w:rStyle w:val="Strong"/>
              </w:rPr>
            </w:pPr>
            <w:r w:rsidRPr="00DD0F4D">
              <w:rPr>
                <w:rStyle w:val="Strong"/>
              </w:rPr>
              <w:t>System Average Interruption Duration Index (SAIDI)</w:t>
            </w:r>
          </w:p>
        </w:tc>
        <w:tc>
          <w:tcPr>
            <w:tcW w:w="1196" w:type="dxa"/>
            <w:tcBorders>
              <w:top w:val="single" w:sz="4" w:space="0" w:color="auto"/>
              <w:bottom w:val="single" w:sz="4" w:space="0" w:color="auto"/>
            </w:tcBorders>
          </w:tcPr>
          <w:p w:rsidR="002F4D97" w:rsidRPr="002C08C8" w:rsidRDefault="002F4D97" w:rsidP="00DD0F4D">
            <w:pPr>
              <w:pStyle w:val="Tabletext"/>
            </w:pPr>
          </w:p>
        </w:tc>
      </w:tr>
      <w:tr w:rsidR="002F4D97" w:rsidTr="002F4D97">
        <w:tc>
          <w:tcPr>
            <w:tcW w:w="8046" w:type="dxa"/>
            <w:tcBorders>
              <w:top w:val="single" w:sz="4" w:space="0" w:color="auto"/>
              <w:bottom w:val="single" w:sz="4" w:space="0" w:color="auto"/>
            </w:tcBorders>
          </w:tcPr>
          <w:p w:rsidR="002F4D97" w:rsidRPr="00225A77" w:rsidRDefault="002F4D97" w:rsidP="00225A77">
            <w:pPr>
              <w:pStyle w:val="Tabletext"/>
              <w:rPr>
                <w:rStyle w:val="Strong"/>
                <w:b w:val="0"/>
                <w:bCs w:val="0"/>
              </w:rPr>
            </w:pPr>
            <w:r w:rsidRPr="00225A77">
              <w:rPr>
                <w:rStyle w:val="Strong"/>
                <w:b w:val="0"/>
                <w:bCs w:val="0"/>
              </w:rPr>
              <w:t>Overall</w:t>
            </w:r>
          </w:p>
        </w:tc>
        <w:tc>
          <w:tcPr>
            <w:tcW w:w="1196" w:type="dxa"/>
            <w:tcBorders>
              <w:top w:val="single" w:sz="4" w:space="0" w:color="auto"/>
              <w:bottom w:val="single" w:sz="4" w:space="0" w:color="auto"/>
            </w:tcBorders>
          </w:tcPr>
          <w:p w:rsidR="002F4D97" w:rsidRPr="002F4D97" w:rsidRDefault="002F4D97" w:rsidP="00DD0F4D">
            <w:pPr>
              <w:pStyle w:val="Tabletext"/>
            </w:pPr>
            <w:r w:rsidRPr="002C08C8">
              <w:t>82.56</w:t>
            </w:r>
          </w:p>
        </w:tc>
      </w:tr>
      <w:tr w:rsidR="002F4D97" w:rsidTr="002F4D97">
        <w:tc>
          <w:tcPr>
            <w:tcW w:w="8046" w:type="dxa"/>
            <w:tcBorders>
              <w:top w:val="single" w:sz="4" w:space="0" w:color="auto"/>
              <w:bottom w:val="single" w:sz="4" w:space="0" w:color="auto"/>
            </w:tcBorders>
          </w:tcPr>
          <w:p w:rsidR="002F4D97" w:rsidRPr="00455098" w:rsidRDefault="002F4D97" w:rsidP="00DD0F4D">
            <w:pPr>
              <w:pStyle w:val="Tabletext"/>
            </w:pPr>
            <w:r w:rsidRPr="00455098">
              <w:t xml:space="preserve">Distribution network – planned </w:t>
            </w:r>
          </w:p>
        </w:tc>
        <w:tc>
          <w:tcPr>
            <w:tcW w:w="1196" w:type="dxa"/>
            <w:tcBorders>
              <w:top w:val="single" w:sz="4" w:space="0" w:color="auto"/>
              <w:bottom w:val="single" w:sz="4" w:space="0" w:color="auto"/>
            </w:tcBorders>
          </w:tcPr>
          <w:p w:rsidR="002F4D97" w:rsidRPr="002F4D97" w:rsidRDefault="002F4D97" w:rsidP="00DD0F4D">
            <w:pPr>
              <w:pStyle w:val="Tabletext"/>
            </w:pPr>
            <w:r w:rsidRPr="002C08C8">
              <w:t>49.69</w:t>
            </w:r>
          </w:p>
        </w:tc>
      </w:tr>
      <w:tr w:rsidR="002F4D97" w:rsidTr="002F4D97">
        <w:tc>
          <w:tcPr>
            <w:tcW w:w="8046" w:type="dxa"/>
            <w:tcBorders>
              <w:top w:val="single" w:sz="4" w:space="0" w:color="auto"/>
              <w:bottom w:val="single" w:sz="4" w:space="0" w:color="auto"/>
            </w:tcBorders>
          </w:tcPr>
          <w:p w:rsidR="002F4D97" w:rsidRPr="00455098" w:rsidRDefault="002F4D97" w:rsidP="00DD0F4D">
            <w:pPr>
              <w:pStyle w:val="Tabletext"/>
            </w:pPr>
            <w:r w:rsidRPr="00455098">
              <w:t xml:space="preserve">Distribution network – unplanned </w:t>
            </w:r>
          </w:p>
        </w:tc>
        <w:tc>
          <w:tcPr>
            <w:tcW w:w="1196" w:type="dxa"/>
            <w:tcBorders>
              <w:top w:val="single" w:sz="4" w:space="0" w:color="auto"/>
              <w:bottom w:val="single" w:sz="4" w:space="0" w:color="auto"/>
            </w:tcBorders>
          </w:tcPr>
          <w:p w:rsidR="002F4D97" w:rsidRPr="002F4D97" w:rsidRDefault="002F4D97" w:rsidP="00DD0F4D">
            <w:pPr>
              <w:pStyle w:val="Tabletext"/>
            </w:pPr>
            <w:r w:rsidRPr="002C08C8">
              <w:t>32.87</w:t>
            </w:r>
          </w:p>
        </w:tc>
      </w:tr>
      <w:tr w:rsidR="002F4D97" w:rsidTr="002F4D97">
        <w:tc>
          <w:tcPr>
            <w:tcW w:w="8046" w:type="dxa"/>
            <w:tcBorders>
              <w:top w:val="single" w:sz="4" w:space="0" w:color="auto"/>
              <w:bottom w:val="single" w:sz="4" w:space="0" w:color="auto"/>
            </w:tcBorders>
          </w:tcPr>
          <w:p w:rsidR="002F4D97" w:rsidRPr="00455098" w:rsidRDefault="002F4D97" w:rsidP="00DD0F4D">
            <w:pPr>
              <w:pStyle w:val="Tabletext"/>
            </w:pPr>
            <w:r w:rsidRPr="00455098">
              <w:t xml:space="preserve">Normalised distribution network – unplanned </w:t>
            </w:r>
          </w:p>
        </w:tc>
        <w:tc>
          <w:tcPr>
            <w:tcW w:w="1196" w:type="dxa"/>
            <w:tcBorders>
              <w:top w:val="single" w:sz="4" w:space="0" w:color="auto"/>
              <w:bottom w:val="single" w:sz="4" w:space="0" w:color="auto"/>
            </w:tcBorders>
          </w:tcPr>
          <w:p w:rsidR="002F4D97" w:rsidRPr="002F4D97" w:rsidRDefault="002F4D97" w:rsidP="00DD0F4D">
            <w:pPr>
              <w:pStyle w:val="Tabletext"/>
            </w:pPr>
            <w:r w:rsidRPr="002C08C8">
              <w:t>32.87</w:t>
            </w:r>
          </w:p>
        </w:tc>
      </w:tr>
      <w:tr w:rsidR="002F4D97" w:rsidTr="002F4D97">
        <w:tc>
          <w:tcPr>
            <w:tcW w:w="8046" w:type="dxa"/>
            <w:tcBorders>
              <w:top w:val="single" w:sz="4" w:space="0" w:color="auto"/>
              <w:bottom w:val="single" w:sz="4" w:space="0" w:color="auto"/>
            </w:tcBorders>
          </w:tcPr>
          <w:p w:rsidR="002F4D97" w:rsidRPr="00225A77" w:rsidRDefault="002F4D97" w:rsidP="00DD0F4D">
            <w:pPr>
              <w:pStyle w:val="Tabletext"/>
              <w:rPr>
                <w:rStyle w:val="Strong"/>
              </w:rPr>
            </w:pPr>
            <w:r w:rsidRPr="00225A77">
              <w:rPr>
                <w:rStyle w:val="Strong"/>
              </w:rPr>
              <w:t xml:space="preserve">System Average Interruption Frequency Index (SAIFI) </w:t>
            </w:r>
          </w:p>
        </w:tc>
        <w:tc>
          <w:tcPr>
            <w:tcW w:w="1196" w:type="dxa"/>
            <w:tcBorders>
              <w:top w:val="single" w:sz="4" w:space="0" w:color="auto"/>
              <w:bottom w:val="single" w:sz="4" w:space="0" w:color="auto"/>
            </w:tcBorders>
          </w:tcPr>
          <w:p w:rsidR="002F4D97" w:rsidRPr="002C08C8" w:rsidRDefault="002F4D97" w:rsidP="00DD0F4D">
            <w:pPr>
              <w:pStyle w:val="Tabletext"/>
            </w:pPr>
          </w:p>
        </w:tc>
      </w:tr>
      <w:tr w:rsidR="002F4D97" w:rsidTr="002F4D97">
        <w:tc>
          <w:tcPr>
            <w:tcW w:w="8046" w:type="dxa"/>
            <w:tcBorders>
              <w:top w:val="single" w:sz="4" w:space="0" w:color="auto"/>
              <w:bottom w:val="single" w:sz="4" w:space="0" w:color="auto"/>
            </w:tcBorders>
          </w:tcPr>
          <w:p w:rsidR="002F4D97" w:rsidRPr="00225A77" w:rsidRDefault="002F4D97" w:rsidP="00225A77">
            <w:pPr>
              <w:pStyle w:val="Tabletext"/>
              <w:rPr>
                <w:rStyle w:val="Strong"/>
                <w:b w:val="0"/>
                <w:bCs w:val="0"/>
              </w:rPr>
            </w:pPr>
            <w:r w:rsidRPr="00225A77">
              <w:rPr>
                <w:rStyle w:val="Strong"/>
                <w:b w:val="0"/>
                <w:bCs w:val="0"/>
              </w:rPr>
              <w:t>Overall</w:t>
            </w:r>
          </w:p>
        </w:tc>
        <w:tc>
          <w:tcPr>
            <w:tcW w:w="1196" w:type="dxa"/>
            <w:tcBorders>
              <w:top w:val="single" w:sz="4" w:space="0" w:color="auto"/>
              <w:bottom w:val="single" w:sz="4" w:space="0" w:color="auto"/>
            </w:tcBorders>
          </w:tcPr>
          <w:p w:rsidR="002F4D97" w:rsidRPr="002F4D97" w:rsidRDefault="002F4D97" w:rsidP="00DD0F4D">
            <w:pPr>
              <w:pStyle w:val="Tabletext"/>
            </w:pPr>
            <w:r w:rsidRPr="002C08C8">
              <w:t>0.82</w:t>
            </w:r>
          </w:p>
        </w:tc>
      </w:tr>
      <w:tr w:rsidR="002F4D97" w:rsidTr="002F4D97">
        <w:tc>
          <w:tcPr>
            <w:tcW w:w="8046" w:type="dxa"/>
            <w:tcBorders>
              <w:top w:val="single" w:sz="4" w:space="0" w:color="auto"/>
              <w:bottom w:val="single" w:sz="4" w:space="0" w:color="auto"/>
            </w:tcBorders>
          </w:tcPr>
          <w:p w:rsidR="002F4D97" w:rsidRPr="00455098" w:rsidRDefault="002F4D97" w:rsidP="00DD0F4D">
            <w:pPr>
              <w:pStyle w:val="Tabletext"/>
            </w:pPr>
            <w:r w:rsidRPr="00455098">
              <w:t>Distribution network – planned</w:t>
            </w:r>
          </w:p>
        </w:tc>
        <w:tc>
          <w:tcPr>
            <w:tcW w:w="1196" w:type="dxa"/>
            <w:tcBorders>
              <w:top w:val="single" w:sz="4" w:space="0" w:color="auto"/>
              <w:bottom w:val="single" w:sz="4" w:space="0" w:color="auto"/>
            </w:tcBorders>
          </w:tcPr>
          <w:p w:rsidR="002F4D97" w:rsidRPr="002F4D97" w:rsidRDefault="002F4D97" w:rsidP="00DD0F4D">
            <w:pPr>
              <w:pStyle w:val="Tabletext"/>
            </w:pPr>
            <w:r w:rsidRPr="002C08C8">
              <w:t>0.22</w:t>
            </w:r>
          </w:p>
        </w:tc>
      </w:tr>
      <w:tr w:rsidR="002F4D97" w:rsidTr="002F4D97">
        <w:tc>
          <w:tcPr>
            <w:tcW w:w="8046" w:type="dxa"/>
            <w:tcBorders>
              <w:top w:val="single" w:sz="4" w:space="0" w:color="auto"/>
              <w:bottom w:val="single" w:sz="4" w:space="0" w:color="auto"/>
            </w:tcBorders>
          </w:tcPr>
          <w:p w:rsidR="002F4D97" w:rsidRPr="00455098" w:rsidRDefault="002F4D97" w:rsidP="00DD0F4D">
            <w:pPr>
              <w:pStyle w:val="Tabletext"/>
            </w:pPr>
            <w:r w:rsidRPr="00455098">
              <w:t xml:space="preserve">Distribution network – unplanned </w:t>
            </w:r>
          </w:p>
        </w:tc>
        <w:tc>
          <w:tcPr>
            <w:tcW w:w="1196" w:type="dxa"/>
            <w:tcBorders>
              <w:top w:val="single" w:sz="4" w:space="0" w:color="auto"/>
              <w:bottom w:val="single" w:sz="4" w:space="0" w:color="auto"/>
            </w:tcBorders>
          </w:tcPr>
          <w:p w:rsidR="002F4D97" w:rsidRPr="002F4D97" w:rsidRDefault="002F4D97" w:rsidP="00DD0F4D">
            <w:pPr>
              <w:pStyle w:val="Tabletext"/>
            </w:pPr>
            <w:r w:rsidRPr="002C08C8">
              <w:t>0.61</w:t>
            </w:r>
          </w:p>
        </w:tc>
      </w:tr>
      <w:tr w:rsidR="002F4D97" w:rsidTr="002F4D97">
        <w:tc>
          <w:tcPr>
            <w:tcW w:w="8046" w:type="dxa"/>
            <w:tcBorders>
              <w:top w:val="single" w:sz="4" w:space="0" w:color="auto"/>
              <w:bottom w:val="single" w:sz="4" w:space="0" w:color="auto"/>
            </w:tcBorders>
          </w:tcPr>
          <w:p w:rsidR="002F4D97" w:rsidRPr="00455098" w:rsidRDefault="002F4D97" w:rsidP="00DD0F4D">
            <w:pPr>
              <w:pStyle w:val="Tabletext"/>
            </w:pPr>
            <w:r w:rsidRPr="00455098">
              <w:t xml:space="preserve">Normalised distribution network – unplanned </w:t>
            </w:r>
          </w:p>
        </w:tc>
        <w:tc>
          <w:tcPr>
            <w:tcW w:w="1196" w:type="dxa"/>
            <w:tcBorders>
              <w:top w:val="single" w:sz="4" w:space="0" w:color="auto"/>
              <w:bottom w:val="single" w:sz="4" w:space="0" w:color="auto"/>
            </w:tcBorders>
          </w:tcPr>
          <w:p w:rsidR="002F4D97" w:rsidRPr="002F4D97" w:rsidRDefault="002F4D97" w:rsidP="00DD0F4D">
            <w:pPr>
              <w:pStyle w:val="Tabletext"/>
            </w:pPr>
            <w:r w:rsidRPr="002C08C8">
              <w:t>0.61</w:t>
            </w:r>
          </w:p>
        </w:tc>
      </w:tr>
      <w:tr w:rsidR="002F4D97" w:rsidTr="002F4D97">
        <w:tc>
          <w:tcPr>
            <w:tcW w:w="8046" w:type="dxa"/>
            <w:tcBorders>
              <w:top w:val="single" w:sz="4" w:space="0" w:color="auto"/>
              <w:bottom w:val="single" w:sz="4" w:space="0" w:color="auto"/>
            </w:tcBorders>
          </w:tcPr>
          <w:p w:rsidR="002F4D97" w:rsidRPr="00225A77" w:rsidRDefault="002F4D97" w:rsidP="00DD0F4D">
            <w:pPr>
              <w:pStyle w:val="Tabletext"/>
              <w:rPr>
                <w:rStyle w:val="Strong"/>
              </w:rPr>
            </w:pPr>
            <w:r w:rsidRPr="00225A77">
              <w:rPr>
                <w:rStyle w:val="Strong"/>
              </w:rPr>
              <w:t>Customer Average Interruption Duration Index (CAIDI)</w:t>
            </w:r>
          </w:p>
        </w:tc>
        <w:tc>
          <w:tcPr>
            <w:tcW w:w="1196" w:type="dxa"/>
            <w:tcBorders>
              <w:top w:val="single" w:sz="4" w:space="0" w:color="auto"/>
              <w:bottom w:val="single" w:sz="4" w:space="0" w:color="auto"/>
            </w:tcBorders>
          </w:tcPr>
          <w:p w:rsidR="002F4D97" w:rsidRPr="002C08C8" w:rsidRDefault="002F4D97" w:rsidP="00DD0F4D">
            <w:pPr>
              <w:pStyle w:val="Tabletext"/>
            </w:pPr>
          </w:p>
        </w:tc>
      </w:tr>
      <w:tr w:rsidR="002F4D97" w:rsidTr="002F4D97">
        <w:tc>
          <w:tcPr>
            <w:tcW w:w="8046" w:type="dxa"/>
            <w:tcBorders>
              <w:top w:val="single" w:sz="4" w:space="0" w:color="auto"/>
              <w:bottom w:val="single" w:sz="4" w:space="0" w:color="auto"/>
            </w:tcBorders>
          </w:tcPr>
          <w:p w:rsidR="002F4D97" w:rsidRPr="00225A77" w:rsidRDefault="002F4D97" w:rsidP="00225A77">
            <w:pPr>
              <w:pStyle w:val="Tabletext"/>
              <w:rPr>
                <w:rStyle w:val="Strong"/>
                <w:b w:val="0"/>
                <w:bCs w:val="0"/>
              </w:rPr>
            </w:pPr>
            <w:r w:rsidRPr="00225A77">
              <w:rPr>
                <w:rStyle w:val="Strong"/>
                <w:b w:val="0"/>
                <w:bCs w:val="0"/>
              </w:rPr>
              <w:t>Overall</w:t>
            </w:r>
          </w:p>
        </w:tc>
        <w:tc>
          <w:tcPr>
            <w:tcW w:w="1196" w:type="dxa"/>
            <w:tcBorders>
              <w:top w:val="single" w:sz="4" w:space="0" w:color="auto"/>
              <w:bottom w:val="single" w:sz="4" w:space="0" w:color="auto"/>
            </w:tcBorders>
          </w:tcPr>
          <w:p w:rsidR="002F4D97" w:rsidRPr="002F4D97" w:rsidRDefault="002F4D97" w:rsidP="00DD0F4D">
            <w:pPr>
              <w:pStyle w:val="Tabletext"/>
            </w:pPr>
            <w:r w:rsidRPr="002C08C8">
              <w:t>100.31</w:t>
            </w:r>
          </w:p>
        </w:tc>
      </w:tr>
      <w:tr w:rsidR="002F4D97" w:rsidTr="002F4D97">
        <w:tc>
          <w:tcPr>
            <w:tcW w:w="8046" w:type="dxa"/>
            <w:tcBorders>
              <w:top w:val="single" w:sz="4" w:space="0" w:color="auto"/>
              <w:bottom w:val="single" w:sz="4" w:space="0" w:color="auto"/>
            </w:tcBorders>
          </w:tcPr>
          <w:p w:rsidR="002F4D97" w:rsidRPr="00455098" w:rsidRDefault="002F4D97" w:rsidP="00DD0F4D">
            <w:pPr>
              <w:pStyle w:val="Tabletext"/>
            </w:pPr>
            <w:r w:rsidRPr="00455098">
              <w:t xml:space="preserve">Distribution network – planned </w:t>
            </w:r>
          </w:p>
        </w:tc>
        <w:tc>
          <w:tcPr>
            <w:tcW w:w="1196" w:type="dxa"/>
            <w:tcBorders>
              <w:top w:val="single" w:sz="4" w:space="0" w:color="auto"/>
              <w:bottom w:val="single" w:sz="4" w:space="0" w:color="auto"/>
            </w:tcBorders>
          </w:tcPr>
          <w:p w:rsidR="002F4D97" w:rsidRPr="002F4D97" w:rsidRDefault="002F4D97" w:rsidP="00DD0F4D">
            <w:pPr>
              <w:pStyle w:val="Tabletext"/>
            </w:pPr>
            <w:r w:rsidRPr="002C08C8">
              <w:t>227.94</w:t>
            </w:r>
          </w:p>
        </w:tc>
      </w:tr>
      <w:tr w:rsidR="002F4D97" w:rsidTr="002F4D97">
        <w:tc>
          <w:tcPr>
            <w:tcW w:w="8046" w:type="dxa"/>
            <w:tcBorders>
              <w:top w:val="single" w:sz="4" w:space="0" w:color="auto"/>
              <w:bottom w:val="single" w:sz="4" w:space="0" w:color="auto"/>
            </w:tcBorders>
          </w:tcPr>
          <w:p w:rsidR="002F4D97" w:rsidRPr="00455098" w:rsidRDefault="002F4D97" w:rsidP="00DD0F4D">
            <w:pPr>
              <w:pStyle w:val="Tabletext"/>
            </w:pPr>
            <w:r w:rsidRPr="00455098">
              <w:t xml:space="preserve">Distribution network – unplanned </w:t>
            </w:r>
          </w:p>
        </w:tc>
        <w:tc>
          <w:tcPr>
            <w:tcW w:w="1196" w:type="dxa"/>
            <w:tcBorders>
              <w:top w:val="single" w:sz="4" w:space="0" w:color="auto"/>
              <w:bottom w:val="single" w:sz="4" w:space="0" w:color="auto"/>
            </w:tcBorders>
          </w:tcPr>
          <w:p w:rsidR="002F4D97" w:rsidRPr="002F4D97" w:rsidRDefault="002F4D97" w:rsidP="00DD0F4D">
            <w:pPr>
              <w:pStyle w:val="Tabletext"/>
            </w:pPr>
            <w:r w:rsidRPr="002C08C8">
              <w:t>54.33</w:t>
            </w:r>
          </w:p>
        </w:tc>
      </w:tr>
      <w:tr w:rsidR="002F4D97" w:rsidTr="002F4D97">
        <w:tc>
          <w:tcPr>
            <w:tcW w:w="8046" w:type="dxa"/>
            <w:tcBorders>
              <w:top w:val="single" w:sz="4" w:space="0" w:color="auto"/>
              <w:bottom w:val="single" w:sz="4" w:space="0" w:color="BFBFBF" w:themeColor="background1" w:themeShade="BF"/>
            </w:tcBorders>
          </w:tcPr>
          <w:p w:rsidR="002F4D97" w:rsidRPr="00455098" w:rsidRDefault="002F4D97" w:rsidP="00DD0F4D">
            <w:pPr>
              <w:pStyle w:val="Tabletext"/>
            </w:pPr>
            <w:r w:rsidRPr="00455098">
              <w:t xml:space="preserve">Normalised distribution network – unplanned </w:t>
            </w:r>
          </w:p>
        </w:tc>
        <w:tc>
          <w:tcPr>
            <w:tcW w:w="1196" w:type="dxa"/>
            <w:tcBorders>
              <w:top w:val="single" w:sz="4" w:space="0" w:color="auto"/>
              <w:bottom w:val="single" w:sz="4" w:space="0" w:color="BFBFBF" w:themeColor="background1" w:themeShade="BF"/>
            </w:tcBorders>
          </w:tcPr>
          <w:p w:rsidR="002F4D97" w:rsidRPr="002F4D97" w:rsidRDefault="002F4D97" w:rsidP="00DD0F4D">
            <w:pPr>
              <w:pStyle w:val="Tabletext"/>
            </w:pPr>
            <w:r w:rsidRPr="002C08C8">
              <w:t>54.33</w:t>
            </w:r>
          </w:p>
        </w:tc>
      </w:tr>
    </w:tbl>
    <w:p w:rsidR="002F4D97" w:rsidRPr="002C1AA6" w:rsidRDefault="002F4D97" w:rsidP="00DD0F4D">
      <w:pPr>
        <w:pStyle w:val="Tabletitle"/>
      </w:pPr>
      <w:r w:rsidRPr="00BB0DAA">
        <w:lastRenderedPageBreak/>
        <w:t>Table A.6: Tasmania electricity distributor performance, 2014-15 (TasNetworks)</w:t>
      </w:r>
    </w:p>
    <w:tbl>
      <w:tblPr>
        <w:tblW w:w="0" w:type="auto"/>
        <w:tblLook w:val="04A0" w:firstRow="1" w:lastRow="0" w:firstColumn="1" w:lastColumn="0" w:noHBand="0" w:noVBand="1"/>
      </w:tblPr>
      <w:tblGrid>
        <w:gridCol w:w="7905"/>
        <w:gridCol w:w="1337"/>
      </w:tblGrid>
      <w:tr w:rsidR="002F4D97" w:rsidTr="00D00B57">
        <w:tc>
          <w:tcPr>
            <w:tcW w:w="7905" w:type="dxa"/>
            <w:tcBorders>
              <w:top w:val="single" w:sz="4" w:space="0" w:color="BFBFBF" w:themeColor="background1" w:themeShade="BF"/>
              <w:bottom w:val="single" w:sz="4" w:space="0" w:color="auto"/>
            </w:tcBorders>
          </w:tcPr>
          <w:p w:rsidR="002F4D97" w:rsidRPr="00D00B57" w:rsidRDefault="002F4D97" w:rsidP="009D1691">
            <w:pPr>
              <w:pStyle w:val="Tabletext"/>
              <w:rPr>
                <w:rStyle w:val="Strong"/>
              </w:rPr>
            </w:pPr>
            <w:r w:rsidRPr="00D00B57">
              <w:rPr>
                <w:rStyle w:val="Strong"/>
              </w:rPr>
              <w:t>Complaints</w:t>
            </w:r>
          </w:p>
        </w:tc>
        <w:tc>
          <w:tcPr>
            <w:tcW w:w="1337" w:type="dxa"/>
            <w:tcBorders>
              <w:top w:val="single" w:sz="4" w:space="0" w:color="BFBFBF" w:themeColor="background1" w:themeShade="BF"/>
              <w:bottom w:val="single" w:sz="4" w:space="0" w:color="auto"/>
            </w:tcBorders>
          </w:tcPr>
          <w:p w:rsidR="002F4D97" w:rsidRPr="002F4D97" w:rsidRDefault="002F4D97" w:rsidP="009D1691">
            <w:pPr>
              <w:pStyle w:val="Tabletext"/>
            </w:pPr>
          </w:p>
        </w:tc>
      </w:tr>
      <w:tr w:rsidR="002F4D97" w:rsidTr="00D00B57">
        <w:tc>
          <w:tcPr>
            <w:tcW w:w="7905" w:type="dxa"/>
            <w:tcBorders>
              <w:top w:val="single" w:sz="4" w:space="0" w:color="auto"/>
              <w:bottom w:val="single" w:sz="4" w:space="0" w:color="auto"/>
            </w:tcBorders>
          </w:tcPr>
          <w:p w:rsidR="002F4D97" w:rsidRPr="00D267FE" w:rsidRDefault="002F4D97" w:rsidP="009D1691">
            <w:pPr>
              <w:pStyle w:val="Tabletext"/>
            </w:pPr>
            <w:r w:rsidRPr="00D267FE">
              <w:t>Total complaints received</w:t>
            </w:r>
          </w:p>
        </w:tc>
        <w:tc>
          <w:tcPr>
            <w:tcW w:w="1337" w:type="dxa"/>
            <w:tcBorders>
              <w:top w:val="single" w:sz="4" w:space="0" w:color="auto"/>
              <w:bottom w:val="single" w:sz="4" w:space="0" w:color="auto"/>
            </w:tcBorders>
          </w:tcPr>
          <w:p w:rsidR="002F4D97" w:rsidRPr="002F4D97" w:rsidRDefault="002F4D97" w:rsidP="009D1691">
            <w:pPr>
              <w:pStyle w:val="Tabletext"/>
            </w:pPr>
            <w:r w:rsidRPr="00BD2CC0">
              <w:t>537</w:t>
            </w:r>
          </w:p>
        </w:tc>
      </w:tr>
      <w:tr w:rsidR="002F4D97" w:rsidTr="00D00B57">
        <w:tc>
          <w:tcPr>
            <w:tcW w:w="7905" w:type="dxa"/>
            <w:tcBorders>
              <w:top w:val="single" w:sz="4" w:space="0" w:color="auto"/>
              <w:bottom w:val="single" w:sz="4" w:space="0" w:color="auto"/>
            </w:tcBorders>
          </w:tcPr>
          <w:p w:rsidR="002F4D97" w:rsidRPr="00D00B57" w:rsidRDefault="002F4D97" w:rsidP="009D1691">
            <w:pPr>
              <w:pStyle w:val="Tabletext"/>
              <w:rPr>
                <w:rStyle w:val="Strong"/>
              </w:rPr>
            </w:pPr>
            <w:r w:rsidRPr="00D00B57">
              <w:rPr>
                <w:rStyle w:val="Strong"/>
              </w:rPr>
              <w:t>Planned interruptions</w:t>
            </w:r>
          </w:p>
        </w:tc>
        <w:tc>
          <w:tcPr>
            <w:tcW w:w="1337" w:type="dxa"/>
            <w:tcBorders>
              <w:top w:val="single" w:sz="4" w:space="0" w:color="auto"/>
              <w:bottom w:val="single" w:sz="4" w:space="0" w:color="auto"/>
            </w:tcBorders>
          </w:tcPr>
          <w:p w:rsidR="002F4D97" w:rsidRPr="00BD2CC0" w:rsidRDefault="002F4D97" w:rsidP="009D1691">
            <w:pPr>
              <w:pStyle w:val="Tabletext"/>
            </w:pPr>
          </w:p>
        </w:tc>
      </w:tr>
      <w:tr w:rsidR="002F4D97" w:rsidTr="00D00B57">
        <w:tc>
          <w:tcPr>
            <w:tcW w:w="7905" w:type="dxa"/>
            <w:tcBorders>
              <w:top w:val="single" w:sz="4" w:space="0" w:color="auto"/>
              <w:bottom w:val="single" w:sz="4" w:space="0" w:color="auto"/>
            </w:tcBorders>
          </w:tcPr>
          <w:p w:rsidR="002F4D97" w:rsidRPr="00D267FE" w:rsidRDefault="002F4D97" w:rsidP="009D1691">
            <w:pPr>
              <w:pStyle w:val="Tabletext"/>
            </w:pPr>
            <w:r w:rsidRPr="00D267FE">
              <w:t>Number of planned interruptions</w:t>
            </w:r>
          </w:p>
        </w:tc>
        <w:tc>
          <w:tcPr>
            <w:tcW w:w="1337" w:type="dxa"/>
            <w:tcBorders>
              <w:top w:val="single" w:sz="4" w:space="0" w:color="auto"/>
              <w:bottom w:val="single" w:sz="4" w:space="0" w:color="auto"/>
            </w:tcBorders>
          </w:tcPr>
          <w:p w:rsidR="002F4D97" w:rsidRPr="002F4D97" w:rsidRDefault="002F4D97" w:rsidP="009D1691">
            <w:pPr>
              <w:pStyle w:val="Tabletext"/>
            </w:pPr>
            <w:r w:rsidRPr="00BD2CC0">
              <w:t>7 630</w:t>
            </w:r>
          </w:p>
        </w:tc>
      </w:tr>
      <w:tr w:rsidR="002F4D97" w:rsidTr="00D00B57">
        <w:tc>
          <w:tcPr>
            <w:tcW w:w="7905" w:type="dxa"/>
            <w:tcBorders>
              <w:top w:val="single" w:sz="4" w:space="0" w:color="auto"/>
              <w:bottom w:val="single" w:sz="4" w:space="0" w:color="auto"/>
            </w:tcBorders>
          </w:tcPr>
          <w:p w:rsidR="002F4D97" w:rsidRPr="00D267FE" w:rsidRDefault="002F4D97" w:rsidP="009D1691">
            <w:pPr>
              <w:pStyle w:val="Tabletext"/>
            </w:pPr>
            <w:r w:rsidRPr="00D267FE">
              <w:t>Number of customers not notified of planned interruptions</w:t>
            </w:r>
          </w:p>
        </w:tc>
        <w:tc>
          <w:tcPr>
            <w:tcW w:w="1337" w:type="dxa"/>
            <w:tcBorders>
              <w:top w:val="single" w:sz="4" w:space="0" w:color="auto"/>
              <w:bottom w:val="single" w:sz="4" w:space="0" w:color="auto"/>
            </w:tcBorders>
          </w:tcPr>
          <w:p w:rsidR="002F4D97" w:rsidRPr="002F4D97" w:rsidRDefault="002F4D97" w:rsidP="009D1691">
            <w:pPr>
              <w:pStyle w:val="Tabletext"/>
            </w:pPr>
            <w:r w:rsidRPr="00BD2CC0">
              <w:t>36</w:t>
            </w:r>
          </w:p>
        </w:tc>
      </w:tr>
      <w:tr w:rsidR="002F4D97" w:rsidTr="00D00B57">
        <w:tc>
          <w:tcPr>
            <w:tcW w:w="7905" w:type="dxa"/>
            <w:tcBorders>
              <w:top w:val="single" w:sz="4" w:space="0" w:color="auto"/>
              <w:bottom w:val="single" w:sz="4" w:space="0" w:color="auto"/>
            </w:tcBorders>
          </w:tcPr>
          <w:p w:rsidR="002F4D97" w:rsidRPr="00D267FE" w:rsidRDefault="002F4D97" w:rsidP="009D1691">
            <w:pPr>
              <w:pStyle w:val="Tabletext"/>
            </w:pPr>
            <w:r w:rsidRPr="00D267FE">
              <w:t>Compensation paid to customer not notified of planned interruptions</w:t>
            </w:r>
          </w:p>
        </w:tc>
        <w:tc>
          <w:tcPr>
            <w:tcW w:w="1337" w:type="dxa"/>
            <w:tcBorders>
              <w:top w:val="single" w:sz="4" w:space="0" w:color="auto"/>
              <w:bottom w:val="single" w:sz="4" w:space="0" w:color="auto"/>
            </w:tcBorders>
          </w:tcPr>
          <w:p w:rsidR="002F4D97" w:rsidRPr="002F4D97" w:rsidRDefault="002F4D97" w:rsidP="009D1691">
            <w:pPr>
              <w:pStyle w:val="Tabletext"/>
            </w:pPr>
            <w:r w:rsidRPr="00BD2CC0">
              <w:t>$1 130</w:t>
            </w:r>
          </w:p>
        </w:tc>
      </w:tr>
      <w:tr w:rsidR="002F4D97" w:rsidTr="00D00B57">
        <w:tc>
          <w:tcPr>
            <w:tcW w:w="7905" w:type="dxa"/>
            <w:tcBorders>
              <w:top w:val="single" w:sz="4" w:space="0" w:color="auto"/>
              <w:bottom w:val="single" w:sz="4" w:space="0" w:color="auto"/>
            </w:tcBorders>
          </w:tcPr>
          <w:p w:rsidR="002F4D97" w:rsidRPr="00D00B57" w:rsidRDefault="002F4D97" w:rsidP="009D1691">
            <w:pPr>
              <w:pStyle w:val="Tabletext"/>
              <w:rPr>
                <w:rStyle w:val="Strong"/>
              </w:rPr>
            </w:pPr>
            <w:r w:rsidRPr="00D00B57">
              <w:rPr>
                <w:rStyle w:val="Strong"/>
              </w:rPr>
              <w:t>Faulty street lights</w:t>
            </w:r>
          </w:p>
        </w:tc>
        <w:tc>
          <w:tcPr>
            <w:tcW w:w="1337" w:type="dxa"/>
            <w:tcBorders>
              <w:top w:val="single" w:sz="4" w:space="0" w:color="auto"/>
              <w:bottom w:val="single" w:sz="4" w:space="0" w:color="auto"/>
            </w:tcBorders>
          </w:tcPr>
          <w:p w:rsidR="002F4D97" w:rsidRPr="00BD2CC0" w:rsidRDefault="002F4D97" w:rsidP="009D1691">
            <w:pPr>
              <w:pStyle w:val="Tabletext"/>
            </w:pPr>
          </w:p>
        </w:tc>
      </w:tr>
      <w:tr w:rsidR="002F4D97" w:rsidTr="00D00B57">
        <w:tc>
          <w:tcPr>
            <w:tcW w:w="7905" w:type="dxa"/>
            <w:tcBorders>
              <w:top w:val="single" w:sz="4" w:space="0" w:color="auto"/>
              <w:bottom w:val="single" w:sz="4" w:space="0" w:color="auto"/>
            </w:tcBorders>
          </w:tcPr>
          <w:p w:rsidR="002F4D97" w:rsidRPr="00D267FE" w:rsidRDefault="002F4D97" w:rsidP="009D1691">
            <w:pPr>
              <w:pStyle w:val="Tabletext"/>
            </w:pPr>
            <w:r w:rsidRPr="00D267FE">
              <w:t>Number of reported street light faults</w:t>
            </w:r>
          </w:p>
        </w:tc>
        <w:tc>
          <w:tcPr>
            <w:tcW w:w="1337" w:type="dxa"/>
            <w:tcBorders>
              <w:top w:val="single" w:sz="4" w:space="0" w:color="auto"/>
              <w:bottom w:val="single" w:sz="4" w:space="0" w:color="auto"/>
            </w:tcBorders>
          </w:tcPr>
          <w:p w:rsidR="002F4D97" w:rsidRPr="002F4D97" w:rsidRDefault="002F4D97" w:rsidP="009D1691">
            <w:pPr>
              <w:pStyle w:val="Tabletext"/>
            </w:pPr>
            <w:r w:rsidRPr="00BD2CC0">
              <w:t>2 869</w:t>
            </w:r>
          </w:p>
        </w:tc>
      </w:tr>
      <w:tr w:rsidR="002F4D97" w:rsidTr="00D00B57">
        <w:tc>
          <w:tcPr>
            <w:tcW w:w="7905" w:type="dxa"/>
            <w:tcBorders>
              <w:top w:val="single" w:sz="4" w:space="0" w:color="auto"/>
              <w:bottom w:val="single" w:sz="4" w:space="0" w:color="auto"/>
            </w:tcBorders>
          </w:tcPr>
          <w:p w:rsidR="002F4D97" w:rsidRPr="00D267FE" w:rsidRDefault="002F4D97" w:rsidP="009D1691">
            <w:pPr>
              <w:pStyle w:val="Tabletext"/>
            </w:pPr>
            <w:r w:rsidRPr="00D267FE">
              <w:t>Occasions where repairs not completed within 7 days</w:t>
            </w:r>
          </w:p>
        </w:tc>
        <w:tc>
          <w:tcPr>
            <w:tcW w:w="1337" w:type="dxa"/>
            <w:tcBorders>
              <w:top w:val="single" w:sz="4" w:space="0" w:color="auto"/>
              <w:bottom w:val="single" w:sz="4" w:space="0" w:color="auto"/>
            </w:tcBorders>
          </w:tcPr>
          <w:p w:rsidR="002F4D97" w:rsidRPr="002F4D97" w:rsidRDefault="002F4D97" w:rsidP="009D1691">
            <w:pPr>
              <w:pStyle w:val="Tabletext"/>
            </w:pPr>
            <w:r w:rsidRPr="00BD2CC0">
              <w:t>338</w:t>
            </w:r>
          </w:p>
        </w:tc>
      </w:tr>
      <w:tr w:rsidR="002F4D97" w:rsidTr="00D00B57">
        <w:tc>
          <w:tcPr>
            <w:tcW w:w="7905" w:type="dxa"/>
            <w:tcBorders>
              <w:top w:val="single" w:sz="4" w:space="0" w:color="auto"/>
              <w:bottom w:val="single" w:sz="4" w:space="0" w:color="auto"/>
            </w:tcBorders>
          </w:tcPr>
          <w:p w:rsidR="002F4D97" w:rsidRPr="00D267FE" w:rsidRDefault="002F4D97" w:rsidP="009D1691">
            <w:pPr>
              <w:pStyle w:val="Tabletext"/>
            </w:pPr>
            <w:r w:rsidRPr="00D267FE">
              <w:t>Compensation paid to customers for repairs not completed within 7 days</w:t>
            </w:r>
          </w:p>
        </w:tc>
        <w:tc>
          <w:tcPr>
            <w:tcW w:w="1337" w:type="dxa"/>
            <w:tcBorders>
              <w:top w:val="single" w:sz="4" w:space="0" w:color="auto"/>
              <w:bottom w:val="single" w:sz="4" w:space="0" w:color="auto"/>
            </w:tcBorders>
          </w:tcPr>
          <w:p w:rsidR="002F4D97" w:rsidRPr="002F4D97" w:rsidRDefault="002F4D97" w:rsidP="009D1691">
            <w:pPr>
              <w:pStyle w:val="Tabletext"/>
            </w:pPr>
            <w:r w:rsidRPr="00BD2CC0">
              <w:t>$420</w:t>
            </w:r>
          </w:p>
        </w:tc>
      </w:tr>
      <w:tr w:rsidR="002F4D97" w:rsidTr="00D00B57">
        <w:tc>
          <w:tcPr>
            <w:tcW w:w="7905" w:type="dxa"/>
            <w:tcBorders>
              <w:top w:val="single" w:sz="4" w:space="0" w:color="auto"/>
              <w:bottom w:val="single" w:sz="4" w:space="0" w:color="auto"/>
            </w:tcBorders>
          </w:tcPr>
          <w:p w:rsidR="002F4D97" w:rsidRPr="00D00B57" w:rsidRDefault="002F4D97" w:rsidP="009D1691">
            <w:pPr>
              <w:pStyle w:val="Tabletext"/>
              <w:rPr>
                <w:rStyle w:val="Strong"/>
              </w:rPr>
            </w:pPr>
            <w:r w:rsidRPr="00D00B57">
              <w:rPr>
                <w:rStyle w:val="Strong"/>
              </w:rPr>
              <w:t>New connections and reconnections</w:t>
            </w:r>
          </w:p>
        </w:tc>
        <w:tc>
          <w:tcPr>
            <w:tcW w:w="1337" w:type="dxa"/>
            <w:tcBorders>
              <w:top w:val="single" w:sz="4" w:space="0" w:color="auto"/>
              <w:bottom w:val="single" w:sz="4" w:space="0" w:color="auto"/>
            </w:tcBorders>
          </w:tcPr>
          <w:p w:rsidR="002F4D97" w:rsidRPr="00BD2CC0" w:rsidRDefault="002F4D97" w:rsidP="009D1691">
            <w:pPr>
              <w:pStyle w:val="Tabletext"/>
            </w:pPr>
          </w:p>
        </w:tc>
      </w:tr>
      <w:tr w:rsidR="002F4D97" w:rsidTr="00D00B57">
        <w:tc>
          <w:tcPr>
            <w:tcW w:w="7905" w:type="dxa"/>
            <w:tcBorders>
              <w:top w:val="single" w:sz="4" w:space="0" w:color="auto"/>
              <w:bottom w:val="single" w:sz="4" w:space="0" w:color="auto"/>
            </w:tcBorders>
          </w:tcPr>
          <w:p w:rsidR="002F4D97" w:rsidRPr="00D267FE" w:rsidRDefault="002F4D97" w:rsidP="009D1691">
            <w:pPr>
              <w:pStyle w:val="Tabletext"/>
            </w:pPr>
            <w:r w:rsidRPr="00D267FE">
              <w:t>New connections</w:t>
            </w:r>
          </w:p>
        </w:tc>
        <w:tc>
          <w:tcPr>
            <w:tcW w:w="1337" w:type="dxa"/>
            <w:tcBorders>
              <w:top w:val="single" w:sz="4" w:space="0" w:color="auto"/>
              <w:bottom w:val="single" w:sz="4" w:space="0" w:color="auto"/>
            </w:tcBorders>
          </w:tcPr>
          <w:p w:rsidR="002F4D97" w:rsidRPr="002F4D97" w:rsidRDefault="002F4D97" w:rsidP="009D1691">
            <w:pPr>
              <w:pStyle w:val="Tabletext"/>
            </w:pPr>
            <w:r w:rsidRPr="00BD2CC0">
              <w:t>2 510</w:t>
            </w:r>
          </w:p>
        </w:tc>
      </w:tr>
      <w:tr w:rsidR="002F4D97" w:rsidTr="00D00B57">
        <w:tc>
          <w:tcPr>
            <w:tcW w:w="7905" w:type="dxa"/>
            <w:tcBorders>
              <w:top w:val="single" w:sz="4" w:space="0" w:color="auto"/>
              <w:bottom w:val="single" w:sz="4" w:space="0" w:color="auto"/>
            </w:tcBorders>
          </w:tcPr>
          <w:p w:rsidR="002F4D97" w:rsidRPr="00D267FE" w:rsidRDefault="002F4D97" w:rsidP="009D1691">
            <w:pPr>
              <w:pStyle w:val="Tabletext"/>
            </w:pPr>
            <w:r w:rsidRPr="00D267FE">
              <w:t>New connections completed by scheduled date</w:t>
            </w:r>
          </w:p>
        </w:tc>
        <w:tc>
          <w:tcPr>
            <w:tcW w:w="1337" w:type="dxa"/>
            <w:tcBorders>
              <w:top w:val="single" w:sz="4" w:space="0" w:color="auto"/>
              <w:bottom w:val="single" w:sz="4" w:space="0" w:color="auto"/>
            </w:tcBorders>
          </w:tcPr>
          <w:p w:rsidR="002F4D97" w:rsidRPr="002F4D97" w:rsidRDefault="002F4D97" w:rsidP="009D1691">
            <w:pPr>
              <w:pStyle w:val="Tabletext"/>
            </w:pPr>
            <w:r w:rsidRPr="00BD2CC0">
              <w:t>2 195</w:t>
            </w:r>
          </w:p>
        </w:tc>
      </w:tr>
      <w:tr w:rsidR="002F4D97" w:rsidTr="00D00B57">
        <w:tc>
          <w:tcPr>
            <w:tcW w:w="7905" w:type="dxa"/>
            <w:tcBorders>
              <w:top w:val="single" w:sz="4" w:space="0" w:color="auto"/>
              <w:bottom w:val="single" w:sz="4" w:space="0" w:color="auto"/>
            </w:tcBorders>
          </w:tcPr>
          <w:p w:rsidR="002F4D97" w:rsidRPr="00D267FE" w:rsidRDefault="002F4D97" w:rsidP="009D1691">
            <w:pPr>
              <w:pStyle w:val="Tabletext"/>
            </w:pPr>
            <w:r w:rsidRPr="00D267FE">
              <w:t>Compensation paid to customers for late connections</w:t>
            </w:r>
          </w:p>
        </w:tc>
        <w:tc>
          <w:tcPr>
            <w:tcW w:w="1337" w:type="dxa"/>
            <w:tcBorders>
              <w:top w:val="single" w:sz="4" w:space="0" w:color="auto"/>
              <w:bottom w:val="single" w:sz="4" w:space="0" w:color="auto"/>
            </w:tcBorders>
          </w:tcPr>
          <w:p w:rsidR="002F4D97" w:rsidRPr="002F4D97" w:rsidRDefault="002F4D97" w:rsidP="009D1691">
            <w:pPr>
              <w:pStyle w:val="Tabletext"/>
            </w:pPr>
            <w:r w:rsidRPr="00BD2CC0">
              <w:t>$36 120</w:t>
            </w:r>
          </w:p>
        </w:tc>
      </w:tr>
      <w:tr w:rsidR="002F4D97" w:rsidTr="00D00B57">
        <w:tc>
          <w:tcPr>
            <w:tcW w:w="7905" w:type="dxa"/>
            <w:tcBorders>
              <w:top w:val="single" w:sz="4" w:space="0" w:color="auto"/>
              <w:bottom w:val="single" w:sz="4" w:space="0" w:color="auto"/>
            </w:tcBorders>
          </w:tcPr>
          <w:p w:rsidR="002F4D97" w:rsidRPr="00D267FE" w:rsidRDefault="002F4D97" w:rsidP="009D1691">
            <w:pPr>
              <w:pStyle w:val="Tabletext"/>
            </w:pPr>
            <w:r w:rsidRPr="00D267FE">
              <w:t>Reconnections</w:t>
            </w:r>
          </w:p>
        </w:tc>
        <w:tc>
          <w:tcPr>
            <w:tcW w:w="1337" w:type="dxa"/>
            <w:tcBorders>
              <w:top w:val="single" w:sz="4" w:space="0" w:color="auto"/>
              <w:bottom w:val="single" w:sz="4" w:space="0" w:color="auto"/>
            </w:tcBorders>
          </w:tcPr>
          <w:p w:rsidR="002F4D97" w:rsidRPr="002F4D97" w:rsidRDefault="002F4D97" w:rsidP="009D1691">
            <w:pPr>
              <w:pStyle w:val="Tabletext"/>
            </w:pPr>
            <w:r w:rsidRPr="00BD2CC0">
              <w:t>30 348</w:t>
            </w:r>
          </w:p>
        </w:tc>
      </w:tr>
      <w:tr w:rsidR="002F4D97" w:rsidTr="00D00B57">
        <w:tc>
          <w:tcPr>
            <w:tcW w:w="7905" w:type="dxa"/>
            <w:tcBorders>
              <w:top w:val="single" w:sz="4" w:space="0" w:color="auto"/>
              <w:bottom w:val="single" w:sz="4" w:space="0" w:color="auto"/>
            </w:tcBorders>
          </w:tcPr>
          <w:p w:rsidR="002F4D97" w:rsidRPr="00D267FE" w:rsidRDefault="002F4D97" w:rsidP="009D1691">
            <w:pPr>
              <w:pStyle w:val="Tabletext"/>
            </w:pPr>
            <w:r w:rsidRPr="00D267FE">
              <w:t>Reconnections completed by scheduled date</w:t>
            </w:r>
          </w:p>
        </w:tc>
        <w:tc>
          <w:tcPr>
            <w:tcW w:w="1337" w:type="dxa"/>
            <w:tcBorders>
              <w:top w:val="single" w:sz="4" w:space="0" w:color="auto"/>
              <w:bottom w:val="single" w:sz="4" w:space="0" w:color="auto"/>
            </w:tcBorders>
          </w:tcPr>
          <w:p w:rsidR="002F4D97" w:rsidRPr="002F4D97" w:rsidRDefault="002F4D97" w:rsidP="009D1691">
            <w:pPr>
              <w:pStyle w:val="Tabletext"/>
            </w:pPr>
            <w:r w:rsidRPr="00BD2CC0">
              <w:t>29 209</w:t>
            </w:r>
          </w:p>
        </w:tc>
      </w:tr>
      <w:tr w:rsidR="002F4D97" w:rsidTr="00D00B57">
        <w:tc>
          <w:tcPr>
            <w:tcW w:w="7905" w:type="dxa"/>
            <w:tcBorders>
              <w:top w:val="single" w:sz="4" w:space="0" w:color="auto"/>
              <w:bottom w:val="single" w:sz="4" w:space="0" w:color="auto"/>
            </w:tcBorders>
          </w:tcPr>
          <w:p w:rsidR="002F4D97" w:rsidRPr="00D267FE" w:rsidRDefault="002F4D97" w:rsidP="009D1691">
            <w:pPr>
              <w:pStyle w:val="Tabletext"/>
            </w:pPr>
            <w:r w:rsidRPr="00D267FE">
              <w:t>Compensation paid to customers for late reconnections</w:t>
            </w:r>
          </w:p>
        </w:tc>
        <w:tc>
          <w:tcPr>
            <w:tcW w:w="1337" w:type="dxa"/>
            <w:tcBorders>
              <w:top w:val="single" w:sz="4" w:space="0" w:color="auto"/>
              <w:bottom w:val="single" w:sz="4" w:space="0" w:color="auto"/>
            </w:tcBorders>
          </w:tcPr>
          <w:p w:rsidR="002F4D97" w:rsidRPr="002F4D97" w:rsidRDefault="002F4D97" w:rsidP="009D1691">
            <w:pPr>
              <w:pStyle w:val="Tabletext"/>
            </w:pPr>
            <w:r w:rsidRPr="00BD2CC0">
              <w:t>$0</w:t>
            </w:r>
          </w:p>
        </w:tc>
      </w:tr>
      <w:tr w:rsidR="002F4D97" w:rsidTr="00D00B57">
        <w:tc>
          <w:tcPr>
            <w:tcW w:w="7905" w:type="dxa"/>
            <w:tcBorders>
              <w:top w:val="single" w:sz="4" w:space="0" w:color="auto"/>
              <w:bottom w:val="single" w:sz="4" w:space="0" w:color="auto"/>
            </w:tcBorders>
          </w:tcPr>
          <w:p w:rsidR="002F4D97" w:rsidRPr="00D00B57" w:rsidRDefault="002F4D97" w:rsidP="009D1691">
            <w:pPr>
              <w:pStyle w:val="Tabletext"/>
              <w:rPr>
                <w:rStyle w:val="Strong"/>
              </w:rPr>
            </w:pPr>
            <w:r w:rsidRPr="00D00B57">
              <w:rPr>
                <w:rStyle w:val="Strong"/>
              </w:rPr>
              <w:t>System Average Interruption Duration Index (SAIDI)</w:t>
            </w:r>
          </w:p>
        </w:tc>
        <w:tc>
          <w:tcPr>
            <w:tcW w:w="1337" w:type="dxa"/>
            <w:tcBorders>
              <w:top w:val="single" w:sz="4" w:space="0" w:color="auto"/>
              <w:bottom w:val="single" w:sz="4" w:space="0" w:color="auto"/>
            </w:tcBorders>
          </w:tcPr>
          <w:p w:rsidR="002F4D97" w:rsidRPr="00BD2CC0" w:rsidRDefault="002F4D97" w:rsidP="009D1691">
            <w:pPr>
              <w:pStyle w:val="Tabletext"/>
            </w:pPr>
          </w:p>
        </w:tc>
      </w:tr>
      <w:tr w:rsidR="002F4D97" w:rsidTr="00D00B57">
        <w:tc>
          <w:tcPr>
            <w:tcW w:w="7905" w:type="dxa"/>
            <w:tcBorders>
              <w:top w:val="single" w:sz="4" w:space="0" w:color="auto"/>
              <w:bottom w:val="single" w:sz="4" w:space="0" w:color="auto"/>
            </w:tcBorders>
          </w:tcPr>
          <w:p w:rsidR="002F4D97" w:rsidRPr="00D267FE" w:rsidRDefault="002F4D97" w:rsidP="009D1691">
            <w:pPr>
              <w:pStyle w:val="Tabletext"/>
            </w:pPr>
            <w:r w:rsidRPr="00D267FE">
              <w:t>Average duration of interruptions</w:t>
            </w:r>
          </w:p>
        </w:tc>
        <w:tc>
          <w:tcPr>
            <w:tcW w:w="1337" w:type="dxa"/>
            <w:tcBorders>
              <w:top w:val="single" w:sz="4" w:space="0" w:color="auto"/>
              <w:bottom w:val="single" w:sz="4" w:space="0" w:color="auto"/>
            </w:tcBorders>
          </w:tcPr>
          <w:p w:rsidR="002F4D97" w:rsidRPr="002F4D97" w:rsidRDefault="002F4D97" w:rsidP="009D1691">
            <w:pPr>
              <w:pStyle w:val="Tabletext"/>
            </w:pPr>
            <w:r w:rsidRPr="00BD2CC0">
              <w:t>435</w:t>
            </w:r>
          </w:p>
        </w:tc>
      </w:tr>
      <w:tr w:rsidR="002F4D97" w:rsidTr="00D00B57">
        <w:tc>
          <w:tcPr>
            <w:tcW w:w="7905" w:type="dxa"/>
            <w:tcBorders>
              <w:top w:val="single" w:sz="4" w:space="0" w:color="auto"/>
              <w:bottom w:val="single" w:sz="4" w:space="0" w:color="auto"/>
            </w:tcBorders>
          </w:tcPr>
          <w:p w:rsidR="002F4D97" w:rsidRPr="00D267FE" w:rsidRDefault="002F4D97" w:rsidP="009D1691">
            <w:pPr>
              <w:pStyle w:val="Tabletext"/>
            </w:pPr>
            <w:r w:rsidRPr="00D267FE">
              <w:t>Normalised average duration of interruptions</w:t>
            </w:r>
          </w:p>
        </w:tc>
        <w:tc>
          <w:tcPr>
            <w:tcW w:w="1337" w:type="dxa"/>
            <w:tcBorders>
              <w:top w:val="single" w:sz="4" w:space="0" w:color="auto"/>
              <w:bottom w:val="single" w:sz="4" w:space="0" w:color="auto"/>
            </w:tcBorders>
          </w:tcPr>
          <w:p w:rsidR="002F4D97" w:rsidRPr="002F4D97" w:rsidRDefault="002F4D97" w:rsidP="009D1691">
            <w:pPr>
              <w:pStyle w:val="Tabletext"/>
            </w:pPr>
            <w:r w:rsidRPr="00BD2CC0">
              <w:t>219</w:t>
            </w:r>
          </w:p>
        </w:tc>
      </w:tr>
      <w:tr w:rsidR="002F4D97" w:rsidTr="00D00B57">
        <w:tc>
          <w:tcPr>
            <w:tcW w:w="7905" w:type="dxa"/>
            <w:tcBorders>
              <w:top w:val="single" w:sz="4" w:space="0" w:color="auto"/>
              <w:bottom w:val="single" w:sz="4" w:space="0" w:color="auto"/>
            </w:tcBorders>
          </w:tcPr>
          <w:p w:rsidR="002F4D97" w:rsidRPr="00D267FE" w:rsidRDefault="002F4D97" w:rsidP="009D1691">
            <w:pPr>
              <w:pStyle w:val="Tabletext"/>
            </w:pPr>
            <w:r w:rsidRPr="00D267FE">
              <w:t>Number of timely restoration payments made</w:t>
            </w:r>
          </w:p>
        </w:tc>
        <w:tc>
          <w:tcPr>
            <w:tcW w:w="1337" w:type="dxa"/>
            <w:tcBorders>
              <w:top w:val="single" w:sz="4" w:space="0" w:color="auto"/>
              <w:bottom w:val="single" w:sz="4" w:space="0" w:color="auto"/>
            </w:tcBorders>
          </w:tcPr>
          <w:p w:rsidR="002F4D97" w:rsidRPr="002F4D97" w:rsidRDefault="002F4D97" w:rsidP="009D1691">
            <w:pPr>
              <w:pStyle w:val="Tabletext"/>
            </w:pPr>
            <w:r w:rsidRPr="00BD2CC0">
              <w:t>27 940</w:t>
            </w:r>
          </w:p>
        </w:tc>
      </w:tr>
      <w:tr w:rsidR="002F4D97" w:rsidTr="00D00B57">
        <w:tc>
          <w:tcPr>
            <w:tcW w:w="7905" w:type="dxa"/>
            <w:tcBorders>
              <w:top w:val="single" w:sz="4" w:space="0" w:color="auto"/>
              <w:bottom w:val="single" w:sz="4" w:space="0" w:color="auto"/>
            </w:tcBorders>
          </w:tcPr>
          <w:p w:rsidR="002F4D97" w:rsidRPr="00D267FE" w:rsidRDefault="002F4D97" w:rsidP="009D1691">
            <w:pPr>
              <w:pStyle w:val="Tabletext"/>
            </w:pPr>
            <w:r w:rsidRPr="00D267FE">
              <w:t>Value of restoration payments made</w:t>
            </w:r>
          </w:p>
        </w:tc>
        <w:tc>
          <w:tcPr>
            <w:tcW w:w="1337" w:type="dxa"/>
            <w:tcBorders>
              <w:top w:val="single" w:sz="4" w:space="0" w:color="auto"/>
              <w:bottom w:val="single" w:sz="4" w:space="0" w:color="auto"/>
            </w:tcBorders>
          </w:tcPr>
          <w:p w:rsidR="002F4D97" w:rsidRPr="002F4D97" w:rsidRDefault="002F4D97" w:rsidP="009D1691">
            <w:pPr>
              <w:pStyle w:val="Tabletext"/>
            </w:pPr>
            <w:r w:rsidRPr="00BD2CC0">
              <w:t>$3 203 600</w:t>
            </w:r>
          </w:p>
        </w:tc>
      </w:tr>
      <w:tr w:rsidR="002F4D97" w:rsidTr="00D00B57">
        <w:tc>
          <w:tcPr>
            <w:tcW w:w="7905" w:type="dxa"/>
            <w:tcBorders>
              <w:top w:val="single" w:sz="4" w:space="0" w:color="auto"/>
              <w:bottom w:val="single" w:sz="4" w:space="0" w:color="auto"/>
            </w:tcBorders>
          </w:tcPr>
          <w:p w:rsidR="002F4D97" w:rsidRPr="00D00B57" w:rsidRDefault="002F4D97" w:rsidP="009D1691">
            <w:pPr>
              <w:pStyle w:val="Tabletext"/>
              <w:rPr>
                <w:rStyle w:val="Strong"/>
              </w:rPr>
            </w:pPr>
            <w:r w:rsidRPr="00D00B57">
              <w:rPr>
                <w:rStyle w:val="Strong"/>
              </w:rPr>
              <w:t>System Average Interruption Frequency Index (SAIFI)</w:t>
            </w:r>
          </w:p>
        </w:tc>
        <w:tc>
          <w:tcPr>
            <w:tcW w:w="1337" w:type="dxa"/>
            <w:tcBorders>
              <w:top w:val="single" w:sz="4" w:space="0" w:color="auto"/>
              <w:bottom w:val="single" w:sz="4" w:space="0" w:color="auto"/>
            </w:tcBorders>
          </w:tcPr>
          <w:p w:rsidR="002F4D97" w:rsidRPr="00BD2CC0" w:rsidRDefault="002F4D97" w:rsidP="009D1691">
            <w:pPr>
              <w:pStyle w:val="Tabletext"/>
            </w:pPr>
          </w:p>
        </w:tc>
      </w:tr>
      <w:tr w:rsidR="002F4D97" w:rsidTr="00D00B57">
        <w:tc>
          <w:tcPr>
            <w:tcW w:w="7905" w:type="dxa"/>
            <w:tcBorders>
              <w:top w:val="single" w:sz="4" w:space="0" w:color="auto"/>
              <w:bottom w:val="single" w:sz="4" w:space="0" w:color="auto"/>
            </w:tcBorders>
          </w:tcPr>
          <w:p w:rsidR="002F4D97" w:rsidRPr="00D267FE" w:rsidRDefault="002F4D97" w:rsidP="009D1691">
            <w:pPr>
              <w:pStyle w:val="Tabletext"/>
            </w:pPr>
            <w:r w:rsidRPr="00D267FE">
              <w:t>Average frequency of interruptions</w:t>
            </w:r>
          </w:p>
        </w:tc>
        <w:tc>
          <w:tcPr>
            <w:tcW w:w="1337" w:type="dxa"/>
            <w:tcBorders>
              <w:top w:val="single" w:sz="4" w:space="0" w:color="auto"/>
              <w:bottom w:val="single" w:sz="4" w:space="0" w:color="auto"/>
            </w:tcBorders>
          </w:tcPr>
          <w:p w:rsidR="002F4D97" w:rsidRPr="002F4D97" w:rsidRDefault="002F4D97" w:rsidP="009D1691">
            <w:pPr>
              <w:pStyle w:val="Tabletext"/>
            </w:pPr>
            <w:r w:rsidRPr="00BD2CC0">
              <w:t>2.23</w:t>
            </w:r>
          </w:p>
        </w:tc>
      </w:tr>
      <w:tr w:rsidR="002F4D97" w:rsidTr="00D00B57">
        <w:tc>
          <w:tcPr>
            <w:tcW w:w="7905" w:type="dxa"/>
            <w:tcBorders>
              <w:top w:val="single" w:sz="4" w:space="0" w:color="auto"/>
              <w:bottom w:val="single" w:sz="4" w:space="0" w:color="auto"/>
            </w:tcBorders>
          </w:tcPr>
          <w:p w:rsidR="002F4D97" w:rsidRPr="00D267FE" w:rsidRDefault="002F4D97" w:rsidP="009D1691">
            <w:pPr>
              <w:pStyle w:val="Tabletext"/>
            </w:pPr>
            <w:r w:rsidRPr="00D267FE">
              <w:t xml:space="preserve">Normalised average frequency of interruptions </w:t>
            </w:r>
          </w:p>
        </w:tc>
        <w:tc>
          <w:tcPr>
            <w:tcW w:w="1337" w:type="dxa"/>
            <w:tcBorders>
              <w:top w:val="single" w:sz="4" w:space="0" w:color="auto"/>
              <w:bottom w:val="single" w:sz="4" w:space="0" w:color="auto"/>
            </w:tcBorders>
          </w:tcPr>
          <w:p w:rsidR="002F4D97" w:rsidRPr="002F4D97" w:rsidRDefault="002F4D97" w:rsidP="009D1691">
            <w:pPr>
              <w:pStyle w:val="Tabletext"/>
            </w:pPr>
            <w:r w:rsidRPr="00BD2CC0">
              <w:t>1.67</w:t>
            </w:r>
          </w:p>
        </w:tc>
      </w:tr>
      <w:tr w:rsidR="002F4D97" w:rsidTr="00D00B57">
        <w:tc>
          <w:tcPr>
            <w:tcW w:w="7905" w:type="dxa"/>
            <w:tcBorders>
              <w:top w:val="single" w:sz="4" w:space="0" w:color="auto"/>
              <w:bottom w:val="single" w:sz="4" w:space="0" w:color="auto"/>
            </w:tcBorders>
          </w:tcPr>
          <w:p w:rsidR="002F4D97" w:rsidRPr="00D267FE" w:rsidRDefault="002F4D97" w:rsidP="009D1691">
            <w:pPr>
              <w:pStyle w:val="Tabletext"/>
            </w:pPr>
            <w:r w:rsidRPr="00D267FE">
              <w:t>Number of reliable supply payments made</w:t>
            </w:r>
          </w:p>
        </w:tc>
        <w:tc>
          <w:tcPr>
            <w:tcW w:w="1337" w:type="dxa"/>
            <w:tcBorders>
              <w:top w:val="single" w:sz="4" w:space="0" w:color="auto"/>
              <w:bottom w:val="single" w:sz="4" w:space="0" w:color="auto"/>
            </w:tcBorders>
          </w:tcPr>
          <w:p w:rsidR="002F4D97" w:rsidRPr="002F4D97" w:rsidRDefault="002F4D97" w:rsidP="009D1691">
            <w:pPr>
              <w:pStyle w:val="Tabletext"/>
            </w:pPr>
            <w:r w:rsidRPr="00BD2CC0">
              <w:t>2 207</w:t>
            </w:r>
          </w:p>
        </w:tc>
      </w:tr>
      <w:tr w:rsidR="002F4D97" w:rsidTr="00D00B57">
        <w:tc>
          <w:tcPr>
            <w:tcW w:w="7905" w:type="dxa"/>
            <w:tcBorders>
              <w:top w:val="single" w:sz="4" w:space="0" w:color="auto"/>
              <w:bottom w:val="single" w:sz="4" w:space="0" w:color="BFBFBF" w:themeColor="background1" w:themeShade="BF"/>
            </w:tcBorders>
          </w:tcPr>
          <w:p w:rsidR="002F4D97" w:rsidRPr="00D267FE" w:rsidRDefault="002F4D97" w:rsidP="009D1691">
            <w:pPr>
              <w:pStyle w:val="Tabletext"/>
            </w:pPr>
            <w:r w:rsidRPr="00D267FE">
              <w:t>Value of reliable supply payments made</w:t>
            </w:r>
          </w:p>
        </w:tc>
        <w:tc>
          <w:tcPr>
            <w:tcW w:w="1337" w:type="dxa"/>
            <w:tcBorders>
              <w:top w:val="single" w:sz="4" w:space="0" w:color="auto"/>
              <w:bottom w:val="single" w:sz="4" w:space="0" w:color="BFBFBF" w:themeColor="background1" w:themeShade="BF"/>
            </w:tcBorders>
          </w:tcPr>
          <w:p w:rsidR="002F4D97" w:rsidRPr="002F4D97" w:rsidRDefault="002F4D97" w:rsidP="009D1691">
            <w:pPr>
              <w:pStyle w:val="Tabletext"/>
            </w:pPr>
            <w:r w:rsidRPr="00BD2CC0">
              <w:t>$167 440</w:t>
            </w:r>
          </w:p>
        </w:tc>
      </w:tr>
    </w:tbl>
    <w:p w:rsidR="002F4D97" w:rsidRDefault="002F4D97" w:rsidP="002F4D97"/>
    <w:p w:rsidR="0045449C" w:rsidRDefault="0045449C" w:rsidP="0045449C">
      <w:pPr>
        <w:pStyle w:val="Heading2"/>
        <w:numPr>
          <w:ilvl w:val="0"/>
          <w:numId w:val="0"/>
        </w:numPr>
        <w:ind w:left="1002" w:hanging="576"/>
      </w:pPr>
      <w:bookmarkStart w:id="81" w:name="_Toc433026852"/>
      <w:r w:rsidRPr="0045449C">
        <w:lastRenderedPageBreak/>
        <w:t xml:space="preserve">Appendix 4: </w:t>
      </w:r>
      <w:r w:rsidRPr="0045449C">
        <w:tab/>
      </w:r>
      <w:r>
        <w:t>Supplementary tables</w:t>
      </w:r>
    </w:p>
    <w:p w:rsidR="00821BFF" w:rsidRPr="00821BFF" w:rsidRDefault="00821BFF" w:rsidP="00821BFF">
      <w:pPr>
        <w:pStyle w:val="Tabletitle"/>
      </w:pPr>
      <w:r>
        <w:t>Table A.7: Electricity customers - payment plans, hardship programs and disconnections for non-payment</w:t>
      </w:r>
    </w:p>
    <w:tbl>
      <w:tblPr>
        <w:tblStyle w:val="TableGrid"/>
        <w:tblW w:w="9322" w:type="dxa"/>
        <w:tblLayout w:type="fixed"/>
        <w:tblLook w:val="04A0" w:firstRow="1" w:lastRow="0" w:firstColumn="1" w:lastColumn="0" w:noHBand="0" w:noVBand="1"/>
      </w:tblPr>
      <w:tblGrid>
        <w:gridCol w:w="2093"/>
        <w:gridCol w:w="1134"/>
        <w:gridCol w:w="1134"/>
        <w:gridCol w:w="1134"/>
        <w:gridCol w:w="1134"/>
        <w:gridCol w:w="1134"/>
        <w:gridCol w:w="1559"/>
      </w:tblGrid>
      <w:tr w:rsidR="0045449C" w:rsidRPr="0045449C" w:rsidTr="00454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bottom w:val="nil"/>
            </w:tcBorders>
            <w:shd w:val="clear" w:color="auto" w:fill="F2F2F2" w:themeFill="background1" w:themeFillShade="F2"/>
          </w:tcPr>
          <w:p w:rsidR="0045449C" w:rsidRPr="0045449C" w:rsidRDefault="0045449C" w:rsidP="0045449C">
            <w:r w:rsidRPr="0045449C">
              <w:t>Retailer</w:t>
            </w:r>
          </w:p>
        </w:tc>
        <w:tc>
          <w:tcPr>
            <w:tcW w:w="2268" w:type="dxa"/>
            <w:gridSpan w:val="2"/>
            <w:tcBorders>
              <w:bottom w:val="nil"/>
            </w:tcBorders>
            <w:shd w:val="clear" w:color="auto" w:fill="F2F2F2" w:themeFill="background1" w:themeFillShade="F2"/>
          </w:tcPr>
          <w:p w:rsidR="0045449C" w:rsidRPr="0045449C" w:rsidRDefault="0045449C" w:rsidP="0045449C">
            <w:pPr>
              <w:cnfStyle w:val="100000000000" w:firstRow="1" w:lastRow="0" w:firstColumn="0" w:lastColumn="0" w:oddVBand="0" w:evenVBand="0" w:oddHBand="0" w:evenHBand="0" w:firstRowFirstColumn="0" w:firstRowLastColumn="0" w:lastRowFirstColumn="0" w:lastRowLastColumn="0"/>
            </w:pPr>
            <w:r w:rsidRPr="0045449C">
              <w:t>Customers on payment plans</w:t>
            </w:r>
          </w:p>
        </w:tc>
        <w:tc>
          <w:tcPr>
            <w:tcW w:w="2268" w:type="dxa"/>
            <w:gridSpan w:val="2"/>
            <w:tcBorders>
              <w:bottom w:val="nil"/>
            </w:tcBorders>
            <w:shd w:val="clear" w:color="auto" w:fill="F2F2F2" w:themeFill="background1" w:themeFillShade="F2"/>
          </w:tcPr>
          <w:p w:rsidR="0045449C" w:rsidRPr="0045449C" w:rsidRDefault="0045449C" w:rsidP="0045449C">
            <w:pPr>
              <w:cnfStyle w:val="100000000000" w:firstRow="1" w:lastRow="0" w:firstColumn="0" w:lastColumn="0" w:oddVBand="0" w:evenVBand="0" w:oddHBand="0" w:evenHBand="0" w:firstRowFirstColumn="0" w:firstRowLastColumn="0" w:lastRowFirstColumn="0" w:lastRowLastColumn="0"/>
            </w:pPr>
            <w:r w:rsidRPr="0045449C">
              <w:t>Customers on hardship programs</w:t>
            </w:r>
          </w:p>
        </w:tc>
        <w:tc>
          <w:tcPr>
            <w:tcW w:w="2693" w:type="dxa"/>
            <w:gridSpan w:val="2"/>
            <w:tcBorders>
              <w:bottom w:val="nil"/>
            </w:tcBorders>
            <w:shd w:val="clear" w:color="auto" w:fill="F2F2F2" w:themeFill="background1" w:themeFillShade="F2"/>
          </w:tcPr>
          <w:p w:rsidR="0045449C" w:rsidRPr="0045449C" w:rsidRDefault="0045449C" w:rsidP="0045449C">
            <w:pPr>
              <w:cnfStyle w:val="100000000000" w:firstRow="1" w:lastRow="0" w:firstColumn="0" w:lastColumn="0" w:oddVBand="0" w:evenVBand="0" w:oddHBand="0" w:evenHBand="0" w:firstRowFirstColumn="0" w:firstRowLastColumn="0" w:lastRowFirstColumn="0" w:lastRowLastColumn="0"/>
            </w:pPr>
            <w:r w:rsidRPr="0045449C">
              <w:t>Customers disconnected for non-payment</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nil"/>
              <w:bottom w:val="single" w:sz="4" w:space="0" w:color="auto"/>
            </w:tcBorders>
            <w:shd w:val="clear" w:color="auto" w:fill="F2F2F2" w:themeFill="background1" w:themeFillShade="F2"/>
          </w:tcPr>
          <w:p w:rsidR="0045449C" w:rsidRPr="0045449C" w:rsidRDefault="0045449C" w:rsidP="0045449C"/>
        </w:tc>
        <w:tc>
          <w:tcPr>
            <w:tcW w:w="1134" w:type="dxa"/>
            <w:tcBorders>
              <w:top w:val="nil"/>
              <w:bottom w:val="single" w:sz="4" w:space="0" w:color="auto"/>
            </w:tcBorders>
            <w:shd w:val="clear" w:color="auto" w:fill="F2F2F2" w:themeFill="background1" w:themeFillShade="F2"/>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June 2014</w:t>
            </w:r>
          </w:p>
        </w:tc>
        <w:tc>
          <w:tcPr>
            <w:tcW w:w="1134" w:type="dxa"/>
            <w:tcBorders>
              <w:top w:val="nil"/>
              <w:bottom w:val="single" w:sz="4" w:space="0" w:color="auto"/>
            </w:tcBorders>
            <w:shd w:val="clear" w:color="auto" w:fill="F2F2F2" w:themeFill="background1" w:themeFillShade="F2"/>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June 2015</w:t>
            </w:r>
          </w:p>
        </w:tc>
        <w:tc>
          <w:tcPr>
            <w:tcW w:w="1134" w:type="dxa"/>
            <w:tcBorders>
              <w:top w:val="nil"/>
              <w:bottom w:val="single" w:sz="4" w:space="0" w:color="auto"/>
            </w:tcBorders>
            <w:shd w:val="clear" w:color="auto" w:fill="F2F2F2" w:themeFill="background1" w:themeFillShade="F2"/>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June 2014</w:t>
            </w:r>
          </w:p>
        </w:tc>
        <w:tc>
          <w:tcPr>
            <w:tcW w:w="1134" w:type="dxa"/>
            <w:tcBorders>
              <w:top w:val="nil"/>
              <w:bottom w:val="single" w:sz="4" w:space="0" w:color="auto"/>
            </w:tcBorders>
            <w:shd w:val="clear" w:color="auto" w:fill="F2F2F2" w:themeFill="background1" w:themeFillShade="F2"/>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June 2015</w:t>
            </w:r>
          </w:p>
        </w:tc>
        <w:tc>
          <w:tcPr>
            <w:tcW w:w="1134" w:type="dxa"/>
            <w:tcBorders>
              <w:top w:val="nil"/>
              <w:bottom w:val="single" w:sz="4" w:space="0" w:color="auto"/>
            </w:tcBorders>
            <w:shd w:val="clear" w:color="auto" w:fill="F2F2F2" w:themeFill="background1" w:themeFillShade="F2"/>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2013-14</w:t>
            </w:r>
          </w:p>
        </w:tc>
        <w:tc>
          <w:tcPr>
            <w:tcW w:w="1559" w:type="dxa"/>
            <w:tcBorders>
              <w:top w:val="nil"/>
              <w:bottom w:val="single" w:sz="4" w:space="0" w:color="auto"/>
            </w:tcBorders>
            <w:shd w:val="clear" w:color="auto" w:fill="F2F2F2" w:themeFill="background1" w:themeFillShade="F2"/>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2014-15</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45449C" w:rsidRDefault="0045449C" w:rsidP="0045449C">
            <w:r w:rsidRPr="0045449C">
              <w:t>South Australia</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225A77">
            <w:pPr>
              <w:pStyle w:val="Tabletext"/>
              <w:rPr>
                <w:rStyle w:val="Strong"/>
              </w:rPr>
            </w:pPr>
            <w:r w:rsidRPr="00225A77">
              <w:rPr>
                <w:rStyle w:val="Strong"/>
              </w:rPr>
              <w:t>AGL</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2978</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2231</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4036</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4711</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4271</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4274</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225A77">
            <w:pPr>
              <w:pStyle w:val="Tabletext"/>
              <w:rPr>
                <w:rStyle w:val="Strong"/>
              </w:rPr>
            </w:pPr>
            <w:proofErr w:type="spellStart"/>
            <w:r w:rsidRPr="00225A77">
              <w:rPr>
                <w:rStyle w:val="Strong"/>
              </w:rPr>
              <w:t>Alinta</w:t>
            </w:r>
            <w:proofErr w:type="spellEnd"/>
            <w:r w:rsidRPr="00225A77">
              <w:rPr>
                <w:rStyle w:val="Strong"/>
              </w:rPr>
              <w:t xml:space="preserve"> Energy</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1712</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1450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21</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490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1163</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575</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225A77">
            <w:pPr>
              <w:pStyle w:val="Tabletext"/>
              <w:rPr>
                <w:rStyle w:val="Strong"/>
              </w:rPr>
            </w:pPr>
            <w:r w:rsidRPr="00225A77">
              <w:rPr>
                <w:rStyle w:val="Strong"/>
              </w:rPr>
              <w:t>Diamond Energy</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3</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17</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0</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0</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225A77">
            <w:pPr>
              <w:pStyle w:val="Tabletext"/>
              <w:rPr>
                <w:rStyle w:val="Strong"/>
              </w:rPr>
            </w:pPr>
            <w:proofErr w:type="spellStart"/>
            <w:r w:rsidRPr="00225A77">
              <w:rPr>
                <w:rStyle w:val="Strong"/>
              </w:rPr>
              <w:t>EnergyAustralia</w:t>
            </w:r>
            <w:proofErr w:type="spellEnd"/>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7969</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8122</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786</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2017</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423</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437</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225A77">
            <w:pPr>
              <w:pStyle w:val="Tabletext"/>
              <w:rPr>
                <w:rStyle w:val="Strong"/>
              </w:rPr>
            </w:pPr>
            <w:proofErr w:type="spellStart"/>
            <w:r w:rsidRPr="00225A77">
              <w:rPr>
                <w:rStyle w:val="Strong"/>
              </w:rPr>
              <w:t>Lumo</w:t>
            </w:r>
            <w:proofErr w:type="spellEnd"/>
            <w:r w:rsidRPr="00225A77">
              <w:rPr>
                <w:rStyle w:val="Strong"/>
              </w:rPr>
              <w:t xml:space="preserve"> Energy</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1452</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1470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259</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226</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520</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371</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225A77">
            <w:pPr>
              <w:pStyle w:val="Tabletext"/>
              <w:rPr>
                <w:rStyle w:val="Strong"/>
              </w:rPr>
            </w:pPr>
            <w:r w:rsidRPr="00225A77">
              <w:rPr>
                <w:rStyle w:val="Strong"/>
              </w:rPr>
              <w:t>M2 Energy</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6</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32</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3</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225A77">
            <w:pPr>
              <w:pStyle w:val="Tabletext"/>
              <w:rPr>
                <w:rStyle w:val="Strong"/>
              </w:rPr>
            </w:pPr>
            <w:r w:rsidRPr="00225A77">
              <w:rPr>
                <w:rStyle w:val="Strong"/>
              </w:rPr>
              <w:t>Momentum Energy</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308</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159</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54</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108</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45</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63</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225A77">
            <w:pPr>
              <w:pStyle w:val="Tabletext"/>
              <w:rPr>
                <w:rStyle w:val="Strong"/>
              </w:rPr>
            </w:pPr>
            <w:r w:rsidRPr="00225A77">
              <w:rPr>
                <w:rStyle w:val="Strong"/>
              </w:rPr>
              <w:t>Origin Energy</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6671</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1909</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2309</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2192</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2145</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2587</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225A77">
            <w:pPr>
              <w:pStyle w:val="Tabletext"/>
              <w:rPr>
                <w:rStyle w:val="Strong"/>
              </w:rPr>
            </w:pPr>
            <w:proofErr w:type="spellStart"/>
            <w:r w:rsidRPr="00225A77">
              <w:rPr>
                <w:rStyle w:val="Strong"/>
              </w:rPr>
              <w:t>Powerdirect</w:t>
            </w:r>
            <w:proofErr w:type="spellEnd"/>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225</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208</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88</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120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119</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147</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225A77">
            <w:pPr>
              <w:pStyle w:val="Tabletext"/>
              <w:rPr>
                <w:rStyle w:val="Strong"/>
              </w:rPr>
            </w:pPr>
            <w:proofErr w:type="spellStart"/>
            <w:r w:rsidRPr="00225A77">
              <w:rPr>
                <w:rStyle w:val="Strong"/>
              </w:rPr>
              <w:t>QEnergy</w:t>
            </w:r>
            <w:proofErr w:type="spellEnd"/>
            <w:r w:rsidRPr="00225A77">
              <w:rPr>
                <w:rStyle w:val="Strong"/>
              </w:rPr>
              <w:t xml:space="preserve"> </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0</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9</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225A77">
            <w:pPr>
              <w:pStyle w:val="Tabletext"/>
              <w:rPr>
                <w:rStyle w:val="Strong"/>
              </w:rPr>
            </w:pPr>
            <w:r w:rsidRPr="00225A77">
              <w:rPr>
                <w:rStyle w:val="Strong"/>
              </w:rPr>
              <w:t>Red Energy</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179</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140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33</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22</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34</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32</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225A77">
            <w:pPr>
              <w:pStyle w:val="Tabletext"/>
              <w:rPr>
                <w:rStyle w:val="Strong"/>
              </w:rPr>
            </w:pPr>
            <w:r w:rsidRPr="00225A77">
              <w:rPr>
                <w:rStyle w:val="Strong"/>
              </w:rPr>
              <w:t>Sanctuary Energy</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3</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5</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7</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225A77">
            <w:pPr>
              <w:pStyle w:val="Tabletext"/>
              <w:rPr>
                <w:rStyle w:val="Strong"/>
              </w:rPr>
            </w:pPr>
            <w:r w:rsidRPr="00225A77">
              <w:rPr>
                <w:rStyle w:val="Strong"/>
              </w:rPr>
              <w:t>Simply Energy</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2244</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2176</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1010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1371</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1427</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1679</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45449C" w:rsidRDefault="0045449C" w:rsidP="0045449C">
            <w:r w:rsidRPr="0045449C">
              <w:t>ACT</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45449C">
            <w:pPr>
              <w:rPr>
                <w:rStyle w:val="Strong"/>
              </w:rPr>
            </w:pPr>
            <w:proofErr w:type="spellStart"/>
            <w:r w:rsidRPr="00225A77">
              <w:rPr>
                <w:rStyle w:val="Strong"/>
              </w:rPr>
              <w:t>ActewAGL</w:t>
            </w:r>
            <w:proofErr w:type="spellEnd"/>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255</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258</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624</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580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237</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339</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45449C">
            <w:pPr>
              <w:rPr>
                <w:rStyle w:val="Strong"/>
              </w:rPr>
            </w:pPr>
            <w:proofErr w:type="spellStart"/>
            <w:r w:rsidRPr="00225A77">
              <w:rPr>
                <w:rStyle w:val="Strong"/>
              </w:rPr>
              <w:t>EnergyAustralia</w:t>
            </w:r>
            <w:proofErr w:type="spellEnd"/>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316</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739</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55</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98</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32</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6</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45449C">
            <w:pPr>
              <w:rPr>
                <w:rStyle w:val="Strong"/>
              </w:rPr>
            </w:pPr>
            <w:r w:rsidRPr="00225A77">
              <w:rPr>
                <w:rStyle w:val="Strong"/>
              </w:rPr>
              <w:t>Origin Energy</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0</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0</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45449C" w:rsidRDefault="0045449C" w:rsidP="0045449C">
            <w:r w:rsidRPr="0045449C">
              <w:t>Tasmania</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45449C">
            <w:pPr>
              <w:rPr>
                <w:rStyle w:val="Strong"/>
              </w:rPr>
            </w:pPr>
            <w:r w:rsidRPr="00225A77">
              <w:rPr>
                <w:rStyle w:val="Strong"/>
              </w:rPr>
              <w:t>Aurora Energy</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2956</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2376</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987</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1663</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1555</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1046</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45449C" w:rsidRDefault="0045449C" w:rsidP="0045449C">
            <w:r w:rsidRPr="0045449C">
              <w:t>New South Wales</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45449C">
            <w:pPr>
              <w:rPr>
                <w:rStyle w:val="Strong"/>
              </w:rPr>
            </w:pPr>
            <w:proofErr w:type="spellStart"/>
            <w:r w:rsidRPr="00225A77">
              <w:rPr>
                <w:rStyle w:val="Strong"/>
              </w:rPr>
              <w:t>ActewAGL</w:t>
            </w:r>
            <w:proofErr w:type="spellEnd"/>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124</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153</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416</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420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86</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154</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45449C">
            <w:pPr>
              <w:rPr>
                <w:rStyle w:val="Strong"/>
              </w:rPr>
            </w:pPr>
            <w:r w:rsidRPr="00225A77">
              <w:rPr>
                <w:rStyle w:val="Strong"/>
              </w:rPr>
              <w:t>AGL</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4300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2993</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4743</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6293</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10828</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12844</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45449C">
            <w:pPr>
              <w:rPr>
                <w:rStyle w:val="Strong"/>
              </w:rPr>
            </w:pPr>
            <w:r w:rsidRPr="00225A77">
              <w:rPr>
                <w:rStyle w:val="Strong"/>
              </w:rPr>
              <w:t>Click Energy</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25</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78</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27</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96</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168</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45449C">
            <w:pPr>
              <w:rPr>
                <w:rStyle w:val="Strong"/>
              </w:rPr>
            </w:pPr>
            <w:proofErr w:type="spellStart"/>
            <w:r w:rsidRPr="00225A77">
              <w:rPr>
                <w:rStyle w:val="Strong"/>
              </w:rPr>
              <w:t>CovaU</w:t>
            </w:r>
            <w:proofErr w:type="spellEnd"/>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33</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45449C">
            <w:pPr>
              <w:rPr>
                <w:rStyle w:val="Strong"/>
              </w:rPr>
            </w:pPr>
            <w:r w:rsidRPr="00225A77">
              <w:rPr>
                <w:rStyle w:val="Strong"/>
              </w:rPr>
              <w:lastRenderedPageBreak/>
              <w:t>Diamond Energy</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5</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58</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4</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45449C">
            <w:pPr>
              <w:rPr>
                <w:rStyle w:val="Strong"/>
              </w:rPr>
            </w:pPr>
            <w:proofErr w:type="spellStart"/>
            <w:r w:rsidRPr="00225A77">
              <w:rPr>
                <w:rStyle w:val="Strong"/>
              </w:rPr>
              <w:t>EnergyAustralia</w:t>
            </w:r>
            <w:proofErr w:type="spellEnd"/>
            <w:r w:rsidRPr="00225A77">
              <w:rPr>
                <w:rStyle w:val="Strong"/>
              </w:rPr>
              <w:t xml:space="preserve"> </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16669</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60034</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3517</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5157</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6299</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2478</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45449C">
            <w:pPr>
              <w:rPr>
                <w:rStyle w:val="Strong"/>
              </w:rPr>
            </w:pPr>
            <w:proofErr w:type="spellStart"/>
            <w:r w:rsidRPr="00225A77">
              <w:rPr>
                <w:rStyle w:val="Strong"/>
              </w:rPr>
              <w:t>Lumo</w:t>
            </w:r>
            <w:proofErr w:type="spellEnd"/>
            <w:r w:rsidRPr="00225A77">
              <w:rPr>
                <w:rStyle w:val="Strong"/>
              </w:rPr>
              <w:t xml:space="preserve"> Energy</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1428</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1810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209</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183</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489</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597</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45449C">
            <w:pPr>
              <w:rPr>
                <w:rStyle w:val="Strong"/>
              </w:rPr>
            </w:pPr>
            <w:r w:rsidRPr="00225A77">
              <w:rPr>
                <w:rStyle w:val="Strong"/>
              </w:rPr>
              <w:t>M2 Energy</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9</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36</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240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282</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20</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139</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45449C">
            <w:pPr>
              <w:rPr>
                <w:rStyle w:val="Strong"/>
              </w:rPr>
            </w:pPr>
            <w:r w:rsidRPr="00225A77">
              <w:rPr>
                <w:rStyle w:val="Strong"/>
              </w:rPr>
              <w:t>Momentum Energy</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278</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68</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14</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169</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47</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93</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45449C">
            <w:pPr>
              <w:rPr>
                <w:rStyle w:val="Strong"/>
              </w:rPr>
            </w:pPr>
            <w:r w:rsidRPr="00225A77">
              <w:rPr>
                <w:rStyle w:val="Strong"/>
              </w:rPr>
              <w:t>Origin Energy</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35928</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9244</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8714</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8621</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12655</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13400</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45449C">
            <w:pPr>
              <w:rPr>
                <w:rStyle w:val="Strong"/>
              </w:rPr>
            </w:pPr>
            <w:proofErr w:type="spellStart"/>
            <w:r w:rsidRPr="00225A77">
              <w:rPr>
                <w:rStyle w:val="Strong"/>
              </w:rPr>
              <w:t>Powerdirect</w:t>
            </w:r>
            <w:proofErr w:type="spellEnd"/>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162</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195</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24</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75</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55</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148</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45449C">
            <w:pPr>
              <w:rPr>
                <w:rStyle w:val="Strong"/>
              </w:rPr>
            </w:pPr>
            <w:proofErr w:type="spellStart"/>
            <w:r w:rsidRPr="00225A77">
              <w:rPr>
                <w:rStyle w:val="Strong"/>
              </w:rPr>
              <w:t>QEnergy</w:t>
            </w:r>
            <w:proofErr w:type="spellEnd"/>
            <w:r w:rsidRPr="00225A77">
              <w:rPr>
                <w:rStyle w:val="Strong"/>
              </w:rPr>
              <w:t xml:space="preserve"> </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25</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23</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17</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24</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40</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45449C" w:rsidRPr="00225A77" w:rsidRDefault="0045449C" w:rsidP="0045449C">
            <w:pPr>
              <w:rPr>
                <w:rStyle w:val="Strong"/>
              </w:rPr>
            </w:pPr>
            <w:r w:rsidRPr="00225A77">
              <w:rPr>
                <w:rStyle w:val="Strong"/>
              </w:rPr>
              <w:t xml:space="preserve">Red Energy </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1685</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1945</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347</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301</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474</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437</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vAlign w:val="bottom"/>
          </w:tcPr>
          <w:p w:rsidR="0045449C" w:rsidRPr="00225A77" w:rsidRDefault="0045449C" w:rsidP="0045449C">
            <w:pPr>
              <w:rPr>
                <w:rStyle w:val="Strong"/>
              </w:rPr>
            </w:pPr>
            <w:r w:rsidRPr="00225A77">
              <w:rPr>
                <w:rStyle w:val="Strong"/>
              </w:rPr>
              <w:t>Sanctuary Energy</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29</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29</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0</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12</w:t>
            </w:r>
          </w:p>
        </w:tc>
        <w:tc>
          <w:tcPr>
            <w:tcW w:w="1134"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21</w:t>
            </w:r>
          </w:p>
        </w:tc>
        <w:tc>
          <w:tcPr>
            <w:tcW w:w="1559" w:type="dxa"/>
            <w:tcBorders>
              <w:top w:val="single" w:sz="4" w:space="0" w:color="auto"/>
              <w:bottom w:val="single" w:sz="4" w:space="0" w:color="auto"/>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14</w:t>
            </w:r>
          </w:p>
        </w:tc>
      </w:tr>
      <w:tr w:rsidR="0045449C" w:rsidRPr="0045449C" w:rsidTr="0045449C">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BFBFBF" w:themeColor="background1" w:themeShade="BF"/>
            </w:tcBorders>
            <w:vAlign w:val="bottom"/>
          </w:tcPr>
          <w:p w:rsidR="0045449C" w:rsidRPr="00225A77" w:rsidRDefault="0045449C" w:rsidP="0045449C">
            <w:pPr>
              <w:rPr>
                <w:rStyle w:val="Strong"/>
              </w:rPr>
            </w:pPr>
            <w:r w:rsidRPr="00225A77">
              <w:rPr>
                <w:rStyle w:val="Strong"/>
              </w:rPr>
              <w:t>Simply Energy</w:t>
            </w:r>
          </w:p>
        </w:tc>
        <w:tc>
          <w:tcPr>
            <w:tcW w:w="1134" w:type="dxa"/>
            <w:tcBorders>
              <w:top w:val="single" w:sz="4" w:space="0" w:color="auto"/>
              <w:bottom w:val="single" w:sz="4" w:space="0" w:color="BFBFBF" w:themeColor="background1" w:themeShade="BF"/>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293</w:t>
            </w:r>
          </w:p>
        </w:tc>
        <w:tc>
          <w:tcPr>
            <w:tcW w:w="1134" w:type="dxa"/>
            <w:tcBorders>
              <w:top w:val="single" w:sz="4" w:space="0" w:color="auto"/>
              <w:bottom w:val="single" w:sz="4" w:space="0" w:color="BFBFBF" w:themeColor="background1" w:themeShade="BF"/>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1139</w:t>
            </w:r>
          </w:p>
        </w:tc>
        <w:tc>
          <w:tcPr>
            <w:tcW w:w="1134" w:type="dxa"/>
            <w:tcBorders>
              <w:top w:val="single" w:sz="4" w:space="0" w:color="auto"/>
              <w:bottom w:val="single" w:sz="4" w:space="0" w:color="BFBFBF" w:themeColor="background1" w:themeShade="BF"/>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49</w:t>
            </w:r>
          </w:p>
        </w:tc>
        <w:tc>
          <w:tcPr>
            <w:tcW w:w="1134" w:type="dxa"/>
            <w:tcBorders>
              <w:top w:val="single" w:sz="4" w:space="0" w:color="auto"/>
              <w:bottom w:val="single" w:sz="4" w:space="0" w:color="BFBFBF" w:themeColor="background1" w:themeShade="BF"/>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676</w:t>
            </w:r>
          </w:p>
        </w:tc>
        <w:tc>
          <w:tcPr>
            <w:tcW w:w="1134" w:type="dxa"/>
            <w:tcBorders>
              <w:top w:val="single" w:sz="4" w:space="0" w:color="auto"/>
              <w:bottom w:val="single" w:sz="4" w:space="0" w:color="BFBFBF" w:themeColor="background1" w:themeShade="BF"/>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36</w:t>
            </w:r>
          </w:p>
        </w:tc>
        <w:tc>
          <w:tcPr>
            <w:tcW w:w="1559" w:type="dxa"/>
            <w:tcBorders>
              <w:top w:val="single" w:sz="4" w:space="0" w:color="auto"/>
              <w:bottom w:val="single" w:sz="4" w:space="0" w:color="BFBFBF" w:themeColor="background1" w:themeShade="BF"/>
            </w:tcBorders>
          </w:tcPr>
          <w:p w:rsidR="0045449C" w:rsidRPr="0045449C" w:rsidRDefault="0045449C" w:rsidP="0045449C">
            <w:pPr>
              <w:cnfStyle w:val="000000000000" w:firstRow="0" w:lastRow="0" w:firstColumn="0" w:lastColumn="0" w:oddVBand="0" w:evenVBand="0" w:oddHBand="0" w:evenHBand="0" w:firstRowFirstColumn="0" w:firstRowLastColumn="0" w:lastRowFirstColumn="0" w:lastRowLastColumn="0"/>
            </w:pPr>
            <w:r w:rsidRPr="0045449C">
              <w:t>1461</w:t>
            </w:r>
          </w:p>
        </w:tc>
      </w:tr>
    </w:tbl>
    <w:p w:rsidR="00821BFF" w:rsidRPr="00821BFF" w:rsidRDefault="00821BFF" w:rsidP="00821BFF">
      <w:pPr>
        <w:pStyle w:val="Tabletitle"/>
      </w:pPr>
      <w:r w:rsidRPr="00821BFF">
        <w:t>Table A.</w:t>
      </w:r>
      <w:r>
        <w:t>8</w:t>
      </w:r>
      <w:r w:rsidRPr="00821BFF">
        <w:t xml:space="preserve">: </w:t>
      </w:r>
      <w:r>
        <w:t>Gas</w:t>
      </w:r>
      <w:r w:rsidRPr="00821BFF">
        <w:t xml:space="preserve"> customers - payment plans, hardship programs and disconnections for non-payment</w:t>
      </w:r>
    </w:p>
    <w:tbl>
      <w:tblPr>
        <w:tblStyle w:val="TableGrid"/>
        <w:tblW w:w="9322" w:type="dxa"/>
        <w:tblLayout w:type="fixed"/>
        <w:tblLook w:val="04A0" w:firstRow="1" w:lastRow="0" w:firstColumn="1" w:lastColumn="0" w:noHBand="0" w:noVBand="1"/>
      </w:tblPr>
      <w:tblGrid>
        <w:gridCol w:w="2093"/>
        <w:gridCol w:w="1134"/>
        <w:gridCol w:w="1134"/>
        <w:gridCol w:w="1134"/>
        <w:gridCol w:w="1134"/>
        <w:gridCol w:w="1134"/>
        <w:gridCol w:w="1559"/>
      </w:tblGrid>
      <w:tr w:rsidR="00821BFF" w:rsidRPr="00821BFF" w:rsidTr="00821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bottom w:val="nil"/>
            </w:tcBorders>
            <w:shd w:val="clear" w:color="auto" w:fill="F2F2F2" w:themeFill="background1" w:themeFillShade="F2"/>
          </w:tcPr>
          <w:p w:rsidR="00821BFF" w:rsidRPr="00821BFF" w:rsidRDefault="00821BFF" w:rsidP="00821BFF">
            <w:r w:rsidRPr="00821BFF">
              <w:t>Retailer</w:t>
            </w:r>
          </w:p>
        </w:tc>
        <w:tc>
          <w:tcPr>
            <w:tcW w:w="2268" w:type="dxa"/>
            <w:gridSpan w:val="2"/>
            <w:tcBorders>
              <w:bottom w:val="nil"/>
            </w:tcBorders>
            <w:shd w:val="clear" w:color="auto" w:fill="F2F2F2" w:themeFill="background1" w:themeFillShade="F2"/>
          </w:tcPr>
          <w:p w:rsidR="00821BFF" w:rsidRPr="00821BFF" w:rsidRDefault="00821BFF" w:rsidP="00821BFF">
            <w:pPr>
              <w:cnfStyle w:val="100000000000" w:firstRow="1" w:lastRow="0" w:firstColumn="0" w:lastColumn="0" w:oddVBand="0" w:evenVBand="0" w:oddHBand="0" w:evenHBand="0" w:firstRowFirstColumn="0" w:firstRowLastColumn="0" w:lastRowFirstColumn="0" w:lastRowLastColumn="0"/>
            </w:pPr>
            <w:r w:rsidRPr="00821BFF">
              <w:t>Customers on payment plans</w:t>
            </w:r>
          </w:p>
        </w:tc>
        <w:tc>
          <w:tcPr>
            <w:tcW w:w="2268" w:type="dxa"/>
            <w:gridSpan w:val="2"/>
            <w:tcBorders>
              <w:bottom w:val="nil"/>
            </w:tcBorders>
            <w:shd w:val="clear" w:color="auto" w:fill="F2F2F2" w:themeFill="background1" w:themeFillShade="F2"/>
          </w:tcPr>
          <w:p w:rsidR="00821BFF" w:rsidRPr="00821BFF" w:rsidRDefault="00821BFF" w:rsidP="00821BFF">
            <w:pPr>
              <w:cnfStyle w:val="100000000000" w:firstRow="1" w:lastRow="0" w:firstColumn="0" w:lastColumn="0" w:oddVBand="0" w:evenVBand="0" w:oddHBand="0" w:evenHBand="0" w:firstRowFirstColumn="0" w:firstRowLastColumn="0" w:lastRowFirstColumn="0" w:lastRowLastColumn="0"/>
            </w:pPr>
            <w:r w:rsidRPr="00821BFF">
              <w:t>Customers on hardship programs</w:t>
            </w:r>
          </w:p>
        </w:tc>
        <w:tc>
          <w:tcPr>
            <w:tcW w:w="2693" w:type="dxa"/>
            <w:gridSpan w:val="2"/>
            <w:tcBorders>
              <w:bottom w:val="nil"/>
            </w:tcBorders>
            <w:shd w:val="clear" w:color="auto" w:fill="F2F2F2" w:themeFill="background1" w:themeFillShade="F2"/>
          </w:tcPr>
          <w:p w:rsidR="00821BFF" w:rsidRPr="00821BFF" w:rsidRDefault="00821BFF" w:rsidP="00821BFF">
            <w:pPr>
              <w:cnfStyle w:val="100000000000" w:firstRow="1" w:lastRow="0" w:firstColumn="0" w:lastColumn="0" w:oddVBand="0" w:evenVBand="0" w:oddHBand="0" w:evenHBand="0" w:firstRowFirstColumn="0" w:firstRowLastColumn="0" w:lastRowFirstColumn="0" w:lastRowLastColumn="0"/>
            </w:pPr>
            <w:r w:rsidRPr="00821BFF">
              <w:t>Customers disconnected for non-payment</w:t>
            </w:r>
          </w:p>
        </w:tc>
      </w:tr>
      <w:tr w:rsidR="00821BFF" w:rsidRPr="00821BFF" w:rsidTr="00821BFF">
        <w:tc>
          <w:tcPr>
            <w:cnfStyle w:val="001000000000" w:firstRow="0" w:lastRow="0" w:firstColumn="1" w:lastColumn="0" w:oddVBand="0" w:evenVBand="0" w:oddHBand="0" w:evenHBand="0" w:firstRowFirstColumn="0" w:firstRowLastColumn="0" w:lastRowFirstColumn="0" w:lastRowLastColumn="0"/>
            <w:tcW w:w="2093" w:type="dxa"/>
            <w:tcBorders>
              <w:top w:val="nil"/>
              <w:bottom w:val="single" w:sz="4" w:space="0" w:color="auto"/>
            </w:tcBorders>
            <w:shd w:val="clear" w:color="auto" w:fill="F2F2F2" w:themeFill="background1" w:themeFillShade="F2"/>
          </w:tcPr>
          <w:p w:rsidR="00821BFF" w:rsidRPr="00821BFF" w:rsidRDefault="00821BFF" w:rsidP="00821BFF"/>
        </w:tc>
        <w:tc>
          <w:tcPr>
            <w:tcW w:w="1134" w:type="dxa"/>
            <w:tcBorders>
              <w:top w:val="nil"/>
              <w:bottom w:val="single" w:sz="4" w:space="0" w:color="auto"/>
            </w:tcBorders>
            <w:shd w:val="clear" w:color="auto" w:fill="F2F2F2" w:themeFill="background1" w:themeFillShade="F2"/>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June 2014</w:t>
            </w:r>
          </w:p>
        </w:tc>
        <w:tc>
          <w:tcPr>
            <w:tcW w:w="1134" w:type="dxa"/>
            <w:tcBorders>
              <w:top w:val="nil"/>
              <w:bottom w:val="single" w:sz="4" w:space="0" w:color="auto"/>
            </w:tcBorders>
            <w:shd w:val="clear" w:color="auto" w:fill="F2F2F2" w:themeFill="background1" w:themeFillShade="F2"/>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June 2015</w:t>
            </w:r>
          </w:p>
        </w:tc>
        <w:tc>
          <w:tcPr>
            <w:tcW w:w="1134" w:type="dxa"/>
            <w:tcBorders>
              <w:top w:val="nil"/>
              <w:bottom w:val="single" w:sz="4" w:space="0" w:color="auto"/>
            </w:tcBorders>
            <w:shd w:val="clear" w:color="auto" w:fill="F2F2F2" w:themeFill="background1" w:themeFillShade="F2"/>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June 2014</w:t>
            </w:r>
          </w:p>
        </w:tc>
        <w:tc>
          <w:tcPr>
            <w:tcW w:w="1134" w:type="dxa"/>
            <w:tcBorders>
              <w:top w:val="nil"/>
              <w:bottom w:val="single" w:sz="4" w:space="0" w:color="auto"/>
            </w:tcBorders>
            <w:shd w:val="clear" w:color="auto" w:fill="F2F2F2" w:themeFill="background1" w:themeFillShade="F2"/>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June 2015</w:t>
            </w:r>
          </w:p>
        </w:tc>
        <w:tc>
          <w:tcPr>
            <w:tcW w:w="1134" w:type="dxa"/>
            <w:tcBorders>
              <w:top w:val="nil"/>
              <w:bottom w:val="single" w:sz="4" w:space="0" w:color="auto"/>
            </w:tcBorders>
            <w:shd w:val="clear" w:color="auto" w:fill="F2F2F2" w:themeFill="background1" w:themeFillShade="F2"/>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2013-14</w:t>
            </w:r>
          </w:p>
        </w:tc>
        <w:tc>
          <w:tcPr>
            <w:tcW w:w="1559" w:type="dxa"/>
            <w:tcBorders>
              <w:top w:val="nil"/>
              <w:bottom w:val="single" w:sz="4" w:space="0" w:color="auto"/>
            </w:tcBorders>
            <w:shd w:val="clear" w:color="auto" w:fill="F2F2F2" w:themeFill="background1" w:themeFillShade="F2"/>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2014-15</w:t>
            </w:r>
          </w:p>
        </w:tc>
      </w:tr>
      <w:tr w:rsidR="00821BFF" w:rsidRPr="00821BFF" w:rsidTr="00821BFF">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821BFF" w:rsidRPr="00821BFF" w:rsidRDefault="00821BFF" w:rsidP="00821BFF">
            <w:r w:rsidRPr="00821BFF">
              <w:t>South Australia</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p>
        </w:tc>
      </w:tr>
      <w:tr w:rsidR="00821BFF" w:rsidRPr="00821BFF" w:rsidTr="00821BFF">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821BFF" w:rsidRPr="00225A77" w:rsidRDefault="00821BFF" w:rsidP="00821BFF">
            <w:pPr>
              <w:rPr>
                <w:rStyle w:val="Strong"/>
              </w:rPr>
            </w:pPr>
            <w:r w:rsidRPr="00225A77">
              <w:rPr>
                <w:rStyle w:val="Strong"/>
              </w:rPr>
              <w:t>AGL</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391</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376</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1340</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1723</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1198</w:t>
            </w:r>
          </w:p>
        </w:tc>
        <w:tc>
          <w:tcPr>
            <w:tcW w:w="1559"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1623</w:t>
            </w:r>
          </w:p>
        </w:tc>
      </w:tr>
      <w:tr w:rsidR="00821BFF" w:rsidRPr="00821BFF" w:rsidTr="00821BFF">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821BFF" w:rsidRPr="00225A77" w:rsidRDefault="00821BFF" w:rsidP="00821BFF">
            <w:pPr>
              <w:rPr>
                <w:rStyle w:val="Strong"/>
              </w:rPr>
            </w:pPr>
            <w:proofErr w:type="spellStart"/>
            <w:r w:rsidRPr="00225A77">
              <w:rPr>
                <w:rStyle w:val="Strong"/>
              </w:rPr>
              <w:t>Alinta</w:t>
            </w:r>
            <w:proofErr w:type="spellEnd"/>
            <w:r w:rsidRPr="00225A77">
              <w:rPr>
                <w:rStyle w:val="Strong"/>
              </w:rPr>
              <w:t xml:space="preserve"> Energy</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308</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345</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8</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153</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215</w:t>
            </w:r>
          </w:p>
        </w:tc>
        <w:tc>
          <w:tcPr>
            <w:tcW w:w="1559"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244</w:t>
            </w:r>
          </w:p>
        </w:tc>
      </w:tr>
      <w:tr w:rsidR="00821BFF" w:rsidRPr="00821BFF" w:rsidTr="00821BFF">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821BFF" w:rsidRPr="00225A77" w:rsidRDefault="00821BFF" w:rsidP="00821BFF">
            <w:pPr>
              <w:rPr>
                <w:rStyle w:val="Strong"/>
              </w:rPr>
            </w:pPr>
            <w:proofErr w:type="spellStart"/>
            <w:r w:rsidRPr="00225A77">
              <w:rPr>
                <w:rStyle w:val="Strong"/>
              </w:rPr>
              <w:t>EnergyAustralia</w:t>
            </w:r>
            <w:proofErr w:type="spellEnd"/>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3941</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4357</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233</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609</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42</w:t>
            </w:r>
          </w:p>
        </w:tc>
        <w:tc>
          <w:tcPr>
            <w:tcW w:w="1559"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228</w:t>
            </w:r>
          </w:p>
        </w:tc>
      </w:tr>
      <w:tr w:rsidR="00821BFF" w:rsidRPr="00821BFF" w:rsidTr="00821BFF">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821BFF" w:rsidRPr="00225A77" w:rsidRDefault="00821BFF" w:rsidP="00821BFF">
            <w:pPr>
              <w:rPr>
                <w:rStyle w:val="Strong"/>
              </w:rPr>
            </w:pPr>
            <w:r w:rsidRPr="00225A77">
              <w:rPr>
                <w:rStyle w:val="Strong"/>
              </w:rPr>
              <w:t>Origin Energy</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3999</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1075</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769</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931</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1223</w:t>
            </w:r>
          </w:p>
        </w:tc>
        <w:tc>
          <w:tcPr>
            <w:tcW w:w="1559"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1597</w:t>
            </w:r>
          </w:p>
        </w:tc>
      </w:tr>
      <w:tr w:rsidR="00821BFF" w:rsidRPr="00821BFF" w:rsidTr="00821BFF">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821BFF" w:rsidRPr="00225A77" w:rsidRDefault="00821BFF" w:rsidP="00821BFF">
            <w:pPr>
              <w:rPr>
                <w:rStyle w:val="Strong"/>
              </w:rPr>
            </w:pPr>
            <w:r w:rsidRPr="00225A77">
              <w:rPr>
                <w:rStyle w:val="Strong"/>
              </w:rPr>
              <w:t>Simply Energy</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678</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737</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451</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675</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740</w:t>
            </w:r>
          </w:p>
        </w:tc>
        <w:tc>
          <w:tcPr>
            <w:tcW w:w="1559"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883</w:t>
            </w:r>
          </w:p>
        </w:tc>
      </w:tr>
      <w:tr w:rsidR="00821BFF" w:rsidRPr="00821BFF" w:rsidTr="00821BFF">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821BFF" w:rsidRPr="00821BFF" w:rsidRDefault="00821BFF" w:rsidP="00821BFF">
            <w:r w:rsidRPr="00821BFF">
              <w:t>ACT</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p>
        </w:tc>
      </w:tr>
      <w:tr w:rsidR="00821BFF" w:rsidRPr="00821BFF" w:rsidTr="00821BFF">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821BFF" w:rsidRPr="00225A77" w:rsidRDefault="00821BFF" w:rsidP="00821BFF">
            <w:pPr>
              <w:rPr>
                <w:rStyle w:val="Strong"/>
              </w:rPr>
            </w:pPr>
            <w:proofErr w:type="spellStart"/>
            <w:r w:rsidRPr="00225A77">
              <w:rPr>
                <w:rStyle w:val="Strong"/>
              </w:rPr>
              <w:t>ActewAGL</w:t>
            </w:r>
            <w:proofErr w:type="spellEnd"/>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131</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174</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449</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542</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981</w:t>
            </w:r>
          </w:p>
        </w:tc>
        <w:tc>
          <w:tcPr>
            <w:tcW w:w="1559"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1375</w:t>
            </w:r>
          </w:p>
        </w:tc>
      </w:tr>
      <w:tr w:rsidR="00821BFF" w:rsidRPr="00821BFF" w:rsidTr="00821BFF">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821BFF" w:rsidRPr="00225A77" w:rsidRDefault="00821BFF" w:rsidP="00821BFF">
            <w:pPr>
              <w:rPr>
                <w:rStyle w:val="Strong"/>
              </w:rPr>
            </w:pPr>
            <w:proofErr w:type="spellStart"/>
            <w:r w:rsidRPr="00225A77">
              <w:rPr>
                <w:rStyle w:val="Strong"/>
              </w:rPr>
              <w:t>EnergyAustralia</w:t>
            </w:r>
            <w:proofErr w:type="spellEnd"/>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169</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561</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24</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45</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85</w:t>
            </w:r>
          </w:p>
        </w:tc>
        <w:tc>
          <w:tcPr>
            <w:tcW w:w="1559"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29</w:t>
            </w:r>
          </w:p>
        </w:tc>
      </w:tr>
      <w:tr w:rsidR="00821BFF" w:rsidRPr="00821BFF" w:rsidTr="00821BFF">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821BFF" w:rsidRPr="00225A77" w:rsidRDefault="00821BFF" w:rsidP="00821BFF">
            <w:pPr>
              <w:rPr>
                <w:rStyle w:val="Strong"/>
              </w:rPr>
            </w:pPr>
            <w:r w:rsidRPr="00225A77">
              <w:rPr>
                <w:rStyle w:val="Strong"/>
              </w:rPr>
              <w:t>Origin Energy</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0</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1</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0</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0</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0</w:t>
            </w:r>
          </w:p>
        </w:tc>
        <w:tc>
          <w:tcPr>
            <w:tcW w:w="1559"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0</w:t>
            </w:r>
          </w:p>
        </w:tc>
      </w:tr>
      <w:tr w:rsidR="00821BFF" w:rsidRPr="00821BFF" w:rsidTr="00821BFF">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821BFF" w:rsidRPr="00821BFF" w:rsidRDefault="00821BFF" w:rsidP="00821BFF">
            <w:r w:rsidRPr="00821BFF">
              <w:t>New South Wales</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p>
        </w:tc>
      </w:tr>
      <w:tr w:rsidR="00821BFF" w:rsidRPr="00821BFF" w:rsidTr="00821BFF">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821BFF" w:rsidRPr="00225A77" w:rsidRDefault="00821BFF" w:rsidP="00821BFF">
            <w:pPr>
              <w:rPr>
                <w:rStyle w:val="Strong"/>
              </w:rPr>
            </w:pPr>
            <w:proofErr w:type="spellStart"/>
            <w:r w:rsidRPr="00225A77">
              <w:rPr>
                <w:rStyle w:val="Strong"/>
              </w:rPr>
              <w:t>ActewAGL</w:t>
            </w:r>
            <w:proofErr w:type="spellEnd"/>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42</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46</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129</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172</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265</w:t>
            </w:r>
          </w:p>
        </w:tc>
        <w:tc>
          <w:tcPr>
            <w:tcW w:w="1559"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544</w:t>
            </w:r>
          </w:p>
        </w:tc>
      </w:tr>
      <w:tr w:rsidR="00821BFF" w:rsidRPr="00821BFF" w:rsidTr="00821BFF">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821BFF" w:rsidRPr="00225A77" w:rsidRDefault="00821BFF" w:rsidP="00821BFF">
            <w:pPr>
              <w:rPr>
                <w:rStyle w:val="Strong"/>
              </w:rPr>
            </w:pPr>
            <w:r w:rsidRPr="00225A77">
              <w:rPr>
                <w:rStyle w:val="Strong"/>
              </w:rPr>
              <w:t>AGL</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1168</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905</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1996</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2858</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3465</w:t>
            </w:r>
          </w:p>
        </w:tc>
        <w:tc>
          <w:tcPr>
            <w:tcW w:w="1559"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4771</w:t>
            </w:r>
          </w:p>
        </w:tc>
      </w:tr>
      <w:tr w:rsidR="00821BFF" w:rsidRPr="00821BFF" w:rsidTr="00821BFF">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821BFF" w:rsidRPr="00225A77" w:rsidRDefault="00821BFF" w:rsidP="00821BFF">
            <w:pPr>
              <w:rPr>
                <w:rStyle w:val="Strong"/>
              </w:rPr>
            </w:pPr>
            <w:proofErr w:type="spellStart"/>
            <w:r w:rsidRPr="00225A77">
              <w:rPr>
                <w:rStyle w:val="Strong"/>
              </w:rPr>
              <w:t>CovaU</w:t>
            </w:r>
            <w:proofErr w:type="spellEnd"/>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0</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5</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0</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0</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p>
        </w:tc>
      </w:tr>
      <w:tr w:rsidR="00821BFF" w:rsidRPr="00821BFF" w:rsidTr="00821BFF">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821BFF" w:rsidRPr="00225A77" w:rsidRDefault="00821BFF" w:rsidP="00821BFF">
            <w:pPr>
              <w:rPr>
                <w:rStyle w:val="Strong"/>
              </w:rPr>
            </w:pPr>
            <w:proofErr w:type="spellStart"/>
            <w:r w:rsidRPr="00225A77">
              <w:rPr>
                <w:rStyle w:val="Strong"/>
              </w:rPr>
              <w:t>EnergyAustralia</w:t>
            </w:r>
            <w:proofErr w:type="spellEnd"/>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3976</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14022</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945</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443</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379</w:t>
            </w:r>
          </w:p>
        </w:tc>
        <w:tc>
          <w:tcPr>
            <w:tcW w:w="1559"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395</w:t>
            </w:r>
          </w:p>
        </w:tc>
      </w:tr>
      <w:tr w:rsidR="00821BFF" w:rsidRPr="00821BFF" w:rsidTr="00821BFF">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rsidR="00821BFF" w:rsidRPr="00225A77" w:rsidRDefault="00821BFF" w:rsidP="00821BFF">
            <w:pPr>
              <w:rPr>
                <w:rStyle w:val="Strong"/>
              </w:rPr>
            </w:pPr>
            <w:proofErr w:type="spellStart"/>
            <w:r w:rsidRPr="00225A77">
              <w:rPr>
                <w:rStyle w:val="Strong"/>
              </w:rPr>
              <w:t>Lumo</w:t>
            </w:r>
            <w:proofErr w:type="spellEnd"/>
            <w:r w:rsidRPr="00225A77">
              <w:rPr>
                <w:rStyle w:val="Strong"/>
              </w:rPr>
              <w:t xml:space="preserve"> Energy</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371</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530</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48</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48</w:t>
            </w:r>
          </w:p>
        </w:tc>
        <w:tc>
          <w:tcPr>
            <w:tcW w:w="1134"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92</w:t>
            </w:r>
          </w:p>
        </w:tc>
        <w:tc>
          <w:tcPr>
            <w:tcW w:w="1559" w:type="dxa"/>
            <w:tcBorders>
              <w:top w:val="single" w:sz="4" w:space="0" w:color="auto"/>
              <w:bottom w:val="single" w:sz="4" w:space="0" w:color="auto"/>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17</w:t>
            </w:r>
          </w:p>
        </w:tc>
      </w:tr>
      <w:tr w:rsidR="00821BFF" w:rsidRPr="00821BFF" w:rsidTr="00821BFF">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BFBFBF" w:themeColor="background1" w:themeShade="BF"/>
            </w:tcBorders>
          </w:tcPr>
          <w:p w:rsidR="00821BFF" w:rsidRPr="00225A77" w:rsidRDefault="00821BFF" w:rsidP="00821BFF">
            <w:pPr>
              <w:rPr>
                <w:rStyle w:val="Strong"/>
              </w:rPr>
            </w:pPr>
            <w:r w:rsidRPr="00225A77">
              <w:rPr>
                <w:rStyle w:val="Strong"/>
              </w:rPr>
              <w:t>Origin Energy</w:t>
            </w:r>
          </w:p>
        </w:tc>
        <w:tc>
          <w:tcPr>
            <w:tcW w:w="1134" w:type="dxa"/>
            <w:tcBorders>
              <w:top w:val="single" w:sz="4" w:space="0" w:color="auto"/>
              <w:bottom w:val="single" w:sz="4" w:space="0" w:color="BFBFBF" w:themeColor="background1" w:themeShade="BF"/>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5027</w:t>
            </w:r>
          </w:p>
        </w:tc>
        <w:tc>
          <w:tcPr>
            <w:tcW w:w="1134" w:type="dxa"/>
            <w:tcBorders>
              <w:top w:val="single" w:sz="4" w:space="0" w:color="auto"/>
              <w:bottom w:val="single" w:sz="4" w:space="0" w:color="BFBFBF" w:themeColor="background1" w:themeShade="BF"/>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2377</w:t>
            </w:r>
          </w:p>
        </w:tc>
        <w:tc>
          <w:tcPr>
            <w:tcW w:w="1134" w:type="dxa"/>
            <w:tcBorders>
              <w:top w:val="single" w:sz="4" w:space="0" w:color="auto"/>
              <w:bottom w:val="single" w:sz="4" w:space="0" w:color="BFBFBF" w:themeColor="background1" w:themeShade="BF"/>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766</w:t>
            </w:r>
          </w:p>
        </w:tc>
        <w:tc>
          <w:tcPr>
            <w:tcW w:w="1134" w:type="dxa"/>
            <w:tcBorders>
              <w:top w:val="single" w:sz="4" w:space="0" w:color="auto"/>
              <w:bottom w:val="single" w:sz="4" w:space="0" w:color="BFBFBF" w:themeColor="background1" w:themeShade="BF"/>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854</w:t>
            </w:r>
          </w:p>
        </w:tc>
        <w:tc>
          <w:tcPr>
            <w:tcW w:w="1134" w:type="dxa"/>
            <w:tcBorders>
              <w:top w:val="single" w:sz="4" w:space="0" w:color="auto"/>
              <w:bottom w:val="single" w:sz="4" w:space="0" w:color="BFBFBF" w:themeColor="background1" w:themeShade="BF"/>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396</w:t>
            </w:r>
          </w:p>
        </w:tc>
        <w:tc>
          <w:tcPr>
            <w:tcW w:w="1559" w:type="dxa"/>
            <w:tcBorders>
              <w:top w:val="single" w:sz="4" w:space="0" w:color="auto"/>
              <w:bottom w:val="single" w:sz="4" w:space="0" w:color="BFBFBF" w:themeColor="background1" w:themeShade="BF"/>
            </w:tcBorders>
          </w:tcPr>
          <w:p w:rsidR="00821BFF" w:rsidRPr="00821BFF" w:rsidRDefault="00821BFF" w:rsidP="00821BFF">
            <w:pPr>
              <w:cnfStyle w:val="000000000000" w:firstRow="0" w:lastRow="0" w:firstColumn="0" w:lastColumn="0" w:oddVBand="0" w:evenVBand="0" w:oddHBand="0" w:evenHBand="0" w:firstRowFirstColumn="0" w:firstRowLastColumn="0" w:lastRowFirstColumn="0" w:lastRowLastColumn="0"/>
            </w:pPr>
            <w:r w:rsidRPr="00821BFF">
              <w:t>1828</w:t>
            </w:r>
          </w:p>
        </w:tc>
      </w:tr>
    </w:tbl>
    <w:p w:rsidR="002F4D97" w:rsidRPr="002F4D97" w:rsidRDefault="002F4D97" w:rsidP="00DD0F4D">
      <w:pPr>
        <w:pStyle w:val="Heading2"/>
        <w:numPr>
          <w:ilvl w:val="0"/>
          <w:numId w:val="0"/>
        </w:numPr>
        <w:ind w:left="1002" w:hanging="576"/>
      </w:pPr>
      <w:r w:rsidRPr="002F4D97">
        <w:lastRenderedPageBreak/>
        <w:t xml:space="preserve">Appendix </w:t>
      </w:r>
      <w:r w:rsidR="00821BFF">
        <w:t>5</w:t>
      </w:r>
      <w:r w:rsidRPr="002F4D97">
        <w:t xml:space="preserve">: </w:t>
      </w:r>
      <w:r w:rsidRPr="002F4D97">
        <w:tab/>
        <w:t>Benchmark low income household, annual electricity and gas bills and proportion</w:t>
      </w:r>
      <w:bookmarkEnd w:id="81"/>
    </w:p>
    <w:tbl>
      <w:tblPr>
        <w:tblStyle w:val="TableGrid"/>
        <w:tblW w:w="9464" w:type="dxa"/>
        <w:tblLayout w:type="fixed"/>
        <w:tblLook w:val="04A0" w:firstRow="1" w:lastRow="0" w:firstColumn="1" w:lastColumn="0" w:noHBand="0" w:noVBand="1"/>
      </w:tblPr>
      <w:tblGrid>
        <w:gridCol w:w="817"/>
        <w:gridCol w:w="2126"/>
        <w:gridCol w:w="1276"/>
        <w:gridCol w:w="1276"/>
        <w:gridCol w:w="1276"/>
        <w:gridCol w:w="708"/>
        <w:gridCol w:w="709"/>
        <w:gridCol w:w="1276"/>
      </w:tblGrid>
      <w:tr w:rsidR="00EA1777" w:rsidRPr="00EA1777" w:rsidTr="00C75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shd w:val="clear" w:color="auto" w:fill="F2F2F2" w:themeFill="background1" w:themeFillShade="F2"/>
          </w:tcPr>
          <w:p w:rsidR="00EA1777" w:rsidRPr="00EA1777" w:rsidRDefault="00EA1777" w:rsidP="00EA1777">
            <w:r w:rsidRPr="00EA1777">
              <w:t>Jurisdiction</w:t>
            </w:r>
          </w:p>
        </w:tc>
        <w:tc>
          <w:tcPr>
            <w:tcW w:w="1276" w:type="dxa"/>
            <w:shd w:val="clear" w:color="auto" w:fill="F2F2F2" w:themeFill="background1" w:themeFillShade="F2"/>
          </w:tcPr>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Electricity</w:t>
            </w:r>
          </w:p>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2014</w:t>
            </w:r>
          </w:p>
        </w:tc>
        <w:tc>
          <w:tcPr>
            <w:tcW w:w="1276" w:type="dxa"/>
            <w:shd w:val="clear" w:color="auto" w:fill="F2F2F2" w:themeFill="background1" w:themeFillShade="F2"/>
          </w:tcPr>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Electricity</w:t>
            </w:r>
          </w:p>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2015</w:t>
            </w:r>
          </w:p>
        </w:tc>
        <w:tc>
          <w:tcPr>
            <w:tcW w:w="1276" w:type="dxa"/>
            <w:shd w:val="clear" w:color="auto" w:fill="F2F2F2" w:themeFill="background1" w:themeFillShade="F2"/>
          </w:tcPr>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Electricity</w:t>
            </w:r>
          </w:p>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 change</w:t>
            </w:r>
          </w:p>
        </w:tc>
        <w:tc>
          <w:tcPr>
            <w:tcW w:w="708" w:type="dxa"/>
            <w:shd w:val="clear" w:color="auto" w:fill="F2F2F2" w:themeFill="background1" w:themeFillShade="F2"/>
          </w:tcPr>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 xml:space="preserve">Gas </w:t>
            </w:r>
          </w:p>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2014</w:t>
            </w:r>
          </w:p>
        </w:tc>
        <w:tc>
          <w:tcPr>
            <w:tcW w:w="709" w:type="dxa"/>
            <w:shd w:val="clear" w:color="auto" w:fill="F2F2F2" w:themeFill="background1" w:themeFillShade="F2"/>
          </w:tcPr>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Gas</w:t>
            </w:r>
          </w:p>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2015</w:t>
            </w:r>
          </w:p>
        </w:tc>
        <w:tc>
          <w:tcPr>
            <w:tcW w:w="1276" w:type="dxa"/>
            <w:shd w:val="clear" w:color="auto" w:fill="F2F2F2" w:themeFill="background1" w:themeFillShade="F2"/>
          </w:tcPr>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Gas</w:t>
            </w:r>
          </w:p>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 change</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BFBFBF" w:themeColor="background1" w:themeShade="BF"/>
              <w:bottom w:val="single" w:sz="4" w:space="0" w:color="auto"/>
            </w:tcBorders>
          </w:tcPr>
          <w:p w:rsidR="00EA1777" w:rsidRPr="00EA1777" w:rsidRDefault="00EA1777" w:rsidP="00EA1777">
            <w:r w:rsidRPr="00EA1777">
              <w:t>Qld</w:t>
            </w:r>
          </w:p>
        </w:tc>
        <w:tc>
          <w:tcPr>
            <w:tcW w:w="2126" w:type="dxa"/>
            <w:tcBorders>
              <w:top w:val="single" w:sz="4" w:space="0" w:color="BFBFBF" w:themeColor="background1" w:themeShade="BF"/>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Annual bill ($)</w:t>
            </w:r>
          </w:p>
        </w:tc>
        <w:tc>
          <w:tcPr>
            <w:tcW w:w="1276" w:type="dxa"/>
            <w:tcBorders>
              <w:top w:val="single" w:sz="4" w:space="0" w:color="BFBFBF" w:themeColor="background1" w:themeShade="BF"/>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1335</w:t>
            </w:r>
          </w:p>
        </w:tc>
        <w:tc>
          <w:tcPr>
            <w:tcW w:w="1276" w:type="dxa"/>
            <w:tcBorders>
              <w:top w:val="single" w:sz="4" w:space="0" w:color="BFBFBF" w:themeColor="background1" w:themeShade="BF"/>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1387</w:t>
            </w:r>
          </w:p>
        </w:tc>
        <w:tc>
          <w:tcPr>
            <w:tcW w:w="1276" w:type="dxa"/>
            <w:tcBorders>
              <w:top w:val="single" w:sz="4" w:space="0" w:color="BFBFBF" w:themeColor="background1" w:themeShade="BF"/>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3.9</w:t>
            </w:r>
          </w:p>
        </w:tc>
        <w:tc>
          <w:tcPr>
            <w:tcW w:w="708" w:type="dxa"/>
            <w:tcBorders>
              <w:top w:val="single" w:sz="4" w:space="0" w:color="BFBFBF" w:themeColor="background1" w:themeShade="BF"/>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702</w:t>
            </w:r>
          </w:p>
        </w:tc>
        <w:tc>
          <w:tcPr>
            <w:tcW w:w="709" w:type="dxa"/>
            <w:tcBorders>
              <w:top w:val="single" w:sz="4" w:space="0" w:color="BFBFBF" w:themeColor="background1" w:themeShade="BF"/>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709</w:t>
            </w:r>
          </w:p>
        </w:tc>
        <w:tc>
          <w:tcPr>
            <w:tcW w:w="1276" w:type="dxa"/>
            <w:tcBorders>
              <w:top w:val="single" w:sz="4" w:space="0" w:color="BFBFBF" w:themeColor="background1" w:themeShade="BF"/>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1.1</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Qld</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Percentage of income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5.5</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5.6</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2.9</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2.9</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NSW</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Annual bill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1468</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1386</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-5.5</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863</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923</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6.9</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NSW</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Percentage of income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5.7</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5.3</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3.4</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3.5</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Vic</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Annual bill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1274</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1188</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-6.7</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1256</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1206</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-4.0</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Vic</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Percentage of income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5.2</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4.8</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5.1</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4.8</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SA</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Annual bill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1420</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1370</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-3.5</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996</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1008</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1.2</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SA</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Percentage of income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6.2</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5.9</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4.3</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4.3</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Tas</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Annual bill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2090</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1927</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-7.8</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Tas</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Percentage of income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9.2</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8.4</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ACT</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Annual bill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1413</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1200</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-15.1</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1618</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1532</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-5.3</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BFBFBF" w:themeColor="background1" w:themeShade="BF"/>
            </w:tcBorders>
          </w:tcPr>
          <w:p w:rsidR="00EA1777" w:rsidRPr="00EA1777" w:rsidRDefault="00EA1777" w:rsidP="00EA1777">
            <w:r w:rsidRPr="00EA1777">
              <w:t>ACT</w:t>
            </w:r>
          </w:p>
        </w:tc>
        <w:tc>
          <w:tcPr>
            <w:tcW w:w="2126" w:type="dxa"/>
            <w:tcBorders>
              <w:top w:val="single" w:sz="4" w:space="0" w:color="auto"/>
              <w:bottom w:val="single" w:sz="4" w:space="0" w:color="BFBFBF" w:themeColor="background1" w:themeShade="BF"/>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Percentage of income (%)</w:t>
            </w:r>
          </w:p>
        </w:tc>
        <w:tc>
          <w:tcPr>
            <w:tcW w:w="1276" w:type="dxa"/>
            <w:tcBorders>
              <w:top w:val="single" w:sz="4" w:space="0" w:color="auto"/>
              <w:bottom w:val="single" w:sz="4" w:space="0" w:color="BFBFBF" w:themeColor="background1" w:themeShade="BF"/>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4.3</w:t>
            </w:r>
          </w:p>
        </w:tc>
        <w:tc>
          <w:tcPr>
            <w:tcW w:w="1276" w:type="dxa"/>
            <w:tcBorders>
              <w:top w:val="single" w:sz="4" w:space="0" w:color="auto"/>
              <w:bottom w:val="single" w:sz="4" w:space="0" w:color="BFBFBF" w:themeColor="background1" w:themeShade="BF"/>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3.6</w:t>
            </w:r>
          </w:p>
        </w:tc>
        <w:tc>
          <w:tcPr>
            <w:tcW w:w="1276" w:type="dxa"/>
            <w:tcBorders>
              <w:top w:val="single" w:sz="4" w:space="0" w:color="auto"/>
              <w:bottom w:val="single" w:sz="4" w:space="0" w:color="BFBFBF" w:themeColor="background1" w:themeShade="BF"/>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8" w:type="dxa"/>
            <w:tcBorders>
              <w:top w:val="single" w:sz="4" w:space="0" w:color="auto"/>
              <w:bottom w:val="single" w:sz="4" w:space="0" w:color="BFBFBF" w:themeColor="background1" w:themeShade="BF"/>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4.9</w:t>
            </w:r>
          </w:p>
        </w:tc>
        <w:tc>
          <w:tcPr>
            <w:tcW w:w="709" w:type="dxa"/>
            <w:tcBorders>
              <w:top w:val="single" w:sz="4" w:space="0" w:color="auto"/>
              <w:bottom w:val="single" w:sz="4" w:space="0" w:color="BFBFBF" w:themeColor="background1" w:themeShade="BF"/>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4.6</w:t>
            </w:r>
          </w:p>
        </w:tc>
        <w:tc>
          <w:tcPr>
            <w:tcW w:w="1276" w:type="dxa"/>
            <w:tcBorders>
              <w:top w:val="single" w:sz="4" w:space="0" w:color="auto"/>
              <w:bottom w:val="single" w:sz="4" w:space="0" w:color="BFBFBF" w:themeColor="background1" w:themeShade="BF"/>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r>
    </w:tbl>
    <w:p w:rsidR="002F4D97" w:rsidRPr="002F4D97" w:rsidRDefault="002F4D97" w:rsidP="002F4D97">
      <w:r w:rsidRPr="002F4D97">
        <w:br w:type="page"/>
      </w:r>
    </w:p>
    <w:p w:rsidR="002F4D97" w:rsidRPr="002F4D97" w:rsidRDefault="002F4D97" w:rsidP="00DD0F4D">
      <w:pPr>
        <w:pStyle w:val="Heading2"/>
        <w:numPr>
          <w:ilvl w:val="0"/>
          <w:numId w:val="0"/>
        </w:numPr>
        <w:ind w:left="1002" w:hanging="576"/>
      </w:pPr>
      <w:bookmarkStart w:id="82" w:name="_Toc433026853"/>
      <w:r w:rsidRPr="002F4D97">
        <w:lastRenderedPageBreak/>
        <w:t xml:space="preserve">Appendix </w:t>
      </w:r>
      <w:r w:rsidR="00821BFF">
        <w:t>6</w:t>
      </w:r>
      <w:r w:rsidRPr="002F4D97">
        <w:t xml:space="preserve">: </w:t>
      </w:r>
      <w:r w:rsidRPr="002F4D97">
        <w:tab/>
        <w:t>Benchmark low income household, annual electricity and gas bills and proportion</w:t>
      </w:r>
      <w:bookmarkEnd w:id="82"/>
    </w:p>
    <w:tbl>
      <w:tblPr>
        <w:tblStyle w:val="TableGrid"/>
        <w:tblW w:w="9464" w:type="dxa"/>
        <w:tblLayout w:type="fixed"/>
        <w:tblLook w:val="04A0" w:firstRow="1" w:lastRow="0" w:firstColumn="1" w:lastColumn="0" w:noHBand="0" w:noVBand="1"/>
      </w:tblPr>
      <w:tblGrid>
        <w:gridCol w:w="817"/>
        <w:gridCol w:w="2126"/>
        <w:gridCol w:w="1276"/>
        <w:gridCol w:w="1276"/>
        <w:gridCol w:w="1276"/>
        <w:gridCol w:w="708"/>
        <w:gridCol w:w="709"/>
        <w:gridCol w:w="1276"/>
      </w:tblGrid>
      <w:tr w:rsidR="00EA1777" w:rsidRPr="00EA1777" w:rsidTr="00C75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shd w:val="clear" w:color="auto" w:fill="F2F2F2" w:themeFill="background1" w:themeFillShade="F2"/>
          </w:tcPr>
          <w:p w:rsidR="00EA1777" w:rsidRPr="00EA1777" w:rsidRDefault="00EA1777" w:rsidP="00EA1777">
            <w:r w:rsidRPr="00EA1777">
              <w:t>Jurisdiction</w:t>
            </w:r>
          </w:p>
        </w:tc>
        <w:tc>
          <w:tcPr>
            <w:tcW w:w="1276" w:type="dxa"/>
            <w:shd w:val="clear" w:color="auto" w:fill="F2F2F2" w:themeFill="background1" w:themeFillShade="F2"/>
          </w:tcPr>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Electricity</w:t>
            </w:r>
          </w:p>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2014</w:t>
            </w:r>
          </w:p>
        </w:tc>
        <w:tc>
          <w:tcPr>
            <w:tcW w:w="1276" w:type="dxa"/>
            <w:shd w:val="clear" w:color="auto" w:fill="F2F2F2" w:themeFill="background1" w:themeFillShade="F2"/>
          </w:tcPr>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Electricity</w:t>
            </w:r>
          </w:p>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2015</w:t>
            </w:r>
          </w:p>
        </w:tc>
        <w:tc>
          <w:tcPr>
            <w:tcW w:w="1276" w:type="dxa"/>
            <w:shd w:val="clear" w:color="auto" w:fill="F2F2F2" w:themeFill="background1" w:themeFillShade="F2"/>
          </w:tcPr>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Electricity</w:t>
            </w:r>
          </w:p>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 change</w:t>
            </w:r>
          </w:p>
        </w:tc>
        <w:tc>
          <w:tcPr>
            <w:tcW w:w="708" w:type="dxa"/>
            <w:shd w:val="clear" w:color="auto" w:fill="F2F2F2" w:themeFill="background1" w:themeFillShade="F2"/>
          </w:tcPr>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 xml:space="preserve">Gas </w:t>
            </w:r>
          </w:p>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2014</w:t>
            </w:r>
          </w:p>
        </w:tc>
        <w:tc>
          <w:tcPr>
            <w:tcW w:w="709" w:type="dxa"/>
            <w:shd w:val="clear" w:color="auto" w:fill="F2F2F2" w:themeFill="background1" w:themeFillShade="F2"/>
          </w:tcPr>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Gas</w:t>
            </w:r>
          </w:p>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2015</w:t>
            </w:r>
          </w:p>
        </w:tc>
        <w:tc>
          <w:tcPr>
            <w:tcW w:w="1276" w:type="dxa"/>
            <w:shd w:val="clear" w:color="auto" w:fill="F2F2F2" w:themeFill="background1" w:themeFillShade="F2"/>
          </w:tcPr>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Gas</w:t>
            </w:r>
          </w:p>
          <w:p w:rsidR="00EA1777" w:rsidRPr="00EA1777" w:rsidRDefault="00EA1777" w:rsidP="00EA1777">
            <w:pPr>
              <w:cnfStyle w:val="100000000000" w:firstRow="1" w:lastRow="0" w:firstColumn="0" w:lastColumn="0" w:oddVBand="0" w:evenVBand="0" w:oddHBand="0" w:evenHBand="0" w:firstRowFirstColumn="0" w:firstRowLastColumn="0" w:lastRowFirstColumn="0" w:lastRowLastColumn="0"/>
            </w:pPr>
            <w:r w:rsidRPr="00EA1777">
              <w:t>% change</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BFBFBF" w:themeColor="background1" w:themeShade="BF"/>
              <w:bottom w:val="single" w:sz="4" w:space="0" w:color="auto"/>
            </w:tcBorders>
          </w:tcPr>
          <w:p w:rsidR="00EA1777" w:rsidRPr="00EA1777" w:rsidRDefault="00EA1777" w:rsidP="00EA1777">
            <w:r w:rsidRPr="00EA1777">
              <w:t>Qld</w:t>
            </w:r>
          </w:p>
        </w:tc>
        <w:tc>
          <w:tcPr>
            <w:tcW w:w="2126" w:type="dxa"/>
            <w:tcBorders>
              <w:top w:val="single" w:sz="4" w:space="0" w:color="BFBFBF" w:themeColor="background1" w:themeShade="BF"/>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Annual bill ($)</w:t>
            </w:r>
          </w:p>
        </w:tc>
        <w:tc>
          <w:tcPr>
            <w:tcW w:w="1276" w:type="dxa"/>
            <w:tcBorders>
              <w:top w:val="single" w:sz="4" w:space="0" w:color="BFBFBF" w:themeColor="background1" w:themeShade="BF"/>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1805</w:t>
            </w:r>
          </w:p>
        </w:tc>
        <w:tc>
          <w:tcPr>
            <w:tcW w:w="1276" w:type="dxa"/>
            <w:tcBorders>
              <w:top w:val="single" w:sz="4" w:space="0" w:color="BFBFBF" w:themeColor="background1" w:themeShade="BF"/>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1829</w:t>
            </w:r>
          </w:p>
        </w:tc>
        <w:tc>
          <w:tcPr>
            <w:tcW w:w="1276" w:type="dxa"/>
            <w:tcBorders>
              <w:top w:val="single" w:sz="4" w:space="0" w:color="BFBFBF" w:themeColor="background1" w:themeShade="BF"/>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1.3</w:t>
            </w:r>
          </w:p>
        </w:tc>
        <w:tc>
          <w:tcPr>
            <w:tcW w:w="708" w:type="dxa"/>
            <w:tcBorders>
              <w:top w:val="single" w:sz="4" w:space="0" w:color="BFBFBF" w:themeColor="background1" w:themeShade="BF"/>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702</w:t>
            </w:r>
          </w:p>
        </w:tc>
        <w:tc>
          <w:tcPr>
            <w:tcW w:w="709" w:type="dxa"/>
            <w:tcBorders>
              <w:top w:val="single" w:sz="4" w:space="0" w:color="BFBFBF" w:themeColor="background1" w:themeShade="BF"/>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709</w:t>
            </w:r>
          </w:p>
        </w:tc>
        <w:tc>
          <w:tcPr>
            <w:tcW w:w="1276" w:type="dxa"/>
            <w:tcBorders>
              <w:top w:val="single" w:sz="4" w:space="0" w:color="BFBFBF" w:themeColor="background1" w:themeShade="BF"/>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1.1</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Qld</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Percentage of middle income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2.6</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2.6</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1.0</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1.0</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Qld</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Percentage of high income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1.0</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1.0</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0.4</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0.4</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NSW</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Annual bill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1932</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1796</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-7.0</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863</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923</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6.9</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NSW</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Percentage of middle income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2.7</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2.4</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1.2</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1.3</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NSW</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Percentage of high income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0.9</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0.9</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0.4</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0.4</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Vic</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Annual bill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1563</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1436</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-8.1</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1256</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1206</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-4.0</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Vic</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Percentage of middle income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2.2</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2.0</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1.8</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1.7</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Vic</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Percentage of high income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0.9</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0.8</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0.7</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0.6</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SA</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Annual bill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1899</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1842</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-3.0</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996</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1008</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1.2</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SA</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Percentage of middle income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3.2</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3.0</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1.7</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1.6</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SA</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Percentage of high income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1.2</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1.1</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0.6</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0.6</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Tas</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Annual bill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2706</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2495</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-7.8</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Tas</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Percentage of middle income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4.7</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4.3</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Tas</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Percentage of high income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1.9</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1.7</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ACT</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Annual bill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1787</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1481</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-17.2</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1618</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1532</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-5.3</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tcPr>
          <w:p w:rsidR="00EA1777" w:rsidRPr="00EA1777" w:rsidRDefault="00EA1777" w:rsidP="00EA1777">
            <w:r w:rsidRPr="00EA1777">
              <w:t>ACT</w:t>
            </w:r>
          </w:p>
        </w:tc>
        <w:tc>
          <w:tcPr>
            <w:tcW w:w="212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Percentage of middle income (%)</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1.9</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1.5</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8"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1.7</w:t>
            </w:r>
          </w:p>
        </w:tc>
        <w:tc>
          <w:tcPr>
            <w:tcW w:w="709"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1.6</w:t>
            </w:r>
          </w:p>
        </w:tc>
        <w:tc>
          <w:tcPr>
            <w:tcW w:w="1276" w:type="dxa"/>
            <w:tcBorders>
              <w:top w:val="single" w:sz="4" w:space="0" w:color="auto"/>
              <w:bottom w:val="single" w:sz="4" w:space="0" w:color="auto"/>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r>
      <w:tr w:rsidR="00EA1777" w:rsidRPr="00EA1777" w:rsidTr="00C75DB1">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BFBFBF" w:themeColor="background1" w:themeShade="BF"/>
            </w:tcBorders>
          </w:tcPr>
          <w:p w:rsidR="00EA1777" w:rsidRPr="00EA1777" w:rsidRDefault="00EA1777" w:rsidP="00EA1777">
            <w:r w:rsidRPr="00EA1777">
              <w:t>ACT</w:t>
            </w:r>
          </w:p>
        </w:tc>
        <w:tc>
          <w:tcPr>
            <w:tcW w:w="2126" w:type="dxa"/>
            <w:tcBorders>
              <w:top w:val="single" w:sz="4" w:space="0" w:color="auto"/>
              <w:bottom w:val="single" w:sz="4" w:space="0" w:color="BFBFBF" w:themeColor="background1" w:themeShade="BF"/>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Percentage of high income (%)</w:t>
            </w:r>
          </w:p>
        </w:tc>
        <w:tc>
          <w:tcPr>
            <w:tcW w:w="1276" w:type="dxa"/>
            <w:tcBorders>
              <w:top w:val="single" w:sz="4" w:space="0" w:color="auto"/>
              <w:bottom w:val="single" w:sz="4" w:space="0" w:color="BFBFBF" w:themeColor="background1" w:themeShade="BF"/>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0.9</w:t>
            </w:r>
          </w:p>
        </w:tc>
        <w:tc>
          <w:tcPr>
            <w:tcW w:w="1276" w:type="dxa"/>
            <w:tcBorders>
              <w:top w:val="single" w:sz="4" w:space="0" w:color="auto"/>
              <w:bottom w:val="single" w:sz="4" w:space="0" w:color="BFBFBF" w:themeColor="background1" w:themeShade="BF"/>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0.7</w:t>
            </w:r>
          </w:p>
        </w:tc>
        <w:tc>
          <w:tcPr>
            <w:tcW w:w="1276" w:type="dxa"/>
            <w:tcBorders>
              <w:top w:val="single" w:sz="4" w:space="0" w:color="auto"/>
              <w:bottom w:val="single" w:sz="4" w:space="0" w:color="BFBFBF" w:themeColor="background1" w:themeShade="BF"/>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c>
          <w:tcPr>
            <w:tcW w:w="708" w:type="dxa"/>
            <w:tcBorders>
              <w:top w:val="single" w:sz="4" w:space="0" w:color="auto"/>
              <w:bottom w:val="single" w:sz="4" w:space="0" w:color="BFBFBF" w:themeColor="background1" w:themeShade="BF"/>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0.8</w:t>
            </w:r>
          </w:p>
        </w:tc>
        <w:tc>
          <w:tcPr>
            <w:tcW w:w="709" w:type="dxa"/>
            <w:tcBorders>
              <w:top w:val="single" w:sz="4" w:space="0" w:color="auto"/>
              <w:bottom w:val="single" w:sz="4" w:space="0" w:color="BFBFBF" w:themeColor="background1" w:themeShade="BF"/>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0.7</w:t>
            </w:r>
          </w:p>
        </w:tc>
        <w:tc>
          <w:tcPr>
            <w:tcW w:w="1276" w:type="dxa"/>
            <w:tcBorders>
              <w:top w:val="single" w:sz="4" w:space="0" w:color="auto"/>
              <w:bottom w:val="single" w:sz="4" w:space="0" w:color="BFBFBF" w:themeColor="background1" w:themeShade="BF"/>
            </w:tcBorders>
          </w:tcPr>
          <w:p w:rsidR="00EA1777" w:rsidRPr="00EA1777" w:rsidRDefault="00EA1777" w:rsidP="00EA1777">
            <w:pPr>
              <w:cnfStyle w:val="000000000000" w:firstRow="0" w:lastRow="0" w:firstColumn="0" w:lastColumn="0" w:oddVBand="0" w:evenVBand="0" w:oddHBand="0" w:evenHBand="0" w:firstRowFirstColumn="0" w:firstRowLastColumn="0" w:lastRowFirstColumn="0" w:lastRowLastColumn="0"/>
            </w:pPr>
            <w:r w:rsidRPr="00EA1777">
              <w:t>N/A</w:t>
            </w:r>
          </w:p>
        </w:tc>
      </w:tr>
    </w:tbl>
    <w:p w:rsidR="002F4D97" w:rsidRPr="002F4D97" w:rsidRDefault="002F4D97" w:rsidP="002F4D97">
      <w:r w:rsidRPr="002F4D97">
        <w:br w:type="page"/>
      </w:r>
    </w:p>
    <w:p w:rsidR="002F4D97" w:rsidRPr="002C1AA6" w:rsidRDefault="002F4D97" w:rsidP="00DD0F4D">
      <w:pPr>
        <w:pStyle w:val="Heading2"/>
        <w:numPr>
          <w:ilvl w:val="0"/>
          <w:numId w:val="0"/>
        </w:numPr>
      </w:pPr>
      <w:bookmarkStart w:id="83" w:name="_Toc433026854"/>
      <w:r>
        <w:lastRenderedPageBreak/>
        <w:t xml:space="preserve">Appendix </w:t>
      </w:r>
      <w:r w:rsidR="00821BFF">
        <w:t>7</w:t>
      </w:r>
      <w:r w:rsidRPr="002C1AA6">
        <w:t xml:space="preserve">: </w:t>
      </w:r>
      <w:r>
        <w:tab/>
      </w:r>
      <w:r w:rsidRPr="002C1AA6">
        <w:t>Energy affordability methodology</w:t>
      </w:r>
      <w:bookmarkEnd w:id="83"/>
    </w:p>
    <w:p w:rsidR="002F4D97" w:rsidRPr="002C1AA6" w:rsidRDefault="002F4D97" w:rsidP="002F4D97">
      <w:r w:rsidRPr="002C1AA6">
        <w:t>The key elements of our analysis include:</w:t>
      </w:r>
    </w:p>
    <w:p w:rsidR="002F4D97" w:rsidRPr="002C1AA6" w:rsidRDefault="002F4D97" w:rsidP="00DD0F4D">
      <w:pPr>
        <w:pStyle w:val="Bulletpoint"/>
      </w:pPr>
      <w:r w:rsidRPr="002C1AA6">
        <w:t>the estimated annual electricity and gas consumption levels in each state and territory for low, middle and high income households</w:t>
      </w:r>
    </w:p>
    <w:p w:rsidR="002F4D97" w:rsidRPr="002C1AA6" w:rsidRDefault="002F4D97" w:rsidP="00DD0F4D">
      <w:pPr>
        <w:pStyle w:val="Bulletpoint"/>
      </w:pPr>
      <w:r w:rsidRPr="002C1AA6">
        <w:t>the collection of retail electricity and gas offers in each distribution or pricing zone</w:t>
      </w:r>
    </w:p>
    <w:p w:rsidR="002F4D97" w:rsidRPr="002C1AA6" w:rsidRDefault="002F4D97" w:rsidP="00DD0F4D">
      <w:pPr>
        <w:pStyle w:val="Bulletpoint"/>
      </w:pPr>
      <w:r w:rsidRPr="002C1AA6">
        <w:t>the development of estimated annual electricity and gas bills based on our estimated consumption levels and pricing information, and</w:t>
      </w:r>
    </w:p>
    <w:p w:rsidR="002F4D97" w:rsidRPr="002C1AA6" w:rsidRDefault="002F4D97" w:rsidP="00DD0F4D">
      <w:pPr>
        <w:pStyle w:val="Bulletpoint"/>
      </w:pPr>
      <w:r w:rsidRPr="002C1AA6">
        <w:t xml:space="preserve">the household disposable income data used. </w:t>
      </w:r>
    </w:p>
    <w:p w:rsidR="002F4D97" w:rsidRPr="002C1AA6" w:rsidDel="002C0EF8" w:rsidRDefault="002F4D97" w:rsidP="002F4D97">
      <w:r w:rsidRPr="002C1AA6" w:rsidDel="002C0EF8">
        <w:t xml:space="preserve">For each jurisdiction, we determined electricity and gas consumption levels for our benchmark low, middle and high income households (see tables </w:t>
      </w:r>
      <w:r w:rsidR="00B97CA3">
        <w:t>A.</w:t>
      </w:r>
      <w:r w:rsidR="00A06712">
        <w:t>9</w:t>
      </w:r>
      <w:r w:rsidRPr="002C1AA6" w:rsidDel="002C0EF8">
        <w:t xml:space="preserve"> and </w:t>
      </w:r>
      <w:r w:rsidR="00B97CA3">
        <w:t>A.</w:t>
      </w:r>
      <w:r w:rsidR="00A06712">
        <w:t>10</w:t>
      </w:r>
      <w:r w:rsidRPr="002C1AA6" w:rsidDel="002C0EF8">
        <w:t xml:space="preserve">). A benchmark low income household is a household that uses the average amount of electricity and gas in the relevant state or territory for all households that are the same size as low income households on average. A benchmark middle and high income household is a household that uses the average amount of electricity and gas in the relevant state or territory. </w:t>
      </w:r>
    </w:p>
    <w:p w:rsidR="002F4D97" w:rsidRPr="002C1AA6" w:rsidDel="002C0EF8" w:rsidRDefault="002F4D97" w:rsidP="002F4D97">
      <w:r w:rsidRPr="002C1AA6" w:rsidDel="002C0EF8">
        <w:t xml:space="preserve">We then calculated annual electricity and gas bills from the energy offer tariffs we collected. Our analysis shows the range in annual bills across generally available offers as well as the median standing and market offer. </w:t>
      </w:r>
    </w:p>
    <w:p w:rsidR="002F4D97" w:rsidRPr="002F4D97" w:rsidDel="002C0EF8" w:rsidRDefault="002F4D97" w:rsidP="002F4D97">
      <w:r w:rsidRPr="002C1AA6" w:rsidDel="002C0EF8">
        <w:t xml:space="preserve">We obtained data from the ABS on disposable household incomes for low, middle and high incomes (also tables </w:t>
      </w:r>
      <w:r w:rsidRPr="002F4D97">
        <w:t>A.</w:t>
      </w:r>
      <w:r w:rsidR="00A06712">
        <w:t>9</w:t>
      </w:r>
      <w:r w:rsidR="00A06712" w:rsidRPr="002F4D97" w:rsidDel="002C0EF8">
        <w:t xml:space="preserve"> </w:t>
      </w:r>
      <w:r w:rsidRPr="002F4D97" w:rsidDel="002C0EF8">
        <w:t xml:space="preserve">and </w:t>
      </w:r>
      <w:r w:rsidRPr="002F4D97">
        <w:t>A.</w:t>
      </w:r>
      <w:r w:rsidR="00A06712">
        <w:t>10</w:t>
      </w:r>
      <w:r w:rsidRPr="002F4D97" w:rsidDel="002C0EF8">
        <w:t xml:space="preserve">) to estimate the proportion spent on electricity and gas bills (assuming these households were on the median market offer). For our benchmark low income households we have also shown the impact of receiving the energy concession in that jurisdiction. </w:t>
      </w:r>
    </w:p>
    <w:p w:rsidR="002F4D97" w:rsidRPr="002C1AA6" w:rsidRDefault="002F4D97" w:rsidP="00DD0F4D">
      <w:pPr>
        <w:pStyle w:val="Heading3"/>
        <w:numPr>
          <w:ilvl w:val="0"/>
          <w:numId w:val="0"/>
        </w:numPr>
        <w:ind w:left="720" w:hanging="720"/>
      </w:pPr>
      <w:bookmarkStart w:id="84" w:name="_Toc432766001"/>
      <w:bookmarkStart w:id="85" w:name="_Toc433026855"/>
      <w:r w:rsidRPr="002C1AA6">
        <w:t>Annual electricity and gas consumption levels</w:t>
      </w:r>
      <w:bookmarkEnd w:id="84"/>
      <w:bookmarkEnd w:id="85"/>
    </w:p>
    <w:p w:rsidR="002F4D97" w:rsidRPr="002F4D97" w:rsidRDefault="002F4D97" w:rsidP="002F4D97">
      <w:r w:rsidRPr="0057188A">
        <w:t>To represent the electricity consumption of a benchmark low income household, we took the average number of people in a low income household for each state and territory from the ABS and used electricity consumption benchmark data</w:t>
      </w:r>
      <w:r w:rsidRPr="002F4D97">
        <w:t xml:space="preserve"> to determine an average consumption level for that sized household. Our previous reports on energy affordability have used electricity consumption levels obtained from ACIL Tasman’s 2011 Electricity bill benchmarks survey. ACIL Allen updated the benchmarks in 2014, and annual electricity bills in this report are based on the updated consumption benchmarks.</w:t>
      </w:r>
      <w:r w:rsidRPr="00597772">
        <w:rPr>
          <w:rStyle w:val="Superscript"/>
        </w:rPr>
        <w:footnoteReference w:id="49"/>
      </w:r>
      <w:r w:rsidRPr="002F4D97">
        <w:t xml:space="preserve">   </w:t>
      </w:r>
    </w:p>
    <w:p w:rsidR="002F4D97" w:rsidRPr="002F4D97" w:rsidRDefault="002F4D97" w:rsidP="002F4D97">
      <w:r w:rsidRPr="002C1AA6">
        <w:lastRenderedPageBreak/>
        <w:t xml:space="preserve">For our benchmark middle and high income households we used typical electricity </w:t>
      </w:r>
      <w:r w:rsidRPr="002F4D97">
        <w:t>consumption levels – each state and territory’s ‘average’ household consumption from the electricity consumption benchmark data (a two to three person household). This is higher than for our benchmark low income households which are typically smaller – on average on to two persons.</w:t>
      </w:r>
      <w:r w:rsidRPr="00597772">
        <w:rPr>
          <w:rStyle w:val="Superscript"/>
        </w:rPr>
        <w:footnoteReference w:id="50"/>
      </w:r>
      <w:r w:rsidRPr="00597772">
        <w:rPr>
          <w:rStyle w:val="Superscript"/>
        </w:rPr>
        <w:t xml:space="preserve">  </w:t>
      </w:r>
    </w:p>
    <w:p w:rsidR="002F4D97" w:rsidRPr="002C1AA6" w:rsidRDefault="002F4D97" w:rsidP="002F4D97">
      <w:r w:rsidRPr="002C1AA6">
        <w:t>Available data on gas consumption levels is limited and we have not attempted to estimate a ‘low’ consumption level. Instead, we use an estimate only of ‘typical’ gas consumption, which was formed by various jurisdictional energy regulator reports and St Vincent de Paul’s energy price reports.</w:t>
      </w:r>
    </w:p>
    <w:p w:rsidR="002F4D97" w:rsidRPr="002F4D97" w:rsidRDefault="002F4D97" w:rsidP="002F4D97">
      <w:r w:rsidRPr="002C1AA6">
        <w:t>These electricity and gas consumption levels are estimates. Furthermore, our low income electricity consumption figures are based on benchmark data for all households (not only low income households) and may not account for low income households using less energy per member of the household than other households.</w:t>
      </w:r>
      <w:r w:rsidRPr="00597772">
        <w:rPr>
          <w:rStyle w:val="Superscript"/>
        </w:rPr>
        <w:footnoteReference w:id="51"/>
      </w:r>
      <w:r w:rsidRPr="002F4D97">
        <w:t xml:space="preserve">  </w:t>
      </w:r>
    </w:p>
    <w:p w:rsidR="002F4D97" w:rsidRPr="002F4D97" w:rsidRDefault="002F4D97" w:rsidP="002F4D97">
      <w:r w:rsidRPr="00D31308">
        <w:t>Annual bills from previous years (June 2013 and June 2014) have been updated to reflect the changes in consumption.</w:t>
      </w:r>
      <w:r w:rsidRPr="002F4D97">
        <w:t xml:space="preserve"> Average household sizes for low income households have also slightly changed, and these changes are reflected in historical energy bills. We have used the same gas consumption estimates as those used in the 2013-14 analysis. </w:t>
      </w:r>
    </w:p>
    <w:p w:rsidR="002F4D97" w:rsidRPr="0057188A" w:rsidRDefault="002F4D97" w:rsidP="00DD0F4D">
      <w:pPr>
        <w:pStyle w:val="Heading3"/>
        <w:numPr>
          <w:ilvl w:val="0"/>
          <w:numId w:val="0"/>
        </w:numPr>
        <w:ind w:left="720" w:hanging="720"/>
      </w:pPr>
      <w:bookmarkStart w:id="86" w:name="_Toc432766002"/>
      <w:bookmarkStart w:id="87" w:name="_Toc433026856"/>
      <w:r w:rsidRPr="0057188A">
        <w:t>Collection of energy offers</w:t>
      </w:r>
      <w:bookmarkEnd w:id="86"/>
      <w:bookmarkEnd w:id="87"/>
      <w:r w:rsidRPr="0057188A">
        <w:t xml:space="preserve"> </w:t>
      </w:r>
    </w:p>
    <w:p w:rsidR="002F4D97" w:rsidRPr="002F4D97" w:rsidRDefault="002F4D97" w:rsidP="002F4D97">
      <w:r w:rsidRPr="00324E2F">
        <w:t>We selected a postcode in each distribution or pricing zone and collected all of the generally available offers in that postcode in June 2013, June 2014 and June 2015. Only single-rate tariffs were considered and any GreenPower-only and solar offers were excluded. Where possible</w:t>
      </w:r>
      <w:r w:rsidRPr="002F4D97">
        <w:t xml:space="preserve">, we collect offer details from </w:t>
      </w:r>
      <w:r w:rsidR="00B97CA3">
        <w:t xml:space="preserve">our energy price comparison website, </w:t>
      </w:r>
      <w:r w:rsidRPr="002F4D97">
        <w:t>Energy Made Easy (</w:t>
      </w:r>
      <w:hyperlink r:id="rId48" w:history="1">
        <w:r w:rsidRPr="002F4D97">
          <w:t>www.energymadeeasy.gov.au</w:t>
        </w:r>
      </w:hyperlink>
      <w:r w:rsidRPr="002F4D97">
        <w:t xml:space="preserve">). For states and territories that had not commenced the Retail Law by 30 June 2015, we collected tariffs from jurisdictional energy regulators’ price comparison websites or directly from energy retailers’ websites. </w:t>
      </w:r>
    </w:p>
    <w:p w:rsidR="002F4D97" w:rsidRPr="00324E2F" w:rsidRDefault="002F4D97" w:rsidP="00DD0F4D">
      <w:pPr>
        <w:pStyle w:val="Heading3"/>
        <w:numPr>
          <w:ilvl w:val="0"/>
          <w:numId w:val="0"/>
        </w:numPr>
        <w:ind w:left="720" w:hanging="720"/>
      </w:pPr>
      <w:bookmarkStart w:id="88" w:name="_Toc432766003"/>
      <w:bookmarkStart w:id="89" w:name="_Toc433026857"/>
      <w:r w:rsidRPr="00324E2F">
        <w:t>Estimating annual energy bills</w:t>
      </w:r>
      <w:bookmarkEnd w:id="88"/>
      <w:bookmarkEnd w:id="89"/>
    </w:p>
    <w:p w:rsidR="002F4D97" w:rsidRPr="002F4D97" w:rsidRDefault="002F4D97" w:rsidP="002F4D97">
      <w:r w:rsidRPr="002C1AA6">
        <w:t>Annual electricity and gas bills for each of the offers in the nominated postcode were calculated using the energ</w:t>
      </w:r>
      <w:r w:rsidRPr="002F4D97">
        <w:t>y consumption levels in tables A.</w:t>
      </w:r>
      <w:r w:rsidR="00A06712">
        <w:t>9</w:t>
      </w:r>
      <w:r w:rsidR="00A06712" w:rsidRPr="002F4D97">
        <w:t xml:space="preserve"> </w:t>
      </w:r>
      <w:r w:rsidRPr="002F4D97">
        <w:t>and A.</w:t>
      </w:r>
      <w:r w:rsidR="00A06712">
        <w:t>10</w:t>
      </w:r>
      <w:r w:rsidRPr="002F4D97">
        <w:t>. The estimated bills include key discounts offered by energy retailers (such as discounts for paying on time, paying by direct debit and other cash incentives), but do not include discounts for bundling or dual fuel offers. One-off credits and non-cash incentives are also not included. Seasonal pricing was taken into account when calculating the annual bills; however we assume a consistent level of consumption throughout the year. Annual electricity and gas bills are represented by the median market and standing offers in each jurisdiction. Using the median (rather than a simple average) ensures the analysis is not skewed by a small number of very cheap or very expensive offers.</w:t>
      </w:r>
    </w:p>
    <w:p w:rsidR="002F4D97" w:rsidRPr="0057188A" w:rsidRDefault="002F4D97" w:rsidP="00DD0F4D">
      <w:pPr>
        <w:pStyle w:val="Heading3"/>
        <w:numPr>
          <w:ilvl w:val="0"/>
          <w:numId w:val="0"/>
        </w:numPr>
        <w:ind w:left="720" w:hanging="720"/>
      </w:pPr>
      <w:bookmarkStart w:id="90" w:name="_Toc432766004"/>
      <w:bookmarkStart w:id="91" w:name="_Toc433026858"/>
      <w:r w:rsidRPr="0057188A">
        <w:lastRenderedPageBreak/>
        <w:t>Annual household disposable income</w:t>
      </w:r>
      <w:bookmarkEnd w:id="90"/>
      <w:bookmarkEnd w:id="91"/>
      <w:r w:rsidRPr="0057188A">
        <w:t xml:space="preserve"> </w:t>
      </w:r>
    </w:p>
    <w:p w:rsidR="002F4D97" w:rsidRPr="002C1AA6" w:rsidRDefault="002F4D97" w:rsidP="002F4D97">
      <w:r w:rsidRPr="002C1AA6">
        <w:t xml:space="preserve">Data on disposable income was obtained from the ABS. Disposable household income best represents the remaining income available to households for expenditure on goods and services, including electricity and gas bills. </w:t>
      </w:r>
    </w:p>
    <w:p w:rsidR="002F4D97" w:rsidRPr="002F4D97" w:rsidRDefault="002F4D97" w:rsidP="002F4D97">
      <w:r>
        <w:t>In previously used ABS data</w:t>
      </w:r>
      <w:r w:rsidRPr="002F4D97">
        <w:t xml:space="preserve">, ‘low income’ households in each state and territory were represented by the second and third income deciles. More recent ABS analysis suggests that this approach may have over-estimated the economic wellbeing of low income households, and unnecessarily excluded some of the most vulnerable households in the lowest income quintile. </w:t>
      </w:r>
    </w:p>
    <w:p w:rsidR="002F4D97" w:rsidRPr="002F4D97" w:rsidRDefault="002F4D97" w:rsidP="002F4D97">
      <w:r>
        <w:t xml:space="preserve">This report now uses an adjusted lowest income quintile to represent ‘low income’ households, which is made up of the lowest two deciles, excluding the first and second percentiles. </w:t>
      </w:r>
      <w:r w:rsidRPr="002F4D97">
        <w:t>The ‘middle income’ households continue to be represented by the third income quintile and ‘high income’ households are represented by the fifth income quintile. The latest available data from the ABS was for 2013-14 and was adjusted to 2012-13 and 2014-15 dollars using the Consumer Price Index for low income households and the Wage Price Index for middle and high income households (see tables A.</w:t>
      </w:r>
      <w:r w:rsidR="00A06712">
        <w:t>9</w:t>
      </w:r>
      <w:r w:rsidR="00A06712" w:rsidRPr="002F4D97">
        <w:t xml:space="preserve"> </w:t>
      </w:r>
      <w:r w:rsidRPr="002F4D97">
        <w:t>and A.</w:t>
      </w:r>
      <w:r w:rsidR="00A06712">
        <w:t>10</w:t>
      </w:r>
      <w:r w:rsidRPr="002F4D97">
        <w:t xml:space="preserve">).   </w:t>
      </w:r>
    </w:p>
    <w:p w:rsidR="002F4D97" w:rsidRPr="002C1AA6" w:rsidRDefault="002F4D97" w:rsidP="002F4D97">
      <w:pPr>
        <w:pStyle w:val="Tabletitle"/>
      </w:pPr>
      <w:r w:rsidRPr="002C1AA6">
        <w:t xml:space="preserve">Table </w:t>
      </w:r>
      <w:r>
        <w:t>A.</w:t>
      </w:r>
      <w:r w:rsidR="00A06712">
        <w:t>9</w:t>
      </w:r>
      <w:r w:rsidRPr="002C1AA6">
        <w:t>: Benchmark low income households – summary of annual electricity and gas consumption levels</w:t>
      </w:r>
    </w:p>
    <w:tbl>
      <w:tblPr>
        <w:tblW w:w="0" w:type="auto"/>
        <w:tblBorders>
          <w:bottom w:val="single" w:sz="4" w:space="0" w:color="auto"/>
          <w:insideH w:val="single" w:sz="4" w:space="0" w:color="auto"/>
        </w:tblBorders>
        <w:tblLook w:val="04A0" w:firstRow="1" w:lastRow="0" w:firstColumn="1" w:lastColumn="0" w:noHBand="0" w:noVBand="1"/>
      </w:tblPr>
      <w:tblGrid>
        <w:gridCol w:w="1668"/>
        <w:gridCol w:w="1984"/>
        <w:gridCol w:w="1892"/>
        <w:gridCol w:w="1652"/>
        <w:gridCol w:w="2046"/>
      </w:tblGrid>
      <w:tr w:rsidR="002F4D97" w:rsidRPr="002C1AA6" w:rsidTr="002F4D97">
        <w:tc>
          <w:tcPr>
            <w:tcW w:w="1668" w:type="dxa"/>
            <w:shd w:val="clear" w:color="auto" w:fill="F2F2F2" w:themeFill="background1" w:themeFillShade="F2"/>
          </w:tcPr>
          <w:p w:rsidR="002F4D97" w:rsidRPr="00D00B57" w:rsidRDefault="002F4D97" w:rsidP="00DD0F4D">
            <w:pPr>
              <w:pStyle w:val="Tabletext"/>
              <w:rPr>
                <w:rStyle w:val="Strong"/>
              </w:rPr>
            </w:pPr>
            <w:r w:rsidRPr="00D00B57">
              <w:rPr>
                <w:rStyle w:val="Strong"/>
              </w:rPr>
              <w:t>Jurisdiction</w:t>
            </w:r>
          </w:p>
        </w:tc>
        <w:tc>
          <w:tcPr>
            <w:tcW w:w="1984" w:type="dxa"/>
            <w:shd w:val="clear" w:color="auto" w:fill="F2F2F2" w:themeFill="background1" w:themeFillShade="F2"/>
          </w:tcPr>
          <w:p w:rsidR="002F4D97" w:rsidRPr="00D00B57" w:rsidRDefault="002F4D97" w:rsidP="00DD0F4D">
            <w:pPr>
              <w:pStyle w:val="Tabletext"/>
              <w:rPr>
                <w:rStyle w:val="Strong"/>
              </w:rPr>
            </w:pPr>
            <w:r w:rsidRPr="00D00B57">
              <w:rPr>
                <w:rStyle w:val="Strong"/>
              </w:rPr>
              <w:t>Annual electricity consumption (kWh)</w:t>
            </w:r>
          </w:p>
        </w:tc>
        <w:tc>
          <w:tcPr>
            <w:tcW w:w="1892" w:type="dxa"/>
            <w:shd w:val="clear" w:color="auto" w:fill="F2F2F2" w:themeFill="background1" w:themeFillShade="F2"/>
          </w:tcPr>
          <w:p w:rsidR="002F4D97" w:rsidRPr="00D00B57" w:rsidRDefault="002F4D97" w:rsidP="00DD0F4D">
            <w:pPr>
              <w:pStyle w:val="Tabletext"/>
              <w:rPr>
                <w:rStyle w:val="Strong"/>
              </w:rPr>
            </w:pPr>
            <w:r w:rsidRPr="00D00B57">
              <w:rPr>
                <w:rStyle w:val="Strong"/>
              </w:rPr>
              <w:t>Annual gas consumption (MJ)</w:t>
            </w:r>
          </w:p>
        </w:tc>
        <w:tc>
          <w:tcPr>
            <w:tcW w:w="1652" w:type="dxa"/>
            <w:shd w:val="clear" w:color="auto" w:fill="F2F2F2" w:themeFill="background1" w:themeFillShade="F2"/>
          </w:tcPr>
          <w:p w:rsidR="002F4D97" w:rsidRPr="00D00B57" w:rsidRDefault="002F4D97" w:rsidP="00DD0F4D">
            <w:pPr>
              <w:pStyle w:val="Tabletext"/>
              <w:rPr>
                <w:rStyle w:val="Strong"/>
              </w:rPr>
            </w:pPr>
            <w:r w:rsidRPr="00D00B57">
              <w:rPr>
                <w:rStyle w:val="Strong"/>
              </w:rPr>
              <w:t>Average household size (persons)</w:t>
            </w:r>
          </w:p>
        </w:tc>
        <w:tc>
          <w:tcPr>
            <w:tcW w:w="2046" w:type="dxa"/>
            <w:shd w:val="clear" w:color="auto" w:fill="F2F2F2" w:themeFill="background1" w:themeFillShade="F2"/>
          </w:tcPr>
          <w:p w:rsidR="002F4D97" w:rsidRPr="00D00B57" w:rsidRDefault="002F4D97" w:rsidP="00DD0F4D">
            <w:pPr>
              <w:pStyle w:val="Tabletext"/>
              <w:rPr>
                <w:rStyle w:val="Strong"/>
              </w:rPr>
            </w:pPr>
            <w:r w:rsidRPr="00D00B57">
              <w:rPr>
                <w:rStyle w:val="Strong"/>
              </w:rPr>
              <w:t>Annual disposable income ($)</w:t>
            </w:r>
          </w:p>
        </w:tc>
      </w:tr>
      <w:tr w:rsidR="002F4D97" w:rsidRPr="002C1AA6" w:rsidTr="002F4D97">
        <w:tc>
          <w:tcPr>
            <w:tcW w:w="1668" w:type="dxa"/>
          </w:tcPr>
          <w:p w:rsidR="002F4D97" w:rsidRPr="002F4D97" w:rsidRDefault="002F4D97" w:rsidP="00DD0F4D">
            <w:pPr>
              <w:pStyle w:val="Tabletext"/>
            </w:pPr>
            <w:r w:rsidRPr="00AA4A38">
              <w:t>Q</w:t>
            </w:r>
            <w:r w:rsidRPr="002F4D97">
              <w:t>ueensland</w:t>
            </w:r>
          </w:p>
        </w:tc>
        <w:tc>
          <w:tcPr>
            <w:tcW w:w="1984" w:type="dxa"/>
          </w:tcPr>
          <w:p w:rsidR="002F4D97" w:rsidRPr="002C1AA6" w:rsidRDefault="002F4D97" w:rsidP="00DD0F4D">
            <w:pPr>
              <w:pStyle w:val="Tabletext"/>
            </w:pPr>
            <w:r w:rsidRPr="002C1AA6">
              <w:t>4 100</w:t>
            </w:r>
          </w:p>
        </w:tc>
        <w:tc>
          <w:tcPr>
            <w:tcW w:w="1892" w:type="dxa"/>
          </w:tcPr>
          <w:p w:rsidR="002F4D97" w:rsidRPr="002C1AA6" w:rsidRDefault="002F4D97" w:rsidP="00DD0F4D">
            <w:pPr>
              <w:pStyle w:val="Tabletext"/>
            </w:pPr>
            <w:r w:rsidRPr="002C1AA6">
              <w:t>10 000</w:t>
            </w:r>
          </w:p>
        </w:tc>
        <w:tc>
          <w:tcPr>
            <w:tcW w:w="1652" w:type="dxa"/>
          </w:tcPr>
          <w:p w:rsidR="002F4D97" w:rsidRPr="002C1AA6" w:rsidRDefault="002F4D97" w:rsidP="00DD0F4D">
            <w:pPr>
              <w:pStyle w:val="Tabletext"/>
            </w:pPr>
            <w:r w:rsidRPr="002C1AA6">
              <w:t>1.46</w:t>
            </w:r>
          </w:p>
        </w:tc>
        <w:tc>
          <w:tcPr>
            <w:tcW w:w="2046" w:type="dxa"/>
          </w:tcPr>
          <w:p w:rsidR="002F4D97" w:rsidRPr="002C1AA6" w:rsidRDefault="002F4D97" w:rsidP="00DD0F4D">
            <w:pPr>
              <w:pStyle w:val="Tabletext"/>
            </w:pPr>
            <w:r w:rsidRPr="002C1AA6">
              <w:t>24 704</w:t>
            </w:r>
          </w:p>
        </w:tc>
      </w:tr>
      <w:tr w:rsidR="002F4D97" w:rsidRPr="002C1AA6" w:rsidTr="002F4D97">
        <w:tc>
          <w:tcPr>
            <w:tcW w:w="1668" w:type="dxa"/>
          </w:tcPr>
          <w:p w:rsidR="002F4D97" w:rsidRPr="002F4D97" w:rsidRDefault="002F4D97" w:rsidP="00DD0F4D">
            <w:pPr>
              <w:pStyle w:val="Tabletext"/>
            </w:pPr>
            <w:r w:rsidRPr="00AA4A38">
              <w:t>N</w:t>
            </w:r>
            <w:r w:rsidRPr="002F4D97">
              <w:t>ew South Wales</w:t>
            </w:r>
          </w:p>
        </w:tc>
        <w:tc>
          <w:tcPr>
            <w:tcW w:w="1984" w:type="dxa"/>
          </w:tcPr>
          <w:p w:rsidR="002F4D97" w:rsidRPr="002C1AA6" w:rsidRDefault="002F4D97" w:rsidP="00DD0F4D">
            <w:pPr>
              <w:pStyle w:val="Tabletext"/>
            </w:pPr>
            <w:r w:rsidRPr="002C1AA6">
              <w:t>4 300</w:t>
            </w:r>
          </w:p>
        </w:tc>
        <w:tc>
          <w:tcPr>
            <w:tcW w:w="1892" w:type="dxa"/>
          </w:tcPr>
          <w:p w:rsidR="002F4D97" w:rsidRPr="002C1AA6" w:rsidRDefault="002F4D97" w:rsidP="00DD0F4D">
            <w:pPr>
              <w:pStyle w:val="Tabletext"/>
            </w:pPr>
            <w:r w:rsidRPr="002C1AA6">
              <w:t>24 000</w:t>
            </w:r>
          </w:p>
        </w:tc>
        <w:tc>
          <w:tcPr>
            <w:tcW w:w="1652" w:type="dxa"/>
          </w:tcPr>
          <w:p w:rsidR="002F4D97" w:rsidRPr="002C1AA6" w:rsidRDefault="002F4D97" w:rsidP="00DD0F4D">
            <w:pPr>
              <w:pStyle w:val="Tabletext"/>
            </w:pPr>
            <w:r w:rsidRPr="002C1AA6">
              <w:t>1.45</w:t>
            </w:r>
          </w:p>
        </w:tc>
        <w:tc>
          <w:tcPr>
            <w:tcW w:w="2046" w:type="dxa"/>
          </w:tcPr>
          <w:p w:rsidR="002F4D97" w:rsidRPr="002C1AA6" w:rsidRDefault="002F4D97" w:rsidP="00DD0F4D">
            <w:pPr>
              <w:pStyle w:val="Tabletext"/>
            </w:pPr>
            <w:r w:rsidRPr="002C1AA6">
              <w:t>26 245</w:t>
            </w:r>
          </w:p>
        </w:tc>
      </w:tr>
      <w:tr w:rsidR="002F4D97" w:rsidRPr="002C1AA6" w:rsidTr="002F4D97">
        <w:tc>
          <w:tcPr>
            <w:tcW w:w="1668" w:type="dxa"/>
          </w:tcPr>
          <w:p w:rsidR="002F4D97" w:rsidRPr="002F4D97" w:rsidRDefault="002F4D97" w:rsidP="00DD0F4D">
            <w:pPr>
              <w:pStyle w:val="Tabletext"/>
            </w:pPr>
            <w:r w:rsidRPr="00AA4A38">
              <w:t>Vic</w:t>
            </w:r>
            <w:r w:rsidRPr="002F4D97">
              <w:t>toria</w:t>
            </w:r>
          </w:p>
        </w:tc>
        <w:tc>
          <w:tcPr>
            <w:tcW w:w="1984" w:type="dxa"/>
          </w:tcPr>
          <w:p w:rsidR="002F4D97" w:rsidRPr="002C1AA6" w:rsidRDefault="002F4D97" w:rsidP="00DD0F4D">
            <w:pPr>
              <w:pStyle w:val="Tabletext"/>
            </w:pPr>
            <w:r w:rsidRPr="002C1AA6">
              <w:t>3 700</w:t>
            </w:r>
          </w:p>
        </w:tc>
        <w:tc>
          <w:tcPr>
            <w:tcW w:w="1892" w:type="dxa"/>
          </w:tcPr>
          <w:p w:rsidR="002F4D97" w:rsidRPr="002C1AA6" w:rsidRDefault="002F4D97" w:rsidP="00DD0F4D">
            <w:pPr>
              <w:pStyle w:val="Tabletext"/>
            </w:pPr>
            <w:r w:rsidRPr="002C1AA6">
              <w:t>63 000</w:t>
            </w:r>
          </w:p>
        </w:tc>
        <w:tc>
          <w:tcPr>
            <w:tcW w:w="1652" w:type="dxa"/>
          </w:tcPr>
          <w:p w:rsidR="002F4D97" w:rsidRPr="002C1AA6" w:rsidRDefault="002F4D97" w:rsidP="00DD0F4D">
            <w:pPr>
              <w:pStyle w:val="Tabletext"/>
            </w:pPr>
            <w:r w:rsidRPr="002C1AA6">
              <w:t>1.45</w:t>
            </w:r>
          </w:p>
        </w:tc>
        <w:tc>
          <w:tcPr>
            <w:tcW w:w="2046" w:type="dxa"/>
          </w:tcPr>
          <w:p w:rsidR="002F4D97" w:rsidRPr="002C1AA6" w:rsidRDefault="002F4D97" w:rsidP="00DD0F4D">
            <w:pPr>
              <w:pStyle w:val="Tabletext"/>
            </w:pPr>
            <w:r w:rsidRPr="002C1AA6">
              <w:t>24 927</w:t>
            </w:r>
          </w:p>
        </w:tc>
      </w:tr>
      <w:tr w:rsidR="002F4D97" w:rsidRPr="002C1AA6" w:rsidTr="002F4D97">
        <w:tc>
          <w:tcPr>
            <w:tcW w:w="1668" w:type="dxa"/>
          </w:tcPr>
          <w:p w:rsidR="002F4D97" w:rsidRPr="002F4D97" w:rsidRDefault="002F4D97" w:rsidP="00DD0F4D">
            <w:pPr>
              <w:pStyle w:val="Tabletext"/>
            </w:pPr>
            <w:r w:rsidRPr="00AA4A38">
              <w:t>S</w:t>
            </w:r>
            <w:r w:rsidRPr="002F4D97">
              <w:t>outh Australia</w:t>
            </w:r>
          </w:p>
        </w:tc>
        <w:tc>
          <w:tcPr>
            <w:tcW w:w="1984" w:type="dxa"/>
          </w:tcPr>
          <w:p w:rsidR="002F4D97" w:rsidRPr="002C1AA6" w:rsidRDefault="002F4D97" w:rsidP="00DD0F4D">
            <w:pPr>
              <w:pStyle w:val="Tabletext"/>
            </w:pPr>
            <w:r w:rsidRPr="002C1AA6">
              <w:t>3 700</w:t>
            </w:r>
          </w:p>
        </w:tc>
        <w:tc>
          <w:tcPr>
            <w:tcW w:w="1892" w:type="dxa"/>
          </w:tcPr>
          <w:p w:rsidR="002F4D97" w:rsidRPr="002C1AA6" w:rsidRDefault="002F4D97" w:rsidP="00DD0F4D">
            <w:pPr>
              <w:pStyle w:val="Tabletext"/>
            </w:pPr>
            <w:r w:rsidRPr="002C1AA6">
              <w:t>21 000</w:t>
            </w:r>
          </w:p>
        </w:tc>
        <w:tc>
          <w:tcPr>
            <w:tcW w:w="1652" w:type="dxa"/>
          </w:tcPr>
          <w:p w:rsidR="002F4D97" w:rsidRPr="002C1AA6" w:rsidRDefault="002F4D97" w:rsidP="00DD0F4D">
            <w:pPr>
              <w:pStyle w:val="Tabletext"/>
            </w:pPr>
            <w:r w:rsidRPr="002C1AA6">
              <w:t>1.23</w:t>
            </w:r>
          </w:p>
        </w:tc>
        <w:tc>
          <w:tcPr>
            <w:tcW w:w="2046" w:type="dxa"/>
          </w:tcPr>
          <w:p w:rsidR="002F4D97" w:rsidRPr="002C1AA6" w:rsidRDefault="002F4D97" w:rsidP="00DD0F4D">
            <w:pPr>
              <w:pStyle w:val="Tabletext"/>
            </w:pPr>
            <w:r w:rsidRPr="002C1AA6">
              <w:t>23 267</w:t>
            </w:r>
          </w:p>
        </w:tc>
      </w:tr>
      <w:tr w:rsidR="002F4D97" w:rsidRPr="002C1AA6" w:rsidTr="002F4D97">
        <w:tc>
          <w:tcPr>
            <w:tcW w:w="1668" w:type="dxa"/>
          </w:tcPr>
          <w:p w:rsidR="002F4D97" w:rsidRPr="002F4D97" w:rsidRDefault="002F4D97" w:rsidP="00DD0F4D">
            <w:pPr>
              <w:pStyle w:val="Tabletext"/>
            </w:pPr>
            <w:r w:rsidRPr="00AA4A38">
              <w:t>Tas</w:t>
            </w:r>
            <w:r w:rsidRPr="002F4D97">
              <w:t>mania</w:t>
            </w:r>
          </w:p>
        </w:tc>
        <w:tc>
          <w:tcPr>
            <w:tcW w:w="1984" w:type="dxa"/>
          </w:tcPr>
          <w:p w:rsidR="002F4D97" w:rsidRPr="002C1AA6" w:rsidRDefault="002F4D97" w:rsidP="00DD0F4D">
            <w:pPr>
              <w:pStyle w:val="Tabletext"/>
            </w:pPr>
            <w:r w:rsidRPr="002C1AA6">
              <w:t>6 500</w:t>
            </w:r>
          </w:p>
        </w:tc>
        <w:tc>
          <w:tcPr>
            <w:tcW w:w="1892" w:type="dxa"/>
          </w:tcPr>
          <w:p w:rsidR="002F4D97" w:rsidRPr="002C1AA6" w:rsidRDefault="002F4D97" w:rsidP="00DD0F4D">
            <w:pPr>
              <w:pStyle w:val="Tabletext"/>
            </w:pPr>
            <w:r w:rsidRPr="002C1AA6">
              <w:t>N/A</w:t>
            </w:r>
          </w:p>
        </w:tc>
        <w:tc>
          <w:tcPr>
            <w:tcW w:w="1652" w:type="dxa"/>
          </w:tcPr>
          <w:p w:rsidR="002F4D97" w:rsidRPr="002C1AA6" w:rsidRDefault="002F4D97" w:rsidP="00DD0F4D">
            <w:pPr>
              <w:pStyle w:val="Tabletext"/>
            </w:pPr>
            <w:r w:rsidRPr="002C1AA6">
              <w:t>1.20</w:t>
            </w:r>
          </w:p>
        </w:tc>
        <w:tc>
          <w:tcPr>
            <w:tcW w:w="2046" w:type="dxa"/>
          </w:tcPr>
          <w:p w:rsidR="002F4D97" w:rsidRPr="002C1AA6" w:rsidRDefault="002F4D97" w:rsidP="00DD0F4D">
            <w:pPr>
              <w:pStyle w:val="Tabletext"/>
            </w:pPr>
            <w:r w:rsidRPr="002C1AA6">
              <w:t>22 959</w:t>
            </w:r>
          </w:p>
        </w:tc>
      </w:tr>
      <w:tr w:rsidR="002F4D97" w:rsidRPr="002C1AA6" w:rsidTr="002F4D97">
        <w:tc>
          <w:tcPr>
            <w:tcW w:w="1668" w:type="dxa"/>
          </w:tcPr>
          <w:p w:rsidR="002F4D97" w:rsidRPr="00AA4A38" w:rsidRDefault="002F4D97" w:rsidP="00DD0F4D">
            <w:pPr>
              <w:pStyle w:val="Tabletext"/>
            </w:pPr>
            <w:r w:rsidRPr="00AA4A38">
              <w:t>ACT</w:t>
            </w:r>
          </w:p>
        </w:tc>
        <w:tc>
          <w:tcPr>
            <w:tcW w:w="1984" w:type="dxa"/>
          </w:tcPr>
          <w:p w:rsidR="002F4D97" w:rsidRPr="002C1AA6" w:rsidRDefault="002F4D97" w:rsidP="00DD0F4D">
            <w:pPr>
              <w:pStyle w:val="Tabletext"/>
            </w:pPr>
            <w:r w:rsidRPr="002C1AA6">
              <w:t>5 600</w:t>
            </w:r>
          </w:p>
        </w:tc>
        <w:tc>
          <w:tcPr>
            <w:tcW w:w="1892" w:type="dxa"/>
          </w:tcPr>
          <w:p w:rsidR="002F4D97" w:rsidRPr="002C1AA6" w:rsidRDefault="002F4D97" w:rsidP="00DD0F4D">
            <w:pPr>
              <w:pStyle w:val="Tabletext"/>
            </w:pPr>
            <w:r w:rsidRPr="002C1AA6">
              <w:t>48 000</w:t>
            </w:r>
          </w:p>
        </w:tc>
        <w:tc>
          <w:tcPr>
            <w:tcW w:w="1652" w:type="dxa"/>
          </w:tcPr>
          <w:p w:rsidR="002F4D97" w:rsidRPr="002C1AA6" w:rsidRDefault="002F4D97" w:rsidP="00DD0F4D">
            <w:pPr>
              <w:pStyle w:val="Tabletext"/>
            </w:pPr>
            <w:r w:rsidRPr="002C1AA6">
              <w:t>1.45</w:t>
            </w:r>
          </w:p>
        </w:tc>
        <w:tc>
          <w:tcPr>
            <w:tcW w:w="2046" w:type="dxa"/>
          </w:tcPr>
          <w:p w:rsidR="002F4D97" w:rsidRPr="002C1AA6" w:rsidRDefault="002F4D97" w:rsidP="00DD0F4D">
            <w:pPr>
              <w:pStyle w:val="Tabletext"/>
            </w:pPr>
            <w:r w:rsidRPr="002C1AA6">
              <w:t>32 958</w:t>
            </w:r>
          </w:p>
        </w:tc>
      </w:tr>
    </w:tbl>
    <w:p w:rsidR="002F4D97" w:rsidRDefault="002F4D97" w:rsidP="002F4D97">
      <w:pPr>
        <w:pStyle w:val="Tabletitle"/>
      </w:pPr>
    </w:p>
    <w:p w:rsidR="00DD0F4D" w:rsidRDefault="00DD0F4D" w:rsidP="002F4D97">
      <w:pPr>
        <w:pStyle w:val="Tabletitle"/>
      </w:pPr>
    </w:p>
    <w:p w:rsidR="00DD0F4D" w:rsidRDefault="00DD0F4D" w:rsidP="002F4D97">
      <w:pPr>
        <w:pStyle w:val="Tabletitle"/>
      </w:pPr>
    </w:p>
    <w:p w:rsidR="00E8677A" w:rsidRDefault="00E8677A" w:rsidP="002F4D97">
      <w:pPr>
        <w:pStyle w:val="Tabletitle"/>
      </w:pPr>
    </w:p>
    <w:p w:rsidR="00311BEC" w:rsidRDefault="00311BEC" w:rsidP="002F4D97">
      <w:pPr>
        <w:pStyle w:val="Tabletitle"/>
      </w:pPr>
    </w:p>
    <w:p w:rsidR="002F4D97" w:rsidRPr="00AA4A38" w:rsidRDefault="002F4D97" w:rsidP="002F4D97">
      <w:pPr>
        <w:pStyle w:val="Tabletitle"/>
      </w:pPr>
      <w:r w:rsidRPr="00AA4A38">
        <w:lastRenderedPageBreak/>
        <w:t xml:space="preserve">Table </w:t>
      </w:r>
      <w:r>
        <w:t>A.</w:t>
      </w:r>
      <w:r w:rsidR="00A06712">
        <w:t>10</w:t>
      </w:r>
      <w:r w:rsidRPr="00AA4A38">
        <w:t>: Benchmark middle and high income households – summary of annual electricity and gas consumption levels</w:t>
      </w:r>
    </w:p>
    <w:tbl>
      <w:tblPr>
        <w:tblW w:w="0" w:type="auto"/>
        <w:tblInd w:w="108" w:type="dxa"/>
        <w:tblBorders>
          <w:bottom w:val="single" w:sz="4" w:space="0" w:color="auto"/>
          <w:insideH w:val="single" w:sz="4" w:space="0" w:color="auto"/>
        </w:tblBorders>
        <w:tblLook w:val="04A0" w:firstRow="1" w:lastRow="0" w:firstColumn="1" w:lastColumn="0" w:noHBand="0" w:noVBand="1"/>
      </w:tblPr>
      <w:tblGrid>
        <w:gridCol w:w="1677"/>
        <w:gridCol w:w="1686"/>
        <w:gridCol w:w="1472"/>
        <w:gridCol w:w="1420"/>
        <w:gridCol w:w="1618"/>
        <w:gridCol w:w="1261"/>
      </w:tblGrid>
      <w:tr w:rsidR="002F4D97" w:rsidRPr="002C1AA6" w:rsidTr="002F4D97">
        <w:tc>
          <w:tcPr>
            <w:tcW w:w="1701" w:type="dxa"/>
            <w:shd w:val="clear" w:color="auto" w:fill="F2F2F2" w:themeFill="background1" w:themeFillShade="F2"/>
          </w:tcPr>
          <w:p w:rsidR="002F4D97" w:rsidRPr="00D00B57" w:rsidRDefault="002F4D97" w:rsidP="00DD0F4D">
            <w:pPr>
              <w:pStyle w:val="Tabletext"/>
              <w:rPr>
                <w:rStyle w:val="Strong"/>
              </w:rPr>
            </w:pPr>
            <w:r w:rsidRPr="00D00B57">
              <w:rPr>
                <w:rStyle w:val="Strong"/>
              </w:rPr>
              <w:t>Jurisdiction</w:t>
            </w:r>
          </w:p>
        </w:tc>
        <w:tc>
          <w:tcPr>
            <w:tcW w:w="1701" w:type="dxa"/>
            <w:shd w:val="clear" w:color="auto" w:fill="F2F2F2" w:themeFill="background1" w:themeFillShade="F2"/>
          </w:tcPr>
          <w:p w:rsidR="002F4D97" w:rsidRPr="00D00B57" w:rsidRDefault="002F4D97" w:rsidP="00DD0F4D">
            <w:pPr>
              <w:pStyle w:val="Tabletext"/>
              <w:rPr>
                <w:rStyle w:val="Strong"/>
              </w:rPr>
            </w:pPr>
            <w:r w:rsidRPr="00D00B57">
              <w:rPr>
                <w:rStyle w:val="Strong"/>
              </w:rPr>
              <w:t>Annual electricity consumption (kWh)</w:t>
            </w:r>
          </w:p>
        </w:tc>
        <w:tc>
          <w:tcPr>
            <w:tcW w:w="1393" w:type="dxa"/>
            <w:shd w:val="clear" w:color="auto" w:fill="F2F2F2" w:themeFill="background1" w:themeFillShade="F2"/>
          </w:tcPr>
          <w:p w:rsidR="002F4D97" w:rsidRPr="00D00B57" w:rsidRDefault="002F4D97" w:rsidP="00DD0F4D">
            <w:pPr>
              <w:pStyle w:val="Tabletext"/>
              <w:rPr>
                <w:rStyle w:val="Strong"/>
              </w:rPr>
            </w:pPr>
            <w:r w:rsidRPr="00D00B57">
              <w:rPr>
                <w:rStyle w:val="Strong"/>
              </w:rPr>
              <w:t>Annual gas consumption (MJ)</w:t>
            </w:r>
          </w:p>
        </w:tc>
        <w:tc>
          <w:tcPr>
            <w:tcW w:w="1434" w:type="dxa"/>
            <w:shd w:val="clear" w:color="auto" w:fill="F2F2F2" w:themeFill="background1" w:themeFillShade="F2"/>
          </w:tcPr>
          <w:p w:rsidR="002F4D97" w:rsidRPr="00D00B57" w:rsidRDefault="002F4D97" w:rsidP="00DD0F4D">
            <w:pPr>
              <w:pStyle w:val="Tabletext"/>
              <w:rPr>
                <w:rStyle w:val="Strong"/>
              </w:rPr>
            </w:pPr>
            <w:r w:rsidRPr="00D00B57">
              <w:rPr>
                <w:rStyle w:val="Strong"/>
              </w:rPr>
              <w:t>Average household size (persons)</w:t>
            </w:r>
          </w:p>
        </w:tc>
        <w:tc>
          <w:tcPr>
            <w:tcW w:w="1644" w:type="dxa"/>
            <w:shd w:val="clear" w:color="auto" w:fill="F2F2F2" w:themeFill="background1" w:themeFillShade="F2"/>
          </w:tcPr>
          <w:p w:rsidR="002F4D97" w:rsidRPr="00D00B57" w:rsidRDefault="002F4D97" w:rsidP="00DD0F4D">
            <w:pPr>
              <w:pStyle w:val="Tabletext"/>
              <w:rPr>
                <w:rStyle w:val="Strong"/>
              </w:rPr>
            </w:pPr>
            <w:r w:rsidRPr="00D00B57">
              <w:rPr>
                <w:rStyle w:val="Strong"/>
              </w:rPr>
              <w:t>Annual disposable income – middle ($)</w:t>
            </w:r>
          </w:p>
        </w:tc>
        <w:tc>
          <w:tcPr>
            <w:tcW w:w="1261" w:type="dxa"/>
            <w:shd w:val="clear" w:color="auto" w:fill="F2F2F2" w:themeFill="background1" w:themeFillShade="F2"/>
          </w:tcPr>
          <w:p w:rsidR="002F4D97" w:rsidRPr="00D00B57" w:rsidRDefault="002F4D97" w:rsidP="00DD0F4D">
            <w:pPr>
              <w:pStyle w:val="Tabletext"/>
              <w:rPr>
                <w:rStyle w:val="Strong"/>
              </w:rPr>
            </w:pPr>
            <w:r w:rsidRPr="00D00B57">
              <w:rPr>
                <w:rStyle w:val="Strong"/>
              </w:rPr>
              <w:t>Annual disposable income – high ($)</w:t>
            </w:r>
          </w:p>
        </w:tc>
      </w:tr>
      <w:tr w:rsidR="002F4D97" w:rsidRPr="002C1AA6" w:rsidTr="002F4D97">
        <w:tc>
          <w:tcPr>
            <w:tcW w:w="1701" w:type="dxa"/>
          </w:tcPr>
          <w:p w:rsidR="002F4D97" w:rsidRPr="00AA4A38" w:rsidRDefault="002F4D97" w:rsidP="00DD0F4D">
            <w:pPr>
              <w:pStyle w:val="Tabletext"/>
            </w:pPr>
            <w:r w:rsidRPr="00AA4A38">
              <w:t>Queensland</w:t>
            </w:r>
          </w:p>
        </w:tc>
        <w:tc>
          <w:tcPr>
            <w:tcW w:w="1701" w:type="dxa"/>
          </w:tcPr>
          <w:p w:rsidR="002F4D97" w:rsidRPr="002C1AA6" w:rsidRDefault="002F4D97" w:rsidP="00DD0F4D">
            <w:pPr>
              <w:pStyle w:val="Tabletext"/>
            </w:pPr>
            <w:r w:rsidRPr="002C1AA6">
              <w:t>5 800</w:t>
            </w:r>
          </w:p>
        </w:tc>
        <w:tc>
          <w:tcPr>
            <w:tcW w:w="1393" w:type="dxa"/>
          </w:tcPr>
          <w:p w:rsidR="002F4D97" w:rsidRPr="002C1AA6" w:rsidRDefault="002F4D97" w:rsidP="00DD0F4D">
            <w:pPr>
              <w:pStyle w:val="Tabletext"/>
            </w:pPr>
            <w:r w:rsidRPr="002C1AA6">
              <w:t>10 000</w:t>
            </w:r>
          </w:p>
        </w:tc>
        <w:tc>
          <w:tcPr>
            <w:tcW w:w="1434" w:type="dxa"/>
          </w:tcPr>
          <w:p w:rsidR="002F4D97" w:rsidRPr="002C1AA6" w:rsidRDefault="002F4D97" w:rsidP="00DD0F4D">
            <w:pPr>
              <w:pStyle w:val="Tabletext"/>
            </w:pPr>
            <w:r w:rsidRPr="002C1AA6">
              <w:t>2-3</w:t>
            </w:r>
          </w:p>
        </w:tc>
        <w:tc>
          <w:tcPr>
            <w:tcW w:w="1644" w:type="dxa"/>
          </w:tcPr>
          <w:p w:rsidR="002F4D97" w:rsidRPr="002C1AA6" w:rsidRDefault="002F4D97" w:rsidP="00DD0F4D">
            <w:pPr>
              <w:pStyle w:val="Tabletext"/>
            </w:pPr>
            <w:r w:rsidRPr="002C1AA6">
              <w:t>70 883</w:t>
            </w:r>
          </w:p>
        </w:tc>
        <w:tc>
          <w:tcPr>
            <w:tcW w:w="1261" w:type="dxa"/>
          </w:tcPr>
          <w:p w:rsidR="002F4D97" w:rsidRPr="002C1AA6" w:rsidRDefault="002F4D97" w:rsidP="00DD0F4D">
            <w:pPr>
              <w:pStyle w:val="Tabletext"/>
            </w:pPr>
            <w:r w:rsidRPr="002C1AA6">
              <w:t>188 385</w:t>
            </w:r>
          </w:p>
        </w:tc>
      </w:tr>
      <w:tr w:rsidR="002F4D97" w:rsidRPr="002C1AA6" w:rsidTr="002F4D97">
        <w:tc>
          <w:tcPr>
            <w:tcW w:w="1701" w:type="dxa"/>
          </w:tcPr>
          <w:p w:rsidR="002F4D97" w:rsidRPr="00AA4A38" w:rsidRDefault="002F4D97" w:rsidP="00DD0F4D">
            <w:pPr>
              <w:pStyle w:val="Tabletext"/>
            </w:pPr>
            <w:r w:rsidRPr="00AA4A38">
              <w:t>New South Wales</w:t>
            </w:r>
          </w:p>
        </w:tc>
        <w:tc>
          <w:tcPr>
            <w:tcW w:w="1701" w:type="dxa"/>
          </w:tcPr>
          <w:p w:rsidR="002F4D97" w:rsidRPr="002C1AA6" w:rsidRDefault="002F4D97" w:rsidP="00DD0F4D">
            <w:pPr>
              <w:pStyle w:val="Tabletext"/>
            </w:pPr>
            <w:r w:rsidRPr="002C1AA6">
              <w:t>5 900</w:t>
            </w:r>
          </w:p>
        </w:tc>
        <w:tc>
          <w:tcPr>
            <w:tcW w:w="1393" w:type="dxa"/>
          </w:tcPr>
          <w:p w:rsidR="002F4D97" w:rsidRPr="002C1AA6" w:rsidRDefault="002F4D97" w:rsidP="00DD0F4D">
            <w:pPr>
              <w:pStyle w:val="Tabletext"/>
            </w:pPr>
            <w:r w:rsidRPr="002C1AA6">
              <w:t>24 000</w:t>
            </w:r>
          </w:p>
        </w:tc>
        <w:tc>
          <w:tcPr>
            <w:tcW w:w="1434" w:type="dxa"/>
          </w:tcPr>
          <w:p w:rsidR="002F4D97" w:rsidRPr="002C1AA6" w:rsidRDefault="002F4D97" w:rsidP="00DD0F4D">
            <w:pPr>
              <w:pStyle w:val="Tabletext"/>
            </w:pPr>
            <w:r w:rsidRPr="002C1AA6">
              <w:t>2-3</w:t>
            </w:r>
          </w:p>
        </w:tc>
        <w:tc>
          <w:tcPr>
            <w:tcW w:w="1644" w:type="dxa"/>
          </w:tcPr>
          <w:p w:rsidR="002F4D97" w:rsidRPr="002C1AA6" w:rsidRDefault="002F4D97" w:rsidP="00DD0F4D">
            <w:pPr>
              <w:pStyle w:val="Tabletext"/>
            </w:pPr>
            <w:r w:rsidRPr="002C1AA6">
              <w:t>73 705</w:t>
            </w:r>
          </w:p>
        </w:tc>
        <w:tc>
          <w:tcPr>
            <w:tcW w:w="1261" w:type="dxa"/>
          </w:tcPr>
          <w:p w:rsidR="002F4D97" w:rsidRPr="002C1AA6" w:rsidRDefault="002F4D97" w:rsidP="00DD0F4D">
            <w:pPr>
              <w:pStyle w:val="Tabletext"/>
            </w:pPr>
            <w:r w:rsidRPr="002C1AA6">
              <w:t>208 902</w:t>
            </w:r>
          </w:p>
        </w:tc>
      </w:tr>
      <w:tr w:rsidR="002F4D97" w:rsidRPr="002C1AA6" w:rsidTr="002F4D97">
        <w:tc>
          <w:tcPr>
            <w:tcW w:w="1701" w:type="dxa"/>
          </w:tcPr>
          <w:p w:rsidR="002F4D97" w:rsidRPr="00AA4A38" w:rsidRDefault="002F4D97" w:rsidP="00DD0F4D">
            <w:pPr>
              <w:pStyle w:val="Tabletext"/>
            </w:pPr>
            <w:r w:rsidRPr="00AA4A38">
              <w:t>Victoria</w:t>
            </w:r>
          </w:p>
        </w:tc>
        <w:tc>
          <w:tcPr>
            <w:tcW w:w="1701" w:type="dxa"/>
          </w:tcPr>
          <w:p w:rsidR="002F4D97" w:rsidRPr="002C1AA6" w:rsidRDefault="002F4D97" w:rsidP="00DD0F4D">
            <w:pPr>
              <w:pStyle w:val="Tabletext"/>
            </w:pPr>
            <w:r w:rsidRPr="002C1AA6">
              <w:t>4 900</w:t>
            </w:r>
          </w:p>
        </w:tc>
        <w:tc>
          <w:tcPr>
            <w:tcW w:w="1393" w:type="dxa"/>
          </w:tcPr>
          <w:p w:rsidR="002F4D97" w:rsidRPr="002C1AA6" w:rsidRDefault="002F4D97" w:rsidP="00DD0F4D">
            <w:pPr>
              <w:pStyle w:val="Tabletext"/>
            </w:pPr>
            <w:r w:rsidRPr="002C1AA6">
              <w:t>63 000</w:t>
            </w:r>
          </w:p>
        </w:tc>
        <w:tc>
          <w:tcPr>
            <w:tcW w:w="1434" w:type="dxa"/>
          </w:tcPr>
          <w:p w:rsidR="002F4D97" w:rsidRPr="002C1AA6" w:rsidRDefault="002F4D97" w:rsidP="00DD0F4D">
            <w:pPr>
              <w:pStyle w:val="Tabletext"/>
            </w:pPr>
            <w:r w:rsidRPr="002C1AA6">
              <w:t>2-3</w:t>
            </w:r>
          </w:p>
        </w:tc>
        <w:tc>
          <w:tcPr>
            <w:tcW w:w="1644" w:type="dxa"/>
          </w:tcPr>
          <w:p w:rsidR="002F4D97" w:rsidRPr="002C1AA6" w:rsidRDefault="002F4D97" w:rsidP="00DD0F4D">
            <w:pPr>
              <w:pStyle w:val="Tabletext"/>
            </w:pPr>
            <w:r w:rsidRPr="002C1AA6">
              <w:t>71 721</w:t>
            </w:r>
          </w:p>
        </w:tc>
        <w:tc>
          <w:tcPr>
            <w:tcW w:w="1261" w:type="dxa"/>
          </w:tcPr>
          <w:p w:rsidR="002F4D97" w:rsidRPr="002C1AA6" w:rsidRDefault="002F4D97" w:rsidP="00DD0F4D">
            <w:pPr>
              <w:pStyle w:val="Tabletext"/>
            </w:pPr>
            <w:r w:rsidRPr="002C1AA6">
              <w:t>186 186</w:t>
            </w:r>
          </w:p>
        </w:tc>
      </w:tr>
      <w:tr w:rsidR="002F4D97" w:rsidRPr="002C1AA6" w:rsidTr="002F4D97">
        <w:tc>
          <w:tcPr>
            <w:tcW w:w="1701" w:type="dxa"/>
          </w:tcPr>
          <w:p w:rsidR="002F4D97" w:rsidRPr="00AA4A38" w:rsidRDefault="002F4D97" w:rsidP="00DD0F4D">
            <w:pPr>
              <w:pStyle w:val="Tabletext"/>
            </w:pPr>
            <w:r w:rsidRPr="00AA4A38">
              <w:t>South Australia</w:t>
            </w:r>
          </w:p>
        </w:tc>
        <w:tc>
          <w:tcPr>
            <w:tcW w:w="1701" w:type="dxa"/>
          </w:tcPr>
          <w:p w:rsidR="002F4D97" w:rsidRPr="002C1AA6" w:rsidRDefault="002F4D97" w:rsidP="00DD0F4D">
            <w:pPr>
              <w:pStyle w:val="Tabletext"/>
            </w:pPr>
            <w:r w:rsidRPr="002C1AA6">
              <w:t>5 100</w:t>
            </w:r>
          </w:p>
        </w:tc>
        <w:tc>
          <w:tcPr>
            <w:tcW w:w="1393" w:type="dxa"/>
          </w:tcPr>
          <w:p w:rsidR="002F4D97" w:rsidRPr="002C1AA6" w:rsidRDefault="002F4D97" w:rsidP="00DD0F4D">
            <w:pPr>
              <w:pStyle w:val="Tabletext"/>
            </w:pPr>
            <w:r w:rsidRPr="002C1AA6">
              <w:t>21 000</w:t>
            </w:r>
          </w:p>
        </w:tc>
        <w:tc>
          <w:tcPr>
            <w:tcW w:w="1434" w:type="dxa"/>
          </w:tcPr>
          <w:p w:rsidR="002F4D97" w:rsidRPr="002C1AA6" w:rsidRDefault="002F4D97" w:rsidP="00DD0F4D">
            <w:pPr>
              <w:pStyle w:val="Tabletext"/>
            </w:pPr>
            <w:r w:rsidRPr="002C1AA6">
              <w:t>2-3</w:t>
            </w:r>
          </w:p>
        </w:tc>
        <w:tc>
          <w:tcPr>
            <w:tcW w:w="1644" w:type="dxa"/>
          </w:tcPr>
          <w:p w:rsidR="002F4D97" w:rsidRPr="002C1AA6" w:rsidRDefault="002F4D97" w:rsidP="00DD0F4D">
            <w:pPr>
              <w:pStyle w:val="Tabletext"/>
            </w:pPr>
            <w:r w:rsidRPr="002C1AA6">
              <w:t>61 640</w:t>
            </w:r>
          </w:p>
        </w:tc>
        <w:tc>
          <w:tcPr>
            <w:tcW w:w="1261" w:type="dxa"/>
          </w:tcPr>
          <w:p w:rsidR="002F4D97" w:rsidRPr="002C1AA6" w:rsidRDefault="002F4D97" w:rsidP="00DD0F4D">
            <w:pPr>
              <w:pStyle w:val="Tabletext"/>
            </w:pPr>
            <w:r w:rsidRPr="002C1AA6">
              <w:t>163 290</w:t>
            </w:r>
          </w:p>
        </w:tc>
      </w:tr>
      <w:tr w:rsidR="002F4D97" w:rsidRPr="002C1AA6" w:rsidTr="002F4D97">
        <w:tc>
          <w:tcPr>
            <w:tcW w:w="1701" w:type="dxa"/>
          </w:tcPr>
          <w:p w:rsidR="002F4D97" w:rsidRPr="00AA4A38" w:rsidRDefault="002F4D97" w:rsidP="00DD0F4D">
            <w:pPr>
              <w:pStyle w:val="Tabletext"/>
            </w:pPr>
            <w:r w:rsidRPr="00AA4A38">
              <w:t>Tasmania</w:t>
            </w:r>
          </w:p>
        </w:tc>
        <w:tc>
          <w:tcPr>
            <w:tcW w:w="1701" w:type="dxa"/>
          </w:tcPr>
          <w:p w:rsidR="002F4D97" w:rsidRPr="002C1AA6" w:rsidRDefault="002F4D97" w:rsidP="00DD0F4D">
            <w:pPr>
              <w:pStyle w:val="Tabletext"/>
            </w:pPr>
            <w:r w:rsidRPr="002C1AA6">
              <w:t>8 800</w:t>
            </w:r>
          </w:p>
        </w:tc>
        <w:tc>
          <w:tcPr>
            <w:tcW w:w="1393" w:type="dxa"/>
          </w:tcPr>
          <w:p w:rsidR="002F4D97" w:rsidRPr="002C1AA6" w:rsidRDefault="002F4D97" w:rsidP="00DD0F4D">
            <w:pPr>
              <w:pStyle w:val="Tabletext"/>
            </w:pPr>
            <w:r w:rsidRPr="002C1AA6">
              <w:t>N/A</w:t>
            </w:r>
          </w:p>
        </w:tc>
        <w:tc>
          <w:tcPr>
            <w:tcW w:w="1434" w:type="dxa"/>
          </w:tcPr>
          <w:p w:rsidR="002F4D97" w:rsidRPr="002C1AA6" w:rsidRDefault="002F4D97" w:rsidP="00DD0F4D">
            <w:pPr>
              <w:pStyle w:val="Tabletext"/>
            </w:pPr>
            <w:r w:rsidRPr="002C1AA6">
              <w:t>2-3</w:t>
            </w:r>
          </w:p>
        </w:tc>
        <w:tc>
          <w:tcPr>
            <w:tcW w:w="1644" w:type="dxa"/>
          </w:tcPr>
          <w:p w:rsidR="002F4D97" w:rsidRPr="002C1AA6" w:rsidRDefault="002F4D97" w:rsidP="00DD0F4D">
            <w:pPr>
              <w:pStyle w:val="Tabletext"/>
            </w:pPr>
            <w:r w:rsidRPr="002C1AA6">
              <w:t>58 446</w:t>
            </w:r>
          </w:p>
        </w:tc>
        <w:tc>
          <w:tcPr>
            <w:tcW w:w="1261" w:type="dxa"/>
          </w:tcPr>
          <w:p w:rsidR="002F4D97" w:rsidRPr="002C1AA6" w:rsidRDefault="002F4D97" w:rsidP="00DD0F4D">
            <w:pPr>
              <w:pStyle w:val="Tabletext"/>
            </w:pPr>
            <w:r w:rsidRPr="002C1AA6">
              <w:t>147 953</w:t>
            </w:r>
          </w:p>
        </w:tc>
      </w:tr>
      <w:tr w:rsidR="002F4D97" w:rsidRPr="002C1AA6" w:rsidTr="002F4D97">
        <w:tc>
          <w:tcPr>
            <w:tcW w:w="1701" w:type="dxa"/>
          </w:tcPr>
          <w:p w:rsidR="002F4D97" w:rsidRPr="00AA4A38" w:rsidRDefault="002F4D97" w:rsidP="00DD0F4D">
            <w:pPr>
              <w:pStyle w:val="Tabletext"/>
            </w:pPr>
            <w:r w:rsidRPr="00AA4A38">
              <w:t>ACT</w:t>
            </w:r>
          </w:p>
        </w:tc>
        <w:tc>
          <w:tcPr>
            <w:tcW w:w="1701" w:type="dxa"/>
          </w:tcPr>
          <w:p w:rsidR="002F4D97" w:rsidRPr="002C1AA6" w:rsidRDefault="002F4D97" w:rsidP="00DD0F4D">
            <w:pPr>
              <w:pStyle w:val="Tabletext"/>
            </w:pPr>
            <w:r w:rsidRPr="002C1AA6">
              <w:t>7 500</w:t>
            </w:r>
          </w:p>
        </w:tc>
        <w:tc>
          <w:tcPr>
            <w:tcW w:w="1393" w:type="dxa"/>
          </w:tcPr>
          <w:p w:rsidR="002F4D97" w:rsidRPr="002C1AA6" w:rsidRDefault="002F4D97" w:rsidP="00DD0F4D">
            <w:pPr>
              <w:pStyle w:val="Tabletext"/>
            </w:pPr>
            <w:r w:rsidRPr="002C1AA6">
              <w:t>48 000</w:t>
            </w:r>
          </w:p>
        </w:tc>
        <w:tc>
          <w:tcPr>
            <w:tcW w:w="1434" w:type="dxa"/>
          </w:tcPr>
          <w:p w:rsidR="002F4D97" w:rsidRPr="002C1AA6" w:rsidRDefault="002F4D97" w:rsidP="00DD0F4D">
            <w:pPr>
              <w:pStyle w:val="Tabletext"/>
            </w:pPr>
            <w:r w:rsidRPr="002C1AA6">
              <w:t>2-3</w:t>
            </w:r>
          </w:p>
        </w:tc>
        <w:tc>
          <w:tcPr>
            <w:tcW w:w="1644" w:type="dxa"/>
          </w:tcPr>
          <w:p w:rsidR="002F4D97" w:rsidRPr="002C1AA6" w:rsidRDefault="002F4D97" w:rsidP="00DD0F4D">
            <w:pPr>
              <w:pStyle w:val="Tabletext"/>
            </w:pPr>
            <w:r w:rsidRPr="002C1AA6">
              <w:t>98 363</w:t>
            </w:r>
          </w:p>
        </w:tc>
        <w:tc>
          <w:tcPr>
            <w:tcW w:w="1261" w:type="dxa"/>
          </w:tcPr>
          <w:p w:rsidR="002F4D97" w:rsidRPr="002C1AA6" w:rsidRDefault="002F4D97" w:rsidP="00DD0F4D">
            <w:pPr>
              <w:pStyle w:val="Tabletext"/>
            </w:pPr>
            <w:r w:rsidRPr="002C1AA6">
              <w:t>210 392</w:t>
            </w:r>
          </w:p>
        </w:tc>
      </w:tr>
    </w:tbl>
    <w:p w:rsidR="002F4D97" w:rsidRPr="002F4D97" w:rsidRDefault="002F4D97" w:rsidP="002F4D97">
      <w:r w:rsidRPr="002F4D97">
        <w:br w:type="page"/>
      </w:r>
    </w:p>
    <w:p w:rsidR="002F4D97" w:rsidRDefault="002F4D97" w:rsidP="002F4D97">
      <w:pPr>
        <w:pStyle w:val="Heading2"/>
        <w:numPr>
          <w:ilvl w:val="0"/>
          <w:numId w:val="0"/>
        </w:numPr>
        <w:ind w:left="1002" w:hanging="576"/>
      </w:pPr>
      <w:bookmarkStart w:id="92" w:name="_Toc433026859"/>
      <w:r>
        <w:lastRenderedPageBreak/>
        <w:t xml:space="preserve">Appendix </w:t>
      </w:r>
      <w:r w:rsidR="002E6A40">
        <w:t>8</w:t>
      </w:r>
      <w:r w:rsidRPr="002C1AA6">
        <w:t xml:space="preserve">: </w:t>
      </w:r>
      <w:r>
        <w:tab/>
        <w:t>Map of electricity distribution zones</w:t>
      </w:r>
      <w:bookmarkEnd w:id="92"/>
    </w:p>
    <w:p w:rsidR="002F4D97" w:rsidRPr="002F4D97" w:rsidRDefault="002F4D97" w:rsidP="002F4D97">
      <w:r w:rsidRPr="002F4D97">
        <w:rPr>
          <w:noProof/>
          <w:lang w:eastAsia="en-AU"/>
        </w:rPr>
        <w:drawing>
          <wp:inline distT="0" distB="0" distL="0" distR="0" wp14:anchorId="6E40BC7C" wp14:editId="448BC1A1">
            <wp:extent cx="5511600" cy="687600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11600" cy="6876000"/>
                    </a:xfrm>
                    <a:prstGeom prst="rect">
                      <a:avLst/>
                    </a:prstGeom>
                    <a:noFill/>
                  </pic:spPr>
                </pic:pic>
              </a:graphicData>
            </a:graphic>
          </wp:inline>
        </w:drawing>
      </w:r>
      <w:r w:rsidRPr="002F4D97">
        <w:br w:type="page"/>
      </w:r>
    </w:p>
    <w:p w:rsidR="002F4D97" w:rsidRDefault="002F4D97" w:rsidP="002F4D97">
      <w:pPr>
        <w:pStyle w:val="Heading2"/>
        <w:numPr>
          <w:ilvl w:val="0"/>
          <w:numId w:val="0"/>
        </w:numPr>
        <w:ind w:left="1002" w:hanging="576"/>
      </w:pPr>
      <w:bookmarkStart w:id="93" w:name="_Toc433026860"/>
      <w:r>
        <w:lastRenderedPageBreak/>
        <w:t xml:space="preserve">Appendix </w:t>
      </w:r>
      <w:r w:rsidR="002E6A40">
        <w:t>9</w:t>
      </w:r>
      <w:r w:rsidRPr="002C1AA6">
        <w:t xml:space="preserve">: </w:t>
      </w:r>
      <w:r>
        <w:tab/>
        <w:t>Map of gas distribution zones</w:t>
      </w:r>
      <w:bookmarkEnd w:id="93"/>
    </w:p>
    <w:p w:rsidR="007A3DA4" w:rsidRPr="007A3DA4" w:rsidRDefault="007A3DA4" w:rsidP="007A3DA4"/>
    <w:p w:rsidR="002F4D97" w:rsidRPr="002C1AA6" w:rsidRDefault="002F4D97" w:rsidP="007A3DA4">
      <w:pPr>
        <w:pStyle w:val="Heading2"/>
        <w:numPr>
          <w:ilvl w:val="0"/>
          <w:numId w:val="0"/>
        </w:numPr>
        <w:ind w:left="1002" w:hanging="576"/>
      </w:pPr>
      <w:bookmarkStart w:id="94" w:name="_Toc432766007"/>
      <w:bookmarkStart w:id="95" w:name="_Toc433026861"/>
      <w:r w:rsidRPr="002F4D97">
        <w:rPr>
          <w:noProof/>
          <w:lang w:eastAsia="en-AU"/>
        </w:rPr>
        <w:drawing>
          <wp:inline distT="0" distB="0" distL="0" distR="0" wp14:anchorId="40901C93" wp14:editId="73A4FA22">
            <wp:extent cx="5730875" cy="7047865"/>
            <wp:effectExtent l="0" t="0" r="317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0875" cy="7047865"/>
                    </a:xfrm>
                    <a:prstGeom prst="rect">
                      <a:avLst/>
                    </a:prstGeom>
                    <a:noFill/>
                  </pic:spPr>
                </pic:pic>
              </a:graphicData>
            </a:graphic>
          </wp:inline>
        </w:drawing>
      </w:r>
      <w:bookmarkEnd w:id="94"/>
      <w:bookmarkEnd w:id="95"/>
    </w:p>
    <w:p w:rsidR="00185CB9" w:rsidRDefault="00185CB9" w:rsidP="00185CB9"/>
    <w:sectPr w:rsidR="00185CB9" w:rsidSect="00E137FB">
      <w:footerReference w:type="even" r:id="rId51"/>
      <w:footerReference w:type="default" r:id="rId52"/>
      <w:footerReference w:type="first" r:id="rId53"/>
      <w:pgSz w:w="11906" w:h="16838"/>
      <w:pgMar w:top="1440" w:right="1440" w:bottom="1440" w:left="1440" w:header="708" w:footer="8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1FC" w:rsidRDefault="000B71FC" w:rsidP="004B4412">
      <w:pPr>
        <w:spacing w:before="0"/>
      </w:pPr>
      <w:r>
        <w:separator/>
      </w:r>
    </w:p>
    <w:p w:rsidR="000B71FC" w:rsidRDefault="000B71FC"/>
    <w:p w:rsidR="000B71FC" w:rsidRDefault="000B71FC"/>
  </w:endnote>
  <w:endnote w:type="continuationSeparator" w:id="0">
    <w:p w:rsidR="000B71FC" w:rsidRDefault="000B71FC" w:rsidP="004B4412">
      <w:pPr>
        <w:spacing w:before="0"/>
      </w:pPr>
      <w:r>
        <w:continuationSeparator/>
      </w:r>
    </w:p>
    <w:p w:rsidR="000B71FC" w:rsidRDefault="000B71FC"/>
    <w:p w:rsidR="000B71FC" w:rsidRDefault="000B71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1FC" w:rsidRPr="00A91A9E" w:rsidRDefault="000B71FC" w:rsidP="00D226C7">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0B71FC" w:rsidRDefault="000B71FC"/>
  <w:p w:rsidR="000B71FC" w:rsidRDefault="000B71F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1FC" w:rsidRDefault="005D380E" w:rsidP="00CC7F1D">
    <w:pPr>
      <w:pStyle w:val="Footer"/>
      <w:tabs>
        <w:tab w:val="clear" w:pos="9026"/>
        <w:tab w:val="right" w:pos="8505"/>
      </w:tabs>
    </w:pPr>
    <w:r>
      <w:fldChar w:fldCharType="begin"/>
    </w:r>
    <w:r>
      <w:instrText xml:space="preserve"> STYLEREF  "Report Title"  \* MERGEFORMAT </w:instrText>
    </w:r>
    <w:r>
      <w:fldChar w:fldCharType="separate"/>
    </w:r>
    <w:r>
      <w:rPr>
        <w:noProof/>
      </w:rPr>
      <w:t>Annual report on the performance of the retail energy market</w:t>
    </w:r>
    <w:r>
      <w:rPr>
        <w:noProof/>
      </w:rPr>
      <w:fldChar w:fldCharType="end"/>
    </w:r>
    <w:r w:rsidR="000B71FC">
      <w:tab/>
    </w:r>
    <w:r w:rsidR="000B71FC">
      <w:tab/>
    </w:r>
    <w:r w:rsidR="000B71FC">
      <w:fldChar w:fldCharType="begin"/>
    </w:r>
    <w:r w:rsidR="000B71FC">
      <w:instrText xml:space="preserve"> PAGE   \* MERGEFORMAT </w:instrText>
    </w:r>
    <w:r w:rsidR="000B71FC">
      <w:fldChar w:fldCharType="separate"/>
    </w:r>
    <w:r>
      <w:rPr>
        <w:noProof/>
      </w:rPr>
      <w:t>4</w:t>
    </w:r>
    <w:r w:rsidR="000B71FC">
      <w:rPr>
        <w:noProof/>
      </w:rPr>
      <w:fldChar w:fldCharType="end"/>
    </w:r>
  </w:p>
  <w:p w:rsidR="000B71FC" w:rsidRDefault="000B71FC"/>
  <w:p w:rsidR="000B71FC" w:rsidRDefault="000B71F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1FC" w:rsidRDefault="005D380E" w:rsidP="00CC7F1D">
    <w:pPr>
      <w:pStyle w:val="Footer"/>
      <w:tabs>
        <w:tab w:val="clear" w:pos="9026"/>
        <w:tab w:val="right" w:pos="8505"/>
      </w:tabs>
    </w:pPr>
    <w:r>
      <w:fldChar w:fldCharType="begin"/>
    </w:r>
    <w:r>
      <w:instrText xml:space="preserve"> STYLEREF  "Report Title"  \* MERGEFORMAT </w:instrText>
    </w:r>
    <w:r>
      <w:fldChar w:fldCharType="separate"/>
    </w:r>
    <w:r>
      <w:rPr>
        <w:noProof/>
      </w:rPr>
      <w:t>Annual report on the performance of the retail energy market</w:t>
    </w:r>
    <w:r>
      <w:rPr>
        <w:noProof/>
      </w:rPr>
      <w:fldChar w:fldCharType="end"/>
    </w:r>
    <w:r w:rsidR="000B71FC">
      <w:tab/>
    </w:r>
    <w:r w:rsidR="000B71FC">
      <w:tab/>
    </w:r>
    <w:r w:rsidR="000B71FC">
      <w:fldChar w:fldCharType="begin"/>
    </w:r>
    <w:r w:rsidR="000B71FC">
      <w:instrText xml:space="preserve"> PAGE   \* MERGEFORMAT </w:instrText>
    </w:r>
    <w:r w:rsidR="000B71FC">
      <w:fldChar w:fldCharType="separate"/>
    </w:r>
    <w:r>
      <w:rPr>
        <w:noProof/>
      </w:rPr>
      <w:t>1</w:t>
    </w:r>
    <w:r w:rsidR="000B71FC">
      <w:fldChar w:fldCharType="end"/>
    </w:r>
  </w:p>
  <w:p w:rsidR="000B71FC" w:rsidRDefault="000B71FC">
    <w:pPr>
      <w:pStyle w:val="Footer"/>
    </w:pPr>
  </w:p>
  <w:p w:rsidR="000B71FC" w:rsidRDefault="000B71FC"/>
  <w:p w:rsidR="000B71FC" w:rsidRDefault="000B71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1FC" w:rsidRDefault="000B71FC" w:rsidP="00182906">
      <w:pPr>
        <w:spacing w:before="0"/>
      </w:pPr>
      <w:r>
        <w:separator/>
      </w:r>
    </w:p>
  </w:footnote>
  <w:footnote w:type="continuationSeparator" w:id="0">
    <w:p w:rsidR="000B71FC" w:rsidRDefault="000B71FC" w:rsidP="00182906">
      <w:pPr>
        <w:spacing w:before="0"/>
      </w:pPr>
      <w:r>
        <w:continuationSeparator/>
      </w:r>
    </w:p>
  </w:footnote>
  <w:footnote w:type="continuationNotice" w:id="1">
    <w:p w:rsidR="000B71FC" w:rsidRDefault="000B71FC">
      <w:pPr>
        <w:spacing w:before="0" w:line="240" w:lineRule="auto"/>
      </w:pPr>
    </w:p>
  </w:footnote>
  <w:footnote w:id="2">
    <w:p w:rsidR="000B71FC" w:rsidRDefault="000B71FC" w:rsidP="00164030">
      <w:pPr>
        <w:pStyle w:val="FootnoteText"/>
      </w:pPr>
      <w:r>
        <w:rPr>
          <w:rStyle w:val="FootnoteReference"/>
        </w:rPr>
        <w:footnoteRef/>
      </w:r>
      <w:r>
        <w:t xml:space="preserve"> Section 284 of the National Energy Retail Law requires the AER to produce annual reports for retailers and sets out our obligations. </w:t>
      </w:r>
    </w:p>
  </w:footnote>
  <w:footnote w:id="3">
    <w:p w:rsidR="000B71FC" w:rsidRDefault="000B71FC">
      <w:pPr>
        <w:pStyle w:val="FootnoteText"/>
      </w:pPr>
      <w:r>
        <w:rPr>
          <w:rStyle w:val="FootnoteReference"/>
        </w:rPr>
        <w:footnoteRef/>
      </w:r>
      <w:r>
        <w:t>.As at 30 June 2015 these were New South Wales, South Australia, Tasmania and the ACT. Future reports will also contain data for Queensland, which commenced the Retail Law on 1 July 2015.</w:t>
      </w:r>
    </w:p>
  </w:footnote>
  <w:footnote w:id="4">
    <w:p w:rsidR="000B71FC" w:rsidRDefault="000B71FC">
      <w:pPr>
        <w:pStyle w:val="FootnoteText"/>
      </w:pPr>
      <w:r>
        <w:rPr>
          <w:rStyle w:val="FootnoteReference"/>
        </w:rPr>
        <w:footnoteRef/>
      </w:r>
      <w:r>
        <w:t xml:space="preserve"> In jurisdictions where the Retail Law applies.</w:t>
      </w:r>
    </w:p>
  </w:footnote>
  <w:footnote w:id="5">
    <w:p w:rsidR="000B71FC" w:rsidRDefault="000B71FC" w:rsidP="00164030">
      <w:pPr>
        <w:pStyle w:val="FootnoteText"/>
      </w:pPr>
      <w:r>
        <w:rPr>
          <w:rStyle w:val="FootnoteReference"/>
        </w:rPr>
        <w:footnoteRef/>
      </w:r>
      <w:r>
        <w:t xml:space="preserve"> Changes in annual bills are based on a low income household on the median market offer (standing electricity offer in Tasmania), not receiving an energy concession. </w:t>
      </w:r>
    </w:p>
  </w:footnote>
  <w:footnote w:id="6">
    <w:p w:rsidR="000B71FC" w:rsidRDefault="000B71FC" w:rsidP="00311BEC">
      <w:pPr>
        <w:pStyle w:val="FootnoteText"/>
      </w:pPr>
      <w:r>
        <w:rPr>
          <w:rStyle w:val="FootnoteReference"/>
        </w:rPr>
        <w:footnoteRef/>
      </w:r>
      <w:r>
        <w:t xml:space="preserve"> </w:t>
      </w:r>
      <w:proofErr w:type="gramStart"/>
      <w:r>
        <w:t xml:space="preserve">Australian Energy Market Commission, 2015 Retail Competition Review, </w:t>
      </w:r>
      <w:r>
        <w:br/>
      </w:r>
      <w:hyperlink r:id="rId1" w:history="1">
        <w:r w:rsidRPr="003501D7">
          <w:rPr>
            <w:rStyle w:val="Hyperlink"/>
            <w:sz w:val="16"/>
          </w:rPr>
          <w:t>www.aemc.gov.au/Markets-Reviews-Advice/2015-retail-competition-review</w:t>
        </w:r>
      </w:hyperlink>
      <w:r w:rsidRPr="00311BEC">
        <w:t>.</w:t>
      </w:r>
      <w:proofErr w:type="gramEnd"/>
      <w:r>
        <w:t xml:space="preserve">  </w:t>
      </w:r>
    </w:p>
  </w:footnote>
  <w:footnote w:id="7">
    <w:p w:rsidR="000B71FC" w:rsidRDefault="000B71FC" w:rsidP="00D94878">
      <w:pPr>
        <w:pStyle w:val="FootnoteText"/>
      </w:pPr>
      <w:r>
        <w:rPr>
          <w:rStyle w:val="FootnoteReference"/>
        </w:rPr>
        <w:footnoteRef/>
      </w:r>
      <w:r>
        <w:t xml:space="preserve"> The gas market in Tasmania is not subject to the Retail Law. </w:t>
      </w:r>
    </w:p>
  </w:footnote>
  <w:footnote w:id="8">
    <w:p w:rsidR="000B71FC" w:rsidRDefault="000B71FC" w:rsidP="00D94878">
      <w:pPr>
        <w:pStyle w:val="FootnoteText"/>
      </w:pPr>
      <w:r>
        <w:rPr>
          <w:rStyle w:val="FootnoteReference"/>
        </w:rPr>
        <w:footnoteRef/>
      </w:r>
      <w:r>
        <w:t xml:space="preserve"> Local area retailers are obliged to offer to supply energy in their associated distribution supply areas to customers who create new connections. </w:t>
      </w:r>
    </w:p>
  </w:footnote>
  <w:footnote w:id="9">
    <w:p w:rsidR="000B71FC" w:rsidRDefault="000B71FC" w:rsidP="00311BEC">
      <w:pPr>
        <w:pStyle w:val="FootnoteText"/>
      </w:pPr>
      <w:r>
        <w:rPr>
          <w:rStyle w:val="FootnoteReference"/>
        </w:rPr>
        <w:footnoteRef/>
      </w:r>
      <w:r>
        <w:t xml:space="preserve"> The Australian Energy Market Operator (AEMO) regularly publishes switching data. An explanation of how AEMO’s switching data is calculated is available at: </w:t>
      </w:r>
      <w:hyperlink r:id="rId2" w:history="1">
        <w:r w:rsidRPr="00311BEC">
          <w:rPr>
            <w:rStyle w:val="Hyperlink"/>
            <w:color w:val="auto"/>
            <w:sz w:val="16"/>
            <w:u w:val="none"/>
          </w:rPr>
          <w:t>www.aemo.com.au</w:t>
        </w:r>
      </w:hyperlink>
      <w:r w:rsidRPr="00311BEC">
        <w:t>.</w:t>
      </w:r>
      <w:r>
        <w:t xml:space="preserve"> </w:t>
      </w:r>
    </w:p>
  </w:footnote>
  <w:footnote w:id="10">
    <w:p w:rsidR="000B71FC" w:rsidRDefault="000B71FC" w:rsidP="00311BEC">
      <w:pPr>
        <w:pStyle w:val="FootnoteText"/>
      </w:pPr>
      <w:r>
        <w:rPr>
          <w:rStyle w:val="FootnoteReference"/>
        </w:rPr>
        <w:footnoteRef/>
      </w:r>
      <w:r>
        <w:t xml:space="preserve"> </w:t>
      </w:r>
      <w:proofErr w:type="gramStart"/>
      <w:r>
        <w:t xml:space="preserve">Australian Energy Market Commission, 2015 Retail Competition Review, </w:t>
      </w:r>
      <w:r>
        <w:br/>
      </w:r>
      <w:hyperlink r:id="rId3" w:history="1">
        <w:r w:rsidRPr="003501D7">
          <w:rPr>
            <w:rStyle w:val="Hyperlink"/>
            <w:sz w:val="16"/>
          </w:rPr>
          <w:t>www.aemc.gov.au/Markets-Reviews-Advice/2015-retail-competition-review</w:t>
        </w:r>
      </w:hyperlink>
      <w:r w:rsidRPr="00311BEC">
        <w:t>.</w:t>
      </w:r>
      <w:proofErr w:type="gramEnd"/>
      <w:r>
        <w:t xml:space="preserve">  </w:t>
      </w:r>
    </w:p>
  </w:footnote>
  <w:footnote w:id="11">
    <w:p w:rsidR="000B71FC" w:rsidRDefault="000B71FC">
      <w:pPr>
        <w:pStyle w:val="FootnoteText"/>
      </w:pPr>
      <w:r>
        <w:rPr>
          <w:rStyle w:val="FootnoteReference"/>
        </w:rPr>
        <w:footnoteRef/>
      </w:r>
      <w:r>
        <w:t xml:space="preserve"> National Energy Retail Rules, r.49A.</w:t>
      </w:r>
    </w:p>
  </w:footnote>
  <w:footnote w:id="12">
    <w:p w:rsidR="000B71FC" w:rsidRDefault="000B71FC" w:rsidP="00D226C7">
      <w:pPr>
        <w:pStyle w:val="FootnoteText"/>
      </w:pPr>
      <w:r>
        <w:rPr>
          <w:rStyle w:val="FootnoteReference"/>
        </w:rPr>
        <w:footnoteRef/>
      </w:r>
      <w:r>
        <w:t xml:space="preserve"> Where the retailer uses an automated or IVR telephone system, the time is measured from when a customer chooses to speak to an operator. In all other cases, the time commences from when the call is received by the switchboard. </w:t>
      </w:r>
    </w:p>
  </w:footnote>
  <w:footnote w:id="13">
    <w:p w:rsidR="000B71FC" w:rsidRDefault="000B71FC" w:rsidP="00D226C7">
      <w:pPr>
        <w:pStyle w:val="FootnoteText"/>
      </w:pPr>
      <w:r>
        <w:rPr>
          <w:rStyle w:val="FootnoteReference"/>
        </w:rPr>
        <w:footnoteRef/>
      </w:r>
      <w:r>
        <w:t xml:space="preserve"> Under Clause 7 of the National Energy Retail (Local Provisions) Regulations.</w:t>
      </w:r>
    </w:p>
  </w:footnote>
  <w:footnote w:id="14">
    <w:p w:rsidR="000B71FC" w:rsidRDefault="000B71FC" w:rsidP="00D226C7">
      <w:pPr>
        <w:pStyle w:val="FootnoteText"/>
      </w:pPr>
      <w:r>
        <w:rPr>
          <w:rStyle w:val="FootnoteReference"/>
        </w:rPr>
        <w:footnoteRef/>
      </w:r>
      <w:r>
        <w:t xml:space="preserve"> The Retail Rules require the AER to distinguish between customers experiencing payment difficulties generally and customers on hardship programs. </w:t>
      </w:r>
    </w:p>
  </w:footnote>
  <w:footnote w:id="15">
    <w:p w:rsidR="000B71FC" w:rsidRDefault="000B71FC" w:rsidP="00D226C7">
      <w:pPr>
        <w:pStyle w:val="FootnoteText"/>
      </w:pPr>
      <w:r>
        <w:rPr>
          <w:rStyle w:val="FootnoteReference"/>
        </w:rPr>
        <w:footnoteRef/>
      </w:r>
      <w:r>
        <w:t xml:space="preserve"> Retailers must only report on arrangements with at least three instalments, and where the customer is paying off arrears (of any overdue amount). Customers using flexible payment arrangements for convenience or budgeting purposes are excluded for the purposes of payment plan reporting.  </w:t>
      </w:r>
    </w:p>
  </w:footnote>
  <w:footnote w:id="16">
    <w:p w:rsidR="000B71FC" w:rsidRDefault="000B71FC" w:rsidP="00D226C7">
      <w:pPr>
        <w:pStyle w:val="FootnoteText"/>
      </w:pPr>
      <w:r w:rsidRPr="002233F8">
        <w:rPr>
          <w:rStyle w:val="FootnoteReference"/>
        </w:rPr>
        <w:footnoteRef/>
      </w:r>
      <w:r w:rsidRPr="002233F8">
        <w:t xml:space="preserve"> Hardship programs are available to eligible customers, and must include: processes to identify customers who need assistance, flexible payment options including specifically tailored payment plans and Centrepay, advice on concessions and government grants, referrals to financial counselling services, energy efficiency advice and waiving late</w:t>
      </w:r>
      <w:r>
        <w:t xml:space="preserve"> payment fees. Customers on hardship programs will not be disconnected while they continue to meet agreed payment arrangements.</w:t>
      </w:r>
    </w:p>
  </w:footnote>
  <w:footnote w:id="17">
    <w:p w:rsidR="000B71FC" w:rsidRDefault="000B71FC">
      <w:pPr>
        <w:pStyle w:val="FootnoteText"/>
      </w:pPr>
      <w:r>
        <w:rPr>
          <w:rStyle w:val="FootnoteReference"/>
        </w:rPr>
        <w:footnoteRef/>
      </w:r>
      <w:r>
        <w:t xml:space="preserve"> </w:t>
      </w:r>
      <w:r w:rsidRPr="006D4C8B">
        <w:t>South Australia and ACT customers receiving gas concessions are estimated, as some retailers do not distinguish whether their customers utilise the energy concession (for electricity and gas) specifically for gas.</w:t>
      </w:r>
    </w:p>
  </w:footnote>
  <w:footnote w:id="18">
    <w:p w:rsidR="000B71FC" w:rsidRDefault="000B71FC" w:rsidP="00D226C7">
      <w:pPr>
        <w:pStyle w:val="FootnoteText"/>
      </w:pPr>
      <w:r>
        <w:rPr>
          <w:rStyle w:val="FootnoteReference"/>
        </w:rPr>
        <w:footnoteRef/>
      </w:r>
      <w:r>
        <w:t xml:space="preserve"> National Energy Retail Rules, r. 72(1)(a).</w:t>
      </w:r>
    </w:p>
  </w:footnote>
  <w:footnote w:id="19">
    <w:p w:rsidR="000B71FC" w:rsidRDefault="000B71FC" w:rsidP="00D226C7">
      <w:pPr>
        <w:pStyle w:val="FootnoteText"/>
      </w:pPr>
      <w:r>
        <w:rPr>
          <w:rStyle w:val="FootnoteReference"/>
        </w:rPr>
        <w:footnoteRef/>
      </w:r>
      <w:r>
        <w:t xml:space="preserve"> National Energy Retail Law, s. 44(c). </w:t>
      </w:r>
    </w:p>
  </w:footnote>
  <w:footnote w:id="20">
    <w:p w:rsidR="000B71FC" w:rsidRDefault="000B71FC">
      <w:pPr>
        <w:pStyle w:val="FootnoteText"/>
      </w:pPr>
      <w:r>
        <w:rPr>
          <w:rStyle w:val="FootnoteReference"/>
        </w:rPr>
        <w:footnoteRef/>
      </w:r>
      <w:r>
        <w:t xml:space="preserve"> Kildonan, 'Two incomes, still short', 2015, </w:t>
      </w:r>
      <w:r w:rsidRPr="00781261">
        <w:t>www.kildonan.org.au/media-and-publications/news/two-incomes-still-short/</w:t>
      </w:r>
      <w:r>
        <w:t>.</w:t>
      </w:r>
    </w:p>
  </w:footnote>
  <w:footnote w:id="21">
    <w:p w:rsidR="000B71FC" w:rsidRDefault="000B71FC">
      <w:pPr>
        <w:pStyle w:val="FootnoteText"/>
      </w:pPr>
      <w:r>
        <w:rPr>
          <w:rStyle w:val="FootnoteReference"/>
        </w:rPr>
        <w:footnoteRef/>
      </w:r>
      <w:r>
        <w:t xml:space="preserve"> There are a number of reasons why retai</w:t>
      </w:r>
      <w:r w:rsidR="00736C1E">
        <w:t>lers do not reconnect customers, including</w:t>
      </w:r>
      <w:r>
        <w:t xml:space="preserve"> abandonment of the property, reconnecting with a different retailer, reconnecting in a different name and moving house.</w:t>
      </w:r>
    </w:p>
  </w:footnote>
  <w:footnote w:id="22">
    <w:p w:rsidR="000B71FC" w:rsidRDefault="000B71FC" w:rsidP="00D226C7">
      <w:pPr>
        <w:pStyle w:val="FootnoteText"/>
      </w:pPr>
      <w:r>
        <w:rPr>
          <w:rStyle w:val="FootnoteReference"/>
        </w:rPr>
        <w:footnoteRef/>
      </w:r>
      <w:r>
        <w:t xml:space="preserve"> Gas concessions are not available in New South Wales, and retailers in South Australia and the ACT do not distinguish whether the energy concession is also applied to gas bills.</w:t>
      </w:r>
    </w:p>
  </w:footnote>
  <w:footnote w:id="23">
    <w:p w:rsidR="000B71FC" w:rsidRDefault="000B71FC" w:rsidP="00D226C7">
      <w:pPr>
        <w:pStyle w:val="FootnoteText"/>
      </w:pPr>
      <w:r>
        <w:rPr>
          <w:rStyle w:val="FootnoteReference"/>
        </w:rPr>
        <w:footnoteRef/>
      </w:r>
      <w:r>
        <w:t xml:space="preserve"> Self-disconnection means an interruption to the supply of energy because a prepayment meter system has no credit (including emergency credit) available.</w:t>
      </w:r>
    </w:p>
  </w:footnote>
  <w:footnote w:id="24">
    <w:p w:rsidR="000B71FC" w:rsidRDefault="000B71FC" w:rsidP="00D226C7">
      <w:pPr>
        <w:pStyle w:val="FootnoteText"/>
      </w:pPr>
      <w:r>
        <w:rPr>
          <w:rStyle w:val="FootnoteReference"/>
        </w:rPr>
        <w:footnoteRef/>
      </w:r>
      <w:r>
        <w:t xml:space="preserve"> The proportion of gas customers receiving concessions in South Australia and the ACT is estimated, as not all retailers distinguish whether the total energy concession is applied to gas bills.</w:t>
      </w:r>
    </w:p>
  </w:footnote>
  <w:footnote w:id="25">
    <w:p w:rsidR="000B71FC" w:rsidRDefault="000B71FC" w:rsidP="00D226C7">
      <w:pPr>
        <w:pStyle w:val="FootnoteText"/>
      </w:pPr>
      <w:r>
        <w:rPr>
          <w:rStyle w:val="FootnoteReference"/>
        </w:rPr>
        <w:footnoteRef/>
      </w:r>
      <w:r>
        <w:t xml:space="preserve"> National Energy Retail Rules, r.40.</w:t>
      </w:r>
    </w:p>
  </w:footnote>
  <w:footnote w:id="26">
    <w:p w:rsidR="000B71FC" w:rsidRPr="000A2F5D" w:rsidRDefault="000B71FC" w:rsidP="000A2F5D">
      <w:pPr>
        <w:pStyle w:val="FootnoteText"/>
      </w:pPr>
      <w:r w:rsidRPr="000A2F5D">
        <w:rPr>
          <w:rStyle w:val="FootnoteReference"/>
          <w:sz w:val="16"/>
          <w:vertAlign w:val="baseline"/>
        </w:rPr>
        <w:footnoteRef/>
      </w:r>
      <w:r w:rsidRPr="000A2F5D">
        <w:t xml:space="preserve"> We consider each jurisdiction that has commenced (or intends to commence) the Retail Law – Queensland, New South Wales, Victoria, South Australia, Tasmania and the ACT. We have not considered energy affordability for customers in Western Australia and the Northern Territory.</w:t>
      </w:r>
    </w:p>
  </w:footnote>
  <w:footnote w:id="27">
    <w:p w:rsidR="000B71FC" w:rsidRPr="000A2F5D" w:rsidRDefault="000B71FC" w:rsidP="000A2F5D">
      <w:pPr>
        <w:pStyle w:val="FootnoteText"/>
      </w:pPr>
      <w:r w:rsidRPr="000A2F5D">
        <w:rPr>
          <w:rStyle w:val="FootnoteReference"/>
          <w:sz w:val="16"/>
          <w:vertAlign w:val="baseline"/>
        </w:rPr>
        <w:footnoteRef/>
      </w:r>
      <w:r w:rsidRPr="000A2F5D">
        <w:rPr>
          <w:rStyle w:val="FootnoteReference"/>
          <w:sz w:val="16"/>
          <w:vertAlign w:val="baseline"/>
        </w:rPr>
        <w:t xml:space="preserve"> </w:t>
      </w:r>
      <w:r w:rsidRPr="000A2F5D">
        <w:t>We use the concept of a ‘benchmark’ household as every household has a different level of consumption and income and it is not possible to account for the individual characteristics of every household.</w:t>
      </w:r>
    </w:p>
  </w:footnote>
  <w:footnote w:id="28">
    <w:p w:rsidR="000B71FC" w:rsidRDefault="000B71FC" w:rsidP="000A2F5D">
      <w:pPr>
        <w:pStyle w:val="FootnoteText"/>
      </w:pPr>
      <w:r w:rsidRPr="000A2F5D">
        <w:rPr>
          <w:rStyle w:val="FootnoteReference"/>
          <w:sz w:val="16"/>
          <w:vertAlign w:val="baseline"/>
        </w:rPr>
        <w:footnoteRef/>
      </w:r>
      <w:r w:rsidRPr="000A2F5D">
        <w:t xml:space="preserve"> Disposable income is derived by deducting estimates of personal income tax and the Medicare levy from gross income.</w:t>
      </w:r>
    </w:p>
  </w:footnote>
  <w:footnote w:id="29">
    <w:p w:rsidR="000B71FC" w:rsidRDefault="000B71FC" w:rsidP="00891A88">
      <w:pPr>
        <w:pStyle w:val="FootnoteText"/>
      </w:pPr>
      <w:r>
        <w:rPr>
          <w:rStyle w:val="FootnoteReference"/>
        </w:rPr>
        <w:footnoteRef/>
      </w:r>
      <w:r>
        <w:t xml:space="preserve"> Changes in annual bills are based on a low income household on the median market offer (standing electricity offer in Tasmania), not receiving an energy concession. </w:t>
      </w:r>
    </w:p>
  </w:footnote>
  <w:footnote w:id="30">
    <w:p w:rsidR="000B71FC" w:rsidRDefault="000B71FC" w:rsidP="00891A88">
      <w:pPr>
        <w:pStyle w:val="FootnoteText"/>
      </w:pPr>
      <w:r>
        <w:rPr>
          <w:rStyle w:val="FootnoteReference"/>
        </w:rPr>
        <w:footnoteRef/>
      </w:r>
      <w:r>
        <w:t xml:space="preserve"> Essential Energy’s network in New South Wales also extends into Queensland near Goondiwindi.</w:t>
      </w:r>
    </w:p>
  </w:footnote>
  <w:footnote w:id="31">
    <w:p w:rsidR="000B71FC" w:rsidRDefault="000B71FC" w:rsidP="00891A88">
      <w:pPr>
        <w:pStyle w:val="FootnoteText"/>
      </w:pPr>
      <w:r>
        <w:rPr>
          <w:rStyle w:val="FootnoteReference"/>
        </w:rPr>
        <w:footnoteRef/>
      </w:r>
      <w:r>
        <w:t xml:space="preserve"> AEMC Competition Review 2015, p.96.</w:t>
      </w:r>
    </w:p>
  </w:footnote>
  <w:footnote w:id="32">
    <w:p w:rsidR="000B71FC" w:rsidRDefault="000B71FC">
      <w:pPr>
        <w:pStyle w:val="FootnoteText"/>
      </w:pPr>
      <w:r>
        <w:rPr>
          <w:rStyle w:val="FootnoteReference"/>
        </w:rPr>
        <w:footnoteRef/>
      </w:r>
      <w:r>
        <w:t xml:space="preserve"> AEMC, East Coast Wholesale Gas Market and Pipeline Frameworks Review, </w:t>
      </w:r>
      <w:hyperlink r:id="rId4" w:history="1">
        <w:r w:rsidRPr="00065BA2">
          <w:rPr>
            <w:rStyle w:val="Hyperlink"/>
            <w:sz w:val="16"/>
          </w:rPr>
          <w:t>www.aemc.gov.au/Markets-Reviews-Advice/East-Coast-Wholesale-Gas-Market-and-Pipeline-Frame</w:t>
        </w:r>
      </w:hyperlink>
      <w:r>
        <w:t xml:space="preserve">.  </w:t>
      </w:r>
    </w:p>
  </w:footnote>
  <w:footnote w:id="33">
    <w:p w:rsidR="000B71FC" w:rsidRDefault="000B71FC" w:rsidP="00891A88">
      <w:pPr>
        <w:pStyle w:val="FootnoteText"/>
      </w:pPr>
      <w:r>
        <w:rPr>
          <w:rStyle w:val="FootnoteReference"/>
        </w:rPr>
        <w:footnoteRef/>
      </w:r>
      <w:r>
        <w:t xml:space="preserve"> Eligibility is restricted to households that have a Commonwealth Pensioner Concession Card, Department of Veterans’ Affairs Gold Card or Queensland Seniors Card. Eligibility is not extended to Centrelink Health Care Cards, unlike in other states and territories. </w:t>
      </w:r>
    </w:p>
  </w:footnote>
  <w:footnote w:id="34">
    <w:p w:rsidR="000B71FC" w:rsidRDefault="000B71FC" w:rsidP="00891A88">
      <w:pPr>
        <w:pStyle w:val="FootnoteText"/>
      </w:pPr>
      <w:r>
        <w:rPr>
          <w:rStyle w:val="FootnoteReference"/>
        </w:rPr>
        <w:footnoteRef/>
      </w:r>
      <w:r>
        <w:t xml:space="preserve"> The Queensland Solar Bonus Scheme pays eligible customers for the electricity generated from eligible solar photovoltaic (PV) systems and exported to the Queensland electricity grid. </w:t>
      </w:r>
    </w:p>
  </w:footnote>
  <w:footnote w:id="35">
    <w:p w:rsidR="000B71FC" w:rsidRDefault="000B71FC" w:rsidP="00891A88">
      <w:pPr>
        <w:pStyle w:val="FootnoteText"/>
      </w:pPr>
      <w:r>
        <w:rPr>
          <w:rStyle w:val="FootnoteReference"/>
        </w:rPr>
        <w:footnoteRef/>
      </w:r>
      <w:r>
        <w:t xml:space="preserve"> Eligibility is restricted to households that have a Commonwealth Pensioner Concession Card, Health Care Card, or a Department of Veterans’ Affairs Gold Card.</w:t>
      </w:r>
    </w:p>
  </w:footnote>
  <w:footnote w:id="36">
    <w:p w:rsidR="000B71FC" w:rsidRDefault="000B71FC" w:rsidP="00891A88">
      <w:pPr>
        <w:pStyle w:val="FootnoteText"/>
      </w:pPr>
      <w:r>
        <w:rPr>
          <w:rStyle w:val="FootnoteReference"/>
        </w:rPr>
        <w:footnoteRef/>
      </w:r>
      <w:r>
        <w:t xml:space="preserve"> Eligibility is restricted to households that receive the Australian Government’s Family Tax Benefit A and/or B. </w:t>
      </w:r>
    </w:p>
  </w:footnote>
  <w:footnote w:id="37">
    <w:p w:rsidR="000B71FC" w:rsidRDefault="000B71FC" w:rsidP="00891A88">
      <w:pPr>
        <w:pStyle w:val="FootnoteText"/>
      </w:pPr>
      <w:r>
        <w:rPr>
          <w:rStyle w:val="FootnoteReference"/>
        </w:rPr>
        <w:footnoteRef/>
      </w:r>
      <w:r>
        <w:t xml:space="preserve"> Eligibility is limited to the holder of at least one of the following cards: Pensioner Concession Card, Health Care Card or Department of Veterans’ Affairs Gold Card.</w:t>
      </w:r>
    </w:p>
  </w:footnote>
  <w:footnote w:id="38">
    <w:p w:rsidR="000B71FC" w:rsidRDefault="000B71FC" w:rsidP="00891A88">
      <w:pPr>
        <w:pStyle w:val="FootnoteText"/>
      </w:pPr>
      <w:r>
        <w:rPr>
          <w:rStyle w:val="FootnoteReference"/>
        </w:rPr>
        <w:footnoteRef/>
      </w:r>
      <w:r>
        <w:t xml:space="preserve"> The 17.5 per cent electricity concession does not apply to the first $171.60, and the 17.5 per cent winter concession does not apply to the first $62.40. Our analysis assumes constant electricity and gas consumption in each year, however it is likely that customers would consume more gas during winter periods (for heating), and therefore receive a greater part of the 17.5 per cent winter concession available to them.  </w:t>
      </w:r>
    </w:p>
  </w:footnote>
  <w:footnote w:id="39">
    <w:p w:rsidR="000B71FC" w:rsidRDefault="000B71FC" w:rsidP="00891A88">
      <w:pPr>
        <w:pStyle w:val="FootnoteText"/>
      </w:pPr>
      <w:r>
        <w:rPr>
          <w:rStyle w:val="FootnoteReference"/>
        </w:rPr>
        <w:footnoteRef/>
      </w:r>
      <w:r>
        <w:t xml:space="preserve"> Eligibility is restricted to households that have a Commonwealth Pensioner Concession Card, Health Care Card, or a Department of Veterans’ Affairs Gold Card.</w:t>
      </w:r>
    </w:p>
  </w:footnote>
  <w:footnote w:id="40">
    <w:p w:rsidR="000B71FC" w:rsidRDefault="000B71FC" w:rsidP="00891A88">
      <w:pPr>
        <w:pStyle w:val="FootnoteText"/>
      </w:pPr>
      <w:r>
        <w:rPr>
          <w:rStyle w:val="FootnoteReference"/>
        </w:rPr>
        <w:footnoteRef/>
      </w:r>
      <w:r>
        <w:t xml:space="preserve"> TasNetworks commenced operations in 1 July 2014 and was formed by a merger between Aurora’s distribution network and the Transend transmission network. </w:t>
      </w:r>
    </w:p>
  </w:footnote>
  <w:footnote w:id="41">
    <w:p w:rsidR="000B71FC" w:rsidRDefault="000B71FC" w:rsidP="00891A88">
      <w:pPr>
        <w:pStyle w:val="FootnoteText"/>
      </w:pPr>
      <w:r>
        <w:rPr>
          <w:rStyle w:val="FootnoteReference"/>
        </w:rPr>
        <w:footnoteRef/>
      </w:r>
      <w:r>
        <w:t xml:space="preserve"> Excludes customers that use prepayment meters.</w:t>
      </w:r>
    </w:p>
  </w:footnote>
  <w:footnote w:id="42">
    <w:p w:rsidR="000B71FC" w:rsidRDefault="000B71FC" w:rsidP="00891A88">
      <w:pPr>
        <w:pStyle w:val="FootnoteText"/>
      </w:pPr>
      <w:r>
        <w:rPr>
          <w:rStyle w:val="FootnoteReference"/>
        </w:rPr>
        <w:footnoteRef/>
      </w:r>
      <w:r>
        <w:t xml:space="preserve"> Eligibility is restricted to households that have a Commonwealth Pensioner Concession Card, Health Care Card or a Department of Veterans’ Affairs Gold Card. </w:t>
      </w:r>
    </w:p>
  </w:footnote>
  <w:footnote w:id="43">
    <w:p w:rsidR="000B71FC" w:rsidRDefault="000B71FC" w:rsidP="00891A88">
      <w:pPr>
        <w:pStyle w:val="FootnoteText"/>
      </w:pPr>
      <w:r>
        <w:rPr>
          <w:rStyle w:val="FootnoteReference"/>
        </w:rPr>
        <w:footnoteRef/>
      </w:r>
      <w:r>
        <w:t xml:space="preserve"> Eligibility is restricted to households that hold a Centrelink Pensioner Concession Card, a Centrelink Low Income Health Care Card or a Department of Veterans’ Affairs Pensioner Concession Card.</w:t>
      </w:r>
    </w:p>
  </w:footnote>
  <w:footnote w:id="44">
    <w:p w:rsidR="000B71FC" w:rsidRDefault="000B71FC" w:rsidP="002F4D97">
      <w:pPr>
        <w:pStyle w:val="FootnoteText"/>
      </w:pPr>
      <w:r>
        <w:rPr>
          <w:rStyle w:val="FootnoteReference"/>
        </w:rPr>
        <w:footnoteRef/>
      </w:r>
      <w:r>
        <w:t xml:space="preserve"> National Energy Retail Law, s.285(d). </w:t>
      </w:r>
    </w:p>
  </w:footnote>
  <w:footnote w:id="45">
    <w:p w:rsidR="000B71FC" w:rsidRDefault="000B71FC" w:rsidP="002F4D97">
      <w:pPr>
        <w:pStyle w:val="FootnoteText"/>
      </w:pPr>
      <w:r>
        <w:rPr>
          <w:rStyle w:val="FootnoteReference"/>
        </w:rPr>
        <w:footnoteRef/>
      </w:r>
      <w:r>
        <w:t xml:space="preserve"> Energy laws are defined to include national energy legislation, jurisdictional energy legislation, the Rules, the NER and the NGR and instruments made under this Law, the Rules, the NER and NGR (including the Retail Market Procedures). </w:t>
      </w:r>
    </w:p>
  </w:footnote>
  <w:footnote w:id="46">
    <w:p w:rsidR="000B71FC" w:rsidRDefault="000B71FC" w:rsidP="002F4D97">
      <w:pPr>
        <w:pStyle w:val="FootnoteText"/>
      </w:pPr>
      <w:r>
        <w:rPr>
          <w:rStyle w:val="FootnoteReference"/>
        </w:rPr>
        <w:footnoteRef/>
      </w:r>
      <w:r>
        <w:t xml:space="preserve"> National Energy Retail Law, s.2.</w:t>
      </w:r>
    </w:p>
  </w:footnote>
  <w:footnote w:id="47">
    <w:p w:rsidR="000B71FC" w:rsidRDefault="000B71FC" w:rsidP="002F4D97">
      <w:pPr>
        <w:pStyle w:val="FootnoteText"/>
      </w:pPr>
      <w:r>
        <w:rPr>
          <w:rStyle w:val="FootnoteReference"/>
        </w:rPr>
        <w:footnoteRef/>
      </w:r>
      <w:r>
        <w:t xml:space="preserve"> Complaints to Ausgrid could not be distinguished between residential and non-residential customers as insufficient customer information was supplied.</w:t>
      </w:r>
    </w:p>
  </w:footnote>
  <w:footnote w:id="48">
    <w:p w:rsidR="000B71FC" w:rsidRDefault="000B71FC" w:rsidP="002F4D97">
      <w:pPr>
        <w:pStyle w:val="FootnoteText"/>
      </w:pPr>
      <w:r>
        <w:rPr>
          <w:rStyle w:val="FootnoteReference"/>
        </w:rPr>
        <w:footnoteRef/>
      </w:r>
      <w:r>
        <w:t xml:space="preserve"> Under Ausgrid’s Deemed Standard Connection Contract planned interruptions are no longer covered by the guaranteed customer service standards, and therefore there is no report on occasions and compensation for this period.</w:t>
      </w:r>
    </w:p>
  </w:footnote>
  <w:footnote w:id="49">
    <w:p w:rsidR="000B71FC" w:rsidRPr="00B97CA3" w:rsidRDefault="000B71FC" w:rsidP="00B97CA3">
      <w:pPr>
        <w:pStyle w:val="FootnoteText"/>
      </w:pPr>
      <w:r>
        <w:rPr>
          <w:rStyle w:val="FootnoteReference"/>
        </w:rPr>
        <w:footnoteRef/>
      </w:r>
      <w:r>
        <w:t xml:space="preserve"> </w:t>
      </w:r>
      <w:r w:rsidRPr="00C727F3">
        <w:t xml:space="preserve">The Retail Rules require retailers to provide information to residential customers on their electricity bill regarding how their electricity consumption compares to similar sized households in their local area. </w:t>
      </w:r>
      <w:r>
        <w:t xml:space="preserve">ACIL Allen’s 2014 electricity benchmarks show that annual consumption has fallen 12.3 per cent on average from the 2011 survey. Consumption fell most in Queensland and South Australia where the penetration of PV systems is highest. The </w:t>
      </w:r>
      <w:r w:rsidRPr="00C54316">
        <w:rPr>
          <w:i/>
        </w:rPr>
        <w:t>electricity bill benchmarks for residential customers 2014</w:t>
      </w:r>
      <w:r>
        <w:t xml:space="preserve"> report is available at: </w:t>
      </w:r>
      <w:hyperlink r:id="rId5" w:history="1">
        <w:r w:rsidRPr="00E8677A">
          <w:rPr>
            <w:rStyle w:val="Hyperlink"/>
            <w:color w:val="auto"/>
            <w:sz w:val="16"/>
            <w:u w:val="none"/>
          </w:rPr>
          <w:t>www.aer.gov.au/retail-markets/retail-guidelines/electricity-bill-benchmarks-for-residential-customers-2014</w:t>
        </w:r>
      </w:hyperlink>
      <w:r w:rsidRPr="00B97CA3">
        <w:t>.</w:t>
      </w:r>
    </w:p>
  </w:footnote>
  <w:footnote w:id="50">
    <w:p w:rsidR="000B71FC" w:rsidRDefault="000B71FC" w:rsidP="002F4D97">
      <w:pPr>
        <w:pStyle w:val="FootnoteText"/>
      </w:pPr>
      <w:r>
        <w:rPr>
          <w:rStyle w:val="FootnoteReference"/>
        </w:rPr>
        <w:footnoteRef/>
      </w:r>
      <w:r>
        <w:t xml:space="preserve"> Data obtained from the Australian Bureau of Statistics (ABS) shows that low income households are on average one to two person households. </w:t>
      </w:r>
    </w:p>
  </w:footnote>
  <w:footnote w:id="51">
    <w:p w:rsidR="000B71FC" w:rsidRDefault="000B71FC" w:rsidP="002F4D97">
      <w:pPr>
        <w:pStyle w:val="FootnoteText"/>
      </w:pPr>
      <w:r>
        <w:rPr>
          <w:rStyle w:val="FootnoteReference"/>
        </w:rPr>
        <w:footnoteRef/>
      </w:r>
      <w:r>
        <w:t xml:space="preserve"> ABS Catalogue 4670.0: Household Energy Consumption Survey 2012. Low income households used, on average, less electricity and gas compared to households in the highest income quintile.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3BE4FB3"/>
    <w:multiLevelType w:val="hybridMultilevel"/>
    <w:tmpl w:val="D74AD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41F530A"/>
    <w:multiLevelType w:val="multilevel"/>
    <w:tmpl w:val="4E603EEA"/>
    <w:lvl w:ilvl="0">
      <w:start w:val="1"/>
      <w:numFmt w:val="decimal"/>
      <w:pStyle w:val="Heading1"/>
      <w:lvlText w:val="%1"/>
      <w:lvlJc w:val="left"/>
      <w:pPr>
        <w:ind w:left="432" w:hanging="432"/>
      </w:p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2">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8C504B3"/>
    <w:multiLevelType w:val="hybridMultilevel"/>
    <w:tmpl w:val="EEE0AA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FDC07CAE"/>
    <w:lvl w:ilvl="0">
      <w:start w:val="1"/>
      <w:numFmt w:val="decimal"/>
      <w:lvlText w:val="%1."/>
      <w:lvlJc w:val="left"/>
      <w:pPr>
        <w:ind w:left="360" w:hanging="360"/>
      </w:pPr>
    </w:lvl>
    <w:lvl w:ilvl="1">
      <w:start w:val="1"/>
      <w:numFmt w:val="decimal"/>
      <w:pStyle w:val="Numberedparagraph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8">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6431C3E"/>
    <w:multiLevelType w:val="hybridMultilevel"/>
    <w:tmpl w:val="3AC02434"/>
    <w:lvl w:ilvl="0" w:tplc="9158709A">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70E0AE0"/>
    <w:multiLevelType w:val="hybridMultilevel"/>
    <w:tmpl w:val="E856DD2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4">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5">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2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18"/>
  </w:num>
  <w:num w:numId="14">
    <w:abstractNumId w:val="12"/>
  </w:num>
  <w:num w:numId="15">
    <w:abstractNumId w:val="16"/>
  </w:num>
  <w:num w:numId="16">
    <w:abstractNumId w:val="19"/>
  </w:num>
  <w:num w:numId="17">
    <w:abstractNumId w:val="11"/>
  </w:num>
  <w:num w:numId="18">
    <w:abstractNumId w:val="17"/>
  </w:num>
  <w:num w:numId="19">
    <w:abstractNumId w:val="20"/>
  </w:num>
  <w:num w:numId="20">
    <w:abstractNumId w:val="25"/>
  </w:num>
  <w:num w:numId="21">
    <w:abstractNumId w:val="23"/>
  </w:num>
  <w:num w:numId="22">
    <w:abstractNumId w:val="9"/>
  </w:num>
  <w:num w:numId="23">
    <w:abstractNumId w:val="15"/>
  </w:num>
  <w:num w:numId="24">
    <w:abstractNumId w:val="10"/>
  </w:num>
  <w:num w:numId="25">
    <w:abstractNumId w:val="21"/>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V8DQQcTcxLoJvfwNpwbiosaGc5ldkUUup2kDvxELNck=" w:saltValue="9bk2AvJj52KBBALdPUzBFw==" w:algorithmName="SHA-256"/>
  <w:styleLockTheme/>
  <w:defaultTabStop w:val="340"/>
  <w:characterSpacingControl w:val="doNotCompres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5028\D15 166362  201415 AER Annual Retail Market Performance Report - Final post Board (3).DOCX"/>
  </w:docVars>
  <w:rsids>
    <w:rsidRoot w:val="008E647B"/>
    <w:rsid w:val="0000222B"/>
    <w:rsid w:val="00021202"/>
    <w:rsid w:val="00023CEE"/>
    <w:rsid w:val="0002517F"/>
    <w:rsid w:val="00025F08"/>
    <w:rsid w:val="000270CF"/>
    <w:rsid w:val="0003578C"/>
    <w:rsid w:val="00044CF3"/>
    <w:rsid w:val="00063247"/>
    <w:rsid w:val="00065BA2"/>
    <w:rsid w:val="00070F9F"/>
    <w:rsid w:val="0007137B"/>
    <w:rsid w:val="00074341"/>
    <w:rsid w:val="00085663"/>
    <w:rsid w:val="00085EBF"/>
    <w:rsid w:val="000A2F5D"/>
    <w:rsid w:val="000A4932"/>
    <w:rsid w:val="000A6C7B"/>
    <w:rsid w:val="000B71FC"/>
    <w:rsid w:val="000C242B"/>
    <w:rsid w:val="000C35C1"/>
    <w:rsid w:val="000C5E5F"/>
    <w:rsid w:val="000D122C"/>
    <w:rsid w:val="000D555C"/>
    <w:rsid w:val="000E018E"/>
    <w:rsid w:val="000E1819"/>
    <w:rsid w:val="000E400D"/>
    <w:rsid w:val="000E6C72"/>
    <w:rsid w:val="0010438B"/>
    <w:rsid w:val="00107CC7"/>
    <w:rsid w:val="00112E2F"/>
    <w:rsid w:val="00116EB2"/>
    <w:rsid w:val="00124609"/>
    <w:rsid w:val="00130C3C"/>
    <w:rsid w:val="0014573B"/>
    <w:rsid w:val="001573E4"/>
    <w:rsid w:val="00160756"/>
    <w:rsid w:val="00164030"/>
    <w:rsid w:val="00170114"/>
    <w:rsid w:val="0017232E"/>
    <w:rsid w:val="00174102"/>
    <w:rsid w:val="00176325"/>
    <w:rsid w:val="00180157"/>
    <w:rsid w:val="00182906"/>
    <w:rsid w:val="00185CB9"/>
    <w:rsid w:val="00186F77"/>
    <w:rsid w:val="001926A4"/>
    <w:rsid w:val="00192AD5"/>
    <w:rsid w:val="00197D65"/>
    <w:rsid w:val="001B3211"/>
    <w:rsid w:val="001B45A0"/>
    <w:rsid w:val="001C01EE"/>
    <w:rsid w:val="001D055E"/>
    <w:rsid w:val="001F492E"/>
    <w:rsid w:val="001F5CED"/>
    <w:rsid w:val="001F6DA3"/>
    <w:rsid w:val="002010BC"/>
    <w:rsid w:val="00202E03"/>
    <w:rsid w:val="0020492C"/>
    <w:rsid w:val="00206965"/>
    <w:rsid w:val="00207FDC"/>
    <w:rsid w:val="00211332"/>
    <w:rsid w:val="00214C39"/>
    <w:rsid w:val="002205EE"/>
    <w:rsid w:val="00224DB9"/>
    <w:rsid w:val="00225A77"/>
    <w:rsid w:val="00233775"/>
    <w:rsid w:val="00251745"/>
    <w:rsid w:val="00252AD3"/>
    <w:rsid w:val="00263AC0"/>
    <w:rsid w:val="0026772D"/>
    <w:rsid w:val="00273EF8"/>
    <w:rsid w:val="00286874"/>
    <w:rsid w:val="00296B65"/>
    <w:rsid w:val="002A7DEF"/>
    <w:rsid w:val="002C0867"/>
    <w:rsid w:val="002C6360"/>
    <w:rsid w:val="002D3BAC"/>
    <w:rsid w:val="002D5AA8"/>
    <w:rsid w:val="002E1BE5"/>
    <w:rsid w:val="002E2BFC"/>
    <w:rsid w:val="002E6A40"/>
    <w:rsid w:val="002F4D97"/>
    <w:rsid w:val="002F7986"/>
    <w:rsid w:val="00301B40"/>
    <w:rsid w:val="00305CC8"/>
    <w:rsid w:val="00307F6D"/>
    <w:rsid w:val="00311BEC"/>
    <w:rsid w:val="003167CD"/>
    <w:rsid w:val="003177A2"/>
    <w:rsid w:val="00324D28"/>
    <w:rsid w:val="003271B5"/>
    <w:rsid w:val="00327A1E"/>
    <w:rsid w:val="00331264"/>
    <w:rsid w:val="00334C8D"/>
    <w:rsid w:val="003373F4"/>
    <w:rsid w:val="003474B4"/>
    <w:rsid w:val="003518B3"/>
    <w:rsid w:val="003846F1"/>
    <w:rsid w:val="00387165"/>
    <w:rsid w:val="00396B49"/>
    <w:rsid w:val="003A1645"/>
    <w:rsid w:val="003B70B6"/>
    <w:rsid w:val="003D69BC"/>
    <w:rsid w:val="003F6607"/>
    <w:rsid w:val="003F7F92"/>
    <w:rsid w:val="004105B0"/>
    <w:rsid w:val="00427583"/>
    <w:rsid w:val="0045449C"/>
    <w:rsid w:val="00455383"/>
    <w:rsid w:val="00475A0D"/>
    <w:rsid w:val="004778A5"/>
    <w:rsid w:val="00480B4B"/>
    <w:rsid w:val="00485DC4"/>
    <w:rsid w:val="00495E80"/>
    <w:rsid w:val="004966A3"/>
    <w:rsid w:val="004A3AF6"/>
    <w:rsid w:val="004A43D1"/>
    <w:rsid w:val="004B4412"/>
    <w:rsid w:val="004C348C"/>
    <w:rsid w:val="004D55BA"/>
    <w:rsid w:val="004E22EC"/>
    <w:rsid w:val="00517337"/>
    <w:rsid w:val="00530128"/>
    <w:rsid w:val="00532467"/>
    <w:rsid w:val="00552240"/>
    <w:rsid w:val="005527D7"/>
    <w:rsid w:val="00556A9C"/>
    <w:rsid w:val="0056080A"/>
    <w:rsid w:val="00562632"/>
    <w:rsid w:val="00564A4D"/>
    <w:rsid w:val="0056517D"/>
    <w:rsid w:val="00567963"/>
    <w:rsid w:val="00567BA5"/>
    <w:rsid w:val="00571B35"/>
    <w:rsid w:val="00571D57"/>
    <w:rsid w:val="00577A09"/>
    <w:rsid w:val="005829C2"/>
    <w:rsid w:val="00584D8F"/>
    <w:rsid w:val="00592A0A"/>
    <w:rsid w:val="00597772"/>
    <w:rsid w:val="005A404D"/>
    <w:rsid w:val="005A4B48"/>
    <w:rsid w:val="005B1E3C"/>
    <w:rsid w:val="005C26CC"/>
    <w:rsid w:val="005C4261"/>
    <w:rsid w:val="005D380E"/>
    <w:rsid w:val="005E61B8"/>
    <w:rsid w:val="005E6547"/>
    <w:rsid w:val="005E6684"/>
    <w:rsid w:val="00607EDC"/>
    <w:rsid w:val="006146AF"/>
    <w:rsid w:val="00615761"/>
    <w:rsid w:val="00615C6B"/>
    <w:rsid w:val="0062624E"/>
    <w:rsid w:val="00632D6D"/>
    <w:rsid w:val="00642C3E"/>
    <w:rsid w:val="00663DAD"/>
    <w:rsid w:val="00670957"/>
    <w:rsid w:val="006710DB"/>
    <w:rsid w:val="00676679"/>
    <w:rsid w:val="00693226"/>
    <w:rsid w:val="006A4422"/>
    <w:rsid w:val="006B4CF9"/>
    <w:rsid w:val="006B7AC8"/>
    <w:rsid w:val="006C0219"/>
    <w:rsid w:val="006C1FEB"/>
    <w:rsid w:val="006D4C8B"/>
    <w:rsid w:val="006D550F"/>
    <w:rsid w:val="006E121D"/>
    <w:rsid w:val="006E5A69"/>
    <w:rsid w:val="00701CAB"/>
    <w:rsid w:val="007061F2"/>
    <w:rsid w:val="00707563"/>
    <w:rsid w:val="007077F1"/>
    <w:rsid w:val="0072348C"/>
    <w:rsid w:val="00724A37"/>
    <w:rsid w:val="007275AF"/>
    <w:rsid w:val="007303C3"/>
    <w:rsid w:val="00731D80"/>
    <w:rsid w:val="00734B0C"/>
    <w:rsid w:val="00736C1E"/>
    <w:rsid w:val="0074081B"/>
    <w:rsid w:val="00743223"/>
    <w:rsid w:val="00746E01"/>
    <w:rsid w:val="0075048C"/>
    <w:rsid w:val="00751791"/>
    <w:rsid w:val="00751AA4"/>
    <w:rsid w:val="00754D9C"/>
    <w:rsid w:val="00757BDF"/>
    <w:rsid w:val="00763E5D"/>
    <w:rsid w:val="00767740"/>
    <w:rsid w:val="00777EE6"/>
    <w:rsid w:val="00781261"/>
    <w:rsid w:val="00782EEA"/>
    <w:rsid w:val="0079249C"/>
    <w:rsid w:val="007A3DA4"/>
    <w:rsid w:val="007A4D1F"/>
    <w:rsid w:val="007B0F4C"/>
    <w:rsid w:val="007B2C72"/>
    <w:rsid w:val="007B7CF1"/>
    <w:rsid w:val="007C1C53"/>
    <w:rsid w:val="007C74BB"/>
    <w:rsid w:val="007E4904"/>
    <w:rsid w:val="007E4CB5"/>
    <w:rsid w:val="007F066B"/>
    <w:rsid w:val="00802160"/>
    <w:rsid w:val="008033C4"/>
    <w:rsid w:val="00804BA9"/>
    <w:rsid w:val="00806C88"/>
    <w:rsid w:val="0081034E"/>
    <w:rsid w:val="00811BDF"/>
    <w:rsid w:val="008127F4"/>
    <w:rsid w:val="00821BFF"/>
    <w:rsid w:val="00822F95"/>
    <w:rsid w:val="008276B8"/>
    <w:rsid w:val="008344F6"/>
    <w:rsid w:val="0083510F"/>
    <w:rsid w:val="0084102D"/>
    <w:rsid w:val="00843704"/>
    <w:rsid w:val="00851209"/>
    <w:rsid w:val="00853F20"/>
    <w:rsid w:val="00876A9F"/>
    <w:rsid w:val="008837AC"/>
    <w:rsid w:val="00891A88"/>
    <w:rsid w:val="00897E02"/>
    <w:rsid w:val="008A0F45"/>
    <w:rsid w:val="008A3E3C"/>
    <w:rsid w:val="008A3F79"/>
    <w:rsid w:val="008A587D"/>
    <w:rsid w:val="008B0E6D"/>
    <w:rsid w:val="008B2CCA"/>
    <w:rsid w:val="008C3E16"/>
    <w:rsid w:val="008C5486"/>
    <w:rsid w:val="008D1661"/>
    <w:rsid w:val="008D7895"/>
    <w:rsid w:val="008E1728"/>
    <w:rsid w:val="008E647B"/>
    <w:rsid w:val="008E7031"/>
    <w:rsid w:val="008F2354"/>
    <w:rsid w:val="008F3981"/>
    <w:rsid w:val="00907103"/>
    <w:rsid w:val="009233EE"/>
    <w:rsid w:val="009275E8"/>
    <w:rsid w:val="00940A3E"/>
    <w:rsid w:val="009460AA"/>
    <w:rsid w:val="00951978"/>
    <w:rsid w:val="00960E08"/>
    <w:rsid w:val="009661DE"/>
    <w:rsid w:val="00966B30"/>
    <w:rsid w:val="00966E66"/>
    <w:rsid w:val="00971923"/>
    <w:rsid w:val="00975582"/>
    <w:rsid w:val="00980C96"/>
    <w:rsid w:val="009856B7"/>
    <w:rsid w:val="009925AF"/>
    <w:rsid w:val="009A5FC3"/>
    <w:rsid w:val="009B226F"/>
    <w:rsid w:val="009B6E20"/>
    <w:rsid w:val="009B74B0"/>
    <w:rsid w:val="009D1691"/>
    <w:rsid w:val="009D5A91"/>
    <w:rsid w:val="009D6B46"/>
    <w:rsid w:val="009E6C3A"/>
    <w:rsid w:val="009F12D0"/>
    <w:rsid w:val="009F4940"/>
    <w:rsid w:val="009F5BA1"/>
    <w:rsid w:val="00A02A88"/>
    <w:rsid w:val="00A0562E"/>
    <w:rsid w:val="00A06712"/>
    <w:rsid w:val="00A0726D"/>
    <w:rsid w:val="00A16606"/>
    <w:rsid w:val="00A22495"/>
    <w:rsid w:val="00A23E97"/>
    <w:rsid w:val="00A2568E"/>
    <w:rsid w:val="00A32FBB"/>
    <w:rsid w:val="00A35B80"/>
    <w:rsid w:val="00A371DB"/>
    <w:rsid w:val="00A4478A"/>
    <w:rsid w:val="00A44852"/>
    <w:rsid w:val="00A471C1"/>
    <w:rsid w:val="00A53EB0"/>
    <w:rsid w:val="00A57D04"/>
    <w:rsid w:val="00A60023"/>
    <w:rsid w:val="00A60A26"/>
    <w:rsid w:val="00A61598"/>
    <w:rsid w:val="00A63F7A"/>
    <w:rsid w:val="00A75077"/>
    <w:rsid w:val="00A814CD"/>
    <w:rsid w:val="00A8443D"/>
    <w:rsid w:val="00A84F46"/>
    <w:rsid w:val="00A871F4"/>
    <w:rsid w:val="00A91A3F"/>
    <w:rsid w:val="00A93603"/>
    <w:rsid w:val="00A95BE0"/>
    <w:rsid w:val="00AB0464"/>
    <w:rsid w:val="00AC1B2C"/>
    <w:rsid w:val="00AC3264"/>
    <w:rsid w:val="00AD64A5"/>
    <w:rsid w:val="00AD6902"/>
    <w:rsid w:val="00AE0A44"/>
    <w:rsid w:val="00AE1BF1"/>
    <w:rsid w:val="00AF0857"/>
    <w:rsid w:val="00AF0DD2"/>
    <w:rsid w:val="00AF1ED6"/>
    <w:rsid w:val="00B10793"/>
    <w:rsid w:val="00B13048"/>
    <w:rsid w:val="00B1716D"/>
    <w:rsid w:val="00B172FB"/>
    <w:rsid w:val="00B17A1D"/>
    <w:rsid w:val="00B207A0"/>
    <w:rsid w:val="00B37CEA"/>
    <w:rsid w:val="00B37E38"/>
    <w:rsid w:val="00B40F1E"/>
    <w:rsid w:val="00B514DD"/>
    <w:rsid w:val="00B52AF0"/>
    <w:rsid w:val="00B5676B"/>
    <w:rsid w:val="00B56E03"/>
    <w:rsid w:val="00B579DF"/>
    <w:rsid w:val="00B8080B"/>
    <w:rsid w:val="00B81C4F"/>
    <w:rsid w:val="00B87C39"/>
    <w:rsid w:val="00B927D8"/>
    <w:rsid w:val="00B97CA3"/>
    <w:rsid w:val="00BA2E06"/>
    <w:rsid w:val="00BA31DD"/>
    <w:rsid w:val="00BA3C98"/>
    <w:rsid w:val="00BA4665"/>
    <w:rsid w:val="00BB2FB2"/>
    <w:rsid w:val="00BB3304"/>
    <w:rsid w:val="00BB4F5F"/>
    <w:rsid w:val="00BC772B"/>
    <w:rsid w:val="00BD0D2B"/>
    <w:rsid w:val="00BD3446"/>
    <w:rsid w:val="00BE1F1B"/>
    <w:rsid w:val="00BE2ABC"/>
    <w:rsid w:val="00BE47B5"/>
    <w:rsid w:val="00BE7B6F"/>
    <w:rsid w:val="00C073F6"/>
    <w:rsid w:val="00C10857"/>
    <w:rsid w:val="00C15BDE"/>
    <w:rsid w:val="00C25FA6"/>
    <w:rsid w:val="00C41B7F"/>
    <w:rsid w:val="00C538A9"/>
    <w:rsid w:val="00C53B5A"/>
    <w:rsid w:val="00C54F5A"/>
    <w:rsid w:val="00C55C99"/>
    <w:rsid w:val="00C569B4"/>
    <w:rsid w:val="00C56DCC"/>
    <w:rsid w:val="00C619D6"/>
    <w:rsid w:val="00C67A92"/>
    <w:rsid w:val="00C75DB1"/>
    <w:rsid w:val="00C86679"/>
    <w:rsid w:val="00CA489E"/>
    <w:rsid w:val="00CB52CD"/>
    <w:rsid w:val="00CB666B"/>
    <w:rsid w:val="00CC1087"/>
    <w:rsid w:val="00CC213C"/>
    <w:rsid w:val="00CC7F1D"/>
    <w:rsid w:val="00CD03BC"/>
    <w:rsid w:val="00CF7F4C"/>
    <w:rsid w:val="00D00B57"/>
    <w:rsid w:val="00D01CF0"/>
    <w:rsid w:val="00D0442A"/>
    <w:rsid w:val="00D226C7"/>
    <w:rsid w:val="00D322DC"/>
    <w:rsid w:val="00D3680F"/>
    <w:rsid w:val="00D4640D"/>
    <w:rsid w:val="00D55B07"/>
    <w:rsid w:val="00D56F28"/>
    <w:rsid w:val="00D61388"/>
    <w:rsid w:val="00D61A54"/>
    <w:rsid w:val="00D62679"/>
    <w:rsid w:val="00D628D7"/>
    <w:rsid w:val="00D64DEA"/>
    <w:rsid w:val="00D7168E"/>
    <w:rsid w:val="00D71E57"/>
    <w:rsid w:val="00D80893"/>
    <w:rsid w:val="00D81EF4"/>
    <w:rsid w:val="00D92CF1"/>
    <w:rsid w:val="00D92D38"/>
    <w:rsid w:val="00D94878"/>
    <w:rsid w:val="00D950F5"/>
    <w:rsid w:val="00DA65ED"/>
    <w:rsid w:val="00DB0F93"/>
    <w:rsid w:val="00DB1A67"/>
    <w:rsid w:val="00DB1C30"/>
    <w:rsid w:val="00DB5074"/>
    <w:rsid w:val="00DB723B"/>
    <w:rsid w:val="00DC7981"/>
    <w:rsid w:val="00DD0F4D"/>
    <w:rsid w:val="00DD4F3F"/>
    <w:rsid w:val="00DD748F"/>
    <w:rsid w:val="00DE162D"/>
    <w:rsid w:val="00DE4EFA"/>
    <w:rsid w:val="00DE5520"/>
    <w:rsid w:val="00DE75CA"/>
    <w:rsid w:val="00E04818"/>
    <w:rsid w:val="00E04B1D"/>
    <w:rsid w:val="00E06442"/>
    <w:rsid w:val="00E137FB"/>
    <w:rsid w:val="00E16751"/>
    <w:rsid w:val="00E22820"/>
    <w:rsid w:val="00E23993"/>
    <w:rsid w:val="00E25B8C"/>
    <w:rsid w:val="00E41EB9"/>
    <w:rsid w:val="00E530C9"/>
    <w:rsid w:val="00E65C85"/>
    <w:rsid w:val="00E66199"/>
    <w:rsid w:val="00E71B70"/>
    <w:rsid w:val="00E755EC"/>
    <w:rsid w:val="00E7624D"/>
    <w:rsid w:val="00E8677A"/>
    <w:rsid w:val="00E92189"/>
    <w:rsid w:val="00E948DE"/>
    <w:rsid w:val="00E97160"/>
    <w:rsid w:val="00EA1777"/>
    <w:rsid w:val="00EA3D42"/>
    <w:rsid w:val="00EA6B1B"/>
    <w:rsid w:val="00EB505D"/>
    <w:rsid w:val="00EC337F"/>
    <w:rsid w:val="00ED2BAE"/>
    <w:rsid w:val="00EE28F3"/>
    <w:rsid w:val="00EE5CD0"/>
    <w:rsid w:val="00EF3EFE"/>
    <w:rsid w:val="00EF5110"/>
    <w:rsid w:val="00F14DD1"/>
    <w:rsid w:val="00F15882"/>
    <w:rsid w:val="00F171E0"/>
    <w:rsid w:val="00F20BD3"/>
    <w:rsid w:val="00F24420"/>
    <w:rsid w:val="00F32AA1"/>
    <w:rsid w:val="00F3464A"/>
    <w:rsid w:val="00F373A5"/>
    <w:rsid w:val="00F42CCB"/>
    <w:rsid w:val="00F47559"/>
    <w:rsid w:val="00F56099"/>
    <w:rsid w:val="00F64C7B"/>
    <w:rsid w:val="00F676DD"/>
    <w:rsid w:val="00F71778"/>
    <w:rsid w:val="00F75A26"/>
    <w:rsid w:val="00F835C9"/>
    <w:rsid w:val="00F83FAD"/>
    <w:rsid w:val="00F91227"/>
    <w:rsid w:val="00F952A0"/>
    <w:rsid w:val="00FA3C7F"/>
    <w:rsid w:val="00FB74E2"/>
    <w:rsid w:val="00FB75A7"/>
    <w:rsid w:val="00FD5614"/>
    <w:rsid w:val="00FE0BE1"/>
    <w:rsid w:val="00FE1DE9"/>
    <w:rsid w:val="00FE2F6D"/>
    <w:rsid w:val="00FE32AA"/>
    <w:rsid w:val="00FE39C2"/>
    <w:rsid w:val="00FE3C32"/>
    <w:rsid w:val="00FE4CAE"/>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0" w:qFormat="1"/>
    <w:lsdException w:name="header" w:qFormat="1"/>
    <w:lsdException w:name="footer" w:qFormat="1"/>
    <w:lsdException w:name="caption" w:uiPriority="35" w:qFormat="1"/>
    <w:lsdException w:name="footnote reference" w:uiPriority="0"/>
    <w:lsdException w:name="page number" w:uiPriority="0"/>
    <w:lsdException w:name="List" w:qFormat="1"/>
    <w:lsdException w:name="List Number" w:qFormat="1"/>
    <w:lsdException w:name="Title" w:semiHidden="0" w:uiPriority="10" w:unhideWhenUsed="0" w:qFormat="1"/>
    <w:lsdException w:name="Default Paragraph Font" w:uiPriority="1"/>
    <w:lsdException w:name="List Continue"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BA3C98"/>
    <w:pPr>
      <w:spacing w:line="276" w:lineRule="auto"/>
    </w:pPr>
    <w:rPr>
      <w:rFonts w:ascii="Arial" w:hAnsi="Arial"/>
    </w:rPr>
  </w:style>
  <w:style w:type="paragraph" w:styleId="Heading1">
    <w:name w:val="heading 1"/>
    <w:basedOn w:val="Normal"/>
    <w:next w:val="Normal"/>
    <w:link w:val="Heading1Char"/>
    <w:qFormat/>
    <w:rsid w:val="00B927D8"/>
    <w:pPr>
      <w:pageBreakBefore/>
      <w:numPr>
        <w:numId w:val="24"/>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B927D8"/>
    <w:pPr>
      <w:numPr>
        <w:ilvl w:val="1"/>
        <w:numId w:val="24"/>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B927D8"/>
    <w:pPr>
      <w:numPr>
        <w:ilvl w:val="2"/>
        <w:numId w:val="24"/>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4"/>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4"/>
      </w:numPr>
      <w:tabs>
        <w:tab w:val="left" w:pos="136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4"/>
      </w:numPr>
      <w:tabs>
        <w:tab w:val="left" w:pos="1361"/>
      </w:tabs>
      <w:spacing w:before="240"/>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4"/>
      </w:numPr>
      <w:tabs>
        <w:tab w:val="left" w:pos="1701"/>
      </w:tabs>
      <w:spacing w:before="240"/>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4"/>
      </w:numPr>
      <w:tabs>
        <w:tab w:val="left" w:pos="1701"/>
      </w:tabs>
      <w:spacing w:before="240"/>
      <w:outlineLvl w:val="7"/>
    </w:pPr>
    <w:rPr>
      <w:rFonts w:eastAsiaTheme="majorEastAsia" w:cstheme="majorBidi"/>
      <w:color w:val="2F002F" w:themeColor="accent1"/>
      <w:szCs w:val="20"/>
    </w:rPr>
  </w:style>
  <w:style w:type="paragraph" w:styleId="Heading9">
    <w:name w:val="heading 9"/>
    <w:aliases w:val="Numbered Table"/>
    <w:basedOn w:val="Normal"/>
    <w:next w:val="Normal"/>
    <w:link w:val="Heading9Char"/>
    <w:uiPriority w:val="2"/>
    <w:qFormat/>
    <w:rsid w:val="00B927D8"/>
    <w:pPr>
      <w:numPr>
        <w:ilvl w:val="8"/>
        <w:numId w:val="24"/>
      </w:numPr>
      <w:tabs>
        <w:tab w:val="left" w:pos="1701"/>
      </w:tabs>
      <w:spacing w:before="24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qFormat/>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130C3C"/>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qFormat/>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aliases w:val="Numbered Table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D7168E"/>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w:basedOn w:val="Normal"/>
    <w:link w:val="FootnoteTextChar"/>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Footnote Char"/>
    <w:basedOn w:val="DefaultParagraphFont"/>
    <w:link w:val="FootnoteText"/>
    <w:rsid w:val="00182906"/>
    <w:rPr>
      <w:rFonts w:ascii="Arial" w:hAnsi="Arial"/>
      <w:sz w:val="16"/>
      <w:szCs w:val="20"/>
    </w:rPr>
  </w:style>
  <w:style w:type="character" w:styleId="FootnoteReference">
    <w:name w:val="footnote reference"/>
    <w:basedOn w:val="DefaultParagraphFont"/>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qFormat/>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2E1BE5"/>
    <w:pPr>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22495"/>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0"/>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qFormat/>
    <w:rsid w:val="005829C2"/>
    <w:pPr>
      <w:numPr>
        <w:numId w:val="21"/>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3"/>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character" w:customStyle="1" w:styleId="Subscript">
    <w:name w:val="Subscript"/>
    <w:basedOn w:val="DefaultParagraphFont"/>
    <w:uiPriority w:val="1"/>
    <w:qFormat/>
    <w:rsid w:val="00AF1ED6"/>
    <w:rPr>
      <w:vertAlign w:val="subscript"/>
    </w:rPr>
  </w:style>
  <w:style w:type="character" w:customStyle="1" w:styleId="Superscript">
    <w:name w:val="Superscript"/>
    <w:basedOn w:val="Subscript"/>
    <w:uiPriority w:val="1"/>
    <w:qFormat/>
    <w:rsid w:val="00AF1ED6"/>
    <w:rPr>
      <w:vertAlign w:val="superscript"/>
    </w:rPr>
  </w:style>
  <w:style w:type="paragraph" w:styleId="CommentText">
    <w:name w:val="annotation text"/>
    <w:basedOn w:val="Normal"/>
    <w:link w:val="CommentTextChar"/>
    <w:uiPriority w:val="99"/>
    <w:unhideWhenUsed/>
    <w:rsid w:val="00164030"/>
    <w:pPr>
      <w:spacing w:line="240" w:lineRule="auto"/>
    </w:pPr>
    <w:rPr>
      <w:sz w:val="20"/>
      <w:szCs w:val="20"/>
    </w:rPr>
  </w:style>
  <w:style w:type="character" w:customStyle="1" w:styleId="CommentTextChar">
    <w:name w:val="Comment Text Char"/>
    <w:basedOn w:val="DefaultParagraphFont"/>
    <w:link w:val="CommentText"/>
    <w:uiPriority w:val="99"/>
    <w:rsid w:val="00164030"/>
    <w:rPr>
      <w:rFonts w:ascii="Arial" w:hAnsi="Arial"/>
      <w:sz w:val="20"/>
      <w:szCs w:val="20"/>
    </w:rPr>
  </w:style>
  <w:style w:type="paragraph" w:styleId="Title">
    <w:name w:val="Title"/>
    <w:basedOn w:val="Normal"/>
    <w:next w:val="Normal"/>
    <w:link w:val="TitleChar"/>
    <w:uiPriority w:val="10"/>
    <w:qFormat/>
    <w:rsid w:val="00164030"/>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64030"/>
    <w:rPr>
      <w:rFonts w:asciiTheme="majorHAnsi" w:eastAsiaTheme="majorEastAsia" w:hAnsiTheme="majorHAnsi" w:cstheme="majorBidi"/>
      <w:color w:val="C14E00" w:themeColor="accent2"/>
      <w:spacing w:val="5"/>
      <w:kern w:val="28"/>
      <w:sz w:val="72"/>
      <w:szCs w:val="52"/>
    </w:rPr>
  </w:style>
  <w:style w:type="paragraph" w:styleId="TableofAuthorities">
    <w:name w:val="table of authorities"/>
    <w:basedOn w:val="Normal"/>
    <w:next w:val="Normal"/>
    <w:uiPriority w:val="99"/>
    <w:unhideWhenUsed/>
    <w:rsid w:val="00D226C7"/>
    <w:pPr>
      <w:ind w:left="220" w:hanging="220"/>
    </w:pPr>
  </w:style>
  <w:style w:type="paragraph" w:styleId="NoteHeading">
    <w:name w:val="Note Heading"/>
    <w:basedOn w:val="Normal"/>
    <w:next w:val="Normal"/>
    <w:link w:val="NoteHeadingChar"/>
    <w:uiPriority w:val="99"/>
    <w:semiHidden/>
    <w:unhideWhenUsed/>
    <w:rsid w:val="00D226C7"/>
    <w:pPr>
      <w:spacing w:before="0"/>
    </w:pPr>
  </w:style>
  <w:style w:type="character" w:customStyle="1" w:styleId="NoteHeadingChar">
    <w:name w:val="Note Heading Char"/>
    <w:basedOn w:val="DefaultParagraphFont"/>
    <w:link w:val="NoteHeading"/>
    <w:uiPriority w:val="99"/>
    <w:semiHidden/>
    <w:rsid w:val="00D226C7"/>
    <w:rPr>
      <w:rFonts w:ascii="Arial" w:hAnsi="Arial"/>
    </w:rPr>
  </w:style>
  <w:style w:type="paragraph" w:styleId="CommentSubject">
    <w:name w:val="annotation subject"/>
    <w:basedOn w:val="CommentText"/>
    <w:next w:val="CommentText"/>
    <w:link w:val="CommentSubjectChar"/>
    <w:uiPriority w:val="99"/>
    <w:semiHidden/>
    <w:unhideWhenUsed/>
    <w:rsid w:val="00D226C7"/>
    <w:rPr>
      <w:b/>
      <w:bCs/>
    </w:rPr>
  </w:style>
  <w:style w:type="character" w:customStyle="1" w:styleId="CommentSubjectChar">
    <w:name w:val="Comment Subject Char"/>
    <w:basedOn w:val="CommentTextChar"/>
    <w:link w:val="CommentSubject"/>
    <w:uiPriority w:val="99"/>
    <w:semiHidden/>
    <w:rsid w:val="00D226C7"/>
    <w:rPr>
      <w:rFonts w:ascii="Arial" w:hAnsi="Arial"/>
      <w:b/>
      <w:bCs/>
      <w:sz w:val="20"/>
      <w:szCs w:val="20"/>
    </w:rPr>
  </w:style>
  <w:style w:type="character" w:styleId="HTMLCite">
    <w:name w:val="HTML Cite"/>
    <w:basedOn w:val="DefaultParagraphFont"/>
    <w:uiPriority w:val="99"/>
    <w:semiHidden/>
    <w:unhideWhenUsed/>
    <w:rsid w:val="00D226C7"/>
    <w:rPr>
      <w:i/>
      <w:iCs/>
    </w:rPr>
  </w:style>
  <w:style w:type="table" w:styleId="ColorfulList-Accent4">
    <w:name w:val="Colorful List Accent 4"/>
    <w:basedOn w:val="TableNormal"/>
    <w:uiPriority w:val="72"/>
    <w:rsid w:val="00D226C7"/>
    <w:pPr>
      <w:spacing w:before="0"/>
    </w:pPr>
    <w:rPr>
      <w:color w:val="076A92" w:themeColor="text1"/>
    </w:rPr>
    <w:tblPr>
      <w:tblStyleRowBandSize w:val="1"/>
      <w:tblStyleColBandSize w:val="1"/>
    </w:tblPr>
    <w:tcPr>
      <w:shd w:val="clear" w:color="auto" w:fill="FFDFDF" w:themeFill="accent4" w:themeFillTint="19"/>
    </w:tcPr>
    <w:tblStylePr w:type="firstRow">
      <w:rPr>
        <w:b/>
        <w:bCs/>
        <w:color w:val="FFFFFF" w:themeColor="background1"/>
      </w:rPr>
      <w:tblPr/>
      <w:tcPr>
        <w:tcBorders>
          <w:bottom w:val="single" w:sz="12" w:space="0" w:color="FFFFFF" w:themeColor="background1"/>
        </w:tcBorders>
        <w:shd w:val="clear" w:color="auto" w:fill="00194C" w:themeFill="accent3" w:themeFillShade="CC"/>
      </w:tcPr>
    </w:tblStylePr>
    <w:tblStylePr w:type="lastRow">
      <w:rPr>
        <w:b/>
        <w:bCs/>
        <w:color w:val="00194C" w:themeColor="accent3" w:themeShade="CC"/>
      </w:rPr>
      <w:tblPr/>
      <w:tcPr>
        <w:tcBorders>
          <w:top w:val="single" w:sz="12" w:space="0" w:color="076A9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4" w:themeFillTint="3F"/>
      </w:tcPr>
    </w:tblStylePr>
    <w:tblStylePr w:type="band1Horz">
      <w:tblPr/>
      <w:tcPr>
        <w:shd w:val="clear" w:color="auto" w:fill="FFBFBF"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0" w:qFormat="1"/>
    <w:lsdException w:name="header" w:qFormat="1"/>
    <w:lsdException w:name="footer" w:qFormat="1"/>
    <w:lsdException w:name="caption" w:uiPriority="35" w:qFormat="1"/>
    <w:lsdException w:name="footnote reference" w:uiPriority="0"/>
    <w:lsdException w:name="page number" w:uiPriority="0"/>
    <w:lsdException w:name="List" w:qFormat="1"/>
    <w:lsdException w:name="List Number" w:qFormat="1"/>
    <w:lsdException w:name="Title" w:semiHidden="0" w:uiPriority="10" w:unhideWhenUsed="0" w:qFormat="1"/>
    <w:lsdException w:name="Default Paragraph Font" w:uiPriority="1"/>
    <w:lsdException w:name="List Continue"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BA3C98"/>
    <w:pPr>
      <w:spacing w:line="276" w:lineRule="auto"/>
    </w:pPr>
    <w:rPr>
      <w:rFonts w:ascii="Arial" w:hAnsi="Arial"/>
    </w:rPr>
  </w:style>
  <w:style w:type="paragraph" w:styleId="Heading1">
    <w:name w:val="heading 1"/>
    <w:basedOn w:val="Normal"/>
    <w:next w:val="Normal"/>
    <w:link w:val="Heading1Char"/>
    <w:qFormat/>
    <w:rsid w:val="00B927D8"/>
    <w:pPr>
      <w:pageBreakBefore/>
      <w:numPr>
        <w:numId w:val="24"/>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B927D8"/>
    <w:pPr>
      <w:numPr>
        <w:ilvl w:val="1"/>
        <w:numId w:val="24"/>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B927D8"/>
    <w:pPr>
      <w:numPr>
        <w:ilvl w:val="2"/>
        <w:numId w:val="24"/>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4"/>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4"/>
      </w:numPr>
      <w:tabs>
        <w:tab w:val="left" w:pos="136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4"/>
      </w:numPr>
      <w:tabs>
        <w:tab w:val="left" w:pos="1361"/>
      </w:tabs>
      <w:spacing w:before="240"/>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4"/>
      </w:numPr>
      <w:tabs>
        <w:tab w:val="left" w:pos="1701"/>
      </w:tabs>
      <w:spacing w:before="240"/>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4"/>
      </w:numPr>
      <w:tabs>
        <w:tab w:val="left" w:pos="1701"/>
      </w:tabs>
      <w:spacing w:before="240"/>
      <w:outlineLvl w:val="7"/>
    </w:pPr>
    <w:rPr>
      <w:rFonts w:eastAsiaTheme="majorEastAsia" w:cstheme="majorBidi"/>
      <w:color w:val="2F002F" w:themeColor="accent1"/>
      <w:szCs w:val="20"/>
    </w:rPr>
  </w:style>
  <w:style w:type="paragraph" w:styleId="Heading9">
    <w:name w:val="heading 9"/>
    <w:aliases w:val="Numbered Table"/>
    <w:basedOn w:val="Normal"/>
    <w:next w:val="Normal"/>
    <w:link w:val="Heading9Char"/>
    <w:uiPriority w:val="2"/>
    <w:qFormat/>
    <w:rsid w:val="00B927D8"/>
    <w:pPr>
      <w:numPr>
        <w:ilvl w:val="8"/>
        <w:numId w:val="24"/>
      </w:numPr>
      <w:tabs>
        <w:tab w:val="left" w:pos="1701"/>
      </w:tabs>
      <w:spacing w:before="24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qFormat/>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130C3C"/>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qFormat/>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aliases w:val="Numbered Table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D7168E"/>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w:basedOn w:val="Normal"/>
    <w:link w:val="FootnoteTextChar"/>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Footnote Char"/>
    <w:basedOn w:val="DefaultParagraphFont"/>
    <w:link w:val="FootnoteText"/>
    <w:rsid w:val="00182906"/>
    <w:rPr>
      <w:rFonts w:ascii="Arial" w:hAnsi="Arial"/>
      <w:sz w:val="16"/>
      <w:szCs w:val="20"/>
    </w:rPr>
  </w:style>
  <w:style w:type="character" w:styleId="FootnoteReference">
    <w:name w:val="footnote reference"/>
    <w:basedOn w:val="DefaultParagraphFont"/>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qFormat/>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2E1BE5"/>
    <w:pPr>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22495"/>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0"/>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qFormat/>
    <w:rsid w:val="005829C2"/>
    <w:pPr>
      <w:numPr>
        <w:numId w:val="21"/>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3"/>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character" w:customStyle="1" w:styleId="Subscript">
    <w:name w:val="Subscript"/>
    <w:basedOn w:val="DefaultParagraphFont"/>
    <w:uiPriority w:val="1"/>
    <w:qFormat/>
    <w:rsid w:val="00AF1ED6"/>
    <w:rPr>
      <w:vertAlign w:val="subscript"/>
    </w:rPr>
  </w:style>
  <w:style w:type="character" w:customStyle="1" w:styleId="Superscript">
    <w:name w:val="Superscript"/>
    <w:basedOn w:val="Subscript"/>
    <w:uiPriority w:val="1"/>
    <w:qFormat/>
    <w:rsid w:val="00AF1ED6"/>
    <w:rPr>
      <w:vertAlign w:val="superscript"/>
    </w:rPr>
  </w:style>
  <w:style w:type="paragraph" w:styleId="CommentText">
    <w:name w:val="annotation text"/>
    <w:basedOn w:val="Normal"/>
    <w:link w:val="CommentTextChar"/>
    <w:uiPriority w:val="99"/>
    <w:unhideWhenUsed/>
    <w:rsid w:val="00164030"/>
    <w:pPr>
      <w:spacing w:line="240" w:lineRule="auto"/>
    </w:pPr>
    <w:rPr>
      <w:sz w:val="20"/>
      <w:szCs w:val="20"/>
    </w:rPr>
  </w:style>
  <w:style w:type="character" w:customStyle="1" w:styleId="CommentTextChar">
    <w:name w:val="Comment Text Char"/>
    <w:basedOn w:val="DefaultParagraphFont"/>
    <w:link w:val="CommentText"/>
    <w:uiPriority w:val="99"/>
    <w:rsid w:val="00164030"/>
    <w:rPr>
      <w:rFonts w:ascii="Arial" w:hAnsi="Arial"/>
      <w:sz w:val="20"/>
      <w:szCs w:val="20"/>
    </w:rPr>
  </w:style>
  <w:style w:type="paragraph" w:styleId="Title">
    <w:name w:val="Title"/>
    <w:basedOn w:val="Normal"/>
    <w:next w:val="Normal"/>
    <w:link w:val="TitleChar"/>
    <w:uiPriority w:val="10"/>
    <w:qFormat/>
    <w:rsid w:val="00164030"/>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64030"/>
    <w:rPr>
      <w:rFonts w:asciiTheme="majorHAnsi" w:eastAsiaTheme="majorEastAsia" w:hAnsiTheme="majorHAnsi" w:cstheme="majorBidi"/>
      <w:color w:val="C14E00" w:themeColor="accent2"/>
      <w:spacing w:val="5"/>
      <w:kern w:val="28"/>
      <w:sz w:val="72"/>
      <w:szCs w:val="52"/>
    </w:rPr>
  </w:style>
  <w:style w:type="paragraph" w:styleId="TableofAuthorities">
    <w:name w:val="table of authorities"/>
    <w:basedOn w:val="Normal"/>
    <w:next w:val="Normal"/>
    <w:uiPriority w:val="99"/>
    <w:unhideWhenUsed/>
    <w:rsid w:val="00D226C7"/>
    <w:pPr>
      <w:ind w:left="220" w:hanging="220"/>
    </w:pPr>
  </w:style>
  <w:style w:type="paragraph" w:styleId="NoteHeading">
    <w:name w:val="Note Heading"/>
    <w:basedOn w:val="Normal"/>
    <w:next w:val="Normal"/>
    <w:link w:val="NoteHeadingChar"/>
    <w:uiPriority w:val="99"/>
    <w:semiHidden/>
    <w:unhideWhenUsed/>
    <w:rsid w:val="00D226C7"/>
    <w:pPr>
      <w:spacing w:before="0"/>
    </w:pPr>
  </w:style>
  <w:style w:type="character" w:customStyle="1" w:styleId="NoteHeadingChar">
    <w:name w:val="Note Heading Char"/>
    <w:basedOn w:val="DefaultParagraphFont"/>
    <w:link w:val="NoteHeading"/>
    <w:uiPriority w:val="99"/>
    <w:semiHidden/>
    <w:rsid w:val="00D226C7"/>
    <w:rPr>
      <w:rFonts w:ascii="Arial" w:hAnsi="Arial"/>
    </w:rPr>
  </w:style>
  <w:style w:type="paragraph" w:styleId="CommentSubject">
    <w:name w:val="annotation subject"/>
    <w:basedOn w:val="CommentText"/>
    <w:next w:val="CommentText"/>
    <w:link w:val="CommentSubjectChar"/>
    <w:uiPriority w:val="99"/>
    <w:semiHidden/>
    <w:unhideWhenUsed/>
    <w:rsid w:val="00D226C7"/>
    <w:rPr>
      <w:b/>
      <w:bCs/>
    </w:rPr>
  </w:style>
  <w:style w:type="character" w:customStyle="1" w:styleId="CommentSubjectChar">
    <w:name w:val="Comment Subject Char"/>
    <w:basedOn w:val="CommentTextChar"/>
    <w:link w:val="CommentSubject"/>
    <w:uiPriority w:val="99"/>
    <w:semiHidden/>
    <w:rsid w:val="00D226C7"/>
    <w:rPr>
      <w:rFonts w:ascii="Arial" w:hAnsi="Arial"/>
      <w:b/>
      <w:bCs/>
      <w:sz w:val="20"/>
      <w:szCs w:val="20"/>
    </w:rPr>
  </w:style>
  <w:style w:type="character" w:styleId="HTMLCite">
    <w:name w:val="HTML Cite"/>
    <w:basedOn w:val="DefaultParagraphFont"/>
    <w:uiPriority w:val="99"/>
    <w:semiHidden/>
    <w:unhideWhenUsed/>
    <w:rsid w:val="00D226C7"/>
    <w:rPr>
      <w:i/>
      <w:iCs/>
    </w:rPr>
  </w:style>
  <w:style w:type="table" w:styleId="ColorfulList-Accent4">
    <w:name w:val="Colorful List Accent 4"/>
    <w:basedOn w:val="TableNormal"/>
    <w:uiPriority w:val="72"/>
    <w:rsid w:val="00D226C7"/>
    <w:pPr>
      <w:spacing w:before="0"/>
    </w:pPr>
    <w:rPr>
      <w:color w:val="076A92" w:themeColor="text1"/>
    </w:rPr>
    <w:tblPr>
      <w:tblStyleRowBandSize w:val="1"/>
      <w:tblStyleColBandSize w:val="1"/>
    </w:tblPr>
    <w:tcPr>
      <w:shd w:val="clear" w:color="auto" w:fill="FFDFDF" w:themeFill="accent4" w:themeFillTint="19"/>
    </w:tcPr>
    <w:tblStylePr w:type="firstRow">
      <w:rPr>
        <w:b/>
        <w:bCs/>
        <w:color w:val="FFFFFF" w:themeColor="background1"/>
      </w:rPr>
      <w:tblPr/>
      <w:tcPr>
        <w:tcBorders>
          <w:bottom w:val="single" w:sz="12" w:space="0" w:color="FFFFFF" w:themeColor="background1"/>
        </w:tcBorders>
        <w:shd w:val="clear" w:color="auto" w:fill="00194C" w:themeFill="accent3" w:themeFillShade="CC"/>
      </w:tcPr>
    </w:tblStylePr>
    <w:tblStylePr w:type="lastRow">
      <w:rPr>
        <w:b/>
        <w:bCs/>
        <w:color w:val="00194C" w:themeColor="accent3" w:themeShade="CC"/>
      </w:rPr>
      <w:tblPr/>
      <w:tcPr>
        <w:tcBorders>
          <w:top w:val="single" w:sz="12" w:space="0" w:color="076A9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4" w:themeFillTint="3F"/>
      </w:tcPr>
    </w:tblStylePr>
    <w:tblStylePr w:type="band1Horz">
      <w:tblPr/>
      <w:tcPr>
        <w:shd w:val="clear" w:color="auto" w:fill="FFBFBF"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24734">
      <w:bodyDiv w:val="1"/>
      <w:marLeft w:val="0"/>
      <w:marRight w:val="0"/>
      <w:marTop w:val="0"/>
      <w:marBottom w:val="0"/>
      <w:divBdr>
        <w:top w:val="none" w:sz="0" w:space="0" w:color="auto"/>
        <w:left w:val="none" w:sz="0" w:space="0" w:color="auto"/>
        <w:bottom w:val="none" w:sz="0" w:space="0" w:color="auto"/>
        <w:right w:val="none" w:sz="0" w:space="0" w:color="auto"/>
      </w:divBdr>
    </w:div>
    <w:div w:id="552279352">
      <w:bodyDiv w:val="1"/>
      <w:marLeft w:val="0"/>
      <w:marRight w:val="0"/>
      <w:marTop w:val="0"/>
      <w:marBottom w:val="0"/>
      <w:divBdr>
        <w:top w:val="none" w:sz="0" w:space="0" w:color="auto"/>
        <w:left w:val="none" w:sz="0" w:space="0" w:color="auto"/>
        <w:bottom w:val="none" w:sz="0" w:space="0" w:color="auto"/>
        <w:right w:val="none" w:sz="0" w:space="0" w:color="auto"/>
      </w:divBdr>
    </w:div>
    <w:div w:id="94380821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261988118">
      <w:bodyDiv w:val="1"/>
      <w:marLeft w:val="0"/>
      <w:marRight w:val="0"/>
      <w:marTop w:val="0"/>
      <w:marBottom w:val="0"/>
      <w:divBdr>
        <w:top w:val="none" w:sz="0" w:space="0" w:color="auto"/>
        <w:left w:val="none" w:sz="0" w:space="0" w:color="auto"/>
        <w:bottom w:val="none" w:sz="0" w:space="0" w:color="auto"/>
        <w:right w:val="none" w:sz="0" w:space="0" w:color="auto"/>
      </w:divBdr>
    </w:div>
    <w:div w:id="209663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hyperlink" Target="http://www.aer.gov.au" TargetMode="External"/><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compare.switchon.vic.gov.au" TargetMode="External"/><Relationship Id="rId45" Type="http://schemas.openxmlformats.org/officeDocument/2006/relationships/image" Target="media/image32.png"/><Relationship Id="rId53"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www.aer.gov.au"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hyperlink" Target="http://www.energymadeeasy.gov.au" TargetMode="External"/><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www.aemc.gov.au/Markets-Reviews-Advice/2015-retail-competition-review" TargetMode="External"/><Relationship Id="rId2" Type="http://schemas.openxmlformats.org/officeDocument/2006/relationships/hyperlink" Target="http://www.aemo.com.au" TargetMode="External"/><Relationship Id="rId1" Type="http://schemas.openxmlformats.org/officeDocument/2006/relationships/hyperlink" Target="http://www.aemc.gov.au/Markets-Reviews-Advice/2015-retail-competition-review" TargetMode="External"/><Relationship Id="rId5" Type="http://schemas.openxmlformats.org/officeDocument/2006/relationships/hyperlink" Target="https://www.aer.gov.au/retail-markets/retail-guidelines/electricity-bill-benchmarks-for-residential-customers-2014" TargetMode="External"/><Relationship Id="rId4" Type="http://schemas.openxmlformats.org/officeDocument/2006/relationships/hyperlink" Target="http://www.aemc.gov.au/Markets-Reviews-Advice/East-Coast-Wholesale-Gas-Market-and-Pipeline-Fram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AER\AER%20Report%20Template%20Jan%202015.dotm"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9B4F34-7F59-4A69-A89C-626B496E7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AER Report Template Jan 2015</Template>
  <TotalTime>396</TotalTime>
  <Pages>104</Pages>
  <Words>20210</Words>
  <Characters>115202</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[Document title]</vt:lpstr>
    </vt:vector>
  </TitlesOfParts>
  <Company>AER</Company>
  <LinksUpToDate>false</LinksUpToDate>
  <CharactersWithSpaces>135142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[subtitle]</dc:subject>
  <dc:creator>Crowe, Allison</dc:creator>
  <cp:lastModifiedBy>Devlin, Patrick</cp:lastModifiedBy>
  <cp:revision>12</cp:revision>
  <cp:lastPrinted>2015-10-28T23:47:00Z</cp:lastPrinted>
  <dcterms:created xsi:type="dcterms:W3CDTF">2015-11-09T03:51:00Z</dcterms:created>
  <dcterms:modified xsi:type="dcterms:W3CDTF">2015-11-19T04:09:00Z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8574764</vt:lpwstr>
  </property>
  <property fmtid="{D5CDD505-2E9C-101B-9397-08002B2CF9AE}" pid="3" name="currfile">
    <vt:lpwstr>\\cdchnas-evs02\home$\pdevl\201415 aer annual retail market performance report - for website publication (D2015-00169485).docx</vt:lpwstr>
  </property>
</Properties>
</file>