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6" w:rsidRDefault="00563E86" w:rsidP="00200957">
      <w:pPr>
        <w:pStyle w:val="Chaptertitle"/>
      </w:pPr>
      <w:r>
        <w:rPr>
          <w:noProof/>
          <w:lang w:eastAsia="en-AU"/>
        </w:rPr>
        <w:drawing>
          <wp:anchor distT="0" distB="0" distL="114300" distR="114300" simplePos="0" relativeHeight="251659264" behindDoc="0" locked="0" layoutInCell="1" allowOverlap="1" wp14:anchorId="45D123FD" wp14:editId="035E7C7A">
            <wp:simplePos x="0" y="0"/>
            <wp:positionH relativeFrom="column">
              <wp:posOffset>0</wp:posOffset>
            </wp:positionH>
            <wp:positionV relativeFrom="paragraph">
              <wp:posOffset>276225</wp:posOffset>
            </wp:positionV>
            <wp:extent cx="2416810" cy="568960"/>
            <wp:effectExtent l="0" t="0" r="2540" b="2540"/>
            <wp:wrapTopAndBottom/>
            <wp:docPr id="1" name="Picture 1"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416810" cy="56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Compliance Check</w:t>
      </w:r>
    </w:p>
    <w:p w:rsidR="00563E86" w:rsidRPr="008B1A7C" w:rsidRDefault="00563E86" w:rsidP="00563E86">
      <w:pPr>
        <w:pStyle w:val="Heading1"/>
        <w:rPr>
          <w:rFonts w:asciiTheme="minorHAnsi" w:hAnsiTheme="minorHAnsi" w:cstheme="minorHAnsi"/>
          <w:b/>
        </w:rPr>
      </w:pPr>
      <w:r w:rsidRPr="008B1A7C">
        <w:rPr>
          <w:rFonts w:asciiTheme="minorHAnsi" w:hAnsiTheme="minorHAnsi" w:cstheme="minorHAnsi"/>
          <w:b/>
        </w:rPr>
        <w:t xml:space="preserve">National Energy Retail </w:t>
      </w:r>
      <w:r w:rsidR="00F41920" w:rsidRPr="008B1A7C">
        <w:rPr>
          <w:rFonts w:asciiTheme="minorHAnsi" w:hAnsiTheme="minorHAnsi" w:cstheme="minorHAnsi"/>
          <w:b/>
        </w:rPr>
        <w:t>Rules</w:t>
      </w:r>
      <w:r w:rsidRPr="008B1A7C">
        <w:rPr>
          <w:rFonts w:asciiTheme="minorHAnsi" w:hAnsiTheme="minorHAnsi" w:cstheme="minorHAnsi"/>
          <w:b/>
        </w:rPr>
        <w:t xml:space="preserve">: </w:t>
      </w:r>
      <w:r w:rsidR="00B4169D" w:rsidRPr="008B1A7C">
        <w:rPr>
          <w:rFonts w:asciiTheme="minorHAnsi" w:hAnsiTheme="minorHAnsi" w:cstheme="minorHAnsi"/>
          <w:b/>
          <w:sz w:val="28"/>
        </w:rPr>
        <w:t xml:space="preserve">calculating and </w:t>
      </w:r>
      <w:r w:rsidR="00FB3785" w:rsidRPr="008B1A7C">
        <w:rPr>
          <w:rFonts w:asciiTheme="minorHAnsi" w:hAnsiTheme="minorHAnsi" w:cstheme="minorHAnsi"/>
          <w:b/>
          <w:sz w:val="28"/>
        </w:rPr>
        <w:t>basis for bills</w:t>
      </w:r>
    </w:p>
    <w:p w:rsidR="00563E86" w:rsidRPr="0028242E" w:rsidRDefault="00563E86" w:rsidP="000D6F3E">
      <w:pPr>
        <w:pStyle w:val="CoverDate"/>
        <w:jc w:val="both"/>
        <w:rPr>
          <w:rFonts w:asciiTheme="minorHAnsi" w:hAnsiTheme="minorHAnsi" w:cstheme="minorHAnsi"/>
          <w:b w:val="0"/>
          <w:sz w:val="24"/>
        </w:rPr>
      </w:pPr>
      <w:r w:rsidRPr="0028242E">
        <w:rPr>
          <w:rFonts w:asciiTheme="minorHAnsi" w:hAnsiTheme="minorHAnsi" w:cstheme="minorHAnsi"/>
          <w:b w:val="0"/>
          <w:sz w:val="24"/>
        </w:rPr>
        <w:t xml:space="preserve">Issued: </w:t>
      </w:r>
      <w:r w:rsidR="002E0ACC" w:rsidRPr="0028242E">
        <w:rPr>
          <w:rFonts w:asciiTheme="minorHAnsi" w:hAnsiTheme="minorHAnsi" w:cstheme="minorHAnsi"/>
          <w:b w:val="0"/>
          <w:sz w:val="24"/>
        </w:rPr>
        <w:t>June</w:t>
      </w:r>
      <w:r w:rsidR="009422DC" w:rsidRPr="0028242E">
        <w:rPr>
          <w:rFonts w:asciiTheme="minorHAnsi" w:hAnsiTheme="minorHAnsi" w:cstheme="minorHAnsi"/>
          <w:b w:val="0"/>
          <w:sz w:val="24"/>
        </w:rPr>
        <w:t xml:space="preserve"> 2017</w:t>
      </w:r>
      <w:r w:rsidR="002002BB" w:rsidRPr="0028242E">
        <w:rPr>
          <w:rFonts w:asciiTheme="minorHAnsi" w:hAnsiTheme="minorHAnsi" w:cstheme="minorHAnsi"/>
          <w:b w:val="0"/>
          <w:sz w:val="24"/>
        </w:rPr>
        <w:tab/>
      </w:r>
      <w:r w:rsidR="002002BB" w:rsidRPr="0028242E">
        <w:rPr>
          <w:rFonts w:asciiTheme="minorHAnsi" w:hAnsiTheme="minorHAnsi" w:cstheme="minorHAnsi"/>
          <w:b w:val="0"/>
          <w:sz w:val="24"/>
        </w:rPr>
        <w:tab/>
      </w:r>
      <w:r w:rsidR="002002BB" w:rsidRPr="0028242E">
        <w:rPr>
          <w:rFonts w:asciiTheme="minorHAnsi" w:hAnsiTheme="minorHAnsi" w:cstheme="minorHAnsi"/>
          <w:b w:val="0"/>
          <w:sz w:val="24"/>
        </w:rPr>
        <w:tab/>
      </w:r>
      <w:r w:rsidR="002002BB" w:rsidRPr="0028242E">
        <w:rPr>
          <w:rFonts w:asciiTheme="minorHAnsi" w:hAnsiTheme="minorHAnsi" w:cstheme="minorHAnsi"/>
          <w:b w:val="0"/>
          <w:sz w:val="24"/>
        </w:rPr>
        <w:tab/>
      </w:r>
      <w:r w:rsidR="002002BB" w:rsidRPr="0028242E">
        <w:rPr>
          <w:rFonts w:asciiTheme="minorHAnsi" w:hAnsiTheme="minorHAnsi" w:cstheme="minorHAnsi"/>
          <w:b w:val="0"/>
          <w:sz w:val="24"/>
        </w:rPr>
        <w:tab/>
      </w:r>
      <w:r w:rsidR="002002BB" w:rsidRPr="0028242E">
        <w:rPr>
          <w:rFonts w:asciiTheme="minorHAnsi" w:hAnsiTheme="minorHAnsi" w:cstheme="minorHAnsi"/>
          <w:b w:val="0"/>
          <w:sz w:val="24"/>
        </w:rPr>
        <w:tab/>
      </w:r>
      <w:r w:rsidR="002002BB" w:rsidRPr="0028242E">
        <w:rPr>
          <w:rFonts w:asciiTheme="minorHAnsi" w:hAnsiTheme="minorHAnsi" w:cstheme="minorHAnsi"/>
          <w:b w:val="0"/>
          <w:sz w:val="24"/>
        </w:rPr>
        <w:tab/>
      </w:r>
      <w:r w:rsidR="002002BB" w:rsidRPr="0028242E">
        <w:rPr>
          <w:rFonts w:asciiTheme="minorHAnsi" w:hAnsiTheme="minorHAnsi" w:cstheme="minorHAnsi"/>
          <w:b w:val="0"/>
          <w:sz w:val="24"/>
        </w:rPr>
        <w:tab/>
      </w:r>
      <w:r w:rsidR="002002BB" w:rsidRPr="0028242E">
        <w:rPr>
          <w:rFonts w:asciiTheme="minorHAnsi" w:hAnsiTheme="minorHAnsi" w:cstheme="minorHAnsi"/>
          <w:b w:val="0"/>
          <w:sz w:val="24"/>
        </w:rPr>
        <w:tab/>
      </w:r>
      <w:r w:rsidR="00937785" w:rsidRPr="0028242E">
        <w:rPr>
          <w:rFonts w:asciiTheme="minorHAnsi" w:hAnsiTheme="minorHAnsi" w:cstheme="minorHAnsi"/>
          <w:b w:val="0"/>
          <w:sz w:val="24"/>
        </w:rPr>
        <w:tab/>
      </w:r>
      <w:r w:rsidR="002002BB" w:rsidRPr="0028242E">
        <w:rPr>
          <w:rFonts w:asciiTheme="minorHAnsi" w:hAnsiTheme="minorHAnsi" w:cstheme="minorHAnsi"/>
          <w:b w:val="0"/>
          <w:sz w:val="24"/>
        </w:rPr>
        <w:t xml:space="preserve">      </w:t>
      </w:r>
      <w:r w:rsidR="00510958" w:rsidRPr="0028242E">
        <w:rPr>
          <w:rFonts w:asciiTheme="minorHAnsi" w:hAnsiTheme="minorHAnsi" w:cstheme="minorHAnsi"/>
          <w:b w:val="0"/>
          <w:sz w:val="24"/>
        </w:rPr>
        <w:t>#2017-02</w:t>
      </w:r>
    </w:p>
    <w:tbl>
      <w:tblPr>
        <w:tblStyle w:val="TableGrid"/>
        <w:tblW w:w="0" w:type="auto"/>
        <w:tblLook w:val="04A0" w:firstRow="1" w:lastRow="0" w:firstColumn="1" w:lastColumn="0" w:noHBand="0" w:noVBand="1"/>
      </w:tblPr>
      <w:tblGrid>
        <w:gridCol w:w="10308"/>
      </w:tblGrid>
      <w:tr w:rsidR="00C16C19" w:rsidRPr="008B1A7C" w:rsidTr="008B1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Borders>
              <w:top w:val="nil"/>
              <w:bottom w:val="nil"/>
            </w:tcBorders>
            <w:shd w:val="clear" w:color="auto" w:fill="D9D9D9" w:themeFill="background1" w:themeFillShade="D9"/>
          </w:tcPr>
          <w:p w:rsidR="00C16C19" w:rsidRPr="008B1A7C" w:rsidRDefault="00C16C19" w:rsidP="001F7D66">
            <w:pPr>
              <w:spacing w:before="120"/>
              <w:jc w:val="both"/>
              <w:rPr>
                <w:rFonts w:asciiTheme="minorHAnsi" w:hAnsiTheme="minorHAnsi" w:cstheme="minorHAnsi"/>
                <w:b w:val="0"/>
                <w:szCs w:val="20"/>
              </w:rPr>
            </w:pPr>
            <w:bookmarkStart w:id="0" w:name="_Hlk485476665"/>
            <w:r w:rsidRPr="008B1A7C">
              <w:rPr>
                <w:rFonts w:asciiTheme="minorHAnsi" w:hAnsiTheme="minorHAnsi" w:cstheme="minorHAnsi"/>
                <w:b w:val="0"/>
                <w:szCs w:val="20"/>
              </w:rPr>
              <w:t>Energy services are a key part of a household’s budget</w:t>
            </w:r>
            <w:r w:rsidR="00B4169D" w:rsidRPr="008B1A7C">
              <w:rPr>
                <w:rFonts w:asciiTheme="minorHAnsi" w:hAnsiTheme="minorHAnsi" w:cstheme="minorHAnsi"/>
                <w:b w:val="0"/>
                <w:szCs w:val="20"/>
              </w:rPr>
              <w:t>. Cl</w:t>
            </w:r>
            <w:r w:rsidRPr="008B1A7C">
              <w:rPr>
                <w:rFonts w:asciiTheme="minorHAnsi" w:hAnsiTheme="minorHAnsi" w:cstheme="minorHAnsi"/>
                <w:b w:val="0"/>
                <w:szCs w:val="20"/>
              </w:rPr>
              <w:t>ear</w:t>
            </w:r>
            <w:r w:rsidR="00C4242A">
              <w:rPr>
                <w:rFonts w:asciiTheme="minorHAnsi" w:hAnsiTheme="minorHAnsi" w:cstheme="minorHAnsi"/>
                <w:b w:val="0"/>
                <w:szCs w:val="20"/>
              </w:rPr>
              <w:t xml:space="preserve"> and</w:t>
            </w:r>
            <w:r w:rsidRPr="008B1A7C">
              <w:rPr>
                <w:rFonts w:asciiTheme="minorHAnsi" w:hAnsiTheme="minorHAnsi" w:cstheme="minorHAnsi"/>
                <w:b w:val="0"/>
                <w:szCs w:val="20"/>
              </w:rPr>
              <w:t xml:space="preserve"> on time energy bills are critical to </w:t>
            </w:r>
            <w:r w:rsidR="00B4169D" w:rsidRPr="008B1A7C">
              <w:rPr>
                <w:rFonts w:asciiTheme="minorHAnsi" w:hAnsiTheme="minorHAnsi" w:cstheme="minorHAnsi"/>
                <w:b w:val="0"/>
                <w:szCs w:val="20"/>
              </w:rPr>
              <w:t xml:space="preserve">customers </w:t>
            </w:r>
            <w:r w:rsidRPr="008B1A7C">
              <w:rPr>
                <w:rFonts w:asciiTheme="minorHAnsi" w:hAnsiTheme="minorHAnsi" w:cstheme="minorHAnsi"/>
                <w:b w:val="0"/>
                <w:szCs w:val="20"/>
              </w:rPr>
              <w:t>understanding both energy usage and costs. The National Energy Retail Law (Retail Law) and National Energy Retail Rules (Retail Rules) details the obligations on retailers when billing its customers.</w:t>
            </w:r>
          </w:p>
          <w:p w:rsidR="00C16C19" w:rsidRPr="008B1A7C" w:rsidRDefault="00C16C19" w:rsidP="001F7D66">
            <w:pPr>
              <w:spacing w:before="120"/>
              <w:jc w:val="both"/>
              <w:rPr>
                <w:rFonts w:asciiTheme="minorHAnsi" w:hAnsiTheme="minorHAnsi" w:cstheme="minorHAnsi"/>
                <w:b w:val="0"/>
                <w:szCs w:val="20"/>
              </w:rPr>
            </w:pPr>
            <w:r w:rsidRPr="008B1A7C">
              <w:rPr>
                <w:rFonts w:asciiTheme="minorHAnsi" w:hAnsiTheme="minorHAnsi" w:cstheme="minorHAnsi"/>
                <w:b w:val="0"/>
                <w:szCs w:val="20"/>
              </w:rPr>
              <w:t>Part 2 Division 4 of the Retail Rules includes requirements for calculating bills, frequency and content of bills, recovering and returning incorrect charges and resolving billing disputes.</w:t>
            </w:r>
          </w:p>
          <w:p w:rsidR="00C16C19" w:rsidRPr="008B1A7C" w:rsidRDefault="006D142E" w:rsidP="006D142E">
            <w:pPr>
              <w:spacing w:before="120"/>
              <w:jc w:val="both"/>
              <w:rPr>
                <w:rFonts w:asciiTheme="minorHAnsi" w:hAnsiTheme="minorHAnsi" w:cstheme="minorHAnsi"/>
                <w:b w:val="0"/>
                <w:sz w:val="23"/>
                <w:szCs w:val="23"/>
              </w:rPr>
            </w:pPr>
            <w:r>
              <w:rPr>
                <w:rFonts w:asciiTheme="minorHAnsi" w:hAnsiTheme="minorHAnsi" w:cstheme="minorHAnsi"/>
                <w:b w:val="0"/>
                <w:szCs w:val="20"/>
              </w:rPr>
              <w:t>Poor practices for c</w:t>
            </w:r>
            <w:r w:rsidR="00B4169D" w:rsidRPr="008B1A7C">
              <w:rPr>
                <w:rFonts w:asciiTheme="minorHAnsi" w:hAnsiTheme="minorHAnsi" w:cstheme="minorHAnsi"/>
                <w:b w:val="0"/>
                <w:szCs w:val="20"/>
              </w:rPr>
              <w:t>alculating and</w:t>
            </w:r>
            <w:r w:rsidR="00C16C19" w:rsidRPr="008B1A7C">
              <w:rPr>
                <w:rFonts w:asciiTheme="minorHAnsi" w:hAnsiTheme="minorHAnsi" w:cstheme="minorHAnsi"/>
                <w:b w:val="0"/>
                <w:szCs w:val="20"/>
              </w:rPr>
              <w:t xml:space="preserve"> estimat</w:t>
            </w:r>
            <w:r w:rsidR="00B4169D" w:rsidRPr="008B1A7C">
              <w:rPr>
                <w:rFonts w:asciiTheme="minorHAnsi" w:hAnsiTheme="minorHAnsi" w:cstheme="minorHAnsi"/>
                <w:b w:val="0"/>
                <w:szCs w:val="20"/>
              </w:rPr>
              <w:t>ing</w:t>
            </w:r>
            <w:r w:rsidR="00C16C19" w:rsidRPr="008B1A7C">
              <w:rPr>
                <w:rFonts w:asciiTheme="minorHAnsi" w:hAnsiTheme="minorHAnsi" w:cstheme="minorHAnsi"/>
                <w:b w:val="0"/>
                <w:szCs w:val="20"/>
              </w:rPr>
              <w:t xml:space="preserve"> bills </w:t>
            </w:r>
            <w:r w:rsidR="00CB57BC" w:rsidRPr="008B1A7C">
              <w:rPr>
                <w:rFonts w:asciiTheme="minorHAnsi" w:hAnsiTheme="minorHAnsi" w:cstheme="minorHAnsi"/>
                <w:b w:val="0"/>
                <w:szCs w:val="20"/>
              </w:rPr>
              <w:t xml:space="preserve">can </w:t>
            </w:r>
            <w:r w:rsidR="00C16C19" w:rsidRPr="008B1A7C">
              <w:rPr>
                <w:rFonts w:asciiTheme="minorHAnsi" w:hAnsiTheme="minorHAnsi" w:cstheme="minorHAnsi"/>
                <w:b w:val="0"/>
                <w:szCs w:val="20"/>
              </w:rPr>
              <w:t xml:space="preserve">significantly </w:t>
            </w:r>
            <w:r w:rsidR="00343CD0" w:rsidRPr="008B1A7C">
              <w:rPr>
                <w:rFonts w:asciiTheme="minorHAnsi" w:hAnsiTheme="minorHAnsi" w:cstheme="minorHAnsi"/>
                <w:b w:val="0"/>
                <w:szCs w:val="20"/>
              </w:rPr>
              <w:t>affect</w:t>
            </w:r>
            <w:r w:rsidR="00C16C19" w:rsidRPr="008B1A7C">
              <w:rPr>
                <w:rFonts w:asciiTheme="minorHAnsi" w:hAnsiTheme="minorHAnsi" w:cstheme="minorHAnsi"/>
                <w:b w:val="0"/>
                <w:szCs w:val="20"/>
              </w:rPr>
              <w:t xml:space="preserve"> customer confidence with their energy service.</w:t>
            </w:r>
          </w:p>
        </w:tc>
      </w:tr>
      <w:bookmarkEnd w:id="0"/>
    </w:tbl>
    <w:p w:rsidR="00D600B7" w:rsidRPr="008B1A7C" w:rsidRDefault="00D600B7" w:rsidP="000D6F3E">
      <w:pPr>
        <w:pStyle w:val="Heading2"/>
        <w:jc w:val="both"/>
        <w:rPr>
          <w:rFonts w:asciiTheme="minorHAnsi" w:hAnsiTheme="minorHAnsi" w:cstheme="minorHAnsi"/>
          <w:sz w:val="32"/>
        </w:rPr>
        <w:sectPr w:rsidR="00D600B7" w:rsidRPr="008B1A7C" w:rsidSect="00C16C1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907" w:right="907" w:bottom="907" w:left="907" w:header="720" w:footer="720" w:gutter="0"/>
          <w:cols w:space="720"/>
          <w:noEndnote/>
        </w:sectPr>
      </w:pPr>
    </w:p>
    <w:p w:rsidR="00314598" w:rsidRPr="0028242E" w:rsidRDefault="00117C5E" w:rsidP="00C16C19">
      <w:pPr>
        <w:pStyle w:val="Heading2"/>
        <w:spacing w:after="120"/>
        <w:jc w:val="both"/>
        <w:rPr>
          <w:rFonts w:asciiTheme="minorHAnsi" w:hAnsiTheme="minorHAnsi" w:cstheme="minorHAnsi"/>
          <w:b w:val="0"/>
          <w:color w:val="DC5034" w:themeColor="accent6"/>
          <w:sz w:val="24"/>
          <w:szCs w:val="24"/>
        </w:rPr>
      </w:pPr>
      <w:r w:rsidRPr="0028242E">
        <w:rPr>
          <w:rFonts w:asciiTheme="minorHAnsi" w:hAnsiTheme="minorHAnsi" w:cstheme="minorHAnsi"/>
          <w:b w:val="0"/>
          <w:color w:val="DC5034" w:themeColor="accent6"/>
          <w:sz w:val="24"/>
          <w:szCs w:val="24"/>
        </w:rPr>
        <w:lastRenderedPageBreak/>
        <w:t xml:space="preserve">Retail </w:t>
      </w:r>
      <w:r w:rsidR="009B1DE9" w:rsidRPr="0028242E">
        <w:rPr>
          <w:rFonts w:asciiTheme="minorHAnsi" w:hAnsiTheme="minorHAnsi" w:cstheme="minorHAnsi"/>
          <w:b w:val="0"/>
          <w:color w:val="DC5034" w:themeColor="accent6"/>
          <w:sz w:val="24"/>
          <w:szCs w:val="24"/>
        </w:rPr>
        <w:t xml:space="preserve">Rules </w:t>
      </w:r>
      <w:r w:rsidR="002217B6" w:rsidRPr="0028242E">
        <w:rPr>
          <w:rFonts w:asciiTheme="minorHAnsi" w:hAnsiTheme="minorHAnsi" w:cstheme="minorHAnsi"/>
          <w:b w:val="0"/>
          <w:color w:val="DC5034" w:themeColor="accent6"/>
          <w:sz w:val="24"/>
          <w:szCs w:val="24"/>
        </w:rPr>
        <w:t xml:space="preserve">and </w:t>
      </w:r>
      <w:r w:rsidR="00B4169D" w:rsidRPr="0028242E">
        <w:rPr>
          <w:rFonts w:asciiTheme="minorHAnsi" w:hAnsiTheme="minorHAnsi" w:cstheme="minorHAnsi"/>
          <w:b w:val="0"/>
          <w:color w:val="DC5034" w:themeColor="accent6"/>
          <w:sz w:val="24"/>
          <w:szCs w:val="24"/>
        </w:rPr>
        <w:t>calculating bills</w:t>
      </w:r>
    </w:p>
    <w:p w:rsidR="00117C5E" w:rsidRPr="0028242E" w:rsidRDefault="00117C5E" w:rsidP="00117C5E">
      <w:pPr>
        <w:jc w:val="both"/>
        <w:rPr>
          <w:rFonts w:asciiTheme="minorHAnsi" w:hAnsiTheme="minorHAnsi" w:cstheme="minorHAnsi"/>
          <w:color w:val="auto"/>
        </w:rPr>
      </w:pPr>
      <w:r w:rsidRPr="0028242E">
        <w:rPr>
          <w:rFonts w:asciiTheme="minorHAnsi" w:hAnsiTheme="minorHAnsi" w:cstheme="minorHAnsi"/>
          <w:color w:val="auto"/>
        </w:rPr>
        <w:t>The objective of the billing requirements under the Retail Rules is to ensure customers can easily understand:</w:t>
      </w:r>
    </w:p>
    <w:p w:rsidR="00117C5E" w:rsidRPr="0028242E" w:rsidRDefault="005E0412" w:rsidP="00117C5E">
      <w:pPr>
        <w:pStyle w:val="ListParagraph"/>
        <w:numPr>
          <w:ilvl w:val="0"/>
          <w:numId w:val="20"/>
        </w:numPr>
        <w:jc w:val="both"/>
        <w:rPr>
          <w:rFonts w:asciiTheme="minorHAnsi" w:hAnsiTheme="minorHAnsi" w:cstheme="minorHAnsi"/>
        </w:rPr>
      </w:pPr>
      <w:r w:rsidRPr="0028242E">
        <w:rPr>
          <w:rFonts w:asciiTheme="minorHAnsi" w:hAnsiTheme="minorHAnsi" w:cstheme="minorHAnsi"/>
        </w:rPr>
        <w:t xml:space="preserve">how </w:t>
      </w:r>
      <w:r w:rsidR="00117C5E" w:rsidRPr="0028242E">
        <w:rPr>
          <w:rFonts w:asciiTheme="minorHAnsi" w:hAnsiTheme="minorHAnsi" w:cstheme="minorHAnsi"/>
        </w:rPr>
        <w:t xml:space="preserve">they use their electricity or gas </w:t>
      </w:r>
      <w:r w:rsidR="00B4169D" w:rsidRPr="0028242E">
        <w:rPr>
          <w:rFonts w:asciiTheme="minorHAnsi" w:hAnsiTheme="minorHAnsi" w:cstheme="minorHAnsi"/>
        </w:rPr>
        <w:t>during</w:t>
      </w:r>
      <w:r w:rsidR="00117C5E" w:rsidRPr="0028242E">
        <w:rPr>
          <w:rFonts w:asciiTheme="minorHAnsi" w:hAnsiTheme="minorHAnsi" w:cstheme="minorHAnsi"/>
        </w:rPr>
        <w:t xml:space="preserve"> the billing </w:t>
      </w:r>
      <w:r w:rsidRPr="0028242E">
        <w:rPr>
          <w:rFonts w:asciiTheme="minorHAnsi" w:hAnsiTheme="minorHAnsi" w:cstheme="minorHAnsi"/>
        </w:rPr>
        <w:t>period,</w:t>
      </w:r>
      <w:r w:rsidR="009D608B" w:rsidRPr="0028242E">
        <w:rPr>
          <w:rFonts w:asciiTheme="minorHAnsi" w:hAnsiTheme="minorHAnsi" w:cstheme="minorHAnsi"/>
        </w:rPr>
        <w:t xml:space="preserve"> and</w:t>
      </w:r>
    </w:p>
    <w:p w:rsidR="002217B6" w:rsidRPr="0028242E" w:rsidRDefault="005E0412" w:rsidP="002217B6">
      <w:pPr>
        <w:pStyle w:val="ListParagraph"/>
        <w:numPr>
          <w:ilvl w:val="0"/>
          <w:numId w:val="20"/>
        </w:numPr>
        <w:jc w:val="both"/>
        <w:rPr>
          <w:rFonts w:asciiTheme="minorHAnsi" w:hAnsiTheme="minorHAnsi" w:cstheme="minorHAnsi"/>
        </w:rPr>
      </w:pPr>
      <w:proofErr w:type="gramStart"/>
      <w:r w:rsidRPr="0028242E">
        <w:rPr>
          <w:rFonts w:asciiTheme="minorHAnsi" w:hAnsiTheme="minorHAnsi" w:cstheme="minorHAnsi"/>
        </w:rPr>
        <w:t>how</w:t>
      </w:r>
      <w:proofErr w:type="gramEnd"/>
      <w:r w:rsidRPr="0028242E">
        <w:rPr>
          <w:rFonts w:asciiTheme="minorHAnsi" w:hAnsiTheme="minorHAnsi" w:cstheme="minorHAnsi"/>
        </w:rPr>
        <w:t xml:space="preserve"> </w:t>
      </w:r>
      <w:r w:rsidR="00117C5E" w:rsidRPr="0028242E">
        <w:rPr>
          <w:rFonts w:asciiTheme="minorHAnsi" w:hAnsiTheme="minorHAnsi" w:cstheme="minorHAnsi"/>
        </w:rPr>
        <w:t>charges have been calculated and applied.</w:t>
      </w:r>
    </w:p>
    <w:p w:rsidR="002217B6" w:rsidRPr="0028242E" w:rsidRDefault="002217B6" w:rsidP="002217B6">
      <w:pPr>
        <w:pStyle w:val="Heading2"/>
        <w:spacing w:after="120"/>
        <w:jc w:val="both"/>
        <w:rPr>
          <w:rFonts w:asciiTheme="minorHAnsi" w:hAnsiTheme="minorHAnsi" w:cstheme="minorHAnsi"/>
          <w:b w:val="0"/>
          <w:color w:val="DC5034" w:themeColor="accent6"/>
          <w:sz w:val="24"/>
          <w:szCs w:val="24"/>
        </w:rPr>
      </w:pPr>
      <w:r w:rsidRPr="0028242E">
        <w:rPr>
          <w:rFonts w:asciiTheme="minorHAnsi" w:hAnsiTheme="minorHAnsi" w:cstheme="minorHAnsi"/>
          <w:b w:val="0"/>
          <w:color w:val="DC5034" w:themeColor="accent6"/>
          <w:sz w:val="24"/>
          <w:szCs w:val="24"/>
        </w:rPr>
        <w:t>Basis for billing</w:t>
      </w:r>
    </w:p>
    <w:p w:rsidR="00B1103E" w:rsidRPr="0028242E" w:rsidRDefault="00B1103E" w:rsidP="00B1103E">
      <w:pPr>
        <w:rPr>
          <w:rFonts w:asciiTheme="minorHAnsi" w:hAnsiTheme="minorHAnsi" w:cstheme="minorHAnsi"/>
          <w:color w:val="auto"/>
          <w:lang w:val="en-AU"/>
        </w:rPr>
      </w:pPr>
      <w:r w:rsidRPr="0028242E">
        <w:rPr>
          <w:rFonts w:asciiTheme="minorHAnsi" w:hAnsiTheme="minorHAnsi" w:cstheme="minorHAnsi"/>
          <w:color w:val="auto"/>
          <w:lang w:val="en-AU"/>
        </w:rPr>
        <w:t>R</w:t>
      </w:r>
      <w:r w:rsidR="007D788A" w:rsidRPr="0028242E">
        <w:rPr>
          <w:rFonts w:asciiTheme="minorHAnsi" w:hAnsiTheme="minorHAnsi" w:cstheme="minorHAnsi"/>
          <w:color w:val="auto"/>
          <w:lang w:val="en-AU"/>
        </w:rPr>
        <w:t xml:space="preserve">ules 20 to 24 </w:t>
      </w:r>
      <w:r w:rsidRPr="0028242E">
        <w:rPr>
          <w:rFonts w:asciiTheme="minorHAnsi" w:hAnsiTheme="minorHAnsi" w:cstheme="minorHAnsi"/>
          <w:color w:val="auto"/>
          <w:lang w:val="en-AU"/>
        </w:rPr>
        <w:t>cover the basis for issuing a bill and the requirements when meter data is not available.</w:t>
      </w:r>
    </w:p>
    <w:p w:rsidR="009B1DE9" w:rsidRPr="0028242E" w:rsidRDefault="009B1DE9" w:rsidP="00FA1D32">
      <w:pPr>
        <w:rPr>
          <w:rFonts w:asciiTheme="minorHAnsi" w:hAnsiTheme="minorHAnsi" w:cstheme="minorHAnsi"/>
          <w:i/>
          <w:color w:val="auto"/>
          <w:lang w:val="en-AU"/>
        </w:rPr>
      </w:pPr>
      <w:r w:rsidRPr="0028242E">
        <w:rPr>
          <w:rFonts w:asciiTheme="minorHAnsi" w:hAnsiTheme="minorHAnsi" w:cstheme="minorHAnsi"/>
          <w:i/>
          <w:color w:val="auto"/>
          <w:lang w:val="en-AU"/>
        </w:rPr>
        <w:t>Rule 20 - basis for bills</w:t>
      </w:r>
    </w:p>
    <w:p w:rsidR="00FA1D32" w:rsidRPr="0028242E" w:rsidRDefault="009B1DE9" w:rsidP="00FA1D32">
      <w:pPr>
        <w:rPr>
          <w:rFonts w:asciiTheme="minorHAnsi" w:hAnsiTheme="minorHAnsi" w:cstheme="minorHAnsi"/>
          <w:i/>
          <w:color w:val="auto"/>
          <w:lang w:val="en-AU"/>
        </w:rPr>
      </w:pPr>
      <w:r w:rsidRPr="0028242E">
        <w:rPr>
          <w:rFonts w:asciiTheme="minorHAnsi" w:hAnsiTheme="minorHAnsi" w:cstheme="minorHAnsi"/>
          <w:color w:val="auto"/>
          <w:lang w:val="en-AU"/>
        </w:rPr>
        <w:t xml:space="preserve">Electricity </w:t>
      </w:r>
      <w:r w:rsidR="00B1103E" w:rsidRPr="0028242E">
        <w:rPr>
          <w:rFonts w:asciiTheme="minorHAnsi" w:hAnsiTheme="minorHAnsi" w:cstheme="minorHAnsi"/>
          <w:color w:val="auto"/>
          <w:lang w:val="en-AU"/>
        </w:rPr>
        <w:t xml:space="preserve">and gas </w:t>
      </w:r>
      <w:r w:rsidRPr="0028242E">
        <w:rPr>
          <w:rFonts w:asciiTheme="minorHAnsi" w:hAnsiTheme="minorHAnsi" w:cstheme="minorHAnsi"/>
          <w:color w:val="auto"/>
          <w:lang w:val="en-AU"/>
        </w:rPr>
        <w:t>bills</w:t>
      </w:r>
      <w:r w:rsidR="00FA1D32" w:rsidRPr="0028242E">
        <w:rPr>
          <w:rFonts w:asciiTheme="minorHAnsi" w:hAnsiTheme="minorHAnsi" w:cstheme="minorHAnsi"/>
          <w:color w:val="auto"/>
          <w:lang w:val="en-AU"/>
        </w:rPr>
        <w:t xml:space="preserve"> </w:t>
      </w:r>
      <w:proofErr w:type="gramStart"/>
      <w:r w:rsidR="00FA1D32" w:rsidRPr="0028242E">
        <w:rPr>
          <w:rFonts w:asciiTheme="minorHAnsi" w:hAnsiTheme="minorHAnsi" w:cstheme="minorHAnsi"/>
          <w:color w:val="auto"/>
          <w:lang w:val="en-AU"/>
        </w:rPr>
        <w:t>must be based</w:t>
      </w:r>
      <w:proofErr w:type="gramEnd"/>
      <w:r w:rsidR="00FA1D32" w:rsidRPr="0028242E">
        <w:rPr>
          <w:rFonts w:asciiTheme="minorHAnsi" w:hAnsiTheme="minorHAnsi" w:cstheme="minorHAnsi"/>
          <w:color w:val="auto"/>
          <w:lang w:val="en-AU"/>
        </w:rPr>
        <w:t xml:space="preserve"> on metering</w:t>
      </w:r>
      <w:r w:rsidRPr="0028242E">
        <w:rPr>
          <w:rFonts w:asciiTheme="minorHAnsi" w:hAnsiTheme="minorHAnsi" w:cstheme="minorHAnsi"/>
          <w:color w:val="auto"/>
          <w:lang w:val="en-AU"/>
        </w:rPr>
        <w:t xml:space="preserve"> data</w:t>
      </w:r>
      <w:r w:rsidR="00FA1D32" w:rsidRPr="0028242E">
        <w:rPr>
          <w:rFonts w:asciiTheme="minorHAnsi" w:hAnsiTheme="minorHAnsi" w:cstheme="minorHAnsi"/>
          <w:i/>
          <w:color w:val="auto"/>
          <w:lang w:val="en-AU"/>
        </w:rPr>
        <w:t xml:space="preserve"> </w:t>
      </w:r>
      <w:r w:rsidRPr="0028242E">
        <w:rPr>
          <w:rFonts w:asciiTheme="minorHAnsi" w:hAnsiTheme="minorHAnsi" w:cstheme="minorHAnsi"/>
          <w:i/>
          <w:color w:val="auto"/>
          <w:lang w:val="en-AU"/>
        </w:rPr>
        <w:t>(</w:t>
      </w:r>
      <w:r w:rsidRPr="0028242E">
        <w:rPr>
          <w:rFonts w:asciiTheme="minorHAnsi" w:hAnsiTheme="minorHAnsi" w:cstheme="minorHAnsi"/>
          <w:color w:val="auto"/>
          <w:lang w:val="en-AU"/>
        </w:rPr>
        <w:t xml:space="preserve">consistent with the requirements of the </w:t>
      </w:r>
      <w:r w:rsidRPr="0028242E">
        <w:rPr>
          <w:rFonts w:asciiTheme="minorHAnsi" w:hAnsiTheme="minorHAnsi" w:cstheme="minorHAnsi"/>
          <w:i/>
          <w:color w:val="auto"/>
          <w:lang w:val="en-AU"/>
        </w:rPr>
        <w:t xml:space="preserve">metering rules </w:t>
      </w:r>
      <w:r w:rsidRPr="0028242E">
        <w:rPr>
          <w:rFonts w:asciiTheme="minorHAnsi" w:hAnsiTheme="minorHAnsi" w:cstheme="minorHAnsi"/>
          <w:color w:val="auto"/>
          <w:lang w:val="en-AU"/>
        </w:rPr>
        <w:t>and Rule 21)</w:t>
      </w:r>
      <w:r w:rsidRPr="0028242E">
        <w:rPr>
          <w:rFonts w:asciiTheme="minorHAnsi" w:hAnsiTheme="minorHAnsi" w:cstheme="minorHAnsi"/>
          <w:i/>
          <w:color w:val="auto"/>
          <w:lang w:val="en-AU"/>
        </w:rPr>
        <w:t xml:space="preserve"> </w:t>
      </w:r>
      <w:r w:rsidR="00FA1D32" w:rsidRPr="0028242E">
        <w:rPr>
          <w:rFonts w:asciiTheme="minorHAnsi" w:hAnsiTheme="minorHAnsi" w:cstheme="minorHAnsi"/>
          <w:b/>
          <w:color w:val="auto"/>
          <w:lang w:val="en-AU"/>
        </w:rPr>
        <w:t>or</w:t>
      </w:r>
      <w:r w:rsidR="00FA1D32" w:rsidRPr="0028242E">
        <w:rPr>
          <w:rFonts w:asciiTheme="minorHAnsi" w:hAnsiTheme="minorHAnsi" w:cstheme="minorHAnsi"/>
          <w:color w:val="auto"/>
          <w:lang w:val="en-AU"/>
        </w:rPr>
        <w:t xml:space="preserve"> any method agreed by the customer.</w:t>
      </w:r>
    </w:p>
    <w:p w:rsidR="00FA1D32" w:rsidRPr="0028242E" w:rsidRDefault="00FA1D32" w:rsidP="00FA1D32">
      <w:pPr>
        <w:rPr>
          <w:rFonts w:asciiTheme="minorHAnsi" w:hAnsiTheme="minorHAnsi" w:cstheme="minorHAnsi"/>
          <w:color w:val="auto"/>
          <w:lang w:val="en-AU"/>
        </w:rPr>
      </w:pPr>
      <w:r w:rsidRPr="0028242E">
        <w:rPr>
          <w:rFonts w:asciiTheme="minorHAnsi" w:hAnsiTheme="minorHAnsi" w:cstheme="minorHAnsi"/>
          <w:color w:val="auto"/>
          <w:lang w:val="en-AU"/>
        </w:rPr>
        <w:t xml:space="preserve">Retailers must use their best endeavours to ensure that actual </w:t>
      </w:r>
      <w:r w:rsidR="009B1DE9" w:rsidRPr="0028242E">
        <w:rPr>
          <w:rFonts w:asciiTheme="minorHAnsi" w:hAnsiTheme="minorHAnsi" w:cstheme="minorHAnsi"/>
          <w:color w:val="auto"/>
          <w:lang w:val="en-AU"/>
        </w:rPr>
        <w:t>readings of the meters</w:t>
      </w:r>
      <w:r w:rsidRPr="0028242E">
        <w:rPr>
          <w:rFonts w:asciiTheme="minorHAnsi" w:hAnsiTheme="minorHAnsi" w:cstheme="minorHAnsi"/>
          <w:color w:val="auto"/>
          <w:lang w:val="en-AU"/>
        </w:rPr>
        <w:t xml:space="preserve"> </w:t>
      </w:r>
      <w:proofErr w:type="gramStart"/>
      <w:r w:rsidRPr="0028242E">
        <w:rPr>
          <w:rFonts w:asciiTheme="minorHAnsi" w:hAnsiTheme="minorHAnsi" w:cstheme="minorHAnsi"/>
          <w:color w:val="auto"/>
          <w:lang w:val="en-AU"/>
        </w:rPr>
        <w:t xml:space="preserve">are </w:t>
      </w:r>
      <w:r w:rsidR="009B1DE9" w:rsidRPr="0028242E">
        <w:rPr>
          <w:rFonts w:asciiTheme="minorHAnsi" w:hAnsiTheme="minorHAnsi" w:cstheme="minorHAnsi"/>
          <w:color w:val="auto"/>
          <w:lang w:val="en-AU"/>
        </w:rPr>
        <w:t>issued</w:t>
      </w:r>
      <w:proofErr w:type="gramEnd"/>
      <w:r w:rsidR="009B1DE9" w:rsidRPr="0028242E">
        <w:rPr>
          <w:rFonts w:asciiTheme="minorHAnsi" w:hAnsiTheme="minorHAnsi" w:cstheme="minorHAnsi"/>
          <w:color w:val="auto"/>
          <w:lang w:val="en-AU"/>
        </w:rPr>
        <w:t xml:space="preserve"> as frequently as required, </w:t>
      </w:r>
      <w:r w:rsidRPr="0028242E">
        <w:rPr>
          <w:rFonts w:asciiTheme="minorHAnsi" w:hAnsiTheme="minorHAnsi" w:cstheme="minorHAnsi"/>
          <w:color w:val="auto"/>
          <w:lang w:val="en-AU"/>
        </w:rPr>
        <w:t xml:space="preserve">consistent with the </w:t>
      </w:r>
      <w:r w:rsidRPr="0028242E">
        <w:rPr>
          <w:rFonts w:asciiTheme="minorHAnsi" w:hAnsiTheme="minorHAnsi" w:cstheme="minorHAnsi"/>
          <w:i/>
          <w:color w:val="auto"/>
          <w:lang w:val="en-AU"/>
        </w:rPr>
        <w:t>metering rules</w:t>
      </w:r>
      <w:r w:rsidRPr="0028242E">
        <w:rPr>
          <w:rFonts w:asciiTheme="minorHAnsi" w:hAnsiTheme="minorHAnsi" w:cstheme="minorHAnsi"/>
          <w:color w:val="auto"/>
          <w:lang w:val="en-AU"/>
        </w:rPr>
        <w:t>.</w:t>
      </w:r>
    </w:p>
    <w:p w:rsidR="00FA1D32" w:rsidRPr="0028242E" w:rsidRDefault="00FA1D32" w:rsidP="00FA1D32">
      <w:pPr>
        <w:rPr>
          <w:rFonts w:asciiTheme="minorHAnsi" w:hAnsiTheme="minorHAnsi" w:cstheme="minorHAnsi"/>
          <w:color w:val="auto"/>
          <w:lang w:val="en-AU"/>
        </w:rPr>
      </w:pPr>
      <w:r w:rsidRPr="0028242E">
        <w:rPr>
          <w:rFonts w:asciiTheme="minorHAnsi" w:hAnsiTheme="minorHAnsi" w:cstheme="minorHAnsi"/>
          <w:color w:val="auto"/>
          <w:lang w:val="en-AU"/>
        </w:rPr>
        <w:t xml:space="preserve">Customers must receive a bill based on meter data at least </w:t>
      </w:r>
      <w:r w:rsidR="006D142E" w:rsidRPr="0028242E">
        <w:rPr>
          <w:rFonts w:asciiTheme="minorHAnsi" w:hAnsiTheme="minorHAnsi" w:cstheme="minorHAnsi"/>
          <w:color w:val="auto"/>
          <w:lang w:val="en-AU"/>
        </w:rPr>
        <w:t xml:space="preserve">once </w:t>
      </w:r>
      <w:r w:rsidRPr="0028242E">
        <w:rPr>
          <w:rFonts w:asciiTheme="minorHAnsi" w:hAnsiTheme="minorHAnsi" w:cstheme="minorHAnsi"/>
          <w:color w:val="auto"/>
          <w:lang w:val="en-AU"/>
        </w:rPr>
        <w:t xml:space="preserve">every twelve months. </w:t>
      </w:r>
    </w:p>
    <w:p w:rsidR="0028242E" w:rsidRPr="0028242E" w:rsidRDefault="0028242E" w:rsidP="0028242E">
      <w:pPr>
        <w:pStyle w:val="Heading2"/>
        <w:spacing w:before="120" w:after="120"/>
        <w:jc w:val="both"/>
        <w:rPr>
          <w:rFonts w:asciiTheme="minorHAnsi" w:hAnsiTheme="minorHAnsi" w:cstheme="minorHAnsi"/>
          <w:b w:val="0"/>
          <w:color w:val="auto"/>
          <w:sz w:val="20"/>
          <w:szCs w:val="20"/>
        </w:rPr>
      </w:pPr>
    </w:p>
    <w:p w:rsidR="0028242E" w:rsidRPr="0028242E" w:rsidRDefault="0028242E" w:rsidP="0028242E">
      <w:pPr>
        <w:pStyle w:val="Heading2"/>
        <w:spacing w:before="120" w:after="120"/>
        <w:jc w:val="both"/>
        <w:rPr>
          <w:rFonts w:asciiTheme="minorHAnsi" w:hAnsiTheme="minorHAnsi" w:cstheme="minorHAnsi"/>
          <w:b w:val="0"/>
          <w:color w:val="auto"/>
          <w:sz w:val="20"/>
          <w:szCs w:val="20"/>
        </w:rPr>
      </w:pPr>
    </w:p>
    <w:p w:rsidR="0028242E" w:rsidRDefault="0028242E" w:rsidP="0028242E">
      <w:pPr>
        <w:pStyle w:val="Heading2"/>
        <w:spacing w:before="120" w:after="120"/>
        <w:jc w:val="both"/>
        <w:rPr>
          <w:rFonts w:asciiTheme="minorHAnsi" w:hAnsiTheme="minorHAnsi" w:cstheme="minorHAnsi"/>
          <w:b w:val="0"/>
          <w:color w:val="auto"/>
          <w:sz w:val="20"/>
          <w:szCs w:val="20"/>
        </w:rPr>
      </w:pPr>
    </w:p>
    <w:p w:rsidR="0028242E" w:rsidRPr="0028242E" w:rsidRDefault="0028242E" w:rsidP="0028242E">
      <w:pPr>
        <w:rPr>
          <w:lang w:val="en-AU"/>
        </w:rPr>
      </w:pPr>
    </w:p>
    <w:p w:rsidR="007D788A" w:rsidRPr="0028242E" w:rsidRDefault="007D788A" w:rsidP="00C16C19">
      <w:pPr>
        <w:pStyle w:val="Heading2"/>
        <w:spacing w:after="120"/>
        <w:jc w:val="both"/>
        <w:rPr>
          <w:rFonts w:asciiTheme="minorHAnsi" w:hAnsiTheme="minorHAnsi" w:cstheme="minorHAnsi"/>
          <w:b w:val="0"/>
          <w:color w:val="DC5034" w:themeColor="accent6"/>
          <w:sz w:val="24"/>
          <w:szCs w:val="24"/>
        </w:rPr>
      </w:pPr>
      <w:r w:rsidRPr="0028242E">
        <w:rPr>
          <w:rFonts w:asciiTheme="minorHAnsi" w:hAnsiTheme="minorHAnsi" w:cstheme="minorHAnsi"/>
          <w:b w:val="0"/>
          <w:color w:val="DC5034" w:themeColor="accent6"/>
          <w:sz w:val="24"/>
          <w:szCs w:val="24"/>
        </w:rPr>
        <w:t>Estimate</w:t>
      </w:r>
      <w:r w:rsidR="00B72A5E" w:rsidRPr="0028242E">
        <w:rPr>
          <w:rFonts w:asciiTheme="minorHAnsi" w:hAnsiTheme="minorHAnsi" w:cstheme="minorHAnsi"/>
          <w:b w:val="0"/>
          <w:color w:val="DC5034" w:themeColor="accent6"/>
          <w:sz w:val="24"/>
          <w:szCs w:val="24"/>
        </w:rPr>
        <w:t>d</w:t>
      </w:r>
      <w:r w:rsidRPr="0028242E">
        <w:rPr>
          <w:rFonts w:asciiTheme="minorHAnsi" w:hAnsiTheme="minorHAnsi" w:cstheme="minorHAnsi"/>
          <w:b w:val="0"/>
          <w:color w:val="DC5034" w:themeColor="accent6"/>
          <w:sz w:val="24"/>
          <w:szCs w:val="24"/>
        </w:rPr>
        <w:t xml:space="preserve"> bills</w:t>
      </w:r>
    </w:p>
    <w:p w:rsidR="002844DA" w:rsidRPr="0028242E" w:rsidRDefault="007D788A" w:rsidP="002217B6">
      <w:pPr>
        <w:spacing w:before="0"/>
        <w:rPr>
          <w:rFonts w:asciiTheme="minorHAnsi" w:hAnsiTheme="minorHAnsi" w:cstheme="minorHAnsi"/>
          <w:color w:val="auto"/>
          <w:lang w:val="en-AU"/>
        </w:rPr>
      </w:pPr>
      <w:r w:rsidRPr="0028242E">
        <w:rPr>
          <w:rFonts w:asciiTheme="minorHAnsi" w:hAnsiTheme="minorHAnsi" w:cstheme="minorHAnsi"/>
          <w:color w:val="auto"/>
          <w:lang w:val="en-AU"/>
        </w:rPr>
        <w:t>Rule 21 sets ou</w:t>
      </w:r>
      <w:r w:rsidR="00C4242A" w:rsidRPr="0028242E">
        <w:rPr>
          <w:rFonts w:asciiTheme="minorHAnsi" w:hAnsiTheme="minorHAnsi" w:cstheme="minorHAnsi"/>
          <w:color w:val="auto"/>
          <w:lang w:val="en-AU"/>
        </w:rPr>
        <w:t>t</w:t>
      </w:r>
      <w:r w:rsidRPr="0028242E">
        <w:rPr>
          <w:rFonts w:asciiTheme="minorHAnsi" w:hAnsiTheme="minorHAnsi" w:cstheme="minorHAnsi"/>
          <w:color w:val="auto"/>
          <w:lang w:val="en-AU"/>
        </w:rPr>
        <w:t xml:space="preserve"> when r</w:t>
      </w:r>
      <w:r w:rsidR="00B1103E" w:rsidRPr="0028242E">
        <w:rPr>
          <w:rFonts w:asciiTheme="minorHAnsi" w:hAnsiTheme="minorHAnsi" w:cstheme="minorHAnsi"/>
          <w:color w:val="auto"/>
          <w:lang w:val="en-AU"/>
        </w:rPr>
        <w:t>etailers can estimate</w:t>
      </w:r>
      <w:r w:rsidR="009B4796" w:rsidRPr="0028242E">
        <w:rPr>
          <w:rFonts w:asciiTheme="minorHAnsi" w:hAnsiTheme="minorHAnsi" w:cstheme="minorHAnsi"/>
          <w:color w:val="auto"/>
          <w:lang w:val="en-AU"/>
        </w:rPr>
        <w:t xml:space="preserve"> </w:t>
      </w:r>
      <w:r w:rsidRPr="0028242E">
        <w:rPr>
          <w:rFonts w:asciiTheme="minorHAnsi" w:hAnsiTheme="minorHAnsi" w:cstheme="minorHAnsi"/>
          <w:color w:val="auto"/>
          <w:lang w:val="en-AU"/>
        </w:rPr>
        <w:t>a customer's use of energy</w:t>
      </w:r>
      <w:r w:rsidR="002E0ACC" w:rsidRPr="0028242E">
        <w:rPr>
          <w:rFonts w:asciiTheme="minorHAnsi" w:hAnsiTheme="minorHAnsi" w:cstheme="minorHAnsi"/>
          <w:color w:val="auto"/>
          <w:lang w:val="en-AU"/>
        </w:rPr>
        <w:t>.</w:t>
      </w:r>
      <w:r w:rsidRPr="0028242E">
        <w:rPr>
          <w:rFonts w:asciiTheme="minorHAnsi" w:hAnsiTheme="minorHAnsi" w:cstheme="minorHAnsi"/>
          <w:color w:val="auto"/>
          <w:lang w:val="en-AU"/>
        </w:rPr>
        <w:t xml:space="preserve"> Retailers can estimate </w:t>
      </w:r>
      <w:r w:rsidR="009B4796" w:rsidRPr="0028242E">
        <w:rPr>
          <w:rFonts w:asciiTheme="minorHAnsi" w:hAnsiTheme="minorHAnsi" w:cstheme="minorHAnsi"/>
          <w:color w:val="auto"/>
          <w:lang w:val="en-AU"/>
        </w:rPr>
        <w:t>where</w:t>
      </w:r>
      <w:r w:rsidR="00117C5E" w:rsidRPr="0028242E">
        <w:rPr>
          <w:rFonts w:asciiTheme="minorHAnsi" w:hAnsiTheme="minorHAnsi" w:cstheme="minorHAnsi"/>
          <w:color w:val="auto"/>
          <w:lang w:val="en-AU"/>
        </w:rPr>
        <w:t>:</w:t>
      </w:r>
    </w:p>
    <w:p w:rsidR="00B4169D" w:rsidRPr="0028242E" w:rsidRDefault="005E0412" w:rsidP="005E0412">
      <w:pPr>
        <w:pStyle w:val="ListParagraph"/>
        <w:numPr>
          <w:ilvl w:val="0"/>
          <w:numId w:val="17"/>
        </w:numPr>
        <w:ind w:left="714" w:hanging="357"/>
        <w:rPr>
          <w:rFonts w:asciiTheme="minorHAnsi" w:hAnsiTheme="minorHAnsi" w:cstheme="minorHAnsi"/>
        </w:rPr>
      </w:pPr>
      <w:r w:rsidRPr="0028242E">
        <w:rPr>
          <w:rFonts w:asciiTheme="minorHAnsi" w:hAnsiTheme="minorHAnsi" w:cstheme="minorHAnsi"/>
        </w:rPr>
        <w:t>a</w:t>
      </w:r>
      <w:r w:rsidR="007D788A" w:rsidRPr="0028242E">
        <w:rPr>
          <w:rFonts w:asciiTheme="minorHAnsi" w:hAnsiTheme="minorHAnsi" w:cstheme="minorHAnsi"/>
        </w:rPr>
        <w:t xml:space="preserve"> customer </w:t>
      </w:r>
      <w:r w:rsidR="002511DC" w:rsidRPr="0028242E">
        <w:rPr>
          <w:rFonts w:asciiTheme="minorHAnsi" w:hAnsiTheme="minorHAnsi" w:cstheme="minorHAnsi"/>
        </w:rPr>
        <w:t xml:space="preserve">consents to </w:t>
      </w:r>
      <w:r w:rsidR="002844DA" w:rsidRPr="0028242E">
        <w:rPr>
          <w:rFonts w:asciiTheme="minorHAnsi" w:hAnsiTheme="minorHAnsi" w:cstheme="minorHAnsi"/>
        </w:rPr>
        <w:t>an estimate</w:t>
      </w:r>
      <w:r w:rsidR="002511DC" w:rsidRPr="0028242E">
        <w:rPr>
          <w:rFonts w:asciiTheme="minorHAnsi" w:hAnsiTheme="minorHAnsi" w:cstheme="minorHAnsi"/>
        </w:rPr>
        <w:t>d read</w:t>
      </w:r>
      <w:r w:rsidRPr="0028242E">
        <w:rPr>
          <w:rFonts w:asciiTheme="minorHAnsi" w:hAnsiTheme="minorHAnsi" w:cstheme="minorHAnsi"/>
        </w:rPr>
        <w:t xml:space="preserve">, </w:t>
      </w:r>
      <w:r w:rsidR="002844DA" w:rsidRPr="0028242E">
        <w:rPr>
          <w:rFonts w:asciiTheme="minorHAnsi" w:hAnsiTheme="minorHAnsi" w:cstheme="minorHAnsi"/>
        </w:rPr>
        <w:t xml:space="preserve">or </w:t>
      </w:r>
    </w:p>
    <w:p w:rsidR="002844DA" w:rsidRPr="0028242E" w:rsidRDefault="005E0412" w:rsidP="002217B6">
      <w:pPr>
        <w:pStyle w:val="ListParagraph"/>
        <w:numPr>
          <w:ilvl w:val="0"/>
          <w:numId w:val="17"/>
        </w:numPr>
        <w:ind w:left="714" w:hanging="357"/>
        <w:rPr>
          <w:rFonts w:asciiTheme="minorHAnsi" w:hAnsiTheme="minorHAnsi" w:cstheme="minorHAnsi"/>
        </w:rPr>
      </w:pPr>
      <w:r w:rsidRPr="0028242E">
        <w:rPr>
          <w:rFonts w:asciiTheme="minorHAnsi" w:hAnsiTheme="minorHAnsi" w:cstheme="minorHAnsi"/>
        </w:rPr>
        <w:t>i</w:t>
      </w:r>
      <w:r w:rsidR="00117C5E" w:rsidRPr="0028242E">
        <w:rPr>
          <w:rFonts w:asciiTheme="minorHAnsi" w:hAnsiTheme="minorHAnsi" w:cstheme="minorHAnsi"/>
        </w:rPr>
        <w:t>t</w:t>
      </w:r>
      <w:r w:rsidR="002844DA" w:rsidRPr="0028242E">
        <w:rPr>
          <w:rFonts w:asciiTheme="minorHAnsi" w:hAnsiTheme="minorHAnsi" w:cstheme="minorHAnsi"/>
        </w:rPr>
        <w:t xml:space="preserve"> cannot reasonably or reliably base</w:t>
      </w:r>
      <w:r w:rsidR="00697D21" w:rsidRPr="0028242E">
        <w:rPr>
          <w:rFonts w:asciiTheme="minorHAnsi" w:hAnsiTheme="minorHAnsi" w:cstheme="minorHAnsi"/>
        </w:rPr>
        <w:t xml:space="preserve"> a bill on actual meter data</w:t>
      </w:r>
      <w:r w:rsidRPr="0028242E">
        <w:rPr>
          <w:rFonts w:asciiTheme="minorHAnsi" w:hAnsiTheme="minorHAnsi" w:cstheme="minorHAnsi"/>
        </w:rPr>
        <w:t>,</w:t>
      </w:r>
      <w:r w:rsidR="00697D21" w:rsidRPr="0028242E">
        <w:rPr>
          <w:rFonts w:asciiTheme="minorHAnsi" w:hAnsiTheme="minorHAnsi" w:cstheme="minorHAnsi"/>
        </w:rPr>
        <w:t xml:space="preserve"> or</w:t>
      </w:r>
    </w:p>
    <w:p w:rsidR="00117C5E" w:rsidRPr="0028242E" w:rsidRDefault="005E0412" w:rsidP="002217B6">
      <w:pPr>
        <w:pStyle w:val="ListParagraph"/>
        <w:numPr>
          <w:ilvl w:val="0"/>
          <w:numId w:val="17"/>
        </w:numPr>
        <w:ind w:left="714" w:hanging="357"/>
        <w:rPr>
          <w:rFonts w:asciiTheme="minorHAnsi" w:hAnsiTheme="minorHAnsi" w:cstheme="minorHAnsi"/>
        </w:rPr>
      </w:pPr>
      <w:proofErr w:type="gramStart"/>
      <w:r w:rsidRPr="0028242E">
        <w:rPr>
          <w:rFonts w:asciiTheme="minorHAnsi" w:hAnsiTheme="minorHAnsi" w:cstheme="minorHAnsi"/>
        </w:rPr>
        <w:t>metering</w:t>
      </w:r>
      <w:proofErr w:type="gramEnd"/>
      <w:r w:rsidRPr="0028242E">
        <w:rPr>
          <w:rFonts w:asciiTheme="minorHAnsi" w:hAnsiTheme="minorHAnsi" w:cstheme="minorHAnsi"/>
        </w:rPr>
        <w:t xml:space="preserve"> </w:t>
      </w:r>
      <w:r w:rsidR="00117C5E" w:rsidRPr="0028242E">
        <w:rPr>
          <w:rFonts w:asciiTheme="minorHAnsi" w:hAnsiTheme="minorHAnsi" w:cstheme="minorHAnsi"/>
        </w:rPr>
        <w:t>data is not provided.</w:t>
      </w:r>
    </w:p>
    <w:p w:rsidR="009B4796" w:rsidRPr="0028242E" w:rsidRDefault="002511DC" w:rsidP="00117C5E">
      <w:pPr>
        <w:rPr>
          <w:rFonts w:asciiTheme="minorHAnsi" w:hAnsiTheme="minorHAnsi" w:cstheme="minorHAnsi"/>
          <w:color w:val="auto"/>
        </w:rPr>
      </w:pPr>
      <w:r w:rsidRPr="0028242E">
        <w:rPr>
          <w:rFonts w:asciiTheme="minorHAnsi" w:hAnsiTheme="minorHAnsi" w:cstheme="minorHAnsi"/>
          <w:color w:val="auto"/>
        </w:rPr>
        <w:t>Estimates</w:t>
      </w:r>
      <w:r w:rsidR="009B4796" w:rsidRPr="0028242E">
        <w:rPr>
          <w:rFonts w:asciiTheme="minorHAnsi" w:hAnsiTheme="minorHAnsi" w:cstheme="minorHAnsi"/>
          <w:color w:val="auto"/>
        </w:rPr>
        <w:t xml:space="preserve"> can be based on</w:t>
      </w:r>
      <w:r w:rsidR="00117C5E" w:rsidRPr="0028242E">
        <w:rPr>
          <w:rFonts w:asciiTheme="minorHAnsi" w:hAnsiTheme="minorHAnsi" w:cstheme="minorHAnsi"/>
          <w:color w:val="auto"/>
        </w:rPr>
        <w:t>:</w:t>
      </w:r>
    </w:p>
    <w:p w:rsidR="009B4796" w:rsidRPr="0028242E" w:rsidRDefault="005E0412" w:rsidP="0063670E">
      <w:pPr>
        <w:pStyle w:val="ListParagraph"/>
        <w:numPr>
          <w:ilvl w:val="0"/>
          <w:numId w:val="18"/>
        </w:numPr>
        <w:rPr>
          <w:rFonts w:asciiTheme="minorHAnsi" w:hAnsiTheme="minorHAnsi" w:cstheme="minorHAnsi"/>
        </w:rPr>
      </w:pPr>
      <w:r w:rsidRPr="0028242E">
        <w:rPr>
          <w:rFonts w:asciiTheme="minorHAnsi" w:hAnsiTheme="minorHAnsi" w:cstheme="minorHAnsi"/>
        </w:rPr>
        <w:t xml:space="preserve">a </w:t>
      </w:r>
      <w:r w:rsidR="009B4796" w:rsidRPr="0028242E">
        <w:rPr>
          <w:rFonts w:asciiTheme="minorHAnsi" w:hAnsiTheme="minorHAnsi" w:cstheme="minorHAnsi"/>
        </w:rPr>
        <w:t>customer’s reading of their meter</w:t>
      </w:r>
      <w:r w:rsidRPr="0028242E">
        <w:rPr>
          <w:rFonts w:asciiTheme="minorHAnsi" w:hAnsiTheme="minorHAnsi" w:cstheme="minorHAnsi"/>
        </w:rPr>
        <w:t>,</w:t>
      </w:r>
      <w:r w:rsidR="002E0ACC" w:rsidRPr="0028242E">
        <w:rPr>
          <w:rFonts w:asciiTheme="minorHAnsi" w:hAnsiTheme="minorHAnsi" w:cstheme="minorHAnsi"/>
        </w:rPr>
        <w:t xml:space="preserve"> or</w:t>
      </w:r>
    </w:p>
    <w:p w:rsidR="009B4796" w:rsidRPr="0028242E" w:rsidRDefault="005E0412" w:rsidP="0063670E">
      <w:pPr>
        <w:pStyle w:val="ListParagraph"/>
        <w:numPr>
          <w:ilvl w:val="0"/>
          <w:numId w:val="18"/>
        </w:numPr>
        <w:rPr>
          <w:rFonts w:asciiTheme="minorHAnsi" w:hAnsiTheme="minorHAnsi" w:cstheme="minorHAnsi"/>
        </w:rPr>
      </w:pPr>
      <w:r w:rsidRPr="0028242E">
        <w:rPr>
          <w:rFonts w:asciiTheme="minorHAnsi" w:hAnsiTheme="minorHAnsi" w:cstheme="minorHAnsi"/>
        </w:rPr>
        <w:t xml:space="preserve">historical </w:t>
      </w:r>
      <w:r w:rsidR="009B4796" w:rsidRPr="0028242E">
        <w:rPr>
          <w:rFonts w:asciiTheme="minorHAnsi" w:hAnsiTheme="minorHAnsi" w:cstheme="minorHAnsi"/>
        </w:rPr>
        <w:t>metering data</w:t>
      </w:r>
      <w:r w:rsidRPr="0028242E">
        <w:rPr>
          <w:rFonts w:asciiTheme="minorHAnsi" w:hAnsiTheme="minorHAnsi" w:cstheme="minorHAnsi"/>
        </w:rPr>
        <w:t>,</w:t>
      </w:r>
      <w:r w:rsidR="002E0ACC" w:rsidRPr="0028242E">
        <w:rPr>
          <w:rFonts w:asciiTheme="minorHAnsi" w:hAnsiTheme="minorHAnsi" w:cstheme="minorHAnsi"/>
        </w:rPr>
        <w:t xml:space="preserve"> or</w:t>
      </w:r>
    </w:p>
    <w:p w:rsidR="009B4796" w:rsidRPr="0028242E" w:rsidRDefault="005E0412" w:rsidP="0063670E">
      <w:pPr>
        <w:pStyle w:val="ListParagraph"/>
        <w:numPr>
          <w:ilvl w:val="0"/>
          <w:numId w:val="18"/>
        </w:numPr>
        <w:rPr>
          <w:rFonts w:asciiTheme="minorHAnsi" w:hAnsiTheme="minorHAnsi" w:cstheme="minorHAnsi"/>
        </w:rPr>
      </w:pPr>
      <w:proofErr w:type="gramStart"/>
      <w:r w:rsidRPr="0028242E">
        <w:rPr>
          <w:rFonts w:asciiTheme="minorHAnsi" w:hAnsiTheme="minorHAnsi" w:cstheme="minorHAnsi"/>
        </w:rPr>
        <w:t>average</w:t>
      </w:r>
      <w:proofErr w:type="gramEnd"/>
      <w:r w:rsidRPr="0028242E">
        <w:rPr>
          <w:rFonts w:asciiTheme="minorHAnsi" w:hAnsiTheme="minorHAnsi" w:cstheme="minorHAnsi"/>
        </w:rPr>
        <w:t xml:space="preserve"> </w:t>
      </w:r>
      <w:r w:rsidR="009B4796" w:rsidRPr="0028242E">
        <w:rPr>
          <w:rFonts w:asciiTheme="minorHAnsi" w:hAnsiTheme="minorHAnsi" w:cstheme="minorHAnsi"/>
        </w:rPr>
        <w:t>energy use by a comparable customer over the same period</w:t>
      </w:r>
      <w:r w:rsidR="002E0ACC" w:rsidRPr="0028242E">
        <w:rPr>
          <w:rFonts w:asciiTheme="minorHAnsi" w:hAnsiTheme="minorHAnsi" w:cstheme="minorHAnsi"/>
        </w:rPr>
        <w:t>.</w:t>
      </w:r>
    </w:p>
    <w:p w:rsidR="00B4169D" w:rsidRPr="0028242E" w:rsidRDefault="00635FCA" w:rsidP="008B1A7C">
      <w:pPr>
        <w:pStyle w:val="Heading2"/>
        <w:shd w:val="clear" w:color="auto" w:fill="D9D9D9" w:themeFill="background1" w:themeFillShade="D9"/>
        <w:rPr>
          <w:rFonts w:asciiTheme="minorHAnsi" w:hAnsiTheme="minorHAnsi" w:cstheme="minorHAnsi"/>
          <w:b w:val="0"/>
          <w:color w:val="auto"/>
          <w:sz w:val="24"/>
          <w:szCs w:val="24"/>
        </w:rPr>
      </w:pPr>
      <w:r w:rsidRPr="0028242E">
        <w:rPr>
          <w:rFonts w:asciiTheme="minorHAnsi" w:hAnsiTheme="minorHAnsi" w:cstheme="minorHAnsi"/>
          <w:b w:val="0"/>
          <w:color w:val="auto"/>
          <w:sz w:val="24"/>
          <w:szCs w:val="24"/>
        </w:rPr>
        <w:t>Good practice</w:t>
      </w:r>
    </w:p>
    <w:p w:rsidR="00B4169D" w:rsidRPr="0028242E" w:rsidRDefault="00B4169D" w:rsidP="008B1A7C">
      <w:pPr>
        <w:pStyle w:val="ListBullet"/>
        <w:shd w:val="clear" w:color="auto" w:fill="D9D9D9" w:themeFill="background1" w:themeFillShade="D9"/>
        <w:spacing w:after="120" w:line="240" w:lineRule="atLeast"/>
        <w:rPr>
          <w:rFonts w:asciiTheme="minorHAnsi" w:hAnsiTheme="minorHAnsi" w:cstheme="minorHAnsi"/>
        </w:rPr>
      </w:pPr>
      <w:r w:rsidRPr="0028242E">
        <w:rPr>
          <w:rFonts w:asciiTheme="minorHAnsi" w:hAnsiTheme="minorHAnsi" w:cstheme="minorHAnsi"/>
        </w:rPr>
        <w:t xml:space="preserve">Where a bill </w:t>
      </w:r>
      <w:proofErr w:type="gramStart"/>
      <w:r w:rsidRPr="0028242E">
        <w:rPr>
          <w:rFonts w:asciiTheme="minorHAnsi" w:hAnsiTheme="minorHAnsi" w:cstheme="minorHAnsi"/>
        </w:rPr>
        <w:t>is based</w:t>
      </w:r>
      <w:proofErr w:type="gramEnd"/>
      <w:r w:rsidRPr="0028242E">
        <w:rPr>
          <w:rFonts w:asciiTheme="minorHAnsi" w:hAnsiTheme="minorHAnsi" w:cstheme="minorHAnsi"/>
        </w:rPr>
        <w:t xml:space="preserve"> on an estimated read, it is important to notify the customer of the reason for the estimation. This extra step of informing the customer of the reason for the estimation may help avoid subsequent estimations.</w:t>
      </w:r>
    </w:p>
    <w:p w:rsidR="0028242E" w:rsidRPr="0028242E" w:rsidRDefault="0028242E" w:rsidP="00D92D37">
      <w:pPr>
        <w:pStyle w:val="Heading2"/>
        <w:spacing w:after="120"/>
        <w:jc w:val="both"/>
        <w:rPr>
          <w:rFonts w:asciiTheme="minorHAnsi" w:hAnsiTheme="minorHAnsi" w:cstheme="minorHAnsi"/>
          <w:b w:val="0"/>
          <w:color w:val="auto"/>
          <w:sz w:val="24"/>
          <w:szCs w:val="24"/>
        </w:rPr>
      </w:pPr>
    </w:p>
    <w:p w:rsidR="0028242E" w:rsidRPr="0028242E" w:rsidRDefault="0028242E" w:rsidP="00D92D37">
      <w:pPr>
        <w:pStyle w:val="Heading2"/>
        <w:spacing w:after="120"/>
        <w:jc w:val="both"/>
        <w:rPr>
          <w:rFonts w:asciiTheme="minorHAnsi" w:hAnsiTheme="minorHAnsi" w:cstheme="minorHAnsi"/>
          <w:b w:val="0"/>
          <w:color w:val="auto"/>
          <w:sz w:val="24"/>
          <w:szCs w:val="24"/>
        </w:rPr>
      </w:pPr>
    </w:p>
    <w:p w:rsidR="00D92D37" w:rsidRPr="0028242E" w:rsidRDefault="00D92D37" w:rsidP="00D92D37">
      <w:pPr>
        <w:pStyle w:val="Heading2"/>
        <w:spacing w:after="120"/>
        <w:jc w:val="both"/>
        <w:rPr>
          <w:rFonts w:asciiTheme="minorHAnsi" w:hAnsiTheme="minorHAnsi" w:cstheme="minorHAnsi"/>
          <w:b w:val="0"/>
          <w:color w:val="DC5034" w:themeColor="accent6"/>
          <w:sz w:val="24"/>
          <w:szCs w:val="24"/>
        </w:rPr>
      </w:pPr>
      <w:r w:rsidRPr="0028242E">
        <w:rPr>
          <w:rFonts w:asciiTheme="minorHAnsi" w:hAnsiTheme="minorHAnsi" w:cstheme="minorHAnsi"/>
          <w:b w:val="0"/>
          <w:color w:val="DC5034" w:themeColor="accent6"/>
          <w:sz w:val="24"/>
          <w:szCs w:val="24"/>
        </w:rPr>
        <w:lastRenderedPageBreak/>
        <w:t>Tariff changes</w:t>
      </w:r>
    </w:p>
    <w:p w:rsidR="00D92D37" w:rsidRPr="008B1A7C" w:rsidRDefault="00D92D37" w:rsidP="00D92D37">
      <w:pPr>
        <w:jc w:val="both"/>
        <w:rPr>
          <w:rFonts w:asciiTheme="minorHAnsi" w:hAnsiTheme="minorHAnsi" w:cstheme="minorHAnsi"/>
          <w:color w:val="auto"/>
          <w:sz w:val="20"/>
          <w:szCs w:val="20"/>
        </w:rPr>
      </w:pPr>
      <w:r w:rsidRPr="008B1A7C">
        <w:rPr>
          <w:rFonts w:asciiTheme="minorHAnsi" w:hAnsiTheme="minorHAnsi" w:cstheme="minorHAnsi"/>
          <w:color w:val="auto"/>
          <w:sz w:val="20"/>
          <w:szCs w:val="20"/>
        </w:rPr>
        <w:t>When during a billing cycle a small customer changes from one type of tariff to another type of tariff for customer retail services, the retailer must:</w:t>
      </w:r>
    </w:p>
    <w:p w:rsidR="00D92D37" w:rsidRDefault="005E0412" w:rsidP="0028242E">
      <w:pPr>
        <w:pStyle w:val="ListParagraph"/>
        <w:numPr>
          <w:ilvl w:val="0"/>
          <w:numId w:val="20"/>
        </w:numPr>
        <w:spacing w:before="60"/>
        <w:ind w:hanging="357"/>
        <w:jc w:val="both"/>
        <w:rPr>
          <w:rFonts w:asciiTheme="minorHAnsi" w:hAnsiTheme="minorHAnsi" w:cstheme="minorHAnsi"/>
          <w:sz w:val="20"/>
          <w:szCs w:val="20"/>
        </w:rPr>
      </w:pPr>
      <w:r w:rsidRPr="008B1A7C">
        <w:rPr>
          <w:rFonts w:asciiTheme="minorHAnsi" w:hAnsiTheme="minorHAnsi" w:cstheme="minorHAnsi"/>
          <w:sz w:val="20"/>
          <w:szCs w:val="20"/>
        </w:rPr>
        <w:t xml:space="preserve">obtain </w:t>
      </w:r>
      <w:r w:rsidR="00D92D37" w:rsidRPr="008B1A7C">
        <w:rPr>
          <w:rFonts w:asciiTheme="minorHAnsi" w:hAnsiTheme="minorHAnsi" w:cstheme="minorHAnsi"/>
          <w:sz w:val="20"/>
          <w:szCs w:val="20"/>
        </w:rPr>
        <w:t xml:space="preserve">a meter reading or metering data at the </w:t>
      </w:r>
      <w:r>
        <w:rPr>
          <w:rFonts w:asciiTheme="minorHAnsi" w:hAnsiTheme="minorHAnsi" w:cstheme="minorHAnsi"/>
          <w:sz w:val="20"/>
          <w:szCs w:val="20"/>
        </w:rPr>
        <w:t>time the type of tariff changes</w:t>
      </w:r>
    </w:p>
    <w:p w:rsidR="00D92D37" w:rsidRPr="008B1A7C" w:rsidRDefault="005E0412" w:rsidP="0028242E">
      <w:pPr>
        <w:pStyle w:val="ListParagraph"/>
        <w:numPr>
          <w:ilvl w:val="0"/>
          <w:numId w:val="20"/>
        </w:numPr>
        <w:spacing w:before="60"/>
        <w:ind w:hanging="357"/>
        <w:jc w:val="both"/>
        <w:rPr>
          <w:rFonts w:asciiTheme="minorHAnsi" w:hAnsiTheme="minorHAnsi" w:cstheme="minorHAnsi"/>
          <w:sz w:val="20"/>
          <w:szCs w:val="20"/>
        </w:rPr>
      </w:pPr>
      <w:r w:rsidRPr="008B1A7C">
        <w:rPr>
          <w:rFonts w:asciiTheme="minorHAnsi" w:hAnsiTheme="minorHAnsi" w:cstheme="minorHAnsi"/>
          <w:sz w:val="20"/>
          <w:szCs w:val="20"/>
        </w:rPr>
        <w:t xml:space="preserve">calculate </w:t>
      </w:r>
      <w:r w:rsidR="00D92D37" w:rsidRPr="008B1A7C">
        <w:rPr>
          <w:rFonts w:asciiTheme="minorHAnsi" w:hAnsiTheme="minorHAnsi" w:cstheme="minorHAnsi"/>
          <w:sz w:val="20"/>
          <w:szCs w:val="20"/>
        </w:rPr>
        <w:t>the customer’s bill using the type of tariff applying</w:t>
      </w:r>
      <w:r w:rsidR="00697D21" w:rsidRPr="008B1A7C">
        <w:rPr>
          <w:rFonts w:asciiTheme="minorHAnsi" w:hAnsiTheme="minorHAnsi" w:cstheme="minorHAnsi"/>
          <w:sz w:val="20"/>
          <w:szCs w:val="20"/>
        </w:rPr>
        <w:t>:</w:t>
      </w:r>
    </w:p>
    <w:p w:rsidR="00D92D37" w:rsidRPr="008B1A7C" w:rsidRDefault="005E0412" w:rsidP="0028242E">
      <w:pPr>
        <w:pStyle w:val="ListParagraph"/>
        <w:numPr>
          <w:ilvl w:val="0"/>
          <w:numId w:val="25"/>
        </w:numPr>
        <w:spacing w:before="60"/>
        <w:ind w:hanging="357"/>
        <w:jc w:val="both"/>
        <w:rPr>
          <w:rFonts w:asciiTheme="minorHAnsi" w:hAnsiTheme="minorHAnsi" w:cstheme="minorHAnsi"/>
          <w:sz w:val="20"/>
          <w:szCs w:val="20"/>
        </w:rPr>
      </w:pPr>
      <w:proofErr w:type="gramStart"/>
      <w:r w:rsidRPr="008B1A7C">
        <w:rPr>
          <w:rFonts w:asciiTheme="minorHAnsi" w:hAnsiTheme="minorHAnsi" w:cstheme="minorHAnsi"/>
          <w:sz w:val="20"/>
          <w:szCs w:val="20"/>
        </w:rPr>
        <w:t>the</w:t>
      </w:r>
      <w:proofErr w:type="gramEnd"/>
      <w:r w:rsidRPr="008B1A7C">
        <w:rPr>
          <w:rFonts w:asciiTheme="minorHAnsi" w:hAnsiTheme="minorHAnsi" w:cstheme="minorHAnsi"/>
          <w:sz w:val="20"/>
          <w:szCs w:val="20"/>
        </w:rPr>
        <w:t xml:space="preserve"> </w:t>
      </w:r>
      <w:r w:rsidR="00D92D37" w:rsidRPr="008B1A7C">
        <w:rPr>
          <w:rFonts w:asciiTheme="minorHAnsi" w:hAnsiTheme="minorHAnsi" w:cstheme="minorHAnsi"/>
          <w:sz w:val="20"/>
          <w:szCs w:val="20"/>
        </w:rPr>
        <w:t>old type of tariff up to but not including the date of the meter reading.</w:t>
      </w:r>
    </w:p>
    <w:p w:rsidR="00D92D37" w:rsidRPr="008B1A7C" w:rsidRDefault="005E0412" w:rsidP="0028242E">
      <w:pPr>
        <w:pStyle w:val="ListParagraph"/>
        <w:numPr>
          <w:ilvl w:val="0"/>
          <w:numId w:val="25"/>
        </w:numPr>
        <w:spacing w:before="60"/>
        <w:ind w:hanging="357"/>
        <w:jc w:val="both"/>
        <w:rPr>
          <w:rFonts w:asciiTheme="minorHAnsi" w:hAnsiTheme="minorHAnsi" w:cstheme="minorHAnsi"/>
          <w:sz w:val="20"/>
          <w:szCs w:val="20"/>
        </w:rPr>
      </w:pPr>
      <w:proofErr w:type="gramStart"/>
      <w:r w:rsidRPr="008B1A7C">
        <w:rPr>
          <w:rFonts w:asciiTheme="minorHAnsi" w:hAnsiTheme="minorHAnsi" w:cstheme="minorHAnsi"/>
          <w:sz w:val="20"/>
          <w:szCs w:val="20"/>
        </w:rPr>
        <w:t>the</w:t>
      </w:r>
      <w:proofErr w:type="gramEnd"/>
      <w:r w:rsidRPr="008B1A7C">
        <w:rPr>
          <w:rFonts w:asciiTheme="minorHAnsi" w:hAnsiTheme="minorHAnsi" w:cstheme="minorHAnsi"/>
          <w:sz w:val="20"/>
          <w:szCs w:val="20"/>
        </w:rPr>
        <w:t xml:space="preserve"> </w:t>
      </w:r>
      <w:r w:rsidR="00D92D37" w:rsidRPr="008B1A7C">
        <w:rPr>
          <w:rFonts w:asciiTheme="minorHAnsi" w:hAnsiTheme="minorHAnsi" w:cstheme="minorHAnsi"/>
          <w:sz w:val="20"/>
          <w:szCs w:val="20"/>
        </w:rPr>
        <w:t>new type of tariff from and including the date of the meter reading.</w:t>
      </w:r>
    </w:p>
    <w:p w:rsidR="00B4169D" w:rsidRPr="0028242E" w:rsidRDefault="00B4169D" w:rsidP="00B4169D">
      <w:pPr>
        <w:pStyle w:val="Heading2"/>
        <w:spacing w:after="120"/>
        <w:jc w:val="both"/>
        <w:rPr>
          <w:rFonts w:asciiTheme="minorHAnsi" w:hAnsiTheme="minorHAnsi" w:cstheme="minorHAnsi"/>
          <w:b w:val="0"/>
          <w:color w:val="DC5034" w:themeColor="accent6"/>
          <w:sz w:val="24"/>
          <w:szCs w:val="24"/>
        </w:rPr>
      </w:pPr>
      <w:r w:rsidRPr="0028242E">
        <w:rPr>
          <w:rFonts w:asciiTheme="minorHAnsi" w:hAnsiTheme="minorHAnsi" w:cstheme="minorHAnsi"/>
          <w:b w:val="0"/>
          <w:color w:val="DC5034" w:themeColor="accent6"/>
          <w:sz w:val="24"/>
          <w:szCs w:val="24"/>
        </w:rPr>
        <w:t>Proportionate billing</w:t>
      </w:r>
    </w:p>
    <w:p w:rsidR="00B4169D" w:rsidRPr="008B1A7C" w:rsidRDefault="00B4169D" w:rsidP="00B4169D">
      <w:pPr>
        <w:spacing w:before="120" w:line="240" w:lineRule="atLeast"/>
        <w:rPr>
          <w:rFonts w:asciiTheme="minorHAnsi" w:hAnsiTheme="minorHAnsi" w:cstheme="minorHAnsi"/>
          <w:color w:val="auto"/>
          <w:sz w:val="20"/>
          <w:szCs w:val="20"/>
          <w:lang w:val="en-AU"/>
        </w:rPr>
      </w:pPr>
      <w:r w:rsidRPr="008B1A7C">
        <w:rPr>
          <w:rFonts w:asciiTheme="minorHAnsi" w:hAnsiTheme="minorHAnsi" w:cstheme="minorHAnsi"/>
          <w:color w:val="auto"/>
          <w:sz w:val="20"/>
          <w:szCs w:val="20"/>
          <w:lang w:val="en-AU"/>
        </w:rPr>
        <w:t>Rule 22 applies to both standard and market retail contract</w:t>
      </w:r>
      <w:r w:rsidR="006D142E">
        <w:rPr>
          <w:rFonts w:asciiTheme="minorHAnsi" w:hAnsiTheme="minorHAnsi" w:cstheme="minorHAnsi"/>
          <w:color w:val="auto"/>
          <w:sz w:val="20"/>
          <w:szCs w:val="20"/>
          <w:lang w:val="en-AU"/>
        </w:rPr>
        <w:t>s</w:t>
      </w:r>
      <w:r w:rsidRPr="008B1A7C">
        <w:rPr>
          <w:rFonts w:asciiTheme="minorHAnsi" w:hAnsiTheme="minorHAnsi" w:cstheme="minorHAnsi"/>
          <w:color w:val="auto"/>
          <w:sz w:val="20"/>
          <w:szCs w:val="20"/>
          <w:lang w:val="en-AU"/>
        </w:rPr>
        <w:t>. It sets out the requirements on retailers that if a small customer's bill covers a period other than the customer's usual billing cycle or a period during which the customer's tariff changes, the retailer must charge in proportion to the relevant periods and clearly show relevant details on the bill.</w:t>
      </w:r>
    </w:p>
    <w:p w:rsidR="002D4223" w:rsidRPr="0028242E" w:rsidRDefault="00B72A5E" w:rsidP="00C16C19">
      <w:pPr>
        <w:pStyle w:val="Heading2"/>
        <w:spacing w:after="120"/>
        <w:jc w:val="both"/>
        <w:rPr>
          <w:rFonts w:asciiTheme="minorHAnsi" w:hAnsiTheme="minorHAnsi" w:cstheme="minorHAnsi"/>
          <w:b w:val="0"/>
          <w:color w:val="DC5034" w:themeColor="accent6"/>
          <w:sz w:val="24"/>
          <w:szCs w:val="24"/>
        </w:rPr>
      </w:pPr>
      <w:r w:rsidRPr="0028242E">
        <w:rPr>
          <w:rFonts w:asciiTheme="minorHAnsi" w:hAnsiTheme="minorHAnsi" w:cstheme="minorHAnsi"/>
          <w:b w:val="0"/>
          <w:color w:val="DC5034" w:themeColor="accent6"/>
          <w:sz w:val="24"/>
          <w:szCs w:val="24"/>
        </w:rPr>
        <w:t>Bill</w:t>
      </w:r>
      <w:r w:rsidR="00B4169D" w:rsidRPr="0028242E">
        <w:rPr>
          <w:rFonts w:asciiTheme="minorHAnsi" w:hAnsiTheme="minorHAnsi" w:cstheme="minorHAnsi"/>
          <w:b w:val="0"/>
          <w:color w:val="DC5034" w:themeColor="accent6"/>
          <w:sz w:val="24"/>
          <w:szCs w:val="24"/>
        </w:rPr>
        <w:t xml:space="preserve"> smoothing</w:t>
      </w:r>
    </w:p>
    <w:p w:rsidR="002844DA" w:rsidRPr="008B1A7C" w:rsidRDefault="007D788A" w:rsidP="00C16C19">
      <w:pPr>
        <w:spacing w:before="120" w:line="240" w:lineRule="atLeast"/>
        <w:rPr>
          <w:rFonts w:asciiTheme="minorHAnsi" w:hAnsiTheme="minorHAnsi" w:cstheme="minorHAnsi"/>
          <w:color w:val="auto"/>
          <w:sz w:val="20"/>
          <w:szCs w:val="20"/>
          <w:lang w:val="en-AU"/>
        </w:rPr>
      </w:pPr>
      <w:r w:rsidRPr="008B1A7C">
        <w:rPr>
          <w:rFonts w:asciiTheme="minorHAnsi" w:hAnsiTheme="minorHAnsi" w:cstheme="minorHAnsi"/>
          <w:sz w:val="20"/>
          <w:szCs w:val="20"/>
          <w:lang w:val="en-AU"/>
        </w:rPr>
        <w:t xml:space="preserve">Rule 23 </w:t>
      </w:r>
      <w:r w:rsidR="00B72A5E" w:rsidRPr="008B1A7C">
        <w:rPr>
          <w:rFonts w:asciiTheme="minorHAnsi" w:hAnsiTheme="minorHAnsi" w:cstheme="minorHAnsi"/>
          <w:sz w:val="20"/>
          <w:szCs w:val="20"/>
          <w:lang w:val="en-AU"/>
        </w:rPr>
        <w:t xml:space="preserve">applies to standard retail contracts and </w:t>
      </w:r>
      <w:r w:rsidRPr="008B1A7C">
        <w:rPr>
          <w:rFonts w:asciiTheme="minorHAnsi" w:hAnsiTheme="minorHAnsi" w:cstheme="minorHAnsi"/>
          <w:sz w:val="20"/>
          <w:szCs w:val="20"/>
          <w:lang w:val="en-AU"/>
        </w:rPr>
        <w:t xml:space="preserve">sets </w:t>
      </w:r>
      <w:r w:rsidRPr="008B1A7C">
        <w:rPr>
          <w:rFonts w:asciiTheme="minorHAnsi" w:hAnsiTheme="minorHAnsi" w:cstheme="minorHAnsi"/>
          <w:color w:val="auto"/>
          <w:sz w:val="20"/>
          <w:szCs w:val="20"/>
          <w:lang w:val="en-AU"/>
        </w:rPr>
        <w:t>out the requirements on r</w:t>
      </w:r>
      <w:r w:rsidR="002844DA" w:rsidRPr="008B1A7C">
        <w:rPr>
          <w:rFonts w:asciiTheme="minorHAnsi" w:hAnsiTheme="minorHAnsi" w:cstheme="minorHAnsi"/>
          <w:color w:val="auto"/>
          <w:sz w:val="20"/>
          <w:szCs w:val="20"/>
          <w:lang w:val="en-AU"/>
        </w:rPr>
        <w:t xml:space="preserve">etailers </w:t>
      </w:r>
      <w:r w:rsidRPr="008B1A7C">
        <w:rPr>
          <w:rFonts w:asciiTheme="minorHAnsi" w:hAnsiTheme="minorHAnsi" w:cstheme="minorHAnsi"/>
          <w:color w:val="auto"/>
          <w:sz w:val="20"/>
          <w:szCs w:val="20"/>
          <w:lang w:val="en-AU"/>
        </w:rPr>
        <w:t>when offering a</w:t>
      </w:r>
      <w:r w:rsidR="0063670E" w:rsidRPr="008B1A7C">
        <w:rPr>
          <w:rFonts w:asciiTheme="minorHAnsi" w:hAnsiTheme="minorHAnsi" w:cstheme="minorHAnsi"/>
          <w:color w:val="auto"/>
          <w:sz w:val="20"/>
          <w:szCs w:val="20"/>
          <w:lang w:val="en-AU"/>
        </w:rPr>
        <w:t xml:space="preserve"> bill smoothing arrangement</w:t>
      </w:r>
      <w:r w:rsidRPr="008B1A7C">
        <w:rPr>
          <w:rFonts w:asciiTheme="minorHAnsi" w:hAnsiTheme="minorHAnsi" w:cstheme="minorHAnsi"/>
          <w:color w:val="auto"/>
          <w:sz w:val="20"/>
          <w:szCs w:val="20"/>
          <w:lang w:val="en-AU"/>
        </w:rPr>
        <w:t>. Bill smoothing is permitted</w:t>
      </w:r>
      <w:r w:rsidR="0063670E" w:rsidRPr="008B1A7C">
        <w:rPr>
          <w:rFonts w:asciiTheme="minorHAnsi" w:hAnsiTheme="minorHAnsi" w:cstheme="minorHAnsi"/>
          <w:color w:val="auto"/>
          <w:sz w:val="20"/>
          <w:szCs w:val="20"/>
          <w:lang w:val="en-AU"/>
        </w:rPr>
        <w:t xml:space="preserve"> </w:t>
      </w:r>
      <w:r w:rsidR="002844DA" w:rsidRPr="008B1A7C">
        <w:rPr>
          <w:rFonts w:asciiTheme="minorHAnsi" w:hAnsiTheme="minorHAnsi" w:cstheme="minorHAnsi"/>
          <w:color w:val="auto"/>
          <w:sz w:val="20"/>
          <w:szCs w:val="20"/>
          <w:lang w:val="en-AU"/>
        </w:rPr>
        <w:t xml:space="preserve">in any </w:t>
      </w:r>
      <w:r w:rsidR="00513318" w:rsidRPr="008B1A7C">
        <w:rPr>
          <w:rFonts w:asciiTheme="minorHAnsi" w:hAnsiTheme="minorHAnsi" w:cstheme="minorHAnsi"/>
          <w:color w:val="auto"/>
          <w:sz w:val="20"/>
          <w:szCs w:val="20"/>
          <w:lang w:val="en-AU"/>
        </w:rPr>
        <w:t xml:space="preserve">12 </w:t>
      </w:r>
      <w:r w:rsidR="0091538B" w:rsidRPr="008B1A7C">
        <w:rPr>
          <w:rFonts w:asciiTheme="minorHAnsi" w:hAnsiTheme="minorHAnsi" w:cstheme="minorHAnsi"/>
          <w:color w:val="auto"/>
          <w:sz w:val="20"/>
          <w:szCs w:val="20"/>
          <w:lang w:val="en-AU"/>
        </w:rPr>
        <w:t>month</w:t>
      </w:r>
      <w:r w:rsidR="002844DA" w:rsidRPr="008B1A7C">
        <w:rPr>
          <w:rFonts w:asciiTheme="minorHAnsi" w:hAnsiTheme="minorHAnsi" w:cstheme="minorHAnsi"/>
          <w:color w:val="auto"/>
          <w:sz w:val="20"/>
          <w:szCs w:val="20"/>
          <w:lang w:val="en-AU"/>
        </w:rPr>
        <w:t xml:space="preserve"> period based on estimations if the amount </w:t>
      </w:r>
      <w:r w:rsidR="002511DC" w:rsidRPr="008B1A7C">
        <w:rPr>
          <w:rFonts w:asciiTheme="minorHAnsi" w:hAnsiTheme="minorHAnsi" w:cstheme="minorHAnsi"/>
          <w:color w:val="auto"/>
          <w:sz w:val="20"/>
          <w:szCs w:val="20"/>
          <w:lang w:val="en-AU"/>
        </w:rPr>
        <w:t xml:space="preserve">paid by </w:t>
      </w:r>
      <w:r w:rsidR="0063670E" w:rsidRPr="008B1A7C">
        <w:rPr>
          <w:rFonts w:asciiTheme="minorHAnsi" w:hAnsiTheme="minorHAnsi" w:cstheme="minorHAnsi"/>
          <w:color w:val="auto"/>
          <w:sz w:val="20"/>
          <w:szCs w:val="20"/>
          <w:lang w:val="en-AU"/>
        </w:rPr>
        <w:t xml:space="preserve">the customer </w:t>
      </w:r>
      <w:r w:rsidR="002844DA" w:rsidRPr="008B1A7C">
        <w:rPr>
          <w:rFonts w:asciiTheme="minorHAnsi" w:hAnsiTheme="minorHAnsi" w:cstheme="minorHAnsi"/>
          <w:color w:val="auto"/>
          <w:sz w:val="20"/>
          <w:szCs w:val="20"/>
          <w:lang w:val="en-AU"/>
        </w:rPr>
        <w:t>is:</w:t>
      </w:r>
    </w:p>
    <w:p w:rsidR="002844DA" w:rsidRPr="008B1A7C" w:rsidRDefault="005E0412" w:rsidP="0028242E">
      <w:pPr>
        <w:pStyle w:val="ListParagraph"/>
        <w:numPr>
          <w:ilvl w:val="0"/>
          <w:numId w:val="16"/>
        </w:numPr>
        <w:spacing w:before="60" w:line="240" w:lineRule="atLeast"/>
        <w:ind w:left="777" w:hanging="357"/>
        <w:rPr>
          <w:rFonts w:asciiTheme="minorHAnsi" w:hAnsiTheme="minorHAnsi" w:cstheme="minorHAnsi"/>
          <w:sz w:val="20"/>
          <w:szCs w:val="20"/>
        </w:rPr>
      </w:pPr>
      <w:r>
        <w:rPr>
          <w:rFonts w:asciiTheme="minorHAnsi" w:hAnsiTheme="minorHAnsi" w:cstheme="minorHAnsi"/>
          <w:sz w:val="20"/>
          <w:szCs w:val="20"/>
        </w:rPr>
        <w:t>i</w:t>
      </w:r>
      <w:r w:rsidRPr="008B1A7C">
        <w:rPr>
          <w:rFonts w:asciiTheme="minorHAnsi" w:hAnsiTheme="minorHAnsi" w:cstheme="minorHAnsi"/>
          <w:sz w:val="20"/>
          <w:szCs w:val="20"/>
        </w:rPr>
        <w:t xml:space="preserve">nitially </w:t>
      </w:r>
      <w:r w:rsidR="0063670E" w:rsidRPr="008B1A7C">
        <w:rPr>
          <w:rFonts w:asciiTheme="minorHAnsi" w:hAnsiTheme="minorHAnsi" w:cstheme="minorHAnsi"/>
          <w:sz w:val="20"/>
          <w:szCs w:val="20"/>
        </w:rPr>
        <w:t xml:space="preserve">the same and based on an </w:t>
      </w:r>
      <w:r w:rsidR="002511DC" w:rsidRPr="008B1A7C">
        <w:rPr>
          <w:rFonts w:asciiTheme="minorHAnsi" w:hAnsiTheme="minorHAnsi" w:cstheme="minorHAnsi"/>
          <w:sz w:val="20"/>
          <w:szCs w:val="20"/>
        </w:rPr>
        <w:t>estimate</w:t>
      </w:r>
      <w:r w:rsidR="002844DA" w:rsidRPr="008B1A7C">
        <w:rPr>
          <w:rFonts w:asciiTheme="minorHAnsi" w:hAnsiTheme="minorHAnsi" w:cstheme="minorHAnsi"/>
          <w:sz w:val="20"/>
          <w:szCs w:val="20"/>
        </w:rPr>
        <w:t xml:space="preserve"> of the amount of </w:t>
      </w:r>
      <w:r w:rsidR="009B1DE9" w:rsidRPr="008B1A7C">
        <w:rPr>
          <w:rFonts w:asciiTheme="minorHAnsi" w:hAnsiTheme="minorHAnsi" w:cstheme="minorHAnsi"/>
          <w:sz w:val="20"/>
          <w:szCs w:val="20"/>
        </w:rPr>
        <w:t>energy</w:t>
      </w:r>
      <w:r w:rsidR="002844DA" w:rsidRPr="008B1A7C">
        <w:rPr>
          <w:rFonts w:asciiTheme="minorHAnsi" w:hAnsiTheme="minorHAnsi" w:cstheme="minorHAnsi"/>
          <w:sz w:val="20"/>
          <w:szCs w:val="20"/>
        </w:rPr>
        <w:t xml:space="preserve"> a customer will </w:t>
      </w:r>
      <w:r w:rsidR="0063670E" w:rsidRPr="008B1A7C">
        <w:rPr>
          <w:rFonts w:asciiTheme="minorHAnsi" w:hAnsiTheme="minorHAnsi" w:cstheme="minorHAnsi"/>
          <w:sz w:val="20"/>
          <w:szCs w:val="20"/>
        </w:rPr>
        <w:t>use</w:t>
      </w:r>
      <w:r w:rsidR="002844DA" w:rsidRPr="008B1A7C">
        <w:rPr>
          <w:rFonts w:asciiTheme="minorHAnsi" w:hAnsiTheme="minorHAnsi" w:cstheme="minorHAnsi"/>
          <w:sz w:val="20"/>
          <w:szCs w:val="20"/>
        </w:rPr>
        <w:t xml:space="preserve"> over </w:t>
      </w:r>
      <w:r w:rsidR="00513318" w:rsidRPr="008B1A7C">
        <w:rPr>
          <w:rFonts w:asciiTheme="minorHAnsi" w:hAnsiTheme="minorHAnsi" w:cstheme="minorHAnsi"/>
          <w:sz w:val="20"/>
          <w:szCs w:val="20"/>
        </w:rPr>
        <w:t>12</w:t>
      </w:r>
      <w:r w:rsidR="002844DA" w:rsidRPr="008B1A7C">
        <w:rPr>
          <w:rFonts w:asciiTheme="minorHAnsi" w:hAnsiTheme="minorHAnsi" w:cstheme="minorHAnsi"/>
          <w:sz w:val="20"/>
          <w:szCs w:val="20"/>
        </w:rPr>
        <w:t xml:space="preserve"> months</w:t>
      </w:r>
      <w:r>
        <w:rPr>
          <w:rFonts w:asciiTheme="minorHAnsi" w:hAnsiTheme="minorHAnsi" w:cstheme="minorHAnsi"/>
          <w:sz w:val="20"/>
          <w:szCs w:val="20"/>
        </w:rPr>
        <w:t>,</w:t>
      </w:r>
      <w:r w:rsidR="002844DA" w:rsidRPr="008B1A7C">
        <w:rPr>
          <w:rFonts w:asciiTheme="minorHAnsi" w:hAnsiTheme="minorHAnsi" w:cstheme="minorHAnsi"/>
          <w:sz w:val="20"/>
          <w:szCs w:val="20"/>
        </w:rPr>
        <w:t xml:space="preserve"> and</w:t>
      </w:r>
    </w:p>
    <w:p w:rsidR="00C16C19" w:rsidRPr="008B1A7C" w:rsidRDefault="005E0412" w:rsidP="0028242E">
      <w:pPr>
        <w:pStyle w:val="ListParagraph"/>
        <w:numPr>
          <w:ilvl w:val="0"/>
          <w:numId w:val="16"/>
        </w:numPr>
        <w:spacing w:before="60" w:line="240" w:lineRule="atLeast"/>
        <w:ind w:left="777" w:hanging="357"/>
        <w:rPr>
          <w:rFonts w:asciiTheme="minorHAnsi" w:hAnsiTheme="minorHAnsi" w:cstheme="minorHAnsi"/>
          <w:sz w:val="20"/>
          <w:szCs w:val="20"/>
        </w:rPr>
      </w:pPr>
      <w:proofErr w:type="gramStart"/>
      <w:r w:rsidRPr="008B1A7C">
        <w:rPr>
          <w:rFonts w:asciiTheme="minorHAnsi" w:hAnsiTheme="minorHAnsi" w:cstheme="minorHAnsi"/>
          <w:sz w:val="20"/>
          <w:szCs w:val="20"/>
        </w:rPr>
        <w:t>is</w:t>
      </w:r>
      <w:proofErr w:type="gramEnd"/>
      <w:r w:rsidRPr="008B1A7C">
        <w:rPr>
          <w:rFonts w:asciiTheme="minorHAnsi" w:hAnsiTheme="minorHAnsi" w:cstheme="minorHAnsi"/>
          <w:sz w:val="20"/>
          <w:szCs w:val="20"/>
        </w:rPr>
        <w:t xml:space="preserve"> </w:t>
      </w:r>
      <w:r w:rsidR="002844DA" w:rsidRPr="008B1A7C">
        <w:rPr>
          <w:rFonts w:asciiTheme="minorHAnsi" w:hAnsiTheme="minorHAnsi" w:cstheme="minorHAnsi"/>
          <w:sz w:val="20"/>
          <w:szCs w:val="20"/>
        </w:rPr>
        <w:t xml:space="preserve">based on a customer’s </w:t>
      </w:r>
      <w:r w:rsidR="0063670E" w:rsidRPr="008B1A7C">
        <w:rPr>
          <w:rFonts w:asciiTheme="minorHAnsi" w:hAnsiTheme="minorHAnsi" w:cstheme="minorHAnsi"/>
          <w:sz w:val="20"/>
          <w:szCs w:val="20"/>
        </w:rPr>
        <w:t>historical</w:t>
      </w:r>
      <w:r w:rsidR="002844DA" w:rsidRPr="008B1A7C">
        <w:rPr>
          <w:rFonts w:asciiTheme="minorHAnsi" w:hAnsiTheme="minorHAnsi" w:cstheme="minorHAnsi"/>
          <w:sz w:val="20"/>
          <w:szCs w:val="20"/>
        </w:rPr>
        <w:t xml:space="preserve"> billing data or if this is not available</w:t>
      </w:r>
      <w:r w:rsidR="00CB57BC" w:rsidRPr="008B1A7C">
        <w:rPr>
          <w:rFonts w:asciiTheme="minorHAnsi" w:hAnsiTheme="minorHAnsi" w:cstheme="minorHAnsi"/>
          <w:sz w:val="20"/>
          <w:szCs w:val="20"/>
        </w:rPr>
        <w:t>,</w:t>
      </w:r>
      <w:r w:rsidR="002844DA" w:rsidRPr="008B1A7C">
        <w:rPr>
          <w:rFonts w:asciiTheme="minorHAnsi" w:hAnsiTheme="minorHAnsi" w:cstheme="minorHAnsi"/>
          <w:sz w:val="20"/>
          <w:szCs w:val="20"/>
        </w:rPr>
        <w:t xml:space="preserve"> the average usage by a comparable cust</w:t>
      </w:r>
      <w:r w:rsidR="0063670E" w:rsidRPr="008B1A7C">
        <w:rPr>
          <w:rFonts w:asciiTheme="minorHAnsi" w:hAnsiTheme="minorHAnsi" w:cstheme="minorHAnsi"/>
          <w:sz w:val="20"/>
          <w:szCs w:val="20"/>
        </w:rPr>
        <w:t xml:space="preserve">omer over a </w:t>
      </w:r>
      <w:r w:rsidR="00513318" w:rsidRPr="008B1A7C">
        <w:rPr>
          <w:rFonts w:asciiTheme="minorHAnsi" w:hAnsiTheme="minorHAnsi" w:cstheme="minorHAnsi"/>
          <w:sz w:val="20"/>
          <w:szCs w:val="20"/>
        </w:rPr>
        <w:t>12</w:t>
      </w:r>
      <w:r w:rsidR="00C4242A">
        <w:rPr>
          <w:rFonts w:asciiTheme="minorHAnsi" w:hAnsiTheme="minorHAnsi" w:cstheme="minorHAnsi"/>
          <w:sz w:val="20"/>
          <w:szCs w:val="20"/>
        </w:rPr>
        <w:t xml:space="preserve"> </w:t>
      </w:r>
      <w:r w:rsidR="0091538B" w:rsidRPr="008B1A7C">
        <w:rPr>
          <w:rFonts w:asciiTheme="minorHAnsi" w:hAnsiTheme="minorHAnsi" w:cstheme="minorHAnsi"/>
          <w:sz w:val="20"/>
          <w:szCs w:val="20"/>
        </w:rPr>
        <w:t>month</w:t>
      </w:r>
      <w:r w:rsidR="0063670E" w:rsidRPr="008B1A7C">
        <w:rPr>
          <w:rFonts w:asciiTheme="minorHAnsi" w:hAnsiTheme="minorHAnsi" w:cstheme="minorHAnsi"/>
          <w:sz w:val="20"/>
          <w:szCs w:val="20"/>
        </w:rPr>
        <w:t xml:space="preserve"> period</w:t>
      </w:r>
      <w:r w:rsidR="00513318" w:rsidRPr="008B1A7C">
        <w:rPr>
          <w:rFonts w:asciiTheme="minorHAnsi" w:hAnsiTheme="minorHAnsi" w:cstheme="minorHAnsi"/>
          <w:sz w:val="20"/>
          <w:szCs w:val="20"/>
        </w:rPr>
        <w:t>.</w:t>
      </w:r>
      <w:r w:rsidR="0063670E" w:rsidRPr="008B1A7C">
        <w:rPr>
          <w:rFonts w:asciiTheme="minorHAnsi" w:hAnsiTheme="minorHAnsi" w:cstheme="minorHAnsi"/>
          <w:sz w:val="20"/>
          <w:szCs w:val="20"/>
        </w:rPr>
        <w:t xml:space="preserve"> </w:t>
      </w:r>
    </w:p>
    <w:p w:rsidR="00C16C19" w:rsidRPr="008B1A7C" w:rsidRDefault="00C16C19" w:rsidP="0063670E">
      <w:pPr>
        <w:rPr>
          <w:rFonts w:asciiTheme="minorHAnsi" w:hAnsiTheme="minorHAnsi" w:cstheme="minorHAnsi"/>
          <w:b/>
          <w:i/>
          <w:color w:val="auto"/>
          <w:sz w:val="20"/>
          <w:szCs w:val="20"/>
        </w:rPr>
      </w:pPr>
      <w:r w:rsidRPr="008B1A7C">
        <w:rPr>
          <w:rFonts w:asciiTheme="minorHAnsi" w:hAnsiTheme="minorHAnsi" w:cstheme="minorHAnsi"/>
          <w:b/>
          <w:i/>
          <w:color w:val="auto"/>
          <w:sz w:val="20"/>
          <w:szCs w:val="20"/>
        </w:rPr>
        <w:t>Recalculation of the arrangement</w:t>
      </w:r>
    </w:p>
    <w:p w:rsidR="0063670E" w:rsidRPr="008B1A7C" w:rsidRDefault="0063670E" w:rsidP="00C16C19">
      <w:pPr>
        <w:spacing w:before="120" w:line="240" w:lineRule="atLeast"/>
        <w:rPr>
          <w:rFonts w:asciiTheme="minorHAnsi" w:hAnsiTheme="minorHAnsi" w:cstheme="minorHAnsi"/>
          <w:color w:val="auto"/>
          <w:sz w:val="20"/>
          <w:szCs w:val="20"/>
        </w:rPr>
      </w:pPr>
      <w:r w:rsidRPr="008B1A7C">
        <w:rPr>
          <w:rFonts w:asciiTheme="minorHAnsi" w:hAnsiTheme="minorHAnsi" w:cstheme="minorHAnsi"/>
          <w:color w:val="auto"/>
          <w:sz w:val="20"/>
          <w:szCs w:val="20"/>
        </w:rPr>
        <w:t>Retailers must in the seventh month of the arrangement re-estimate a customer's energy usage over 12 months using seasonal factors or actual meter data to make any adjustments.</w:t>
      </w:r>
    </w:p>
    <w:p w:rsidR="0063670E" w:rsidRPr="008B1A7C" w:rsidRDefault="0063670E" w:rsidP="0063670E">
      <w:pPr>
        <w:rPr>
          <w:rFonts w:asciiTheme="minorHAnsi" w:hAnsiTheme="minorHAnsi" w:cstheme="minorHAnsi"/>
          <w:color w:val="auto"/>
          <w:sz w:val="20"/>
          <w:szCs w:val="20"/>
        </w:rPr>
      </w:pPr>
      <w:r w:rsidRPr="008B1A7C">
        <w:rPr>
          <w:rFonts w:asciiTheme="minorHAnsi" w:hAnsiTheme="minorHAnsi" w:cstheme="minorHAnsi"/>
          <w:color w:val="auto"/>
          <w:sz w:val="20"/>
          <w:szCs w:val="20"/>
        </w:rPr>
        <w:t>If the amount is greater than ten per</w:t>
      </w:r>
      <w:r w:rsidR="00CB57BC" w:rsidRPr="008B1A7C">
        <w:rPr>
          <w:rFonts w:asciiTheme="minorHAnsi" w:hAnsiTheme="minorHAnsi" w:cstheme="minorHAnsi"/>
          <w:color w:val="auto"/>
          <w:sz w:val="20"/>
          <w:szCs w:val="20"/>
        </w:rPr>
        <w:t xml:space="preserve"> </w:t>
      </w:r>
      <w:r w:rsidRPr="008B1A7C">
        <w:rPr>
          <w:rFonts w:asciiTheme="minorHAnsi" w:hAnsiTheme="minorHAnsi" w:cstheme="minorHAnsi"/>
          <w:color w:val="auto"/>
          <w:sz w:val="20"/>
          <w:szCs w:val="20"/>
        </w:rPr>
        <w:t xml:space="preserve">cent the arrangement must be adjusted to reflect this difference. At the end of twelve months the meter must be read and any </w:t>
      </w:r>
      <w:r w:rsidR="009D608B" w:rsidRPr="008B1A7C">
        <w:rPr>
          <w:rFonts w:asciiTheme="minorHAnsi" w:hAnsiTheme="minorHAnsi" w:cstheme="minorHAnsi"/>
          <w:color w:val="auto"/>
          <w:sz w:val="20"/>
          <w:szCs w:val="20"/>
        </w:rPr>
        <w:t>over</w:t>
      </w:r>
      <w:r w:rsidR="009D608B">
        <w:rPr>
          <w:rFonts w:asciiTheme="minorHAnsi" w:hAnsiTheme="minorHAnsi" w:cstheme="minorHAnsi"/>
          <w:color w:val="auto"/>
          <w:sz w:val="20"/>
          <w:szCs w:val="20"/>
        </w:rPr>
        <w:t>charging</w:t>
      </w:r>
      <w:r w:rsidRPr="008B1A7C">
        <w:rPr>
          <w:rFonts w:asciiTheme="minorHAnsi" w:hAnsiTheme="minorHAnsi" w:cstheme="minorHAnsi"/>
          <w:color w:val="auto"/>
          <w:sz w:val="20"/>
          <w:szCs w:val="20"/>
        </w:rPr>
        <w:t xml:space="preserve"> or undercharging must be recovered in accordance with the Rules</w:t>
      </w:r>
      <w:r w:rsidR="00E756D9" w:rsidRPr="008B1A7C">
        <w:rPr>
          <w:rFonts w:asciiTheme="minorHAnsi" w:hAnsiTheme="minorHAnsi" w:cstheme="minorHAnsi"/>
          <w:color w:val="auto"/>
          <w:sz w:val="20"/>
          <w:szCs w:val="20"/>
        </w:rPr>
        <w:t>.</w:t>
      </w:r>
    </w:p>
    <w:p w:rsidR="00B72A5E" w:rsidRDefault="00B72A5E" w:rsidP="0063670E">
      <w:pPr>
        <w:rPr>
          <w:rFonts w:asciiTheme="minorHAnsi" w:hAnsiTheme="minorHAnsi" w:cstheme="minorHAnsi"/>
          <w:color w:val="auto"/>
          <w:sz w:val="20"/>
          <w:szCs w:val="20"/>
        </w:rPr>
      </w:pPr>
      <w:r w:rsidRPr="008B1A7C">
        <w:rPr>
          <w:rFonts w:asciiTheme="minorHAnsi" w:hAnsiTheme="minorHAnsi" w:cstheme="minorHAnsi"/>
          <w:color w:val="auto"/>
          <w:sz w:val="20"/>
          <w:szCs w:val="20"/>
        </w:rPr>
        <w:t xml:space="preserve">Retailers can </w:t>
      </w:r>
      <w:r w:rsidR="00C16C19" w:rsidRPr="008B1A7C">
        <w:rPr>
          <w:rFonts w:asciiTheme="minorHAnsi" w:hAnsiTheme="minorHAnsi" w:cstheme="minorHAnsi"/>
          <w:color w:val="auto"/>
          <w:sz w:val="20"/>
          <w:szCs w:val="20"/>
        </w:rPr>
        <w:t>include</w:t>
      </w:r>
      <w:r w:rsidRPr="008B1A7C">
        <w:rPr>
          <w:rFonts w:asciiTheme="minorHAnsi" w:hAnsiTheme="minorHAnsi" w:cstheme="minorHAnsi"/>
          <w:color w:val="auto"/>
          <w:sz w:val="20"/>
          <w:szCs w:val="20"/>
        </w:rPr>
        <w:t xml:space="preserve"> bill smoothing arrangements in market retail contracts.</w:t>
      </w:r>
    </w:p>
    <w:p w:rsidR="00635FCA" w:rsidRPr="0028242E" w:rsidRDefault="00635FCA" w:rsidP="00635FCA">
      <w:pPr>
        <w:pStyle w:val="Heading2"/>
        <w:spacing w:after="120"/>
        <w:jc w:val="both"/>
        <w:rPr>
          <w:rFonts w:asciiTheme="minorHAnsi" w:hAnsiTheme="minorHAnsi" w:cstheme="minorHAnsi"/>
          <w:b w:val="0"/>
          <w:color w:val="DC5034" w:themeColor="accent6"/>
          <w:sz w:val="24"/>
          <w:szCs w:val="24"/>
        </w:rPr>
      </w:pPr>
      <w:r w:rsidRPr="0028242E">
        <w:rPr>
          <w:rFonts w:asciiTheme="minorHAnsi" w:hAnsiTheme="minorHAnsi" w:cstheme="minorHAnsi"/>
          <w:b w:val="0"/>
          <w:color w:val="DC5034" w:themeColor="accent6"/>
          <w:sz w:val="24"/>
          <w:szCs w:val="24"/>
        </w:rPr>
        <w:lastRenderedPageBreak/>
        <w:t>Requesting a final bill</w:t>
      </w:r>
    </w:p>
    <w:p w:rsidR="00635FCA" w:rsidRPr="008B1A7C" w:rsidRDefault="00635FCA" w:rsidP="00635FCA">
      <w:pPr>
        <w:pStyle w:val="Heading2"/>
        <w:spacing w:before="0"/>
        <w:jc w:val="both"/>
        <w:rPr>
          <w:rFonts w:asciiTheme="minorHAnsi" w:eastAsia="Times New Roman" w:hAnsiTheme="minorHAnsi" w:cstheme="minorHAnsi"/>
          <w:b w:val="0"/>
          <w:bCs w:val="0"/>
          <w:color w:val="auto"/>
          <w:sz w:val="20"/>
          <w:szCs w:val="20"/>
          <w:lang w:val="en-GB"/>
        </w:rPr>
      </w:pPr>
      <w:r w:rsidRPr="008B1A7C">
        <w:rPr>
          <w:rFonts w:asciiTheme="minorHAnsi" w:eastAsia="Times New Roman" w:hAnsiTheme="minorHAnsi" w:cstheme="minorHAnsi"/>
          <w:b w:val="0"/>
          <w:bCs w:val="0"/>
          <w:color w:val="auto"/>
          <w:sz w:val="20"/>
          <w:szCs w:val="20"/>
          <w:lang w:val="en-GB"/>
        </w:rPr>
        <w:t xml:space="preserve">Under rule 35 for standard retail contracts and at the request of a customer for a final bill a retailer must: </w:t>
      </w:r>
    </w:p>
    <w:p w:rsidR="00635FCA" w:rsidRPr="008B1A7C" w:rsidRDefault="005E0412" w:rsidP="00635FCA">
      <w:pPr>
        <w:pStyle w:val="Heading2"/>
        <w:numPr>
          <w:ilvl w:val="0"/>
          <w:numId w:val="23"/>
        </w:numPr>
        <w:spacing w:before="120" w:after="120"/>
        <w:ind w:left="714" w:hanging="357"/>
        <w:jc w:val="both"/>
        <w:rPr>
          <w:rFonts w:asciiTheme="minorHAnsi" w:eastAsia="Times New Roman" w:hAnsiTheme="minorHAnsi" w:cstheme="minorHAnsi"/>
          <w:b w:val="0"/>
          <w:bCs w:val="0"/>
          <w:color w:val="auto"/>
          <w:sz w:val="20"/>
          <w:szCs w:val="20"/>
          <w:lang w:val="en-GB"/>
        </w:rPr>
      </w:pPr>
      <w:proofErr w:type="gramStart"/>
      <w:r w:rsidRPr="008B1A7C">
        <w:rPr>
          <w:rFonts w:asciiTheme="minorHAnsi" w:eastAsia="Times New Roman" w:hAnsiTheme="minorHAnsi" w:cstheme="minorHAnsi"/>
          <w:b w:val="0"/>
          <w:bCs w:val="0"/>
          <w:color w:val="auto"/>
          <w:sz w:val="20"/>
          <w:szCs w:val="20"/>
          <w:lang w:val="en-GB"/>
        </w:rPr>
        <w:t>use</w:t>
      </w:r>
      <w:proofErr w:type="gramEnd"/>
      <w:r w:rsidRPr="008B1A7C">
        <w:rPr>
          <w:rFonts w:asciiTheme="minorHAnsi" w:eastAsia="Times New Roman" w:hAnsiTheme="minorHAnsi" w:cstheme="minorHAnsi"/>
          <w:b w:val="0"/>
          <w:bCs w:val="0"/>
          <w:color w:val="auto"/>
          <w:sz w:val="20"/>
          <w:szCs w:val="20"/>
          <w:lang w:val="en-GB"/>
        </w:rPr>
        <w:t xml:space="preserve"> </w:t>
      </w:r>
      <w:r w:rsidR="00635FCA" w:rsidRPr="008B1A7C">
        <w:rPr>
          <w:rFonts w:asciiTheme="minorHAnsi" w:eastAsia="Times New Roman" w:hAnsiTheme="minorHAnsi" w:cstheme="minorHAnsi"/>
          <w:b w:val="0"/>
          <w:bCs w:val="0"/>
          <w:color w:val="auto"/>
          <w:sz w:val="20"/>
          <w:szCs w:val="20"/>
          <w:lang w:val="en-GB"/>
        </w:rPr>
        <w:t>its best endeav</w:t>
      </w:r>
      <w:r>
        <w:rPr>
          <w:rFonts w:asciiTheme="minorHAnsi" w:eastAsia="Times New Roman" w:hAnsiTheme="minorHAnsi" w:cstheme="minorHAnsi"/>
          <w:b w:val="0"/>
          <w:bCs w:val="0"/>
          <w:color w:val="auto"/>
          <w:sz w:val="20"/>
          <w:szCs w:val="20"/>
          <w:lang w:val="en-GB"/>
        </w:rPr>
        <w:t>ours to arrange a meter reading</w:t>
      </w:r>
    </w:p>
    <w:p w:rsidR="00635FCA" w:rsidRPr="005E0412" w:rsidRDefault="005E0412" w:rsidP="0063670E">
      <w:pPr>
        <w:pStyle w:val="Heading2"/>
        <w:numPr>
          <w:ilvl w:val="0"/>
          <w:numId w:val="23"/>
        </w:numPr>
        <w:spacing w:before="120" w:after="120"/>
        <w:ind w:left="714" w:hanging="357"/>
        <w:jc w:val="both"/>
        <w:rPr>
          <w:rFonts w:asciiTheme="minorHAnsi" w:hAnsiTheme="minorHAnsi" w:cstheme="minorHAnsi"/>
          <w:b w:val="0"/>
          <w:color w:val="auto"/>
          <w:sz w:val="20"/>
          <w:szCs w:val="20"/>
        </w:rPr>
      </w:pPr>
      <w:proofErr w:type="gramStart"/>
      <w:r w:rsidRPr="008B1A7C">
        <w:rPr>
          <w:rFonts w:asciiTheme="minorHAnsi" w:hAnsiTheme="minorHAnsi" w:cstheme="minorHAnsi"/>
          <w:b w:val="0"/>
          <w:color w:val="auto"/>
          <w:sz w:val="20"/>
          <w:szCs w:val="20"/>
        </w:rPr>
        <w:t>prepare</w:t>
      </w:r>
      <w:proofErr w:type="gramEnd"/>
      <w:r w:rsidRPr="008B1A7C">
        <w:rPr>
          <w:rFonts w:asciiTheme="minorHAnsi" w:hAnsiTheme="minorHAnsi" w:cstheme="minorHAnsi"/>
          <w:b w:val="0"/>
          <w:color w:val="auto"/>
          <w:sz w:val="20"/>
          <w:szCs w:val="20"/>
        </w:rPr>
        <w:t xml:space="preserve"> </w:t>
      </w:r>
      <w:r w:rsidR="00635FCA" w:rsidRPr="008B1A7C">
        <w:rPr>
          <w:rFonts w:asciiTheme="minorHAnsi" w:hAnsiTheme="minorHAnsi" w:cstheme="minorHAnsi"/>
          <w:b w:val="0"/>
          <w:color w:val="auto"/>
          <w:sz w:val="20"/>
          <w:szCs w:val="20"/>
        </w:rPr>
        <w:t>and issue a bill in accordance with a customer’s request.</w:t>
      </w:r>
    </w:p>
    <w:p w:rsidR="00D92D37" w:rsidRPr="0028242E" w:rsidRDefault="00D92D37" w:rsidP="008B1A7C">
      <w:pPr>
        <w:pStyle w:val="Heading2"/>
        <w:shd w:val="clear" w:color="auto" w:fill="D9D9D9" w:themeFill="background1" w:themeFillShade="D9"/>
        <w:rPr>
          <w:rFonts w:asciiTheme="minorHAnsi" w:hAnsiTheme="minorHAnsi" w:cstheme="minorHAnsi"/>
          <w:b w:val="0"/>
          <w:color w:val="auto"/>
          <w:sz w:val="24"/>
          <w:szCs w:val="24"/>
        </w:rPr>
      </w:pPr>
      <w:bookmarkStart w:id="1" w:name="_Hlk485476733"/>
      <w:r w:rsidRPr="0028242E">
        <w:rPr>
          <w:rFonts w:asciiTheme="minorHAnsi" w:hAnsiTheme="minorHAnsi" w:cstheme="minorHAnsi"/>
          <w:b w:val="0"/>
          <w:color w:val="auto"/>
          <w:sz w:val="24"/>
          <w:szCs w:val="24"/>
        </w:rPr>
        <w:t>Good practice</w:t>
      </w:r>
    </w:p>
    <w:p w:rsidR="00D92D37" w:rsidRPr="008B1A7C" w:rsidRDefault="00D92D37" w:rsidP="008B1A7C">
      <w:pPr>
        <w:pStyle w:val="ListBullet"/>
        <w:shd w:val="clear" w:color="auto" w:fill="D9D9D9" w:themeFill="background1" w:themeFillShade="D9"/>
        <w:rPr>
          <w:rFonts w:asciiTheme="minorHAnsi" w:hAnsiTheme="minorHAnsi" w:cstheme="minorHAnsi"/>
          <w:sz w:val="20"/>
          <w:szCs w:val="20"/>
        </w:rPr>
      </w:pPr>
      <w:r w:rsidRPr="008B1A7C">
        <w:rPr>
          <w:rFonts w:asciiTheme="minorHAnsi" w:hAnsiTheme="minorHAnsi" w:cstheme="minorHAnsi"/>
          <w:sz w:val="20"/>
          <w:szCs w:val="20"/>
        </w:rPr>
        <w:t>Use a simple clear layout with a readable size font.</w:t>
      </w:r>
    </w:p>
    <w:p w:rsidR="00D92D37" w:rsidRPr="008B1A7C" w:rsidRDefault="00D92D37" w:rsidP="008B1A7C">
      <w:pPr>
        <w:pStyle w:val="ListBullet"/>
        <w:shd w:val="clear" w:color="auto" w:fill="D9D9D9" w:themeFill="background1" w:themeFillShade="D9"/>
        <w:rPr>
          <w:rFonts w:asciiTheme="minorHAnsi" w:hAnsiTheme="minorHAnsi" w:cstheme="minorHAnsi"/>
          <w:sz w:val="20"/>
          <w:szCs w:val="20"/>
        </w:rPr>
      </w:pPr>
      <w:r w:rsidRPr="008B1A7C">
        <w:rPr>
          <w:rFonts w:asciiTheme="minorHAnsi" w:hAnsiTheme="minorHAnsi" w:cstheme="minorHAnsi"/>
          <w:sz w:val="20"/>
          <w:szCs w:val="20"/>
        </w:rPr>
        <w:t>Where a pay-on-time discount is available, clearly label the total amount due with and without the discount.</w:t>
      </w:r>
    </w:p>
    <w:p w:rsidR="00D92D37" w:rsidRPr="008B1A7C" w:rsidRDefault="00D92D37" w:rsidP="008B1A7C">
      <w:pPr>
        <w:pStyle w:val="ListBullet"/>
        <w:shd w:val="clear" w:color="auto" w:fill="D9D9D9" w:themeFill="background1" w:themeFillShade="D9"/>
        <w:rPr>
          <w:rFonts w:asciiTheme="minorHAnsi" w:hAnsiTheme="minorHAnsi" w:cstheme="minorHAnsi"/>
          <w:sz w:val="20"/>
          <w:szCs w:val="20"/>
        </w:rPr>
      </w:pPr>
      <w:r w:rsidRPr="008B1A7C">
        <w:rPr>
          <w:rFonts w:asciiTheme="minorHAnsi" w:hAnsiTheme="minorHAnsi" w:cstheme="minorHAnsi"/>
          <w:sz w:val="20"/>
          <w:szCs w:val="20"/>
        </w:rPr>
        <w:t>Provide a line item stating the tariff or plan and the meter reading type.</w:t>
      </w:r>
    </w:p>
    <w:p w:rsidR="00D92D37" w:rsidRPr="008B1A7C" w:rsidRDefault="00D92D37" w:rsidP="008B1A7C">
      <w:pPr>
        <w:pStyle w:val="ListBullet"/>
        <w:shd w:val="clear" w:color="auto" w:fill="D9D9D9" w:themeFill="background1" w:themeFillShade="D9"/>
        <w:rPr>
          <w:rFonts w:asciiTheme="minorHAnsi" w:hAnsiTheme="minorHAnsi" w:cstheme="minorHAnsi"/>
          <w:sz w:val="20"/>
          <w:szCs w:val="20"/>
        </w:rPr>
      </w:pPr>
      <w:r w:rsidRPr="008B1A7C">
        <w:rPr>
          <w:rFonts w:asciiTheme="minorHAnsi" w:hAnsiTheme="minorHAnsi" w:cstheme="minorHAnsi"/>
          <w:sz w:val="20"/>
          <w:szCs w:val="20"/>
        </w:rPr>
        <w:t>Show the unit price in the calculation of total amount.</w:t>
      </w:r>
    </w:p>
    <w:p w:rsidR="00D92D37" w:rsidRPr="008B1A7C" w:rsidRDefault="00D92D37" w:rsidP="008B1A7C">
      <w:pPr>
        <w:pStyle w:val="ListBullet"/>
        <w:shd w:val="clear" w:color="auto" w:fill="D9D9D9" w:themeFill="background1" w:themeFillShade="D9"/>
        <w:rPr>
          <w:rFonts w:asciiTheme="minorHAnsi" w:hAnsiTheme="minorHAnsi" w:cstheme="minorHAnsi"/>
          <w:sz w:val="20"/>
          <w:szCs w:val="20"/>
        </w:rPr>
      </w:pPr>
      <w:r w:rsidRPr="008B1A7C">
        <w:rPr>
          <w:rFonts w:asciiTheme="minorHAnsi" w:hAnsiTheme="minorHAnsi" w:cstheme="minorHAnsi"/>
          <w:sz w:val="20"/>
          <w:szCs w:val="20"/>
        </w:rPr>
        <w:t>Use bold headings and subheadings to differentiate prices or tariffs.</w:t>
      </w:r>
    </w:p>
    <w:p w:rsidR="00D92D37" w:rsidRPr="008B1A7C" w:rsidRDefault="00D92D37" w:rsidP="008B1A7C">
      <w:pPr>
        <w:pStyle w:val="ListBullet"/>
        <w:shd w:val="clear" w:color="auto" w:fill="D9D9D9" w:themeFill="background1" w:themeFillShade="D9"/>
        <w:rPr>
          <w:rFonts w:asciiTheme="minorHAnsi" w:hAnsiTheme="minorHAnsi" w:cstheme="minorHAnsi"/>
          <w:sz w:val="20"/>
          <w:szCs w:val="20"/>
        </w:rPr>
      </w:pPr>
      <w:r w:rsidRPr="008B1A7C">
        <w:rPr>
          <w:rFonts w:asciiTheme="minorHAnsi" w:hAnsiTheme="minorHAnsi" w:cstheme="minorHAnsi"/>
          <w:sz w:val="20"/>
          <w:szCs w:val="20"/>
        </w:rPr>
        <w:t>Define usage and charges clearly.</w:t>
      </w:r>
    </w:p>
    <w:p w:rsidR="00D92D37" w:rsidRPr="008B1A7C" w:rsidRDefault="00D92D37" w:rsidP="008B1A7C">
      <w:pPr>
        <w:pStyle w:val="ListBullet"/>
        <w:shd w:val="clear" w:color="auto" w:fill="D9D9D9" w:themeFill="background1" w:themeFillShade="D9"/>
        <w:rPr>
          <w:rFonts w:asciiTheme="minorHAnsi" w:hAnsiTheme="minorHAnsi" w:cstheme="minorHAnsi"/>
          <w:sz w:val="20"/>
          <w:szCs w:val="20"/>
        </w:rPr>
      </w:pPr>
      <w:r w:rsidRPr="008B1A7C">
        <w:rPr>
          <w:rFonts w:asciiTheme="minorHAnsi" w:hAnsiTheme="minorHAnsi" w:cstheme="minorHAnsi"/>
          <w:sz w:val="20"/>
          <w:szCs w:val="20"/>
        </w:rPr>
        <w:t xml:space="preserve">Name </w:t>
      </w:r>
      <w:r w:rsidR="00343CD0" w:rsidRPr="008B1A7C">
        <w:rPr>
          <w:rFonts w:asciiTheme="minorHAnsi" w:hAnsiTheme="minorHAnsi" w:cstheme="minorHAnsi"/>
          <w:sz w:val="20"/>
          <w:szCs w:val="20"/>
        </w:rPr>
        <w:t>concessions, discounts</w:t>
      </w:r>
      <w:r w:rsidRPr="008B1A7C">
        <w:rPr>
          <w:rFonts w:asciiTheme="minorHAnsi" w:hAnsiTheme="minorHAnsi" w:cstheme="minorHAnsi"/>
          <w:sz w:val="20"/>
          <w:szCs w:val="20"/>
        </w:rPr>
        <w:t xml:space="preserve"> and the period they applied.</w:t>
      </w:r>
    </w:p>
    <w:p w:rsidR="00635FCA" w:rsidRPr="0097405D" w:rsidRDefault="00635FCA" w:rsidP="0097405D">
      <w:bookmarkStart w:id="2" w:name="_Hlk485549543"/>
      <w:bookmarkEnd w:id="1"/>
    </w:p>
    <w:p w:rsidR="001536E8" w:rsidRPr="0028242E" w:rsidRDefault="001536E8" w:rsidP="001536E8">
      <w:pPr>
        <w:pStyle w:val="Heading2"/>
        <w:spacing w:before="120" w:after="120" w:line="240" w:lineRule="auto"/>
        <w:rPr>
          <w:rFonts w:asciiTheme="minorHAnsi" w:hAnsiTheme="minorHAnsi" w:cstheme="minorHAnsi"/>
          <w:b w:val="0"/>
          <w:color w:val="DC5034" w:themeColor="accent6"/>
          <w:sz w:val="24"/>
          <w:szCs w:val="24"/>
        </w:rPr>
      </w:pPr>
      <w:r w:rsidRPr="0028242E">
        <w:rPr>
          <w:rFonts w:asciiTheme="minorHAnsi" w:hAnsiTheme="minorHAnsi" w:cstheme="minorHAnsi"/>
          <w:b w:val="0"/>
          <w:color w:val="DC5034" w:themeColor="accent6"/>
          <w:sz w:val="24"/>
          <w:szCs w:val="24"/>
        </w:rPr>
        <w:t>Responsibility for compliance</w:t>
      </w:r>
    </w:p>
    <w:p w:rsidR="001536E8" w:rsidRPr="008B1A7C" w:rsidRDefault="001536E8" w:rsidP="001536E8">
      <w:pPr>
        <w:spacing w:before="120" w:line="240" w:lineRule="auto"/>
        <w:rPr>
          <w:rFonts w:asciiTheme="minorHAnsi" w:hAnsiTheme="minorHAnsi" w:cstheme="minorHAnsi"/>
          <w:color w:val="auto"/>
          <w:sz w:val="20"/>
          <w:szCs w:val="20"/>
        </w:rPr>
      </w:pPr>
      <w:r w:rsidRPr="008B1A7C">
        <w:rPr>
          <w:rFonts w:asciiTheme="minorHAnsi" w:hAnsiTheme="minorHAnsi" w:cstheme="minorHAnsi"/>
          <w:color w:val="auto"/>
          <w:sz w:val="20"/>
          <w:szCs w:val="20"/>
        </w:rPr>
        <w:t xml:space="preserve">Section 273 of the Retail Law requires a </w:t>
      </w:r>
      <w:r w:rsidR="006D142E">
        <w:rPr>
          <w:rFonts w:asciiTheme="minorHAnsi" w:hAnsiTheme="minorHAnsi" w:cstheme="minorHAnsi"/>
          <w:color w:val="auto"/>
          <w:sz w:val="20"/>
          <w:szCs w:val="20"/>
        </w:rPr>
        <w:t>business</w:t>
      </w:r>
      <w:r w:rsidRPr="008B1A7C">
        <w:rPr>
          <w:rFonts w:asciiTheme="minorHAnsi" w:hAnsiTheme="minorHAnsi" w:cstheme="minorHAnsi"/>
          <w:color w:val="auto"/>
          <w:sz w:val="20"/>
          <w:szCs w:val="20"/>
        </w:rPr>
        <w:t xml:space="preserve"> (even where functions are outsourced to a third party) to establish policies, systems and procedures to enable it to efficiently and effectively monitor its compliance with the requirements of the Retail Law, the National Regulations and the Retail Rules. Reflecting the importance of clear bills many of these requirements if breached are civil penalty provisions under the Retail Rules.</w:t>
      </w:r>
    </w:p>
    <w:p w:rsidR="001536E8" w:rsidRPr="0028242E" w:rsidRDefault="001536E8" w:rsidP="001536E8">
      <w:pPr>
        <w:pStyle w:val="Heading2"/>
        <w:spacing w:before="120" w:after="120" w:line="240" w:lineRule="auto"/>
        <w:rPr>
          <w:rFonts w:asciiTheme="minorHAnsi" w:hAnsiTheme="minorHAnsi" w:cstheme="minorHAnsi"/>
          <w:b w:val="0"/>
          <w:color w:val="DC5034" w:themeColor="accent6"/>
          <w:sz w:val="24"/>
          <w:szCs w:val="24"/>
        </w:rPr>
      </w:pPr>
      <w:r w:rsidRPr="0028242E">
        <w:rPr>
          <w:rFonts w:asciiTheme="minorHAnsi" w:hAnsiTheme="minorHAnsi" w:cstheme="minorHAnsi"/>
          <w:b w:val="0"/>
          <w:color w:val="DC5034" w:themeColor="accent6"/>
          <w:sz w:val="24"/>
          <w:szCs w:val="24"/>
        </w:rPr>
        <w:t>AER approach to compliance</w:t>
      </w:r>
    </w:p>
    <w:p w:rsidR="001536E8" w:rsidRDefault="001536E8" w:rsidP="005E0412">
      <w:pPr>
        <w:spacing w:before="120" w:line="240" w:lineRule="auto"/>
        <w:rPr>
          <w:rFonts w:asciiTheme="minorHAnsi" w:hAnsiTheme="minorHAnsi" w:cstheme="minorHAnsi"/>
          <w:color w:val="auto"/>
          <w:sz w:val="20"/>
          <w:szCs w:val="20"/>
        </w:rPr>
      </w:pPr>
      <w:r w:rsidRPr="008B1A7C">
        <w:rPr>
          <w:rFonts w:asciiTheme="minorHAnsi" w:hAnsiTheme="minorHAnsi" w:cstheme="minorHAnsi"/>
          <w:color w:val="auto"/>
          <w:sz w:val="20"/>
          <w:szCs w:val="20"/>
        </w:rPr>
        <w:t xml:space="preserve">We assess instances of potential non-compliance with the Retail Law and Retail Rules in accordance with our Statement of Approach (available on the AER website).  We will consider a range of factors in deciding on an appropriate response and will take steps with the </w:t>
      </w:r>
      <w:r w:rsidR="006D142E">
        <w:rPr>
          <w:rFonts w:asciiTheme="minorHAnsi" w:hAnsiTheme="minorHAnsi" w:cstheme="minorHAnsi"/>
          <w:color w:val="auto"/>
          <w:sz w:val="20"/>
          <w:szCs w:val="20"/>
        </w:rPr>
        <w:t>business</w:t>
      </w:r>
      <w:r w:rsidRPr="008B1A7C">
        <w:rPr>
          <w:rFonts w:asciiTheme="minorHAnsi" w:hAnsiTheme="minorHAnsi" w:cstheme="minorHAnsi"/>
          <w:color w:val="auto"/>
          <w:sz w:val="20"/>
          <w:szCs w:val="20"/>
        </w:rPr>
        <w:t xml:space="preserve"> involved.</w:t>
      </w:r>
      <w:bookmarkEnd w:id="2"/>
    </w:p>
    <w:p w:rsidR="0028242E" w:rsidRDefault="0028242E" w:rsidP="005E0412">
      <w:pPr>
        <w:spacing w:before="120" w:line="240" w:lineRule="auto"/>
        <w:rPr>
          <w:rFonts w:asciiTheme="minorHAnsi" w:hAnsiTheme="minorHAnsi" w:cstheme="minorHAnsi"/>
          <w:color w:val="auto"/>
          <w:sz w:val="20"/>
          <w:szCs w:val="20"/>
        </w:rPr>
      </w:pPr>
    </w:p>
    <w:p w:rsidR="0028242E" w:rsidRDefault="0028242E" w:rsidP="005E0412">
      <w:pPr>
        <w:spacing w:before="120" w:line="240" w:lineRule="auto"/>
        <w:rPr>
          <w:rFonts w:asciiTheme="minorHAnsi" w:hAnsiTheme="minorHAnsi" w:cstheme="minorHAnsi"/>
          <w:color w:val="auto"/>
          <w:sz w:val="20"/>
          <w:szCs w:val="20"/>
        </w:rPr>
      </w:pPr>
    </w:p>
    <w:p w:rsidR="0028242E" w:rsidRPr="005E0412" w:rsidRDefault="0028242E" w:rsidP="005E0412">
      <w:pPr>
        <w:spacing w:before="120" w:line="240" w:lineRule="auto"/>
        <w:rPr>
          <w:rFonts w:asciiTheme="minorHAnsi" w:hAnsiTheme="minorHAnsi" w:cstheme="minorHAnsi"/>
          <w:color w:val="auto"/>
          <w:sz w:val="20"/>
          <w:szCs w:val="20"/>
        </w:rPr>
        <w:sectPr w:rsidR="0028242E" w:rsidRPr="005E0412" w:rsidSect="0028242E">
          <w:type w:val="continuous"/>
          <w:pgSz w:w="11906" w:h="16838"/>
          <w:pgMar w:top="907" w:right="907" w:bottom="567" w:left="907" w:header="720" w:footer="720" w:gutter="0"/>
          <w:cols w:num="2" w:space="286"/>
          <w:noEndnote/>
        </w:sectPr>
      </w:pPr>
      <w:bookmarkStart w:id="3" w:name="_GoBack"/>
      <w:bookmarkEnd w:id="3"/>
    </w:p>
    <w:p w:rsidR="009D6B46" w:rsidRPr="008B1A7C" w:rsidRDefault="00563E86" w:rsidP="00B1324A">
      <w:pPr>
        <w:pStyle w:val="Copyrighttext"/>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rFonts w:asciiTheme="minorHAnsi" w:hAnsiTheme="minorHAnsi" w:cstheme="minorHAnsi"/>
          <w:color w:val="auto"/>
        </w:rPr>
      </w:pPr>
      <w:r w:rsidRPr="008B1A7C">
        <w:rPr>
          <w:rFonts w:asciiTheme="minorHAnsi" w:hAnsiTheme="minorHAnsi" w:cstheme="minorHAnsi"/>
          <w:color w:val="auto"/>
        </w:rPr>
        <w:lastRenderedPageBreak/>
        <w:t>The information in this publication is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 The AER has made every reasonable effort to provide current and accurate information, but it does not make any guarantees regarding the accuracy, currency or completeness of that information.</w:t>
      </w:r>
    </w:p>
    <w:p w:rsidR="00563E86" w:rsidRPr="008B1A7C" w:rsidRDefault="00563E86" w:rsidP="00B1324A">
      <w:pPr>
        <w:pStyle w:val="Copyright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8B1A7C">
        <w:rPr>
          <w:rFonts w:asciiTheme="minorHAnsi" w:hAnsiTheme="minorHAnsi" w:cstheme="minorHAnsi"/>
          <w:color w:val="auto"/>
        </w:rPr>
        <w:t xml:space="preserve">© Commonwealth of Australia 2015 ACCC 03/15_03/15_968 For copyright information visit </w:t>
      </w:r>
      <w:hyperlink r:id="rId17" w:history="1">
        <w:r w:rsidRPr="008B1A7C">
          <w:rPr>
            <w:rStyle w:val="Hyperlink"/>
            <w:rFonts w:asciiTheme="minorHAnsi" w:hAnsiTheme="minorHAnsi" w:cstheme="minorHAnsi"/>
            <w:sz w:val="16"/>
          </w:rPr>
          <w:t>www.aer.gov.au</w:t>
        </w:r>
      </w:hyperlink>
    </w:p>
    <w:sectPr w:rsidR="00563E86" w:rsidRPr="008B1A7C" w:rsidSect="00404A9A">
      <w:type w:val="continuous"/>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27" w:rsidRDefault="009E0927" w:rsidP="004B4412">
      <w:pPr>
        <w:spacing w:before="0"/>
      </w:pPr>
      <w:r>
        <w:separator/>
      </w:r>
    </w:p>
  </w:endnote>
  <w:endnote w:type="continuationSeparator" w:id="0">
    <w:p w:rsidR="009E0927" w:rsidRDefault="009E0927"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2A" w:rsidRDefault="00460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2A" w:rsidRDefault="00460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2A" w:rsidRDefault="00460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27" w:rsidRDefault="009E0927" w:rsidP="004B4412">
      <w:pPr>
        <w:spacing w:before="0"/>
      </w:pPr>
      <w:r>
        <w:separator/>
      </w:r>
    </w:p>
  </w:footnote>
  <w:footnote w:type="continuationSeparator" w:id="0">
    <w:p w:rsidR="009E0927" w:rsidRDefault="009E0927"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2A" w:rsidRDefault="00460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2A" w:rsidRDefault="00460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2A" w:rsidRDefault="00460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9980A77"/>
    <w:multiLevelType w:val="hybridMultilevel"/>
    <w:tmpl w:val="6D105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E790A7B"/>
    <w:multiLevelType w:val="hybridMultilevel"/>
    <w:tmpl w:val="6A5A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093D22"/>
    <w:multiLevelType w:val="hybridMultilevel"/>
    <w:tmpl w:val="F3B06FF2"/>
    <w:lvl w:ilvl="0" w:tplc="0C090001">
      <w:start w:val="1"/>
      <w:numFmt w:val="bullet"/>
      <w:lvlText w:val=""/>
      <w:lvlJc w:val="left"/>
      <w:pPr>
        <w:ind w:left="720" w:hanging="360"/>
      </w:pPr>
      <w:rPr>
        <w:rFonts w:ascii="Symbol" w:hAnsi="Symbol" w:hint="default"/>
      </w:rPr>
    </w:lvl>
    <w:lvl w:ilvl="1" w:tplc="DF287FE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593083"/>
    <w:multiLevelType w:val="hybridMultilevel"/>
    <w:tmpl w:val="B8CE2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8143D7"/>
    <w:multiLevelType w:val="hybridMultilevel"/>
    <w:tmpl w:val="887A17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5A3D2B63"/>
    <w:multiLevelType w:val="hybridMultilevel"/>
    <w:tmpl w:val="616A8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C6D0BD6"/>
    <w:multiLevelType w:val="hybridMultilevel"/>
    <w:tmpl w:val="822A25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1">
    <w:nsid w:val="6B585C55"/>
    <w:multiLevelType w:val="hybridMultilevel"/>
    <w:tmpl w:val="C30C5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364DF5"/>
    <w:multiLevelType w:val="hybridMultilevel"/>
    <w:tmpl w:val="FCDE6B38"/>
    <w:lvl w:ilvl="0" w:tplc="DF287FEE">
      <w:start w:val="1"/>
      <w:numFmt w:val="bullet"/>
      <w:lvlText w:val="-"/>
      <w:lvlJc w:val="left"/>
      <w:pPr>
        <w:ind w:left="720" w:hanging="360"/>
      </w:pPr>
      <w:rPr>
        <w:rFonts w:ascii="Courier New" w:hAnsi="Courier New" w:hint="default"/>
      </w:rPr>
    </w:lvl>
    <w:lvl w:ilvl="1" w:tplc="DF287FE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FC7459A"/>
    <w:multiLevelType w:val="hybridMultilevel"/>
    <w:tmpl w:val="9000B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5"/>
  </w:num>
  <w:num w:numId="14">
    <w:abstractNumId w:val="9"/>
  </w:num>
  <w:num w:numId="15">
    <w:abstractNumId w:val="12"/>
  </w:num>
  <w:num w:numId="16">
    <w:abstractNumId w:val="17"/>
  </w:num>
  <w:num w:numId="17">
    <w:abstractNumId w:val="21"/>
  </w:num>
  <w:num w:numId="18">
    <w:abstractNumId w:val="13"/>
  </w:num>
  <w:num w:numId="19">
    <w:abstractNumId w:val="19"/>
  </w:num>
  <w:num w:numId="20">
    <w:abstractNumId w:val="18"/>
  </w:num>
  <w:num w:numId="21">
    <w:abstractNumId w:val="11"/>
  </w:num>
  <w:num w:numId="22">
    <w:abstractNumId w:val="24"/>
  </w:num>
  <w:num w:numId="23">
    <w:abstractNumId w:val="16"/>
  </w:num>
  <w:num w:numId="24">
    <w:abstractNumId w:val="14"/>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thor\AppData\Local\Microsoft\Windows\Temporary Internet Files\Content.Outlook\B4DZ7M96\AER Compliance Check - Billing -basis for bills estimations  2017 current.DOCX"/>
  </w:docVars>
  <w:rsids>
    <w:rsidRoot w:val="00563E86"/>
    <w:rsid w:val="00021202"/>
    <w:rsid w:val="0003061D"/>
    <w:rsid w:val="0003578C"/>
    <w:rsid w:val="00040C3B"/>
    <w:rsid w:val="00063247"/>
    <w:rsid w:val="00070F9F"/>
    <w:rsid w:val="0007137B"/>
    <w:rsid w:val="00073A69"/>
    <w:rsid w:val="00083F41"/>
    <w:rsid w:val="00085663"/>
    <w:rsid w:val="00085EBF"/>
    <w:rsid w:val="000871CC"/>
    <w:rsid w:val="000A05A0"/>
    <w:rsid w:val="000B358D"/>
    <w:rsid w:val="000C0A3D"/>
    <w:rsid w:val="000C5CA4"/>
    <w:rsid w:val="000D122C"/>
    <w:rsid w:val="000D6F3E"/>
    <w:rsid w:val="000E1819"/>
    <w:rsid w:val="000E6C72"/>
    <w:rsid w:val="0011184A"/>
    <w:rsid w:val="00116EB2"/>
    <w:rsid w:val="00117082"/>
    <w:rsid w:val="00117C5E"/>
    <w:rsid w:val="00124609"/>
    <w:rsid w:val="001300BF"/>
    <w:rsid w:val="00135E86"/>
    <w:rsid w:val="001536E8"/>
    <w:rsid w:val="001573E4"/>
    <w:rsid w:val="00160756"/>
    <w:rsid w:val="0017232E"/>
    <w:rsid w:val="00174102"/>
    <w:rsid w:val="00180157"/>
    <w:rsid w:val="00186F77"/>
    <w:rsid w:val="001926A4"/>
    <w:rsid w:val="001B45A0"/>
    <w:rsid w:val="001B4A9C"/>
    <w:rsid w:val="001C3BCA"/>
    <w:rsid w:val="001D055E"/>
    <w:rsid w:val="001F0B74"/>
    <w:rsid w:val="001F2BB4"/>
    <w:rsid w:val="001F492E"/>
    <w:rsid w:val="001F6DA3"/>
    <w:rsid w:val="001F7D66"/>
    <w:rsid w:val="00200004"/>
    <w:rsid w:val="002002BB"/>
    <w:rsid w:val="00200957"/>
    <w:rsid w:val="00211542"/>
    <w:rsid w:val="002217B6"/>
    <w:rsid w:val="00224DB9"/>
    <w:rsid w:val="0023040E"/>
    <w:rsid w:val="002511DC"/>
    <w:rsid w:val="00251745"/>
    <w:rsid w:val="00254A81"/>
    <w:rsid w:val="00263AC0"/>
    <w:rsid w:val="0026756D"/>
    <w:rsid w:val="0026772D"/>
    <w:rsid w:val="0028242E"/>
    <w:rsid w:val="002844DA"/>
    <w:rsid w:val="0028631E"/>
    <w:rsid w:val="00286874"/>
    <w:rsid w:val="0029514A"/>
    <w:rsid w:val="00296B65"/>
    <w:rsid w:val="002A5E48"/>
    <w:rsid w:val="002A7DEF"/>
    <w:rsid w:val="002B58B0"/>
    <w:rsid w:val="002B6BFF"/>
    <w:rsid w:val="002D4223"/>
    <w:rsid w:val="002E0ACC"/>
    <w:rsid w:val="002E0D31"/>
    <w:rsid w:val="002F54DE"/>
    <w:rsid w:val="002F7986"/>
    <w:rsid w:val="003061B9"/>
    <w:rsid w:val="00307F6D"/>
    <w:rsid w:val="00314598"/>
    <w:rsid w:val="00316207"/>
    <w:rsid w:val="003177A2"/>
    <w:rsid w:val="00322B59"/>
    <w:rsid w:val="00326D6A"/>
    <w:rsid w:val="003271B5"/>
    <w:rsid w:val="00331264"/>
    <w:rsid w:val="00334C8D"/>
    <w:rsid w:val="003372AD"/>
    <w:rsid w:val="00343CD0"/>
    <w:rsid w:val="003518B3"/>
    <w:rsid w:val="00356123"/>
    <w:rsid w:val="003846F1"/>
    <w:rsid w:val="00393532"/>
    <w:rsid w:val="00396D42"/>
    <w:rsid w:val="00397115"/>
    <w:rsid w:val="003B0398"/>
    <w:rsid w:val="003C1FF6"/>
    <w:rsid w:val="003E71FF"/>
    <w:rsid w:val="003F5672"/>
    <w:rsid w:val="00404A9A"/>
    <w:rsid w:val="00446220"/>
    <w:rsid w:val="0046062A"/>
    <w:rsid w:val="00480B4B"/>
    <w:rsid w:val="00485DC4"/>
    <w:rsid w:val="00490886"/>
    <w:rsid w:val="004B1BF5"/>
    <w:rsid w:val="004B4412"/>
    <w:rsid w:val="004C348C"/>
    <w:rsid w:val="004D330F"/>
    <w:rsid w:val="004D55BA"/>
    <w:rsid w:val="004D7331"/>
    <w:rsid w:val="004E28B2"/>
    <w:rsid w:val="004E4A4C"/>
    <w:rsid w:val="00502B76"/>
    <w:rsid w:val="00510958"/>
    <w:rsid w:val="00513318"/>
    <w:rsid w:val="00530128"/>
    <w:rsid w:val="00532467"/>
    <w:rsid w:val="00563E86"/>
    <w:rsid w:val="00564A4D"/>
    <w:rsid w:val="00567E3A"/>
    <w:rsid w:val="00571B35"/>
    <w:rsid w:val="00577A09"/>
    <w:rsid w:val="00584D8F"/>
    <w:rsid w:val="00591084"/>
    <w:rsid w:val="0059652B"/>
    <w:rsid w:val="005A404D"/>
    <w:rsid w:val="005A7F4C"/>
    <w:rsid w:val="005B0D3C"/>
    <w:rsid w:val="005B1E3C"/>
    <w:rsid w:val="005C26CC"/>
    <w:rsid w:val="005C3B49"/>
    <w:rsid w:val="005C53BD"/>
    <w:rsid w:val="005E0412"/>
    <w:rsid w:val="005E24F0"/>
    <w:rsid w:val="00615C6B"/>
    <w:rsid w:val="0063053A"/>
    <w:rsid w:val="00632D6D"/>
    <w:rsid w:val="00635FCA"/>
    <w:rsid w:val="0063670E"/>
    <w:rsid w:val="00642C3E"/>
    <w:rsid w:val="006437A7"/>
    <w:rsid w:val="00663DAD"/>
    <w:rsid w:val="00667DFF"/>
    <w:rsid w:val="00676679"/>
    <w:rsid w:val="006833FA"/>
    <w:rsid w:val="00697D21"/>
    <w:rsid w:val="006B4CF9"/>
    <w:rsid w:val="006B7AC8"/>
    <w:rsid w:val="006D142E"/>
    <w:rsid w:val="006D550F"/>
    <w:rsid w:val="006D585D"/>
    <w:rsid w:val="006E645B"/>
    <w:rsid w:val="00701CAB"/>
    <w:rsid w:val="00707563"/>
    <w:rsid w:val="007152A9"/>
    <w:rsid w:val="007209D4"/>
    <w:rsid w:val="0072348C"/>
    <w:rsid w:val="00724A37"/>
    <w:rsid w:val="007303C3"/>
    <w:rsid w:val="00743223"/>
    <w:rsid w:val="00746E01"/>
    <w:rsid w:val="007548C5"/>
    <w:rsid w:val="00763E5D"/>
    <w:rsid w:val="00767740"/>
    <w:rsid w:val="00773F3C"/>
    <w:rsid w:val="00775E9A"/>
    <w:rsid w:val="00777EE6"/>
    <w:rsid w:val="007816A8"/>
    <w:rsid w:val="00782EEA"/>
    <w:rsid w:val="007835CC"/>
    <w:rsid w:val="00795816"/>
    <w:rsid w:val="007B2C72"/>
    <w:rsid w:val="007C1C53"/>
    <w:rsid w:val="007C4BD6"/>
    <w:rsid w:val="007C6C0C"/>
    <w:rsid w:val="007D788A"/>
    <w:rsid w:val="007E4904"/>
    <w:rsid w:val="007E4CB5"/>
    <w:rsid w:val="007E5CB4"/>
    <w:rsid w:val="007F066B"/>
    <w:rsid w:val="007F1EFF"/>
    <w:rsid w:val="008027CA"/>
    <w:rsid w:val="008033C4"/>
    <w:rsid w:val="00806C88"/>
    <w:rsid w:val="0081034E"/>
    <w:rsid w:val="00815E59"/>
    <w:rsid w:val="0082098A"/>
    <w:rsid w:val="0083440A"/>
    <w:rsid w:val="008344F6"/>
    <w:rsid w:val="0083510F"/>
    <w:rsid w:val="00851209"/>
    <w:rsid w:val="00870088"/>
    <w:rsid w:val="00877AC1"/>
    <w:rsid w:val="008837AC"/>
    <w:rsid w:val="008849F8"/>
    <w:rsid w:val="008959F3"/>
    <w:rsid w:val="008A08FE"/>
    <w:rsid w:val="008A587D"/>
    <w:rsid w:val="008B1A7C"/>
    <w:rsid w:val="008C5486"/>
    <w:rsid w:val="008E7031"/>
    <w:rsid w:val="008F4E75"/>
    <w:rsid w:val="00903688"/>
    <w:rsid w:val="0091538B"/>
    <w:rsid w:val="00922FDC"/>
    <w:rsid w:val="009233EE"/>
    <w:rsid w:val="00925812"/>
    <w:rsid w:val="00931389"/>
    <w:rsid w:val="00937785"/>
    <w:rsid w:val="00937ABF"/>
    <w:rsid w:val="009422DC"/>
    <w:rsid w:val="00957BF2"/>
    <w:rsid w:val="009661DE"/>
    <w:rsid w:val="0097405D"/>
    <w:rsid w:val="00980206"/>
    <w:rsid w:val="00982089"/>
    <w:rsid w:val="009856B7"/>
    <w:rsid w:val="00987640"/>
    <w:rsid w:val="009A29C2"/>
    <w:rsid w:val="009A3DD9"/>
    <w:rsid w:val="009B1DE9"/>
    <w:rsid w:val="009B4796"/>
    <w:rsid w:val="009B74B0"/>
    <w:rsid w:val="009D608B"/>
    <w:rsid w:val="009D6B46"/>
    <w:rsid w:val="009E0927"/>
    <w:rsid w:val="009F4940"/>
    <w:rsid w:val="00A4478A"/>
    <w:rsid w:val="00A44852"/>
    <w:rsid w:val="00A53A66"/>
    <w:rsid w:val="00A57D04"/>
    <w:rsid w:val="00A60A26"/>
    <w:rsid w:val="00A61598"/>
    <w:rsid w:val="00A84F46"/>
    <w:rsid w:val="00A871F4"/>
    <w:rsid w:val="00AC1B2C"/>
    <w:rsid w:val="00AC3264"/>
    <w:rsid w:val="00AC60CF"/>
    <w:rsid w:val="00AE05DA"/>
    <w:rsid w:val="00AE1BF1"/>
    <w:rsid w:val="00AF0DD2"/>
    <w:rsid w:val="00B1103E"/>
    <w:rsid w:val="00B13048"/>
    <w:rsid w:val="00B1324A"/>
    <w:rsid w:val="00B1716D"/>
    <w:rsid w:val="00B17A1D"/>
    <w:rsid w:val="00B207A0"/>
    <w:rsid w:val="00B4169D"/>
    <w:rsid w:val="00B508ED"/>
    <w:rsid w:val="00B51EF2"/>
    <w:rsid w:val="00B56E03"/>
    <w:rsid w:val="00B66D0B"/>
    <w:rsid w:val="00B72A5E"/>
    <w:rsid w:val="00B76BBA"/>
    <w:rsid w:val="00B8080B"/>
    <w:rsid w:val="00B87C39"/>
    <w:rsid w:val="00BA178D"/>
    <w:rsid w:val="00BA4665"/>
    <w:rsid w:val="00BB2FB2"/>
    <w:rsid w:val="00BB3304"/>
    <w:rsid w:val="00BB4B72"/>
    <w:rsid w:val="00BD2CDC"/>
    <w:rsid w:val="00BD3446"/>
    <w:rsid w:val="00BE1F1B"/>
    <w:rsid w:val="00BE47B5"/>
    <w:rsid w:val="00BF3DC6"/>
    <w:rsid w:val="00C03CE7"/>
    <w:rsid w:val="00C16392"/>
    <w:rsid w:val="00C16C19"/>
    <w:rsid w:val="00C279DC"/>
    <w:rsid w:val="00C4242A"/>
    <w:rsid w:val="00C44A0C"/>
    <w:rsid w:val="00C538A9"/>
    <w:rsid w:val="00C53B5A"/>
    <w:rsid w:val="00C54F5A"/>
    <w:rsid w:val="00C617A6"/>
    <w:rsid w:val="00C708BB"/>
    <w:rsid w:val="00C77D23"/>
    <w:rsid w:val="00C86679"/>
    <w:rsid w:val="00C9146B"/>
    <w:rsid w:val="00CB57BC"/>
    <w:rsid w:val="00CB666B"/>
    <w:rsid w:val="00CD2EFD"/>
    <w:rsid w:val="00CD6619"/>
    <w:rsid w:val="00CD7D62"/>
    <w:rsid w:val="00D01CF0"/>
    <w:rsid w:val="00D0442A"/>
    <w:rsid w:val="00D600B7"/>
    <w:rsid w:val="00D61388"/>
    <w:rsid w:val="00D61A54"/>
    <w:rsid w:val="00D64DEA"/>
    <w:rsid w:val="00D66435"/>
    <w:rsid w:val="00D80893"/>
    <w:rsid w:val="00D83524"/>
    <w:rsid w:val="00D92CF1"/>
    <w:rsid w:val="00D92D37"/>
    <w:rsid w:val="00D92D38"/>
    <w:rsid w:val="00D950F5"/>
    <w:rsid w:val="00D97876"/>
    <w:rsid w:val="00DA4552"/>
    <w:rsid w:val="00DA45BC"/>
    <w:rsid w:val="00DB0F93"/>
    <w:rsid w:val="00DC2F43"/>
    <w:rsid w:val="00DC7981"/>
    <w:rsid w:val="00DE4EFA"/>
    <w:rsid w:val="00DE5520"/>
    <w:rsid w:val="00E04818"/>
    <w:rsid w:val="00E06442"/>
    <w:rsid w:val="00E23993"/>
    <w:rsid w:val="00E25B8C"/>
    <w:rsid w:val="00E30EDA"/>
    <w:rsid w:val="00E62FBB"/>
    <w:rsid w:val="00E65C85"/>
    <w:rsid w:val="00E66199"/>
    <w:rsid w:val="00E755EC"/>
    <w:rsid w:val="00E756D9"/>
    <w:rsid w:val="00E7624D"/>
    <w:rsid w:val="00EA3D42"/>
    <w:rsid w:val="00EA6B1B"/>
    <w:rsid w:val="00EC502F"/>
    <w:rsid w:val="00EE28F3"/>
    <w:rsid w:val="00EE351B"/>
    <w:rsid w:val="00EF0760"/>
    <w:rsid w:val="00EF5110"/>
    <w:rsid w:val="00F15882"/>
    <w:rsid w:val="00F16918"/>
    <w:rsid w:val="00F20BD3"/>
    <w:rsid w:val="00F25B26"/>
    <w:rsid w:val="00F32C96"/>
    <w:rsid w:val="00F373A5"/>
    <w:rsid w:val="00F41920"/>
    <w:rsid w:val="00F47559"/>
    <w:rsid w:val="00F64C7B"/>
    <w:rsid w:val="00F676DD"/>
    <w:rsid w:val="00F715EA"/>
    <w:rsid w:val="00F75A26"/>
    <w:rsid w:val="00F83FAD"/>
    <w:rsid w:val="00F952A0"/>
    <w:rsid w:val="00FA1D32"/>
    <w:rsid w:val="00FA3C7F"/>
    <w:rsid w:val="00FB3785"/>
    <w:rsid w:val="00FB74E2"/>
    <w:rsid w:val="00FC0AA0"/>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widowControl/>
      <w:numPr>
        <w:numId w:val="13"/>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widowControl/>
      <w:numPr>
        <w:numId w:val="7"/>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3"/>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14"/>
      </w:numPr>
      <w:suppressAutoHyphens w:val="0"/>
      <w:autoSpaceDE/>
      <w:autoSpaceDN/>
      <w:adjustRightInd/>
      <w:spacing w:before="120" w:line="240" w:lineRule="auto"/>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Arial" w:eastAsiaTheme="majorEastAsia" w:hAnsi="Arial" w:cstheme="majorBidi"/>
      <w:bCs/>
      <w:color w:val="DC5034" w:themeColor="accent6"/>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82098A"/>
    <w:rPr>
      <w:sz w:val="16"/>
      <w:szCs w:val="16"/>
    </w:rPr>
  </w:style>
  <w:style w:type="paragraph" w:styleId="CommentText">
    <w:name w:val="annotation text"/>
    <w:basedOn w:val="Normal"/>
    <w:link w:val="CommentTextChar"/>
    <w:uiPriority w:val="99"/>
    <w:semiHidden/>
    <w:unhideWhenUsed/>
    <w:rsid w:val="0082098A"/>
    <w:pPr>
      <w:spacing w:line="240" w:lineRule="auto"/>
    </w:pPr>
    <w:rPr>
      <w:sz w:val="20"/>
      <w:szCs w:val="20"/>
    </w:rPr>
  </w:style>
  <w:style w:type="character" w:customStyle="1" w:styleId="CommentTextChar">
    <w:name w:val="Comment Text Char"/>
    <w:basedOn w:val="DefaultParagraphFont"/>
    <w:link w:val="CommentText"/>
    <w:uiPriority w:val="99"/>
    <w:semiHidden/>
    <w:rsid w:val="0082098A"/>
    <w:rPr>
      <w:rFonts w:ascii="ArialMT" w:eastAsia="Times New Roman" w:hAnsi="ArialMT" w:cs="ArialM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2098A"/>
    <w:rPr>
      <w:b/>
      <w:bCs/>
    </w:rPr>
  </w:style>
  <w:style w:type="character" w:customStyle="1" w:styleId="CommentSubjectChar">
    <w:name w:val="Comment Subject Char"/>
    <w:basedOn w:val="CommentTextChar"/>
    <w:link w:val="CommentSubject"/>
    <w:uiPriority w:val="99"/>
    <w:semiHidden/>
    <w:rsid w:val="0082098A"/>
    <w:rPr>
      <w:rFonts w:ascii="ArialMT" w:eastAsia="Times New Roman" w:hAnsi="ArialMT" w:cs="ArialMT"/>
      <w:b/>
      <w:bCs/>
      <w:color w:val="000000"/>
      <w:sz w:val="20"/>
      <w:szCs w:val="20"/>
      <w:lang w:val="en-GB"/>
    </w:rPr>
  </w:style>
  <w:style w:type="table" w:customStyle="1" w:styleId="GridTable6Colorful">
    <w:name w:val="Grid Table 6 Colorful"/>
    <w:basedOn w:val="TableNormal"/>
    <w:uiPriority w:val="51"/>
    <w:rsid w:val="002511D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widowControl/>
      <w:numPr>
        <w:numId w:val="13"/>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widowControl/>
      <w:numPr>
        <w:numId w:val="7"/>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3"/>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14"/>
      </w:numPr>
      <w:suppressAutoHyphens w:val="0"/>
      <w:autoSpaceDE/>
      <w:autoSpaceDN/>
      <w:adjustRightInd/>
      <w:spacing w:before="120" w:line="240" w:lineRule="auto"/>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Arial" w:eastAsiaTheme="majorEastAsia" w:hAnsi="Arial" w:cstheme="majorBidi"/>
      <w:bCs/>
      <w:color w:val="DC5034" w:themeColor="accent6"/>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82098A"/>
    <w:rPr>
      <w:sz w:val="16"/>
      <w:szCs w:val="16"/>
    </w:rPr>
  </w:style>
  <w:style w:type="paragraph" w:styleId="CommentText">
    <w:name w:val="annotation text"/>
    <w:basedOn w:val="Normal"/>
    <w:link w:val="CommentTextChar"/>
    <w:uiPriority w:val="99"/>
    <w:semiHidden/>
    <w:unhideWhenUsed/>
    <w:rsid w:val="0082098A"/>
    <w:pPr>
      <w:spacing w:line="240" w:lineRule="auto"/>
    </w:pPr>
    <w:rPr>
      <w:sz w:val="20"/>
      <w:szCs w:val="20"/>
    </w:rPr>
  </w:style>
  <w:style w:type="character" w:customStyle="1" w:styleId="CommentTextChar">
    <w:name w:val="Comment Text Char"/>
    <w:basedOn w:val="DefaultParagraphFont"/>
    <w:link w:val="CommentText"/>
    <w:uiPriority w:val="99"/>
    <w:semiHidden/>
    <w:rsid w:val="0082098A"/>
    <w:rPr>
      <w:rFonts w:ascii="ArialMT" w:eastAsia="Times New Roman" w:hAnsi="ArialMT" w:cs="ArialM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2098A"/>
    <w:rPr>
      <w:b/>
      <w:bCs/>
    </w:rPr>
  </w:style>
  <w:style w:type="character" w:customStyle="1" w:styleId="CommentSubjectChar">
    <w:name w:val="Comment Subject Char"/>
    <w:basedOn w:val="CommentTextChar"/>
    <w:link w:val="CommentSubject"/>
    <w:uiPriority w:val="99"/>
    <w:semiHidden/>
    <w:rsid w:val="0082098A"/>
    <w:rPr>
      <w:rFonts w:ascii="ArialMT" w:eastAsia="Times New Roman" w:hAnsi="ArialMT" w:cs="ArialMT"/>
      <w:b/>
      <w:bCs/>
      <w:color w:val="000000"/>
      <w:sz w:val="20"/>
      <w:szCs w:val="20"/>
      <w:lang w:val="en-GB"/>
    </w:rPr>
  </w:style>
  <w:style w:type="table" w:customStyle="1" w:styleId="GridTable6Colorful">
    <w:name w:val="Grid Table 6 Colorful"/>
    <w:basedOn w:val="TableNormal"/>
    <w:uiPriority w:val="51"/>
    <w:rsid w:val="002511D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689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aer.gov.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CD1A04-F0A2-4D7C-ABDC-0BD3D1FB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224A733D</Template>
  <TotalTime>0</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Check National Energy Retail Rules: calculating and basis for bills</dc:title>
  <dc:subject/>
  <dc:creator/>
  <cp:lastModifiedBy/>
  <cp:revision>1</cp:revision>
  <dcterms:created xsi:type="dcterms:W3CDTF">2017-06-26T06:09:00Z</dcterms:created>
  <dcterms:modified xsi:type="dcterms:W3CDTF">2017-06-27T00:06:00Z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8916718</vt:lpwstr>
  </property>
  <property fmtid="{D5CDD505-2E9C-101B-9397-08002B2CF9AE}" pid="3" name="currfile">
    <vt:lpwstr>\\cdchnas-evs02\home$\ltill\58348 compliance check calculating and basis for bills - june #022017 (D2017-00082625).docx</vt:lpwstr>
  </property>
</Properties>
</file>