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1B" w:rsidRPr="003C123F" w:rsidRDefault="003C123F" w:rsidP="003C123F">
      <w:pPr>
        <w:pStyle w:val="Heading1"/>
      </w:pPr>
      <w:r w:rsidRPr="003C123F">
        <w:t>Australian Energy Regulator</w:t>
      </w:r>
      <w:r w:rsidR="00650BAA">
        <w:t xml:space="preserve"> - </w:t>
      </w:r>
      <w:r w:rsidR="00650BAA" w:rsidRPr="003C123F">
        <w:t>Compliance</w:t>
      </w:r>
      <w:r w:rsidRPr="003C123F">
        <w:t xml:space="preserve"> Check</w:t>
      </w:r>
    </w:p>
    <w:p w:rsidR="003C123F" w:rsidRPr="003C123F" w:rsidRDefault="003C123F" w:rsidP="003C123F">
      <w:r w:rsidRPr="003C123F">
        <w:t xml:space="preserve">Issued </w:t>
      </w:r>
      <w:r w:rsidR="00870A99">
        <w:t>30</w:t>
      </w:r>
      <w:bookmarkStart w:id="0" w:name="_GoBack"/>
      <w:bookmarkEnd w:id="0"/>
      <w:r w:rsidR="00870A99">
        <w:t xml:space="preserve"> </w:t>
      </w:r>
      <w:r w:rsidRPr="003C123F">
        <w:t>June 2014</w:t>
      </w:r>
      <w:r>
        <w:t xml:space="preserve"> - </w:t>
      </w:r>
      <w:r w:rsidRPr="003C123F">
        <w:t>#2014-01</w:t>
      </w:r>
    </w:p>
    <w:p w:rsidR="003C123F" w:rsidRPr="003C123F" w:rsidRDefault="003C123F" w:rsidP="003C123F">
      <w:pPr>
        <w:pStyle w:val="Heading2"/>
        <w:rPr>
          <w:sz w:val="22"/>
          <w:szCs w:val="22"/>
        </w:rPr>
      </w:pPr>
      <w:r w:rsidRPr="003C123F">
        <w:t>National Energy Retail Rules – De-</w:t>
      </w:r>
      <w:proofErr w:type="spellStart"/>
      <w:r w:rsidRPr="003C123F">
        <w:t>energisation</w:t>
      </w:r>
      <w:proofErr w:type="spellEnd"/>
      <w:r w:rsidRPr="003C123F">
        <w:t xml:space="preserve"> in a protected period </w:t>
      </w:r>
    </w:p>
    <w:p w:rsidR="003C123F" w:rsidRPr="003C123F" w:rsidRDefault="003C123F" w:rsidP="003C123F">
      <w:pPr>
        <w:rPr>
          <w:rFonts w:ascii="Calibri" w:hAnsi="Calibri" w:cs="Calibri"/>
        </w:rPr>
      </w:pPr>
      <w:r w:rsidRPr="003C123F">
        <w:t>The Australian Energy Regulator (AER) has been notified of conduct involving de-</w:t>
      </w:r>
      <w:proofErr w:type="spellStart"/>
      <w:r w:rsidRPr="003C123F">
        <w:t>energisation</w:t>
      </w:r>
      <w:proofErr w:type="spellEnd"/>
      <w:r w:rsidR="00BF70F9">
        <w:t xml:space="preserve"> of small customers </w:t>
      </w:r>
      <w:r w:rsidRPr="003C123F">
        <w:t xml:space="preserve">premises during protected periods specified in the National Energy Retail Rules. As part of its response, the AER has issued this Compliance Check to remind retailers and distributors of their obligations under the National Energy Retail Law and Rules. </w:t>
      </w:r>
    </w:p>
    <w:p w:rsidR="003C123F" w:rsidRPr="003C123F" w:rsidRDefault="003C123F" w:rsidP="003C123F">
      <w:pPr>
        <w:pStyle w:val="Heading2"/>
      </w:pPr>
      <w:r w:rsidRPr="003C123F">
        <w:t>Conduct</w:t>
      </w:r>
    </w:p>
    <w:p w:rsidR="00FA0EA6" w:rsidRDefault="003C123F" w:rsidP="004637E1">
      <w:pPr>
        <w:rPr>
          <w:rFonts w:cs="Arial"/>
        </w:rPr>
      </w:pPr>
      <w:r w:rsidRPr="003C123F">
        <w:rPr>
          <w:rFonts w:cs="Arial"/>
        </w:rPr>
        <w:t>The AER was notified that two distributors had de-energised small customers’ premises within protected periods. We were advised that retailers may have arranged for de-</w:t>
      </w:r>
      <w:proofErr w:type="spellStart"/>
      <w:r w:rsidRPr="003C123F">
        <w:rPr>
          <w:rFonts w:cs="Arial"/>
        </w:rPr>
        <w:t>energisation</w:t>
      </w:r>
      <w:proofErr w:type="spellEnd"/>
      <w:r w:rsidRPr="003C123F">
        <w:rPr>
          <w:rFonts w:cs="Arial"/>
        </w:rPr>
        <w:t xml:space="preserve"> to occur within these protected periods, and specifically on Fridays. </w:t>
      </w:r>
    </w:p>
    <w:p w:rsidR="003C123F" w:rsidRPr="00FA0EA6" w:rsidRDefault="003C123F" w:rsidP="00FA0EA6">
      <w:pPr>
        <w:pStyle w:val="Heading2"/>
        <w:rPr>
          <w:rFonts w:asciiTheme="minorHAnsi" w:hAnsiTheme="minorHAnsi" w:cs="Arial"/>
        </w:rPr>
      </w:pPr>
      <w:r w:rsidRPr="003C123F">
        <w:t>Retail rule requirements</w:t>
      </w:r>
    </w:p>
    <w:p w:rsidR="003C123F" w:rsidRPr="003C123F" w:rsidRDefault="003C123F" w:rsidP="003C123F">
      <w:r w:rsidRPr="003C123F">
        <w:t>Section 108 defines a protected period as:</w:t>
      </w:r>
    </w:p>
    <w:p w:rsidR="003C123F" w:rsidRPr="00F12FDD" w:rsidRDefault="003C123F" w:rsidP="00F12FDD">
      <w:pPr>
        <w:pStyle w:val="Bulletpoint"/>
      </w:pPr>
      <w:r w:rsidRPr="00F12FDD">
        <w:t>A business day before 8am or after 3pm; or</w:t>
      </w:r>
    </w:p>
    <w:p w:rsidR="003C123F" w:rsidRPr="00F12FDD" w:rsidRDefault="003C123F" w:rsidP="00F12FDD">
      <w:pPr>
        <w:pStyle w:val="Bulletpoint"/>
      </w:pPr>
      <w:r w:rsidRPr="00F12FDD">
        <w:t>A Friday or the day before a public holiday; or</w:t>
      </w:r>
    </w:p>
    <w:p w:rsidR="003C123F" w:rsidRPr="00F12FDD" w:rsidRDefault="003C123F" w:rsidP="00F12FDD">
      <w:pPr>
        <w:pStyle w:val="Bulletpoint"/>
      </w:pPr>
      <w:r w:rsidRPr="00F12FDD">
        <w:t>A weekend or a public holiday; or</w:t>
      </w:r>
    </w:p>
    <w:p w:rsidR="003C123F" w:rsidRPr="00F12FDD" w:rsidRDefault="003C123F" w:rsidP="00F12FDD">
      <w:pPr>
        <w:pStyle w:val="Bulletpoint"/>
      </w:pPr>
      <w:r w:rsidRPr="00F12FDD">
        <w:t>The days between 20 December and 31 December (both inclusive) in any year.</w:t>
      </w:r>
    </w:p>
    <w:p w:rsidR="003C123F" w:rsidRPr="003C123F" w:rsidRDefault="003C123F" w:rsidP="003C123F">
      <w:r w:rsidRPr="003C123F">
        <w:t>Rule 116(1</w:t>
      </w:r>
      <w:proofErr w:type="gramStart"/>
      <w:r w:rsidRPr="003C123F">
        <w:t>)(</w:t>
      </w:r>
      <w:proofErr w:type="spellStart"/>
      <w:proofErr w:type="gramEnd"/>
      <w:r w:rsidRPr="003C123F">
        <w:t>i</w:t>
      </w:r>
      <w:proofErr w:type="spellEnd"/>
      <w:r w:rsidRPr="003C123F">
        <w:t>) provides retailers must not arrange for the de-</w:t>
      </w:r>
      <w:proofErr w:type="spellStart"/>
      <w:r w:rsidRPr="003C123F">
        <w:t>energisation</w:t>
      </w:r>
      <w:proofErr w:type="spellEnd"/>
      <w:r w:rsidRPr="003C123F">
        <w:t xml:space="preserve"> of a small customer’s premises to occur during a protected period. Distributors have a separate obligation under rule 120(1</w:t>
      </w:r>
      <w:proofErr w:type="gramStart"/>
      <w:r w:rsidRPr="003C123F">
        <w:t>)(</w:t>
      </w:r>
      <w:proofErr w:type="gramEnd"/>
      <w:r w:rsidRPr="003C123F">
        <w:t>e), which p</w:t>
      </w:r>
      <w:r>
        <w:t xml:space="preserve">rovides distributors must not </w:t>
      </w:r>
      <w:r w:rsidRPr="003C123F">
        <w:t xml:space="preserve">de-energise a small customer’s premises during a protected period. </w:t>
      </w:r>
    </w:p>
    <w:p w:rsidR="003C123F" w:rsidRPr="003C123F" w:rsidRDefault="003C123F" w:rsidP="003C123F">
      <w:r w:rsidRPr="003C123F">
        <w:t>Rule 107 makes de-</w:t>
      </w:r>
      <w:proofErr w:type="spellStart"/>
      <w:r w:rsidRPr="003C123F">
        <w:t>energisation</w:t>
      </w:r>
      <w:proofErr w:type="spellEnd"/>
      <w:r w:rsidRPr="003C123F">
        <w:t xml:space="preserve"> of a small customer’s premises (or, in the case of retailers, arranging de-</w:t>
      </w:r>
      <w:proofErr w:type="spellStart"/>
      <w:r w:rsidRPr="003C123F">
        <w:t>energisation</w:t>
      </w:r>
      <w:proofErr w:type="spellEnd"/>
      <w:r w:rsidRPr="003C123F">
        <w:t>) other than in accordance with those rules a civil penalty provision.</w:t>
      </w:r>
    </w:p>
    <w:p w:rsidR="003C123F" w:rsidRPr="003C123F" w:rsidRDefault="003C123F" w:rsidP="003C123F">
      <w:r w:rsidRPr="003C123F">
        <w:t>Exceptions to rules 116 and 120 apply. These restrictions do not apply where a customer has requested de-</w:t>
      </w:r>
      <w:proofErr w:type="spellStart"/>
      <w:r w:rsidRPr="003C123F">
        <w:t>energisation</w:t>
      </w:r>
      <w:proofErr w:type="spellEnd"/>
      <w:r w:rsidRPr="003C123F">
        <w:t xml:space="preserve"> at that time, if the grounds for de-</w:t>
      </w:r>
      <w:proofErr w:type="spellStart"/>
      <w:r w:rsidRPr="003C123F">
        <w:t>energisation</w:t>
      </w:r>
      <w:proofErr w:type="spellEnd"/>
      <w:r w:rsidRPr="003C123F">
        <w:t xml:space="preserve"> involve illegal use of energy, or (in the case of distributors) interference, or if there are health or safety reasons warranting de-</w:t>
      </w:r>
      <w:proofErr w:type="spellStart"/>
      <w:r w:rsidRPr="003C123F">
        <w:t>energisation</w:t>
      </w:r>
      <w:proofErr w:type="spellEnd"/>
      <w:r w:rsidRPr="003C123F">
        <w:t xml:space="preserve">. </w:t>
      </w:r>
    </w:p>
    <w:p w:rsidR="003C123F" w:rsidRPr="003C123F" w:rsidRDefault="003C123F" w:rsidP="003C123F">
      <w:pPr>
        <w:pStyle w:val="Heading2"/>
      </w:pPr>
      <w:r w:rsidRPr="003C123F">
        <w:t xml:space="preserve">Responsibility for compliance </w:t>
      </w:r>
    </w:p>
    <w:p w:rsidR="003C123F" w:rsidRPr="003C123F" w:rsidRDefault="003C123F" w:rsidP="003C123F">
      <w:pPr>
        <w:rPr>
          <w:rFonts w:cs="Arial"/>
        </w:rPr>
      </w:pPr>
      <w:r w:rsidRPr="003C123F">
        <w:rPr>
          <w:rFonts w:cs="Arial"/>
        </w:rPr>
        <w:t>Compliance with the Retail Law and Rules is the responsibility of retailers and distributors. Also, the Retail Law requires a regulated entity to establish policies, systems and procedures to enable it to efficien</w:t>
      </w:r>
      <w:r>
        <w:rPr>
          <w:rFonts w:cs="Arial"/>
        </w:rPr>
        <w:t xml:space="preserve">tly and effectively monitor its </w:t>
      </w:r>
      <w:r w:rsidRPr="003C123F">
        <w:rPr>
          <w:rFonts w:cs="Arial"/>
        </w:rPr>
        <w:t>compliance with the requirements of this Law, the National Regulations and the Rules (section 273).</w:t>
      </w:r>
    </w:p>
    <w:p w:rsidR="003C123F" w:rsidRPr="003C123F" w:rsidRDefault="003C123F" w:rsidP="003C123F">
      <w:pPr>
        <w:rPr>
          <w:rFonts w:cs="Arial"/>
        </w:rPr>
      </w:pPr>
      <w:r w:rsidRPr="003C123F">
        <w:rPr>
          <w:rFonts w:cs="Arial"/>
        </w:rPr>
        <w:t>Retailers and distributors must comply with the restrictions on de-</w:t>
      </w:r>
      <w:proofErr w:type="spellStart"/>
      <w:r w:rsidRPr="003C123F">
        <w:rPr>
          <w:rFonts w:cs="Arial"/>
        </w:rPr>
        <w:t>energisation</w:t>
      </w:r>
      <w:proofErr w:type="spellEnd"/>
      <w:r w:rsidRPr="003C123F">
        <w:rPr>
          <w:rFonts w:cs="Arial"/>
        </w:rPr>
        <w:t xml:space="preserve"> under rules 116 and 120, and should take appropriate steps to review their systems to ensure compliance.</w:t>
      </w:r>
    </w:p>
    <w:p w:rsidR="003C123F" w:rsidRPr="004637E1" w:rsidRDefault="003C123F" w:rsidP="004637E1">
      <w:pPr>
        <w:pStyle w:val="Heading2"/>
        <w:rPr>
          <w:rFonts w:ascii="Calibri" w:hAnsi="Calibri" w:cs="Calibri"/>
        </w:rPr>
      </w:pPr>
      <w:r w:rsidRPr="003C123F">
        <w:lastRenderedPageBreak/>
        <w:t>AER approach to compliance</w:t>
      </w:r>
    </w:p>
    <w:p w:rsidR="003C123F" w:rsidRPr="003C123F" w:rsidRDefault="003C123F" w:rsidP="003C123F">
      <w:pPr>
        <w:rPr>
          <w:rFonts w:cs="Arial"/>
        </w:rPr>
      </w:pPr>
      <w:r w:rsidRPr="003C123F">
        <w:rPr>
          <w:rFonts w:cs="Arial"/>
        </w:rPr>
        <w:t>Instances of potential non-compliance with the Retail Law and Retail Rules are assessed by the AER in accordance with its Statement of Approach (available on the AER website). The AER will weigh up a range of factors in deciding on an appropriate response to particular conduct, and will take steps with the regulated entity involved.</w:t>
      </w:r>
    </w:p>
    <w:p w:rsidR="003C123F" w:rsidRPr="003C123F" w:rsidRDefault="003C123F" w:rsidP="003C123F">
      <w:pPr>
        <w:rPr>
          <w:rFonts w:cs="Arial"/>
        </w:rPr>
      </w:pPr>
      <w:r w:rsidRPr="003C123F">
        <w:rPr>
          <w:rFonts w:cs="Arial"/>
        </w:rPr>
        <w:t xml:space="preserve">Part of the AER’s response may include issuing a Compliance Check for the broader industry to highlight the relevant obligations and to emphasise the importance of effective compliance processes and systems.  </w:t>
      </w:r>
    </w:p>
    <w:p w:rsidR="003C123F" w:rsidRPr="004637E1" w:rsidRDefault="003C123F" w:rsidP="004637E1">
      <w:pPr>
        <w:pStyle w:val="Heading2"/>
        <w:rPr>
          <w:rFonts w:ascii="Calibri" w:hAnsi="Calibri" w:cs="Calibri"/>
        </w:rPr>
      </w:pPr>
      <w:r w:rsidRPr="003C123F">
        <w:t>Copyright information</w:t>
      </w:r>
    </w:p>
    <w:p w:rsidR="003C123F" w:rsidRPr="003C123F" w:rsidRDefault="003C123F" w:rsidP="003C123F">
      <w:pPr>
        <w:rPr>
          <w:rFonts w:cs="Arial"/>
        </w:rPr>
      </w:pPr>
      <w:r w:rsidRPr="003C123F">
        <w:rPr>
          <w:rFonts w:cs="Arial"/>
        </w:rPr>
        <w:t>The information in this publication is general guidance only. It does not constitute legal or other professional advice, and should not be relied on as a statement of the law in any jurisdiction. Because it is intended only as a general guide, it may contain generalisations. You should obtain professional advice if you have any specific concern.</w:t>
      </w:r>
    </w:p>
    <w:p w:rsidR="003C123F" w:rsidRPr="003C123F" w:rsidRDefault="003C123F" w:rsidP="003C123F">
      <w:pPr>
        <w:rPr>
          <w:rFonts w:cs="Arial"/>
        </w:rPr>
      </w:pPr>
      <w:r w:rsidRPr="003C123F">
        <w:rPr>
          <w:rFonts w:cs="Arial"/>
        </w:rPr>
        <w:t>The AER has made every reasonable effort to provide current and accurate information, but it does not make any guarantees regarding the accuracy, currency or completeness of that information.</w:t>
      </w:r>
    </w:p>
    <w:p w:rsidR="003C123F" w:rsidRPr="003C123F" w:rsidRDefault="003C123F" w:rsidP="003C123F">
      <w:pPr>
        <w:rPr>
          <w:rFonts w:ascii="Calibri" w:hAnsi="Calibri" w:cs="Calibri"/>
        </w:rPr>
      </w:pPr>
      <w:r w:rsidRPr="003C123F">
        <w:t> </w:t>
      </w:r>
    </w:p>
    <w:p w:rsidR="003C123F" w:rsidRPr="003C123F" w:rsidRDefault="003C123F" w:rsidP="003C123F"/>
    <w:sectPr w:rsidR="003C123F" w:rsidRPr="003C1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5">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7">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2"/>
  </w:num>
  <w:num w:numId="3">
    <w:abstractNumId w:val="11"/>
  </w:num>
  <w:num w:numId="4">
    <w:abstractNumId w:val="17"/>
  </w:num>
  <w:num w:numId="5">
    <w:abstractNumId w:val="1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4"/>
  </w:num>
  <w:num w:numId="1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0"/>
  </w:docVars>
  <w:rsids>
    <w:rsidRoot w:val="003C123F"/>
    <w:rsid w:val="00021202"/>
    <w:rsid w:val="000E1819"/>
    <w:rsid w:val="000E6C72"/>
    <w:rsid w:val="00124609"/>
    <w:rsid w:val="001573E4"/>
    <w:rsid w:val="00251745"/>
    <w:rsid w:val="00286874"/>
    <w:rsid w:val="002A7DEF"/>
    <w:rsid w:val="00307F6D"/>
    <w:rsid w:val="003518B3"/>
    <w:rsid w:val="003C123F"/>
    <w:rsid w:val="004637E1"/>
    <w:rsid w:val="00532467"/>
    <w:rsid w:val="00564A4D"/>
    <w:rsid w:val="00632D6D"/>
    <w:rsid w:val="00650BAA"/>
    <w:rsid w:val="007303C3"/>
    <w:rsid w:val="00763E5D"/>
    <w:rsid w:val="00777EE6"/>
    <w:rsid w:val="007C1C53"/>
    <w:rsid w:val="00851209"/>
    <w:rsid w:val="00870A99"/>
    <w:rsid w:val="008E7031"/>
    <w:rsid w:val="00A60A26"/>
    <w:rsid w:val="00BD3446"/>
    <w:rsid w:val="00BE1F1B"/>
    <w:rsid w:val="00BF70F9"/>
    <w:rsid w:val="00C538A9"/>
    <w:rsid w:val="00C86679"/>
    <w:rsid w:val="00D61A54"/>
    <w:rsid w:val="00DB0F93"/>
    <w:rsid w:val="00E25B8C"/>
    <w:rsid w:val="00E7624D"/>
    <w:rsid w:val="00EA3D42"/>
    <w:rsid w:val="00EA6B1B"/>
    <w:rsid w:val="00F12FDD"/>
    <w:rsid w:val="00F254F3"/>
    <w:rsid w:val="00F617C6"/>
    <w:rsid w:val="00F64C7B"/>
    <w:rsid w:val="00FA0EA6"/>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3F"/>
  </w:style>
  <w:style w:type="paragraph" w:styleId="Heading1">
    <w:name w:val="heading 1"/>
    <w:basedOn w:val="Normal"/>
    <w:next w:val="Normal"/>
    <w:link w:val="Heading1Char"/>
    <w:uiPriority w:val="9"/>
    <w:qFormat/>
    <w:rsid w:val="003C1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12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12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12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12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12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12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12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C12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2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12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12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C12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C12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C123F"/>
    <w:rPr>
      <w:rFonts w:asciiTheme="majorHAnsi" w:eastAsiaTheme="majorEastAsia" w:hAnsiTheme="majorHAnsi" w:cstheme="majorBidi"/>
      <w:i/>
      <w:iCs/>
      <w:color w:val="243F60" w:themeColor="accent1" w:themeShade="7F"/>
    </w:rPr>
  </w:style>
  <w:style w:type="paragraph" w:customStyle="1" w:styleId="Reporttitle">
    <w:name w:val="Report title"/>
    <w:basedOn w:val="Normal"/>
    <w:link w:val="ReporttitleChar"/>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rsid w:val="00EA3D42"/>
    <w:pPr>
      <w:ind w:left="357" w:hanging="357"/>
    </w:pPr>
  </w:style>
  <w:style w:type="paragraph" w:customStyle="1" w:styleId="Numberedlist2">
    <w:name w:val="Numbered list 2"/>
    <w:basedOn w:val="ListNumber2"/>
    <w:rsid w:val="00EA3D42"/>
    <w:pPr>
      <w:numPr>
        <w:numId w:val="18"/>
      </w:numPr>
    </w:pPr>
  </w:style>
  <w:style w:type="paragraph" w:customStyle="1" w:styleId="Copyrighttext">
    <w:name w:val="Copyright text"/>
    <w:basedOn w:val="Normal"/>
    <w:link w:val="CopyrighttextChar"/>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3C123F"/>
    <w:rPr>
      <w:i/>
      <w:iCs/>
      <w:color w:val="000000" w:themeColor="text1"/>
    </w:rPr>
  </w:style>
  <w:style w:type="character" w:customStyle="1" w:styleId="QuoteChar">
    <w:name w:val="Quote Char"/>
    <w:basedOn w:val="DefaultParagraphFont"/>
    <w:link w:val="Quote"/>
    <w:uiPriority w:val="29"/>
    <w:rsid w:val="003C123F"/>
    <w:rPr>
      <w:i/>
      <w:iCs/>
      <w:color w:val="000000" w:themeColor="text1"/>
    </w:rPr>
  </w:style>
  <w:style w:type="paragraph" w:customStyle="1" w:styleId="Charttext">
    <w:name w:val="Chart text"/>
    <w:basedOn w:val="Normal"/>
    <w:rsid w:val="007C1C53"/>
    <w:pPr>
      <w:spacing w:after="120"/>
    </w:pPr>
    <w:rPr>
      <w:sz w:val="20"/>
    </w:rPr>
  </w:style>
  <w:style w:type="paragraph" w:customStyle="1" w:styleId="Bulletpoint">
    <w:name w:val="Bullet point"/>
    <w:basedOn w:val="ListBulle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C123F"/>
    <w:pPr>
      <w:outlineLvl w:val="9"/>
    </w:p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3C123F"/>
    <w:pPr>
      <w:ind w:left="720"/>
      <w:contextualSpacing/>
    </w:pPr>
  </w:style>
  <w:style w:type="paragraph" w:styleId="CommentText">
    <w:name w:val="annotation text"/>
    <w:basedOn w:val="Normal"/>
    <w:link w:val="CommentTextChar"/>
    <w:uiPriority w:val="99"/>
    <w:semiHidden/>
    <w:unhideWhenUsed/>
    <w:rsid w:val="003C123F"/>
    <w:pPr>
      <w:spacing w:line="285" w:lineRule="auto"/>
    </w:pPr>
    <w:rPr>
      <w:rFonts w:eastAsia="Times New Roman" w:cs="Arial"/>
      <w:color w:val="000000"/>
      <w:kern w:val="28"/>
      <w:sz w:val="20"/>
      <w:szCs w:val="20"/>
      <w:lang w:eastAsia="en-AU"/>
      <w14:ligatures w14:val="standard"/>
      <w14:cntxtAlts/>
    </w:rPr>
  </w:style>
  <w:style w:type="character" w:customStyle="1" w:styleId="CommentTextChar">
    <w:name w:val="Comment Text Char"/>
    <w:basedOn w:val="DefaultParagraphFont"/>
    <w:link w:val="CommentText"/>
    <w:uiPriority w:val="99"/>
    <w:semiHidden/>
    <w:rsid w:val="003C123F"/>
    <w:rPr>
      <w:rFonts w:ascii="Arial" w:eastAsia="Times New Roman" w:hAnsi="Arial" w:cs="Arial"/>
      <w:color w:val="000000"/>
      <w:kern w:val="28"/>
      <w:sz w:val="20"/>
      <w:szCs w:val="20"/>
      <w:lang w:eastAsia="en-AU"/>
      <w14:ligatures w14:val="standard"/>
      <w14:cntxtAlts/>
    </w:rPr>
  </w:style>
  <w:style w:type="character" w:customStyle="1" w:styleId="Heading7Char">
    <w:name w:val="Heading 7 Char"/>
    <w:basedOn w:val="DefaultParagraphFont"/>
    <w:link w:val="Heading7"/>
    <w:uiPriority w:val="9"/>
    <w:semiHidden/>
    <w:rsid w:val="003C12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12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C12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C123F"/>
    <w:pPr>
      <w:spacing w:line="240" w:lineRule="auto"/>
    </w:pPr>
    <w:rPr>
      <w:b/>
      <w:bCs/>
      <w:color w:val="4F81BD" w:themeColor="accent1"/>
      <w:sz w:val="18"/>
      <w:szCs w:val="18"/>
    </w:rPr>
  </w:style>
  <w:style w:type="paragraph" w:styleId="Title">
    <w:name w:val="Title"/>
    <w:basedOn w:val="Normal"/>
    <w:next w:val="Normal"/>
    <w:link w:val="TitleChar"/>
    <w:uiPriority w:val="10"/>
    <w:qFormat/>
    <w:rsid w:val="003C1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2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C1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123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C123F"/>
    <w:rPr>
      <w:b/>
      <w:bCs/>
    </w:rPr>
  </w:style>
  <w:style w:type="character" w:styleId="Emphasis">
    <w:name w:val="Emphasis"/>
    <w:basedOn w:val="DefaultParagraphFont"/>
    <w:uiPriority w:val="20"/>
    <w:qFormat/>
    <w:rsid w:val="003C123F"/>
    <w:rPr>
      <w:i/>
      <w:iCs/>
    </w:rPr>
  </w:style>
  <w:style w:type="paragraph" w:styleId="NoSpacing">
    <w:name w:val="No Spacing"/>
    <w:uiPriority w:val="1"/>
    <w:qFormat/>
    <w:rsid w:val="003C123F"/>
    <w:pPr>
      <w:spacing w:after="0" w:line="240" w:lineRule="auto"/>
    </w:pPr>
  </w:style>
  <w:style w:type="paragraph" w:styleId="IntenseQuote">
    <w:name w:val="Intense Quote"/>
    <w:basedOn w:val="Normal"/>
    <w:next w:val="Normal"/>
    <w:link w:val="IntenseQuoteChar"/>
    <w:uiPriority w:val="30"/>
    <w:qFormat/>
    <w:rsid w:val="003C12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C123F"/>
    <w:rPr>
      <w:b/>
      <w:bCs/>
      <w:i/>
      <w:iCs/>
      <w:color w:val="4F81BD" w:themeColor="accent1"/>
    </w:rPr>
  </w:style>
  <w:style w:type="character" w:styleId="SubtleEmphasis">
    <w:name w:val="Subtle Emphasis"/>
    <w:basedOn w:val="DefaultParagraphFont"/>
    <w:uiPriority w:val="19"/>
    <w:qFormat/>
    <w:rsid w:val="003C123F"/>
    <w:rPr>
      <w:i/>
      <w:iCs/>
      <w:color w:val="808080" w:themeColor="text1" w:themeTint="7F"/>
    </w:rPr>
  </w:style>
  <w:style w:type="character" w:styleId="IntenseEmphasis">
    <w:name w:val="Intense Emphasis"/>
    <w:basedOn w:val="DefaultParagraphFont"/>
    <w:uiPriority w:val="21"/>
    <w:qFormat/>
    <w:rsid w:val="003C123F"/>
    <w:rPr>
      <w:b/>
      <w:bCs/>
      <w:i/>
      <w:iCs/>
      <w:color w:val="4F81BD" w:themeColor="accent1"/>
    </w:rPr>
  </w:style>
  <w:style w:type="character" w:styleId="SubtleReference">
    <w:name w:val="Subtle Reference"/>
    <w:basedOn w:val="DefaultParagraphFont"/>
    <w:uiPriority w:val="31"/>
    <w:qFormat/>
    <w:rsid w:val="003C123F"/>
    <w:rPr>
      <w:smallCaps/>
      <w:color w:val="C0504D" w:themeColor="accent2"/>
      <w:u w:val="single"/>
    </w:rPr>
  </w:style>
  <w:style w:type="character" w:styleId="IntenseReference">
    <w:name w:val="Intense Reference"/>
    <w:basedOn w:val="DefaultParagraphFont"/>
    <w:uiPriority w:val="32"/>
    <w:qFormat/>
    <w:rsid w:val="003C123F"/>
    <w:rPr>
      <w:b/>
      <w:bCs/>
      <w:smallCaps/>
      <w:color w:val="C0504D" w:themeColor="accent2"/>
      <w:spacing w:val="5"/>
      <w:u w:val="single"/>
    </w:rPr>
  </w:style>
  <w:style w:type="character" w:styleId="BookTitle">
    <w:name w:val="Book Title"/>
    <w:basedOn w:val="DefaultParagraphFont"/>
    <w:uiPriority w:val="33"/>
    <w:qFormat/>
    <w:rsid w:val="003C123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3F"/>
  </w:style>
  <w:style w:type="paragraph" w:styleId="Heading1">
    <w:name w:val="heading 1"/>
    <w:basedOn w:val="Normal"/>
    <w:next w:val="Normal"/>
    <w:link w:val="Heading1Char"/>
    <w:uiPriority w:val="9"/>
    <w:qFormat/>
    <w:rsid w:val="003C1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12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12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12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12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12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12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12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C12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2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12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12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C12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C12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C123F"/>
    <w:rPr>
      <w:rFonts w:asciiTheme="majorHAnsi" w:eastAsiaTheme="majorEastAsia" w:hAnsiTheme="majorHAnsi" w:cstheme="majorBidi"/>
      <w:i/>
      <w:iCs/>
      <w:color w:val="243F60" w:themeColor="accent1" w:themeShade="7F"/>
    </w:rPr>
  </w:style>
  <w:style w:type="paragraph" w:customStyle="1" w:styleId="Reporttitle">
    <w:name w:val="Report title"/>
    <w:basedOn w:val="Normal"/>
    <w:link w:val="ReporttitleChar"/>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rsid w:val="00EA3D42"/>
    <w:pPr>
      <w:ind w:left="357" w:hanging="357"/>
    </w:pPr>
  </w:style>
  <w:style w:type="paragraph" w:customStyle="1" w:styleId="Numberedlist2">
    <w:name w:val="Numbered list 2"/>
    <w:basedOn w:val="ListNumber2"/>
    <w:rsid w:val="00EA3D42"/>
    <w:pPr>
      <w:numPr>
        <w:numId w:val="18"/>
      </w:numPr>
    </w:pPr>
  </w:style>
  <w:style w:type="paragraph" w:customStyle="1" w:styleId="Copyrighttext">
    <w:name w:val="Copyright text"/>
    <w:basedOn w:val="Normal"/>
    <w:link w:val="CopyrighttextChar"/>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3C123F"/>
    <w:rPr>
      <w:i/>
      <w:iCs/>
      <w:color w:val="000000" w:themeColor="text1"/>
    </w:rPr>
  </w:style>
  <w:style w:type="character" w:customStyle="1" w:styleId="QuoteChar">
    <w:name w:val="Quote Char"/>
    <w:basedOn w:val="DefaultParagraphFont"/>
    <w:link w:val="Quote"/>
    <w:uiPriority w:val="29"/>
    <w:rsid w:val="003C123F"/>
    <w:rPr>
      <w:i/>
      <w:iCs/>
      <w:color w:val="000000" w:themeColor="text1"/>
    </w:rPr>
  </w:style>
  <w:style w:type="paragraph" w:customStyle="1" w:styleId="Charttext">
    <w:name w:val="Chart text"/>
    <w:basedOn w:val="Normal"/>
    <w:rsid w:val="007C1C53"/>
    <w:pPr>
      <w:spacing w:after="120"/>
    </w:pPr>
    <w:rPr>
      <w:sz w:val="20"/>
    </w:rPr>
  </w:style>
  <w:style w:type="paragraph" w:customStyle="1" w:styleId="Bulletpoint">
    <w:name w:val="Bullet point"/>
    <w:basedOn w:val="ListBulle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C123F"/>
    <w:pPr>
      <w:outlineLvl w:val="9"/>
    </w:p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3C123F"/>
    <w:pPr>
      <w:ind w:left="720"/>
      <w:contextualSpacing/>
    </w:pPr>
  </w:style>
  <w:style w:type="paragraph" w:styleId="CommentText">
    <w:name w:val="annotation text"/>
    <w:basedOn w:val="Normal"/>
    <w:link w:val="CommentTextChar"/>
    <w:uiPriority w:val="99"/>
    <w:semiHidden/>
    <w:unhideWhenUsed/>
    <w:rsid w:val="003C123F"/>
    <w:pPr>
      <w:spacing w:line="285" w:lineRule="auto"/>
    </w:pPr>
    <w:rPr>
      <w:rFonts w:eastAsia="Times New Roman" w:cs="Arial"/>
      <w:color w:val="000000"/>
      <w:kern w:val="28"/>
      <w:sz w:val="20"/>
      <w:szCs w:val="20"/>
      <w:lang w:eastAsia="en-AU"/>
      <w14:ligatures w14:val="standard"/>
      <w14:cntxtAlts/>
    </w:rPr>
  </w:style>
  <w:style w:type="character" w:customStyle="1" w:styleId="CommentTextChar">
    <w:name w:val="Comment Text Char"/>
    <w:basedOn w:val="DefaultParagraphFont"/>
    <w:link w:val="CommentText"/>
    <w:uiPriority w:val="99"/>
    <w:semiHidden/>
    <w:rsid w:val="003C123F"/>
    <w:rPr>
      <w:rFonts w:ascii="Arial" w:eastAsia="Times New Roman" w:hAnsi="Arial" w:cs="Arial"/>
      <w:color w:val="000000"/>
      <w:kern w:val="28"/>
      <w:sz w:val="20"/>
      <w:szCs w:val="20"/>
      <w:lang w:eastAsia="en-AU"/>
      <w14:ligatures w14:val="standard"/>
      <w14:cntxtAlts/>
    </w:rPr>
  </w:style>
  <w:style w:type="character" w:customStyle="1" w:styleId="Heading7Char">
    <w:name w:val="Heading 7 Char"/>
    <w:basedOn w:val="DefaultParagraphFont"/>
    <w:link w:val="Heading7"/>
    <w:uiPriority w:val="9"/>
    <w:semiHidden/>
    <w:rsid w:val="003C12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12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C12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C123F"/>
    <w:pPr>
      <w:spacing w:line="240" w:lineRule="auto"/>
    </w:pPr>
    <w:rPr>
      <w:b/>
      <w:bCs/>
      <w:color w:val="4F81BD" w:themeColor="accent1"/>
      <w:sz w:val="18"/>
      <w:szCs w:val="18"/>
    </w:rPr>
  </w:style>
  <w:style w:type="paragraph" w:styleId="Title">
    <w:name w:val="Title"/>
    <w:basedOn w:val="Normal"/>
    <w:next w:val="Normal"/>
    <w:link w:val="TitleChar"/>
    <w:uiPriority w:val="10"/>
    <w:qFormat/>
    <w:rsid w:val="003C1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2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C1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123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C123F"/>
    <w:rPr>
      <w:b/>
      <w:bCs/>
    </w:rPr>
  </w:style>
  <w:style w:type="character" w:styleId="Emphasis">
    <w:name w:val="Emphasis"/>
    <w:basedOn w:val="DefaultParagraphFont"/>
    <w:uiPriority w:val="20"/>
    <w:qFormat/>
    <w:rsid w:val="003C123F"/>
    <w:rPr>
      <w:i/>
      <w:iCs/>
    </w:rPr>
  </w:style>
  <w:style w:type="paragraph" w:styleId="NoSpacing">
    <w:name w:val="No Spacing"/>
    <w:uiPriority w:val="1"/>
    <w:qFormat/>
    <w:rsid w:val="003C123F"/>
    <w:pPr>
      <w:spacing w:after="0" w:line="240" w:lineRule="auto"/>
    </w:pPr>
  </w:style>
  <w:style w:type="paragraph" w:styleId="IntenseQuote">
    <w:name w:val="Intense Quote"/>
    <w:basedOn w:val="Normal"/>
    <w:next w:val="Normal"/>
    <w:link w:val="IntenseQuoteChar"/>
    <w:uiPriority w:val="30"/>
    <w:qFormat/>
    <w:rsid w:val="003C12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C123F"/>
    <w:rPr>
      <w:b/>
      <w:bCs/>
      <w:i/>
      <w:iCs/>
      <w:color w:val="4F81BD" w:themeColor="accent1"/>
    </w:rPr>
  </w:style>
  <w:style w:type="character" w:styleId="SubtleEmphasis">
    <w:name w:val="Subtle Emphasis"/>
    <w:basedOn w:val="DefaultParagraphFont"/>
    <w:uiPriority w:val="19"/>
    <w:qFormat/>
    <w:rsid w:val="003C123F"/>
    <w:rPr>
      <w:i/>
      <w:iCs/>
      <w:color w:val="808080" w:themeColor="text1" w:themeTint="7F"/>
    </w:rPr>
  </w:style>
  <w:style w:type="character" w:styleId="IntenseEmphasis">
    <w:name w:val="Intense Emphasis"/>
    <w:basedOn w:val="DefaultParagraphFont"/>
    <w:uiPriority w:val="21"/>
    <w:qFormat/>
    <w:rsid w:val="003C123F"/>
    <w:rPr>
      <w:b/>
      <w:bCs/>
      <w:i/>
      <w:iCs/>
      <w:color w:val="4F81BD" w:themeColor="accent1"/>
    </w:rPr>
  </w:style>
  <w:style w:type="character" w:styleId="SubtleReference">
    <w:name w:val="Subtle Reference"/>
    <w:basedOn w:val="DefaultParagraphFont"/>
    <w:uiPriority w:val="31"/>
    <w:qFormat/>
    <w:rsid w:val="003C123F"/>
    <w:rPr>
      <w:smallCaps/>
      <w:color w:val="C0504D" w:themeColor="accent2"/>
      <w:u w:val="single"/>
    </w:rPr>
  </w:style>
  <w:style w:type="character" w:styleId="IntenseReference">
    <w:name w:val="Intense Reference"/>
    <w:basedOn w:val="DefaultParagraphFont"/>
    <w:uiPriority w:val="32"/>
    <w:qFormat/>
    <w:rsid w:val="003C123F"/>
    <w:rPr>
      <w:b/>
      <w:bCs/>
      <w:smallCaps/>
      <w:color w:val="C0504D" w:themeColor="accent2"/>
      <w:spacing w:val="5"/>
      <w:u w:val="single"/>
    </w:rPr>
  </w:style>
  <w:style w:type="character" w:styleId="BookTitle">
    <w:name w:val="Book Title"/>
    <w:basedOn w:val="DefaultParagraphFont"/>
    <w:uiPriority w:val="33"/>
    <w:qFormat/>
    <w:rsid w:val="003C123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1980">
      <w:bodyDiv w:val="1"/>
      <w:marLeft w:val="0"/>
      <w:marRight w:val="0"/>
      <w:marTop w:val="0"/>
      <w:marBottom w:val="0"/>
      <w:divBdr>
        <w:top w:val="none" w:sz="0" w:space="0" w:color="auto"/>
        <w:left w:val="none" w:sz="0" w:space="0" w:color="auto"/>
        <w:bottom w:val="none" w:sz="0" w:space="0" w:color="auto"/>
        <w:right w:val="none" w:sz="0" w:space="0" w:color="auto"/>
      </w:divBdr>
    </w:div>
    <w:div w:id="525101017">
      <w:bodyDiv w:val="1"/>
      <w:marLeft w:val="0"/>
      <w:marRight w:val="0"/>
      <w:marTop w:val="0"/>
      <w:marBottom w:val="0"/>
      <w:divBdr>
        <w:top w:val="none" w:sz="0" w:space="0" w:color="auto"/>
        <w:left w:val="none" w:sz="0" w:space="0" w:color="auto"/>
        <w:bottom w:val="none" w:sz="0" w:space="0" w:color="auto"/>
        <w:right w:val="none" w:sz="0" w:space="0" w:color="auto"/>
      </w:divBdr>
    </w:div>
    <w:div w:id="662050692">
      <w:bodyDiv w:val="1"/>
      <w:marLeft w:val="0"/>
      <w:marRight w:val="0"/>
      <w:marTop w:val="0"/>
      <w:marBottom w:val="0"/>
      <w:divBdr>
        <w:top w:val="none" w:sz="0" w:space="0" w:color="auto"/>
        <w:left w:val="none" w:sz="0" w:space="0" w:color="auto"/>
        <w:bottom w:val="none" w:sz="0" w:space="0" w:color="auto"/>
        <w:right w:val="none" w:sz="0" w:space="0" w:color="auto"/>
      </w:divBdr>
    </w:div>
    <w:div w:id="738594747">
      <w:bodyDiv w:val="1"/>
      <w:marLeft w:val="0"/>
      <w:marRight w:val="0"/>
      <w:marTop w:val="0"/>
      <w:marBottom w:val="0"/>
      <w:divBdr>
        <w:top w:val="none" w:sz="0" w:space="0" w:color="auto"/>
        <w:left w:val="none" w:sz="0" w:space="0" w:color="auto"/>
        <w:bottom w:val="none" w:sz="0" w:space="0" w:color="auto"/>
        <w:right w:val="none" w:sz="0" w:space="0" w:color="auto"/>
      </w:divBdr>
    </w:div>
    <w:div w:id="102520927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56842494">
      <w:bodyDiv w:val="1"/>
      <w:marLeft w:val="0"/>
      <w:marRight w:val="0"/>
      <w:marTop w:val="0"/>
      <w:marBottom w:val="0"/>
      <w:divBdr>
        <w:top w:val="none" w:sz="0" w:space="0" w:color="auto"/>
        <w:left w:val="none" w:sz="0" w:space="0" w:color="auto"/>
        <w:bottom w:val="none" w:sz="0" w:space="0" w:color="auto"/>
        <w:right w:val="none" w:sz="0" w:space="0" w:color="auto"/>
      </w:divBdr>
    </w:div>
    <w:div w:id="1562672727">
      <w:bodyDiv w:val="1"/>
      <w:marLeft w:val="0"/>
      <w:marRight w:val="0"/>
      <w:marTop w:val="0"/>
      <w:marBottom w:val="0"/>
      <w:divBdr>
        <w:top w:val="none" w:sz="0" w:space="0" w:color="auto"/>
        <w:left w:val="none" w:sz="0" w:space="0" w:color="auto"/>
        <w:bottom w:val="none" w:sz="0" w:space="0" w:color="auto"/>
        <w:right w:val="none" w:sz="0" w:space="0" w:color="auto"/>
      </w:divBdr>
    </w:div>
    <w:div w:id="20499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229D-77D3-4A16-AC67-3FC0FE05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B5EA3DF4.dotm</Template>
  <TotalTime>15</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Check protected periods</dc:title>
  <dc:subject/>
  <dc:creator>Australian Energy Regulator</dc:creator>
  <cp:keywords/>
  <dc:description/>
  <cp:lastModifiedBy>Burela, Kathryn</cp:lastModifiedBy>
  <cp:revision>9</cp:revision>
  <dcterms:created xsi:type="dcterms:W3CDTF">2014-06-24T00:36:00Z</dcterms:created>
  <dcterms:modified xsi:type="dcterms:W3CDTF">2014-06-30T03:30:00Z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8214123</vt:lpwstr>
  </property>
  <property fmtid="{D5CDD505-2E9C-101B-9397-08002B2CF9AE}" pid="3" name="currfile">
    <vt:lpwstr>\\SCBRFS001\home$\kbure\aer - compliance check protect (D2014-00081716).docx</vt:lpwstr>
  </property>
</Properties>
</file>