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0C" w:rsidRPr="005E2C0C" w:rsidRDefault="005E2C0C" w:rsidP="005E2C0C">
      <w:pPr>
        <w:spacing w:after="0" w:line="240" w:lineRule="auto"/>
        <w:rPr>
          <w:b/>
          <w:sz w:val="32"/>
        </w:rPr>
      </w:pPr>
      <w:bookmarkStart w:id="0" w:name="_GoBack"/>
      <w:bookmarkEnd w:id="0"/>
      <w:r>
        <w:rPr>
          <w:b/>
          <w:noProof/>
        </w:rPr>
        <w:drawing>
          <wp:anchor distT="0" distB="0" distL="114300" distR="114300" simplePos="0" relativeHeight="251659264" behindDoc="0" locked="0" layoutInCell="1" allowOverlap="1">
            <wp:simplePos x="0" y="0"/>
            <wp:positionH relativeFrom="column">
              <wp:posOffset>2513330</wp:posOffset>
            </wp:positionH>
            <wp:positionV relativeFrom="paragraph">
              <wp:posOffset>-1073150</wp:posOffset>
            </wp:positionV>
            <wp:extent cx="3978275" cy="1242695"/>
            <wp:effectExtent l="0" t="0" r="0" b="0"/>
            <wp:wrapNone/>
            <wp:docPr id="1"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srcRect b="38062"/>
                    <a:stretch>
                      <a:fillRect/>
                    </a:stretch>
                  </pic:blipFill>
                  <pic:spPr bwMode="auto">
                    <a:xfrm>
                      <a:off x="0" y="0"/>
                      <a:ext cx="3978275" cy="1242695"/>
                    </a:xfrm>
                    <a:prstGeom prst="rect">
                      <a:avLst/>
                    </a:prstGeom>
                    <a:solidFill>
                      <a:srgbClr val="FFFFFF"/>
                    </a:solidFill>
                  </pic:spPr>
                </pic:pic>
              </a:graphicData>
            </a:graphic>
          </wp:anchor>
        </w:drawing>
      </w:r>
    </w:p>
    <w:p w:rsidR="00D572F4" w:rsidRPr="005E2C0C" w:rsidRDefault="00D572F4" w:rsidP="005E2C0C">
      <w:pPr>
        <w:spacing w:after="0" w:line="240" w:lineRule="auto"/>
        <w:rPr>
          <w:b/>
          <w:sz w:val="32"/>
          <w:szCs w:val="32"/>
        </w:rPr>
      </w:pPr>
    </w:p>
    <w:p w:rsidR="00EE2220" w:rsidRDefault="00EE2220" w:rsidP="00EE2220">
      <w:pPr>
        <w:spacing w:after="0" w:line="240" w:lineRule="auto"/>
        <w:jc w:val="center"/>
        <w:rPr>
          <w:rFonts w:ascii="Calibri" w:eastAsia="Times New Roman" w:hAnsi="Calibri" w:cs="Times New Roman"/>
          <w:b/>
          <w:sz w:val="32"/>
          <w:szCs w:val="24"/>
        </w:rPr>
      </w:pPr>
      <w:r w:rsidRPr="00EE2220">
        <w:rPr>
          <w:rFonts w:ascii="Calibri" w:eastAsia="Times New Roman" w:hAnsi="Calibri" w:cs="Times New Roman"/>
          <w:b/>
          <w:sz w:val="32"/>
          <w:szCs w:val="24"/>
        </w:rPr>
        <w:t>Summary of Meeting</w:t>
      </w:r>
    </w:p>
    <w:p w:rsidR="00EE2220" w:rsidRPr="00EE2220" w:rsidRDefault="00EE2220" w:rsidP="00EE2220">
      <w:pPr>
        <w:spacing w:after="0" w:line="240" w:lineRule="auto"/>
        <w:jc w:val="center"/>
        <w:rPr>
          <w:rFonts w:ascii="Calibri" w:eastAsia="Times New Roman" w:hAnsi="Calibri" w:cs="Times New Roman"/>
          <w:b/>
          <w:sz w:val="32"/>
          <w:szCs w:val="24"/>
        </w:rPr>
      </w:pPr>
    </w:p>
    <w:p w:rsidR="00D572F4" w:rsidRDefault="00EE2220" w:rsidP="00EE2220">
      <w:pPr>
        <w:spacing w:after="0" w:line="240" w:lineRule="auto"/>
        <w:jc w:val="center"/>
        <w:rPr>
          <w:rFonts w:ascii="Calibri" w:eastAsia="Times New Roman" w:hAnsi="Calibri" w:cs="Times New Roman"/>
          <w:b/>
          <w:sz w:val="32"/>
          <w:szCs w:val="24"/>
        </w:rPr>
      </w:pPr>
      <w:r w:rsidRPr="00EE2220">
        <w:rPr>
          <w:rFonts w:ascii="Calibri" w:eastAsia="Times New Roman" w:hAnsi="Calibri" w:cs="Times New Roman"/>
          <w:b/>
          <w:sz w:val="32"/>
          <w:szCs w:val="24"/>
        </w:rPr>
        <w:t>Consumer Reference G</w:t>
      </w:r>
      <w:r w:rsidR="00D572F4" w:rsidRPr="00EE2220">
        <w:rPr>
          <w:rFonts w:ascii="Calibri" w:eastAsia="Times New Roman" w:hAnsi="Calibri" w:cs="Times New Roman"/>
          <w:b/>
          <w:sz w:val="32"/>
          <w:szCs w:val="24"/>
        </w:rPr>
        <w:t xml:space="preserve">roup (CRG) Meeting </w:t>
      </w:r>
      <w:r w:rsidRPr="00EE2220">
        <w:rPr>
          <w:rFonts w:ascii="Calibri" w:eastAsia="Times New Roman" w:hAnsi="Calibri" w:cs="Times New Roman"/>
          <w:b/>
          <w:sz w:val="32"/>
          <w:szCs w:val="24"/>
        </w:rPr>
        <w:t xml:space="preserve">No. </w:t>
      </w:r>
      <w:r w:rsidR="00EA6E52">
        <w:rPr>
          <w:rFonts w:ascii="Calibri" w:eastAsia="Times New Roman" w:hAnsi="Calibri" w:cs="Times New Roman"/>
          <w:b/>
          <w:sz w:val="32"/>
          <w:szCs w:val="24"/>
        </w:rPr>
        <w:t>6</w:t>
      </w:r>
    </w:p>
    <w:p w:rsidR="00EE2220" w:rsidRPr="00EE2220" w:rsidRDefault="00EE2220" w:rsidP="00EE2220">
      <w:pPr>
        <w:spacing w:after="0" w:line="240" w:lineRule="auto"/>
        <w:jc w:val="center"/>
        <w:rPr>
          <w:rFonts w:ascii="Calibri" w:eastAsia="Times New Roman" w:hAnsi="Calibri" w:cs="Times New Roman"/>
          <w:b/>
          <w:sz w:val="32"/>
          <w:szCs w:val="24"/>
        </w:rPr>
      </w:pPr>
    </w:p>
    <w:p w:rsidR="00D572F4" w:rsidRDefault="00EE2220" w:rsidP="00EE2220">
      <w:pPr>
        <w:spacing w:after="0" w:line="240" w:lineRule="auto"/>
        <w:jc w:val="center"/>
        <w:rPr>
          <w:rFonts w:ascii="Calibri" w:eastAsia="Times New Roman" w:hAnsi="Calibri" w:cs="Times New Roman"/>
          <w:b/>
          <w:sz w:val="32"/>
          <w:szCs w:val="24"/>
        </w:rPr>
      </w:pPr>
      <w:r w:rsidRPr="00EE2220">
        <w:rPr>
          <w:rFonts w:ascii="Calibri" w:eastAsia="Times New Roman" w:hAnsi="Calibri" w:cs="Times New Roman"/>
          <w:b/>
          <w:sz w:val="32"/>
          <w:szCs w:val="24"/>
        </w:rPr>
        <w:t>2</w:t>
      </w:r>
      <w:r w:rsidR="00EA6E52">
        <w:rPr>
          <w:rFonts w:ascii="Calibri" w:eastAsia="Times New Roman" w:hAnsi="Calibri" w:cs="Times New Roman"/>
          <w:b/>
          <w:sz w:val="32"/>
          <w:szCs w:val="24"/>
        </w:rPr>
        <w:t>2 August</w:t>
      </w:r>
      <w:r w:rsidRPr="00EE2220">
        <w:rPr>
          <w:rFonts w:ascii="Calibri" w:eastAsia="Times New Roman" w:hAnsi="Calibri" w:cs="Times New Roman"/>
          <w:b/>
          <w:sz w:val="32"/>
          <w:szCs w:val="24"/>
        </w:rPr>
        <w:t xml:space="preserve"> 2013</w:t>
      </w:r>
    </w:p>
    <w:p w:rsidR="00EE2220" w:rsidRPr="00EE2220" w:rsidRDefault="00EE2220" w:rsidP="00EE2220">
      <w:pPr>
        <w:spacing w:after="0" w:line="240" w:lineRule="auto"/>
        <w:jc w:val="center"/>
        <w:rPr>
          <w:rFonts w:ascii="Calibri" w:eastAsia="Times New Roman" w:hAnsi="Calibri" w:cs="Times New Roman"/>
          <w:b/>
          <w:sz w:val="24"/>
          <w:szCs w:val="24"/>
        </w:rPr>
      </w:pPr>
    </w:p>
    <w:p w:rsidR="00EE2220" w:rsidRPr="00EE2220" w:rsidRDefault="00EE2220" w:rsidP="00EE2220">
      <w:pPr>
        <w:spacing w:after="0" w:line="240" w:lineRule="auto"/>
        <w:jc w:val="center"/>
        <w:rPr>
          <w:rFonts w:ascii="Calibri" w:eastAsia="Times New Roman" w:hAnsi="Calibri" w:cs="Times New Roman"/>
          <w:i/>
          <w:sz w:val="24"/>
          <w:szCs w:val="24"/>
        </w:rPr>
      </w:pPr>
    </w:p>
    <w:p w:rsidR="009D3EA7" w:rsidRDefault="009D3EA7" w:rsidP="009D3EA7">
      <w:pPr>
        <w:ind w:firstLine="720"/>
        <w:jc w:val="center"/>
        <w:rPr>
          <w:rFonts w:ascii="Calibri" w:hAnsi="Calibri"/>
        </w:rPr>
      </w:pPr>
      <w:r w:rsidRPr="00EE2220">
        <w:rPr>
          <w:rFonts w:ascii="Calibri" w:eastAsia="Times New Roman" w:hAnsi="Calibri" w:cs="Times New Roman"/>
          <w:i/>
          <w:sz w:val="24"/>
          <w:szCs w:val="24"/>
        </w:rPr>
        <w:t xml:space="preserve">Held at </w:t>
      </w:r>
      <w:r w:rsidRPr="009D3EA7">
        <w:rPr>
          <w:rFonts w:ascii="Calibri" w:eastAsia="Times New Roman" w:hAnsi="Calibri" w:cs="Times New Roman"/>
          <w:i/>
          <w:sz w:val="24"/>
          <w:szCs w:val="24"/>
        </w:rPr>
        <w:t xml:space="preserve">Hotel Stamford in (Sydney Airport) – Corner of </w:t>
      </w:r>
      <w:proofErr w:type="spellStart"/>
      <w:r w:rsidRPr="009D3EA7">
        <w:rPr>
          <w:rFonts w:ascii="Calibri" w:eastAsia="Times New Roman" w:hAnsi="Calibri" w:cs="Times New Roman"/>
          <w:i/>
          <w:sz w:val="24"/>
          <w:szCs w:val="24"/>
        </w:rPr>
        <w:t>Robey</w:t>
      </w:r>
      <w:proofErr w:type="spellEnd"/>
      <w:r w:rsidRPr="009D3EA7">
        <w:rPr>
          <w:rFonts w:ascii="Calibri" w:eastAsia="Times New Roman" w:hAnsi="Calibri" w:cs="Times New Roman"/>
          <w:i/>
          <w:sz w:val="24"/>
          <w:szCs w:val="24"/>
        </w:rPr>
        <w:t xml:space="preserve"> Street &amp; </w:t>
      </w:r>
      <w:proofErr w:type="spellStart"/>
      <w:r w:rsidRPr="009D3EA7">
        <w:rPr>
          <w:rFonts w:ascii="Calibri" w:eastAsia="Times New Roman" w:hAnsi="Calibri" w:cs="Times New Roman"/>
          <w:i/>
          <w:sz w:val="24"/>
          <w:szCs w:val="24"/>
        </w:rPr>
        <w:t>O’Riordan</w:t>
      </w:r>
      <w:proofErr w:type="spellEnd"/>
      <w:r w:rsidRPr="009D3EA7">
        <w:rPr>
          <w:rFonts w:ascii="Calibri" w:eastAsia="Times New Roman" w:hAnsi="Calibri" w:cs="Times New Roman"/>
          <w:i/>
          <w:sz w:val="24"/>
          <w:szCs w:val="24"/>
        </w:rPr>
        <w:t xml:space="preserve"> Street, Mascot NSW Sydney 2000</w:t>
      </w:r>
      <w:r>
        <w:rPr>
          <w:rFonts w:ascii="Calibri" w:hAnsi="Calibri"/>
        </w:rPr>
        <w:t xml:space="preserve"> </w:t>
      </w:r>
    </w:p>
    <w:p w:rsidR="00EA6E52" w:rsidRDefault="005E2C0C" w:rsidP="005E2C0C">
      <w:pPr>
        <w:jc w:val="center"/>
        <w:rPr>
          <w:rFonts w:ascii="Calibri" w:eastAsia="Calibri" w:hAnsi="Calibri" w:cs="Times New Roman"/>
        </w:rPr>
      </w:pPr>
      <w:r>
        <w:rPr>
          <w:rFonts w:ascii="Calibri" w:eastAsia="Calibri" w:hAnsi="Calibri" w:cs="Times New Roman"/>
        </w:rPr>
        <w:t>Attendees:</w:t>
      </w:r>
      <w:r w:rsidR="00012663">
        <w:rPr>
          <w:rFonts w:ascii="Calibri" w:eastAsia="Calibri" w:hAnsi="Calibri" w:cs="Times New Roman"/>
        </w:rPr>
        <w:t xml:space="preserve"> </w:t>
      </w:r>
      <w:r w:rsidR="00EA6E52" w:rsidRPr="00EA6E52">
        <w:rPr>
          <w:rFonts w:ascii="Calibri" w:eastAsia="Calibri" w:hAnsi="Calibri" w:cs="Times New Roman"/>
        </w:rPr>
        <w:t xml:space="preserve">Heather </w:t>
      </w:r>
      <w:proofErr w:type="spellStart"/>
      <w:r w:rsidR="00EA6E52" w:rsidRPr="00EA6E52">
        <w:rPr>
          <w:rFonts w:ascii="Calibri" w:eastAsia="Calibri" w:hAnsi="Calibri" w:cs="Times New Roman"/>
        </w:rPr>
        <w:t>I’Anson</w:t>
      </w:r>
      <w:proofErr w:type="spellEnd"/>
      <w:r w:rsidR="00EA6E52" w:rsidRPr="00EA6E52">
        <w:rPr>
          <w:rFonts w:ascii="Calibri" w:eastAsia="Calibri" w:hAnsi="Calibri" w:cs="Times New Roman"/>
        </w:rPr>
        <w:t>, Mark Henley, Carly Allen, Dr Si Wei Goo, Belinda Sandilands, Bruce Mountain, Damian Sullivan, David Headberry, Sue Fraser, Bev Hughson, Carolyn Hodge, Graham Mawer, Helen Scott, Katrina Lee, Luke Berry</w:t>
      </w:r>
      <w:r w:rsidR="00EA6E52">
        <w:rPr>
          <w:rFonts w:ascii="Calibri" w:eastAsia="Calibri" w:hAnsi="Calibri" w:cs="Times New Roman"/>
        </w:rPr>
        <w:t>,</w:t>
      </w:r>
      <w:r w:rsidR="00EA6E52" w:rsidRPr="00EA6E52">
        <w:t xml:space="preserve"> </w:t>
      </w:r>
      <w:r w:rsidR="00EA6E52" w:rsidRPr="00EA6E52">
        <w:rPr>
          <w:rFonts w:ascii="Calibri" w:eastAsia="Calibri" w:hAnsi="Calibri" w:cs="Times New Roman"/>
        </w:rPr>
        <w:t>Peter Strong</w:t>
      </w:r>
    </w:p>
    <w:p w:rsidR="00EA6E52" w:rsidRDefault="00EA6E52" w:rsidP="005E2C0C">
      <w:pPr>
        <w:jc w:val="center"/>
        <w:rPr>
          <w:rFonts w:ascii="Calibri" w:eastAsia="Calibri" w:hAnsi="Calibri" w:cs="Times New Roman"/>
        </w:rPr>
      </w:pPr>
      <w:r>
        <w:rPr>
          <w:rFonts w:ascii="Calibri" w:eastAsia="Calibri" w:hAnsi="Calibri" w:cs="Times New Roman"/>
        </w:rPr>
        <w:t>AER staff members—</w:t>
      </w:r>
      <w:r w:rsidRPr="00EA6E52">
        <w:rPr>
          <w:rFonts w:ascii="Calibri" w:eastAsia="Calibri" w:hAnsi="Calibri" w:cs="Times New Roman"/>
        </w:rPr>
        <w:t xml:space="preserve">Andrew Reeves, Warwick Anderson, Chris Pattas, Tanja Warre, Moston Neck, Arek Gulbenkoglu, </w:t>
      </w:r>
      <w:r w:rsidR="00E6019C" w:rsidRPr="00E6019C">
        <w:rPr>
          <w:rFonts w:ascii="Calibri" w:eastAsia="Calibri" w:hAnsi="Calibri" w:cs="Times New Roman"/>
        </w:rPr>
        <w:t>Nathan Zhivov</w:t>
      </w:r>
      <w:r w:rsidR="00E6019C">
        <w:rPr>
          <w:rFonts w:ascii="Calibri" w:eastAsia="Calibri" w:hAnsi="Calibri" w:cs="Times New Roman"/>
        </w:rPr>
        <w:t>,</w:t>
      </w:r>
      <w:r w:rsidR="00E6019C" w:rsidRPr="00EA6E52">
        <w:rPr>
          <w:rFonts w:ascii="Calibri" w:eastAsia="Calibri" w:hAnsi="Calibri" w:cs="Times New Roman"/>
        </w:rPr>
        <w:t xml:space="preserve"> </w:t>
      </w:r>
      <w:r w:rsidRPr="00EA6E52">
        <w:rPr>
          <w:rFonts w:ascii="Calibri" w:eastAsia="Calibri" w:hAnsi="Calibri" w:cs="Times New Roman"/>
        </w:rPr>
        <w:t xml:space="preserve">Sarah </w:t>
      </w:r>
      <w:r w:rsidRPr="00012663">
        <w:rPr>
          <w:rFonts w:ascii="Calibri" w:eastAsia="Calibri" w:hAnsi="Calibri" w:cs="Times New Roman"/>
        </w:rPr>
        <w:t xml:space="preserve">Ogilvie, Mark McLeish, </w:t>
      </w:r>
      <w:r w:rsidR="009D3EA7" w:rsidRPr="00012663">
        <w:rPr>
          <w:rFonts w:ascii="Calibri" w:eastAsia="Calibri" w:hAnsi="Calibri" w:cs="Times New Roman"/>
        </w:rPr>
        <w:t xml:space="preserve">Adam Petersen, Lawrence Irlam, </w:t>
      </w:r>
      <w:r w:rsidRPr="00012663">
        <w:rPr>
          <w:rFonts w:ascii="Calibri" w:eastAsia="Calibri" w:hAnsi="Calibri" w:cs="Times New Roman"/>
        </w:rPr>
        <w:t>Kurt Stevens, Elisabeth Vagg, Anna</w:t>
      </w:r>
      <w:r w:rsidR="00012663" w:rsidRPr="00012663">
        <w:rPr>
          <w:rFonts w:ascii="Calibri" w:eastAsia="Calibri" w:hAnsi="Calibri" w:cs="Times New Roman"/>
        </w:rPr>
        <w:t xml:space="preserve"> Barker</w:t>
      </w:r>
      <w:r w:rsidRPr="00012663">
        <w:rPr>
          <w:rFonts w:ascii="Calibri" w:eastAsia="Calibri" w:hAnsi="Calibri" w:cs="Times New Roman"/>
        </w:rPr>
        <w:t>, Dale</w:t>
      </w:r>
      <w:r w:rsidR="00012663" w:rsidRPr="00012663">
        <w:rPr>
          <w:rFonts w:ascii="Calibri" w:eastAsia="Calibri" w:hAnsi="Calibri" w:cs="Times New Roman"/>
        </w:rPr>
        <w:t xml:space="preserve"> Johansen</w:t>
      </w:r>
    </w:p>
    <w:p w:rsidR="00EA6E52" w:rsidRDefault="00EA6E52" w:rsidP="00EA6E52">
      <w:pPr>
        <w:jc w:val="center"/>
        <w:rPr>
          <w:rFonts w:ascii="Calibri" w:eastAsia="Calibri" w:hAnsi="Calibri" w:cs="Times New Roman"/>
        </w:rPr>
      </w:pPr>
      <w:r w:rsidRPr="00EE2220">
        <w:rPr>
          <w:rFonts w:ascii="Calibri" w:eastAsia="Times New Roman" w:hAnsi="Calibri" w:cs="Times New Roman"/>
          <w:szCs w:val="20"/>
        </w:rPr>
        <w:t xml:space="preserve">Apologies:  </w:t>
      </w:r>
      <w:r w:rsidRPr="00EA6E52">
        <w:rPr>
          <w:rFonts w:ascii="Calibri" w:eastAsia="Calibri" w:hAnsi="Calibri" w:cs="Times New Roman"/>
        </w:rPr>
        <w:t>Jonathan Pavetto, Matt Helme, Deanna Foong, Janine Rayner, Alexandra Ged</w:t>
      </w:r>
      <w:r>
        <w:rPr>
          <w:rFonts w:ascii="Calibri" w:eastAsia="Calibri" w:hAnsi="Calibri" w:cs="Times New Roman"/>
        </w:rPr>
        <w:t>d</w:t>
      </w:r>
      <w:r w:rsidRPr="00EA6E52">
        <w:rPr>
          <w:rFonts w:ascii="Calibri" w:eastAsia="Calibri" w:hAnsi="Calibri" w:cs="Times New Roman"/>
        </w:rPr>
        <w:t>es, Tennant Reed</w:t>
      </w:r>
    </w:p>
    <w:p w:rsidR="00EE2220" w:rsidRPr="00EE2220" w:rsidRDefault="00EE2220" w:rsidP="00EE2220">
      <w:pPr>
        <w:pBdr>
          <w:bottom w:val="single" w:sz="12" w:space="1" w:color="auto"/>
        </w:pBdr>
        <w:rPr>
          <w:rFonts w:ascii="Calibri" w:eastAsia="Calibri" w:hAnsi="Calibri" w:cs="Times New Roman"/>
        </w:rPr>
      </w:pPr>
    </w:p>
    <w:p w:rsidR="005E2C0C" w:rsidRPr="005E2C0C" w:rsidRDefault="005E2C0C" w:rsidP="005E2C0C">
      <w:pPr>
        <w:spacing w:after="0" w:line="240" w:lineRule="auto"/>
        <w:jc w:val="both"/>
        <w:rPr>
          <w:rFonts w:ascii="Calibri" w:eastAsia="Times New Roman" w:hAnsi="Calibri" w:cs="Times New Roman"/>
          <w:b/>
          <w:sz w:val="28"/>
          <w:szCs w:val="28"/>
        </w:rPr>
      </w:pPr>
    </w:p>
    <w:p w:rsidR="00D572F4" w:rsidRPr="005E2C0C" w:rsidRDefault="005E2C0C" w:rsidP="00733EDF">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1</w:t>
      </w:r>
      <w:r>
        <w:rPr>
          <w:rFonts w:ascii="Calibri" w:eastAsia="Times New Roman" w:hAnsi="Calibri" w:cs="Times New Roman"/>
          <w:b/>
          <w:sz w:val="24"/>
          <w:szCs w:val="28"/>
        </w:rPr>
        <w:tab/>
      </w:r>
      <w:r w:rsidR="00D572F4" w:rsidRPr="005E2C0C">
        <w:rPr>
          <w:rFonts w:ascii="Calibri" w:eastAsia="Times New Roman" w:hAnsi="Calibri" w:cs="Times New Roman"/>
          <w:b/>
          <w:sz w:val="24"/>
          <w:szCs w:val="28"/>
        </w:rPr>
        <w:t xml:space="preserve">Welcome </w:t>
      </w:r>
      <w:r w:rsidR="007D711A">
        <w:rPr>
          <w:rFonts w:ascii="Calibri" w:eastAsia="Times New Roman" w:hAnsi="Calibri" w:cs="Times New Roman"/>
          <w:b/>
          <w:sz w:val="24"/>
          <w:szCs w:val="28"/>
        </w:rPr>
        <w:t xml:space="preserve">and </w:t>
      </w:r>
      <w:r w:rsidR="006F4CE0">
        <w:rPr>
          <w:rFonts w:ascii="Calibri" w:eastAsia="Times New Roman" w:hAnsi="Calibri" w:cs="Times New Roman"/>
          <w:b/>
          <w:sz w:val="24"/>
          <w:szCs w:val="28"/>
        </w:rPr>
        <w:t>opening remarks</w:t>
      </w:r>
    </w:p>
    <w:p w:rsidR="00D572F4" w:rsidRPr="005E2C0C" w:rsidRDefault="00D572F4" w:rsidP="00733EDF">
      <w:pPr>
        <w:spacing w:after="0" w:line="240" w:lineRule="auto"/>
        <w:jc w:val="both"/>
        <w:rPr>
          <w:sz w:val="24"/>
          <w:szCs w:val="24"/>
        </w:rPr>
      </w:pPr>
    </w:p>
    <w:p w:rsidR="006F4CE0" w:rsidRDefault="006F4CE0" w:rsidP="00733EDF">
      <w:pPr>
        <w:jc w:val="both"/>
        <w:rPr>
          <w:sz w:val="24"/>
          <w:szCs w:val="24"/>
        </w:rPr>
      </w:pPr>
      <w:r>
        <w:rPr>
          <w:sz w:val="24"/>
          <w:szCs w:val="24"/>
        </w:rPr>
        <w:t xml:space="preserve">The AER Chairman, Andrew Reeves </w:t>
      </w:r>
      <w:r w:rsidR="000D3ADD">
        <w:rPr>
          <w:sz w:val="24"/>
          <w:szCs w:val="24"/>
        </w:rPr>
        <w:t xml:space="preserve">welcomed and </w:t>
      </w:r>
      <w:r>
        <w:rPr>
          <w:sz w:val="24"/>
          <w:szCs w:val="24"/>
        </w:rPr>
        <w:t xml:space="preserve">thanked everyone for their attendance at the second </w:t>
      </w:r>
      <w:r w:rsidR="000D3ADD">
        <w:rPr>
          <w:sz w:val="24"/>
          <w:szCs w:val="24"/>
        </w:rPr>
        <w:t xml:space="preserve">CRG </w:t>
      </w:r>
      <w:r>
        <w:rPr>
          <w:sz w:val="24"/>
          <w:szCs w:val="24"/>
        </w:rPr>
        <w:t xml:space="preserve">face-to-face meeting. </w:t>
      </w:r>
      <w:r w:rsidR="000D3ADD">
        <w:rPr>
          <w:sz w:val="24"/>
          <w:szCs w:val="24"/>
        </w:rPr>
        <w:t xml:space="preserve">In particular, </w:t>
      </w:r>
      <w:r>
        <w:rPr>
          <w:sz w:val="24"/>
          <w:szCs w:val="24"/>
        </w:rPr>
        <w:t>thank</w:t>
      </w:r>
      <w:r w:rsidR="000D3ADD">
        <w:rPr>
          <w:sz w:val="24"/>
          <w:szCs w:val="24"/>
        </w:rPr>
        <w:t>ing</w:t>
      </w:r>
      <w:r>
        <w:rPr>
          <w:sz w:val="24"/>
          <w:szCs w:val="24"/>
        </w:rPr>
        <w:t xml:space="preserve"> CRG members for their</w:t>
      </w:r>
      <w:r w:rsidR="008E605D">
        <w:rPr>
          <w:sz w:val="24"/>
          <w:szCs w:val="24"/>
        </w:rPr>
        <w:t xml:space="preserve"> submissions, </w:t>
      </w:r>
      <w:r w:rsidRPr="005375B9">
        <w:rPr>
          <w:sz w:val="24"/>
          <w:szCs w:val="24"/>
        </w:rPr>
        <w:t xml:space="preserve">noting how valuable their input has been in developing the draft documents. </w:t>
      </w:r>
      <w:r w:rsidR="00012663">
        <w:rPr>
          <w:sz w:val="24"/>
          <w:szCs w:val="24"/>
        </w:rPr>
        <w:t>T</w:t>
      </w:r>
      <w:r w:rsidR="005375B9">
        <w:rPr>
          <w:sz w:val="24"/>
          <w:szCs w:val="24"/>
        </w:rPr>
        <w:t>he</w:t>
      </w:r>
      <w:r w:rsidR="000D3ADD">
        <w:rPr>
          <w:sz w:val="24"/>
          <w:szCs w:val="24"/>
        </w:rPr>
        <w:t xml:space="preserve"> </w:t>
      </w:r>
      <w:r w:rsidR="00A15752">
        <w:rPr>
          <w:sz w:val="24"/>
          <w:szCs w:val="24"/>
        </w:rPr>
        <w:t xml:space="preserve">purpose of the </w:t>
      </w:r>
      <w:r w:rsidR="000D3ADD">
        <w:rPr>
          <w:sz w:val="24"/>
          <w:szCs w:val="24"/>
        </w:rPr>
        <w:t>meeting</w:t>
      </w:r>
      <w:r w:rsidR="005375B9">
        <w:rPr>
          <w:sz w:val="24"/>
          <w:szCs w:val="24"/>
        </w:rPr>
        <w:t xml:space="preserve"> </w:t>
      </w:r>
      <w:r w:rsidR="00012663">
        <w:rPr>
          <w:sz w:val="24"/>
          <w:szCs w:val="24"/>
        </w:rPr>
        <w:t>wa</w:t>
      </w:r>
      <w:r w:rsidR="00A15752">
        <w:rPr>
          <w:sz w:val="24"/>
          <w:szCs w:val="24"/>
        </w:rPr>
        <w:t xml:space="preserve">s to </w:t>
      </w:r>
      <w:r w:rsidR="00012663">
        <w:rPr>
          <w:sz w:val="24"/>
          <w:szCs w:val="24"/>
        </w:rPr>
        <w:t>discuss</w:t>
      </w:r>
      <w:r w:rsidR="005375B9">
        <w:rPr>
          <w:sz w:val="24"/>
          <w:szCs w:val="24"/>
        </w:rPr>
        <w:t xml:space="preserve"> the draft documents released </w:t>
      </w:r>
      <w:r w:rsidR="00A15752">
        <w:rPr>
          <w:sz w:val="24"/>
          <w:szCs w:val="24"/>
        </w:rPr>
        <w:t>for consultation</w:t>
      </w:r>
      <w:r w:rsidR="00012663">
        <w:rPr>
          <w:sz w:val="24"/>
          <w:szCs w:val="24"/>
        </w:rPr>
        <w:t xml:space="preserve"> and</w:t>
      </w:r>
      <w:r w:rsidR="00A15752">
        <w:rPr>
          <w:sz w:val="24"/>
          <w:szCs w:val="24"/>
        </w:rPr>
        <w:t xml:space="preserve"> to</w:t>
      </w:r>
      <w:r w:rsidR="005375B9">
        <w:rPr>
          <w:sz w:val="24"/>
          <w:szCs w:val="24"/>
        </w:rPr>
        <w:t xml:space="preserve"> </w:t>
      </w:r>
      <w:r w:rsidR="00012663">
        <w:rPr>
          <w:sz w:val="24"/>
          <w:szCs w:val="24"/>
        </w:rPr>
        <w:t>hear</w:t>
      </w:r>
      <w:r w:rsidR="005375B9" w:rsidRPr="005375B9">
        <w:rPr>
          <w:sz w:val="24"/>
          <w:szCs w:val="24"/>
        </w:rPr>
        <w:t xml:space="preserve"> comments and</w:t>
      </w:r>
      <w:r w:rsidR="00012663">
        <w:rPr>
          <w:sz w:val="24"/>
          <w:szCs w:val="24"/>
        </w:rPr>
        <w:t xml:space="preserve"> verbal</w:t>
      </w:r>
      <w:r w:rsidR="005375B9" w:rsidRPr="005375B9">
        <w:rPr>
          <w:sz w:val="24"/>
          <w:szCs w:val="24"/>
        </w:rPr>
        <w:t xml:space="preserve"> submissions </w:t>
      </w:r>
      <w:r w:rsidR="005375B9">
        <w:rPr>
          <w:sz w:val="24"/>
          <w:szCs w:val="24"/>
        </w:rPr>
        <w:t>from CRG members</w:t>
      </w:r>
      <w:r w:rsidR="005375B9" w:rsidRPr="005375B9">
        <w:rPr>
          <w:sz w:val="24"/>
          <w:szCs w:val="24"/>
        </w:rPr>
        <w:t xml:space="preserve">, along with providing an opportunity to ask questions and clarify any </w:t>
      </w:r>
      <w:r w:rsidR="008E605D">
        <w:rPr>
          <w:sz w:val="24"/>
          <w:szCs w:val="24"/>
        </w:rPr>
        <w:t>matters</w:t>
      </w:r>
      <w:r w:rsidR="005375B9" w:rsidRPr="005375B9">
        <w:rPr>
          <w:sz w:val="24"/>
          <w:szCs w:val="24"/>
        </w:rPr>
        <w:t>.</w:t>
      </w:r>
    </w:p>
    <w:p w:rsidR="00A15752" w:rsidRDefault="00A15752" w:rsidP="00733EDF">
      <w:pPr>
        <w:jc w:val="both"/>
        <w:rPr>
          <w:sz w:val="24"/>
          <w:szCs w:val="24"/>
        </w:rPr>
      </w:pPr>
      <w:r>
        <w:rPr>
          <w:sz w:val="24"/>
          <w:szCs w:val="24"/>
        </w:rPr>
        <w:t>AER staff published factsheets outlining the key issues and approa</w:t>
      </w:r>
      <w:r w:rsidR="00012663">
        <w:rPr>
          <w:sz w:val="24"/>
          <w:szCs w:val="24"/>
        </w:rPr>
        <w:t xml:space="preserve">ches adopted in each </w:t>
      </w:r>
      <w:proofErr w:type="spellStart"/>
      <w:r w:rsidR="00012663">
        <w:rPr>
          <w:sz w:val="24"/>
          <w:szCs w:val="24"/>
        </w:rPr>
        <w:t>workstream</w:t>
      </w:r>
      <w:proofErr w:type="spellEnd"/>
      <w:r w:rsidR="00012663">
        <w:rPr>
          <w:sz w:val="24"/>
          <w:szCs w:val="24"/>
        </w:rPr>
        <w:t xml:space="preserve">. AER staff also put together (specifically for the CRG) </w:t>
      </w:r>
      <w:r>
        <w:rPr>
          <w:sz w:val="24"/>
          <w:szCs w:val="24"/>
        </w:rPr>
        <w:t>a ‘Reasons for the Decisions’ document.</w:t>
      </w:r>
    </w:p>
    <w:p w:rsidR="00E6019C" w:rsidRPr="00E6019C" w:rsidRDefault="00C95924" w:rsidP="00733EDF">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2</w:t>
      </w:r>
      <w:r w:rsidR="0082683B">
        <w:rPr>
          <w:rFonts w:ascii="Calibri" w:eastAsia="Times New Roman" w:hAnsi="Calibri" w:cs="Times New Roman"/>
          <w:b/>
          <w:sz w:val="24"/>
          <w:szCs w:val="28"/>
        </w:rPr>
        <w:tab/>
      </w:r>
      <w:r w:rsidR="00E6019C" w:rsidRPr="00E6019C">
        <w:rPr>
          <w:rFonts w:ascii="Calibri" w:eastAsia="Times New Roman" w:hAnsi="Calibri" w:cs="Times New Roman"/>
          <w:b/>
          <w:sz w:val="24"/>
          <w:szCs w:val="28"/>
        </w:rPr>
        <w:t>Expenditure Incentives</w:t>
      </w:r>
    </w:p>
    <w:p w:rsidR="00E6019C" w:rsidRDefault="00E6019C" w:rsidP="00733EDF">
      <w:pPr>
        <w:spacing w:after="0" w:line="240" w:lineRule="auto"/>
        <w:jc w:val="both"/>
        <w:rPr>
          <w:sz w:val="24"/>
          <w:szCs w:val="24"/>
        </w:rPr>
      </w:pPr>
    </w:p>
    <w:p w:rsidR="00E80C10" w:rsidRDefault="00012663" w:rsidP="00733EDF">
      <w:pPr>
        <w:jc w:val="both"/>
        <w:rPr>
          <w:sz w:val="24"/>
          <w:szCs w:val="24"/>
        </w:rPr>
      </w:pPr>
      <w:r>
        <w:rPr>
          <w:sz w:val="24"/>
          <w:szCs w:val="24"/>
        </w:rPr>
        <w:t>The AER’s e</w:t>
      </w:r>
      <w:r w:rsidR="00C92833">
        <w:rPr>
          <w:sz w:val="24"/>
          <w:szCs w:val="24"/>
        </w:rPr>
        <w:t xml:space="preserve">xpenditure Incentive </w:t>
      </w:r>
      <w:r>
        <w:rPr>
          <w:sz w:val="24"/>
          <w:szCs w:val="24"/>
        </w:rPr>
        <w:t xml:space="preserve">team </w:t>
      </w:r>
      <w:r w:rsidR="00493E3B">
        <w:rPr>
          <w:sz w:val="24"/>
          <w:szCs w:val="24"/>
        </w:rPr>
        <w:t>covered</w:t>
      </w:r>
      <w:r w:rsidR="005755D2">
        <w:rPr>
          <w:sz w:val="24"/>
          <w:szCs w:val="24"/>
        </w:rPr>
        <w:t xml:space="preserve"> the</w:t>
      </w:r>
      <w:r w:rsidR="00C92833">
        <w:rPr>
          <w:sz w:val="24"/>
          <w:szCs w:val="24"/>
        </w:rPr>
        <w:t xml:space="preserve"> four key </w:t>
      </w:r>
      <w:r>
        <w:rPr>
          <w:sz w:val="24"/>
          <w:szCs w:val="24"/>
        </w:rPr>
        <w:t>elements of the draft guideline as set out below.</w:t>
      </w:r>
    </w:p>
    <w:p w:rsidR="006A3EAC" w:rsidRPr="006A3EAC" w:rsidRDefault="006A3EAC" w:rsidP="00733EDF">
      <w:pPr>
        <w:pStyle w:val="ListParagraph"/>
        <w:numPr>
          <w:ilvl w:val="0"/>
          <w:numId w:val="10"/>
        </w:numPr>
        <w:jc w:val="both"/>
        <w:rPr>
          <w:b/>
          <w:sz w:val="24"/>
          <w:szCs w:val="24"/>
        </w:rPr>
      </w:pPr>
      <w:r w:rsidRPr="006A3EAC">
        <w:rPr>
          <w:b/>
          <w:sz w:val="24"/>
          <w:szCs w:val="24"/>
        </w:rPr>
        <w:t>capital expenditure sharing scheme (CESS)</w:t>
      </w:r>
    </w:p>
    <w:p w:rsidR="00E80C10" w:rsidRDefault="00E5020C" w:rsidP="00733EDF">
      <w:pPr>
        <w:jc w:val="both"/>
        <w:rPr>
          <w:sz w:val="24"/>
          <w:szCs w:val="24"/>
        </w:rPr>
      </w:pPr>
      <w:r>
        <w:rPr>
          <w:sz w:val="24"/>
          <w:szCs w:val="24"/>
        </w:rPr>
        <w:lastRenderedPageBreak/>
        <w:t>T</w:t>
      </w:r>
      <w:r w:rsidR="005755D2">
        <w:rPr>
          <w:sz w:val="24"/>
          <w:szCs w:val="24"/>
        </w:rPr>
        <w:t xml:space="preserve">he </w:t>
      </w:r>
      <w:r>
        <w:rPr>
          <w:sz w:val="24"/>
          <w:szCs w:val="24"/>
        </w:rPr>
        <w:t xml:space="preserve">draft </w:t>
      </w:r>
      <w:r w:rsidR="005755D2">
        <w:rPr>
          <w:sz w:val="24"/>
          <w:szCs w:val="24"/>
        </w:rPr>
        <w:t xml:space="preserve">guideline </w:t>
      </w:r>
      <w:r>
        <w:rPr>
          <w:sz w:val="24"/>
          <w:szCs w:val="24"/>
        </w:rPr>
        <w:t>proposes</w:t>
      </w:r>
      <w:r w:rsidR="005755D2">
        <w:rPr>
          <w:sz w:val="24"/>
          <w:szCs w:val="24"/>
        </w:rPr>
        <w:t xml:space="preserve"> </w:t>
      </w:r>
      <w:r>
        <w:rPr>
          <w:sz w:val="24"/>
          <w:szCs w:val="24"/>
        </w:rPr>
        <w:t xml:space="preserve">one </w:t>
      </w:r>
      <w:r w:rsidR="005755D2">
        <w:rPr>
          <w:sz w:val="24"/>
          <w:szCs w:val="24"/>
        </w:rPr>
        <w:t xml:space="preserve">symmetric </w:t>
      </w:r>
      <w:r w:rsidR="00C92833" w:rsidRPr="00C92833">
        <w:rPr>
          <w:sz w:val="24"/>
          <w:szCs w:val="24"/>
        </w:rPr>
        <w:t xml:space="preserve">CESS </w:t>
      </w:r>
      <w:r w:rsidR="005755D2">
        <w:rPr>
          <w:sz w:val="24"/>
          <w:szCs w:val="24"/>
        </w:rPr>
        <w:t>to</w:t>
      </w:r>
      <w:r w:rsidR="008D2E4D">
        <w:rPr>
          <w:sz w:val="24"/>
          <w:szCs w:val="24"/>
        </w:rPr>
        <w:t xml:space="preserve"> all businesses, with no allowance for exclusion</w:t>
      </w:r>
      <w:r w:rsidR="00493E3B">
        <w:rPr>
          <w:sz w:val="24"/>
          <w:szCs w:val="24"/>
        </w:rPr>
        <w:t xml:space="preserve">s. The CESS involves applying a </w:t>
      </w:r>
      <w:r w:rsidR="008D2E4D">
        <w:rPr>
          <w:sz w:val="24"/>
          <w:szCs w:val="24"/>
        </w:rPr>
        <w:t>30 per cent reward for underspends or penalty for overspend</w:t>
      </w:r>
      <w:r>
        <w:rPr>
          <w:sz w:val="24"/>
          <w:szCs w:val="24"/>
        </w:rPr>
        <w:t>s over a cumulative 5 year period</w:t>
      </w:r>
      <w:r w:rsidR="008D2E4D">
        <w:rPr>
          <w:sz w:val="24"/>
          <w:szCs w:val="24"/>
        </w:rPr>
        <w:t xml:space="preserve">. </w:t>
      </w:r>
      <w:r w:rsidR="008C4F10">
        <w:rPr>
          <w:sz w:val="24"/>
          <w:szCs w:val="24"/>
        </w:rPr>
        <w:t>Under ex</w:t>
      </w:r>
      <w:r w:rsidR="00012663">
        <w:rPr>
          <w:sz w:val="24"/>
          <w:szCs w:val="24"/>
        </w:rPr>
        <w:t xml:space="preserve"> </w:t>
      </w:r>
      <w:r w:rsidR="008C4F10">
        <w:rPr>
          <w:sz w:val="24"/>
          <w:szCs w:val="24"/>
        </w:rPr>
        <w:t>post review, busines</w:t>
      </w:r>
      <w:r w:rsidR="00012663">
        <w:rPr>
          <w:sz w:val="24"/>
          <w:szCs w:val="24"/>
        </w:rPr>
        <w:t>se</w:t>
      </w:r>
      <w:r w:rsidR="00CD0659">
        <w:rPr>
          <w:sz w:val="24"/>
          <w:szCs w:val="24"/>
        </w:rPr>
        <w:t>s will b</w:t>
      </w:r>
      <w:r w:rsidR="008C4F10">
        <w:rPr>
          <w:sz w:val="24"/>
          <w:szCs w:val="24"/>
        </w:rPr>
        <w:t xml:space="preserve">ear 100 per cent of </w:t>
      </w:r>
      <w:proofErr w:type="gramStart"/>
      <w:r w:rsidR="008C4F10">
        <w:rPr>
          <w:sz w:val="24"/>
          <w:szCs w:val="24"/>
        </w:rPr>
        <w:t>the overspend</w:t>
      </w:r>
      <w:proofErr w:type="gramEnd"/>
      <w:r w:rsidR="008C4F10">
        <w:rPr>
          <w:sz w:val="24"/>
          <w:szCs w:val="24"/>
        </w:rPr>
        <w:t xml:space="preserve"> where it is</w:t>
      </w:r>
      <w:r>
        <w:rPr>
          <w:sz w:val="24"/>
          <w:szCs w:val="24"/>
        </w:rPr>
        <w:t xml:space="preserve"> found to be inefficient.</w:t>
      </w:r>
    </w:p>
    <w:p w:rsidR="00E609B7" w:rsidRPr="00352F1C" w:rsidRDefault="00E609B7" w:rsidP="00E609B7">
      <w:pPr>
        <w:jc w:val="both"/>
        <w:rPr>
          <w:sz w:val="24"/>
          <w:szCs w:val="24"/>
        </w:rPr>
      </w:pPr>
      <w:r w:rsidRPr="008E4F6A">
        <w:rPr>
          <w:sz w:val="24"/>
          <w:szCs w:val="24"/>
        </w:rPr>
        <w:t xml:space="preserve">Consumers </w:t>
      </w:r>
      <w:r w:rsidR="00AD3ADE">
        <w:rPr>
          <w:sz w:val="24"/>
          <w:szCs w:val="24"/>
        </w:rPr>
        <w:t>indicated they would prefer</w:t>
      </w:r>
      <w:r w:rsidRPr="008E4F6A">
        <w:rPr>
          <w:sz w:val="24"/>
          <w:szCs w:val="24"/>
        </w:rPr>
        <w:t xml:space="preserve"> asymmetry incentive arrangements with higher penalties than rewards.  The rewards should be set just as high as is required to provide incentives to networks to cut costs.  </w:t>
      </w:r>
      <w:r>
        <w:rPr>
          <w:sz w:val="24"/>
          <w:szCs w:val="24"/>
        </w:rPr>
        <w:t>Consumers considered that o</w:t>
      </w:r>
      <w:r w:rsidRPr="007162CA">
        <w:rPr>
          <w:sz w:val="24"/>
          <w:szCs w:val="24"/>
        </w:rPr>
        <w:t>verspending cannot easily be justified when there are mechanisms such as pass-throughs</w:t>
      </w:r>
      <w:r>
        <w:rPr>
          <w:sz w:val="24"/>
          <w:szCs w:val="24"/>
        </w:rPr>
        <w:t xml:space="preserve"> and contingent projects</w:t>
      </w:r>
      <w:r w:rsidRPr="007162CA">
        <w:rPr>
          <w:sz w:val="24"/>
          <w:szCs w:val="24"/>
        </w:rPr>
        <w:t xml:space="preserve"> to cover unforeseen events.</w:t>
      </w:r>
      <w:r>
        <w:rPr>
          <w:sz w:val="24"/>
          <w:szCs w:val="24"/>
        </w:rPr>
        <w:t xml:space="preserve"> </w:t>
      </w:r>
    </w:p>
    <w:p w:rsidR="001A3DCC" w:rsidRPr="007162CA" w:rsidRDefault="001A3DCC" w:rsidP="001A3DCC">
      <w:pPr>
        <w:jc w:val="both"/>
        <w:rPr>
          <w:sz w:val="24"/>
          <w:szCs w:val="24"/>
        </w:rPr>
      </w:pPr>
      <w:r w:rsidRPr="007162CA">
        <w:rPr>
          <w:sz w:val="24"/>
          <w:szCs w:val="24"/>
        </w:rPr>
        <w:t>Consumers want</w:t>
      </w:r>
      <w:r w:rsidR="00E609B7">
        <w:rPr>
          <w:sz w:val="24"/>
          <w:szCs w:val="24"/>
        </w:rPr>
        <w:t>ed</w:t>
      </w:r>
      <w:r w:rsidRPr="007162CA">
        <w:rPr>
          <w:sz w:val="24"/>
          <w:szCs w:val="24"/>
        </w:rPr>
        <w:t xml:space="preserve"> to see higher penalties for over-spending as they consider high penalties are the best curb on over-spending.  They are not confident that ex post reviews are likely to curb over-spending.  </w:t>
      </w:r>
    </w:p>
    <w:p w:rsidR="001A3DCC" w:rsidRPr="007162CA" w:rsidRDefault="00E609B7" w:rsidP="001A3DCC">
      <w:pPr>
        <w:jc w:val="both"/>
        <w:rPr>
          <w:sz w:val="24"/>
          <w:szCs w:val="24"/>
        </w:rPr>
      </w:pPr>
      <w:r>
        <w:rPr>
          <w:sz w:val="24"/>
          <w:szCs w:val="24"/>
        </w:rPr>
        <w:t>Consumers argued that t</w:t>
      </w:r>
      <w:r w:rsidR="001A3DCC" w:rsidRPr="007162CA">
        <w:rPr>
          <w:sz w:val="24"/>
          <w:szCs w:val="24"/>
        </w:rPr>
        <w:t>he proposed 30 per cent penalty is too low to curb incentives to over-spend because:</w:t>
      </w:r>
    </w:p>
    <w:p w:rsidR="001A3DCC" w:rsidRPr="00956C00" w:rsidRDefault="001A3DCC" w:rsidP="00956C00">
      <w:pPr>
        <w:pStyle w:val="AERbulletlistfirststyle"/>
        <w:ind w:left="357" w:hanging="357"/>
        <w:rPr>
          <w:rFonts w:asciiTheme="minorHAnsi" w:hAnsiTheme="minorHAnsi"/>
          <w:sz w:val="24"/>
        </w:rPr>
      </w:pPr>
      <w:r w:rsidRPr="00956C00">
        <w:rPr>
          <w:rFonts w:asciiTheme="minorHAnsi" w:hAnsiTheme="minorHAnsi"/>
          <w:sz w:val="24"/>
        </w:rPr>
        <w:t xml:space="preserve">Where networks’ actual rates of return are below the allowed rate of return, a 30 per cent penalty may be less than the additional rate of return on the 70 per cent excess </w:t>
      </w:r>
      <w:proofErr w:type="spellStart"/>
      <w:r w:rsidRPr="00956C00">
        <w:rPr>
          <w:rFonts w:asciiTheme="minorHAnsi" w:hAnsiTheme="minorHAnsi"/>
          <w:sz w:val="24"/>
        </w:rPr>
        <w:t>capex</w:t>
      </w:r>
      <w:proofErr w:type="spellEnd"/>
      <w:r w:rsidRPr="00956C00">
        <w:rPr>
          <w:rFonts w:asciiTheme="minorHAnsi" w:hAnsiTheme="minorHAnsi"/>
          <w:sz w:val="24"/>
        </w:rPr>
        <w:t xml:space="preserve"> that is permitted.  As government-owned networks own around 80 per cent of electricity networks and have a lower WACC because their lending costs are less and their tax equivalent payments are returned to the government, this is a significant problem; and</w:t>
      </w:r>
    </w:p>
    <w:p w:rsidR="00E609B7" w:rsidRPr="00956C00" w:rsidRDefault="001A3DCC" w:rsidP="00956C00">
      <w:pPr>
        <w:pStyle w:val="AERbulletlistfirststyle"/>
        <w:ind w:left="357" w:hanging="357"/>
        <w:rPr>
          <w:rFonts w:asciiTheme="minorHAnsi" w:hAnsiTheme="minorHAnsi"/>
          <w:sz w:val="24"/>
        </w:rPr>
      </w:pPr>
      <w:r w:rsidRPr="00956C00">
        <w:rPr>
          <w:rFonts w:asciiTheme="minorHAnsi" w:hAnsiTheme="minorHAnsi"/>
          <w:sz w:val="24"/>
        </w:rPr>
        <w:t>Under the existing approach, networks bear the costs of financing within the regulatory period, which equates to a penalty of up to 27 per cent for expenditure early in the regulatory period.  The incremental penalty of moving to a 30 per cent penalty may therefore be as low as 3 per cent.  In addition, the existing penalties have not curbed over-spending.</w:t>
      </w:r>
    </w:p>
    <w:p w:rsidR="001A3DCC" w:rsidRPr="00AD3ADE" w:rsidRDefault="00E609B7" w:rsidP="00AD3ADE">
      <w:pPr>
        <w:pStyle w:val="AERbodytext"/>
        <w:rPr>
          <w:rFonts w:cstheme="minorHAnsi"/>
          <w:sz w:val="24"/>
        </w:rPr>
      </w:pPr>
      <w:r>
        <w:rPr>
          <w:rFonts w:asciiTheme="minorHAnsi" w:hAnsiTheme="minorHAnsi" w:cstheme="minorHAnsi"/>
          <w:sz w:val="24"/>
        </w:rPr>
        <w:t>Consumers considered that t</w:t>
      </w:r>
      <w:r w:rsidRPr="00AD3ADE">
        <w:rPr>
          <w:rFonts w:asciiTheme="minorHAnsi" w:hAnsiTheme="minorHAnsi" w:cstheme="minorHAnsi"/>
          <w:sz w:val="24"/>
        </w:rPr>
        <w:t>here is no fairness, commercial reason, or economic logic in setting penalties the same as rewards.  It is typically easier to control overspending than underspending.  In competitive markets overspending is borne by the shareholders but underspending (reducing costs) is usually passed onto consumers as this increases market share.  These factors favour setting asymmetric incentive arrangements with penalties larger than rewards.</w:t>
      </w:r>
    </w:p>
    <w:p w:rsidR="00493E3B" w:rsidRPr="006A3EAC" w:rsidRDefault="00EA2B3D" w:rsidP="00733EDF">
      <w:pPr>
        <w:pStyle w:val="ListParagraph"/>
        <w:numPr>
          <w:ilvl w:val="0"/>
          <w:numId w:val="10"/>
        </w:numPr>
        <w:jc w:val="both"/>
        <w:rPr>
          <w:b/>
          <w:sz w:val="24"/>
          <w:szCs w:val="24"/>
        </w:rPr>
      </w:pPr>
      <w:r>
        <w:rPr>
          <w:b/>
          <w:sz w:val="24"/>
          <w:szCs w:val="24"/>
        </w:rPr>
        <w:t xml:space="preserve">Form of depreciation used to </w:t>
      </w:r>
      <w:r w:rsidRPr="006A3EAC">
        <w:rPr>
          <w:b/>
          <w:sz w:val="24"/>
          <w:szCs w:val="24"/>
        </w:rPr>
        <w:t>roll forward</w:t>
      </w:r>
      <w:r w:rsidRPr="006A3EAC" w:rsidDel="00EA2B3D">
        <w:rPr>
          <w:b/>
          <w:sz w:val="24"/>
          <w:szCs w:val="24"/>
        </w:rPr>
        <w:t xml:space="preserve"> </w:t>
      </w:r>
      <w:r>
        <w:rPr>
          <w:b/>
          <w:sz w:val="24"/>
          <w:szCs w:val="24"/>
        </w:rPr>
        <w:t xml:space="preserve"> the</w:t>
      </w:r>
      <w:r w:rsidR="00F85828">
        <w:rPr>
          <w:b/>
          <w:sz w:val="24"/>
          <w:szCs w:val="24"/>
        </w:rPr>
        <w:t xml:space="preserve"> </w:t>
      </w:r>
      <w:r w:rsidR="006A3EAC" w:rsidRPr="006A3EAC">
        <w:rPr>
          <w:b/>
          <w:sz w:val="24"/>
          <w:szCs w:val="24"/>
        </w:rPr>
        <w:t xml:space="preserve">RAB </w:t>
      </w:r>
    </w:p>
    <w:p w:rsidR="00EA2B3D" w:rsidRPr="00AD3ADE" w:rsidRDefault="00EA2B3D" w:rsidP="00EA2B3D">
      <w:pPr>
        <w:pStyle w:val="AERbodytext"/>
        <w:numPr>
          <w:ilvl w:val="0"/>
          <w:numId w:val="0"/>
        </w:numPr>
        <w:rPr>
          <w:rFonts w:asciiTheme="minorHAnsi" w:hAnsiTheme="minorHAnsi"/>
          <w:sz w:val="24"/>
        </w:rPr>
      </w:pPr>
      <w:r w:rsidRPr="00AD3ADE">
        <w:rPr>
          <w:rFonts w:asciiTheme="minorHAnsi" w:hAnsiTheme="minorHAnsi"/>
          <w:sz w:val="24"/>
        </w:rPr>
        <w:t xml:space="preserve">The choice of forecast or actual depreciation to roll forward the RAB can affect </w:t>
      </w:r>
      <w:proofErr w:type="spellStart"/>
      <w:r w:rsidRPr="00AD3ADE">
        <w:rPr>
          <w:rFonts w:asciiTheme="minorHAnsi" w:hAnsiTheme="minorHAnsi"/>
          <w:sz w:val="24"/>
        </w:rPr>
        <w:t>capex</w:t>
      </w:r>
      <w:proofErr w:type="spellEnd"/>
      <w:r w:rsidRPr="00AD3ADE">
        <w:rPr>
          <w:rFonts w:asciiTheme="minorHAnsi" w:hAnsiTheme="minorHAnsi"/>
          <w:sz w:val="24"/>
        </w:rPr>
        <w:t xml:space="preserve"> incentives. </w:t>
      </w:r>
    </w:p>
    <w:p w:rsidR="00EA2B3D" w:rsidRPr="00AD3ADE" w:rsidRDefault="00EA2B3D" w:rsidP="00EA2B3D">
      <w:pPr>
        <w:pStyle w:val="AERbodytext"/>
        <w:rPr>
          <w:rFonts w:asciiTheme="minorHAnsi" w:hAnsiTheme="minorHAnsi"/>
          <w:sz w:val="24"/>
        </w:rPr>
      </w:pPr>
      <w:r w:rsidRPr="00AD3ADE">
        <w:rPr>
          <w:rFonts w:asciiTheme="minorHAnsi" w:hAnsiTheme="minorHAnsi"/>
          <w:sz w:val="24"/>
        </w:rPr>
        <w:lastRenderedPageBreak/>
        <w:t xml:space="preserve">The AER’s  proposed approach is that depreciation based on forecast </w:t>
      </w:r>
      <w:proofErr w:type="spellStart"/>
      <w:r w:rsidRPr="00AD3ADE">
        <w:rPr>
          <w:rFonts w:asciiTheme="minorHAnsi" w:hAnsiTheme="minorHAnsi"/>
          <w:sz w:val="24"/>
        </w:rPr>
        <w:t>capex</w:t>
      </w:r>
      <w:proofErr w:type="spellEnd"/>
      <w:r w:rsidRPr="00AD3ADE">
        <w:rPr>
          <w:rFonts w:asciiTheme="minorHAnsi" w:hAnsiTheme="minorHAnsi"/>
          <w:sz w:val="24"/>
        </w:rPr>
        <w:t xml:space="preserve"> will be the default except where:</w:t>
      </w:r>
    </w:p>
    <w:p w:rsidR="00EA2B3D" w:rsidRPr="00AD3ADE" w:rsidRDefault="00EA2B3D" w:rsidP="00956C00">
      <w:pPr>
        <w:pStyle w:val="AERbulletlistfirststyle"/>
        <w:ind w:left="357" w:hanging="357"/>
        <w:rPr>
          <w:rFonts w:asciiTheme="minorHAnsi" w:hAnsiTheme="minorHAnsi"/>
          <w:sz w:val="24"/>
        </w:rPr>
      </w:pPr>
      <w:r w:rsidRPr="00AD3ADE">
        <w:rPr>
          <w:rFonts w:asciiTheme="minorHAnsi" w:hAnsiTheme="minorHAnsi"/>
          <w:sz w:val="24"/>
        </w:rPr>
        <w:t xml:space="preserve">no CESS applies, or </w:t>
      </w:r>
    </w:p>
    <w:p w:rsidR="00EA2B3D" w:rsidRPr="00AD3ADE" w:rsidRDefault="00EA2B3D" w:rsidP="00956C00">
      <w:pPr>
        <w:pStyle w:val="AERbulletlistfirststyle"/>
        <w:ind w:left="357" w:hanging="357"/>
        <w:rPr>
          <w:rFonts w:asciiTheme="minorHAnsi" w:hAnsiTheme="minorHAnsi"/>
          <w:sz w:val="24"/>
        </w:rPr>
      </w:pPr>
      <w:proofErr w:type="gramStart"/>
      <w:r w:rsidRPr="00AD3ADE">
        <w:rPr>
          <w:rFonts w:asciiTheme="minorHAnsi" w:hAnsiTheme="minorHAnsi"/>
          <w:sz w:val="24"/>
        </w:rPr>
        <w:t>there</w:t>
      </w:r>
      <w:proofErr w:type="gramEnd"/>
      <w:r w:rsidRPr="00AD3ADE">
        <w:rPr>
          <w:rFonts w:asciiTheme="minorHAnsi" w:hAnsiTheme="minorHAnsi"/>
          <w:sz w:val="24"/>
        </w:rPr>
        <w:t xml:space="preserve"> are concerns about persistent overspending or </w:t>
      </w:r>
      <w:proofErr w:type="spellStart"/>
      <w:r w:rsidRPr="00AD3ADE">
        <w:rPr>
          <w:rFonts w:asciiTheme="minorHAnsi" w:hAnsiTheme="minorHAnsi"/>
          <w:sz w:val="24"/>
        </w:rPr>
        <w:t>capex</w:t>
      </w:r>
      <w:proofErr w:type="spellEnd"/>
      <w:r w:rsidRPr="00AD3ADE">
        <w:rPr>
          <w:rFonts w:asciiTheme="minorHAnsi" w:hAnsiTheme="minorHAnsi"/>
          <w:sz w:val="24"/>
        </w:rPr>
        <w:t xml:space="preserve"> inefficiency. </w:t>
      </w:r>
    </w:p>
    <w:p w:rsidR="00EA2B3D" w:rsidRPr="00AD3ADE" w:rsidRDefault="00EA2B3D" w:rsidP="00EA2B3D">
      <w:pPr>
        <w:pStyle w:val="AERbodytext"/>
        <w:rPr>
          <w:rFonts w:asciiTheme="minorHAnsi" w:hAnsiTheme="minorHAnsi"/>
          <w:sz w:val="24"/>
        </w:rPr>
      </w:pPr>
      <w:r w:rsidRPr="00AD3ADE">
        <w:rPr>
          <w:rFonts w:asciiTheme="minorHAnsi" w:hAnsiTheme="minorHAnsi"/>
          <w:sz w:val="24"/>
        </w:rPr>
        <w:t>When considering whether to use actual depreciation in either of these circumstances the AER will consider:</w:t>
      </w:r>
    </w:p>
    <w:p w:rsidR="00EA2B3D" w:rsidRPr="00AD3ADE" w:rsidRDefault="00EA2B3D" w:rsidP="00956C00">
      <w:pPr>
        <w:pStyle w:val="AERbulletlistfirststyle"/>
        <w:ind w:left="357" w:hanging="357"/>
        <w:rPr>
          <w:rFonts w:asciiTheme="minorHAnsi" w:hAnsiTheme="minorHAnsi"/>
          <w:sz w:val="24"/>
        </w:rPr>
      </w:pPr>
      <w:r w:rsidRPr="00AD3ADE">
        <w:rPr>
          <w:rFonts w:asciiTheme="minorHAnsi" w:hAnsiTheme="minorHAnsi"/>
          <w:sz w:val="24"/>
        </w:rPr>
        <w:t xml:space="preserve">substitutability between </w:t>
      </w:r>
      <w:proofErr w:type="spellStart"/>
      <w:r w:rsidRPr="00AD3ADE">
        <w:rPr>
          <w:rFonts w:asciiTheme="minorHAnsi" w:hAnsiTheme="minorHAnsi"/>
          <w:sz w:val="24"/>
        </w:rPr>
        <w:t>opex</w:t>
      </w:r>
      <w:proofErr w:type="spellEnd"/>
      <w:r w:rsidRPr="00AD3ADE">
        <w:rPr>
          <w:rFonts w:asciiTheme="minorHAnsi" w:hAnsiTheme="minorHAnsi"/>
          <w:sz w:val="24"/>
        </w:rPr>
        <w:t xml:space="preserve"> and </w:t>
      </w:r>
      <w:proofErr w:type="spellStart"/>
      <w:r w:rsidRPr="00AD3ADE">
        <w:rPr>
          <w:rFonts w:asciiTheme="minorHAnsi" w:hAnsiTheme="minorHAnsi"/>
          <w:sz w:val="24"/>
        </w:rPr>
        <w:t>capex</w:t>
      </w:r>
      <w:proofErr w:type="spellEnd"/>
      <w:r w:rsidRPr="00AD3ADE">
        <w:rPr>
          <w:rFonts w:asciiTheme="minorHAnsi" w:hAnsiTheme="minorHAnsi"/>
          <w:sz w:val="24"/>
        </w:rPr>
        <w:t xml:space="preserve"> and the balance of incentives between </w:t>
      </w:r>
      <w:proofErr w:type="spellStart"/>
      <w:r w:rsidRPr="00AD3ADE">
        <w:rPr>
          <w:rFonts w:asciiTheme="minorHAnsi" w:hAnsiTheme="minorHAnsi"/>
          <w:sz w:val="24"/>
        </w:rPr>
        <w:t>opex</w:t>
      </w:r>
      <w:proofErr w:type="spellEnd"/>
      <w:r w:rsidRPr="00AD3ADE">
        <w:rPr>
          <w:rFonts w:asciiTheme="minorHAnsi" w:hAnsiTheme="minorHAnsi"/>
          <w:sz w:val="24"/>
        </w:rPr>
        <w:t xml:space="preserve">, </w:t>
      </w:r>
      <w:proofErr w:type="spellStart"/>
      <w:r w:rsidRPr="00AD3ADE">
        <w:rPr>
          <w:rFonts w:asciiTheme="minorHAnsi" w:hAnsiTheme="minorHAnsi"/>
          <w:sz w:val="24"/>
        </w:rPr>
        <w:t>capex</w:t>
      </w:r>
      <w:proofErr w:type="spellEnd"/>
      <w:r w:rsidRPr="00AD3ADE">
        <w:rPr>
          <w:rFonts w:asciiTheme="minorHAnsi" w:hAnsiTheme="minorHAnsi"/>
          <w:sz w:val="24"/>
        </w:rPr>
        <w:t xml:space="preserve"> and service </w:t>
      </w:r>
    </w:p>
    <w:p w:rsidR="00EA2B3D" w:rsidRPr="00AD3ADE" w:rsidRDefault="00EA2B3D" w:rsidP="00956C00">
      <w:pPr>
        <w:pStyle w:val="AERbulletlistfirststyle"/>
        <w:ind w:left="357" w:hanging="357"/>
        <w:rPr>
          <w:rFonts w:asciiTheme="minorHAnsi" w:hAnsiTheme="minorHAnsi"/>
          <w:sz w:val="24"/>
        </w:rPr>
      </w:pPr>
      <w:proofErr w:type="gramStart"/>
      <w:r w:rsidRPr="00AD3ADE">
        <w:rPr>
          <w:rFonts w:asciiTheme="minorHAnsi" w:hAnsiTheme="minorHAnsi"/>
          <w:sz w:val="24"/>
        </w:rPr>
        <w:t>the</w:t>
      </w:r>
      <w:proofErr w:type="gramEnd"/>
      <w:r w:rsidRPr="00AD3ADE">
        <w:rPr>
          <w:rFonts w:asciiTheme="minorHAnsi" w:hAnsiTheme="minorHAnsi"/>
          <w:sz w:val="24"/>
        </w:rPr>
        <w:t xml:space="preserve"> substitutability of assets of different asset lives.</w:t>
      </w:r>
    </w:p>
    <w:p w:rsidR="001A3DCC" w:rsidRDefault="00AD3ADE" w:rsidP="00733EDF">
      <w:pPr>
        <w:jc w:val="both"/>
        <w:rPr>
          <w:sz w:val="24"/>
          <w:szCs w:val="24"/>
        </w:rPr>
      </w:pPr>
      <w:r>
        <w:rPr>
          <w:sz w:val="24"/>
          <w:szCs w:val="24"/>
        </w:rPr>
        <w:t>AER staff</w:t>
      </w:r>
      <w:r w:rsidR="00284108">
        <w:rPr>
          <w:sz w:val="24"/>
          <w:szCs w:val="24"/>
        </w:rPr>
        <w:t xml:space="preserve"> noted that how the RAB</w:t>
      </w:r>
      <w:r w:rsidR="001A3DCC">
        <w:rPr>
          <w:sz w:val="24"/>
          <w:szCs w:val="24"/>
        </w:rPr>
        <w:t xml:space="preserve"> is rolled forward is part of the incentive framework therefore would be specified up front.</w:t>
      </w:r>
      <w:r w:rsidR="00284108">
        <w:rPr>
          <w:sz w:val="24"/>
          <w:szCs w:val="24"/>
        </w:rPr>
        <w:t xml:space="preserve"> </w:t>
      </w:r>
      <w:r w:rsidR="001A3DCC">
        <w:rPr>
          <w:sz w:val="24"/>
          <w:szCs w:val="24"/>
        </w:rPr>
        <w:t xml:space="preserve">Any available data on </w:t>
      </w:r>
      <w:r w:rsidR="001A3DCC" w:rsidRPr="00D10BA9">
        <w:rPr>
          <w:sz w:val="24"/>
        </w:rPr>
        <w:t xml:space="preserve">overspending or </w:t>
      </w:r>
      <w:proofErr w:type="spellStart"/>
      <w:r w:rsidR="001A3DCC" w:rsidRPr="00D10BA9">
        <w:rPr>
          <w:sz w:val="24"/>
        </w:rPr>
        <w:t>capex</w:t>
      </w:r>
      <w:proofErr w:type="spellEnd"/>
      <w:r w:rsidR="001A3DCC" w:rsidRPr="00D10BA9">
        <w:rPr>
          <w:sz w:val="24"/>
        </w:rPr>
        <w:t xml:space="preserve"> inefficiency</w:t>
      </w:r>
      <w:r w:rsidR="001A3DCC">
        <w:rPr>
          <w:sz w:val="24"/>
        </w:rPr>
        <w:t xml:space="preserve"> would be relevant to the choice of whether to use forecast or actual depreciation.</w:t>
      </w:r>
    </w:p>
    <w:p w:rsidR="00D7697C" w:rsidRDefault="00EA2B3D" w:rsidP="00733EDF">
      <w:pPr>
        <w:jc w:val="both"/>
        <w:rPr>
          <w:sz w:val="24"/>
          <w:szCs w:val="24"/>
        </w:rPr>
      </w:pPr>
      <w:r>
        <w:rPr>
          <w:sz w:val="24"/>
          <w:szCs w:val="24"/>
        </w:rPr>
        <w:t>CRG members noted that it would be good to further understand how the CESS, different forms of depreciation and the ex post review all interact.</w:t>
      </w:r>
      <w:r w:rsidR="00CE6758">
        <w:rPr>
          <w:sz w:val="24"/>
          <w:szCs w:val="24"/>
        </w:rPr>
        <w:t xml:space="preserve"> The Chairman noted a couple of examples would help explain how it works and the implications. </w:t>
      </w:r>
      <w:r w:rsidR="003E5F11">
        <w:rPr>
          <w:sz w:val="24"/>
          <w:szCs w:val="24"/>
        </w:rPr>
        <w:t>Tanja Warre noted the AER</w:t>
      </w:r>
      <w:r w:rsidR="00CE6758">
        <w:rPr>
          <w:sz w:val="24"/>
          <w:szCs w:val="24"/>
        </w:rPr>
        <w:t xml:space="preserve"> </w:t>
      </w:r>
      <w:r>
        <w:rPr>
          <w:sz w:val="24"/>
          <w:szCs w:val="24"/>
        </w:rPr>
        <w:t xml:space="preserve">could </w:t>
      </w:r>
      <w:r w:rsidR="003E5F11">
        <w:rPr>
          <w:sz w:val="24"/>
          <w:szCs w:val="24"/>
        </w:rPr>
        <w:t xml:space="preserve">hold </w:t>
      </w:r>
      <w:r w:rsidR="00CE6758">
        <w:rPr>
          <w:sz w:val="24"/>
          <w:szCs w:val="24"/>
        </w:rPr>
        <w:t xml:space="preserve">a subgroup </w:t>
      </w:r>
      <w:r w:rsidR="003E5F11">
        <w:rPr>
          <w:sz w:val="24"/>
          <w:szCs w:val="24"/>
        </w:rPr>
        <w:t>meeting to go over a</w:t>
      </w:r>
      <w:r w:rsidR="006A3EAC">
        <w:rPr>
          <w:sz w:val="24"/>
          <w:szCs w:val="24"/>
        </w:rPr>
        <w:t xml:space="preserve"> working model</w:t>
      </w:r>
      <w:r w:rsidR="003E5F11">
        <w:rPr>
          <w:sz w:val="24"/>
          <w:szCs w:val="24"/>
        </w:rPr>
        <w:t xml:space="preserve"> in more detail</w:t>
      </w:r>
      <w:r>
        <w:rPr>
          <w:sz w:val="24"/>
          <w:szCs w:val="24"/>
        </w:rPr>
        <w:t xml:space="preserve"> if this would be useful</w:t>
      </w:r>
      <w:r w:rsidR="003E5F11">
        <w:rPr>
          <w:sz w:val="24"/>
          <w:szCs w:val="24"/>
        </w:rPr>
        <w:t>.</w:t>
      </w:r>
    </w:p>
    <w:p w:rsidR="006A3EAC" w:rsidRPr="006A3EAC" w:rsidRDefault="006A3EAC" w:rsidP="00733EDF">
      <w:pPr>
        <w:pStyle w:val="ListParagraph"/>
        <w:numPr>
          <w:ilvl w:val="0"/>
          <w:numId w:val="10"/>
        </w:numPr>
        <w:jc w:val="both"/>
        <w:rPr>
          <w:b/>
          <w:sz w:val="24"/>
          <w:szCs w:val="24"/>
        </w:rPr>
      </w:pPr>
      <w:r w:rsidRPr="006A3EAC">
        <w:rPr>
          <w:b/>
          <w:sz w:val="24"/>
          <w:szCs w:val="24"/>
        </w:rPr>
        <w:t xml:space="preserve">Ex-post review statement of efficiency using </w:t>
      </w:r>
    </w:p>
    <w:p w:rsidR="001A3DCC" w:rsidRPr="00AD3ADE" w:rsidRDefault="001A3DCC" w:rsidP="00AD3ADE">
      <w:pPr>
        <w:pStyle w:val="AERbodytext"/>
        <w:numPr>
          <w:ilvl w:val="0"/>
          <w:numId w:val="0"/>
        </w:numPr>
        <w:rPr>
          <w:rFonts w:cstheme="minorHAnsi"/>
          <w:sz w:val="24"/>
        </w:rPr>
      </w:pPr>
      <w:r w:rsidRPr="00AD3ADE">
        <w:rPr>
          <w:rFonts w:asciiTheme="minorHAnsi" w:hAnsiTheme="minorHAnsi" w:cstheme="minorHAnsi"/>
          <w:sz w:val="24"/>
        </w:rPr>
        <w:t>The ex-post review of efficiency has two purposes:</w:t>
      </w:r>
    </w:p>
    <w:p w:rsidR="001A3DCC" w:rsidRPr="00956C00" w:rsidRDefault="001A3DCC" w:rsidP="00956C00">
      <w:pPr>
        <w:pStyle w:val="AERbulletlistfirststyle"/>
        <w:ind w:left="357" w:hanging="357"/>
        <w:rPr>
          <w:rFonts w:asciiTheme="minorHAnsi" w:hAnsiTheme="minorHAnsi"/>
          <w:sz w:val="24"/>
        </w:rPr>
      </w:pPr>
      <w:r w:rsidRPr="00956C00">
        <w:rPr>
          <w:rFonts w:asciiTheme="minorHAnsi" w:hAnsiTheme="minorHAnsi"/>
          <w:sz w:val="24"/>
        </w:rPr>
        <w:t>Statement of efficiency</w:t>
      </w:r>
    </w:p>
    <w:p w:rsidR="001A3DCC" w:rsidRPr="00956C00" w:rsidRDefault="001A3DCC" w:rsidP="00956C00">
      <w:pPr>
        <w:pStyle w:val="AERbulletlistfirststyle"/>
        <w:ind w:left="357" w:hanging="357"/>
        <w:rPr>
          <w:rFonts w:asciiTheme="minorHAnsi" w:hAnsiTheme="minorHAnsi"/>
          <w:sz w:val="24"/>
        </w:rPr>
      </w:pPr>
      <w:r w:rsidRPr="00956C00">
        <w:rPr>
          <w:rFonts w:asciiTheme="minorHAnsi" w:hAnsiTheme="minorHAnsi"/>
          <w:sz w:val="24"/>
        </w:rPr>
        <w:t xml:space="preserve">Whether to exclude inefficient </w:t>
      </w:r>
      <w:proofErr w:type="spellStart"/>
      <w:r w:rsidRPr="00956C00">
        <w:rPr>
          <w:rFonts w:asciiTheme="minorHAnsi" w:hAnsiTheme="minorHAnsi"/>
          <w:sz w:val="24"/>
        </w:rPr>
        <w:t>capex</w:t>
      </w:r>
      <w:proofErr w:type="spellEnd"/>
      <w:r w:rsidRPr="00956C00">
        <w:rPr>
          <w:rFonts w:asciiTheme="minorHAnsi" w:hAnsiTheme="minorHAnsi"/>
          <w:sz w:val="24"/>
        </w:rPr>
        <w:t xml:space="preserve"> from the RAB</w:t>
      </w:r>
    </w:p>
    <w:p w:rsidR="001A3DCC" w:rsidRPr="00AD3ADE" w:rsidRDefault="001A3DCC" w:rsidP="001A3DCC">
      <w:pPr>
        <w:pStyle w:val="AERbodytext"/>
        <w:rPr>
          <w:rFonts w:asciiTheme="minorHAnsi" w:hAnsiTheme="minorHAnsi" w:cstheme="minorHAnsi"/>
          <w:sz w:val="24"/>
        </w:rPr>
      </w:pPr>
      <w:r w:rsidRPr="00AD3ADE">
        <w:rPr>
          <w:rFonts w:asciiTheme="minorHAnsi" w:hAnsiTheme="minorHAnsi" w:cstheme="minorHAnsi"/>
          <w:sz w:val="24"/>
        </w:rPr>
        <w:t xml:space="preserve">There are two stage process for the ex post review. </w:t>
      </w:r>
    </w:p>
    <w:p w:rsidR="001A3DCC" w:rsidRPr="00AD3ADE" w:rsidRDefault="001A3DCC" w:rsidP="00956C00">
      <w:pPr>
        <w:pStyle w:val="AERbodytext"/>
        <w:rPr>
          <w:rFonts w:asciiTheme="minorHAnsi" w:hAnsiTheme="minorHAnsi" w:cstheme="minorHAnsi"/>
          <w:sz w:val="24"/>
        </w:rPr>
      </w:pPr>
      <w:r w:rsidRPr="00AD3ADE">
        <w:rPr>
          <w:rFonts w:asciiTheme="minorHAnsi" w:hAnsiTheme="minorHAnsi" w:cstheme="minorHAnsi"/>
          <w:sz w:val="24"/>
        </w:rPr>
        <w:t>Stage 1 will consider a number of factors including:</w:t>
      </w:r>
    </w:p>
    <w:p w:rsidR="001A3DCC" w:rsidRPr="00956C00" w:rsidRDefault="001A3DCC" w:rsidP="00956C00">
      <w:pPr>
        <w:pStyle w:val="AERbulletlistfirststyle"/>
        <w:ind w:left="357" w:hanging="357"/>
        <w:rPr>
          <w:rFonts w:asciiTheme="minorHAnsi" w:hAnsiTheme="minorHAnsi"/>
          <w:sz w:val="24"/>
        </w:rPr>
      </w:pPr>
      <w:r w:rsidRPr="00956C00">
        <w:rPr>
          <w:rFonts w:asciiTheme="minorHAnsi" w:hAnsiTheme="minorHAnsi"/>
          <w:sz w:val="24"/>
        </w:rPr>
        <w:t>whether the NSP has overspent</w:t>
      </w:r>
    </w:p>
    <w:p w:rsidR="001A3DCC" w:rsidRPr="00956C00" w:rsidRDefault="001A3DCC" w:rsidP="00956C00">
      <w:pPr>
        <w:pStyle w:val="AERbulletlistfirststyle"/>
        <w:ind w:left="357" w:hanging="357"/>
        <w:rPr>
          <w:rFonts w:asciiTheme="minorHAnsi" w:hAnsiTheme="minorHAnsi"/>
          <w:sz w:val="24"/>
        </w:rPr>
      </w:pPr>
      <w:r w:rsidRPr="00956C00">
        <w:rPr>
          <w:rFonts w:asciiTheme="minorHAnsi" w:hAnsiTheme="minorHAnsi"/>
          <w:sz w:val="24"/>
        </w:rPr>
        <w:t>whether the overspend is significant</w:t>
      </w:r>
    </w:p>
    <w:p w:rsidR="001A3DCC" w:rsidRPr="00956C00" w:rsidRDefault="001A3DCC" w:rsidP="00956C00">
      <w:pPr>
        <w:pStyle w:val="AERbulletlistfirststyle"/>
        <w:ind w:left="357" w:hanging="357"/>
        <w:rPr>
          <w:rFonts w:asciiTheme="minorHAnsi" w:hAnsiTheme="minorHAnsi"/>
          <w:sz w:val="24"/>
        </w:rPr>
      </w:pPr>
      <w:r w:rsidRPr="00956C00">
        <w:rPr>
          <w:rFonts w:asciiTheme="minorHAnsi" w:hAnsiTheme="minorHAnsi"/>
          <w:sz w:val="24"/>
        </w:rPr>
        <w:t>the NSP's history of capital expenditure</w:t>
      </w:r>
    </w:p>
    <w:p w:rsidR="001A3DCC" w:rsidRPr="00956C00" w:rsidRDefault="001A3DCC" w:rsidP="00956C00">
      <w:pPr>
        <w:pStyle w:val="AERbulletlistfirststyle"/>
        <w:ind w:left="357" w:hanging="357"/>
        <w:rPr>
          <w:rFonts w:asciiTheme="minorHAnsi" w:hAnsiTheme="minorHAnsi"/>
          <w:sz w:val="24"/>
        </w:rPr>
      </w:pPr>
      <w:proofErr w:type="gramStart"/>
      <w:r w:rsidRPr="00956C00">
        <w:rPr>
          <w:rFonts w:asciiTheme="minorHAnsi" w:hAnsiTheme="minorHAnsi"/>
          <w:sz w:val="24"/>
        </w:rPr>
        <w:t>how</w:t>
      </w:r>
      <w:proofErr w:type="gramEnd"/>
      <w:r w:rsidRPr="00956C00">
        <w:rPr>
          <w:rFonts w:asciiTheme="minorHAnsi" w:hAnsiTheme="minorHAnsi"/>
          <w:sz w:val="24"/>
        </w:rPr>
        <w:t xml:space="preserve"> the NSP's </w:t>
      </w:r>
      <w:proofErr w:type="spellStart"/>
      <w:r w:rsidRPr="00956C00">
        <w:rPr>
          <w:rFonts w:asciiTheme="minorHAnsi" w:hAnsiTheme="minorHAnsi"/>
          <w:sz w:val="24"/>
        </w:rPr>
        <w:t>capex</w:t>
      </w:r>
      <w:proofErr w:type="spellEnd"/>
      <w:r w:rsidRPr="00956C00">
        <w:rPr>
          <w:rFonts w:asciiTheme="minorHAnsi" w:hAnsiTheme="minorHAnsi"/>
          <w:sz w:val="24"/>
        </w:rPr>
        <w:t xml:space="preserve"> compares with similar NSPs. </w:t>
      </w:r>
    </w:p>
    <w:p w:rsidR="001A3DCC" w:rsidRPr="00AD3ADE" w:rsidRDefault="001A3DCC" w:rsidP="00AD3ADE">
      <w:pPr>
        <w:jc w:val="both"/>
        <w:rPr>
          <w:sz w:val="24"/>
          <w:szCs w:val="24"/>
        </w:rPr>
      </w:pPr>
      <w:r w:rsidRPr="00AD3ADE">
        <w:rPr>
          <w:sz w:val="24"/>
          <w:szCs w:val="24"/>
        </w:rPr>
        <w:lastRenderedPageBreak/>
        <w:t xml:space="preserve">If </w:t>
      </w:r>
      <w:r w:rsidR="00AD3ADE">
        <w:rPr>
          <w:sz w:val="24"/>
          <w:szCs w:val="24"/>
        </w:rPr>
        <w:t>the AER has</w:t>
      </w:r>
      <w:r w:rsidRPr="00AD3ADE">
        <w:rPr>
          <w:sz w:val="24"/>
          <w:szCs w:val="24"/>
        </w:rPr>
        <w:t xml:space="preserve"> concerns after undertaking this high level assessment, </w:t>
      </w:r>
      <w:r w:rsidR="00AD3ADE">
        <w:rPr>
          <w:sz w:val="24"/>
          <w:szCs w:val="24"/>
        </w:rPr>
        <w:t>it</w:t>
      </w:r>
      <w:r w:rsidRPr="00AD3ADE">
        <w:rPr>
          <w:sz w:val="24"/>
          <w:szCs w:val="24"/>
        </w:rPr>
        <w:t xml:space="preserve"> will progress </w:t>
      </w:r>
      <w:r w:rsidR="00AD3ADE">
        <w:rPr>
          <w:sz w:val="24"/>
          <w:szCs w:val="24"/>
        </w:rPr>
        <w:t>its</w:t>
      </w:r>
      <w:r w:rsidRPr="00AD3ADE">
        <w:rPr>
          <w:sz w:val="24"/>
          <w:szCs w:val="24"/>
        </w:rPr>
        <w:t xml:space="preserve"> review to stage 2. </w:t>
      </w:r>
    </w:p>
    <w:p w:rsidR="001A3DCC" w:rsidRPr="00AD3ADE" w:rsidRDefault="001A3DCC" w:rsidP="00956C00">
      <w:pPr>
        <w:pStyle w:val="AERbodytext"/>
        <w:rPr>
          <w:rFonts w:asciiTheme="minorHAnsi" w:hAnsiTheme="minorHAnsi" w:cstheme="minorHAnsi"/>
          <w:sz w:val="24"/>
        </w:rPr>
      </w:pPr>
      <w:r w:rsidRPr="00AD3ADE">
        <w:rPr>
          <w:rFonts w:asciiTheme="minorHAnsi" w:hAnsiTheme="minorHAnsi" w:cstheme="minorHAnsi"/>
          <w:sz w:val="24"/>
        </w:rPr>
        <w:t xml:space="preserve">Stage 2 will be a more detailed assessment of the NSP's </w:t>
      </w:r>
      <w:proofErr w:type="spellStart"/>
      <w:r w:rsidRPr="00AD3ADE">
        <w:rPr>
          <w:rFonts w:asciiTheme="minorHAnsi" w:hAnsiTheme="minorHAnsi" w:cstheme="minorHAnsi"/>
          <w:sz w:val="24"/>
        </w:rPr>
        <w:t>capex</w:t>
      </w:r>
      <w:proofErr w:type="spellEnd"/>
      <w:r w:rsidRPr="00AD3ADE">
        <w:rPr>
          <w:rFonts w:asciiTheme="minorHAnsi" w:hAnsiTheme="minorHAnsi" w:cstheme="minorHAnsi"/>
          <w:sz w:val="24"/>
        </w:rPr>
        <w:t xml:space="preserve"> including an assessment of the NSP's planning and management processes and an assessment of the efficiency of </w:t>
      </w:r>
      <w:proofErr w:type="spellStart"/>
      <w:r w:rsidRPr="00AD3ADE">
        <w:rPr>
          <w:rFonts w:asciiTheme="minorHAnsi" w:hAnsiTheme="minorHAnsi" w:cstheme="minorHAnsi"/>
          <w:sz w:val="24"/>
        </w:rPr>
        <w:t>capex</w:t>
      </w:r>
      <w:proofErr w:type="spellEnd"/>
      <w:r w:rsidRPr="00AD3ADE">
        <w:rPr>
          <w:rFonts w:asciiTheme="minorHAnsi" w:hAnsiTheme="minorHAnsi" w:cstheme="minorHAnsi"/>
          <w:sz w:val="24"/>
        </w:rPr>
        <w:t xml:space="preserve"> undertaken by the NSP given the relevant drivers. This will include engineering reviews and other detailed analysis.</w:t>
      </w:r>
    </w:p>
    <w:p w:rsidR="001A3DCC" w:rsidRPr="00956C00" w:rsidRDefault="001A3DCC" w:rsidP="00956C00">
      <w:pPr>
        <w:pStyle w:val="AERbulletlistfirststyle"/>
        <w:ind w:left="357" w:hanging="357"/>
        <w:rPr>
          <w:rFonts w:asciiTheme="minorHAnsi" w:hAnsiTheme="minorHAnsi"/>
          <w:sz w:val="24"/>
        </w:rPr>
      </w:pPr>
      <w:r w:rsidRPr="00956C00">
        <w:rPr>
          <w:rFonts w:asciiTheme="minorHAnsi" w:hAnsiTheme="minorHAnsi"/>
          <w:sz w:val="24"/>
        </w:rPr>
        <w:t>To the extent that inefficient overspends are identified in stage 2, these will not be rolled into the NSP's RAB.</w:t>
      </w:r>
    </w:p>
    <w:p w:rsidR="002A00BC" w:rsidRPr="00AD3ADE" w:rsidRDefault="002A00BC" w:rsidP="00AD3ADE">
      <w:pPr>
        <w:pStyle w:val="AERbodytext"/>
        <w:numPr>
          <w:ilvl w:val="0"/>
          <w:numId w:val="0"/>
        </w:numPr>
        <w:rPr>
          <w:rFonts w:asciiTheme="minorHAnsi" w:hAnsiTheme="minorHAnsi" w:cstheme="minorHAnsi"/>
          <w:sz w:val="24"/>
        </w:rPr>
      </w:pPr>
      <w:r w:rsidRPr="00AD3ADE">
        <w:rPr>
          <w:rFonts w:asciiTheme="minorHAnsi" w:hAnsiTheme="minorHAnsi" w:cstheme="minorHAnsi"/>
          <w:sz w:val="24"/>
        </w:rPr>
        <w:t>Consumers have concerns around the accuracy of the data making ex-post work over a 5 year period. Consumers consider ex post reviews are a discipline on over-spending.  However, they have not played a significant role in disciplining behaviour in the past so in practice they are only likely to be effective in very clear cases of over-spending.</w:t>
      </w:r>
    </w:p>
    <w:p w:rsidR="002A00BC" w:rsidRPr="00AD3ADE" w:rsidRDefault="00E609B7" w:rsidP="002A00BC">
      <w:pPr>
        <w:pStyle w:val="AERbodytext"/>
        <w:rPr>
          <w:rFonts w:asciiTheme="minorHAnsi" w:hAnsiTheme="minorHAnsi" w:cstheme="minorHAnsi"/>
          <w:sz w:val="24"/>
        </w:rPr>
      </w:pPr>
      <w:r>
        <w:rPr>
          <w:rFonts w:asciiTheme="minorHAnsi" w:hAnsiTheme="minorHAnsi" w:cstheme="minorHAnsi"/>
          <w:sz w:val="24"/>
        </w:rPr>
        <w:t>Consumers stated that t</w:t>
      </w:r>
      <w:r w:rsidR="002A00BC" w:rsidRPr="00AD3ADE">
        <w:rPr>
          <w:rFonts w:asciiTheme="minorHAnsi" w:hAnsiTheme="minorHAnsi" w:cstheme="minorHAnsi"/>
          <w:sz w:val="24"/>
        </w:rPr>
        <w:t xml:space="preserve">he US has a system of ex post reviews, but in the US </w:t>
      </w:r>
      <w:proofErr w:type="spellStart"/>
      <w:r w:rsidR="002A00BC" w:rsidRPr="00AD3ADE">
        <w:rPr>
          <w:rFonts w:asciiTheme="minorHAnsi" w:hAnsiTheme="minorHAnsi" w:cstheme="minorHAnsi"/>
          <w:sz w:val="24"/>
        </w:rPr>
        <w:t>capex</w:t>
      </w:r>
      <w:proofErr w:type="spellEnd"/>
      <w:r w:rsidR="002A00BC" w:rsidRPr="00AD3ADE">
        <w:rPr>
          <w:rFonts w:asciiTheme="minorHAnsi" w:hAnsiTheme="minorHAnsi" w:cstheme="minorHAnsi"/>
          <w:sz w:val="24"/>
        </w:rPr>
        <w:t xml:space="preserve"> is granted on a project-by-project basis.  It is much easier in the US under that system to determine in an ex post review whether the spending for a particular project was inefficient</w:t>
      </w:r>
    </w:p>
    <w:p w:rsidR="002A00BC" w:rsidRDefault="00E609B7" w:rsidP="002A00BC">
      <w:pPr>
        <w:pStyle w:val="AERbodytext"/>
        <w:rPr>
          <w:rFonts w:asciiTheme="minorHAnsi" w:hAnsiTheme="minorHAnsi" w:cstheme="minorHAnsi"/>
          <w:sz w:val="24"/>
        </w:rPr>
      </w:pPr>
      <w:r>
        <w:rPr>
          <w:rFonts w:asciiTheme="minorHAnsi" w:hAnsiTheme="minorHAnsi" w:cstheme="minorHAnsi"/>
          <w:sz w:val="24"/>
        </w:rPr>
        <w:t>Consumers noted that e</w:t>
      </w:r>
      <w:r w:rsidR="002A00BC" w:rsidRPr="00AD3ADE">
        <w:rPr>
          <w:rFonts w:asciiTheme="minorHAnsi" w:hAnsiTheme="minorHAnsi" w:cstheme="minorHAnsi"/>
          <w:sz w:val="24"/>
        </w:rPr>
        <w:t xml:space="preserve">x post reviews will not start before 2019 at the earliest, and historically, when they have </w:t>
      </w:r>
      <w:proofErr w:type="gramStart"/>
      <w:r w:rsidR="002A00BC" w:rsidRPr="00AD3ADE">
        <w:rPr>
          <w:rFonts w:asciiTheme="minorHAnsi" w:hAnsiTheme="minorHAnsi" w:cstheme="minorHAnsi"/>
          <w:sz w:val="24"/>
        </w:rPr>
        <w:t>applied,</w:t>
      </w:r>
      <w:proofErr w:type="gramEnd"/>
      <w:r w:rsidR="002A00BC" w:rsidRPr="00AD3ADE">
        <w:rPr>
          <w:rFonts w:asciiTheme="minorHAnsi" w:hAnsiTheme="minorHAnsi" w:cstheme="minorHAnsi"/>
          <w:sz w:val="24"/>
        </w:rPr>
        <w:t xml:space="preserve"> they have not played a significant role in reducing over-expenditure.  In practice it is difficult to demonstrate during an ex post review that expenditure was unjustified when this requires evaluation of the information available to the network at the time the expenditure was undertaken.  </w:t>
      </w:r>
    </w:p>
    <w:p w:rsidR="004D7282" w:rsidRPr="00AD3ADE" w:rsidRDefault="004D7282" w:rsidP="004D7282">
      <w:pPr>
        <w:pStyle w:val="AERbodytext"/>
        <w:numPr>
          <w:ilvl w:val="0"/>
          <w:numId w:val="0"/>
        </w:numPr>
        <w:rPr>
          <w:rFonts w:asciiTheme="minorHAnsi" w:hAnsiTheme="minorHAnsi" w:cstheme="minorHAnsi"/>
          <w:sz w:val="24"/>
        </w:rPr>
      </w:pPr>
      <w:r w:rsidRPr="004D7282">
        <w:rPr>
          <w:rFonts w:asciiTheme="minorHAnsi" w:hAnsiTheme="minorHAnsi" w:cstheme="minorHAnsi"/>
          <w:sz w:val="24"/>
        </w:rPr>
        <w:t>Consumers also highlighted that it would occur across two regulatory periods, that is, the first three years of the most recent determination, and the last two years of the previous determination to that. Assessing the efficiency of expenditure across two regulatory periods made it even more difficult and problematic, particularly given that the efficiency had to be assessed against the information available to the network at the time. Assessing efficiency over two regulatory periods meant considering it in the light of two different regulatory decisions, with different forecasts and different rate of returns.</w:t>
      </w:r>
    </w:p>
    <w:p w:rsidR="008A60F3" w:rsidRPr="006A3EAC" w:rsidRDefault="006A3EAC" w:rsidP="00733EDF">
      <w:pPr>
        <w:pStyle w:val="ListParagraph"/>
        <w:numPr>
          <w:ilvl w:val="0"/>
          <w:numId w:val="10"/>
        </w:numPr>
        <w:jc w:val="both"/>
        <w:rPr>
          <w:b/>
          <w:sz w:val="24"/>
          <w:szCs w:val="24"/>
        </w:rPr>
      </w:pPr>
      <w:proofErr w:type="spellStart"/>
      <w:r w:rsidRPr="006A3EAC">
        <w:rPr>
          <w:b/>
          <w:sz w:val="24"/>
          <w:szCs w:val="24"/>
        </w:rPr>
        <w:t>O</w:t>
      </w:r>
      <w:r w:rsidR="008A60F3" w:rsidRPr="006A3EAC">
        <w:rPr>
          <w:b/>
          <w:sz w:val="24"/>
          <w:szCs w:val="24"/>
        </w:rPr>
        <w:t>pex</w:t>
      </w:r>
      <w:proofErr w:type="spellEnd"/>
      <w:r w:rsidR="008A60F3" w:rsidRPr="006A3EAC">
        <w:rPr>
          <w:b/>
          <w:sz w:val="24"/>
          <w:szCs w:val="24"/>
        </w:rPr>
        <w:t xml:space="preserve"> EBSS</w:t>
      </w:r>
    </w:p>
    <w:p w:rsidR="00E609B7" w:rsidRDefault="00352F1C" w:rsidP="00733EDF">
      <w:pPr>
        <w:jc w:val="both"/>
        <w:rPr>
          <w:sz w:val="24"/>
          <w:szCs w:val="24"/>
        </w:rPr>
      </w:pPr>
      <w:r>
        <w:rPr>
          <w:sz w:val="24"/>
          <w:szCs w:val="24"/>
        </w:rPr>
        <w:t>The AER</w:t>
      </w:r>
      <w:r w:rsidR="006A3EAC" w:rsidRPr="00352F1C">
        <w:rPr>
          <w:sz w:val="24"/>
          <w:szCs w:val="24"/>
        </w:rPr>
        <w:t xml:space="preserve"> </w:t>
      </w:r>
      <w:r w:rsidR="00E609B7">
        <w:rPr>
          <w:sz w:val="24"/>
          <w:szCs w:val="24"/>
        </w:rPr>
        <w:t xml:space="preserve">has </w:t>
      </w:r>
      <w:r w:rsidR="006A3EAC" w:rsidRPr="00352F1C">
        <w:rPr>
          <w:sz w:val="24"/>
          <w:szCs w:val="24"/>
        </w:rPr>
        <w:t>conducted a r</w:t>
      </w:r>
      <w:r w:rsidR="008A60F3" w:rsidRPr="00352F1C">
        <w:rPr>
          <w:sz w:val="24"/>
          <w:szCs w:val="24"/>
        </w:rPr>
        <w:t xml:space="preserve">eview </w:t>
      </w:r>
      <w:r w:rsidR="006A3EAC" w:rsidRPr="00352F1C">
        <w:rPr>
          <w:sz w:val="24"/>
          <w:szCs w:val="24"/>
        </w:rPr>
        <w:t xml:space="preserve">of the current </w:t>
      </w:r>
      <w:r w:rsidR="00E609B7">
        <w:rPr>
          <w:sz w:val="24"/>
          <w:szCs w:val="24"/>
        </w:rPr>
        <w:t>EBSS</w:t>
      </w:r>
      <w:r w:rsidR="008A60F3" w:rsidRPr="00352F1C">
        <w:rPr>
          <w:sz w:val="24"/>
          <w:szCs w:val="24"/>
        </w:rPr>
        <w:t>,</w:t>
      </w:r>
      <w:r w:rsidR="00E609B7">
        <w:rPr>
          <w:sz w:val="24"/>
          <w:szCs w:val="24"/>
        </w:rPr>
        <w:t xml:space="preserve"> and proposes to</w:t>
      </w:r>
      <w:r w:rsidR="006A3EAC" w:rsidRPr="00352F1C">
        <w:rPr>
          <w:sz w:val="24"/>
          <w:szCs w:val="24"/>
        </w:rPr>
        <w:t xml:space="preserve"> </w:t>
      </w:r>
      <w:r w:rsidR="00E609B7">
        <w:rPr>
          <w:sz w:val="24"/>
          <w:szCs w:val="24"/>
        </w:rPr>
        <w:t xml:space="preserve">largely </w:t>
      </w:r>
      <w:r w:rsidR="006A3EAC" w:rsidRPr="00352F1C">
        <w:rPr>
          <w:sz w:val="24"/>
          <w:szCs w:val="24"/>
        </w:rPr>
        <w:t xml:space="preserve">retain the </w:t>
      </w:r>
      <w:r w:rsidR="008A60F3" w:rsidRPr="00352F1C">
        <w:rPr>
          <w:sz w:val="24"/>
          <w:szCs w:val="24"/>
        </w:rPr>
        <w:t>ex</w:t>
      </w:r>
      <w:r w:rsidR="00E609B7">
        <w:rPr>
          <w:sz w:val="24"/>
          <w:szCs w:val="24"/>
        </w:rPr>
        <w:t>isting scheme</w:t>
      </w:r>
      <w:r w:rsidR="00917302">
        <w:rPr>
          <w:sz w:val="24"/>
          <w:szCs w:val="24"/>
        </w:rPr>
        <w:t>.</w:t>
      </w:r>
      <w:r w:rsidR="008A60F3" w:rsidRPr="00352F1C">
        <w:rPr>
          <w:sz w:val="24"/>
          <w:szCs w:val="24"/>
        </w:rPr>
        <w:t xml:space="preserve"> </w:t>
      </w:r>
    </w:p>
    <w:p w:rsidR="00917302" w:rsidRPr="00AD3ADE" w:rsidRDefault="00917302" w:rsidP="00917302">
      <w:pPr>
        <w:pStyle w:val="AERbodytext"/>
        <w:numPr>
          <w:ilvl w:val="0"/>
          <w:numId w:val="23"/>
        </w:numPr>
        <w:rPr>
          <w:rFonts w:asciiTheme="minorHAnsi" w:hAnsiTheme="minorHAnsi" w:cstheme="minorHAnsi"/>
          <w:sz w:val="24"/>
        </w:rPr>
      </w:pPr>
      <w:r w:rsidRPr="00AD3ADE">
        <w:rPr>
          <w:rFonts w:asciiTheme="minorHAnsi" w:hAnsiTheme="minorHAnsi" w:cstheme="minorHAnsi"/>
          <w:sz w:val="24"/>
        </w:rPr>
        <w:t>The only changes proposed that would affect how the EBSS operates are changes to the allowed adjustments and exclusions.</w:t>
      </w:r>
    </w:p>
    <w:p w:rsidR="00E6019C" w:rsidRPr="00E6019C" w:rsidRDefault="00077700" w:rsidP="00733EDF">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3</w:t>
      </w:r>
      <w:r>
        <w:rPr>
          <w:rFonts w:ascii="Calibri" w:eastAsia="Times New Roman" w:hAnsi="Calibri" w:cs="Times New Roman"/>
          <w:b/>
          <w:sz w:val="24"/>
          <w:szCs w:val="28"/>
        </w:rPr>
        <w:tab/>
      </w:r>
      <w:r w:rsidR="00D8348E">
        <w:rPr>
          <w:rFonts w:ascii="Calibri" w:eastAsia="Times New Roman" w:hAnsi="Calibri" w:cs="Times New Roman"/>
          <w:b/>
          <w:sz w:val="24"/>
          <w:szCs w:val="28"/>
        </w:rPr>
        <w:t>Expenditure Forecast Assessment</w:t>
      </w:r>
    </w:p>
    <w:p w:rsidR="00E6019C" w:rsidRPr="00077700" w:rsidRDefault="00E6019C" w:rsidP="00733EDF">
      <w:pPr>
        <w:spacing w:after="0" w:line="240" w:lineRule="auto"/>
        <w:jc w:val="both"/>
        <w:rPr>
          <w:rFonts w:ascii="Calibri" w:eastAsia="Times New Roman" w:hAnsi="Calibri" w:cs="Times New Roman"/>
          <w:b/>
          <w:sz w:val="24"/>
          <w:szCs w:val="28"/>
        </w:rPr>
      </w:pPr>
    </w:p>
    <w:p w:rsidR="00EC4772" w:rsidRDefault="009F240D" w:rsidP="00733EDF">
      <w:pPr>
        <w:jc w:val="both"/>
        <w:rPr>
          <w:sz w:val="24"/>
          <w:szCs w:val="24"/>
        </w:rPr>
      </w:pPr>
      <w:r>
        <w:rPr>
          <w:sz w:val="24"/>
          <w:szCs w:val="24"/>
        </w:rPr>
        <w:t>AER staff outlined the key components of the expenditure forecast assessment guideline</w:t>
      </w:r>
      <w:r w:rsidR="005D6667">
        <w:rPr>
          <w:sz w:val="24"/>
          <w:szCs w:val="24"/>
        </w:rPr>
        <w:t>:</w:t>
      </w:r>
    </w:p>
    <w:p w:rsidR="009C34CE" w:rsidRPr="00956C00" w:rsidRDefault="009C34CE" w:rsidP="00956C00">
      <w:pPr>
        <w:pStyle w:val="AERbulletlistfirststyle"/>
        <w:ind w:left="357" w:hanging="357"/>
        <w:rPr>
          <w:rFonts w:asciiTheme="minorHAnsi" w:hAnsiTheme="minorHAnsi"/>
          <w:sz w:val="24"/>
        </w:rPr>
      </w:pPr>
      <w:r w:rsidRPr="00956C00">
        <w:rPr>
          <w:rFonts w:asciiTheme="minorHAnsi" w:hAnsiTheme="minorHAnsi"/>
          <w:sz w:val="24"/>
        </w:rPr>
        <w:t>The guideline is an i</w:t>
      </w:r>
      <w:r w:rsidR="00EC4772" w:rsidRPr="00956C00">
        <w:rPr>
          <w:rFonts w:asciiTheme="minorHAnsi" w:hAnsiTheme="minorHAnsi"/>
          <w:sz w:val="24"/>
        </w:rPr>
        <w:t>mprove</w:t>
      </w:r>
      <w:r w:rsidR="00AD4559" w:rsidRPr="00956C00">
        <w:rPr>
          <w:rFonts w:asciiTheme="minorHAnsi" w:hAnsiTheme="minorHAnsi"/>
          <w:sz w:val="24"/>
        </w:rPr>
        <w:t>ment</w:t>
      </w:r>
      <w:r w:rsidR="00EC4772" w:rsidRPr="00956C00">
        <w:rPr>
          <w:rFonts w:asciiTheme="minorHAnsi" w:hAnsiTheme="minorHAnsi"/>
          <w:sz w:val="24"/>
        </w:rPr>
        <w:t xml:space="preserve"> on exi</w:t>
      </w:r>
      <w:r w:rsidRPr="00956C00">
        <w:rPr>
          <w:rFonts w:asciiTheme="minorHAnsi" w:hAnsiTheme="minorHAnsi"/>
          <w:sz w:val="24"/>
        </w:rPr>
        <w:t xml:space="preserve">sting methods including </w:t>
      </w:r>
      <w:proofErr w:type="spellStart"/>
      <w:r w:rsidRPr="00956C00">
        <w:rPr>
          <w:rFonts w:asciiTheme="minorHAnsi" w:hAnsiTheme="minorHAnsi"/>
          <w:sz w:val="24"/>
        </w:rPr>
        <w:t>repex</w:t>
      </w:r>
      <w:proofErr w:type="spellEnd"/>
      <w:r w:rsidRPr="00956C00">
        <w:rPr>
          <w:rFonts w:asciiTheme="minorHAnsi" w:hAnsiTheme="minorHAnsi"/>
          <w:sz w:val="24"/>
        </w:rPr>
        <w:t xml:space="preserve"> and </w:t>
      </w:r>
      <w:r w:rsidR="00CD0659">
        <w:rPr>
          <w:rFonts w:asciiTheme="minorHAnsi" w:hAnsiTheme="minorHAnsi"/>
          <w:sz w:val="24"/>
        </w:rPr>
        <w:t>base</w:t>
      </w:r>
      <w:r w:rsidR="00AD4559" w:rsidRPr="00956C00">
        <w:rPr>
          <w:rFonts w:asciiTheme="minorHAnsi" w:hAnsiTheme="minorHAnsi"/>
          <w:sz w:val="24"/>
        </w:rPr>
        <w:t xml:space="preserve"> step</w:t>
      </w:r>
      <w:r w:rsidRPr="00956C00">
        <w:rPr>
          <w:rFonts w:asciiTheme="minorHAnsi" w:hAnsiTheme="minorHAnsi"/>
          <w:sz w:val="24"/>
        </w:rPr>
        <w:t xml:space="preserve"> trend approach</w:t>
      </w:r>
    </w:p>
    <w:p w:rsidR="00EC4772" w:rsidRPr="00956C00" w:rsidRDefault="009C34CE" w:rsidP="00956C00">
      <w:pPr>
        <w:pStyle w:val="AERbulletlistfirststyle"/>
        <w:ind w:left="357" w:hanging="357"/>
        <w:rPr>
          <w:rFonts w:asciiTheme="minorHAnsi" w:hAnsiTheme="minorHAnsi"/>
          <w:sz w:val="24"/>
        </w:rPr>
      </w:pPr>
      <w:r w:rsidRPr="00956C00">
        <w:rPr>
          <w:rFonts w:asciiTheme="minorHAnsi" w:hAnsiTheme="minorHAnsi"/>
          <w:sz w:val="24"/>
        </w:rPr>
        <w:t xml:space="preserve">The </w:t>
      </w:r>
      <w:proofErr w:type="spellStart"/>
      <w:r w:rsidRPr="00956C00">
        <w:rPr>
          <w:rFonts w:asciiTheme="minorHAnsi" w:hAnsiTheme="minorHAnsi"/>
          <w:sz w:val="24"/>
        </w:rPr>
        <w:t>repex</w:t>
      </w:r>
      <w:proofErr w:type="spellEnd"/>
      <w:r w:rsidRPr="00956C00">
        <w:rPr>
          <w:rFonts w:asciiTheme="minorHAnsi" w:hAnsiTheme="minorHAnsi"/>
          <w:sz w:val="24"/>
        </w:rPr>
        <w:t xml:space="preserve"> model has been developed after</w:t>
      </w:r>
      <w:r w:rsidR="00EC4772" w:rsidRPr="00956C00">
        <w:rPr>
          <w:rFonts w:asciiTheme="minorHAnsi" w:hAnsiTheme="minorHAnsi"/>
          <w:sz w:val="24"/>
        </w:rPr>
        <w:t xml:space="preserve"> intensive consultation </w:t>
      </w:r>
    </w:p>
    <w:p w:rsidR="009C34CE" w:rsidRPr="00956C00" w:rsidRDefault="00EC4772" w:rsidP="00956C00">
      <w:pPr>
        <w:pStyle w:val="AERbulletlistfirststyle"/>
        <w:ind w:left="357" w:hanging="357"/>
        <w:rPr>
          <w:rFonts w:asciiTheme="minorHAnsi" w:hAnsiTheme="minorHAnsi"/>
          <w:sz w:val="24"/>
        </w:rPr>
      </w:pPr>
      <w:r w:rsidRPr="00956C00">
        <w:rPr>
          <w:rFonts w:asciiTheme="minorHAnsi" w:hAnsiTheme="minorHAnsi"/>
          <w:sz w:val="24"/>
        </w:rPr>
        <w:t>Separate guideline</w:t>
      </w:r>
      <w:r w:rsidR="00F85828" w:rsidRPr="00956C00">
        <w:rPr>
          <w:rFonts w:asciiTheme="minorHAnsi" w:hAnsiTheme="minorHAnsi"/>
          <w:sz w:val="24"/>
        </w:rPr>
        <w:t>s</w:t>
      </w:r>
      <w:r w:rsidRPr="00956C00">
        <w:rPr>
          <w:rFonts w:asciiTheme="minorHAnsi" w:hAnsiTheme="minorHAnsi"/>
          <w:sz w:val="24"/>
        </w:rPr>
        <w:t xml:space="preserve"> </w:t>
      </w:r>
      <w:r w:rsidR="00AD4559" w:rsidRPr="00956C00">
        <w:rPr>
          <w:rFonts w:asciiTheme="minorHAnsi" w:hAnsiTheme="minorHAnsi"/>
          <w:sz w:val="24"/>
        </w:rPr>
        <w:t>for</w:t>
      </w:r>
      <w:r w:rsidRPr="00956C00">
        <w:rPr>
          <w:rFonts w:asciiTheme="minorHAnsi" w:hAnsiTheme="minorHAnsi"/>
          <w:sz w:val="24"/>
        </w:rPr>
        <w:t xml:space="preserve"> TNS</w:t>
      </w:r>
      <w:r w:rsidR="009F240D" w:rsidRPr="00956C00">
        <w:rPr>
          <w:rFonts w:asciiTheme="minorHAnsi" w:hAnsiTheme="minorHAnsi"/>
          <w:sz w:val="24"/>
        </w:rPr>
        <w:t>Ps</w:t>
      </w:r>
      <w:r w:rsidR="00F85828" w:rsidRPr="00956C00">
        <w:rPr>
          <w:rFonts w:asciiTheme="minorHAnsi" w:hAnsiTheme="minorHAnsi"/>
          <w:sz w:val="24"/>
        </w:rPr>
        <w:t xml:space="preserve"> and </w:t>
      </w:r>
      <w:r w:rsidRPr="00956C00">
        <w:rPr>
          <w:rFonts w:asciiTheme="minorHAnsi" w:hAnsiTheme="minorHAnsi"/>
          <w:sz w:val="24"/>
        </w:rPr>
        <w:t>DNSP</w:t>
      </w:r>
      <w:r w:rsidR="009C34CE" w:rsidRPr="00956C00">
        <w:rPr>
          <w:rFonts w:asciiTheme="minorHAnsi" w:hAnsiTheme="minorHAnsi"/>
          <w:sz w:val="24"/>
        </w:rPr>
        <w:t>s</w:t>
      </w:r>
    </w:p>
    <w:p w:rsidR="00EC4772" w:rsidRPr="00956C00" w:rsidRDefault="009C34CE" w:rsidP="00956C00">
      <w:pPr>
        <w:pStyle w:val="AERbulletlistfirststyle"/>
        <w:ind w:left="357" w:hanging="357"/>
        <w:rPr>
          <w:rFonts w:asciiTheme="minorHAnsi" w:hAnsiTheme="minorHAnsi"/>
          <w:sz w:val="24"/>
        </w:rPr>
      </w:pPr>
      <w:r w:rsidRPr="00956C00">
        <w:rPr>
          <w:rFonts w:asciiTheme="minorHAnsi" w:hAnsiTheme="minorHAnsi"/>
          <w:sz w:val="24"/>
        </w:rPr>
        <w:t>The guideline provides a balance</w:t>
      </w:r>
      <w:r w:rsidR="00A13BD9" w:rsidRPr="00956C00">
        <w:rPr>
          <w:rFonts w:asciiTheme="minorHAnsi" w:hAnsiTheme="minorHAnsi"/>
          <w:sz w:val="24"/>
        </w:rPr>
        <w:t xml:space="preserve"> between prescription and </w:t>
      </w:r>
      <w:r w:rsidRPr="00956C00">
        <w:rPr>
          <w:rFonts w:asciiTheme="minorHAnsi" w:hAnsiTheme="minorHAnsi"/>
          <w:sz w:val="24"/>
        </w:rPr>
        <w:t>flexibility</w:t>
      </w:r>
      <w:r w:rsidR="00A13BD9" w:rsidRPr="00956C00">
        <w:rPr>
          <w:rFonts w:asciiTheme="minorHAnsi" w:hAnsiTheme="minorHAnsi"/>
          <w:sz w:val="24"/>
        </w:rPr>
        <w:t xml:space="preserve">, </w:t>
      </w:r>
      <w:r w:rsidR="00AD3ADE" w:rsidRPr="00956C00">
        <w:rPr>
          <w:rFonts w:asciiTheme="minorHAnsi" w:hAnsiTheme="minorHAnsi"/>
          <w:sz w:val="24"/>
        </w:rPr>
        <w:t>the AER</w:t>
      </w:r>
      <w:r w:rsidR="00A13BD9" w:rsidRPr="00956C00">
        <w:rPr>
          <w:rFonts w:asciiTheme="minorHAnsi" w:hAnsiTheme="minorHAnsi"/>
          <w:sz w:val="24"/>
        </w:rPr>
        <w:t xml:space="preserve"> </w:t>
      </w:r>
      <w:r w:rsidR="00CD0659">
        <w:rPr>
          <w:rFonts w:asciiTheme="minorHAnsi" w:hAnsiTheme="minorHAnsi"/>
          <w:sz w:val="24"/>
        </w:rPr>
        <w:t>can tailor to individual companies</w:t>
      </w:r>
      <w:r w:rsidR="00A13BD9" w:rsidRPr="00956C00">
        <w:rPr>
          <w:rFonts w:asciiTheme="minorHAnsi" w:hAnsiTheme="minorHAnsi"/>
          <w:sz w:val="24"/>
        </w:rPr>
        <w:t xml:space="preserve"> if need be rather than</w:t>
      </w:r>
      <w:r w:rsidR="00AD4559" w:rsidRPr="00956C00">
        <w:rPr>
          <w:rFonts w:asciiTheme="minorHAnsi" w:hAnsiTheme="minorHAnsi"/>
          <w:sz w:val="24"/>
        </w:rPr>
        <w:t xml:space="preserve"> have it too detailed. </w:t>
      </w:r>
    </w:p>
    <w:p w:rsidR="00A13BD9" w:rsidRPr="00956C00" w:rsidRDefault="00F85828" w:rsidP="00956C00">
      <w:pPr>
        <w:pStyle w:val="AERbulletlistfirststyle"/>
        <w:ind w:left="357" w:hanging="357"/>
        <w:rPr>
          <w:rFonts w:asciiTheme="minorHAnsi" w:hAnsiTheme="minorHAnsi"/>
          <w:sz w:val="24"/>
        </w:rPr>
      </w:pPr>
      <w:r w:rsidRPr="00956C00">
        <w:rPr>
          <w:rFonts w:asciiTheme="minorHAnsi" w:hAnsiTheme="minorHAnsi"/>
          <w:sz w:val="24"/>
        </w:rPr>
        <w:t xml:space="preserve">The AER’s assessments would be affected by the setting of </w:t>
      </w:r>
      <w:r w:rsidR="009F240D" w:rsidRPr="00956C00">
        <w:rPr>
          <w:rFonts w:asciiTheme="minorHAnsi" w:hAnsiTheme="minorHAnsi"/>
          <w:sz w:val="24"/>
        </w:rPr>
        <w:t xml:space="preserve">service standards, </w:t>
      </w:r>
      <w:r w:rsidRPr="00956C00">
        <w:rPr>
          <w:rFonts w:asciiTheme="minorHAnsi" w:hAnsiTheme="minorHAnsi"/>
          <w:sz w:val="24"/>
        </w:rPr>
        <w:t xml:space="preserve">noting the current </w:t>
      </w:r>
      <w:r w:rsidR="009F240D" w:rsidRPr="00956C00">
        <w:rPr>
          <w:rFonts w:asciiTheme="minorHAnsi" w:hAnsiTheme="minorHAnsi"/>
          <w:sz w:val="24"/>
        </w:rPr>
        <w:t>AEM</w:t>
      </w:r>
      <w:r w:rsidR="00A13BD9" w:rsidRPr="00956C00">
        <w:rPr>
          <w:rFonts w:asciiTheme="minorHAnsi" w:hAnsiTheme="minorHAnsi"/>
          <w:sz w:val="24"/>
        </w:rPr>
        <w:t>C’s review of how they are set</w:t>
      </w:r>
      <w:r w:rsidRPr="00956C00">
        <w:rPr>
          <w:rFonts w:asciiTheme="minorHAnsi" w:hAnsiTheme="minorHAnsi"/>
          <w:sz w:val="24"/>
        </w:rPr>
        <w:t xml:space="preserve">. In general, </w:t>
      </w:r>
      <w:r w:rsidR="00AD3ADE" w:rsidRPr="00956C00">
        <w:rPr>
          <w:rFonts w:asciiTheme="minorHAnsi" w:hAnsiTheme="minorHAnsi"/>
          <w:sz w:val="24"/>
        </w:rPr>
        <w:t>the AER does</w:t>
      </w:r>
      <w:r w:rsidR="00A13BD9" w:rsidRPr="00956C00">
        <w:rPr>
          <w:rFonts w:asciiTheme="minorHAnsi" w:hAnsiTheme="minorHAnsi"/>
          <w:sz w:val="24"/>
        </w:rPr>
        <w:t xml:space="preserve"> consider historical </w:t>
      </w:r>
      <w:r w:rsidRPr="00956C00">
        <w:rPr>
          <w:rFonts w:asciiTheme="minorHAnsi" w:hAnsiTheme="minorHAnsi"/>
          <w:sz w:val="24"/>
        </w:rPr>
        <w:t xml:space="preserve">performance </w:t>
      </w:r>
      <w:r w:rsidR="00A13BD9" w:rsidRPr="00956C00">
        <w:rPr>
          <w:rFonts w:asciiTheme="minorHAnsi" w:hAnsiTheme="minorHAnsi"/>
          <w:sz w:val="24"/>
        </w:rPr>
        <w:t>information</w:t>
      </w:r>
      <w:r w:rsidRPr="00956C00">
        <w:rPr>
          <w:rFonts w:asciiTheme="minorHAnsi" w:hAnsiTheme="minorHAnsi"/>
          <w:sz w:val="24"/>
        </w:rPr>
        <w:t xml:space="preserve"> and the </w:t>
      </w:r>
      <w:r w:rsidR="00A13BD9" w:rsidRPr="00956C00">
        <w:rPr>
          <w:rFonts w:asciiTheme="minorHAnsi" w:hAnsiTheme="minorHAnsi"/>
          <w:sz w:val="24"/>
        </w:rPr>
        <w:t>costs involved.</w:t>
      </w:r>
    </w:p>
    <w:p w:rsidR="00A13BD9" w:rsidRPr="00956C00" w:rsidRDefault="00F85828" w:rsidP="00956C00">
      <w:pPr>
        <w:pStyle w:val="AERbulletlistfirststyle"/>
        <w:ind w:left="357" w:hanging="357"/>
        <w:rPr>
          <w:rFonts w:asciiTheme="minorHAnsi" w:hAnsiTheme="minorHAnsi"/>
          <w:sz w:val="24"/>
        </w:rPr>
      </w:pPr>
      <w:r w:rsidRPr="00956C00">
        <w:rPr>
          <w:rFonts w:asciiTheme="minorHAnsi" w:hAnsiTheme="minorHAnsi"/>
          <w:sz w:val="24"/>
        </w:rPr>
        <w:t>Data requirements were likely to give rise to c</w:t>
      </w:r>
      <w:r w:rsidR="005265C8" w:rsidRPr="00956C00">
        <w:rPr>
          <w:rFonts w:asciiTheme="minorHAnsi" w:hAnsiTheme="minorHAnsi"/>
          <w:sz w:val="24"/>
        </w:rPr>
        <w:t>onfidentiality</w:t>
      </w:r>
      <w:r w:rsidR="00A13BD9" w:rsidRPr="00956C00">
        <w:rPr>
          <w:rFonts w:asciiTheme="minorHAnsi" w:hAnsiTheme="minorHAnsi"/>
          <w:sz w:val="24"/>
        </w:rPr>
        <w:t xml:space="preserve"> </w:t>
      </w:r>
      <w:r w:rsidRPr="00956C00">
        <w:rPr>
          <w:rFonts w:asciiTheme="minorHAnsi" w:hAnsiTheme="minorHAnsi"/>
          <w:sz w:val="24"/>
        </w:rPr>
        <w:t xml:space="preserve">claims, to be governed under the AER’s </w:t>
      </w:r>
      <w:r w:rsidR="005265C8" w:rsidRPr="00956C00">
        <w:rPr>
          <w:rFonts w:asciiTheme="minorHAnsi" w:hAnsiTheme="minorHAnsi"/>
          <w:sz w:val="24"/>
        </w:rPr>
        <w:t>Confidentiality</w:t>
      </w:r>
      <w:r w:rsidR="00A13BD9" w:rsidRPr="00956C00">
        <w:rPr>
          <w:rFonts w:asciiTheme="minorHAnsi" w:hAnsiTheme="minorHAnsi"/>
          <w:sz w:val="24"/>
        </w:rPr>
        <w:t xml:space="preserve"> guideline, </w:t>
      </w:r>
      <w:r w:rsidRPr="00956C00">
        <w:rPr>
          <w:rFonts w:asciiTheme="minorHAnsi" w:hAnsiTheme="minorHAnsi"/>
          <w:sz w:val="24"/>
        </w:rPr>
        <w:t xml:space="preserve">and in </w:t>
      </w:r>
      <w:r w:rsidR="00A13BD9" w:rsidRPr="00956C00">
        <w:rPr>
          <w:rFonts w:asciiTheme="minorHAnsi" w:hAnsiTheme="minorHAnsi"/>
          <w:sz w:val="24"/>
        </w:rPr>
        <w:t xml:space="preserve">consultation with </w:t>
      </w:r>
      <w:r w:rsidRPr="00956C00">
        <w:rPr>
          <w:rFonts w:asciiTheme="minorHAnsi" w:hAnsiTheme="minorHAnsi"/>
          <w:sz w:val="24"/>
        </w:rPr>
        <w:t>network businesses</w:t>
      </w:r>
    </w:p>
    <w:p w:rsidR="00A13BD9" w:rsidRPr="00956C00" w:rsidRDefault="00F85828" w:rsidP="00956C00">
      <w:pPr>
        <w:pStyle w:val="AERbulletlistfirststyle"/>
        <w:ind w:left="357" w:hanging="357"/>
        <w:rPr>
          <w:rFonts w:asciiTheme="minorHAnsi" w:hAnsiTheme="minorHAnsi"/>
          <w:sz w:val="24"/>
        </w:rPr>
      </w:pPr>
      <w:r w:rsidRPr="00956C00">
        <w:rPr>
          <w:rFonts w:asciiTheme="minorHAnsi" w:hAnsiTheme="minorHAnsi"/>
          <w:sz w:val="24"/>
        </w:rPr>
        <w:t>The guideline affirms the AER’s preference to rely on r</w:t>
      </w:r>
      <w:r w:rsidR="00A13BD9" w:rsidRPr="00956C00">
        <w:rPr>
          <w:rFonts w:asciiTheme="minorHAnsi" w:hAnsiTheme="minorHAnsi"/>
          <w:sz w:val="24"/>
        </w:rPr>
        <w:t>evealed costs</w:t>
      </w:r>
      <w:r w:rsidRPr="00956C00">
        <w:rPr>
          <w:rFonts w:asciiTheme="minorHAnsi" w:hAnsiTheme="minorHAnsi"/>
          <w:sz w:val="24"/>
        </w:rPr>
        <w:t xml:space="preserve"> when setting </w:t>
      </w:r>
      <w:proofErr w:type="spellStart"/>
      <w:r w:rsidR="00A13BD9" w:rsidRPr="00956C00">
        <w:rPr>
          <w:rFonts w:asciiTheme="minorHAnsi" w:hAnsiTheme="minorHAnsi"/>
          <w:sz w:val="24"/>
        </w:rPr>
        <w:t>opex</w:t>
      </w:r>
      <w:proofErr w:type="spellEnd"/>
      <w:r w:rsidR="00A13BD9" w:rsidRPr="00956C00">
        <w:rPr>
          <w:rFonts w:asciiTheme="minorHAnsi" w:hAnsiTheme="minorHAnsi"/>
          <w:sz w:val="24"/>
        </w:rPr>
        <w:t xml:space="preserve"> allowances, </w:t>
      </w:r>
      <w:r w:rsidRPr="00956C00">
        <w:rPr>
          <w:rFonts w:asciiTheme="minorHAnsi" w:hAnsiTheme="minorHAnsi"/>
          <w:sz w:val="24"/>
        </w:rPr>
        <w:t xml:space="preserve">while allowing the AER to scrutinise the efficiency of </w:t>
      </w:r>
      <w:r w:rsidR="00A13BD9" w:rsidRPr="00956C00">
        <w:rPr>
          <w:rFonts w:asciiTheme="minorHAnsi" w:hAnsiTheme="minorHAnsi"/>
          <w:sz w:val="24"/>
        </w:rPr>
        <w:t xml:space="preserve">base year </w:t>
      </w:r>
      <w:r w:rsidRPr="00956C00">
        <w:rPr>
          <w:rFonts w:asciiTheme="minorHAnsi" w:hAnsiTheme="minorHAnsi"/>
          <w:sz w:val="24"/>
        </w:rPr>
        <w:t>expenditures.</w:t>
      </w:r>
    </w:p>
    <w:p w:rsidR="009A77F0" w:rsidRDefault="009A77F0" w:rsidP="005D6667">
      <w:pPr>
        <w:jc w:val="both"/>
        <w:rPr>
          <w:sz w:val="24"/>
          <w:szCs w:val="24"/>
        </w:rPr>
      </w:pPr>
      <w:r>
        <w:rPr>
          <w:sz w:val="24"/>
          <w:szCs w:val="24"/>
        </w:rPr>
        <w:t xml:space="preserve">Consumers questioned the scope of further workshops and their potential attendance. AER </w:t>
      </w:r>
      <w:proofErr w:type="spellStart"/>
      <w:r>
        <w:rPr>
          <w:sz w:val="24"/>
          <w:szCs w:val="24"/>
        </w:rPr>
        <w:t>AER</w:t>
      </w:r>
      <w:proofErr w:type="spellEnd"/>
      <w:r>
        <w:rPr>
          <w:sz w:val="24"/>
          <w:szCs w:val="24"/>
        </w:rPr>
        <w:t xml:space="preserve"> staff noted that there would be a general workshop on 2 September discussing initial reactions to the guidelines and would be useful for consumer representatives to attend. Further meetings were anticipated between AER staff and network businesses solely on data requirements where consumers were unlikely to gain much value.</w:t>
      </w:r>
    </w:p>
    <w:p w:rsidR="009A77F0" w:rsidRDefault="009A77F0" w:rsidP="005D6667">
      <w:pPr>
        <w:jc w:val="both"/>
        <w:rPr>
          <w:sz w:val="24"/>
          <w:szCs w:val="24"/>
        </w:rPr>
      </w:pPr>
      <w:r>
        <w:rPr>
          <w:sz w:val="24"/>
          <w:szCs w:val="24"/>
        </w:rPr>
        <w:t>Consumers asked whether the guideline would apply to the transitional year for the upcoming resets. Staff indicated this was not the case, although there would be some scrutiny of ex ante forecasts that would be subject to a “true-up”.</w:t>
      </w:r>
    </w:p>
    <w:p w:rsidR="005D6667" w:rsidRPr="005733BF" w:rsidRDefault="005733BF" w:rsidP="005D6667">
      <w:pPr>
        <w:jc w:val="both"/>
        <w:rPr>
          <w:sz w:val="24"/>
          <w:szCs w:val="24"/>
        </w:rPr>
      </w:pPr>
      <w:r w:rsidRPr="005733BF">
        <w:rPr>
          <w:sz w:val="24"/>
          <w:szCs w:val="24"/>
        </w:rPr>
        <w:t>Consumers consider</w:t>
      </w:r>
      <w:r w:rsidR="005D6667">
        <w:rPr>
          <w:sz w:val="24"/>
          <w:szCs w:val="24"/>
        </w:rPr>
        <w:t>ed</w:t>
      </w:r>
      <w:r w:rsidRPr="005733BF">
        <w:rPr>
          <w:sz w:val="24"/>
          <w:szCs w:val="24"/>
        </w:rPr>
        <w:t xml:space="preserve"> the comparator set for benchmarking should be broadened to include overseas networks.  This has the advantage of comparing networks to international best practice. If there are any </w:t>
      </w:r>
      <w:proofErr w:type="gramStart"/>
      <w:r w:rsidRPr="005733BF">
        <w:rPr>
          <w:sz w:val="24"/>
          <w:szCs w:val="24"/>
        </w:rPr>
        <w:t>inefficiencies</w:t>
      </w:r>
      <w:proofErr w:type="gramEnd"/>
      <w:r w:rsidRPr="005733BF">
        <w:rPr>
          <w:sz w:val="24"/>
          <w:szCs w:val="24"/>
        </w:rPr>
        <w:t xml:space="preserve"> common among Australian networks then international comparators will reveal these inefficiencies.</w:t>
      </w:r>
      <w:r w:rsidR="005D6667" w:rsidRPr="005D6667">
        <w:rPr>
          <w:sz w:val="24"/>
          <w:szCs w:val="24"/>
        </w:rPr>
        <w:t xml:space="preserve"> </w:t>
      </w:r>
      <w:r w:rsidR="00AD3ADE">
        <w:rPr>
          <w:sz w:val="24"/>
          <w:szCs w:val="24"/>
        </w:rPr>
        <w:t>The AER is</w:t>
      </w:r>
      <w:r w:rsidR="005D6667" w:rsidRPr="005733BF">
        <w:rPr>
          <w:sz w:val="24"/>
          <w:szCs w:val="24"/>
        </w:rPr>
        <w:t xml:space="preserve"> hoping to broaden the range of comparatives to include international jurisdictions</w:t>
      </w:r>
      <w:r w:rsidR="009A77F0">
        <w:rPr>
          <w:sz w:val="24"/>
          <w:szCs w:val="24"/>
        </w:rPr>
        <w:t xml:space="preserve"> however the current priority is developing a robust dataset for businesses in the NEM</w:t>
      </w:r>
      <w:r w:rsidR="005D6667" w:rsidRPr="005733BF">
        <w:rPr>
          <w:sz w:val="24"/>
          <w:szCs w:val="24"/>
        </w:rPr>
        <w:t>.</w:t>
      </w:r>
    </w:p>
    <w:p w:rsidR="005733BF" w:rsidRPr="005733BF" w:rsidRDefault="005733BF" w:rsidP="005733BF">
      <w:pPr>
        <w:jc w:val="both"/>
        <w:rPr>
          <w:sz w:val="24"/>
          <w:szCs w:val="24"/>
        </w:rPr>
      </w:pPr>
      <w:r w:rsidRPr="005733BF">
        <w:rPr>
          <w:sz w:val="24"/>
          <w:szCs w:val="24"/>
        </w:rPr>
        <w:t xml:space="preserve">Consumers </w:t>
      </w:r>
      <w:r w:rsidR="005D6667">
        <w:rPr>
          <w:sz w:val="24"/>
          <w:szCs w:val="24"/>
        </w:rPr>
        <w:t>stated</w:t>
      </w:r>
      <w:r w:rsidRPr="005733BF">
        <w:rPr>
          <w:sz w:val="24"/>
          <w:szCs w:val="24"/>
        </w:rPr>
        <w:t xml:space="preserve"> it is critical that networks should be benchmarked to the performance of the most efficient firm and not the average firm.</w:t>
      </w:r>
    </w:p>
    <w:p w:rsidR="005733BF" w:rsidRDefault="00CD5FBD" w:rsidP="005733BF">
      <w:pPr>
        <w:jc w:val="both"/>
        <w:rPr>
          <w:sz w:val="24"/>
          <w:szCs w:val="24"/>
        </w:rPr>
      </w:pPr>
      <w:r>
        <w:rPr>
          <w:sz w:val="24"/>
          <w:szCs w:val="24"/>
        </w:rPr>
        <w:t>Consumers consider</w:t>
      </w:r>
      <w:r w:rsidR="005D6667">
        <w:rPr>
          <w:sz w:val="24"/>
          <w:szCs w:val="24"/>
        </w:rPr>
        <w:t>ed</w:t>
      </w:r>
      <w:r>
        <w:rPr>
          <w:sz w:val="24"/>
          <w:szCs w:val="24"/>
        </w:rPr>
        <w:t xml:space="preserve"> that b</w:t>
      </w:r>
      <w:r w:rsidR="005733BF" w:rsidRPr="005733BF">
        <w:rPr>
          <w:sz w:val="24"/>
          <w:szCs w:val="24"/>
        </w:rPr>
        <w:t xml:space="preserve">enchmarking against actual peak demand is just as important (and maybe even more so) than benchmarking against network capacity. Comparing the </w:t>
      </w:r>
      <w:r w:rsidR="005733BF" w:rsidRPr="005733BF">
        <w:rPr>
          <w:sz w:val="24"/>
          <w:szCs w:val="24"/>
        </w:rPr>
        <w:lastRenderedPageBreak/>
        <w:t xml:space="preserve">two indicates the amount of </w:t>
      </w:r>
      <w:r>
        <w:rPr>
          <w:sz w:val="24"/>
          <w:szCs w:val="24"/>
        </w:rPr>
        <w:t>‘</w:t>
      </w:r>
      <w:r w:rsidR="005733BF" w:rsidRPr="005733BF">
        <w:rPr>
          <w:sz w:val="24"/>
          <w:szCs w:val="24"/>
        </w:rPr>
        <w:t>spare</w:t>
      </w:r>
      <w:r>
        <w:rPr>
          <w:sz w:val="24"/>
          <w:szCs w:val="24"/>
        </w:rPr>
        <w:t>’</w:t>
      </w:r>
      <w:r w:rsidR="005733BF" w:rsidRPr="005733BF">
        <w:rPr>
          <w:sz w:val="24"/>
          <w:szCs w:val="24"/>
        </w:rPr>
        <w:t xml:space="preserve"> capacity available for use which is essential when assessing augmentation </w:t>
      </w:r>
      <w:proofErr w:type="spellStart"/>
      <w:r w:rsidR="005733BF" w:rsidRPr="005733BF">
        <w:rPr>
          <w:sz w:val="24"/>
          <w:szCs w:val="24"/>
        </w:rPr>
        <w:t>capex</w:t>
      </w:r>
      <w:proofErr w:type="spellEnd"/>
      <w:r w:rsidR="005733BF" w:rsidRPr="005733BF">
        <w:rPr>
          <w:sz w:val="24"/>
          <w:szCs w:val="24"/>
        </w:rPr>
        <w:t>.</w:t>
      </w:r>
    </w:p>
    <w:p w:rsidR="009C34CE" w:rsidRPr="005733BF" w:rsidRDefault="005D6667" w:rsidP="005733BF">
      <w:pPr>
        <w:jc w:val="both"/>
        <w:rPr>
          <w:sz w:val="24"/>
          <w:szCs w:val="24"/>
        </w:rPr>
      </w:pPr>
      <w:r>
        <w:rPr>
          <w:sz w:val="24"/>
          <w:szCs w:val="24"/>
        </w:rPr>
        <w:t>Consumers stated that t</w:t>
      </w:r>
      <w:r w:rsidR="009C34CE">
        <w:rPr>
          <w:sz w:val="24"/>
          <w:szCs w:val="24"/>
        </w:rPr>
        <w:t>he benchmarking guideline does not deal particularly well with related parties. It would be good for the AER to capture this data as well.</w:t>
      </w:r>
    </w:p>
    <w:p w:rsidR="005733BF" w:rsidRPr="005733BF" w:rsidRDefault="005733BF" w:rsidP="005733BF">
      <w:pPr>
        <w:jc w:val="both"/>
        <w:rPr>
          <w:sz w:val="24"/>
          <w:szCs w:val="24"/>
        </w:rPr>
      </w:pPr>
      <w:r w:rsidRPr="005733BF">
        <w:rPr>
          <w:sz w:val="24"/>
          <w:szCs w:val="24"/>
        </w:rPr>
        <w:t xml:space="preserve">Consumers consider it is important to set </w:t>
      </w:r>
      <w:proofErr w:type="spellStart"/>
      <w:r w:rsidRPr="005733BF">
        <w:rPr>
          <w:sz w:val="24"/>
          <w:szCs w:val="24"/>
        </w:rPr>
        <w:t>capex</w:t>
      </w:r>
      <w:proofErr w:type="spellEnd"/>
      <w:r w:rsidRPr="005733BF">
        <w:rPr>
          <w:sz w:val="24"/>
          <w:szCs w:val="24"/>
        </w:rPr>
        <w:t xml:space="preserve"> and </w:t>
      </w:r>
      <w:proofErr w:type="spellStart"/>
      <w:r w:rsidRPr="005733BF">
        <w:rPr>
          <w:sz w:val="24"/>
          <w:szCs w:val="24"/>
        </w:rPr>
        <w:t>opex</w:t>
      </w:r>
      <w:proofErr w:type="spellEnd"/>
      <w:r w:rsidRPr="005733BF">
        <w:rPr>
          <w:sz w:val="24"/>
          <w:szCs w:val="24"/>
        </w:rPr>
        <w:t xml:space="preserve"> allowances that move networks to the efficiency frontier as soon as possible.</w:t>
      </w:r>
    </w:p>
    <w:p w:rsidR="005733BF" w:rsidRPr="005733BF" w:rsidRDefault="00CD5FBD" w:rsidP="005733BF">
      <w:pPr>
        <w:jc w:val="both"/>
        <w:rPr>
          <w:sz w:val="24"/>
          <w:szCs w:val="24"/>
        </w:rPr>
      </w:pPr>
      <w:r>
        <w:rPr>
          <w:sz w:val="24"/>
          <w:szCs w:val="24"/>
        </w:rPr>
        <w:t>Consumers noted</w:t>
      </w:r>
      <w:r w:rsidR="005733BF" w:rsidRPr="005733BF">
        <w:rPr>
          <w:sz w:val="24"/>
          <w:szCs w:val="24"/>
        </w:rPr>
        <w:t xml:space="preserve"> that the AER intends to continue to use revealed costs as the initial assessment of whether </w:t>
      </w:r>
      <w:proofErr w:type="spellStart"/>
      <w:r w:rsidR="005733BF" w:rsidRPr="005733BF">
        <w:rPr>
          <w:sz w:val="24"/>
          <w:szCs w:val="24"/>
        </w:rPr>
        <w:t>opex</w:t>
      </w:r>
      <w:proofErr w:type="spellEnd"/>
      <w:r w:rsidR="005733BF" w:rsidRPr="005733BF">
        <w:rPr>
          <w:sz w:val="24"/>
          <w:szCs w:val="24"/>
        </w:rPr>
        <w:t xml:space="preserve"> proposals are reasonable. Under this approach, it is important that all elements of </w:t>
      </w:r>
      <w:proofErr w:type="spellStart"/>
      <w:r w:rsidR="005733BF" w:rsidRPr="005733BF">
        <w:rPr>
          <w:sz w:val="24"/>
          <w:szCs w:val="24"/>
        </w:rPr>
        <w:t>opex</w:t>
      </w:r>
      <w:proofErr w:type="spellEnd"/>
      <w:r w:rsidR="005733BF" w:rsidRPr="005733BF">
        <w:rPr>
          <w:sz w:val="24"/>
          <w:szCs w:val="24"/>
        </w:rPr>
        <w:t xml:space="preserve"> be treated in the same way rather than allowing the networks to have </w:t>
      </w:r>
      <w:proofErr w:type="spellStart"/>
      <w:r w:rsidR="005733BF" w:rsidRPr="005733BF">
        <w:rPr>
          <w:sz w:val="24"/>
          <w:szCs w:val="24"/>
        </w:rPr>
        <w:t>opex</w:t>
      </w:r>
      <w:proofErr w:type="spellEnd"/>
      <w:r w:rsidR="005733BF" w:rsidRPr="005733BF">
        <w:rPr>
          <w:sz w:val="24"/>
          <w:szCs w:val="24"/>
        </w:rPr>
        <w:t xml:space="preserve"> line items assessed by revealed costs and others to be built from “bottom up”.  This will ensure that all </w:t>
      </w:r>
      <w:proofErr w:type="spellStart"/>
      <w:r w:rsidR="005733BF" w:rsidRPr="005733BF">
        <w:rPr>
          <w:sz w:val="24"/>
          <w:szCs w:val="24"/>
        </w:rPr>
        <w:t>opex</w:t>
      </w:r>
      <w:proofErr w:type="spellEnd"/>
      <w:r w:rsidR="005733BF" w:rsidRPr="005733BF">
        <w:rPr>
          <w:sz w:val="24"/>
          <w:szCs w:val="24"/>
        </w:rPr>
        <w:t xml:space="preserve"> line items are incentivised in the same way.</w:t>
      </w:r>
    </w:p>
    <w:p w:rsidR="005733BF" w:rsidRPr="005733BF" w:rsidRDefault="00CD730C" w:rsidP="005733BF">
      <w:pPr>
        <w:jc w:val="both"/>
        <w:rPr>
          <w:sz w:val="24"/>
          <w:szCs w:val="24"/>
        </w:rPr>
      </w:pPr>
      <w:r>
        <w:rPr>
          <w:sz w:val="24"/>
          <w:szCs w:val="24"/>
        </w:rPr>
        <w:t xml:space="preserve">Consumers generally supported the AER’s approach to benchmarking, in particular the templates. </w:t>
      </w:r>
      <w:r w:rsidR="005733BF" w:rsidRPr="005733BF">
        <w:rPr>
          <w:sz w:val="24"/>
          <w:szCs w:val="24"/>
        </w:rPr>
        <w:t>Data collected by</w:t>
      </w:r>
      <w:r>
        <w:rPr>
          <w:sz w:val="24"/>
          <w:szCs w:val="24"/>
        </w:rPr>
        <w:t xml:space="preserve"> the</w:t>
      </w:r>
      <w:r w:rsidR="005733BF" w:rsidRPr="005733BF">
        <w:rPr>
          <w:sz w:val="24"/>
          <w:szCs w:val="24"/>
        </w:rPr>
        <w:t xml:space="preserve"> AER should be available</w:t>
      </w:r>
      <w:r>
        <w:rPr>
          <w:sz w:val="24"/>
          <w:szCs w:val="24"/>
        </w:rPr>
        <w:t xml:space="preserve"> in both a raw and ‘interpreted form’ for</w:t>
      </w:r>
      <w:r w:rsidR="005733BF" w:rsidRPr="005733BF">
        <w:rPr>
          <w:sz w:val="24"/>
          <w:szCs w:val="24"/>
        </w:rPr>
        <w:t xml:space="preserve"> all to see and not kept confidential. </w:t>
      </w:r>
      <w:proofErr w:type="spellStart"/>
      <w:r w:rsidR="005733BF" w:rsidRPr="005733BF">
        <w:rPr>
          <w:sz w:val="24"/>
          <w:szCs w:val="24"/>
        </w:rPr>
        <w:t>Repex</w:t>
      </w:r>
      <w:proofErr w:type="spellEnd"/>
      <w:r w:rsidR="005733BF" w:rsidRPr="005733BF">
        <w:rPr>
          <w:sz w:val="24"/>
          <w:szCs w:val="24"/>
        </w:rPr>
        <w:t xml:space="preserve"> and </w:t>
      </w:r>
      <w:proofErr w:type="spellStart"/>
      <w:r w:rsidR="005733BF" w:rsidRPr="005733BF">
        <w:rPr>
          <w:sz w:val="24"/>
          <w:szCs w:val="24"/>
        </w:rPr>
        <w:t>Augex</w:t>
      </w:r>
      <w:proofErr w:type="spellEnd"/>
      <w:r w:rsidR="005733BF" w:rsidRPr="005733BF">
        <w:rPr>
          <w:sz w:val="24"/>
          <w:szCs w:val="24"/>
        </w:rPr>
        <w:t xml:space="preserve"> models should be run annually and reported so that forecast versus actual variances can be tracked.</w:t>
      </w:r>
    </w:p>
    <w:p w:rsidR="005733BF" w:rsidRDefault="005733BF" w:rsidP="00733EDF">
      <w:pPr>
        <w:jc w:val="both"/>
        <w:rPr>
          <w:sz w:val="24"/>
          <w:szCs w:val="24"/>
        </w:rPr>
      </w:pPr>
      <w:r w:rsidRPr="005733BF">
        <w:rPr>
          <w:sz w:val="24"/>
          <w:szCs w:val="24"/>
        </w:rPr>
        <w:t xml:space="preserve">Consumers are still concerned that the guidelines do not do enough to prevent network from double dipping by claiming the same </w:t>
      </w:r>
      <w:proofErr w:type="spellStart"/>
      <w:r w:rsidRPr="005733BF">
        <w:rPr>
          <w:sz w:val="24"/>
          <w:szCs w:val="24"/>
        </w:rPr>
        <w:t>capex</w:t>
      </w:r>
      <w:proofErr w:type="spellEnd"/>
      <w:r w:rsidRPr="005733BF">
        <w:rPr>
          <w:sz w:val="24"/>
          <w:szCs w:val="24"/>
        </w:rPr>
        <w:t xml:space="preserve"> in two or more regulatory periods. The incentive arrangements do not address these concerns.</w:t>
      </w:r>
    </w:p>
    <w:p w:rsidR="009A77F0" w:rsidRDefault="009A77F0" w:rsidP="00733EDF">
      <w:pPr>
        <w:jc w:val="both"/>
        <w:rPr>
          <w:sz w:val="24"/>
          <w:szCs w:val="24"/>
        </w:rPr>
      </w:pPr>
      <w:r>
        <w:rPr>
          <w:sz w:val="24"/>
          <w:szCs w:val="24"/>
        </w:rPr>
        <w:t xml:space="preserve">Consumers questioned the degree of conservatism that may be built into the regulator’s decision on expenditure forecasts, and how this related to the incentive arrangements. AER staff noted that the recent </w:t>
      </w:r>
      <w:r w:rsidR="00E31C9F">
        <w:rPr>
          <w:sz w:val="24"/>
          <w:szCs w:val="24"/>
        </w:rPr>
        <w:t xml:space="preserve">policy </w:t>
      </w:r>
      <w:r>
        <w:rPr>
          <w:sz w:val="24"/>
          <w:szCs w:val="24"/>
        </w:rPr>
        <w:t xml:space="preserve">review of the appeals framework </w:t>
      </w:r>
      <w:r w:rsidR="00E31C9F">
        <w:rPr>
          <w:sz w:val="24"/>
          <w:szCs w:val="24"/>
        </w:rPr>
        <w:t xml:space="preserve">underlined the importance of the </w:t>
      </w:r>
      <w:r>
        <w:rPr>
          <w:sz w:val="24"/>
          <w:szCs w:val="24"/>
        </w:rPr>
        <w:t xml:space="preserve">AER </w:t>
      </w:r>
      <w:r w:rsidR="00E31C9F">
        <w:rPr>
          <w:sz w:val="24"/>
          <w:szCs w:val="24"/>
        </w:rPr>
        <w:t xml:space="preserve">being able to </w:t>
      </w:r>
      <w:r>
        <w:rPr>
          <w:sz w:val="24"/>
          <w:szCs w:val="24"/>
        </w:rPr>
        <w:t>highlight elements of its decision that were interrelated.</w:t>
      </w:r>
      <w:r w:rsidR="00F85828">
        <w:rPr>
          <w:sz w:val="24"/>
          <w:szCs w:val="24"/>
        </w:rPr>
        <w:t xml:space="preserve"> Issues around the AER setting symmetric incentive arrangements were discussed, including the impact of contingent projects, pass throughs, and the efficient allocation/ sharing of risk between network businesses and customers.</w:t>
      </w:r>
    </w:p>
    <w:p w:rsidR="004D7282" w:rsidRDefault="004D7282" w:rsidP="00733EDF">
      <w:pPr>
        <w:jc w:val="both"/>
        <w:rPr>
          <w:sz w:val="24"/>
          <w:szCs w:val="24"/>
        </w:rPr>
      </w:pPr>
      <w:r w:rsidRPr="004D7282">
        <w:rPr>
          <w:sz w:val="24"/>
          <w:szCs w:val="24"/>
        </w:rPr>
        <w:t xml:space="preserve">Consumers noted how this conservatism would have a cumulative effect on the final outcome. That is, if the AER made a conservative decision in each segment of the </w:t>
      </w:r>
      <w:proofErr w:type="spellStart"/>
      <w:r w:rsidRPr="004D7282">
        <w:rPr>
          <w:sz w:val="24"/>
          <w:szCs w:val="24"/>
        </w:rPr>
        <w:t>opex</w:t>
      </w:r>
      <w:proofErr w:type="spellEnd"/>
      <w:r w:rsidRPr="004D7282">
        <w:rPr>
          <w:sz w:val="24"/>
          <w:szCs w:val="24"/>
        </w:rPr>
        <w:t xml:space="preserve"> or </w:t>
      </w:r>
      <w:proofErr w:type="spellStart"/>
      <w:r w:rsidRPr="004D7282">
        <w:rPr>
          <w:sz w:val="24"/>
          <w:szCs w:val="24"/>
        </w:rPr>
        <w:t>capex</w:t>
      </w:r>
      <w:proofErr w:type="spellEnd"/>
      <w:r w:rsidRPr="004D7282">
        <w:rPr>
          <w:sz w:val="24"/>
          <w:szCs w:val="24"/>
        </w:rPr>
        <w:t>, then the cumulative impact on the overall open/</w:t>
      </w:r>
      <w:proofErr w:type="spellStart"/>
      <w:r w:rsidRPr="004D7282">
        <w:rPr>
          <w:sz w:val="24"/>
          <w:szCs w:val="24"/>
        </w:rPr>
        <w:t>capex</w:t>
      </w:r>
      <w:proofErr w:type="spellEnd"/>
      <w:r w:rsidRPr="004D7282">
        <w:rPr>
          <w:sz w:val="24"/>
          <w:szCs w:val="24"/>
        </w:rPr>
        <w:t xml:space="preserve"> allowance would be even more significant. That is, there is a need to consider the overall outcome on </w:t>
      </w:r>
      <w:proofErr w:type="spellStart"/>
      <w:r w:rsidRPr="004D7282">
        <w:rPr>
          <w:sz w:val="24"/>
          <w:szCs w:val="24"/>
        </w:rPr>
        <w:t>opex</w:t>
      </w:r>
      <w:proofErr w:type="spellEnd"/>
      <w:r w:rsidRPr="004D7282">
        <w:rPr>
          <w:sz w:val="24"/>
          <w:szCs w:val="24"/>
        </w:rPr>
        <w:t xml:space="preserve"> and </w:t>
      </w:r>
      <w:proofErr w:type="spellStart"/>
      <w:r w:rsidRPr="004D7282">
        <w:rPr>
          <w:sz w:val="24"/>
          <w:szCs w:val="24"/>
        </w:rPr>
        <w:t>capex</w:t>
      </w:r>
      <w:proofErr w:type="spellEnd"/>
      <w:r w:rsidRPr="004D7282">
        <w:rPr>
          <w:sz w:val="24"/>
          <w:szCs w:val="24"/>
        </w:rPr>
        <w:t xml:space="preserve"> to ensure that each individual conservative estimate (which perhaps could be 'explained' away at an individual level) does not accumulate into a larger error in the overall outcomes.</w:t>
      </w:r>
    </w:p>
    <w:p w:rsidR="00E6019C" w:rsidRPr="00E6019C" w:rsidRDefault="00D8348E" w:rsidP="00733EDF">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4</w:t>
      </w:r>
      <w:r>
        <w:rPr>
          <w:rFonts w:ascii="Calibri" w:eastAsia="Times New Roman" w:hAnsi="Calibri" w:cs="Times New Roman"/>
          <w:b/>
          <w:sz w:val="24"/>
          <w:szCs w:val="28"/>
        </w:rPr>
        <w:tab/>
        <w:t>Shared Assets</w:t>
      </w:r>
    </w:p>
    <w:p w:rsidR="00E6019C" w:rsidRDefault="00E6019C" w:rsidP="00733EDF">
      <w:pPr>
        <w:spacing w:after="0" w:line="240" w:lineRule="auto"/>
        <w:jc w:val="both"/>
        <w:rPr>
          <w:sz w:val="24"/>
          <w:szCs w:val="24"/>
        </w:rPr>
      </w:pPr>
    </w:p>
    <w:p w:rsidR="00867822" w:rsidRDefault="005D6667" w:rsidP="00AD3ADE">
      <w:pPr>
        <w:jc w:val="both"/>
        <w:rPr>
          <w:sz w:val="24"/>
          <w:szCs w:val="24"/>
        </w:rPr>
      </w:pPr>
      <w:r>
        <w:rPr>
          <w:sz w:val="24"/>
          <w:szCs w:val="24"/>
        </w:rPr>
        <w:t xml:space="preserve">AER staff outlined the key components of the </w:t>
      </w:r>
      <w:r w:rsidR="00C569DD">
        <w:rPr>
          <w:sz w:val="24"/>
          <w:szCs w:val="24"/>
        </w:rPr>
        <w:t xml:space="preserve">draft </w:t>
      </w:r>
      <w:r>
        <w:rPr>
          <w:sz w:val="24"/>
          <w:szCs w:val="24"/>
        </w:rPr>
        <w:t xml:space="preserve">shared assets guideline. </w:t>
      </w:r>
    </w:p>
    <w:p w:rsidR="00623A53" w:rsidRDefault="00623A53" w:rsidP="005D6667">
      <w:pPr>
        <w:jc w:val="both"/>
        <w:rPr>
          <w:sz w:val="24"/>
          <w:szCs w:val="24"/>
        </w:rPr>
      </w:pPr>
      <w:r>
        <w:rPr>
          <w:sz w:val="24"/>
          <w:szCs w:val="24"/>
        </w:rPr>
        <w:t>Consumers noted that they</w:t>
      </w:r>
      <w:r w:rsidR="005D6667" w:rsidRPr="005D6667">
        <w:rPr>
          <w:sz w:val="24"/>
          <w:szCs w:val="24"/>
        </w:rPr>
        <w:t xml:space="preserve"> bore the</w:t>
      </w:r>
      <w:r>
        <w:rPr>
          <w:sz w:val="24"/>
          <w:szCs w:val="24"/>
        </w:rPr>
        <w:t xml:space="preserve"> cost of construction of assets</w:t>
      </w:r>
      <w:r w:rsidR="001004C5">
        <w:rPr>
          <w:sz w:val="24"/>
          <w:szCs w:val="24"/>
        </w:rPr>
        <w:t>,</w:t>
      </w:r>
      <w:r>
        <w:rPr>
          <w:sz w:val="24"/>
          <w:szCs w:val="24"/>
        </w:rPr>
        <w:t xml:space="preserve"> therefore</w:t>
      </w:r>
      <w:r w:rsidR="001004C5">
        <w:rPr>
          <w:sz w:val="24"/>
          <w:szCs w:val="24"/>
        </w:rPr>
        <w:t xml:space="preserve"> they should</w:t>
      </w:r>
      <w:r>
        <w:rPr>
          <w:sz w:val="24"/>
          <w:szCs w:val="24"/>
        </w:rPr>
        <w:t>:</w:t>
      </w:r>
    </w:p>
    <w:p w:rsidR="005D6667" w:rsidRPr="00956C00" w:rsidRDefault="001004C5" w:rsidP="00956C00">
      <w:pPr>
        <w:pStyle w:val="AERbulletlistfirststyle"/>
        <w:ind w:left="357" w:hanging="357"/>
        <w:rPr>
          <w:rFonts w:asciiTheme="minorHAnsi" w:hAnsiTheme="minorHAnsi"/>
          <w:sz w:val="24"/>
        </w:rPr>
      </w:pPr>
      <w:r w:rsidRPr="00956C00">
        <w:rPr>
          <w:rFonts w:asciiTheme="minorHAnsi" w:hAnsiTheme="minorHAnsi"/>
          <w:sz w:val="24"/>
        </w:rPr>
        <w:lastRenderedPageBreak/>
        <w:t>receive</w:t>
      </w:r>
      <w:r w:rsidR="005D6667" w:rsidRPr="00956C00">
        <w:rPr>
          <w:rFonts w:asciiTheme="minorHAnsi" w:hAnsiTheme="minorHAnsi"/>
          <w:sz w:val="24"/>
        </w:rPr>
        <w:t xml:space="preserve"> the benefits of </w:t>
      </w:r>
      <w:r w:rsidR="00227225" w:rsidRPr="00956C00">
        <w:rPr>
          <w:rFonts w:asciiTheme="minorHAnsi" w:hAnsiTheme="minorHAnsi"/>
          <w:sz w:val="24"/>
        </w:rPr>
        <w:t>unregulated</w:t>
      </w:r>
      <w:r w:rsidR="005D6667" w:rsidRPr="00956C00">
        <w:rPr>
          <w:rFonts w:asciiTheme="minorHAnsi" w:hAnsiTheme="minorHAnsi"/>
          <w:sz w:val="24"/>
        </w:rPr>
        <w:t xml:space="preserve"> revenues</w:t>
      </w:r>
      <w:r w:rsidR="00227225" w:rsidRPr="00956C00">
        <w:rPr>
          <w:rFonts w:asciiTheme="minorHAnsi" w:hAnsiTheme="minorHAnsi"/>
          <w:sz w:val="24"/>
        </w:rPr>
        <w:t xml:space="preserve"> earned with regulated assets</w:t>
      </w:r>
      <w:r w:rsidR="005D6667" w:rsidRPr="00956C00">
        <w:rPr>
          <w:rFonts w:asciiTheme="minorHAnsi" w:hAnsiTheme="minorHAnsi"/>
          <w:sz w:val="24"/>
        </w:rPr>
        <w:t xml:space="preserve">  </w:t>
      </w:r>
    </w:p>
    <w:p w:rsidR="00623A53" w:rsidRPr="00956C00" w:rsidRDefault="00623A53" w:rsidP="00956C00">
      <w:pPr>
        <w:pStyle w:val="AERbulletlistfirststyle"/>
        <w:ind w:left="357" w:hanging="357"/>
        <w:rPr>
          <w:rFonts w:asciiTheme="minorHAnsi" w:hAnsiTheme="minorHAnsi"/>
          <w:sz w:val="24"/>
        </w:rPr>
      </w:pPr>
      <w:proofErr w:type="gramStart"/>
      <w:r w:rsidRPr="00956C00">
        <w:rPr>
          <w:rFonts w:asciiTheme="minorHAnsi" w:hAnsiTheme="minorHAnsi"/>
          <w:sz w:val="24"/>
        </w:rPr>
        <w:t>receive</w:t>
      </w:r>
      <w:proofErr w:type="gramEnd"/>
      <w:r w:rsidRPr="00956C00">
        <w:rPr>
          <w:rFonts w:asciiTheme="minorHAnsi" w:hAnsiTheme="minorHAnsi"/>
          <w:sz w:val="24"/>
        </w:rPr>
        <w:t xml:space="preserve"> an amount equal to revenues less incremental costs less a small mark-up to networks provided as an incentive.  </w:t>
      </w:r>
    </w:p>
    <w:p w:rsidR="001004C5" w:rsidRDefault="00623A53" w:rsidP="005D6667">
      <w:pPr>
        <w:jc w:val="both"/>
        <w:rPr>
          <w:sz w:val="24"/>
          <w:szCs w:val="24"/>
        </w:rPr>
      </w:pPr>
      <w:r>
        <w:rPr>
          <w:sz w:val="24"/>
          <w:szCs w:val="24"/>
        </w:rPr>
        <w:t>Consumers stated that i</w:t>
      </w:r>
      <w:r w:rsidR="005D6667" w:rsidRPr="005D6667">
        <w:rPr>
          <w:sz w:val="24"/>
          <w:szCs w:val="24"/>
        </w:rPr>
        <w:t>t is not possible to identify appropriate revenues to share with consumers unless the regulator collects information on the incremental costs of providing the services to third parties.</w:t>
      </w:r>
      <w:r>
        <w:rPr>
          <w:sz w:val="24"/>
          <w:szCs w:val="24"/>
        </w:rPr>
        <w:t xml:space="preserve"> </w:t>
      </w:r>
      <w:r w:rsidR="001004C5">
        <w:rPr>
          <w:sz w:val="24"/>
          <w:szCs w:val="24"/>
        </w:rPr>
        <w:t>They are therefore in favour of a profit sharing approach, rather than a revenue based approach.</w:t>
      </w:r>
    </w:p>
    <w:p w:rsidR="005D6667" w:rsidRPr="005D6667" w:rsidRDefault="005D6667" w:rsidP="005D6667">
      <w:pPr>
        <w:jc w:val="both"/>
        <w:rPr>
          <w:sz w:val="24"/>
          <w:szCs w:val="24"/>
        </w:rPr>
      </w:pPr>
      <w:r w:rsidRPr="005D6667">
        <w:rPr>
          <w:sz w:val="24"/>
          <w:szCs w:val="24"/>
        </w:rPr>
        <w:t xml:space="preserve">Rather than forecasting third party revenues at the start of the regulatory period, </w:t>
      </w:r>
      <w:r w:rsidR="001004C5">
        <w:rPr>
          <w:sz w:val="24"/>
          <w:szCs w:val="24"/>
        </w:rPr>
        <w:t xml:space="preserve">customers proposed </w:t>
      </w:r>
      <w:r w:rsidRPr="005D6667">
        <w:rPr>
          <w:sz w:val="24"/>
          <w:szCs w:val="24"/>
        </w:rPr>
        <w:t xml:space="preserve">they should be examined </w:t>
      </w:r>
      <w:r w:rsidR="00AB4E86">
        <w:rPr>
          <w:sz w:val="24"/>
          <w:szCs w:val="24"/>
        </w:rPr>
        <w:t>annually</w:t>
      </w:r>
      <w:r w:rsidRPr="005D6667">
        <w:rPr>
          <w:sz w:val="24"/>
          <w:szCs w:val="24"/>
        </w:rPr>
        <w:t xml:space="preserve">.  </w:t>
      </w:r>
    </w:p>
    <w:p w:rsidR="005D6667" w:rsidRPr="005D6667" w:rsidRDefault="00623A53" w:rsidP="005D6667">
      <w:pPr>
        <w:jc w:val="both"/>
        <w:rPr>
          <w:sz w:val="24"/>
          <w:szCs w:val="24"/>
        </w:rPr>
      </w:pPr>
      <w:r>
        <w:rPr>
          <w:sz w:val="24"/>
          <w:szCs w:val="24"/>
        </w:rPr>
        <w:t xml:space="preserve">Consumers considered </w:t>
      </w:r>
      <w:r w:rsidR="004F03D3">
        <w:rPr>
          <w:sz w:val="24"/>
          <w:szCs w:val="24"/>
        </w:rPr>
        <w:t>that they</w:t>
      </w:r>
      <w:r w:rsidR="005D6667" w:rsidRPr="005D6667">
        <w:rPr>
          <w:sz w:val="24"/>
          <w:szCs w:val="24"/>
        </w:rPr>
        <w:t xml:space="preserve"> should </w:t>
      </w:r>
      <w:r w:rsidR="00145C16">
        <w:rPr>
          <w:sz w:val="24"/>
          <w:szCs w:val="24"/>
        </w:rPr>
        <w:t xml:space="preserve">not </w:t>
      </w:r>
      <w:r w:rsidR="004F03D3">
        <w:rPr>
          <w:sz w:val="24"/>
          <w:szCs w:val="24"/>
        </w:rPr>
        <w:t xml:space="preserve">be </w:t>
      </w:r>
      <w:r w:rsidR="005D6667" w:rsidRPr="005D6667">
        <w:rPr>
          <w:sz w:val="24"/>
          <w:szCs w:val="24"/>
        </w:rPr>
        <w:t>subsidis</w:t>
      </w:r>
      <w:r w:rsidR="004F03D3">
        <w:rPr>
          <w:sz w:val="24"/>
          <w:szCs w:val="24"/>
        </w:rPr>
        <w:t>ing</w:t>
      </w:r>
      <w:r w:rsidR="005D6667" w:rsidRPr="005D6667">
        <w:rPr>
          <w:sz w:val="24"/>
          <w:szCs w:val="24"/>
        </w:rPr>
        <w:t xml:space="preserve"> telecommunication consumers.  Subsidies can be inefficient in providing investment signals.</w:t>
      </w:r>
    </w:p>
    <w:p w:rsidR="005D6667" w:rsidRPr="005D6667" w:rsidRDefault="00623A53" w:rsidP="005D6667">
      <w:pPr>
        <w:jc w:val="both"/>
        <w:rPr>
          <w:sz w:val="24"/>
          <w:szCs w:val="24"/>
        </w:rPr>
      </w:pPr>
      <w:r>
        <w:rPr>
          <w:sz w:val="24"/>
          <w:szCs w:val="24"/>
        </w:rPr>
        <w:t xml:space="preserve">Consumers consider that </w:t>
      </w:r>
      <w:r w:rsidR="00145C16">
        <w:rPr>
          <w:sz w:val="24"/>
          <w:szCs w:val="24"/>
        </w:rPr>
        <w:t>a</w:t>
      </w:r>
      <w:r w:rsidR="005D6667" w:rsidRPr="005D6667">
        <w:rPr>
          <w:sz w:val="24"/>
          <w:szCs w:val="24"/>
        </w:rPr>
        <w:t xml:space="preserve"> one per cent materiality threshold for triggering sharing </w:t>
      </w:r>
      <w:r w:rsidR="00145C16">
        <w:rPr>
          <w:sz w:val="24"/>
          <w:szCs w:val="24"/>
        </w:rPr>
        <w:t>unregulated</w:t>
      </w:r>
      <w:r w:rsidR="005D6667" w:rsidRPr="005D6667">
        <w:rPr>
          <w:sz w:val="24"/>
          <w:szCs w:val="24"/>
        </w:rPr>
        <w:t xml:space="preserve"> revenues is too high.  While the </w:t>
      </w:r>
      <w:r w:rsidR="00145C16">
        <w:rPr>
          <w:sz w:val="24"/>
          <w:szCs w:val="24"/>
        </w:rPr>
        <w:t xml:space="preserve">National Electricity Rules’ cost </w:t>
      </w:r>
      <w:r w:rsidR="005D6667" w:rsidRPr="005D6667">
        <w:rPr>
          <w:sz w:val="24"/>
          <w:szCs w:val="24"/>
        </w:rPr>
        <w:t xml:space="preserve">pass-through materiality threshold is </w:t>
      </w:r>
      <w:r w:rsidR="004F3B2F">
        <w:rPr>
          <w:sz w:val="24"/>
          <w:szCs w:val="24"/>
        </w:rPr>
        <w:t>one</w:t>
      </w:r>
      <w:r w:rsidR="005D6667" w:rsidRPr="005D6667">
        <w:rPr>
          <w:sz w:val="24"/>
          <w:szCs w:val="24"/>
        </w:rPr>
        <w:t xml:space="preserve"> per cent, </w:t>
      </w:r>
      <w:r w:rsidR="00570E4B">
        <w:rPr>
          <w:sz w:val="24"/>
          <w:szCs w:val="24"/>
        </w:rPr>
        <w:t>it</w:t>
      </w:r>
      <w:r w:rsidR="00570E4B" w:rsidRPr="005D6667">
        <w:rPr>
          <w:sz w:val="24"/>
          <w:szCs w:val="24"/>
        </w:rPr>
        <w:t xml:space="preserve"> </w:t>
      </w:r>
      <w:r w:rsidR="005D6667" w:rsidRPr="005D6667">
        <w:rPr>
          <w:sz w:val="24"/>
          <w:szCs w:val="24"/>
        </w:rPr>
        <w:t xml:space="preserve">is not </w:t>
      </w:r>
      <w:r w:rsidR="00570E4B">
        <w:rPr>
          <w:sz w:val="24"/>
          <w:szCs w:val="24"/>
        </w:rPr>
        <w:t xml:space="preserve">a </w:t>
      </w:r>
      <w:r w:rsidR="005D6667" w:rsidRPr="005D6667">
        <w:rPr>
          <w:sz w:val="24"/>
          <w:szCs w:val="24"/>
        </w:rPr>
        <w:t>valid</w:t>
      </w:r>
      <w:r w:rsidR="00570E4B">
        <w:rPr>
          <w:sz w:val="24"/>
          <w:szCs w:val="24"/>
        </w:rPr>
        <w:t xml:space="preserve"> </w:t>
      </w:r>
      <w:r w:rsidR="005D6667" w:rsidRPr="005D6667">
        <w:rPr>
          <w:sz w:val="24"/>
          <w:szCs w:val="24"/>
        </w:rPr>
        <w:t xml:space="preserve">comparison for setting the materiality threshold for sharing </w:t>
      </w:r>
      <w:r w:rsidR="00570E4B">
        <w:rPr>
          <w:sz w:val="24"/>
          <w:szCs w:val="24"/>
        </w:rPr>
        <w:t>unregulated</w:t>
      </w:r>
      <w:r w:rsidR="005D6667" w:rsidRPr="005D6667">
        <w:rPr>
          <w:sz w:val="24"/>
          <w:szCs w:val="24"/>
        </w:rPr>
        <w:t xml:space="preserve"> revenues.  </w:t>
      </w:r>
    </w:p>
    <w:p w:rsidR="005D6667" w:rsidRPr="005D6667" w:rsidRDefault="00126A69" w:rsidP="005D6667">
      <w:pPr>
        <w:jc w:val="both"/>
        <w:rPr>
          <w:sz w:val="24"/>
          <w:szCs w:val="24"/>
        </w:rPr>
      </w:pPr>
      <w:r>
        <w:rPr>
          <w:sz w:val="24"/>
          <w:szCs w:val="24"/>
        </w:rPr>
        <w:t>O</w:t>
      </w:r>
      <w:r w:rsidR="004F3B2F">
        <w:rPr>
          <w:sz w:val="24"/>
          <w:szCs w:val="24"/>
        </w:rPr>
        <w:t>ne</w:t>
      </w:r>
      <w:r w:rsidR="005D6667" w:rsidRPr="005D6667">
        <w:rPr>
          <w:sz w:val="24"/>
          <w:szCs w:val="24"/>
        </w:rPr>
        <w:t xml:space="preserve"> per cent of annual </w:t>
      </w:r>
      <w:r w:rsidR="004F3B2F">
        <w:rPr>
          <w:sz w:val="24"/>
          <w:szCs w:val="24"/>
        </w:rPr>
        <w:t>regulated</w:t>
      </w:r>
      <w:r w:rsidR="004F3B2F" w:rsidRPr="005D6667">
        <w:rPr>
          <w:sz w:val="24"/>
          <w:szCs w:val="24"/>
        </w:rPr>
        <w:t xml:space="preserve"> </w:t>
      </w:r>
      <w:r w:rsidR="005D6667" w:rsidRPr="005D6667">
        <w:rPr>
          <w:sz w:val="24"/>
          <w:szCs w:val="24"/>
        </w:rPr>
        <w:t xml:space="preserve">revenue </w:t>
      </w:r>
      <w:r>
        <w:rPr>
          <w:sz w:val="24"/>
          <w:szCs w:val="24"/>
        </w:rPr>
        <w:t>varies significantly</w:t>
      </w:r>
      <w:r w:rsidR="005D6667" w:rsidRPr="005D6667">
        <w:rPr>
          <w:sz w:val="24"/>
          <w:szCs w:val="24"/>
        </w:rPr>
        <w:t xml:space="preserve"> </w:t>
      </w:r>
      <w:r>
        <w:rPr>
          <w:sz w:val="24"/>
          <w:szCs w:val="24"/>
        </w:rPr>
        <w:t xml:space="preserve">in absolute terms </w:t>
      </w:r>
      <w:r w:rsidR="004F3B2F">
        <w:rPr>
          <w:sz w:val="24"/>
          <w:szCs w:val="24"/>
        </w:rPr>
        <w:t>across networks</w:t>
      </w:r>
      <w:r w:rsidR="004F3B2F" w:rsidRPr="005D6667">
        <w:rPr>
          <w:sz w:val="24"/>
          <w:szCs w:val="24"/>
        </w:rPr>
        <w:t xml:space="preserve"> </w:t>
      </w:r>
      <w:r w:rsidR="005D6667" w:rsidRPr="005D6667">
        <w:rPr>
          <w:sz w:val="24"/>
          <w:szCs w:val="24"/>
        </w:rPr>
        <w:t>given the variations in the size of network revenues</w:t>
      </w:r>
      <w:r>
        <w:rPr>
          <w:sz w:val="24"/>
          <w:szCs w:val="24"/>
        </w:rPr>
        <w:t>.</w:t>
      </w:r>
      <w:r w:rsidR="005D6667" w:rsidRPr="005D6667">
        <w:rPr>
          <w:sz w:val="24"/>
          <w:szCs w:val="24"/>
        </w:rPr>
        <w:t xml:space="preserve"> </w:t>
      </w:r>
      <w:proofErr w:type="gramStart"/>
      <w:r>
        <w:rPr>
          <w:sz w:val="24"/>
          <w:szCs w:val="24"/>
        </w:rPr>
        <w:t>e</w:t>
      </w:r>
      <w:r w:rsidRPr="005D6667">
        <w:rPr>
          <w:sz w:val="24"/>
          <w:szCs w:val="24"/>
        </w:rPr>
        <w:t>.g</w:t>
      </w:r>
      <w:proofErr w:type="gramEnd"/>
      <w:r w:rsidR="005D6667" w:rsidRPr="005D6667">
        <w:rPr>
          <w:sz w:val="24"/>
          <w:szCs w:val="24"/>
        </w:rPr>
        <w:t xml:space="preserve">. </w:t>
      </w:r>
      <w:proofErr w:type="spellStart"/>
      <w:r w:rsidR="005D6667" w:rsidRPr="005D6667">
        <w:rPr>
          <w:sz w:val="24"/>
          <w:szCs w:val="24"/>
        </w:rPr>
        <w:t>Jemena’s</w:t>
      </w:r>
      <w:proofErr w:type="spellEnd"/>
      <w:r w:rsidR="005D6667" w:rsidRPr="005D6667">
        <w:rPr>
          <w:sz w:val="24"/>
          <w:szCs w:val="24"/>
        </w:rPr>
        <w:t xml:space="preserve"> Victorian network revenue is about 10 per cent of that of </w:t>
      </w:r>
      <w:proofErr w:type="spellStart"/>
      <w:r w:rsidR="005D6667" w:rsidRPr="005D6667">
        <w:rPr>
          <w:sz w:val="24"/>
          <w:szCs w:val="24"/>
        </w:rPr>
        <w:t>Ausgrid</w:t>
      </w:r>
      <w:proofErr w:type="spellEnd"/>
      <w:r w:rsidR="005D6667" w:rsidRPr="005D6667">
        <w:rPr>
          <w:sz w:val="24"/>
          <w:szCs w:val="24"/>
        </w:rPr>
        <w:t xml:space="preserve"> in NSW.</w:t>
      </w:r>
    </w:p>
    <w:p w:rsidR="005D6667" w:rsidRDefault="00C11B44" w:rsidP="005D6667">
      <w:pPr>
        <w:jc w:val="both"/>
        <w:rPr>
          <w:sz w:val="24"/>
          <w:szCs w:val="24"/>
        </w:rPr>
      </w:pPr>
      <w:r>
        <w:rPr>
          <w:sz w:val="24"/>
          <w:szCs w:val="24"/>
        </w:rPr>
        <w:t>Using forecasts</w:t>
      </w:r>
      <w:r w:rsidR="005D6667" w:rsidRPr="005D6667">
        <w:rPr>
          <w:sz w:val="24"/>
          <w:szCs w:val="24"/>
        </w:rPr>
        <w:t xml:space="preserve"> will give networks strong incentives to understate expected </w:t>
      </w:r>
      <w:r>
        <w:rPr>
          <w:sz w:val="24"/>
          <w:szCs w:val="24"/>
        </w:rPr>
        <w:t xml:space="preserve">unregulated </w:t>
      </w:r>
      <w:r w:rsidR="005D6667" w:rsidRPr="005D6667">
        <w:rPr>
          <w:sz w:val="24"/>
          <w:szCs w:val="24"/>
        </w:rPr>
        <w:t>revenues.</w:t>
      </w:r>
      <w:r w:rsidR="00A7690D">
        <w:rPr>
          <w:sz w:val="24"/>
          <w:szCs w:val="24"/>
        </w:rPr>
        <w:t xml:space="preserve"> Consumers</w:t>
      </w:r>
      <w:r w:rsidR="00AD49F7">
        <w:rPr>
          <w:sz w:val="24"/>
          <w:szCs w:val="24"/>
        </w:rPr>
        <w:t xml:space="preserve"> are therefore in favour of ex post corrections, to balance actual revenues and benefits against forecasts.</w:t>
      </w:r>
    </w:p>
    <w:p w:rsidR="00E6019C" w:rsidRPr="00497820" w:rsidRDefault="00D8348E" w:rsidP="00AD3ADE">
      <w:pPr>
        <w:rPr>
          <w:rFonts w:ascii="Calibri" w:eastAsia="Times New Roman" w:hAnsi="Calibri" w:cs="Times New Roman"/>
          <w:b/>
          <w:sz w:val="24"/>
          <w:szCs w:val="28"/>
        </w:rPr>
      </w:pPr>
      <w:r>
        <w:rPr>
          <w:rFonts w:ascii="Calibri" w:eastAsia="Times New Roman" w:hAnsi="Calibri" w:cs="Times New Roman"/>
          <w:b/>
          <w:sz w:val="24"/>
          <w:szCs w:val="28"/>
        </w:rPr>
        <w:t>5</w:t>
      </w:r>
      <w:r>
        <w:rPr>
          <w:rFonts w:ascii="Calibri" w:eastAsia="Times New Roman" w:hAnsi="Calibri" w:cs="Times New Roman"/>
          <w:b/>
          <w:sz w:val="24"/>
          <w:szCs w:val="28"/>
        </w:rPr>
        <w:tab/>
      </w:r>
      <w:r w:rsidR="00497820">
        <w:rPr>
          <w:rFonts w:ascii="Calibri" w:eastAsia="Times New Roman" w:hAnsi="Calibri" w:cs="Times New Roman"/>
          <w:b/>
          <w:sz w:val="24"/>
          <w:szCs w:val="28"/>
        </w:rPr>
        <w:t>Confidentiality</w:t>
      </w:r>
    </w:p>
    <w:p w:rsidR="00E6019C" w:rsidRPr="00497820" w:rsidRDefault="00E6019C" w:rsidP="00733EDF">
      <w:pPr>
        <w:spacing w:after="0" w:line="240" w:lineRule="auto"/>
        <w:jc w:val="both"/>
        <w:rPr>
          <w:rFonts w:ascii="Calibri" w:eastAsia="Times New Roman" w:hAnsi="Calibri" w:cs="Times New Roman"/>
          <w:b/>
          <w:sz w:val="24"/>
          <w:szCs w:val="28"/>
        </w:rPr>
      </w:pPr>
    </w:p>
    <w:p w:rsidR="00497820" w:rsidRDefault="00497820" w:rsidP="00733EDF">
      <w:pPr>
        <w:jc w:val="both"/>
        <w:rPr>
          <w:sz w:val="24"/>
          <w:szCs w:val="24"/>
        </w:rPr>
      </w:pPr>
      <w:r>
        <w:rPr>
          <w:sz w:val="24"/>
          <w:szCs w:val="24"/>
        </w:rPr>
        <w:t>AER staff noted that t</w:t>
      </w:r>
      <w:r w:rsidR="00136D19" w:rsidRPr="00497820">
        <w:rPr>
          <w:sz w:val="24"/>
          <w:szCs w:val="24"/>
        </w:rPr>
        <w:t xml:space="preserve">he objective </w:t>
      </w:r>
      <w:r>
        <w:rPr>
          <w:sz w:val="24"/>
          <w:szCs w:val="24"/>
        </w:rPr>
        <w:t xml:space="preserve">of the confidentiality guideline </w:t>
      </w:r>
      <w:r w:rsidR="00136D19" w:rsidRPr="00497820">
        <w:rPr>
          <w:sz w:val="24"/>
          <w:szCs w:val="24"/>
        </w:rPr>
        <w:t>is to strike a</w:t>
      </w:r>
      <w:r w:rsidR="004748E0" w:rsidRPr="00497820">
        <w:rPr>
          <w:sz w:val="24"/>
          <w:szCs w:val="24"/>
        </w:rPr>
        <w:t xml:space="preserve"> balance between </w:t>
      </w:r>
      <w:r w:rsidR="00136D19" w:rsidRPr="00497820">
        <w:rPr>
          <w:sz w:val="24"/>
          <w:szCs w:val="24"/>
        </w:rPr>
        <w:t xml:space="preserve">sufficient </w:t>
      </w:r>
      <w:r w:rsidR="004748E0" w:rsidRPr="00497820">
        <w:rPr>
          <w:sz w:val="24"/>
          <w:szCs w:val="24"/>
        </w:rPr>
        <w:t xml:space="preserve">disclosure and transparency to engage with consumers. </w:t>
      </w:r>
      <w:r w:rsidR="00B76DC6">
        <w:rPr>
          <w:sz w:val="24"/>
          <w:szCs w:val="24"/>
        </w:rPr>
        <w:t>Our p</w:t>
      </w:r>
      <w:r w:rsidR="00B76DC6" w:rsidRPr="00113C2E">
        <w:rPr>
          <w:sz w:val="24"/>
          <w:szCs w:val="24"/>
        </w:rPr>
        <w:t xml:space="preserve">reference </w:t>
      </w:r>
      <w:r w:rsidR="00B76DC6">
        <w:rPr>
          <w:sz w:val="24"/>
          <w:szCs w:val="24"/>
        </w:rPr>
        <w:t>is to make as</w:t>
      </w:r>
      <w:r w:rsidR="00B76DC6" w:rsidRPr="00113C2E">
        <w:rPr>
          <w:sz w:val="24"/>
          <w:szCs w:val="24"/>
        </w:rPr>
        <w:t xml:space="preserve"> much </w:t>
      </w:r>
      <w:r w:rsidR="00B76DC6">
        <w:rPr>
          <w:sz w:val="24"/>
          <w:szCs w:val="24"/>
        </w:rPr>
        <w:t xml:space="preserve">information </w:t>
      </w:r>
      <w:r w:rsidR="00B76DC6" w:rsidRPr="00113C2E">
        <w:rPr>
          <w:sz w:val="24"/>
          <w:szCs w:val="24"/>
        </w:rPr>
        <w:t>as possible</w:t>
      </w:r>
      <w:r w:rsidR="00B76DC6">
        <w:rPr>
          <w:sz w:val="24"/>
          <w:szCs w:val="24"/>
        </w:rPr>
        <w:t xml:space="preserve"> available in the public domain.</w:t>
      </w:r>
      <w:r w:rsidR="00B76DC6" w:rsidRPr="00113C2E">
        <w:rPr>
          <w:sz w:val="24"/>
          <w:szCs w:val="24"/>
        </w:rPr>
        <w:t xml:space="preserve"> </w:t>
      </w:r>
      <w:r w:rsidR="00B76DC6">
        <w:rPr>
          <w:sz w:val="24"/>
          <w:szCs w:val="24"/>
        </w:rPr>
        <w:t>The guideline includes:</w:t>
      </w:r>
    </w:p>
    <w:p w:rsidR="00B76DC6" w:rsidRPr="00956C00" w:rsidRDefault="00497820" w:rsidP="00956C00">
      <w:pPr>
        <w:pStyle w:val="AERbulletlistfirststyle"/>
        <w:ind w:left="357" w:hanging="357"/>
        <w:rPr>
          <w:rFonts w:asciiTheme="minorHAnsi" w:hAnsiTheme="minorHAnsi"/>
          <w:sz w:val="24"/>
        </w:rPr>
      </w:pPr>
      <w:proofErr w:type="gramStart"/>
      <w:r w:rsidRPr="00956C00">
        <w:rPr>
          <w:rFonts w:asciiTheme="minorHAnsi" w:hAnsiTheme="minorHAnsi"/>
          <w:sz w:val="24"/>
        </w:rPr>
        <w:t>c</w:t>
      </w:r>
      <w:r w:rsidR="004748E0" w:rsidRPr="00956C00">
        <w:rPr>
          <w:rFonts w:asciiTheme="minorHAnsi" w:hAnsiTheme="minorHAnsi"/>
          <w:sz w:val="24"/>
        </w:rPr>
        <w:t>ategories</w:t>
      </w:r>
      <w:proofErr w:type="gramEnd"/>
      <w:r w:rsidRPr="00956C00">
        <w:rPr>
          <w:rFonts w:asciiTheme="minorHAnsi" w:hAnsiTheme="minorHAnsi"/>
          <w:sz w:val="24"/>
        </w:rPr>
        <w:t xml:space="preserve"> of information. </w:t>
      </w:r>
      <w:r w:rsidR="00B76DC6" w:rsidRPr="00956C00">
        <w:rPr>
          <w:rFonts w:asciiTheme="minorHAnsi" w:hAnsiTheme="minorHAnsi"/>
          <w:sz w:val="24"/>
        </w:rPr>
        <w:t>The AER would like feedback on whether consumers consider these</w:t>
      </w:r>
      <w:r w:rsidR="004748E0" w:rsidRPr="00956C00">
        <w:rPr>
          <w:rFonts w:asciiTheme="minorHAnsi" w:hAnsiTheme="minorHAnsi"/>
          <w:sz w:val="24"/>
        </w:rPr>
        <w:t xml:space="preserve"> are useful</w:t>
      </w:r>
      <w:r w:rsidR="004471B7" w:rsidRPr="00956C00">
        <w:rPr>
          <w:rFonts w:asciiTheme="minorHAnsi" w:hAnsiTheme="minorHAnsi"/>
          <w:sz w:val="24"/>
        </w:rPr>
        <w:t xml:space="preserve">. </w:t>
      </w:r>
    </w:p>
    <w:p w:rsidR="004748E0" w:rsidRPr="00956C00" w:rsidRDefault="00B76DC6" w:rsidP="00956C00">
      <w:pPr>
        <w:pStyle w:val="AERbulletlistfirststyle"/>
        <w:ind w:left="357" w:hanging="357"/>
        <w:rPr>
          <w:rFonts w:asciiTheme="minorHAnsi" w:hAnsiTheme="minorHAnsi"/>
          <w:sz w:val="24"/>
        </w:rPr>
      </w:pPr>
      <w:proofErr w:type="gramStart"/>
      <w:r w:rsidRPr="00956C00">
        <w:rPr>
          <w:rFonts w:asciiTheme="minorHAnsi" w:hAnsiTheme="minorHAnsi"/>
          <w:sz w:val="24"/>
        </w:rPr>
        <w:t>a</w:t>
      </w:r>
      <w:proofErr w:type="gramEnd"/>
      <w:r w:rsidRPr="00956C00">
        <w:rPr>
          <w:rFonts w:asciiTheme="minorHAnsi" w:hAnsiTheme="minorHAnsi"/>
          <w:sz w:val="24"/>
        </w:rPr>
        <w:t xml:space="preserve"> d</w:t>
      </w:r>
      <w:r w:rsidR="004748E0" w:rsidRPr="00956C00">
        <w:rPr>
          <w:rFonts w:asciiTheme="minorHAnsi" w:hAnsiTheme="minorHAnsi"/>
          <w:sz w:val="24"/>
        </w:rPr>
        <w:t>etail</w:t>
      </w:r>
      <w:r w:rsidRPr="00956C00">
        <w:rPr>
          <w:rFonts w:asciiTheme="minorHAnsi" w:hAnsiTheme="minorHAnsi"/>
          <w:sz w:val="24"/>
        </w:rPr>
        <w:t>ed</w:t>
      </w:r>
      <w:r w:rsidR="004748E0" w:rsidRPr="00956C00">
        <w:rPr>
          <w:rFonts w:asciiTheme="minorHAnsi" w:hAnsiTheme="minorHAnsi"/>
          <w:sz w:val="24"/>
        </w:rPr>
        <w:t xml:space="preserve"> list </w:t>
      </w:r>
      <w:r w:rsidRPr="00956C00">
        <w:rPr>
          <w:rFonts w:asciiTheme="minorHAnsi" w:hAnsiTheme="minorHAnsi"/>
          <w:sz w:val="24"/>
        </w:rPr>
        <w:t>of the</w:t>
      </w:r>
      <w:r w:rsidR="004748E0" w:rsidRPr="00956C00">
        <w:rPr>
          <w:rFonts w:asciiTheme="minorHAnsi" w:hAnsiTheme="minorHAnsi"/>
          <w:sz w:val="24"/>
        </w:rPr>
        <w:t xml:space="preserve"> type of information </w:t>
      </w:r>
      <w:r w:rsidRPr="00956C00">
        <w:rPr>
          <w:rFonts w:asciiTheme="minorHAnsi" w:hAnsiTheme="minorHAnsi"/>
          <w:sz w:val="24"/>
        </w:rPr>
        <w:t xml:space="preserve">that </w:t>
      </w:r>
      <w:r w:rsidR="004748E0" w:rsidRPr="00956C00">
        <w:rPr>
          <w:rFonts w:asciiTheme="minorHAnsi" w:hAnsiTheme="minorHAnsi"/>
          <w:sz w:val="24"/>
        </w:rPr>
        <w:t>stakeholders sho</w:t>
      </w:r>
      <w:r w:rsidR="00426F32" w:rsidRPr="00956C00">
        <w:rPr>
          <w:rFonts w:asciiTheme="minorHAnsi" w:hAnsiTheme="minorHAnsi"/>
          <w:sz w:val="24"/>
        </w:rPr>
        <w:t>u</w:t>
      </w:r>
      <w:r w:rsidR="004748E0" w:rsidRPr="00956C00">
        <w:rPr>
          <w:rFonts w:asciiTheme="minorHAnsi" w:hAnsiTheme="minorHAnsi"/>
          <w:sz w:val="24"/>
        </w:rPr>
        <w:t>ld have access to</w:t>
      </w:r>
      <w:r w:rsidRPr="00956C00">
        <w:rPr>
          <w:rFonts w:asciiTheme="minorHAnsi" w:hAnsiTheme="minorHAnsi"/>
          <w:sz w:val="24"/>
        </w:rPr>
        <w:t xml:space="preserve"> including</w:t>
      </w:r>
      <w:r w:rsidR="004748E0" w:rsidRPr="00956C00">
        <w:rPr>
          <w:rFonts w:asciiTheme="minorHAnsi" w:hAnsiTheme="minorHAnsi"/>
          <w:sz w:val="24"/>
        </w:rPr>
        <w:t xml:space="preserve"> definition</w:t>
      </w:r>
      <w:r w:rsidRPr="00956C00">
        <w:rPr>
          <w:rFonts w:asciiTheme="minorHAnsi" w:hAnsiTheme="minorHAnsi"/>
          <w:sz w:val="24"/>
        </w:rPr>
        <w:t>s</w:t>
      </w:r>
      <w:r w:rsidR="004748E0" w:rsidRPr="00956C00">
        <w:rPr>
          <w:rFonts w:asciiTheme="minorHAnsi" w:hAnsiTheme="minorHAnsi"/>
          <w:sz w:val="24"/>
        </w:rPr>
        <w:t xml:space="preserve"> and examples.</w:t>
      </w:r>
    </w:p>
    <w:p w:rsidR="00B76DC6" w:rsidRPr="00956C00" w:rsidRDefault="00B76DC6" w:rsidP="00956C00">
      <w:pPr>
        <w:pStyle w:val="AERbulletlistfirststyle"/>
        <w:ind w:left="357" w:hanging="357"/>
        <w:rPr>
          <w:rFonts w:asciiTheme="minorHAnsi" w:hAnsiTheme="minorHAnsi"/>
          <w:sz w:val="24"/>
        </w:rPr>
      </w:pPr>
      <w:proofErr w:type="gramStart"/>
      <w:r w:rsidRPr="00956C00">
        <w:rPr>
          <w:rFonts w:asciiTheme="minorHAnsi" w:hAnsiTheme="minorHAnsi"/>
          <w:sz w:val="24"/>
        </w:rPr>
        <w:t>a</w:t>
      </w:r>
      <w:proofErr w:type="gramEnd"/>
      <w:r w:rsidRPr="00956C00">
        <w:rPr>
          <w:rFonts w:asciiTheme="minorHAnsi" w:hAnsiTheme="minorHAnsi"/>
          <w:sz w:val="24"/>
        </w:rPr>
        <w:t xml:space="preserve"> p</w:t>
      </w:r>
      <w:r w:rsidR="00426F32" w:rsidRPr="00956C00">
        <w:rPr>
          <w:rFonts w:asciiTheme="minorHAnsi" w:hAnsiTheme="minorHAnsi"/>
          <w:sz w:val="24"/>
        </w:rPr>
        <w:t xml:space="preserve">rocess for dealing with confidential information. </w:t>
      </w:r>
    </w:p>
    <w:p w:rsidR="00B76DC6" w:rsidRPr="00497820" w:rsidRDefault="00B76DC6" w:rsidP="00733EDF">
      <w:pPr>
        <w:jc w:val="both"/>
        <w:rPr>
          <w:sz w:val="24"/>
          <w:szCs w:val="24"/>
        </w:rPr>
      </w:pPr>
      <w:r>
        <w:rPr>
          <w:sz w:val="24"/>
          <w:szCs w:val="24"/>
        </w:rPr>
        <w:lastRenderedPageBreak/>
        <w:t xml:space="preserve">Some CRG members </w:t>
      </w:r>
      <w:r w:rsidR="00CB0EE2">
        <w:rPr>
          <w:sz w:val="24"/>
          <w:szCs w:val="24"/>
        </w:rPr>
        <w:t>proposed</w:t>
      </w:r>
      <w:r>
        <w:rPr>
          <w:sz w:val="24"/>
          <w:szCs w:val="24"/>
        </w:rPr>
        <w:t xml:space="preserve"> a process whereby some consumer advocates could be given access to confidential information where they have sign</w:t>
      </w:r>
      <w:r w:rsidR="00CB0EE2">
        <w:rPr>
          <w:sz w:val="24"/>
          <w:szCs w:val="24"/>
        </w:rPr>
        <w:t>ed a confidentiality agreement. A concern with this approach is if some users are allowed to view confidential information there is a lack of equity if others are not allowed to view that same information.</w:t>
      </w:r>
    </w:p>
    <w:p w:rsidR="00497820" w:rsidRDefault="00497820" w:rsidP="00497820">
      <w:pPr>
        <w:jc w:val="both"/>
        <w:rPr>
          <w:sz w:val="24"/>
          <w:szCs w:val="24"/>
        </w:rPr>
      </w:pPr>
      <w:r w:rsidRPr="00497820">
        <w:rPr>
          <w:sz w:val="24"/>
          <w:szCs w:val="24"/>
        </w:rPr>
        <w:t xml:space="preserve">Consumers would like to see some of the detail that currently resides in the explanatory statement incorporated in the guideline, specifically on process, categories of confidential information, public lighting, enforcement, and resolving disagreements.  </w:t>
      </w:r>
    </w:p>
    <w:p w:rsidR="00497820" w:rsidRPr="00497820" w:rsidRDefault="00497820" w:rsidP="00497820">
      <w:pPr>
        <w:jc w:val="both"/>
        <w:rPr>
          <w:sz w:val="24"/>
          <w:szCs w:val="24"/>
        </w:rPr>
      </w:pPr>
      <w:r w:rsidRPr="00497820">
        <w:rPr>
          <w:sz w:val="24"/>
          <w:szCs w:val="24"/>
        </w:rPr>
        <w:t>Consumers need to recognise that some of the information kept confidential would i</w:t>
      </w:r>
      <w:r w:rsidR="00CB0EE2">
        <w:rPr>
          <w:sz w:val="24"/>
          <w:szCs w:val="24"/>
        </w:rPr>
        <w:t>mpact consumers if made public.</w:t>
      </w:r>
    </w:p>
    <w:p w:rsidR="00E6019C" w:rsidRPr="00497820" w:rsidRDefault="00E6019C" w:rsidP="00733EDF">
      <w:pPr>
        <w:spacing w:after="0" w:line="240" w:lineRule="auto"/>
        <w:jc w:val="both"/>
        <w:rPr>
          <w:rFonts w:ascii="Calibri" w:eastAsia="Times New Roman" w:hAnsi="Calibri" w:cs="Times New Roman"/>
          <w:b/>
          <w:sz w:val="24"/>
          <w:szCs w:val="28"/>
        </w:rPr>
      </w:pPr>
    </w:p>
    <w:p w:rsidR="008E605D" w:rsidRPr="00497820" w:rsidRDefault="008E605D" w:rsidP="00AD3ADE">
      <w:pPr>
        <w:spacing w:after="0" w:line="240" w:lineRule="auto"/>
        <w:jc w:val="both"/>
        <w:rPr>
          <w:sz w:val="24"/>
          <w:szCs w:val="24"/>
        </w:rPr>
      </w:pPr>
    </w:p>
    <w:sectPr w:rsidR="008E605D" w:rsidRPr="00497820" w:rsidSect="008B0B2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F0" w:rsidRDefault="009A77F0" w:rsidP="00AB5621">
      <w:pPr>
        <w:spacing w:after="0" w:line="240" w:lineRule="auto"/>
      </w:pPr>
      <w:r>
        <w:separator/>
      </w:r>
    </w:p>
  </w:endnote>
  <w:endnote w:type="continuationSeparator" w:id="0">
    <w:p w:rsidR="009A77F0" w:rsidRDefault="009A77F0" w:rsidP="00AB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234553"/>
      <w:docPartObj>
        <w:docPartGallery w:val="Page Numbers (Bottom of Page)"/>
        <w:docPartUnique/>
      </w:docPartObj>
    </w:sdtPr>
    <w:sdtEndPr>
      <w:rPr>
        <w:noProof/>
      </w:rPr>
    </w:sdtEndPr>
    <w:sdtContent>
      <w:p w:rsidR="009A77F0" w:rsidRDefault="009A77F0">
        <w:pPr>
          <w:pStyle w:val="Footer"/>
          <w:jc w:val="right"/>
        </w:pPr>
        <w:r>
          <w:fldChar w:fldCharType="begin"/>
        </w:r>
        <w:r>
          <w:instrText xml:space="preserve"> PAGE   \* MERGEFORMAT </w:instrText>
        </w:r>
        <w:r>
          <w:fldChar w:fldCharType="separate"/>
        </w:r>
        <w:r w:rsidR="008D1AD7">
          <w:rPr>
            <w:noProof/>
          </w:rPr>
          <w:t>8</w:t>
        </w:r>
        <w:r>
          <w:rPr>
            <w:noProof/>
          </w:rPr>
          <w:fldChar w:fldCharType="end"/>
        </w:r>
      </w:p>
    </w:sdtContent>
  </w:sdt>
  <w:p w:rsidR="009A77F0" w:rsidRDefault="009A7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F0" w:rsidRDefault="009A77F0" w:rsidP="00AB5621">
      <w:pPr>
        <w:spacing w:after="0" w:line="240" w:lineRule="auto"/>
      </w:pPr>
      <w:r>
        <w:separator/>
      </w:r>
    </w:p>
  </w:footnote>
  <w:footnote w:type="continuationSeparator" w:id="0">
    <w:p w:rsidR="009A77F0" w:rsidRDefault="009A77F0" w:rsidP="00AB5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8F961E9"/>
    <w:multiLevelType w:val="hybridMultilevel"/>
    <w:tmpl w:val="E1BA3F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D5DDC"/>
    <w:multiLevelType w:val="hybridMultilevel"/>
    <w:tmpl w:val="35FC9314"/>
    <w:lvl w:ilvl="0" w:tplc="0C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A0396"/>
    <w:multiLevelType w:val="hybridMultilevel"/>
    <w:tmpl w:val="6508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321A3"/>
    <w:multiLevelType w:val="hybridMultilevel"/>
    <w:tmpl w:val="6AB8ACE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nsid w:val="0FB66B8C"/>
    <w:multiLevelType w:val="hybridMultilevel"/>
    <w:tmpl w:val="3FA2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D5D36"/>
    <w:multiLevelType w:val="hybridMultilevel"/>
    <w:tmpl w:val="5AC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B56E6"/>
    <w:multiLevelType w:val="hybridMultilevel"/>
    <w:tmpl w:val="B99622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7060C88">
      <w:numFmt w:val="bullet"/>
      <w:lvlText w:val="•"/>
      <w:lvlJc w:val="left"/>
      <w:pPr>
        <w:ind w:left="2700" w:hanging="72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97CF9"/>
    <w:multiLevelType w:val="multilevel"/>
    <w:tmpl w:val="B478DFE6"/>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FE0A3A"/>
    <w:multiLevelType w:val="hybridMultilevel"/>
    <w:tmpl w:val="20A474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C2624A"/>
    <w:multiLevelType w:val="hybridMultilevel"/>
    <w:tmpl w:val="D8501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B7BB4"/>
    <w:multiLevelType w:val="hybridMultilevel"/>
    <w:tmpl w:val="D3920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A35CF9"/>
    <w:multiLevelType w:val="hybridMultilevel"/>
    <w:tmpl w:val="1A84BD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1CA0D56"/>
    <w:multiLevelType w:val="hybridMultilevel"/>
    <w:tmpl w:val="117A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BE5471"/>
    <w:multiLevelType w:val="hybridMultilevel"/>
    <w:tmpl w:val="7110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80F84"/>
    <w:multiLevelType w:val="hybridMultilevel"/>
    <w:tmpl w:val="FB0C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D1895"/>
    <w:multiLevelType w:val="hybridMultilevel"/>
    <w:tmpl w:val="9BE8A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D2B33"/>
    <w:multiLevelType w:val="hybridMultilevel"/>
    <w:tmpl w:val="1A7A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977766"/>
    <w:multiLevelType w:val="hybridMultilevel"/>
    <w:tmpl w:val="0706B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B37C6D"/>
    <w:multiLevelType w:val="hybridMultilevel"/>
    <w:tmpl w:val="8702D6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78D3C5C"/>
    <w:multiLevelType w:val="hybridMultilevel"/>
    <w:tmpl w:val="C3F8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0"/>
  </w:num>
  <w:num w:numId="4">
    <w:abstractNumId w:val="4"/>
  </w:num>
  <w:num w:numId="5">
    <w:abstractNumId w:val="6"/>
  </w:num>
  <w:num w:numId="6">
    <w:abstractNumId w:val="15"/>
  </w:num>
  <w:num w:numId="7">
    <w:abstractNumId w:val="7"/>
  </w:num>
  <w:num w:numId="8">
    <w:abstractNumId w:val="17"/>
  </w:num>
  <w:num w:numId="9">
    <w:abstractNumId w:val="5"/>
  </w:num>
  <w:num w:numId="10">
    <w:abstractNumId w:val="20"/>
  </w:num>
  <w:num w:numId="11">
    <w:abstractNumId w:val="16"/>
  </w:num>
  <w:num w:numId="12">
    <w:abstractNumId w:val="11"/>
  </w:num>
  <w:num w:numId="13">
    <w:abstractNumId w:val="1"/>
  </w:num>
  <w:num w:numId="14">
    <w:abstractNumId w:val="12"/>
  </w:num>
  <w:num w:numId="15">
    <w:abstractNumId w:val="22"/>
  </w:num>
  <w:num w:numId="16">
    <w:abstractNumId w:val="18"/>
  </w:num>
  <w:num w:numId="17">
    <w:abstractNumId w:val="13"/>
  </w:num>
  <w:num w:numId="18">
    <w:abstractNumId w:val="2"/>
  </w:num>
  <w:num w:numId="19">
    <w:abstractNumId w:val="9"/>
  </w:num>
  <w:num w:numId="20">
    <w:abstractNumId w:val="8"/>
  </w:num>
  <w:num w:numId="21">
    <w:abstractNumId w:val="19"/>
  </w:num>
  <w:num w:numId="22">
    <w:abstractNumId w:val="0"/>
  </w:num>
  <w:num w:numId="23">
    <w:abstractNumId w:val="21"/>
  </w:num>
  <w:num w:numId="24">
    <w:abstractNumId w:val="19"/>
  </w:num>
  <w:num w:numId="25">
    <w:abstractNumId w:val="19"/>
  </w:num>
  <w:num w:numId="26">
    <w:abstractNumId w:val="19"/>
  </w:num>
  <w:num w:numId="27">
    <w:abstractNumId w:val="8"/>
  </w:num>
  <w:num w:numId="28">
    <w:abstractNumId w:val="19"/>
  </w:num>
  <w:num w:numId="29">
    <w:abstractNumId w:val="8"/>
  </w:num>
  <w:num w:numId="30">
    <w:abstractNumId w:val="19"/>
  </w:num>
  <w:num w:numId="31">
    <w:abstractNumId w:val="19"/>
  </w:num>
  <w:num w:numId="32">
    <w:abstractNumId w:val="19"/>
  </w:num>
  <w:num w:numId="33">
    <w:abstractNumId w:val="19"/>
  </w:num>
  <w:num w:numId="3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smoff\Local Settings\Temporary Internet Files\Content.Outlook\B6N2UJW4\2013 08 22 - AER CRG meeting document - minutes - meeting #6 - public.DOCX"/>
  </w:docVars>
  <w:rsids>
    <w:rsidRoot w:val="00837A99"/>
    <w:rsid w:val="00005B2F"/>
    <w:rsid w:val="00012663"/>
    <w:rsid w:val="000232CD"/>
    <w:rsid w:val="0006019E"/>
    <w:rsid w:val="00077700"/>
    <w:rsid w:val="0008142B"/>
    <w:rsid w:val="00090DB0"/>
    <w:rsid w:val="0009130F"/>
    <w:rsid w:val="000915B0"/>
    <w:rsid w:val="000D07E4"/>
    <w:rsid w:val="000D3ADD"/>
    <w:rsid w:val="001004C5"/>
    <w:rsid w:val="001152FE"/>
    <w:rsid w:val="00117EAB"/>
    <w:rsid w:val="00125E45"/>
    <w:rsid w:val="00126A69"/>
    <w:rsid w:val="00135455"/>
    <w:rsid w:val="00136D19"/>
    <w:rsid w:val="00145C16"/>
    <w:rsid w:val="00146926"/>
    <w:rsid w:val="001778DE"/>
    <w:rsid w:val="00190D62"/>
    <w:rsid w:val="00195A3F"/>
    <w:rsid w:val="001A3DCC"/>
    <w:rsid w:val="001A7996"/>
    <w:rsid w:val="001D36CC"/>
    <w:rsid w:val="001D3887"/>
    <w:rsid w:val="001D6809"/>
    <w:rsid w:val="002254E8"/>
    <w:rsid w:val="00227225"/>
    <w:rsid w:val="00230B9A"/>
    <w:rsid w:val="0024681E"/>
    <w:rsid w:val="00261CE2"/>
    <w:rsid w:val="00284108"/>
    <w:rsid w:val="00291728"/>
    <w:rsid w:val="00293226"/>
    <w:rsid w:val="002A00BC"/>
    <w:rsid w:val="002A2307"/>
    <w:rsid w:val="002A6985"/>
    <w:rsid w:val="002C34FE"/>
    <w:rsid w:val="002E7E10"/>
    <w:rsid w:val="00305567"/>
    <w:rsid w:val="00323AF6"/>
    <w:rsid w:val="00331396"/>
    <w:rsid w:val="00334FC3"/>
    <w:rsid w:val="00341050"/>
    <w:rsid w:val="00352F1C"/>
    <w:rsid w:val="0035447D"/>
    <w:rsid w:val="00372668"/>
    <w:rsid w:val="00380F06"/>
    <w:rsid w:val="00395164"/>
    <w:rsid w:val="00396D0E"/>
    <w:rsid w:val="003C5C10"/>
    <w:rsid w:val="003E5F11"/>
    <w:rsid w:val="003E6E42"/>
    <w:rsid w:val="0042085B"/>
    <w:rsid w:val="00422816"/>
    <w:rsid w:val="00426F32"/>
    <w:rsid w:val="00427C11"/>
    <w:rsid w:val="00427C92"/>
    <w:rsid w:val="00432302"/>
    <w:rsid w:val="00441238"/>
    <w:rsid w:val="004471B7"/>
    <w:rsid w:val="004748E0"/>
    <w:rsid w:val="00491353"/>
    <w:rsid w:val="0049156E"/>
    <w:rsid w:val="00493E3B"/>
    <w:rsid w:val="00497284"/>
    <w:rsid w:val="00497820"/>
    <w:rsid w:val="004D07E7"/>
    <w:rsid w:val="004D0F18"/>
    <w:rsid w:val="004D15D6"/>
    <w:rsid w:val="004D7282"/>
    <w:rsid w:val="004F03D3"/>
    <w:rsid w:val="004F3B2F"/>
    <w:rsid w:val="005265C8"/>
    <w:rsid w:val="00530271"/>
    <w:rsid w:val="005375B9"/>
    <w:rsid w:val="00537A2C"/>
    <w:rsid w:val="00541E22"/>
    <w:rsid w:val="005429AC"/>
    <w:rsid w:val="00561765"/>
    <w:rsid w:val="00570E4B"/>
    <w:rsid w:val="00572B5E"/>
    <w:rsid w:val="005733BF"/>
    <w:rsid w:val="005755D2"/>
    <w:rsid w:val="005756A1"/>
    <w:rsid w:val="00581BD5"/>
    <w:rsid w:val="005C2E64"/>
    <w:rsid w:val="005D6667"/>
    <w:rsid w:val="005E281F"/>
    <w:rsid w:val="005E2C0C"/>
    <w:rsid w:val="005F3C8F"/>
    <w:rsid w:val="005F5DC2"/>
    <w:rsid w:val="005F7ED9"/>
    <w:rsid w:val="00612935"/>
    <w:rsid w:val="00620E3F"/>
    <w:rsid w:val="00623A53"/>
    <w:rsid w:val="006262A2"/>
    <w:rsid w:val="00640B73"/>
    <w:rsid w:val="00643BBA"/>
    <w:rsid w:val="006508B9"/>
    <w:rsid w:val="006651B4"/>
    <w:rsid w:val="00687CCD"/>
    <w:rsid w:val="00695949"/>
    <w:rsid w:val="006A3EAC"/>
    <w:rsid w:val="006D505C"/>
    <w:rsid w:val="006F4CE0"/>
    <w:rsid w:val="007077BA"/>
    <w:rsid w:val="007162CA"/>
    <w:rsid w:val="00724194"/>
    <w:rsid w:val="00733EDF"/>
    <w:rsid w:val="00773A45"/>
    <w:rsid w:val="007C61BD"/>
    <w:rsid w:val="007D23A5"/>
    <w:rsid w:val="007D711A"/>
    <w:rsid w:val="007E5D2B"/>
    <w:rsid w:val="008124AF"/>
    <w:rsid w:val="00821EBB"/>
    <w:rsid w:val="0082683B"/>
    <w:rsid w:val="00837A99"/>
    <w:rsid w:val="0085589B"/>
    <w:rsid w:val="00867822"/>
    <w:rsid w:val="008A60F3"/>
    <w:rsid w:val="008B0B24"/>
    <w:rsid w:val="008B4199"/>
    <w:rsid w:val="008C4F10"/>
    <w:rsid w:val="008D1AD7"/>
    <w:rsid w:val="008D2E4D"/>
    <w:rsid w:val="008E4F6A"/>
    <w:rsid w:val="008E605D"/>
    <w:rsid w:val="008E61A3"/>
    <w:rsid w:val="008E6744"/>
    <w:rsid w:val="008F2B9C"/>
    <w:rsid w:val="00902967"/>
    <w:rsid w:val="00917302"/>
    <w:rsid w:val="00932A8A"/>
    <w:rsid w:val="00936646"/>
    <w:rsid w:val="00937895"/>
    <w:rsid w:val="00943282"/>
    <w:rsid w:val="00954521"/>
    <w:rsid w:val="00956C00"/>
    <w:rsid w:val="00974519"/>
    <w:rsid w:val="00987B00"/>
    <w:rsid w:val="00997591"/>
    <w:rsid w:val="009A48D1"/>
    <w:rsid w:val="009A77F0"/>
    <w:rsid w:val="009B1BB2"/>
    <w:rsid w:val="009C17BA"/>
    <w:rsid w:val="009C34CE"/>
    <w:rsid w:val="009D302D"/>
    <w:rsid w:val="009D3EA7"/>
    <w:rsid w:val="009F1D67"/>
    <w:rsid w:val="009F240D"/>
    <w:rsid w:val="00A0715C"/>
    <w:rsid w:val="00A13BD9"/>
    <w:rsid w:val="00A15752"/>
    <w:rsid w:val="00A16FF8"/>
    <w:rsid w:val="00A2412D"/>
    <w:rsid w:val="00A3060A"/>
    <w:rsid w:val="00A310C1"/>
    <w:rsid w:val="00A67FF8"/>
    <w:rsid w:val="00A7676E"/>
    <w:rsid w:val="00A7690D"/>
    <w:rsid w:val="00A87B11"/>
    <w:rsid w:val="00AA06CA"/>
    <w:rsid w:val="00AB3817"/>
    <w:rsid w:val="00AB4E86"/>
    <w:rsid w:val="00AB5621"/>
    <w:rsid w:val="00AC6292"/>
    <w:rsid w:val="00AD3ADE"/>
    <w:rsid w:val="00AD4559"/>
    <w:rsid w:val="00AD49F7"/>
    <w:rsid w:val="00AD6E5D"/>
    <w:rsid w:val="00AE1AFD"/>
    <w:rsid w:val="00AF7636"/>
    <w:rsid w:val="00B21FA8"/>
    <w:rsid w:val="00B256B7"/>
    <w:rsid w:val="00B73B94"/>
    <w:rsid w:val="00B74CD7"/>
    <w:rsid w:val="00B76DC6"/>
    <w:rsid w:val="00B86E4B"/>
    <w:rsid w:val="00B952BD"/>
    <w:rsid w:val="00BB4BBA"/>
    <w:rsid w:val="00BB77D5"/>
    <w:rsid w:val="00BE07B3"/>
    <w:rsid w:val="00BE3459"/>
    <w:rsid w:val="00BE45D2"/>
    <w:rsid w:val="00C11B44"/>
    <w:rsid w:val="00C15E65"/>
    <w:rsid w:val="00C169F0"/>
    <w:rsid w:val="00C21C44"/>
    <w:rsid w:val="00C3405B"/>
    <w:rsid w:val="00C36FDA"/>
    <w:rsid w:val="00C452B4"/>
    <w:rsid w:val="00C52339"/>
    <w:rsid w:val="00C52D91"/>
    <w:rsid w:val="00C569DD"/>
    <w:rsid w:val="00C577E4"/>
    <w:rsid w:val="00C636AB"/>
    <w:rsid w:val="00C8673A"/>
    <w:rsid w:val="00C91D53"/>
    <w:rsid w:val="00C92833"/>
    <w:rsid w:val="00C95924"/>
    <w:rsid w:val="00CA69C3"/>
    <w:rsid w:val="00CB0EE2"/>
    <w:rsid w:val="00CD0659"/>
    <w:rsid w:val="00CD41FA"/>
    <w:rsid w:val="00CD5FBD"/>
    <w:rsid w:val="00CD730C"/>
    <w:rsid w:val="00CE3FE7"/>
    <w:rsid w:val="00CE6758"/>
    <w:rsid w:val="00CF43D4"/>
    <w:rsid w:val="00D35523"/>
    <w:rsid w:val="00D50052"/>
    <w:rsid w:val="00D505F4"/>
    <w:rsid w:val="00D572F4"/>
    <w:rsid w:val="00D7697C"/>
    <w:rsid w:val="00D76AE1"/>
    <w:rsid w:val="00D8348E"/>
    <w:rsid w:val="00D8736C"/>
    <w:rsid w:val="00D92725"/>
    <w:rsid w:val="00DB4A40"/>
    <w:rsid w:val="00DC16F2"/>
    <w:rsid w:val="00DC1884"/>
    <w:rsid w:val="00E13AE8"/>
    <w:rsid w:val="00E31C9F"/>
    <w:rsid w:val="00E3349A"/>
    <w:rsid w:val="00E402DD"/>
    <w:rsid w:val="00E4209A"/>
    <w:rsid w:val="00E5020C"/>
    <w:rsid w:val="00E6019C"/>
    <w:rsid w:val="00E609B7"/>
    <w:rsid w:val="00E763AE"/>
    <w:rsid w:val="00E80C10"/>
    <w:rsid w:val="00E832FD"/>
    <w:rsid w:val="00E91F47"/>
    <w:rsid w:val="00E93CC8"/>
    <w:rsid w:val="00E97C20"/>
    <w:rsid w:val="00EA2B3D"/>
    <w:rsid w:val="00EA6E52"/>
    <w:rsid w:val="00EC45DE"/>
    <w:rsid w:val="00EC4772"/>
    <w:rsid w:val="00ED0262"/>
    <w:rsid w:val="00EE2220"/>
    <w:rsid w:val="00EF518D"/>
    <w:rsid w:val="00EF7143"/>
    <w:rsid w:val="00F2493B"/>
    <w:rsid w:val="00F37628"/>
    <w:rsid w:val="00F378C7"/>
    <w:rsid w:val="00F408AE"/>
    <w:rsid w:val="00F50874"/>
    <w:rsid w:val="00F57E24"/>
    <w:rsid w:val="00F80A43"/>
    <w:rsid w:val="00F840F4"/>
    <w:rsid w:val="00F85828"/>
    <w:rsid w:val="00F9795E"/>
    <w:rsid w:val="00FA3FDA"/>
    <w:rsid w:val="00FA53D3"/>
    <w:rsid w:val="00FE0103"/>
    <w:rsid w:val="00FE2024"/>
    <w:rsid w:val="00FF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B7"/>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99"/>
    <w:pPr>
      <w:ind w:left="720"/>
      <w:contextualSpacing/>
    </w:pPr>
  </w:style>
  <w:style w:type="character" w:styleId="CommentReference">
    <w:name w:val="annotation reference"/>
    <w:basedOn w:val="DefaultParagraphFont"/>
    <w:uiPriority w:val="99"/>
    <w:semiHidden/>
    <w:unhideWhenUsed/>
    <w:rsid w:val="005F3C8F"/>
    <w:rPr>
      <w:sz w:val="16"/>
      <w:szCs w:val="16"/>
    </w:rPr>
  </w:style>
  <w:style w:type="paragraph" w:styleId="CommentText">
    <w:name w:val="annotation text"/>
    <w:basedOn w:val="Normal"/>
    <w:link w:val="CommentTextChar"/>
    <w:uiPriority w:val="99"/>
    <w:semiHidden/>
    <w:unhideWhenUsed/>
    <w:rsid w:val="005F3C8F"/>
    <w:pPr>
      <w:spacing w:line="240" w:lineRule="auto"/>
    </w:pPr>
    <w:rPr>
      <w:sz w:val="20"/>
      <w:szCs w:val="20"/>
    </w:rPr>
  </w:style>
  <w:style w:type="character" w:customStyle="1" w:styleId="CommentTextChar">
    <w:name w:val="Comment Text Char"/>
    <w:basedOn w:val="DefaultParagraphFont"/>
    <w:link w:val="CommentText"/>
    <w:uiPriority w:val="99"/>
    <w:semiHidden/>
    <w:rsid w:val="005F3C8F"/>
    <w:rPr>
      <w:sz w:val="20"/>
      <w:szCs w:val="20"/>
    </w:rPr>
  </w:style>
  <w:style w:type="paragraph" w:styleId="CommentSubject">
    <w:name w:val="annotation subject"/>
    <w:basedOn w:val="CommentText"/>
    <w:next w:val="CommentText"/>
    <w:link w:val="CommentSubjectChar"/>
    <w:uiPriority w:val="99"/>
    <w:semiHidden/>
    <w:unhideWhenUsed/>
    <w:rsid w:val="005F3C8F"/>
    <w:rPr>
      <w:b/>
      <w:bCs/>
    </w:rPr>
  </w:style>
  <w:style w:type="character" w:customStyle="1" w:styleId="CommentSubjectChar">
    <w:name w:val="Comment Subject Char"/>
    <w:basedOn w:val="CommentTextChar"/>
    <w:link w:val="CommentSubject"/>
    <w:uiPriority w:val="99"/>
    <w:semiHidden/>
    <w:rsid w:val="005F3C8F"/>
    <w:rPr>
      <w:b/>
      <w:bCs/>
      <w:sz w:val="20"/>
      <w:szCs w:val="20"/>
    </w:rPr>
  </w:style>
  <w:style w:type="paragraph" w:styleId="BalloonText">
    <w:name w:val="Balloon Text"/>
    <w:basedOn w:val="Normal"/>
    <w:link w:val="BalloonTextChar"/>
    <w:uiPriority w:val="99"/>
    <w:semiHidden/>
    <w:unhideWhenUsed/>
    <w:rsid w:val="005F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 w:type="paragraph" w:styleId="Revision">
    <w:name w:val="Revision"/>
    <w:hidden/>
    <w:uiPriority w:val="99"/>
    <w:semiHidden/>
    <w:rsid w:val="00B86E4B"/>
    <w:pPr>
      <w:spacing w:after="0" w:line="240" w:lineRule="auto"/>
    </w:pPr>
    <w:rPr>
      <w:rFonts w:eastAsiaTheme="minorEastAsia"/>
      <w:lang w:eastAsia="en-AU"/>
    </w:rPr>
  </w:style>
  <w:style w:type="paragraph" w:styleId="Header">
    <w:name w:val="header"/>
    <w:basedOn w:val="Normal"/>
    <w:link w:val="HeaderChar"/>
    <w:uiPriority w:val="99"/>
    <w:unhideWhenUsed/>
    <w:rsid w:val="00AB5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21"/>
    <w:rPr>
      <w:rFonts w:eastAsiaTheme="minorEastAsia"/>
      <w:lang w:eastAsia="en-AU"/>
    </w:rPr>
  </w:style>
  <w:style w:type="paragraph" w:styleId="Footer">
    <w:name w:val="footer"/>
    <w:basedOn w:val="Normal"/>
    <w:link w:val="FooterChar"/>
    <w:uiPriority w:val="99"/>
    <w:unhideWhenUsed/>
    <w:rsid w:val="00AB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21"/>
    <w:rPr>
      <w:rFonts w:eastAsiaTheme="minorEastAsia"/>
      <w:lang w:eastAsia="en-AU"/>
    </w:rPr>
  </w:style>
  <w:style w:type="paragraph" w:customStyle="1" w:styleId="Default">
    <w:name w:val="Default"/>
    <w:rsid w:val="00EE2220"/>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NoSpacing">
    <w:name w:val="No Spacing"/>
    <w:uiPriority w:val="1"/>
    <w:qFormat/>
    <w:rsid w:val="005E2C0C"/>
    <w:pPr>
      <w:spacing w:after="0" w:line="240" w:lineRule="auto"/>
    </w:pPr>
    <w:rPr>
      <w:rFonts w:eastAsiaTheme="minorEastAsia"/>
      <w:lang w:eastAsia="en-AU"/>
    </w:rPr>
  </w:style>
  <w:style w:type="paragraph" w:customStyle="1" w:styleId="AERbodytext">
    <w:name w:val="AER body text"/>
    <w:link w:val="AERbodytextChar"/>
    <w:qFormat/>
    <w:rsid w:val="00EA2B3D"/>
    <w:pPr>
      <w:numPr>
        <w:numId w:val="20"/>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EA2B3D"/>
    <w:pPr>
      <w:numPr>
        <w:ilvl w:val="1"/>
      </w:numPr>
      <w:spacing w:after="200"/>
    </w:pPr>
  </w:style>
  <w:style w:type="paragraph" w:customStyle="1" w:styleId="AERnumberedlistsecondstyle">
    <w:name w:val="AER numbered list (second style)"/>
    <w:basedOn w:val="AERnumberedlistfirststyle"/>
    <w:qFormat/>
    <w:rsid w:val="00EA2B3D"/>
    <w:pPr>
      <w:numPr>
        <w:ilvl w:val="2"/>
      </w:numPr>
    </w:pPr>
  </w:style>
  <w:style w:type="paragraph" w:customStyle="1" w:styleId="AERnumberedlistthirdstyle">
    <w:name w:val="AER numbered list (third style)"/>
    <w:basedOn w:val="AERnumberedlistsecondstyle"/>
    <w:qFormat/>
    <w:rsid w:val="00EA2B3D"/>
    <w:pPr>
      <w:numPr>
        <w:ilvl w:val="3"/>
      </w:numPr>
    </w:pPr>
  </w:style>
  <w:style w:type="paragraph" w:customStyle="1" w:styleId="AERnumberedlist2first">
    <w:name w:val="AER numbered list 2 first"/>
    <w:basedOn w:val="AERbodytext"/>
    <w:qFormat/>
    <w:rsid w:val="00EA2B3D"/>
    <w:pPr>
      <w:numPr>
        <w:ilvl w:val="4"/>
      </w:numPr>
    </w:pPr>
  </w:style>
  <w:style w:type="paragraph" w:customStyle="1" w:styleId="AERnumberedlist2second">
    <w:name w:val="AER numbered list 2 second"/>
    <w:basedOn w:val="AERnumberedlist2first"/>
    <w:qFormat/>
    <w:rsid w:val="00EA2B3D"/>
    <w:pPr>
      <w:numPr>
        <w:ilvl w:val="5"/>
      </w:numPr>
    </w:pPr>
  </w:style>
  <w:style w:type="paragraph" w:customStyle="1" w:styleId="AERnumberedlist2third">
    <w:name w:val="AER numbered list 2 third"/>
    <w:basedOn w:val="AERnumberedlist2second"/>
    <w:qFormat/>
    <w:rsid w:val="00EA2B3D"/>
    <w:pPr>
      <w:numPr>
        <w:ilvl w:val="6"/>
      </w:numPr>
    </w:pPr>
  </w:style>
  <w:style w:type="character" w:customStyle="1" w:styleId="AERbodytextChar">
    <w:name w:val="AER body text Char"/>
    <w:basedOn w:val="DefaultParagraphFont"/>
    <w:link w:val="AERbodytext"/>
    <w:rsid w:val="00EA2B3D"/>
    <w:rPr>
      <w:rFonts w:ascii="Gautami" w:eastAsia="Times New Roman" w:hAnsi="Gautami" w:cs="Times New Roman"/>
      <w:sz w:val="20"/>
      <w:szCs w:val="24"/>
    </w:rPr>
  </w:style>
  <w:style w:type="paragraph" w:customStyle="1" w:styleId="AERbulletlistfirststyle">
    <w:name w:val="AER bullet list (first style)"/>
    <w:basedOn w:val="AERbodytext"/>
    <w:qFormat/>
    <w:rsid w:val="00EA2B3D"/>
    <w:pPr>
      <w:numPr>
        <w:numId w:val="21"/>
      </w:numPr>
      <w:tabs>
        <w:tab w:val="left" w:pos="357"/>
      </w:tabs>
      <w:spacing w:after="200"/>
    </w:pPr>
  </w:style>
  <w:style w:type="paragraph" w:customStyle="1" w:styleId="AERbulletlistsecondstyle">
    <w:name w:val="AER bullet list (second style)"/>
    <w:basedOn w:val="AERbodytext"/>
    <w:qFormat/>
    <w:rsid w:val="001A3DCC"/>
    <w:pPr>
      <w:numPr>
        <w:numId w:val="22"/>
      </w:numPr>
      <w:tabs>
        <w:tab w:val="num" w:pos="360"/>
        <w:tab w:val="left" w:pos="709"/>
      </w:tabs>
      <w:spacing w:after="200"/>
      <w:ind w:left="714" w:hanging="357"/>
    </w:pPr>
  </w:style>
  <w:style w:type="numbering" w:customStyle="1" w:styleId="AERnumberedlist">
    <w:name w:val="AER numbered list"/>
    <w:uiPriority w:val="99"/>
    <w:rsid w:val="00917302"/>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AERnumberedlist"/>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8346-7255-4938-B596-627C1E32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2405</Words>
  <Characters>13710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kstev</dc:creator>
  <cp:lastModifiedBy>Moffitt, Shannon</cp:lastModifiedBy>
  <cp:revision>2</cp:revision>
  <cp:lastPrinted>2013-09-01T23:15:00Z</cp:lastPrinted>
  <dcterms:created xsi:type="dcterms:W3CDTF">2013-11-12T05:20:00Z</dcterms:created>
  <dcterms:modified xsi:type="dcterms:W3CDTF">2013-11-12T05:20:00Z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Settings\smoff\Local Settings\Temporary Internet Files\Content.Outlook\B6N2UJW4\2013 08 22 - AER CRG meeting document - minutes - meeting #6 - public.DOCX</vt:lpwstr>
  </property>
</Properties>
</file>