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28" w:rsidRDefault="00CC1C28" w:rsidP="00CC1C28">
      <w:pPr>
        <w:rPr>
          <w:b/>
          <w:sz w:val="32"/>
          <w:szCs w:val="32"/>
        </w:rPr>
      </w:pPr>
      <w:bookmarkStart w:id="0" w:name="_GoBack"/>
      <w:bookmarkEnd w:id="0"/>
      <w:r>
        <w:rPr>
          <w:b/>
          <w:noProof/>
        </w:rPr>
        <w:drawing>
          <wp:anchor distT="0" distB="0" distL="114300" distR="114300" simplePos="0" relativeHeight="251659264" behindDoc="0" locked="0" layoutInCell="1" allowOverlap="1" wp14:anchorId="44ACD19F" wp14:editId="34F28745">
            <wp:simplePos x="0" y="0"/>
            <wp:positionH relativeFrom="column">
              <wp:posOffset>2334790</wp:posOffset>
            </wp:positionH>
            <wp:positionV relativeFrom="paragraph">
              <wp:posOffset>-866775</wp:posOffset>
            </wp:positionV>
            <wp:extent cx="3978275" cy="1242695"/>
            <wp:effectExtent l="0" t="0" r="0" b="0"/>
            <wp:wrapNone/>
            <wp:docPr id="1" name="Picture 2"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8" cstate="print"/>
                    <a:srcRect b="38062"/>
                    <a:stretch>
                      <a:fillRect/>
                    </a:stretch>
                  </pic:blipFill>
                  <pic:spPr bwMode="auto">
                    <a:xfrm>
                      <a:off x="0" y="0"/>
                      <a:ext cx="3978275" cy="1242695"/>
                    </a:xfrm>
                    <a:prstGeom prst="rect">
                      <a:avLst/>
                    </a:prstGeom>
                    <a:solidFill>
                      <a:srgbClr val="FFFFFF"/>
                    </a:solidFill>
                  </pic:spPr>
                </pic:pic>
              </a:graphicData>
            </a:graphic>
          </wp:anchor>
        </w:drawing>
      </w:r>
    </w:p>
    <w:p w:rsidR="00CC1C28" w:rsidRDefault="00CC1C28" w:rsidP="00CC1C28">
      <w:pPr>
        <w:spacing w:after="0" w:line="240" w:lineRule="auto"/>
        <w:rPr>
          <w:b/>
          <w:sz w:val="32"/>
          <w:szCs w:val="32"/>
        </w:rPr>
      </w:pPr>
    </w:p>
    <w:p w:rsidR="00CC1C28" w:rsidRDefault="00CC1C28" w:rsidP="00CC1C28">
      <w:pPr>
        <w:spacing w:after="0" w:line="240" w:lineRule="auto"/>
        <w:jc w:val="center"/>
        <w:rPr>
          <w:rFonts w:ascii="Calibri" w:eastAsia="Calibri" w:hAnsi="Calibri" w:cs="Times New Roman"/>
          <w:b/>
          <w:sz w:val="32"/>
        </w:rPr>
      </w:pPr>
      <w:r>
        <w:rPr>
          <w:rFonts w:ascii="Calibri" w:eastAsia="Calibri" w:hAnsi="Calibri" w:cs="Times New Roman"/>
          <w:b/>
          <w:sz w:val="32"/>
        </w:rPr>
        <w:t>Summary of Meeting</w:t>
      </w:r>
    </w:p>
    <w:p w:rsidR="00CC1C28" w:rsidRDefault="00CC1C28" w:rsidP="00CC1C28">
      <w:pPr>
        <w:spacing w:after="0" w:line="240" w:lineRule="auto"/>
        <w:jc w:val="center"/>
        <w:rPr>
          <w:rFonts w:ascii="Calibri" w:eastAsia="Calibri" w:hAnsi="Calibri" w:cs="Times New Roman"/>
          <w:b/>
          <w:sz w:val="32"/>
        </w:rPr>
      </w:pPr>
    </w:p>
    <w:p w:rsidR="00CC1C28" w:rsidRDefault="00CC1C28" w:rsidP="00CC1C28">
      <w:pPr>
        <w:spacing w:after="0" w:line="240" w:lineRule="auto"/>
        <w:jc w:val="center"/>
        <w:rPr>
          <w:rFonts w:ascii="Calibri" w:eastAsia="Calibri" w:hAnsi="Calibri" w:cs="Times New Roman"/>
          <w:b/>
          <w:sz w:val="32"/>
        </w:rPr>
      </w:pPr>
      <w:r w:rsidRPr="00C54668">
        <w:rPr>
          <w:rFonts w:ascii="Calibri" w:eastAsia="Calibri" w:hAnsi="Calibri" w:cs="Times New Roman"/>
          <w:b/>
          <w:sz w:val="32"/>
        </w:rPr>
        <w:t xml:space="preserve">Consumer </w:t>
      </w:r>
      <w:r>
        <w:rPr>
          <w:rFonts w:ascii="Calibri" w:eastAsia="Calibri" w:hAnsi="Calibri" w:cs="Times New Roman"/>
          <w:b/>
          <w:sz w:val="32"/>
        </w:rPr>
        <w:t>Reference G</w:t>
      </w:r>
      <w:r w:rsidRPr="00C54668">
        <w:rPr>
          <w:rFonts w:ascii="Calibri" w:eastAsia="Calibri" w:hAnsi="Calibri" w:cs="Times New Roman"/>
          <w:b/>
          <w:sz w:val="32"/>
        </w:rPr>
        <w:t xml:space="preserve">roup (CRG) Meeting </w:t>
      </w:r>
      <w:r>
        <w:rPr>
          <w:rFonts w:ascii="Calibri" w:eastAsia="Calibri" w:hAnsi="Calibri" w:cs="Times New Roman"/>
          <w:b/>
          <w:sz w:val="32"/>
        </w:rPr>
        <w:t>No. 7</w:t>
      </w:r>
    </w:p>
    <w:p w:rsidR="00CC1C28" w:rsidRDefault="00CC1C28" w:rsidP="00CC1C28">
      <w:pPr>
        <w:spacing w:after="0" w:line="240" w:lineRule="auto"/>
        <w:jc w:val="center"/>
        <w:rPr>
          <w:rFonts w:ascii="Calibri" w:eastAsia="Calibri" w:hAnsi="Calibri" w:cs="Times New Roman"/>
          <w:b/>
          <w:sz w:val="32"/>
        </w:rPr>
      </w:pPr>
    </w:p>
    <w:p w:rsidR="00CC1C28" w:rsidRDefault="00CC1C28" w:rsidP="00CC1C28">
      <w:pPr>
        <w:spacing w:after="0" w:line="240" w:lineRule="auto"/>
        <w:jc w:val="center"/>
        <w:rPr>
          <w:rFonts w:ascii="Calibri" w:eastAsia="Calibri" w:hAnsi="Calibri" w:cs="Times New Roman"/>
          <w:b/>
          <w:sz w:val="32"/>
        </w:rPr>
      </w:pPr>
      <w:r>
        <w:rPr>
          <w:rFonts w:ascii="Calibri" w:eastAsia="Calibri" w:hAnsi="Calibri" w:cs="Times New Roman"/>
          <w:b/>
          <w:sz w:val="32"/>
        </w:rPr>
        <w:t>17 October 2013</w:t>
      </w:r>
    </w:p>
    <w:p w:rsidR="00CC1C28" w:rsidRPr="00165DDD" w:rsidRDefault="00CC1C28" w:rsidP="00CC1C28">
      <w:pPr>
        <w:spacing w:after="0" w:line="240" w:lineRule="auto"/>
        <w:jc w:val="center"/>
        <w:rPr>
          <w:rFonts w:ascii="Calibri" w:eastAsia="Calibri" w:hAnsi="Calibri" w:cs="Times New Roman"/>
          <w:b/>
          <w:sz w:val="24"/>
          <w:szCs w:val="24"/>
        </w:rPr>
      </w:pPr>
    </w:p>
    <w:p w:rsidR="00CC1C28" w:rsidRPr="00EC7DEE" w:rsidRDefault="00CC1C28" w:rsidP="00CC1C28">
      <w:pPr>
        <w:jc w:val="center"/>
        <w:rPr>
          <w:rFonts w:eastAsia="Calibri" w:cstheme="minorHAnsi"/>
          <w:i/>
          <w:sz w:val="24"/>
          <w:szCs w:val="24"/>
        </w:rPr>
      </w:pPr>
      <w:r w:rsidRPr="00EC7DEE">
        <w:rPr>
          <w:rFonts w:eastAsia="Calibri" w:cstheme="minorHAnsi"/>
          <w:i/>
          <w:sz w:val="24"/>
          <w:szCs w:val="24"/>
        </w:rPr>
        <w:t>Held via video conference between AER offices in Adelaide, Melbourne, Ca</w:t>
      </w:r>
      <w:r>
        <w:rPr>
          <w:rFonts w:eastAsia="Calibri" w:cstheme="minorHAnsi"/>
          <w:i/>
          <w:sz w:val="24"/>
          <w:szCs w:val="24"/>
        </w:rPr>
        <w:t>nberra, Sydney, Brisbane</w:t>
      </w:r>
    </w:p>
    <w:p w:rsidR="00CC1C28" w:rsidRPr="00EC7DEE" w:rsidRDefault="00CC1C28" w:rsidP="00CC1C28">
      <w:pPr>
        <w:jc w:val="center"/>
        <w:rPr>
          <w:rFonts w:eastAsia="Calibri" w:cstheme="minorHAnsi"/>
          <w:sz w:val="24"/>
          <w:szCs w:val="24"/>
        </w:rPr>
      </w:pPr>
      <w:r w:rsidRPr="00EC7DEE">
        <w:rPr>
          <w:rFonts w:eastAsia="Calibri" w:cstheme="minorHAnsi"/>
          <w:sz w:val="24"/>
          <w:szCs w:val="24"/>
        </w:rPr>
        <w:t xml:space="preserve">Attendees: </w:t>
      </w:r>
    </w:p>
    <w:p w:rsidR="00CC1C28" w:rsidRPr="00EC7DEE" w:rsidRDefault="00CC1C28" w:rsidP="00CC1C28">
      <w:pPr>
        <w:spacing w:after="0" w:line="240" w:lineRule="auto"/>
        <w:jc w:val="center"/>
        <w:rPr>
          <w:rFonts w:eastAsia="Calibri" w:cstheme="minorHAnsi"/>
          <w:sz w:val="24"/>
          <w:szCs w:val="24"/>
        </w:rPr>
      </w:pPr>
      <w:r w:rsidRPr="00EC7DEE">
        <w:rPr>
          <w:rFonts w:eastAsia="Calibri" w:cstheme="minorHAnsi"/>
          <w:sz w:val="24"/>
          <w:szCs w:val="24"/>
        </w:rPr>
        <w:t>CRG members (including representatives) – Katrina Lee, Graham Mawer, Bruce Mountain, D</w:t>
      </w:r>
      <w:r>
        <w:rPr>
          <w:rFonts w:eastAsia="Calibri" w:cstheme="minorHAnsi"/>
          <w:sz w:val="24"/>
          <w:szCs w:val="24"/>
        </w:rPr>
        <w:t>avid Headberry,</w:t>
      </w:r>
      <w:r w:rsidR="00B23C3F">
        <w:rPr>
          <w:rFonts w:eastAsia="Calibri" w:cstheme="minorHAnsi"/>
          <w:sz w:val="24"/>
          <w:szCs w:val="24"/>
        </w:rPr>
        <w:t xml:space="preserve"> Belinda Sandilands,</w:t>
      </w:r>
      <w:r w:rsidRPr="00EC7DEE">
        <w:rPr>
          <w:rFonts w:eastAsia="Calibri" w:cstheme="minorHAnsi"/>
          <w:sz w:val="24"/>
          <w:szCs w:val="24"/>
        </w:rPr>
        <w:t xml:space="preserve"> Bev Hughson, Heather I’Anson, Luke Berry, Jonathan Pavetto, Robert Mallett</w:t>
      </w:r>
      <w:r>
        <w:rPr>
          <w:rFonts w:eastAsia="Calibri" w:cstheme="minorHAnsi"/>
          <w:sz w:val="24"/>
          <w:szCs w:val="24"/>
        </w:rPr>
        <w:t xml:space="preserve">, Dr Si Wei Goo, Martin Jones, Mark Henley, Geoff Zoeff, Chris Dodds, Belinda Sandilands, Helen Scott, Tenant Reed. </w:t>
      </w:r>
    </w:p>
    <w:p w:rsidR="00CC1C28" w:rsidRPr="00EC7DEE" w:rsidRDefault="00CC1C28" w:rsidP="00CC1C28">
      <w:pPr>
        <w:spacing w:after="0" w:line="240" w:lineRule="auto"/>
        <w:jc w:val="center"/>
        <w:rPr>
          <w:rFonts w:eastAsia="Calibri" w:cstheme="minorHAnsi"/>
          <w:sz w:val="24"/>
          <w:szCs w:val="24"/>
        </w:rPr>
      </w:pPr>
    </w:p>
    <w:p w:rsidR="00CC1C28" w:rsidRDefault="00CC1C28" w:rsidP="00CC1C28">
      <w:pPr>
        <w:spacing w:after="0" w:line="240" w:lineRule="auto"/>
        <w:jc w:val="center"/>
        <w:rPr>
          <w:rFonts w:eastAsia="Calibri" w:cstheme="minorHAnsi"/>
          <w:sz w:val="24"/>
          <w:szCs w:val="24"/>
        </w:rPr>
      </w:pPr>
      <w:r w:rsidRPr="00EC7DEE">
        <w:rPr>
          <w:rFonts w:eastAsia="Calibri" w:cstheme="minorHAnsi"/>
          <w:sz w:val="24"/>
          <w:szCs w:val="24"/>
        </w:rPr>
        <w:t xml:space="preserve">AER staff members—Andrew Reeves, Warwick Anderson, Tanja Warre, Kurt Stevens, Blair Burkitt, Scott Sandles, Adam Petersen, </w:t>
      </w:r>
      <w:r w:rsidR="00207406">
        <w:rPr>
          <w:rFonts w:eastAsia="Calibri" w:cstheme="minorHAnsi"/>
          <w:sz w:val="24"/>
          <w:szCs w:val="24"/>
        </w:rPr>
        <w:t>Bruno Coelho, Jon</w:t>
      </w:r>
      <w:r w:rsidR="00073E3F">
        <w:rPr>
          <w:rFonts w:eastAsia="Calibri" w:cstheme="minorHAnsi"/>
          <w:sz w:val="24"/>
          <w:szCs w:val="24"/>
        </w:rPr>
        <w:t>a</w:t>
      </w:r>
      <w:r w:rsidR="00207406">
        <w:rPr>
          <w:rFonts w:eastAsia="Calibri" w:cstheme="minorHAnsi"/>
          <w:sz w:val="24"/>
          <w:szCs w:val="24"/>
        </w:rPr>
        <w:t>than Deridder, Arek Gulbenkoglu, Lawrence Irlam, Mark McLeish, Moston Neck, Shahrina Quader</w:t>
      </w:r>
    </w:p>
    <w:p w:rsidR="00207406" w:rsidRPr="00EC7DEE" w:rsidRDefault="00207406" w:rsidP="00207406">
      <w:pPr>
        <w:spacing w:after="0" w:line="240" w:lineRule="auto"/>
        <w:rPr>
          <w:rFonts w:eastAsia="Calibri" w:cstheme="minorHAnsi"/>
          <w:sz w:val="24"/>
          <w:szCs w:val="24"/>
        </w:rPr>
      </w:pPr>
    </w:p>
    <w:p w:rsidR="00CC1C28" w:rsidRPr="00EC7DEE" w:rsidRDefault="00CC1C28" w:rsidP="00CC1C28">
      <w:pPr>
        <w:jc w:val="center"/>
        <w:rPr>
          <w:rFonts w:eastAsia="Calibri" w:cstheme="minorHAnsi"/>
          <w:sz w:val="24"/>
          <w:szCs w:val="24"/>
        </w:rPr>
      </w:pPr>
      <w:r w:rsidRPr="00EC7DEE">
        <w:rPr>
          <w:rFonts w:eastAsia="Calibri" w:cstheme="minorHAnsi"/>
          <w:sz w:val="24"/>
          <w:szCs w:val="24"/>
        </w:rPr>
        <w:t>Apologies:  Deanna Foong, John Hin, Alexand</w:t>
      </w:r>
      <w:r w:rsidR="00207406">
        <w:rPr>
          <w:rFonts w:eastAsia="Calibri" w:cstheme="minorHAnsi"/>
          <w:sz w:val="24"/>
          <w:szCs w:val="24"/>
        </w:rPr>
        <w:t>ra Geddes, Matt Helme,</w:t>
      </w:r>
      <w:r w:rsidRPr="00EC7DEE">
        <w:rPr>
          <w:rFonts w:eastAsia="Calibri" w:cstheme="minorHAnsi"/>
          <w:sz w:val="24"/>
          <w:szCs w:val="24"/>
        </w:rPr>
        <w:t xml:space="preserve"> Janine Rayne</w:t>
      </w:r>
      <w:r w:rsidR="00207406">
        <w:rPr>
          <w:rFonts w:eastAsia="Calibri" w:cstheme="minorHAnsi"/>
          <w:sz w:val="24"/>
          <w:szCs w:val="24"/>
        </w:rPr>
        <w:t xml:space="preserve">r, Carly Allen, Carolyn Hodge, Damian Sullivan, Loren Days, Sue Fraser, Angus Nardi, </w:t>
      </w:r>
    </w:p>
    <w:p w:rsidR="00CC1C28" w:rsidRPr="00EC7DEE" w:rsidRDefault="00CC1C28" w:rsidP="00CC1C28">
      <w:pPr>
        <w:pStyle w:val="Default"/>
        <w:jc w:val="both"/>
        <w:rPr>
          <w:rFonts w:asciiTheme="minorHAnsi" w:hAnsiTheme="minorHAnsi" w:cstheme="minorHAnsi"/>
        </w:rPr>
      </w:pPr>
      <w:r w:rsidRPr="00EC7DEE">
        <w:rPr>
          <w:rFonts w:asciiTheme="minorHAnsi" w:hAnsiTheme="minorHAnsi" w:cstheme="minorHAnsi"/>
        </w:rPr>
        <w:t xml:space="preserve">On </w:t>
      </w:r>
      <w:r w:rsidR="00207406">
        <w:rPr>
          <w:rFonts w:asciiTheme="minorHAnsi" w:hAnsiTheme="minorHAnsi" w:cstheme="minorHAnsi"/>
        </w:rPr>
        <w:t>17 October</w:t>
      </w:r>
      <w:r w:rsidRPr="00EC7DEE">
        <w:rPr>
          <w:rFonts w:asciiTheme="minorHAnsi" w:hAnsiTheme="minorHAnsi" w:cstheme="minorHAnsi"/>
        </w:rPr>
        <w:t xml:space="preserve"> 2013, the AER held the </w:t>
      </w:r>
      <w:r w:rsidR="00207406">
        <w:rPr>
          <w:rFonts w:asciiTheme="minorHAnsi" w:hAnsiTheme="minorHAnsi" w:cstheme="minorHAnsi"/>
        </w:rPr>
        <w:t>seventh</w:t>
      </w:r>
      <w:r w:rsidRPr="00EC7DEE">
        <w:rPr>
          <w:rFonts w:asciiTheme="minorHAnsi" w:hAnsiTheme="minorHAnsi" w:cstheme="minorHAnsi"/>
        </w:rPr>
        <w:t xml:space="preserve"> meeting of the CRG. The meeting was chaired by AER Chairman, Andrew Reeves, and was attended by AER staff members and CRG members who represent various consumer groups.</w:t>
      </w:r>
    </w:p>
    <w:p w:rsidR="00CC1C28" w:rsidRPr="00EC7DEE" w:rsidRDefault="00CC1C28" w:rsidP="00CC1C28">
      <w:pPr>
        <w:pStyle w:val="Default"/>
        <w:jc w:val="both"/>
        <w:rPr>
          <w:rFonts w:asciiTheme="minorHAnsi" w:hAnsiTheme="minorHAnsi" w:cstheme="minorHAnsi"/>
        </w:rPr>
      </w:pPr>
    </w:p>
    <w:p w:rsidR="00CC1C28" w:rsidRPr="00EC7DEE" w:rsidRDefault="00CC1C28" w:rsidP="00CC1C28">
      <w:pPr>
        <w:pStyle w:val="Default"/>
        <w:jc w:val="both"/>
        <w:rPr>
          <w:rFonts w:asciiTheme="minorHAnsi" w:hAnsiTheme="minorHAnsi" w:cstheme="minorHAnsi"/>
        </w:rPr>
      </w:pPr>
      <w:r w:rsidRPr="00EC7DEE">
        <w:rPr>
          <w:rFonts w:asciiTheme="minorHAnsi" w:hAnsiTheme="minorHAnsi" w:cstheme="minorHAnsi"/>
        </w:rPr>
        <w:t>This summary broadly covers the key topics and themes that were discussed. The outline follows that of the agenda.</w:t>
      </w:r>
    </w:p>
    <w:p w:rsidR="00CC1C28" w:rsidRPr="00EC7DEE" w:rsidRDefault="00CC1C28" w:rsidP="00CC1C28">
      <w:pPr>
        <w:pBdr>
          <w:bottom w:val="single" w:sz="12" w:space="1" w:color="auto"/>
        </w:pBdr>
        <w:jc w:val="center"/>
        <w:rPr>
          <w:rFonts w:eastAsia="Calibri" w:cstheme="minorHAnsi"/>
          <w:b/>
          <w:sz w:val="24"/>
          <w:szCs w:val="24"/>
        </w:rPr>
      </w:pPr>
    </w:p>
    <w:p w:rsidR="00CC1C28" w:rsidRPr="00EC7DEE" w:rsidRDefault="00CC1C28" w:rsidP="00CC1C28">
      <w:pPr>
        <w:spacing w:after="0" w:line="240" w:lineRule="auto"/>
        <w:jc w:val="both"/>
        <w:rPr>
          <w:rFonts w:eastAsia="Times New Roman" w:cstheme="minorHAnsi"/>
          <w:b/>
          <w:sz w:val="24"/>
          <w:szCs w:val="28"/>
        </w:rPr>
      </w:pPr>
    </w:p>
    <w:p w:rsidR="00CC1C28" w:rsidRPr="00EC7DEE" w:rsidRDefault="00CC1C28" w:rsidP="00CC1C28">
      <w:pPr>
        <w:spacing w:after="0" w:line="240" w:lineRule="auto"/>
        <w:jc w:val="both"/>
        <w:rPr>
          <w:rFonts w:eastAsia="Times New Roman" w:cstheme="minorHAnsi"/>
          <w:b/>
          <w:sz w:val="24"/>
          <w:szCs w:val="28"/>
        </w:rPr>
      </w:pPr>
      <w:r w:rsidRPr="00EC7DEE">
        <w:rPr>
          <w:rFonts w:eastAsia="Times New Roman" w:cstheme="minorHAnsi"/>
          <w:b/>
          <w:sz w:val="24"/>
          <w:szCs w:val="28"/>
        </w:rPr>
        <w:t>1</w:t>
      </w:r>
      <w:r w:rsidRPr="00EC7DEE">
        <w:rPr>
          <w:rFonts w:eastAsia="Times New Roman" w:cstheme="minorHAnsi"/>
          <w:b/>
          <w:sz w:val="24"/>
          <w:szCs w:val="28"/>
        </w:rPr>
        <w:tab/>
        <w:t>Welcome and update (Andrew Reeves)</w:t>
      </w:r>
    </w:p>
    <w:p w:rsidR="00CC1C28" w:rsidRPr="00EC7DEE" w:rsidRDefault="00CC1C28" w:rsidP="00CC1C28">
      <w:pPr>
        <w:spacing w:after="0" w:line="240" w:lineRule="auto"/>
        <w:jc w:val="both"/>
        <w:rPr>
          <w:rFonts w:cstheme="minorHAnsi"/>
          <w:sz w:val="24"/>
          <w:szCs w:val="24"/>
        </w:rPr>
      </w:pPr>
    </w:p>
    <w:p w:rsidR="00CC1C28" w:rsidRPr="00EC7DEE" w:rsidRDefault="00CC1C28" w:rsidP="00C40946">
      <w:pPr>
        <w:jc w:val="both"/>
        <w:rPr>
          <w:rFonts w:cstheme="minorHAnsi"/>
          <w:sz w:val="24"/>
          <w:szCs w:val="24"/>
        </w:rPr>
      </w:pPr>
      <w:r w:rsidRPr="00EC7DEE">
        <w:rPr>
          <w:rFonts w:cstheme="minorHAnsi"/>
          <w:sz w:val="24"/>
          <w:szCs w:val="24"/>
        </w:rPr>
        <w:t xml:space="preserve">Andrew Reeves </w:t>
      </w:r>
      <w:r w:rsidR="00615A98">
        <w:rPr>
          <w:rFonts w:cstheme="minorHAnsi"/>
          <w:sz w:val="24"/>
          <w:szCs w:val="24"/>
        </w:rPr>
        <w:t>welcomed participants to the final CRG meeting of the year</w:t>
      </w:r>
      <w:r w:rsidRPr="00EC7DEE">
        <w:rPr>
          <w:rFonts w:cstheme="minorHAnsi"/>
          <w:sz w:val="24"/>
          <w:szCs w:val="24"/>
        </w:rPr>
        <w:t>.</w:t>
      </w:r>
      <w:r w:rsidR="00C40946">
        <w:rPr>
          <w:rFonts w:cstheme="minorHAnsi"/>
          <w:sz w:val="24"/>
          <w:szCs w:val="24"/>
        </w:rPr>
        <w:t xml:space="preserve"> Andrew noted that s</w:t>
      </w:r>
      <w:r w:rsidR="00C40946" w:rsidRPr="00C40946">
        <w:rPr>
          <w:rFonts w:cstheme="minorHAnsi"/>
          <w:sz w:val="24"/>
          <w:szCs w:val="24"/>
        </w:rPr>
        <w:t xml:space="preserve">ubmissions on draft guidelines are </w:t>
      </w:r>
      <w:r w:rsidR="00C40946">
        <w:rPr>
          <w:rFonts w:cstheme="minorHAnsi"/>
          <w:sz w:val="24"/>
          <w:szCs w:val="24"/>
        </w:rPr>
        <w:t>closed for all workstreams and t</w:t>
      </w:r>
      <w:r w:rsidR="00C40946" w:rsidRPr="00C40946">
        <w:rPr>
          <w:rFonts w:cstheme="minorHAnsi"/>
          <w:sz w:val="24"/>
          <w:szCs w:val="24"/>
        </w:rPr>
        <w:t>hank</w:t>
      </w:r>
      <w:r w:rsidR="00C40946">
        <w:rPr>
          <w:rFonts w:cstheme="minorHAnsi"/>
          <w:sz w:val="24"/>
          <w:szCs w:val="24"/>
        </w:rPr>
        <w:t>ed</w:t>
      </w:r>
      <w:r w:rsidR="00C40946" w:rsidRPr="00C40946">
        <w:rPr>
          <w:rFonts w:cstheme="minorHAnsi"/>
          <w:sz w:val="24"/>
          <w:szCs w:val="24"/>
        </w:rPr>
        <w:t xml:space="preserve"> CRG members who provided written submissions</w:t>
      </w:r>
      <w:r w:rsidR="00C40946">
        <w:rPr>
          <w:rFonts w:cstheme="minorHAnsi"/>
          <w:sz w:val="24"/>
          <w:szCs w:val="24"/>
        </w:rPr>
        <w:t>. We have attempted to provide the</w:t>
      </w:r>
      <w:r w:rsidR="00615A98">
        <w:rPr>
          <w:rFonts w:cstheme="minorHAnsi"/>
          <w:sz w:val="24"/>
          <w:szCs w:val="24"/>
        </w:rPr>
        <w:t xml:space="preserve"> CRG an opportunity to contribute at every important milestone </w:t>
      </w:r>
      <w:r w:rsidR="00C40946">
        <w:rPr>
          <w:rFonts w:cstheme="minorHAnsi"/>
          <w:sz w:val="24"/>
          <w:szCs w:val="24"/>
        </w:rPr>
        <w:t xml:space="preserve">of the </w:t>
      </w:r>
      <w:r w:rsidR="00615A98">
        <w:rPr>
          <w:rFonts w:cstheme="minorHAnsi"/>
          <w:sz w:val="24"/>
          <w:szCs w:val="24"/>
        </w:rPr>
        <w:t>Better Regulation</w:t>
      </w:r>
      <w:r w:rsidR="00C40946">
        <w:rPr>
          <w:rFonts w:cstheme="minorHAnsi"/>
          <w:sz w:val="24"/>
          <w:szCs w:val="24"/>
        </w:rPr>
        <w:t xml:space="preserve"> program</w:t>
      </w:r>
      <w:r w:rsidR="00615A98">
        <w:rPr>
          <w:rFonts w:cstheme="minorHAnsi"/>
          <w:sz w:val="24"/>
          <w:szCs w:val="24"/>
        </w:rPr>
        <w:t>.</w:t>
      </w:r>
      <w:r w:rsidR="00C40946">
        <w:rPr>
          <w:rFonts w:cstheme="minorHAnsi"/>
          <w:sz w:val="24"/>
          <w:szCs w:val="24"/>
        </w:rPr>
        <w:t xml:space="preserve"> Thi</w:t>
      </w:r>
      <w:r w:rsidR="00615A98">
        <w:rPr>
          <w:rFonts w:cstheme="minorHAnsi"/>
          <w:sz w:val="24"/>
          <w:szCs w:val="24"/>
        </w:rPr>
        <w:t xml:space="preserve">s meeting </w:t>
      </w:r>
      <w:r w:rsidR="00C40946">
        <w:rPr>
          <w:rFonts w:cstheme="minorHAnsi"/>
          <w:sz w:val="24"/>
          <w:szCs w:val="24"/>
        </w:rPr>
        <w:t>wa</w:t>
      </w:r>
      <w:r w:rsidR="00615A98">
        <w:rPr>
          <w:rFonts w:cstheme="minorHAnsi"/>
          <w:sz w:val="24"/>
          <w:szCs w:val="24"/>
        </w:rPr>
        <w:t xml:space="preserve">s for CRG members to present positions on the draft guideline and clarify any points. </w:t>
      </w:r>
    </w:p>
    <w:p w:rsidR="005757B9" w:rsidRPr="00F7194D" w:rsidRDefault="00F7194D" w:rsidP="00D90674">
      <w:pPr>
        <w:jc w:val="both"/>
        <w:rPr>
          <w:rFonts w:cstheme="minorHAnsi"/>
          <w:sz w:val="24"/>
          <w:szCs w:val="24"/>
        </w:rPr>
      </w:pPr>
      <w:r>
        <w:rPr>
          <w:rFonts w:cstheme="minorHAnsi"/>
          <w:sz w:val="24"/>
          <w:szCs w:val="24"/>
        </w:rPr>
        <w:lastRenderedPageBreak/>
        <w:t xml:space="preserve">Andrew </w:t>
      </w:r>
      <w:r w:rsidR="00B863A9">
        <w:rPr>
          <w:rFonts w:cstheme="minorHAnsi"/>
          <w:sz w:val="24"/>
          <w:szCs w:val="24"/>
        </w:rPr>
        <w:t>stated it is</w:t>
      </w:r>
      <w:r w:rsidR="005757B9" w:rsidRPr="00D90674">
        <w:rPr>
          <w:rFonts w:cstheme="minorHAnsi"/>
          <w:sz w:val="24"/>
          <w:szCs w:val="24"/>
        </w:rPr>
        <w:t xml:space="preserve"> the first time we have </w:t>
      </w:r>
      <w:r w:rsidR="0090267B" w:rsidRPr="00D90674">
        <w:rPr>
          <w:rFonts w:cstheme="minorHAnsi"/>
          <w:sz w:val="24"/>
          <w:szCs w:val="24"/>
        </w:rPr>
        <w:t xml:space="preserve">held </w:t>
      </w:r>
      <w:r w:rsidR="005757B9" w:rsidRPr="00D90674">
        <w:rPr>
          <w:rFonts w:cstheme="minorHAnsi"/>
          <w:sz w:val="24"/>
          <w:szCs w:val="24"/>
        </w:rPr>
        <w:t xml:space="preserve">this type of forum for consumer engagement and we are </w:t>
      </w:r>
      <w:r w:rsidR="001C3853" w:rsidRPr="00D90674">
        <w:rPr>
          <w:rFonts w:cstheme="minorHAnsi"/>
          <w:sz w:val="24"/>
          <w:szCs w:val="24"/>
        </w:rPr>
        <w:t>considering this model for</w:t>
      </w:r>
      <w:r w:rsidR="005757B9" w:rsidRPr="00D90674">
        <w:rPr>
          <w:rFonts w:cstheme="minorHAnsi"/>
          <w:sz w:val="24"/>
          <w:szCs w:val="24"/>
        </w:rPr>
        <w:t xml:space="preserve"> future engagement work.</w:t>
      </w:r>
      <w:r w:rsidR="00B863A9">
        <w:rPr>
          <w:rFonts w:cstheme="minorHAnsi"/>
          <w:sz w:val="24"/>
          <w:szCs w:val="24"/>
        </w:rPr>
        <w:t xml:space="preserve"> Importantly, t</w:t>
      </w:r>
      <w:r w:rsidR="005757B9">
        <w:rPr>
          <w:rFonts w:cstheme="minorHAnsi"/>
          <w:sz w:val="24"/>
          <w:szCs w:val="24"/>
        </w:rPr>
        <w:t>he CRG has challenged our positions resulting in robust discussion and influenced the outcomes we have reached.</w:t>
      </w:r>
    </w:p>
    <w:p w:rsidR="00CC1C28" w:rsidRPr="00EC7DEE" w:rsidRDefault="00CC1C28" w:rsidP="00CC1C28">
      <w:pPr>
        <w:spacing w:after="0" w:line="240" w:lineRule="auto"/>
        <w:jc w:val="both"/>
        <w:rPr>
          <w:rFonts w:eastAsia="Times New Roman" w:cstheme="minorHAnsi"/>
          <w:b/>
          <w:sz w:val="24"/>
          <w:szCs w:val="28"/>
        </w:rPr>
      </w:pPr>
      <w:r w:rsidRPr="00EC7DEE">
        <w:rPr>
          <w:rFonts w:eastAsia="Times New Roman" w:cstheme="minorHAnsi"/>
          <w:b/>
          <w:sz w:val="24"/>
          <w:szCs w:val="28"/>
        </w:rPr>
        <w:t>2</w:t>
      </w:r>
      <w:r w:rsidRPr="00EC7DEE">
        <w:rPr>
          <w:rFonts w:eastAsia="Times New Roman" w:cstheme="minorHAnsi"/>
          <w:b/>
          <w:sz w:val="24"/>
          <w:szCs w:val="28"/>
        </w:rPr>
        <w:tab/>
      </w:r>
      <w:r w:rsidR="005757B9">
        <w:rPr>
          <w:rFonts w:eastAsia="Times New Roman" w:cstheme="minorHAnsi"/>
          <w:b/>
          <w:sz w:val="24"/>
          <w:szCs w:val="28"/>
        </w:rPr>
        <w:t>Expenditure Forecast Assessment</w:t>
      </w:r>
    </w:p>
    <w:p w:rsidR="00CC1C28" w:rsidRPr="00EC7DEE" w:rsidRDefault="00CC1C28" w:rsidP="00CC1C28">
      <w:pPr>
        <w:spacing w:after="0" w:line="240" w:lineRule="auto"/>
        <w:jc w:val="both"/>
        <w:rPr>
          <w:rFonts w:cstheme="minorHAnsi"/>
          <w:sz w:val="24"/>
          <w:szCs w:val="24"/>
        </w:rPr>
      </w:pPr>
    </w:p>
    <w:p w:rsidR="00CC1C28" w:rsidRDefault="00C40946" w:rsidP="005757B9">
      <w:pPr>
        <w:jc w:val="both"/>
        <w:rPr>
          <w:rFonts w:cstheme="minorHAnsi"/>
          <w:sz w:val="24"/>
          <w:szCs w:val="24"/>
        </w:rPr>
      </w:pPr>
      <w:r>
        <w:rPr>
          <w:rFonts w:cstheme="minorHAnsi"/>
          <w:sz w:val="24"/>
          <w:szCs w:val="24"/>
        </w:rPr>
        <w:t>CRG members</w:t>
      </w:r>
      <w:r w:rsidR="005757B9">
        <w:rPr>
          <w:rFonts w:cstheme="minorHAnsi"/>
          <w:sz w:val="24"/>
          <w:szCs w:val="24"/>
        </w:rPr>
        <w:t xml:space="preserve"> noted the positive aspects of the </w:t>
      </w:r>
      <w:r>
        <w:rPr>
          <w:rFonts w:cstheme="minorHAnsi"/>
          <w:sz w:val="24"/>
          <w:szCs w:val="24"/>
        </w:rPr>
        <w:t xml:space="preserve">expenditure forecast </w:t>
      </w:r>
      <w:r w:rsidR="005757B9">
        <w:rPr>
          <w:rFonts w:cstheme="minorHAnsi"/>
          <w:sz w:val="24"/>
          <w:szCs w:val="24"/>
        </w:rPr>
        <w:t xml:space="preserve">draft guideline in its approach to benchmarking, spreadsheets and modelling. </w:t>
      </w:r>
      <w:r>
        <w:rPr>
          <w:rFonts w:cstheme="minorHAnsi"/>
          <w:sz w:val="24"/>
          <w:szCs w:val="24"/>
        </w:rPr>
        <w:t>T</w:t>
      </w:r>
      <w:r w:rsidR="005757B9">
        <w:rPr>
          <w:rFonts w:cstheme="minorHAnsi"/>
          <w:sz w:val="24"/>
          <w:szCs w:val="24"/>
        </w:rPr>
        <w:t>he guideline required further information re</w:t>
      </w:r>
      <w:r w:rsidR="001C3853">
        <w:rPr>
          <w:rFonts w:cstheme="minorHAnsi"/>
          <w:sz w:val="24"/>
          <w:szCs w:val="24"/>
        </w:rPr>
        <w:t>garding the specifics of benchmarking</w:t>
      </w:r>
      <w:r w:rsidR="00DB669C">
        <w:rPr>
          <w:rFonts w:cstheme="minorHAnsi"/>
          <w:sz w:val="24"/>
          <w:szCs w:val="24"/>
        </w:rPr>
        <w:t xml:space="preserve">. </w:t>
      </w:r>
    </w:p>
    <w:p w:rsidR="00C01789" w:rsidRDefault="00011333" w:rsidP="00C01789">
      <w:pPr>
        <w:jc w:val="both"/>
        <w:rPr>
          <w:rFonts w:cstheme="minorHAnsi"/>
          <w:sz w:val="24"/>
          <w:szCs w:val="24"/>
        </w:rPr>
      </w:pPr>
      <w:r>
        <w:rPr>
          <w:rFonts w:cstheme="minorHAnsi"/>
          <w:sz w:val="24"/>
          <w:szCs w:val="24"/>
        </w:rPr>
        <w:t xml:space="preserve">CRG members </w:t>
      </w:r>
      <w:r w:rsidR="00C40946">
        <w:rPr>
          <w:rFonts w:cstheme="minorHAnsi"/>
          <w:sz w:val="24"/>
          <w:szCs w:val="24"/>
        </w:rPr>
        <w:t>sta</w:t>
      </w:r>
      <w:r>
        <w:rPr>
          <w:rFonts w:cstheme="minorHAnsi"/>
          <w:sz w:val="24"/>
          <w:szCs w:val="24"/>
        </w:rPr>
        <w:t xml:space="preserve">ted that demand forecasting suggested a reduction in </w:t>
      </w:r>
      <w:r w:rsidR="00AC14D1">
        <w:rPr>
          <w:rFonts w:cstheme="minorHAnsi"/>
          <w:sz w:val="24"/>
          <w:szCs w:val="24"/>
        </w:rPr>
        <w:t>network growth while consumer costs were still rising</w:t>
      </w:r>
      <w:r>
        <w:rPr>
          <w:rFonts w:cstheme="minorHAnsi"/>
          <w:sz w:val="24"/>
          <w:szCs w:val="24"/>
        </w:rPr>
        <w:t xml:space="preserve">. </w:t>
      </w:r>
      <w:r w:rsidR="00C01789">
        <w:rPr>
          <w:rFonts w:cstheme="minorHAnsi"/>
          <w:sz w:val="24"/>
          <w:szCs w:val="24"/>
        </w:rPr>
        <w:t>CRG members stated that the incentive system in the regulatory regime encourages over forecasting and that reviewing forecasting each year could stop errors occurring. CRG m</w:t>
      </w:r>
      <w:r>
        <w:rPr>
          <w:rFonts w:cstheme="minorHAnsi"/>
          <w:sz w:val="24"/>
          <w:szCs w:val="24"/>
        </w:rPr>
        <w:t xml:space="preserve">embers </w:t>
      </w:r>
      <w:r w:rsidR="00C01789">
        <w:rPr>
          <w:rFonts w:cstheme="minorHAnsi"/>
          <w:sz w:val="24"/>
          <w:szCs w:val="24"/>
        </w:rPr>
        <w:t xml:space="preserve">queried </w:t>
      </w:r>
      <w:r>
        <w:rPr>
          <w:rFonts w:cstheme="minorHAnsi"/>
          <w:sz w:val="24"/>
          <w:szCs w:val="24"/>
        </w:rPr>
        <w:t>how the draft guideline can ensure overly optimistic demand forecasts will not be set.</w:t>
      </w:r>
      <w:r w:rsidR="00C01789" w:rsidRPr="00C01789">
        <w:rPr>
          <w:rFonts w:cstheme="minorHAnsi"/>
          <w:sz w:val="24"/>
          <w:szCs w:val="24"/>
        </w:rPr>
        <w:t xml:space="preserve"> </w:t>
      </w:r>
    </w:p>
    <w:p w:rsidR="00C01789" w:rsidRPr="00EC7DEE" w:rsidRDefault="00011333" w:rsidP="00C01789">
      <w:pPr>
        <w:jc w:val="both"/>
        <w:rPr>
          <w:rFonts w:cstheme="minorHAnsi"/>
          <w:sz w:val="24"/>
          <w:szCs w:val="24"/>
        </w:rPr>
      </w:pPr>
      <w:r>
        <w:rPr>
          <w:rFonts w:cstheme="minorHAnsi"/>
          <w:sz w:val="24"/>
          <w:szCs w:val="24"/>
        </w:rPr>
        <w:t xml:space="preserve">Andrew noted that this may </w:t>
      </w:r>
      <w:r w:rsidR="00131967">
        <w:rPr>
          <w:rFonts w:cstheme="minorHAnsi"/>
          <w:sz w:val="24"/>
          <w:szCs w:val="24"/>
        </w:rPr>
        <w:t xml:space="preserve">be </w:t>
      </w:r>
      <w:r>
        <w:rPr>
          <w:rFonts w:cstheme="minorHAnsi"/>
          <w:sz w:val="24"/>
          <w:szCs w:val="24"/>
        </w:rPr>
        <w:t xml:space="preserve">an issue </w:t>
      </w:r>
      <w:r w:rsidR="00AC14D1">
        <w:rPr>
          <w:rFonts w:cstheme="minorHAnsi"/>
          <w:sz w:val="24"/>
          <w:szCs w:val="24"/>
        </w:rPr>
        <w:t>to be considered by the</w:t>
      </w:r>
      <w:r>
        <w:rPr>
          <w:rFonts w:cstheme="minorHAnsi"/>
          <w:sz w:val="24"/>
          <w:szCs w:val="24"/>
        </w:rPr>
        <w:t xml:space="preserve"> Australian Energy Market Operator</w:t>
      </w:r>
      <w:r w:rsidR="00C01789">
        <w:rPr>
          <w:rFonts w:cstheme="minorHAnsi"/>
          <w:sz w:val="24"/>
          <w:szCs w:val="24"/>
        </w:rPr>
        <w:t xml:space="preserve"> (AEMO)</w:t>
      </w:r>
      <w:r w:rsidR="00AC14D1">
        <w:rPr>
          <w:rFonts w:cstheme="minorHAnsi"/>
          <w:sz w:val="24"/>
          <w:szCs w:val="24"/>
        </w:rPr>
        <w:t xml:space="preserve"> but ultimately network growth is driven by demand growth.</w:t>
      </w:r>
      <w:r>
        <w:rPr>
          <w:rFonts w:cstheme="minorHAnsi"/>
          <w:sz w:val="24"/>
          <w:szCs w:val="24"/>
        </w:rPr>
        <w:t xml:space="preserve"> </w:t>
      </w:r>
      <w:r w:rsidR="00C01789">
        <w:rPr>
          <w:rFonts w:cstheme="minorHAnsi"/>
          <w:sz w:val="24"/>
          <w:szCs w:val="24"/>
        </w:rPr>
        <w:t xml:space="preserve">The regulatory framework determines the circumstances in which an annual review can be conducted. </w:t>
      </w:r>
    </w:p>
    <w:p w:rsidR="00FA3ED0" w:rsidRDefault="00BE072F" w:rsidP="005757B9">
      <w:pPr>
        <w:jc w:val="both"/>
        <w:rPr>
          <w:rFonts w:cstheme="minorHAnsi"/>
          <w:sz w:val="24"/>
          <w:szCs w:val="24"/>
        </w:rPr>
      </w:pPr>
      <w:r>
        <w:rPr>
          <w:rFonts w:cstheme="minorHAnsi"/>
          <w:sz w:val="24"/>
          <w:szCs w:val="24"/>
        </w:rPr>
        <w:t xml:space="preserve">CRG members noted that there is little data available for consumers to understand and engage with demand forecasting by NSPs. Members raised concerns around </w:t>
      </w:r>
      <w:r w:rsidR="00FA3ED0">
        <w:rPr>
          <w:rFonts w:cstheme="minorHAnsi"/>
          <w:sz w:val="24"/>
          <w:szCs w:val="24"/>
        </w:rPr>
        <w:t>demand</w:t>
      </w:r>
      <w:r>
        <w:rPr>
          <w:rFonts w:cstheme="minorHAnsi"/>
          <w:sz w:val="24"/>
          <w:szCs w:val="24"/>
        </w:rPr>
        <w:t xml:space="preserve"> in regional areas that are driven by major industries. Where a major user exits the market there is a concern that smaller users are paying for a network with redundant </w:t>
      </w:r>
      <w:r w:rsidR="00FA3ED0">
        <w:rPr>
          <w:rFonts w:cstheme="minorHAnsi"/>
          <w:sz w:val="24"/>
          <w:szCs w:val="24"/>
        </w:rPr>
        <w:t xml:space="preserve">assets. </w:t>
      </w:r>
    </w:p>
    <w:p w:rsidR="00FA3ED0" w:rsidRDefault="00C01789" w:rsidP="005757B9">
      <w:pPr>
        <w:jc w:val="both"/>
        <w:rPr>
          <w:rFonts w:cstheme="minorHAnsi"/>
          <w:sz w:val="24"/>
          <w:szCs w:val="24"/>
        </w:rPr>
      </w:pPr>
      <w:r>
        <w:rPr>
          <w:rFonts w:cstheme="minorHAnsi"/>
          <w:sz w:val="24"/>
          <w:szCs w:val="24"/>
        </w:rPr>
        <w:t>AER staff</w:t>
      </w:r>
      <w:r w:rsidR="00FA3ED0">
        <w:rPr>
          <w:rFonts w:cstheme="minorHAnsi"/>
          <w:sz w:val="24"/>
          <w:szCs w:val="24"/>
        </w:rPr>
        <w:t xml:space="preserve"> noted that </w:t>
      </w:r>
      <w:r>
        <w:rPr>
          <w:rFonts w:cstheme="minorHAnsi"/>
          <w:sz w:val="24"/>
          <w:szCs w:val="24"/>
        </w:rPr>
        <w:t>t</w:t>
      </w:r>
      <w:r w:rsidR="00FA3ED0">
        <w:rPr>
          <w:rFonts w:cstheme="minorHAnsi"/>
          <w:sz w:val="24"/>
          <w:szCs w:val="24"/>
        </w:rPr>
        <w:t xml:space="preserve">here is always an element of uncertainty in demand forecasting and it is a question of whether the regulatory framework adequately deals with this uncertainty. </w:t>
      </w:r>
    </w:p>
    <w:p w:rsidR="00A70A10" w:rsidRDefault="007C0CD6" w:rsidP="005757B9">
      <w:pPr>
        <w:jc w:val="both"/>
        <w:rPr>
          <w:rFonts w:cstheme="minorHAnsi"/>
          <w:sz w:val="24"/>
          <w:szCs w:val="24"/>
        </w:rPr>
      </w:pPr>
      <w:r>
        <w:rPr>
          <w:rFonts w:cstheme="minorHAnsi"/>
          <w:sz w:val="24"/>
          <w:szCs w:val="24"/>
        </w:rPr>
        <w:t>CRG members noted d</w:t>
      </w:r>
      <w:r w:rsidR="00A70A10">
        <w:rPr>
          <w:rFonts w:cstheme="minorHAnsi"/>
          <w:sz w:val="24"/>
          <w:szCs w:val="24"/>
        </w:rPr>
        <w:t xml:space="preserve">ifficulties in determining real </w:t>
      </w:r>
      <w:r>
        <w:rPr>
          <w:rFonts w:cstheme="minorHAnsi"/>
          <w:sz w:val="24"/>
          <w:szCs w:val="24"/>
        </w:rPr>
        <w:t xml:space="preserve">costs without strong historical data from NSPs. </w:t>
      </w:r>
      <w:r w:rsidR="00C01789">
        <w:rPr>
          <w:rFonts w:cstheme="minorHAnsi"/>
          <w:sz w:val="24"/>
          <w:szCs w:val="24"/>
        </w:rPr>
        <w:t>CRG m</w:t>
      </w:r>
      <w:r w:rsidR="00A70A10">
        <w:rPr>
          <w:rFonts w:cstheme="minorHAnsi"/>
          <w:sz w:val="24"/>
          <w:szCs w:val="24"/>
        </w:rPr>
        <w:t xml:space="preserve">embers </w:t>
      </w:r>
      <w:r w:rsidR="00C01789">
        <w:rPr>
          <w:rFonts w:cstheme="minorHAnsi"/>
          <w:sz w:val="24"/>
          <w:szCs w:val="24"/>
        </w:rPr>
        <w:t>would like</w:t>
      </w:r>
      <w:r w:rsidR="00A70A10">
        <w:rPr>
          <w:rFonts w:cstheme="minorHAnsi"/>
          <w:sz w:val="24"/>
          <w:szCs w:val="24"/>
        </w:rPr>
        <w:t xml:space="preserve"> AER decisions </w:t>
      </w:r>
      <w:r w:rsidR="006D44B2">
        <w:rPr>
          <w:rFonts w:cstheme="minorHAnsi"/>
          <w:sz w:val="24"/>
          <w:szCs w:val="24"/>
        </w:rPr>
        <w:t>to</w:t>
      </w:r>
      <w:r w:rsidR="00A70A10">
        <w:rPr>
          <w:rFonts w:cstheme="minorHAnsi"/>
          <w:sz w:val="24"/>
          <w:szCs w:val="24"/>
        </w:rPr>
        <w:t xml:space="preserve"> </w:t>
      </w:r>
      <w:r w:rsidR="009737F6">
        <w:rPr>
          <w:rFonts w:cstheme="minorHAnsi"/>
          <w:sz w:val="24"/>
          <w:szCs w:val="24"/>
        </w:rPr>
        <w:t xml:space="preserve">indicate </w:t>
      </w:r>
      <w:r w:rsidR="006D44B2">
        <w:rPr>
          <w:rFonts w:cstheme="minorHAnsi"/>
          <w:sz w:val="24"/>
          <w:szCs w:val="24"/>
        </w:rPr>
        <w:t>its</w:t>
      </w:r>
      <w:r w:rsidR="009737F6">
        <w:rPr>
          <w:rFonts w:cstheme="minorHAnsi"/>
          <w:sz w:val="24"/>
          <w:szCs w:val="24"/>
        </w:rPr>
        <w:t xml:space="preserve"> confidence in</w:t>
      </w:r>
      <w:r w:rsidR="006D44B2">
        <w:rPr>
          <w:rFonts w:cstheme="minorHAnsi"/>
          <w:sz w:val="24"/>
          <w:szCs w:val="24"/>
        </w:rPr>
        <w:t xml:space="preserve"> the</w:t>
      </w:r>
      <w:r w:rsidR="009737F6">
        <w:rPr>
          <w:rFonts w:cstheme="minorHAnsi"/>
          <w:sz w:val="24"/>
          <w:szCs w:val="24"/>
        </w:rPr>
        <w:t xml:space="preserve"> data.</w:t>
      </w:r>
      <w:r w:rsidR="00C01789">
        <w:rPr>
          <w:rFonts w:cstheme="minorHAnsi"/>
          <w:sz w:val="24"/>
          <w:szCs w:val="24"/>
        </w:rPr>
        <w:t xml:space="preserve"> In a</w:t>
      </w:r>
      <w:r w:rsidR="00F32DCA">
        <w:rPr>
          <w:rFonts w:cstheme="minorHAnsi"/>
          <w:sz w:val="24"/>
          <w:szCs w:val="24"/>
        </w:rPr>
        <w:t xml:space="preserve">ddition, AER decisions are clear regarding the data that NSPs must provide. </w:t>
      </w:r>
      <w:r w:rsidR="00C01789">
        <w:rPr>
          <w:rFonts w:cstheme="minorHAnsi"/>
          <w:sz w:val="24"/>
          <w:szCs w:val="24"/>
        </w:rPr>
        <w:t>As</w:t>
      </w:r>
      <w:r w:rsidR="00F32DCA">
        <w:rPr>
          <w:rFonts w:cstheme="minorHAnsi"/>
          <w:sz w:val="24"/>
          <w:szCs w:val="24"/>
        </w:rPr>
        <w:t xml:space="preserve"> collecting such data is a part of operating efficiently</w:t>
      </w:r>
      <w:r w:rsidR="00C01789">
        <w:rPr>
          <w:rFonts w:cstheme="minorHAnsi"/>
          <w:sz w:val="24"/>
          <w:szCs w:val="24"/>
        </w:rPr>
        <w:t xml:space="preserve">, </w:t>
      </w:r>
      <w:r w:rsidR="00F32DCA">
        <w:rPr>
          <w:rFonts w:cstheme="minorHAnsi"/>
          <w:sz w:val="24"/>
          <w:szCs w:val="24"/>
        </w:rPr>
        <w:t xml:space="preserve">NSPs should not be claiming a higher opex in order to collect data. </w:t>
      </w:r>
    </w:p>
    <w:p w:rsidR="00F32DCA" w:rsidRDefault="00A70A10" w:rsidP="005757B9">
      <w:pPr>
        <w:jc w:val="both"/>
        <w:rPr>
          <w:rFonts w:cstheme="minorHAnsi"/>
          <w:sz w:val="24"/>
          <w:szCs w:val="24"/>
        </w:rPr>
      </w:pPr>
      <w:r>
        <w:rPr>
          <w:rFonts w:cstheme="minorHAnsi"/>
          <w:sz w:val="24"/>
          <w:szCs w:val="24"/>
        </w:rPr>
        <w:t xml:space="preserve">AER staff noted that the </w:t>
      </w:r>
      <w:r w:rsidR="00C01789">
        <w:rPr>
          <w:rFonts w:cstheme="minorHAnsi"/>
          <w:sz w:val="24"/>
          <w:szCs w:val="24"/>
        </w:rPr>
        <w:t>accuracy of</w:t>
      </w:r>
      <w:r>
        <w:rPr>
          <w:rFonts w:cstheme="minorHAnsi"/>
          <w:sz w:val="24"/>
          <w:szCs w:val="24"/>
        </w:rPr>
        <w:t xml:space="preserve"> data</w:t>
      </w:r>
      <w:r w:rsidR="00C01789">
        <w:rPr>
          <w:rFonts w:cstheme="minorHAnsi"/>
          <w:sz w:val="24"/>
          <w:szCs w:val="24"/>
        </w:rPr>
        <w:t xml:space="preserve"> generally depends on</w:t>
      </w:r>
      <w:r>
        <w:rPr>
          <w:rFonts w:cstheme="minorHAnsi"/>
          <w:sz w:val="24"/>
          <w:szCs w:val="24"/>
        </w:rPr>
        <w:t xml:space="preserve"> how disaggregated the information is</w:t>
      </w:r>
      <w:r w:rsidR="00F32DCA">
        <w:rPr>
          <w:rFonts w:cstheme="minorHAnsi"/>
          <w:sz w:val="24"/>
          <w:szCs w:val="24"/>
        </w:rPr>
        <w:t>.</w:t>
      </w:r>
      <w:r w:rsidR="009737F6">
        <w:rPr>
          <w:rFonts w:cstheme="minorHAnsi"/>
          <w:sz w:val="24"/>
          <w:szCs w:val="24"/>
        </w:rPr>
        <w:t xml:space="preserve"> </w:t>
      </w:r>
      <w:r w:rsidR="002329AC">
        <w:rPr>
          <w:rFonts w:cstheme="minorHAnsi"/>
          <w:sz w:val="24"/>
          <w:szCs w:val="24"/>
        </w:rPr>
        <w:t>AER staff broadly</w:t>
      </w:r>
      <w:r w:rsidR="00F32DCA">
        <w:rPr>
          <w:rFonts w:cstheme="minorHAnsi"/>
          <w:sz w:val="24"/>
          <w:szCs w:val="24"/>
        </w:rPr>
        <w:t xml:space="preserve"> agreed</w:t>
      </w:r>
      <w:r w:rsidR="002329AC">
        <w:rPr>
          <w:rFonts w:cstheme="minorHAnsi"/>
          <w:sz w:val="24"/>
          <w:szCs w:val="24"/>
        </w:rPr>
        <w:t xml:space="preserve"> with</w:t>
      </w:r>
      <w:r w:rsidR="00F32DCA">
        <w:rPr>
          <w:rFonts w:cstheme="minorHAnsi"/>
          <w:sz w:val="24"/>
          <w:szCs w:val="24"/>
        </w:rPr>
        <w:t xml:space="preserve"> the view expressed by members regarding collection of data</w:t>
      </w:r>
      <w:r w:rsidR="002329AC">
        <w:rPr>
          <w:rFonts w:cstheme="minorHAnsi"/>
          <w:sz w:val="24"/>
          <w:szCs w:val="24"/>
        </w:rPr>
        <w:t xml:space="preserve"> but noted </w:t>
      </w:r>
      <w:r w:rsidR="000171DD">
        <w:rPr>
          <w:rFonts w:cstheme="minorHAnsi"/>
          <w:sz w:val="24"/>
          <w:szCs w:val="24"/>
        </w:rPr>
        <w:t>we are working towards having accurate data sets</w:t>
      </w:r>
      <w:r w:rsidR="00F32DCA">
        <w:rPr>
          <w:rFonts w:cstheme="minorHAnsi"/>
          <w:sz w:val="24"/>
          <w:szCs w:val="24"/>
        </w:rPr>
        <w:t>.</w:t>
      </w:r>
    </w:p>
    <w:p w:rsidR="00CC1C28" w:rsidRDefault="00CC1C28" w:rsidP="00CC1C28">
      <w:pPr>
        <w:jc w:val="both"/>
        <w:rPr>
          <w:rFonts w:eastAsia="Times New Roman" w:cstheme="minorHAnsi"/>
          <w:b/>
          <w:sz w:val="24"/>
          <w:szCs w:val="28"/>
        </w:rPr>
      </w:pPr>
      <w:r w:rsidRPr="00EC7DEE">
        <w:rPr>
          <w:rFonts w:cstheme="minorHAnsi"/>
          <w:b/>
          <w:sz w:val="24"/>
          <w:szCs w:val="24"/>
        </w:rPr>
        <w:t>3</w:t>
      </w:r>
      <w:r w:rsidRPr="00EC7DEE">
        <w:rPr>
          <w:rFonts w:cstheme="minorHAnsi"/>
          <w:sz w:val="24"/>
          <w:szCs w:val="24"/>
        </w:rPr>
        <w:tab/>
      </w:r>
      <w:r w:rsidR="002D6414">
        <w:rPr>
          <w:rFonts w:eastAsia="Times New Roman" w:cstheme="minorHAnsi"/>
          <w:b/>
          <w:sz w:val="24"/>
          <w:szCs w:val="28"/>
        </w:rPr>
        <w:t xml:space="preserve">Expenditure Incentives </w:t>
      </w:r>
    </w:p>
    <w:p w:rsidR="00A4138A" w:rsidRDefault="000171DD" w:rsidP="00A4138A">
      <w:pPr>
        <w:jc w:val="both"/>
        <w:rPr>
          <w:rFonts w:cstheme="minorHAnsi"/>
          <w:sz w:val="24"/>
          <w:szCs w:val="24"/>
        </w:rPr>
      </w:pPr>
      <w:r>
        <w:rPr>
          <w:rFonts w:eastAsia="Times New Roman" w:cstheme="minorHAnsi"/>
          <w:sz w:val="24"/>
          <w:szCs w:val="28"/>
        </w:rPr>
        <w:t xml:space="preserve">CRG members </w:t>
      </w:r>
      <w:r w:rsidR="002D6414">
        <w:rPr>
          <w:rFonts w:eastAsia="Times New Roman" w:cstheme="minorHAnsi"/>
          <w:sz w:val="24"/>
          <w:szCs w:val="28"/>
        </w:rPr>
        <w:t xml:space="preserve">noted that the purpose of expenditure incentives is to drive businesses towards the efficiency frontier. The draft guideline </w:t>
      </w:r>
      <w:r w:rsidR="001A65C4">
        <w:rPr>
          <w:rFonts w:eastAsia="Times New Roman" w:cstheme="minorHAnsi"/>
          <w:sz w:val="24"/>
          <w:szCs w:val="28"/>
        </w:rPr>
        <w:t>achieves this objective better than</w:t>
      </w:r>
      <w:r w:rsidR="00A4138A">
        <w:rPr>
          <w:rFonts w:eastAsia="Times New Roman" w:cstheme="minorHAnsi"/>
          <w:sz w:val="24"/>
          <w:szCs w:val="28"/>
        </w:rPr>
        <w:t xml:space="preserve"> the </w:t>
      </w:r>
      <w:r w:rsidR="00A4138A">
        <w:rPr>
          <w:rFonts w:eastAsia="Times New Roman" w:cstheme="minorHAnsi"/>
          <w:sz w:val="24"/>
          <w:szCs w:val="28"/>
        </w:rPr>
        <w:lastRenderedPageBreak/>
        <w:t>previous approach but the</w:t>
      </w:r>
      <w:r w:rsidR="005013C1">
        <w:rPr>
          <w:rFonts w:eastAsia="Times New Roman" w:cstheme="minorHAnsi"/>
          <w:sz w:val="24"/>
          <w:szCs w:val="28"/>
        </w:rPr>
        <w:t>re are</w:t>
      </w:r>
      <w:r w:rsidR="00A4138A">
        <w:rPr>
          <w:rFonts w:eastAsia="Times New Roman" w:cstheme="minorHAnsi"/>
          <w:sz w:val="24"/>
          <w:szCs w:val="28"/>
        </w:rPr>
        <w:t xml:space="preserve"> aspects that could be improved </w:t>
      </w:r>
      <w:r w:rsidR="005013C1">
        <w:rPr>
          <w:rFonts w:eastAsia="Times New Roman" w:cstheme="minorHAnsi"/>
          <w:sz w:val="24"/>
          <w:szCs w:val="28"/>
        </w:rPr>
        <w:t>in</w:t>
      </w:r>
      <w:r w:rsidR="00A4138A">
        <w:rPr>
          <w:rFonts w:eastAsia="Times New Roman" w:cstheme="minorHAnsi"/>
          <w:sz w:val="24"/>
          <w:szCs w:val="28"/>
        </w:rPr>
        <w:t xml:space="preserve"> EBSS,</w:t>
      </w:r>
      <w:r w:rsidR="005013C1">
        <w:rPr>
          <w:rFonts w:eastAsia="Times New Roman" w:cstheme="minorHAnsi"/>
          <w:sz w:val="24"/>
          <w:szCs w:val="28"/>
        </w:rPr>
        <w:t xml:space="preserve"> CESS,</w:t>
      </w:r>
      <w:r w:rsidR="00A4138A">
        <w:rPr>
          <w:rFonts w:eastAsia="Times New Roman" w:cstheme="minorHAnsi"/>
          <w:sz w:val="24"/>
          <w:szCs w:val="28"/>
        </w:rPr>
        <w:t xml:space="preserve"> </w:t>
      </w:r>
      <w:r w:rsidR="00A4138A">
        <w:rPr>
          <w:rFonts w:cstheme="minorHAnsi"/>
          <w:sz w:val="24"/>
          <w:szCs w:val="24"/>
        </w:rPr>
        <w:t>r</w:t>
      </w:r>
      <w:r w:rsidR="00A4138A" w:rsidRPr="00A4138A">
        <w:rPr>
          <w:rFonts w:cstheme="minorHAnsi"/>
          <w:sz w:val="24"/>
          <w:szCs w:val="24"/>
        </w:rPr>
        <w:t>o</w:t>
      </w:r>
      <w:r w:rsidR="005013C1">
        <w:rPr>
          <w:rFonts w:cstheme="minorHAnsi"/>
          <w:sz w:val="24"/>
          <w:szCs w:val="24"/>
        </w:rPr>
        <w:t xml:space="preserve">lling </w:t>
      </w:r>
      <w:r w:rsidR="00A4138A" w:rsidRPr="00A4138A">
        <w:rPr>
          <w:rFonts w:cstheme="minorHAnsi"/>
          <w:sz w:val="24"/>
          <w:szCs w:val="24"/>
        </w:rPr>
        <w:t>in forecast depreciation</w:t>
      </w:r>
      <w:r w:rsidR="00A4138A">
        <w:rPr>
          <w:rFonts w:cstheme="minorHAnsi"/>
          <w:sz w:val="24"/>
          <w:szCs w:val="24"/>
        </w:rPr>
        <w:t xml:space="preserve"> and the reliance </w:t>
      </w:r>
      <w:r w:rsidR="005013C1">
        <w:rPr>
          <w:rFonts w:cstheme="minorHAnsi"/>
          <w:sz w:val="24"/>
          <w:szCs w:val="24"/>
        </w:rPr>
        <w:t>on ex-post reviews.</w:t>
      </w:r>
    </w:p>
    <w:p w:rsidR="00C77316" w:rsidRDefault="000171DD" w:rsidP="00A4138A">
      <w:pPr>
        <w:jc w:val="both"/>
      </w:pPr>
      <w:r>
        <w:rPr>
          <w:rFonts w:cstheme="minorHAnsi"/>
          <w:sz w:val="24"/>
          <w:szCs w:val="24"/>
        </w:rPr>
        <w:t xml:space="preserve">CRG members considered </w:t>
      </w:r>
      <w:r w:rsidR="00D90674">
        <w:rPr>
          <w:rFonts w:cstheme="minorHAnsi"/>
          <w:sz w:val="24"/>
          <w:szCs w:val="24"/>
        </w:rPr>
        <w:t xml:space="preserve">as </w:t>
      </w:r>
      <w:r w:rsidR="00FA2804">
        <w:rPr>
          <w:rFonts w:cstheme="minorHAnsi"/>
          <w:sz w:val="24"/>
          <w:szCs w:val="24"/>
        </w:rPr>
        <w:t>the</w:t>
      </w:r>
      <w:r w:rsidR="00D90674">
        <w:rPr>
          <w:rFonts w:cstheme="minorHAnsi"/>
          <w:sz w:val="24"/>
          <w:szCs w:val="24"/>
        </w:rPr>
        <w:t>re is a</w:t>
      </w:r>
      <w:r w:rsidR="00FA2804">
        <w:rPr>
          <w:rFonts w:cstheme="minorHAnsi"/>
          <w:sz w:val="24"/>
          <w:szCs w:val="24"/>
        </w:rPr>
        <w:t xml:space="preserve"> soft trigger for an ex post review</w:t>
      </w:r>
      <w:r w:rsidR="00C00D03">
        <w:rPr>
          <w:rFonts w:cstheme="minorHAnsi"/>
          <w:sz w:val="24"/>
          <w:szCs w:val="24"/>
        </w:rPr>
        <w:t xml:space="preserve"> (ex post review is only permitted if a business exceeds its capex allowance)</w:t>
      </w:r>
      <w:r w:rsidR="00FA2804">
        <w:rPr>
          <w:rFonts w:cstheme="minorHAnsi"/>
          <w:sz w:val="24"/>
          <w:szCs w:val="24"/>
        </w:rPr>
        <w:t xml:space="preserve"> and revisions</w:t>
      </w:r>
      <w:r w:rsidR="00D90674">
        <w:rPr>
          <w:rFonts w:cstheme="minorHAnsi"/>
          <w:sz w:val="24"/>
          <w:szCs w:val="24"/>
        </w:rPr>
        <w:t xml:space="preserve"> such as cost </w:t>
      </w:r>
      <w:r w:rsidR="006D44B2">
        <w:rPr>
          <w:rFonts w:cstheme="minorHAnsi"/>
          <w:sz w:val="24"/>
          <w:szCs w:val="24"/>
        </w:rPr>
        <w:t xml:space="preserve">pass </w:t>
      </w:r>
      <w:r w:rsidR="00D90674">
        <w:rPr>
          <w:rFonts w:cstheme="minorHAnsi"/>
          <w:sz w:val="24"/>
          <w:szCs w:val="24"/>
        </w:rPr>
        <w:t>throughs are</w:t>
      </w:r>
      <w:r w:rsidR="00C00D03">
        <w:rPr>
          <w:rFonts w:cstheme="minorHAnsi"/>
          <w:sz w:val="24"/>
          <w:szCs w:val="24"/>
        </w:rPr>
        <w:t xml:space="preserve"> allowed</w:t>
      </w:r>
      <w:r w:rsidR="00FA2804">
        <w:rPr>
          <w:rFonts w:cstheme="minorHAnsi"/>
          <w:sz w:val="24"/>
          <w:szCs w:val="24"/>
        </w:rPr>
        <w:t xml:space="preserve"> during the regulatory</w:t>
      </w:r>
      <w:r w:rsidR="006D44B2">
        <w:rPr>
          <w:rFonts w:cstheme="minorHAnsi"/>
          <w:sz w:val="24"/>
          <w:szCs w:val="24"/>
        </w:rPr>
        <w:t xml:space="preserve"> control</w:t>
      </w:r>
      <w:r w:rsidR="00FA2804">
        <w:rPr>
          <w:rFonts w:cstheme="minorHAnsi"/>
          <w:sz w:val="24"/>
          <w:szCs w:val="24"/>
        </w:rPr>
        <w:t xml:space="preserve"> period</w:t>
      </w:r>
      <w:r w:rsidR="00D90674">
        <w:rPr>
          <w:rFonts w:cstheme="minorHAnsi"/>
          <w:sz w:val="24"/>
          <w:szCs w:val="24"/>
        </w:rPr>
        <w:t>, t</w:t>
      </w:r>
      <w:r w:rsidR="00C00D03">
        <w:rPr>
          <w:rFonts w:cstheme="minorHAnsi"/>
          <w:sz w:val="24"/>
          <w:szCs w:val="24"/>
        </w:rPr>
        <w:t>he regime is biased</w:t>
      </w:r>
      <w:r w:rsidR="000F2D64">
        <w:rPr>
          <w:rFonts w:cstheme="minorHAnsi"/>
          <w:sz w:val="24"/>
          <w:szCs w:val="24"/>
        </w:rPr>
        <w:t xml:space="preserve"> toward NSPs. Having a symmetric regime for penalties and rewards does not recognise that there are asymmetric incentives in favour </w:t>
      </w:r>
      <w:r w:rsidR="002E73EC">
        <w:rPr>
          <w:rFonts w:cstheme="minorHAnsi"/>
          <w:sz w:val="24"/>
          <w:szCs w:val="24"/>
        </w:rPr>
        <w:t>of NSPs.</w:t>
      </w:r>
      <w:r w:rsidR="00C77316">
        <w:rPr>
          <w:rFonts w:cstheme="minorHAnsi"/>
          <w:sz w:val="24"/>
          <w:szCs w:val="24"/>
        </w:rPr>
        <w:t xml:space="preserve"> Penalties should be higher than rewards to account for contingent projects and cost pass throughs which convert </w:t>
      </w:r>
      <w:r w:rsidR="00C77316" w:rsidRPr="006E5C03">
        <w:rPr>
          <w:sz w:val="24"/>
          <w:szCs w:val="24"/>
        </w:rPr>
        <w:t>symmetrical arrangements into asymmetrical arrangements favouring the networks.</w:t>
      </w:r>
      <w:r w:rsidR="00C77316" w:rsidRPr="0037248C">
        <w:t xml:space="preserve"> </w:t>
      </w:r>
    </w:p>
    <w:p w:rsidR="00EB1E94" w:rsidRPr="00142081" w:rsidRDefault="00EB1E94" w:rsidP="00EB1E94">
      <w:pPr>
        <w:jc w:val="both"/>
        <w:rPr>
          <w:sz w:val="24"/>
          <w:szCs w:val="24"/>
        </w:rPr>
      </w:pPr>
      <w:r>
        <w:rPr>
          <w:sz w:val="24"/>
          <w:szCs w:val="24"/>
        </w:rPr>
        <w:t>CRG members noted that the guideline should be more upfront on what can be achieved by an ex-post review. Consumers will not get anything back until years later. The AER should emphasise accurate forecasting at the determination stage as this has an impact on the effectiveness of the incentive regime.</w:t>
      </w:r>
    </w:p>
    <w:p w:rsidR="00711A63" w:rsidRDefault="00C77316" w:rsidP="00A4138A">
      <w:pPr>
        <w:jc w:val="both"/>
        <w:rPr>
          <w:sz w:val="24"/>
          <w:szCs w:val="24"/>
        </w:rPr>
      </w:pPr>
      <w:r w:rsidRPr="00711A63">
        <w:rPr>
          <w:sz w:val="24"/>
          <w:szCs w:val="24"/>
        </w:rPr>
        <w:t xml:space="preserve">CRG members </w:t>
      </w:r>
      <w:r w:rsidR="00EB1E94">
        <w:rPr>
          <w:sz w:val="24"/>
          <w:szCs w:val="24"/>
        </w:rPr>
        <w:t>are concerned that the</w:t>
      </w:r>
      <w:r w:rsidR="00487FD6" w:rsidRPr="00711A63">
        <w:rPr>
          <w:sz w:val="24"/>
          <w:szCs w:val="24"/>
        </w:rPr>
        <w:t xml:space="preserve"> CESS and EBSS appl</w:t>
      </w:r>
      <w:r w:rsidR="00EB1E94">
        <w:rPr>
          <w:sz w:val="24"/>
          <w:szCs w:val="24"/>
        </w:rPr>
        <w:t>y</w:t>
      </w:r>
      <w:r w:rsidR="00487FD6" w:rsidRPr="00711A63">
        <w:rPr>
          <w:sz w:val="24"/>
          <w:szCs w:val="24"/>
        </w:rPr>
        <w:t xml:space="preserve"> to government owned entities </w:t>
      </w:r>
      <w:r w:rsidR="00711A63" w:rsidRPr="00711A63">
        <w:rPr>
          <w:sz w:val="24"/>
          <w:szCs w:val="24"/>
        </w:rPr>
        <w:t>the sa</w:t>
      </w:r>
      <w:r w:rsidR="0021244B">
        <w:rPr>
          <w:sz w:val="24"/>
          <w:szCs w:val="24"/>
        </w:rPr>
        <w:t>me way as private entities, given</w:t>
      </w:r>
      <w:r w:rsidR="00711A63" w:rsidRPr="00711A63">
        <w:rPr>
          <w:sz w:val="24"/>
          <w:szCs w:val="24"/>
        </w:rPr>
        <w:t xml:space="preserve"> government entities</w:t>
      </w:r>
      <w:r w:rsidR="00487FD6" w:rsidRPr="00711A63">
        <w:rPr>
          <w:sz w:val="24"/>
          <w:szCs w:val="24"/>
        </w:rPr>
        <w:t xml:space="preserve"> have a lower WACC.</w:t>
      </w:r>
      <w:r w:rsidR="006E5C03">
        <w:rPr>
          <w:sz w:val="24"/>
          <w:szCs w:val="24"/>
        </w:rPr>
        <w:t xml:space="preserve"> This creates an incentive for government entities to over invest despite penalties, particularly where there is a symmetric regime. </w:t>
      </w:r>
    </w:p>
    <w:p w:rsidR="00711A63" w:rsidRDefault="007A32C4" w:rsidP="00A4138A">
      <w:pPr>
        <w:jc w:val="both"/>
        <w:rPr>
          <w:sz w:val="24"/>
          <w:szCs w:val="24"/>
        </w:rPr>
      </w:pPr>
      <w:r>
        <w:rPr>
          <w:sz w:val="24"/>
          <w:szCs w:val="24"/>
        </w:rPr>
        <w:t xml:space="preserve">A </w:t>
      </w:r>
      <w:r w:rsidR="00711A63" w:rsidRPr="00711A63">
        <w:rPr>
          <w:sz w:val="24"/>
          <w:szCs w:val="24"/>
        </w:rPr>
        <w:t>CRG member</w:t>
      </w:r>
      <w:r>
        <w:rPr>
          <w:sz w:val="24"/>
          <w:szCs w:val="24"/>
        </w:rPr>
        <w:t xml:space="preserve"> noted that overseas regulators have adopted </w:t>
      </w:r>
      <w:r w:rsidR="00711A63" w:rsidRPr="00711A63">
        <w:rPr>
          <w:sz w:val="24"/>
          <w:szCs w:val="24"/>
        </w:rPr>
        <w:t>the ‘Used and Useful’ test to costs.</w:t>
      </w:r>
      <w:r w:rsidR="009B0D4F">
        <w:rPr>
          <w:sz w:val="24"/>
          <w:szCs w:val="24"/>
        </w:rPr>
        <w:t xml:space="preserve"> </w:t>
      </w:r>
      <w:r>
        <w:rPr>
          <w:sz w:val="24"/>
          <w:szCs w:val="24"/>
        </w:rPr>
        <w:t>Another CRG member sta</w:t>
      </w:r>
      <w:r w:rsidR="006E5C03">
        <w:rPr>
          <w:sz w:val="24"/>
          <w:szCs w:val="24"/>
        </w:rPr>
        <w:t>ted that the AEMC rejected a proposal to apply th</w:t>
      </w:r>
      <w:r>
        <w:rPr>
          <w:sz w:val="24"/>
          <w:szCs w:val="24"/>
        </w:rPr>
        <w:t>is</w:t>
      </w:r>
      <w:r w:rsidR="006E5C03">
        <w:rPr>
          <w:sz w:val="24"/>
          <w:szCs w:val="24"/>
        </w:rPr>
        <w:t xml:space="preserve"> test.</w:t>
      </w:r>
    </w:p>
    <w:p w:rsidR="00CC1C28" w:rsidRPr="00EC7DEE" w:rsidRDefault="00CC1C28" w:rsidP="00CC1C28">
      <w:pPr>
        <w:spacing w:after="0" w:line="240" w:lineRule="auto"/>
        <w:jc w:val="both"/>
        <w:rPr>
          <w:rFonts w:eastAsia="Times New Roman" w:cstheme="minorHAnsi"/>
          <w:b/>
          <w:sz w:val="24"/>
          <w:szCs w:val="28"/>
        </w:rPr>
      </w:pPr>
      <w:r w:rsidRPr="00EC7DEE">
        <w:rPr>
          <w:rFonts w:eastAsia="Times New Roman" w:cstheme="minorHAnsi"/>
          <w:b/>
          <w:sz w:val="24"/>
          <w:szCs w:val="28"/>
        </w:rPr>
        <w:t>4</w:t>
      </w:r>
      <w:r w:rsidRPr="00EC7DEE">
        <w:rPr>
          <w:rFonts w:eastAsia="Times New Roman" w:cstheme="minorHAnsi"/>
          <w:b/>
          <w:sz w:val="24"/>
          <w:szCs w:val="28"/>
        </w:rPr>
        <w:tab/>
        <w:t xml:space="preserve">Rate of return </w:t>
      </w:r>
    </w:p>
    <w:p w:rsidR="00CC1C28" w:rsidRPr="00EC7DEE" w:rsidRDefault="00CC1C28" w:rsidP="00CC1C28">
      <w:pPr>
        <w:spacing w:after="0" w:line="240" w:lineRule="auto"/>
        <w:jc w:val="both"/>
        <w:rPr>
          <w:rFonts w:eastAsia="Times New Roman" w:cstheme="minorHAnsi"/>
          <w:b/>
          <w:sz w:val="24"/>
          <w:szCs w:val="28"/>
        </w:rPr>
      </w:pPr>
    </w:p>
    <w:p w:rsidR="00FF4D03" w:rsidRDefault="00142081" w:rsidP="00FF4D03">
      <w:pPr>
        <w:jc w:val="both"/>
        <w:rPr>
          <w:rFonts w:cstheme="minorHAnsi"/>
          <w:sz w:val="24"/>
          <w:szCs w:val="24"/>
        </w:rPr>
      </w:pPr>
      <w:r>
        <w:rPr>
          <w:rFonts w:cstheme="minorHAnsi"/>
          <w:sz w:val="24"/>
          <w:szCs w:val="24"/>
        </w:rPr>
        <w:t xml:space="preserve">AER staff provided an overview of the key points of the equity beta paper released in October 2013. </w:t>
      </w:r>
      <w:r w:rsidR="00FF4D03">
        <w:rPr>
          <w:rFonts w:cstheme="minorHAnsi"/>
          <w:sz w:val="24"/>
          <w:szCs w:val="24"/>
        </w:rPr>
        <w:t xml:space="preserve">AER staff noted that data on equity data is dispersed and our approach was to find a value that brings all the information together. </w:t>
      </w:r>
    </w:p>
    <w:p w:rsidR="00142081" w:rsidRDefault="00142081" w:rsidP="00D90674">
      <w:pPr>
        <w:jc w:val="both"/>
        <w:rPr>
          <w:rFonts w:cstheme="minorHAnsi"/>
          <w:sz w:val="24"/>
          <w:szCs w:val="24"/>
        </w:rPr>
      </w:pPr>
      <w:r>
        <w:rPr>
          <w:rFonts w:cstheme="minorHAnsi"/>
          <w:sz w:val="24"/>
          <w:szCs w:val="24"/>
        </w:rPr>
        <w:t>We are proposing a reduction of the equity beta from 0.8 to 0.7.</w:t>
      </w:r>
      <w:r w:rsidR="00EB1E94">
        <w:rPr>
          <w:rFonts w:cstheme="minorHAnsi"/>
          <w:sz w:val="24"/>
          <w:szCs w:val="24"/>
        </w:rPr>
        <w:t xml:space="preserve"> </w:t>
      </w:r>
      <w:r>
        <w:rPr>
          <w:rFonts w:cstheme="minorHAnsi"/>
          <w:sz w:val="24"/>
          <w:szCs w:val="24"/>
        </w:rPr>
        <w:t>Empirical data suggest a range between 0.4 – 0.7.</w:t>
      </w:r>
      <w:r w:rsidR="00EB1E94">
        <w:rPr>
          <w:rFonts w:cstheme="minorHAnsi"/>
          <w:sz w:val="24"/>
          <w:szCs w:val="24"/>
        </w:rPr>
        <w:t xml:space="preserve"> </w:t>
      </w:r>
      <w:r w:rsidR="00923D51">
        <w:rPr>
          <w:rFonts w:cstheme="minorHAnsi"/>
          <w:sz w:val="24"/>
          <w:szCs w:val="24"/>
        </w:rPr>
        <w:t>Overseas patterns indicate a higher equity beta.</w:t>
      </w:r>
    </w:p>
    <w:p w:rsidR="00923D51" w:rsidRDefault="00923D51" w:rsidP="00923D51">
      <w:pPr>
        <w:jc w:val="both"/>
        <w:rPr>
          <w:rFonts w:cstheme="minorHAnsi"/>
          <w:sz w:val="24"/>
          <w:szCs w:val="24"/>
        </w:rPr>
      </w:pPr>
      <w:r>
        <w:rPr>
          <w:rFonts w:cstheme="minorHAnsi"/>
          <w:sz w:val="24"/>
          <w:szCs w:val="24"/>
        </w:rPr>
        <w:t>CRG membe</w:t>
      </w:r>
      <w:r w:rsidR="00475867">
        <w:rPr>
          <w:rFonts w:cstheme="minorHAnsi"/>
          <w:sz w:val="24"/>
          <w:szCs w:val="24"/>
        </w:rPr>
        <w:t xml:space="preserve">rs expressed the opinion that an equity beta of 0.7 is too high. Members noted that the equity beta has always been set high which is a bias toward NSPs. When overseas data suggested a lower equity beta the AER still </w:t>
      </w:r>
      <w:r w:rsidR="006D4C13">
        <w:rPr>
          <w:rFonts w:cstheme="minorHAnsi"/>
          <w:sz w:val="24"/>
          <w:szCs w:val="24"/>
        </w:rPr>
        <w:t>adopted a high value.</w:t>
      </w:r>
    </w:p>
    <w:p w:rsidR="00475867" w:rsidRDefault="00475867" w:rsidP="00923D51">
      <w:pPr>
        <w:jc w:val="both"/>
        <w:rPr>
          <w:rFonts w:cstheme="minorHAnsi"/>
          <w:sz w:val="24"/>
          <w:szCs w:val="24"/>
        </w:rPr>
      </w:pPr>
      <w:r>
        <w:rPr>
          <w:rFonts w:cstheme="minorHAnsi"/>
          <w:sz w:val="24"/>
          <w:szCs w:val="24"/>
        </w:rPr>
        <w:t xml:space="preserve">CRG members pointed to </w:t>
      </w:r>
      <w:r w:rsidR="00FF4D03">
        <w:rPr>
          <w:rFonts w:cstheme="minorHAnsi"/>
          <w:sz w:val="24"/>
          <w:szCs w:val="24"/>
        </w:rPr>
        <w:t xml:space="preserve">the following </w:t>
      </w:r>
      <w:r>
        <w:rPr>
          <w:rFonts w:cstheme="minorHAnsi"/>
          <w:sz w:val="24"/>
          <w:szCs w:val="24"/>
        </w:rPr>
        <w:t>evidence whic</w:t>
      </w:r>
      <w:r w:rsidR="00C36045">
        <w:rPr>
          <w:rFonts w:cstheme="minorHAnsi"/>
          <w:sz w:val="24"/>
          <w:szCs w:val="24"/>
        </w:rPr>
        <w:t xml:space="preserve">h suggests that </w:t>
      </w:r>
      <w:r w:rsidR="00EB1E94">
        <w:rPr>
          <w:rFonts w:cstheme="minorHAnsi"/>
          <w:sz w:val="24"/>
          <w:szCs w:val="24"/>
        </w:rPr>
        <w:t xml:space="preserve">an equity beta of </w:t>
      </w:r>
      <w:r w:rsidR="00C36045">
        <w:rPr>
          <w:rFonts w:cstheme="minorHAnsi"/>
          <w:sz w:val="24"/>
          <w:szCs w:val="24"/>
        </w:rPr>
        <w:t xml:space="preserve">0.7 is too high. </w:t>
      </w:r>
    </w:p>
    <w:p w:rsidR="006D4C13" w:rsidRDefault="006D4C13" w:rsidP="00D90674">
      <w:pPr>
        <w:pStyle w:val="ListParagraph"/>
        <w:numPr>
          <w:ilvl w:val="0"/>
          <w:numId w:val="12"/>
        </w:numPr>
        <w:ind w:left="426" w:hanging="426"/>
        <w:jc w:val="both"/>
        <w:rPr>
          <w:rFonts w:cstheme="minorHAnsi"/>
          <w:sz w:val="24"/>
          <w:szCs w:val="24"/>
        </w:rPr>
      </w:pPr>
      <w:r>
        <w:rPr>
          <w:rFonts w:cstheme="minorHAnsi"/>
          <w:sz w:val="24"/>
          <w:szCs w:val="24"/>
        </w:rPr>
        <w:t>Opinion from AER’s external adviser is that businesses face a low risk</w:t>
      </w:r>
      <w:r w:rsidR="00C36045">
        <w:rPr>
          <w:rFonts w:cstheme="minorHAnsi"/>
          <w:sz w:val="24"/>
          <w:szCs w:val="24"/>
        </w:rPr>
        <w:t>.</w:t>
      </w:r>
    </w:p>
    <w:p w:rsidR="00900F22" w:rsidRDefault="00EB1E94" w:rsidP="00D90674">
      <w:pPr>
        <w:pStyle w:val="ListParagraph"/>
        <w:numPr>
          <w:ilvl w:val="0"/>
          <w:numId w:val="12"/>
        </w:numPr>
        <w:ind w:left="426" w:hanging="426"/>
        <w:jc w:val="both"/>
        <w:rPr>
          <w:rFonts w:cstheme="minorHAnsi"/>
          <w:sz w:val="24"/>
          <w:szCs w:val="24"/>
        </w:rPr>
      </w:pPr>
      <w:r>
        <w:rPr>
          <w:rFonts w:cstheme="minorHAnsi"/>
          <w:sz w:val="24"/>
          <w:szCs w:val="24"/>
        </w:rPr>
        <w:t>Share price market capitalisation is greater than the RABs of these regulated businesses.</w:t>
      </w:r>
    </w:p>
    <w:p w:rsidR="00FF4D03"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The Black CAPM data has issues, which the AER accepts</w:t>
      </w:r>
    </w:p>
    <w:p w:rsidR="00FF4D03"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The AER is based on water data but the water data is based on the energy / AER data.</w:t>
      </w:r>
    </w:p>
    <w:p w:rsidR="00900F22" w:rsidRDefault="00900F22" w:rsidP="00900F22">
      <w:pPr>
        <w:jc w:val="both"/>
        <w:rPr>
          <w:rFonts w:cstheme="minorHAnsi"/>
          <w:sz w:val="24"/>
          <w:szCs w:val="24"/>
        </w:rPr>
      </w:pPr>
      <w:r>
        <w:rPr>
          <w:rFonts w:cstheme="minorHAnsi"/>
          <w:sz w:val="24"/>
          <w:szCs w:val="24"/>
        </w:rPr>
        <w:lastRenderedPageBreak/>
        <w:t xml:space="preserve">Andrew noted these views and invited members to participate in the submission process for the equity beta paper. </w:t>
      </w:r>
    </w:p>
    <w:p w:rsidR="00C36045" w:rsidRDefault="00C36045" w:rsidP="00900F22">
      <w:pPr>
        <w:jc w:val="both"/>
        <w:rPr>
          <w:rFonts w:cstheme="minorHAnsi"/>
          <w:sz w:val="24"/>
          <w:szCs w:val="24"/>
        </w:rPr>
      </w:pPr>
      <w:r>
        <w:rPr>
          <w:rFonts w:cstheme="minorHAnsi"/>
          <w:sz w:val="24"/>
          <w:szCs w:val="24"/>
        </w:rPr>
        <w:t>CRG members outlined their concerns in relation to the rate of return guideline</w:t>
      </w:r>
      <w:r w:rsidR="0021244B">
        <w:rPr>
          <w:rFonts w:cstheme="minorHAnsi"/>
          <w:sz w:val="24"/>
          <w:szCs w:val="24"/>
        </w:rPr>
        <w:t xml:space="preserve"> more generally</w:t>
      </w:r>
      <w:r>
        <w:rPr>
          <w:rFonts w:cstheme="minorHAnsi"/>
          <w:sz w:val="24"/>
          <w:szCs w:val="24"/>
        </w:rPr>
        <w:t>.</w:t>
      </w:r>
    </w:p>
    <w:p w:rsidR="00C36045"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w:t>
      </w:r>
      <w:r w:rsidR="00C36045">
        <w:rPr>
          <w:rFonts w:cstheme="minorHAnsi"/>
          <w:sz w:val="24"/>
          <w:szCs w:val="24"/>
        </w:rPr>
        <w:t>here should be a different benchmark for private and government owned entities.</w:t>
      </w:r>
    </w:p>
    <w:p w:rsidR="00FF4D03"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i</w:t>
      </w:r>
      <w:r w:rsidR="00C36045" w:rsidRPr="00C00D03">
        <w:rPr>
          <w:rFonts w:cstheme="minorHAnsi"/>
          <w:sz w:val="24"/>
          <w:szCs w:val="24"/>
        </w:rPr>
        <w:t>n setting the equity beta NSPs should not be compensated for risks that other businesses face in the market.</w:t>
      </w:r>
    </w:p>
    <w:p w:rsidR="00C448B2" w:rsidRPr="00C448B2"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w:t>
      </w:r>
      <w:r w:rsidR="00C448B2">
        <w:rPr>
          <w:rFonts w:cstheme="minorHAnsi"/>
          <w:sz w:val="24"/>
          <w:szCs w:val="24"/>
        </w:rPr>
        <w:t>he approach to cost of debt was not bringing businesses close enough to</w:t>
      </w:r>
      <w:r w:rsidR="009116EA">
        <w:rPr>
          <w:rFonts w:cstheme="minorHAnsi"/>
          <w:sz w:val="24"/>
          <w:szCs w:val="24"/>
        </w:rPr>
        <w:t xml:space="preserve"> the benchmark efficient level.</w:t>
      </w:r>
    </w:p>
    <w:p w:rsidR="00CC1C28" w:rsidRPr="00EC7DEE" w:rsidRDefault="009116EA" w:rsidP="00CC1C28">
      <w:pPr>
        <w:spacing w:after="0" w:line="240" w:lineRule="auto"/>
        <w:jc w:val="both"/>
        <w:rPr>
          <w:rFonts w:eastAsia="Times New Roman" w:cstheme="minorHAnsi"/>
          <w:b/>
          <w:sz w:val="24"/>
          <w:szCs w:val="28"/>
        </w:rPr>
      </w:pPr>
      <w:r>
        <w:rPr>
          <w:rFonts w:eastAsia="Times New Roman" w:cstheme="minorHAnsi"/>
          <w:b/>
          <w:sz w:val="24"/>
          <w:szCs w:val="28"/>
        </w:rPr>
        <w:t>5</w:t>
      </w:r>
      <w:r>
        <w:rPr>
          <w:rFonts w:eastAsia="Times New Roman" w:cstheme="minorHAnsi"/>
          <w:b/>
          <w:sz w:val="24"/>
          <w:szCs w:val="28"/>
        </w:rPr>
        <w:tab/>
        <w:t>Shared assets</w:t>
      </w:r>
    </w:p>
    <w:p w:rsidR="00CC1C28" w:rsidRPr="00EC7DEE" w:rsidRDefault="00CC1C28" w:rsidP="00CC1C28">
      <w:pPr>
        <w:spacing w:after="0" w:line="240" w:lineRule="auto"/>
        <w:jc w:val="both"/>
        <w:rPr>
          <w:rFonts w:cstheme="minorHAnsi"/>
          <w:sz w:val="24"/>
          <w:szCs w:val="24"/>
        </w:rPr>
      </w:pPr>
    </w:p>
    <w:p w:rsidR="009116EA" w:rsidRDefault="009116EA" w:rsidP="00CC1C28">
      <w:pPr>
        <w:spacing w:after="0" w:line="240" w:lineRule="auto"/>
        <w:jc w:val="both"/>
        <w:rPr>
          <w:rFonts w:cstheme="minorHAnsi"/>
          <w:sz w:val="24"/>
          <w:szCs w:val="24"/>
        </w:rPr>
      </w:pPr>
      <w:r>
        <w:rPr>
          <w:rFonts w:cstheme="minorHAnsi"/>
          <w:sz w:val="24"/>
          <w:szCs w:val="24"/>
        </w:rPr>
        <w:t xml:space="preserve">CRG members expressed the view that consumers are </w:t>
      </w:r>
      <w:r w:rsidR="00FF4D03">
        <w:rPr>
          <w:rFonts w:cstheme="minorHAnsi"/>
          <w:sz w:val="24"/>
          <w:szCs w:val="24"/>
        </w:rPr>
        <w:t>‘</w:t>
      </w:r>
      <w:r>
        <w:rPr>
          <w:rFonts w:cstheme="minorHAnsi"/>
          <w:sz w:val="24"/>
          <w:szCs w:val="24"/>
        </w:rPr>
        <w:t>flying blind</w:t>
      </w:r>
      <w:r w:rsidR="00FF4D03">
        <w:rPr>
          <w:rFonts w:cstheme="minorHAnsi"/>
          <w:sz w:val="24"/>
          <w:szCs w:val="24"/>
        </w:rPr>
        <w:t>’</w:t>
      </w:r>
      <w:r>
        <w:rPr>
          <w:rFonts w:cstheme="minorHAnsi"/>
          <w:sz w:val="24"/>
          <w:szCs w:val="24"/>
        </w:rPr>
        <w:t xml:space="preserve"> on shared assets</w:t>
      </w:r>
      <w:r w:rsidR="00FF4D03">
        <w:rPr>
          <w:rFonts w:cstheme="minorHAnsi"/>
          <w:sz w:val="24"/>
          <w:szCs w:val="24"/>
        </w:rPr>
        <w:t>, that is t</w:t>
      </w:r>
      <w:r>
        <w:rPr>
          <w:rFonts w:cstheme="minorHAnsi"/>
          <w:sz w:val="24"/>
          <w:szCs w:val="24"/>
        </w:rPr>
        <w:t xml:space="preserve">here is a lack of data to determine the proportion of revenue to be shared. The AER should revisit the issues when there is more data and make clear that </w:t>
      </w:r>
      <w:r w:rsidR="00396079">
        <w:rPr>
          <w:rFonts w:cstheme="minorHAnsi"/>
          <w:sz w:val="24"/>
          <w:szCs w:val="24"/>
        </w:rPr>
        <w:t>the current guideline is a short term approach.</w:t>
      </w:r>
    </w:p>
    <w:p w:rsidR="00396079" w:rsidRDefault="00396079" w:rsidP="00CC1C28">
      <w:pPr>
        <w:spacing w:after="0" w:line="240" w:lineRule="auto"/>
        <w:jc w:val="both"/>
        <w:rPr>
          <w:rFonts w:cstheme="minorHAnsi"/>
          <w:sz w:val="24"/>
          <w:szCs w:val="24"/>
        </w:rPr>
      </w:pPr>
    </w:p>
    <w:p w:rsidR="009116EA" w:rsidRDefault="006725B0" w:rsidP="00CC1C28">
      <w:pPr>
        <w:spacing w:after="0" w:line="240" w:lineRule="auto"/>
        <w:jc w:val="both"/>
        <w:rPr>
          <w:rFonts w:cstheme="minorHAnsi"/>
          <w:sz w:val="24"/>
          <w:szCs w:val="24"/>
        </w:rPr>
      </w:pPr>
      <w:r>
        <w:rPr>
          <w:rFonts w:cstheme="minorHAnsi"/>
          <w:sz w:val="24"/>
          <w:szCs w:val="24"/>
        </w:rPr>
        <w:t xml:space="preserve">CRG members expressed concern that the reset process will not provide better data. In the absence of strong data CRG members discouraged </w:t>
      </w:r>
      <w:r w:rsidR="00FF4D03">
        <w:rPr>
          <w:rFonts w:cstheme="minorHAnsi"/>
          <w:sz w:val="24"/>
          <w:szCs w:val="24"/>
        </w:rPr>
        <w:t xml:space="preserve">giving </w:t>
      </w:r>
      <w:r w:rsidR="0021244B">
        <w:rPr>
          <w:rFonts w:cstheme="minorHAnsi"/>
          <w:sz w:val="24"/>
          <w:szCs w:val="24"/>
        </w:rPr>
        <w:t xml:space="preserve">the benefit of the </w:t>
      </w:r>
      <w:r w:rsidR="00FF4D03">
        <w:rPr>
          <w:rFonts w:cstheme="minorHAnsi"/>
          <w:sz w:val="24"/>
          <w:szCs w:val="24"/>
        </w:rPr>
        <w:t xml:space="preserve">shared assets </w:t>
      </w:r>
      <w:r>
        <w:rPr>
          <w:rFonts w:cstheme="minorHAnsi"/>
          <w:sz w:val="24"/>
          <w:szCs w:val="24"/>
        </w:rPr>
        <w:t xml:space="preserve">to NSPs. Revenues should be shared with consumers and adjusted as better information becomes apparent. </w:t>
      </w:r>
    </w:p>
    <w:p w:rsidR="009116EA" w:rsidRDefault="009116EA" w:rsidP="00CC1C28">
      <w:pPr>
        <w:spacing w:after="0" w:line="240" w:lineRule="auto"/>
        <w:jc w:val="both"/>
        <w:rPr>
          <w:rFonts w:cstheme="minorHAnsi"/>
          <w:sz w:val="24"/>
          <w:szCs w:val="24"/>
        </w:rPr>
      </w:pPr>
    </w:p>
    <w:p w:rsidR="00CC1C28" w:rsidRPr="00EC7DEE" w:rsidRDefault="009116EA" w:rsidP="00CC1C28">
      <w:pPr>
        <w:spacing w:after="0" w:line="240" w:lineRule="auto"/>
        <w:jc w:val="both"/>
        <w:rPr>
          <w:rFonts w:eastAsia="Times New Roman" w:cstheme="minorHAnsi"/>
          <w:b/>
          <w:sz w:val="24"/>
          <w:szCs w:val="28"/>
        </w:rPr>
      </w:pPr>
      <w:r>
        <w:rPr>
          <w:rFonts w:eastAsia="Times New Roman" w:cstheme="minorHAnsi"/>
          <w:b/>
          <w:sz w:val="24"/>
          <w:szCs w:val="28"/>
        </w:rPr>
        <w:t>6</w:t>
      </w:r>
      <w:r>
        <w:rPr>
          <w:rFonts w:eastAsia="Times New Roman" w:cstheme="minorHAnsi"/>
          <w:b/>
          <w:sz w:val="24"/>
          <w:szCs w:val="28"/>
        </w:rPr>
        <w:tab/>
        <w:t>Confidentiality</w:t>
      </w:r>
    </w:p>
    <w:p w:rsidR="00CC1C28" w:rsidRPr="00EC7DEE" w:rsidRDefault="00CC1C28" w:rsidP="00CC1C28">
      <w:pPr>
        <w:spacing w:after="0" w:line="240" w:lineRule="auto"/>
        <w:jc w:val="both"/>
        <w:rPr>
          <w:rFonts w:eastAsia="Times New Roman" w:cstheme="minorHAnsi"/>
          <w:b/>
          <w:sz w:val="24"/>
          <w:szCs w:val="28"/>
        </w:rPr>
      </w:pPr>
    </w:p>
    <w:p w:rsidR="00CC1C28" w:rsidRDefault="00FF4D03" w:rsidP="00CC1C28">
      <w:pPr>
        <w:jc w:val="both"/>
        <w:rPr>
          <w:rFonts w:cstheme="minorHAnsi"/>
          <w:sz w:val="24"/>
          <w:szCs w:val="24"/>
        </w:rPr>
      </w:pPr>
      <w:r>
        <w:rPr>
          <w:rFonts w:cstheme="minorHAnsi"/>
          <w:sz w:val="24"/>
          <w:szCs w:val="24"/>
        </w:rPr>
        <w:t>CRG members made the following comments on the confidentiality guidelines</w:t>
      </w:r>
      <w:r w:rsidR="00244E0C">
        <w:rPr>
          <w:rFonts w:cstheme="minorHAnsi"/>
          <w:sz w:val="24"/>
          <w:szCs w:val="24"/>
        </w:rPr>
        <w:t>.</w:t>
      </w:r>
    </w:p>
    <w:p w:rsidR="00244E0C"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c</w:t>
      </w:r>
      <w:r w:rsidR="00244E0C">
        <w:rPr>
          <w:rFonts w:cstheme="minorHAnsi"/>
          <w:sz w:val="24"/>
          <w:szCs w:val="24"/>
        </w:rPr>
        <w:t>onsumers generally support the intent of the guidelines that stakeholders have as much access to information</w:t>
      </w:r>
      <w:r w:rsidR="0090267B">
        <w:rPr>
          <w:rFonts w:cstheme="minorHAnsi"/>
          <w:sz w:val="24"/>
          <w:szCs w:val="24"/>
        </w:rPr>
        <w:t xml:space="preserve"> as possible</w:t>
      </w:r>
      <w:r w:rsidR="00244E0C">
        <w:rPr>
          <w:rFonts w:cstheme="minorHAnsi"/>
          <w:sz w:val="24"/>
          <w:szCs w:val="24"/>
        </w:rPr>
        <w:t>.</w:t>
      </w:r>
    </w:p>
    <w:p w:rsidR="00244E0C"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w:t>
      </w:r>
      <w:r w:rsidR="00244E0C">
        <w:rPr>
          <w:rFonts w:cstheme="minorHAnsi"/>
          <w:sz w:val="24"/>
          <w:szCs w:val="24"/>
        </w:rPr>
        <w:t>he guideline sets out how information will be protected, where the explanatory statement covers how informat</w:t>
      </w:r>
      <w:r w:rsidR="0090267B">
        <w:rPr>
          <w:rFonts w:cstheme="minorHAnsi"/>
          <w:sz w:val="24"/>
          <w:szCs w:val="24"/>
        </w:rPr>
        <w:t xml:space="preserve">ion will be disclosed. </w:t>
      </w:r>
      <w:r w:rsidR="0021244B">
        <w:rPr>
          <w:rFonts w:cstheme="minorHAnsi"/>
          <w:sz w:val="24"/>
          <w:szCs w:val="24"/>
        </w:rPr>
        <w:t>Consumers are</w:t>
      </w:r>
      <w:r w:rsidR="00244E0C">
        <w:rPr>
          <w:rFonts w:cstheme="minorHAnsi"/>
          <w:sz w:val="24"/>
          <w:szCs w:val="24"/>
        </w:rPr>
        <w:t xml:space="preserve"> concerned that the explanatory statement is more detailed </w:t>
      </w:r>
      <w:r w:rsidR="0090267B">
        <w:rPr>
          <w:rFonts w:cstheme="minorHAnsi"/>
          <w:sz w:val="24"/>
          <w:szCs w:val="24"/>
        </w:rPr>
        <w:t xml:space="preserve">than the guideline </w:t>
      </w:r>
      <w:r w:rsidR="00244E0C">
        <w:rPr>
          <w:rFonts w:cstheme="minorHAnsi"/>
          <w:sz w:val="24"/>
          <w:szCs w:val="24"/>
        </w:rPr>
        <w:t xml:space="preserve">and </w:t>
      </w:r>
      <w:r w:rsidR="0090267B">
        <w:rPr>
          <w:rFonts w:cstheme="minorHAnsi"/>
          <w:sz w:val="24"/>
          <w:szCs w:val="24"/>
        </w:rPr>
        <w:t>contains guidance on disclosure but is not mandatory.</w:t>
      </w:r>
    </w:p>
    <w:p w:rsidR="00244E0C" w:rsidRPr="00244E0C"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w:t>
      </w:r>
      <w:r w:rsidR="00244E0C" w:rsidRPr="00244E0C">
        <w:rPr>
          <w:rFonts w:cstheme="minorHAnsi"/>
          <w:sz w:val="24"/>
          <w:szCs w:val="24"/>
        </w:rPr>
        <w:t xml:space="preserve">here </w:t>
      </w:r>
      <w:r w:rsidR="00244E0C">
        <w:rPr>
          <w:rFonts w:cstheme="minorHAnsi"/>
          <w:sz w:val="24"/>
          <w:szCs w:val="24"/>
        </w:rPr>
        <w:t xml:space="preserve">needs to be more information about </w:t>
      </w:r>
      <w:r w:rsidR="00244E0C" w:rsidRPr="00244E0C">
        <w:rPr>
          <w:rFonts w:cstheme="minorHAnsi"/>
          <w:sz w:val="24"/>
          <w:szCs w:val="24"/>
        </w:rPr>
        <w:t xml:space="preserve">the process, enforcement and approach to resolving disputes.  </w:t>
      </w:r>
      <w:r w:rsidR="004E2806">
        <w:rPr>
          <w:rFonts w:cstheme="minorHAnsi"/>
          <w:sz w:val="24"/>
          <w:szCs w:val="24"/>
        </w:rPr>
        <w:t>Additionally there is a question of where consumer eng</w:t>
      </w:r>
      <w:r w:rsidR="0090267B">
        <w:rPr>
          <w:rFonts w:cstheme="minorHAnsi"/>
          <w:sz w:val="24"/>
          <w:szCs w:val="24"/>
        </w:rPr>
        <w:t>agement fits when there is a dispute ove</w:t>
      </w:r>
      <w:r w:rsidR="0021244B">
        <w:rPr>
          <w:rFonts w:cstheme="minorHAnsi"/>
          <w:sz w:val="24"/>
          <w:szCs w:val="24"/>
        </w:rPr>
        <w:t>r confidentiality</w:t>
      </w:r>
      <w:r w:rsidR="004E2806">
        <w:rPr>
          <w:rFonts w:cstheme="minorHAnsi"/>
          <w:sz w:val="24"/>
          <w:szCs w:val="24"/>
        </w:rPr>
        <w:t>.</w:t>
      </w:r>
    </w:p>
    <w:p w:rsidR="004E2806" w:rsidRPr="004E2806" w:rsidRDefault="00FF4D03" w:rsidP="00D90674">
      <w:pPr>
        <w:pStyle w:val="ListParagraph"/>
        <w:numPr>
          <w:ilvl w:val="0"/>
          <w:numId w:val="12"/>
        </w:numPr>
        <w:ind w:left="426" w:hanging="426"/>
        <w:jc w:val="both"/>
        <w:rPr>
          <w:rFonts w:cstheme="minorHAnsi"/>
          <w:sz w:val="24"/>
          <w:szCs w:val="24"/>
        </w:rPr>
      </w:pPr>
      <w:r>
        <w:rPr>
          <w:rFonts w:cstheme="minorHAnsi"/>
          <w:sz w:val="24"/>
          <w:szCs w:val="24"/>
        </w:rPr>
        <w:t>t</w:t>
      </w:r>
      <w:r w:rsidR="004E2806">
        <w:rPr>
          <w:rFonts w:cstheme="minorHAnsi"/>
          <w:sz w:val="24"/>
          <w:szCs w:val="24"/>
        </w:rPr>
        <w:t>her</w:t>
      </w:r>
      <w:r w:rsidR="0021244B">
        <w:rPr>
          <w:rFonts w:cstheme="minorHAnsi"/>
          <w:sz w:val="24"/>
          <w:szCs w:val="24"/>
        </w:rPr>
        <w:t>e is concern the confidential category</w:t>
      </w:r>
      <w:r w:rsidR="004E2806" w:rsidRPr="004E2806">
        <w:rPr>
          <w:rFonts w:cstheme="minorHAnsi"/>
          <w:sz w:val="24"/>
          <w:szCs w:val="24"/>
        </w:rPr>
        <w:t xml:space="preserve"> </w:t>
      </w:r>
      <w:r>
        <w:rPr>
          <w:rFonts w:cstheme="minorHAnsi"/>
          <w:sz w:val="24"/>
          <w:szCs w:val="24"/>
        </w:rPr>
        <w:t>‘</w:t>
      </w:r>
      <w:r w:rsidR="004E2806" w:rsidRPr="004E2806">
        <w:rPr>
          <w:rFonts w:cstheme="minorHAnsi"/>
          <w:sz w:val="24"/>
          <w:szCs w:val="24"/>
        </w:rPr>
        <w:t>Market Sensitive Cost Inputs</w:t>
      </w:r>
      <w:r>
        <w:rPr>
          <w:rFonts w:cstheme="minorHAnsi"/>
          <w:sz w:val="24"/>
          <w:szCs w:val="24"/>
        </w:rPr>
        <w:t>’</w:t>
      </w:r>
      <w:r w:rsidR="004E2806" w:rsidRPr="004E2806">
        <w:rPr>
          <w:rFonts w:cstheme="minorHAnsi"/>
          <w:sz w:val="24"/>
          <w:szCs w:val="24"/>
        </w:rPr>
        <w:t xml:space="preserve"> </w:t>
      </w:r>
      <w:r w:rsidR="004E2806">
        <w:rPr>
          <w:rFonts w:cstheme="minorHAnsi"/>
          <w:sz w:val="24"/>
          <w:szCs w:val="24"/>
        </w:rPr>
        <w:t>will allow NSPs to claim confidentiality over a wide range of items.</w:t>
      </w:r>
    </w:p>
    <w:p w:rsidR="00C05EB6" w:rsidRDefault="0090267B" w:rsidP="004E2806">
      <w:pPr>
        <w:jc w:val="both"/>
        <w:rPr>
          <w:rFonts w:cstheme="minorHAnsi"/>
          <w:sz w:val="24"/>
          <w:szCs w:val="24"/>
        </w:rPr>
      </w:pPr>
      <w:r>
        <w:rPr>
          <w:rFonts w:cstheme="minorHAnsi"/>
          <w:sz w:val="24"/>
          <w:szCs w:val="24"/>
        </w:rPr>
        <w:t>AER staff noted that the explanatory statement details two stages in confidentiality</w:t>
      </w:r>
      <w:r w:rsidR="00C05EB6">
        <w:rPr>
          <w:rFonts w:cstheme="minorHAnsi"/>
          <w:sz w:val="24"/>
          <w:szCs w:val="24"/>
        </w:rPr>
        <w:t>:</w:t>
      </w:r>
    </w:p>
    <w:p w:rsidR="00C05EB6" w:rsidRDefault="0037081E" w:rsidP="00D90674">
      <w:pPr>
        <w:pStyle w:val="ListParagraph"/>
        <w:numPr>
          <w:ilvl w:val="0"/>
          <w:numId w:val="12"/>
        </w:numPr>
        <w:ind w:left="426" w:hanging="426"/>
        <w:jc w:val="both"/>
        <w:rPr>
          <w:rFonts w:cstheme="minorHAnsi"/>
          <w:sz w:val="24"/>
          <w:szCs w:val="24"/>
        </w:rPr>
      </w:pPr>
      <w:r>
        <w:rPr>
          <w:rFonts w:cstheme="minorHAnsi"/>
          <w:sz w:val="24"/>
          <w:szCs w:val="24"/>
        </w:rPr>
        <w:t>pre-lodgement discussions</w:t>
      </w:r>
    </w:p>
    <w:p w:rsidR="00C05EB6" w:rsidRDefault="0037081E" w:rsidP="00D90674">
      <w:pPr>
        <w:pStyle w:val="ListParagraph"/>
        <w:numPr>
          <w:ilvl w:val="0"/>
          <w:numId w:val="12"/>
        </w:numPr>
        <w:ind w:left="426" w:hanging="426"/>
        <w:jc w:val="both"/>
        <w:rPr>
          <w:rFonts w:cstheme="minorHAnsi"/>
          <w:sz w:val="24"/>
          <w:szCs w:val="24"/>
        </w:rPr>
      </w:pPr>
      <w:r>
        <w:rPr>
          <w:rFonts w:cstheme="minorHAnsi"/>
          <w:sz w:val="24"/>
          <w:szCs w:val="24"/>
        </w:rPr>
        <w:t xml:space="preserve">submitting information. </w:t>
      </w:r>
    </w:p>
    <w:p w:rsidR="0037081E" w:rsidRDefault="00C05EB6" w:rsidP="004E2806">
      <w:pPr>
        <w:jc w:val="both"/>
        <w:rPr>
          <w:rFonts w:cstheme="minorHAnsi"/>
          <w:sz w:val="24"/>
          <w:szCs w:val="24"/>
        </w:rPr>
      </w:pPr>
      <w:r>
        <w:rPr>
          <w:rFonts w:cstheme="minorHAnsi"/>
          <w:sz w:val="24"/>
          <w:szCs w:val="24"/>
        </w:rPr>
        <w:lastRenderedPageBreak/>
        <w:t>Further, t</w:t>
      </w:r>
      <w:r w:rsidR="0037081E">
        <w:rPr>
          <w:rFonts w:cstheme="minorHAnsi"/>
          <w:sz w:val="24"/>
          <w:szCs w:val="24"/>
        </w:rPr>
        <w:t xml:space="preserve">he purpose of </w:t>
      </w:r>
      <w:r>
        <w:rPr>
          <w:rFonts w:cstheme="minorHAnsi"/>
          <w:sz w:val="24"/>
          <w:szCs w:val="24"/>
        </w:rPr>
        <w:t xml:space="preserve">the first </w:t>
      </w:r>
      <w:r w:rsidR="0037081E">
        <w:rPr>
          <w:rFonts w:cstheme="minorHAnsi"/>
          <w:sz w:val="24"/>
          <w:szCs w:val="24"/>
        </w:rPr>
        <w:t xml:space="preserve">stage is to reach consensus with NSPs on what information is confidential and what can be disclosed but this is out of the scope of the rules and cannot be </w:t>
      </w:r>
      <w:r w:rsidR="0021244B">
        <w:rPr>
          <w:rFonts w:cstheme="minorHAnsi"/>
          <w:sz w:val="24"/>
          <w:szCs w:val="24"/>
        </w:rPr>
        <w:t xml:space="preserve">included </w:t>
      </w:r>
      <w:r w:rsidR="0037081E">
        <w:rPr>
          <w:rFonts w:cstheme="minorHAnsi"/>
          <w:sz w:val="24"/>
          <w:szCs w:val="24"/>
        </w:rPr>
        <w:t>in the guidelines.</w:t>
      </w:r>
      <w:r>
        <w:rPr>
          <w:rFonts w:cstheme="minorHAnsi"/>
          <w:sz w:val="24"/>
          <w:szCs w:val="24"/>
        </w:rPr>
        <w:t xml:space="preserve"> In relation to</w:t>
      </w:r>
      <w:r w:rsidR="0037081E">
        <w:rPr>
          <w:rFonts w:cstheme="minorHAnsi"/>
          <w:sz w:val="24"/>
          <w:szCs w:val="24"/>
        </w:rPr>
        <w:t xml:space="preserve"> ‘Market Sensitive Cost Inputs’ we will take each claim for confidentiality case by case. Simply labellin</w:t>
      </w:r>
      <w:r w:rsidR="0021244B">
        <w:rPr>
          <w:rFonts w:cstheme="minorHAnsi"/>
          <w:sz w:val="24"/>
          <w:szCs w:val="24"/>
        </w:rPr>
        <w:t>g something in a confidential</w:t>
      </w:r>
      <w:r w:rsidR="0037081E">
        <w:rPr>
          <w:rFonts w:cstheme="minorHAnsi"/>
          <w:sz w:val="24"/>
          <w:szCs w:val="24"/>
        </w:rPr>
        <w:t xml:space="preserve"> category does not mean it</w:t>
      </w:r>
      <w:r w:rsidR="0021244B">
        <w:rPr>
          <w:rFonts w:cstheme="minorHAnsi"/>
          <w:sz w:val="24"/>
          <w:szCs w:val="24"/>
        </w:rPr>
        <w:t xml:space="preserve"> i</w:t>
      </w:r>
      <w:r w:rsidR="0037081E">
        <w:rPr>
          <w:rFonts w:cstheme="minorHAnsi"/>
          <w:sz w:val="24"/>
          <w:szCs w:val="24"/>
        </w:rPr>
        <w:t>s protected, we will undertake an analysis of the claim.</w:t>
      </w:r>
      <w:r>
        <w:rPr>
          <w:rFonts w:cstheme="minorHAnsi"/>
          <w:sz w:val="24"/>
          <w:szCs w:val="24"/>
        </w:rPr>
        <w:t xml:space="preserve"> </w:t>
      </w:r>
      <w:r w:rsidR="0037081E">
        <w:rPr>
          <w:rFonts w:cstheme="minorHAnsi"/>
          <w:sz w:val="24"/>
          <w:szCs w:val="24"/>
        </w:rPr>
        <w:t>In regard to enforcement, AER staff noted that this is also outside the scope of the rules.</w:t>
      </w:r>
    </w:p>
    <w:p w:rsidR="00CC1C28" w:rsidRPr="00EC7DEE" w:rsidRDefault="0037081E" w:rsidP="00CC1C28">
      <w:pPr>
        <w:jc w:val="both"/>
        <w:rPr>
          <w:rFonts w:cstheme="minorHAnsi"/>
          <w:sz w:val="24"/>
          <w:szCs w:val="24"/>
        </w:rPr>
      </w:pPr>
      <w:r>
        <w:rPr>
          <w:rFonts w:cstheme="minorHAnsi"/>
          <w:sz w:val="24"/>
          <w:szCs w:val="24"/>
        </w:rPr>
        <w:t>CRG members noted the</w:t>
      </w:r>
      <w:r w:rsidR="0021244B">
        <w:rPr>
          <w:rFonts w:cstheme="minorHAnsi"/>
          <w:sz w:val="24"/>
          <w:szCs w:val="24"/>
        </w:rPr>
        <w:t xml:space="preserve"> need for consumers to know what</w:t>
      </w:r>
      <w:r>
        <w:rPr>
          <w:rFonts w:cstheme="minorHAnsi"/>
          <w:sz w:val="24"/>
          <w:szCs w:val="24"/>
        </w:rPr>
        <w:t xml:space="preserve"> information is not disclosed. Consumers</w:t>
      </w:r>
      <w:r w:rsidR="00950C63">
        <w:rPr>
          <w:rFonts w:cstheme="minorHAnsi"/>
          <w:sz w:val="24"/>
          <w:szCs w:val="24"/>
        </w:rPr>
        <w:t xml:space="preserve"> need</w:t>
      </w:r>
      <w:r>
        <w:rPr>
          <w:rFonts w:cstheme="minorHAnsi"/>
          <w:sz w:val="24"/>
          <w:szCs w:val="24"/>
        </w:rPr>
        <w:t xml:space="preserve"> a broad description of confidential information to understand </w:t>
      </w:r>
      <w:r w:rsidR="0021244B">
        <w:rPr>
          <w:rFonts w:cstheme="minorHAnsi"/>
          <w:sz w:val="24"/>
          <w:szCs w:val="24"/>
        </w:rPr>
        <w:t>the</w:t>
      </w:r>
      <w:r>
        <w:rPr>
          <w:rFonts w:cstheme="minorHAnsi"/>
          <w:sz w:val="24"/>
          <w:szCs w:val="24"/>
        </w:rPr>
        <w:t xml:space="preserve"> kind</w:t>
      </w:r>
      <w:r w:rsidR="0021244B">
        <w:rPr>
          <w:rFonts w:cstheme="minorHAnsi"/>
          <w:sz w:val="24"/>
          <w:szCs w:val="24"/>
        </w:rPr>
        <w:t>s</w:t>
      </w:r>
      <w:r>
        <w:rPr>
          <w:rFonts w:cstheme="minorHAnsi"/>
          <w:sz w:val="24"/>
          <w:szCs w:val="24"/>
        </w:rPr>
        <w:t xml:space="preserve"> of information </w:t>
      </w:r>
      <w:r w:rsidR="0021244B">
        <w:rPr>
          <w:rFonts w:cstheme="minorHAnsi"/>
          <w:sz w:val="24"/>
          <w:szCs w:val="24"/>
        </w:rPr>
        <w:t>subject to confidentiality</w:t>
      </w:r>
      <w:r>
        <w:rPr>
          <w:rFonts w:cstheme="minorHAnsi"/>
          <w:sz w:val="24"/>
          <w:szCs w:val="24"/>
        </w:rPr>
        <w:t xml:space="preserve">. </w:t>
      </w:r>
    </w:p>
    <w:p w:rsidR="00CC1C28" w:rsidRPr="00EC7DEE" w:rsidRDefault="00CC1C28" w:rsidP="00CC1C28">
      <w:pPr>
        <w:spacing w:after="0" w:line="240" w:lineRule="auto"/>
        <w:jc w:val="both"/>
        <w:rPr>
          <w:rFonts w:eastAsia="Times New Roman" w:cstheme="minorHAnsi"/>
          <w:b/>
          <w:sz w:val="24"/>
          <w:szCs w:val="28"/>
        </w:rPr>
      </w:pPr>
      <w:r w:rsidRPr="00EC7DEE">
        <w:rPr>
          <w:rFonts w:eastAsia="Times New Roman" w:cstheme="minorHAnsi"/>
          <w:b/>
          <w:sz w:val="24"/>
          <w:szCs w:val="28"/>
        </w:rPr>
        <w:t>7</w:t>
      </w:r>
      <w:r w:rsidRPr="00EC7DEE">
        <w:rPr>
          <w:rFonts w:eastAsia="Times New Roman" w:cstheme="minorHAnsi"/>
          <w:b/>
          <w:sz w:val="24"/>
          <w:szCs w:val="28"/>
        </w:rPr>
        <w:tab/>
      </w:r>
      <w:r w:rsidR="0037081E">
        <w:rPr>
          <w:rFonts w:eastAsia="Times New Roman" w:cstheme="minorHAnsi"/>
          <w:b/>
          <w:sz w:val="24"/>
          <w:szCs w:val="28"/>
        </w:rPr>
        <w:t>Power of Choice</w:t>
      </w:r>
    </w:p>
    <w:p w:rsidR="00CC1C28" w:rsidRPr="00EC7DEE" w:rsidRDefault="00CC1C28" w:rsidP="00CC1C28">
      <w:pPr>
        <w:spacing w:after="0" w:line="240" w:lineRule="auto"/>
        <w:jc w:val="both"/>
        <w:rPr>
          <w:rFonts w:cstheme="minorHAnsi"/>
          <w:sz w:val="24"/>
          <w:szCs w:val="24"/>
        </w:rPr>
      </w:pPr>
    </w:p>
    <w:p w:rsidR="00950C63" w:rsidRDefault="00950C63" w:rsidP="00CC1C28">
      <w:pPr>
        <w:jc w:val="both"/>
        <w:rPr>
          <w:rFonts w:cstheme="minorHAnsi"/>
          <w:sz w:val="24"/>
          <w:szCs w:val="24"/>
        </w:rPr>
      </w:pPr>
      <w:r>
        <w:rPr>
          <w:rFonts w:cstheme="minorHAnsi"/>
          <w:sz w:val="24"/>
          <w:szCs w:val="24"/>
        </w:rPr>
        <w:t>CRG members raised issues</w:t>
      </w:r>
      <w:r w:rsidR="00AF72B3">
        <w:rPr>
          <w:rFonts w:cstheme="minorHAnsi"/>
          <w:sz w:val="24"/>
          <w:szCs w:val="24"/>
        </w:rPr>
        <w:t xml:space="preserve"> a</w:t>
      </w:r>
      <w:r>
        <w:rPr>
          <w:rFonts w:cstheme="minorHAnsi"/>
          <w:sz w:val="24"/>
          <w:szCs w:val="24"/>
        </w:rPr>
        <w:t xml:space="preserve">round how network tariff structures operate. Consumers are concerned where a business increases network capacity to meet peak demand but do not have a time of use tariff applied. Without the right tariff structure certain users are cross subsiding other users. </w:t>
      </w:r>
    </w:p>
    <w:p w:rsidR="00CC1C28" w:rsidRPr="00EC7DEE" w:rsidRDefault="00950C63" w:rsidP="00CC1C28">
      <w:pPr>
        <w:jc w:val="both"/>
        <w:rPr>
          <w:rFonts w:cstheme="minorHAnsi"/>
          <w:sz w:val="24"/>
          <w:szCs w:val="24"/>
        </w:rPr>
      </w:pPr>
      <w:r>
        <w:rPr>
          <w:rFonts w:cstheme="minorHAnsi"/>
          <w:sz w:val="24"/>
          <w:szCs w:val="24"/>
        </w:rPr>
        <w:t xml:space="preserve">AER staff noted that tariff structures do need to be robust to changes in the network and that it has a big impact for consumers. </w:t>
      </w:r>
      <w:r w:rsidR="00AF72B3">
        <w:rPr>
          <w:rFonts w:cstheme="minorHAnsi"/>
          <w:sz w:val="24"/>
          <w:szCs w:val="24"/>
        </w:rPr>
        <w:t xml:space="preserve">  </w:t>
      </w:r>
    </w:p>
    <w:p w:rsidR="00CC1C28" w:rsidRPr="00EC7DEE" w:rsidRDefault="00CC1C28" w:rsidP="00CC1C28">
      <w:pPr>
        <w:jc w:val="both"/>
        <w:rPr>
          <w:rFonts w:cstheme="minorHAnsi"/>
          <w:b/>
          <w:sz w:val="24"/>
          <w:szCs w:val="24"/>
        </w:rPr>
      </w:pPr>
      <w:r w:rsidRPr="00EC7DEE">
        <w:rPr>
          <w:rFonts w:cstheme="minorHAnsi"/>
          <w:b/>
          <w:sz w:val="24"/>
          <w:szCs w:val="24"/>
        </w:rPr>
        <w:t>8</w:t>
      </w:r>
      <w:r w:rsidRPr="00EC7DEE">
        <w:rPr>
          <w:rFonts w:cstheme="minorHAnsi"/>
          <w:b/>
          <w:sz w:val="24"/>
          <w:szCs w:val="24"/>
        </w:rPr>
        <w:tab/>
      </w:r>
      <w:r w:rsidR="00950C63">
        <w:rPr>
          <w:rFonts w:cstheme="minorHAnsi"/>
          <w:b/>
          <w:sz w:val="24"/>
          <w:szCs w:val="24"/>
        </w:rPr>
        <w:t>Other Business</w:t>
      </w:r>
    </w:p>
    <w:p w:rsidR="00CC1C28" w:rsidRDefault="00B15BB0" w:rsidP="00CC1C28">
      <w:pPr>
        <w:jc w:val="both"/>
        <w:rPr>
          <w:rFonts w:cstheme="minorHAnsi"/>
          <w:sz w:val="24"/>
          <w:szCs w:val="24"/>
        </w:rPr>
      </w:pPr>
      <w:r>
        <w:rPr>
          <w:rFonts w:cstheme="minorHAnsi"/>
          <w:sz w:val="24"/>
          <w:szCs w:val="24"/>
        </w:rPr>
        <w:t>CRG members provided positive feedback on the CRG process. Members in</w:t>
      </w:r>
      <w:r w:rsidR="006A7FF8">
        <w:rPr>
          <w:rFonts w:cstheme="minorHAnsi"/>
          <w:sz w:val="24"/>
          <w:szCs w:val="24"/>
        </w:rPr>
        <w:t>dicated that it would be useful</w:t>
      </w:r>
      <w:r>
        <w:rPr>
          <w:rFonts w:cstheme="minorHAnsi"/>
          <w:sz w:val="24"/>
          <w:szCs w:val="24"/>
        </w:rPr>
        <w:t xml:space="preserve"> for the AER to outline how the CRG op</w:t>
      </w:r>
      <w:r w:rsidR="00D40A24">
        <w:rPr>
          <w:rFonts w:cstheme="minorHAnsi"/>
          <w:sz w:val="24"/>
          <w:szCs w:val="24"/>
        </w:rPr>
        <w:t>erated to the AEMC for its consumer engagement programs, as the CRG did well</w:t>
      </w:r>
      <w:r w:rsidR="006A7FF8">
        <w:rPr>
          <w:rFonts w:cstheme="minorHAnsi"/>
          <w:sz w:val="24"/>
          <w:szCs w:val="24"/>
        </w:rPr>
        <w:t xml:space="preserve"> in incorporating consumer input, particularly in </w:t>
      </w:r>
      <w:r w:rsidR="00D40A24">
        <w:rPr>
          <w:rFonts w:cstheme="minorHAnsi"/>
          <w:sz w:val="24"/>
          <w:szCs w:val="24"/>
        </w:rPr>
        <w:t>providing opportunities for</w:t>
      </w:r>
      <w:r w:rsidR="006A7FF8">
        <w:rPr>
          <w:rFonts w:cstheme="minorHAnsi"/>
          <w:sz w:val="24"/>
          <w:szCs w:val="24"/>
        </w:rPr>
        <w:t xml:space="preserve"> oral submissions.</w:t>
      </w:r>
    </w:p>
    <w:p w:rsidR="006A7FF8" w:rsidRDefault="002C7AA8" w:rsidP="00CC1C28">
      <w:pPr>
        <w:jc w:val="both"/>
        <w:rPr>
          <w:rFonts w:cstheme="minorHAnsi"/>
          <w:sz w:val="24"/>
          <w:szCs w:val="24"/>
        </w:rPr>
      </w:pPr>
      <w:r>
        <w:rPr>
          <w:rFonts w:cstheme="minorHAnsi"/>
          <w:sz w:val="24"/>
          <w:szCs w:val="24"/>
        </w:rPr>
        <w:t>AER staff outlined the next steps in the CRG.</w:t>
      </w:r>
    </w:p>
    <w:p w:rsidR="002C7AA8" w:rsidRDefault="00C05EB6" w:rsidP="00D90674">
      <w:pPr>
        <w:pStyle w:val="ListParagraph"/>
        <w:numPr>
          <w:ilvl w:val="0"/>
          <w:numId w:val="12"/>
        </w:numPr>
        <w:ind w:left="426" w:hanging="426"/>
        <w:jc w:val="both"/>
        <w:rPr>
          <w:rFonts w:cstheme="minorHAnsi"/>
          <w:sz w:val="24"/>
          <w:szCs w:val="24"/>
        </w:rPr>
      </w:pPr>
      <w:r>
        <w:rPr>
          <w:rFonts w:cstheme="minorHAnsi"/>
          <w:sz w:val="24"/>
          <w:szCs w:val="24"/>
        </w:rPr>
        <w:t>a</w:t>
      </w:r>
      <w:r w:rsidR="002C7AA8">
        <w:rPr>
          <w:rFonts w:cstheme="minorHAnsi"/>
          <w:sz w:val="24"/>
          <w:szCs w:val="24"/>
        </w:rPr>
        <w:t xml:space="preserve">s the program is reaching its end staff </w:t>
      </w:r>
      <w:r w:rsidR="00D40A24">
        <w:rPr>
          <w:rFonts w:cstheme="minorHAnsi"/>
          <w:sz w:val="24"/>
          <w:szCs w:val="24"/>
        </w:rPr>
        <w:t>are</w:t>
      </w:r>
      <w:r w:rsidR="002C7AA8">
        <w:rPr>
          <w:rFonts w:cstheme="minorHAnsi"/>
          <w:sz w:val="24"/>
          <w:szCs w:val="24"/>
        </w:rPr>
        <w:t xml:space="preserve"> conducting an evaluation of the program. We will send a survey for CRG members to complete and also conduct a feedback session with each member via phone.</w:t>
      </w:r>
    </w:p>
    <w:p w:rsidR="002C7AA8" w:rsidRDefault="00C05EB6" w:rsidP="00D90674">
      <w:pPr>
        <w:pStyle w:val="ListParagraph"/>
        <w:numPr>
          <w:ilvl w:val="0"/>
          <w:numId w:val="12"/>
        </w:numPr>
        <w:ind w:left="426" w:hanging="426"/>
        <w:jc w:val="both"/>
        <w:rPr>
          <w:rFonts w:cstheme="minorHAnsi"/>
          <w:sz w:val="24"/>
          <w:szCs w:val="24"/>
        </w:rPr>
      </w:pPr>
      <w:r>
        <w:rPr>
          <w:rFonts w:cstheme="minorHAnsi"/>
          <w:sz w:val="24"/>
          <w:szCs w:val="24"/>
        </w:rPr>
        <w:t>t</w:t>
      </w:r>
      <w:r w:rsidR="002C7AA8">
        <w:rPr>
          <w:rFonts w:cstheme="minorHAnsi"/>
          <w:sz w:val="24"/>
          <w:szCs w:val="24"/>
        </w:rPr>
        <w:t>he expected release for each guideline was outlined</w:t>
      </w:r>
      <w:r w:rsidR="00812F82">
        <w:rPr>
          <w:rFonts w:cstheme="minorHAnsi"/>
          <w:sz w:val="24"/>
          <w:szCs w:val="24"/>
        </w:rPr>
        <w:t>.</w:t>
      </w:r>
    </w:p>
    <w:p w:rsidR="002C7AA8" w:rsidRPr="002C7AA8" w:rsidRDefault="00C05EB6" w:rsidP="00D90674">
      <w:pPr>
        <w:pStyle w:val="ListParagraph"/>
        <w:numPr>
          <w:ilvl w:val="0"/>
          <w:numId w:val="12"/>
        </w:numPr>
        <w:ind w:left="426" w:hanging="426"/>
        <w:jc w:val="both"/>
        <w:rPr>
          <w:rFonts w:cstheme="minorHAnsi"/>
          <w:sz w:val="24"/>
          <w:szCs w:val="24"/>
        </w:rPr>
      </w:pPr>
      <w:r>
        <w:rPr>
          <w:rFonts w:cstheme="minorHAnsi"/>
          <w:sz w:val="24"/>
          <w:szCs w:val="24"/>
        </w:rPr>
        <w:t>w</w:t>
      </w:r>
      <w:r w:rsidR="002C7AA8">
        <w:rPr>
          <w:rFonts w:cstheme="minorHAnsi"/>
          <w:sz w:val="24"/>
          <w:szCs w:val="24"/>
        </w:rPr>
        <w:t xml:space="preserve">e are intending to hold a final CRG meeting early </w:t>
      </w:r>
      <w:r w:rsidR="00073E3F">
        <w:rPr>
          <w:rFonts w:cstheme="minorHAnsi"/>
          <w:sz w:val="24"/>
          <w:szCs w:val="24"/>
        </w:rPr>
        <w:t>2014</w:t>
      </w:r>
      <w:r w:rsidR="002C7AA8">
        <w:rPr>
          <w:rFonts w:cstheme="minorHAnsi"/>
          <w:sz w:val="24"/>
          <w:szCs w:val="24"/>
        </w:rPr>
        <w:t xml:space="preserve"> after the release of all guidelines. This meeting will wrap up the CRG and outline next stage of our work.</w:t>
      </w:r>
    </w:p>
    <w:p w:rsidR="00CC1C28" w:rsidRPr="00EC7DEE" w:rsidRDefault="00CC1C28" w:rsidP="00CC1C28">
      <w:pPr>
        <w:jc w:val="both"/>
        <w:rPr>
          <w:rFonts w:cstheme="minorHAnsi"/>
          <w:b/>
          <w:sz w:val="24"/>
          <w:szCs w:val="24"/>
        </w:rPr>
      </w:pPr>
      <w:r w:rsidRPr="00EC7DEE">
        <w:rPr>
          <w:rFonts w:cstheme="minorHAnsi"/>
          <w:b/>
          <w:sz w:val="24"/>
          <w:szCs w:val="24"/>
        </w:rPr>
        <w:t>9</w:t>
      </w:r>
      <w:r w:rsidRPr="00EC7DEE">
        <w:rPr>
          <w:rFonts w:cstheme="minorHAnsi"/>
          <w:b/>
          <w:sz w:val="24"/>
          <w:szCs w:val="24"/>
        </w:rPr>
        <w:tab/>
        <w:t xml:space="preserve">Concluding remarks </w:t>
      </w:r>
    </w:p>
    <w:p w:rsidR="00CC1C28" w:rsidRPr="00EC7DEE" w:rsidRDefault="00CC1C28" w:rsidP="00CC1C28">
      <w:pPr>
        <w:jc w:val="both"/>
        <w:rPr>
          <w:rFonts w:cstheme="minorHAnsi"/>
          <w:sz w:val="24"/>
          <w:szCs w:val="24"/>
        </w:rPr>
      </w:pPr>
      <w:r w:rsidRPr="00EC7DEE">
        <w:rPr>
          <w:rFonts w:cstheme="minorHAnsi"/>
          <w:sz w:val="24"/>
          <w:szCs w:val="24"/>
        </w:rPr>
        <w:t xml:space="preserve">Andrew thanked </w:t>
      </w:r>
      <w:r w:rsidR="002C7AA8">
        <w:rPr>
          <w:rFonts w:cstheme="minorHAnsi"/>
          <w:sz w:val="24"/>
          <w:szCs w:val="24"/>
        </w:rPr>
        <w:t xml:space="preserve">CRG members and AER staff for their participation </w:t>
      </w:r>
      <w:r w:rsidR="00462048">
        <w:rPr>
          <w:rFonts w:cstheme="minorHAnsi"/>
          <w:sz w:val="24"/>
          <w:szCs w:val="24"/>
        </w:rPr>
        <w:t xml:space="preserve">and work </w:t>
      </w:r>
      <w:r w:rsidR="002C7AA8">
        <w:rPr>
          <w:rFonts w:cstheme="minorHAnsi"/>
          <w:sz w:val="24"/>
          <w:szCs w:val="24"/>
        </w:rPr>
        <w:t xml:space="preserve">in the CRG. Andrew </w:t>
      </w:r>
      <w:r w:rsidR="00462048">
        <w:rPr>
          <w:rFonts w:cstheme="minorHAnsi"/>
          <w:sz w:val="24"/>
          <w:szCs w:val="24"/>
        </w:rPr>
        <w:t xml:space="preserve">thanked the CRG organisations for making individual members available to us and noted our intention to write to each organisation thanking them for their time and encouraging future participation.  </w:t>
      </w:r>
    </w:p>
    <w:p w:rsidR="00860641" w:rsidRDefault="00860641"/>
    <w:sectPr w:rsidR="00860641" w:rsidSect="00BE072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74" w:rsidRDefault="00D90674">
      <w:pPr>
        <w:spacing w:after="0" w:line="240" w:lineRule="auto"/>
      </w:pPr>
      <w:r>
        <w:separator/>
      </w:r>
    </w:p>
  </w:endnote>
  <w:endnote w:type="continuationSeparator" w:id="0">
    <w:p w:rsidR="00D90674" w:rsidRDefault="00D9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4295"/>
      <w:docPartObj>
        <w:docPartGallery w:val="Page Numbers (Bottom of Page)"/>
        <w:docPartUnique/>
      </w:docPartObj>
    </w:sdtPr>
    <w:sdtEndPr/>
    <w:sdtContent>
      <w:p w:rsidR="00D90674" w:rsidRDefault="00D90674">
        <w:pPr>
          <w:pStyle w:val="Footer"/>
          <w:jc w:val="right"/>
        </w:pPr>
        <w:r>
          <w:fldChar w:fldCharType="begin"/>
        </w:r>
        <w:r>
          <w:instrText xml:space="preserve"> PAGE   \* MERGEFORMAT </w:instrText>
        </w:r>
        <w:r>
          <w:fldChar w:fldCharType="separate"/>
        </w:r>
        <w:r w:rsidR="003E7791">
          <w:rPr>
            <w:noProof/>
          </w:rPr>
          <w:t>2</w:t>
        </w:r>
        <w:r>
          <w:rPr>
            <w:noProof/>
          </w:rPr>
          <w:fldChar w:fldCharType="end"/>
        </w:r>
      </w:p>
    </w:sdtContent>
  </w:sdt>
  <w:p w:rsidR="00D90674" w:rsidRDefault="00D90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74" w:rsidRDefault="00D90674">
      <w:pPr>
        <w:spacing w:after="0" w:line="240" w:lineRule="auto"/>
      </w:pPr>
      <w:r>
        <w:separator/>
      </w:r>
    </w:p>
  </w:footnote>
  <w:footnote w:type="continuationSeparator" w:id="0">
    <w:p w:rsidR="00D90674" w:rsidRDefault="00D90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1A1"/>
    <w:multiLevelType w:val="hybridMultilevel"/>
    <w:tmpl w:val="23584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484424"/>
    <w:multiLevelType w:val="hybridMultilevel"/>
    <w:tmpl w:val="9EB4EFDE"/>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24AE52D2"/>
    <w:multiLevelType w:val="hybridMultilevel"/>
    <w:tmpl w:val="4FCCA94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1B14DD"/>
    <w:multiLevelType w:val="hybridMultilevel"/>
    <w:tmpl w:val="4F66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E8537B"/>
    <w:multiLevelType w:val="hybridMultilevel"/>
    <w:tmpl w:val="C5722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3CAA7D65"/>
    <w:multiLevelType w:val="hybridMultilevel"/>
    <w:tmpl w:val="BFE0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13736D"/>
    <w:multiLevelType w:val="hybridMultilevel"/>
    <w:tmpl w:val="E62E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856D2B"/>
    <w:multiLevelType w:val="hybridMultilevel"/>
    <w:tmpl w:val="ADE6D4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4B151BDE"/>
    <w:multiLevelType w:val="hybridMultilevel"/>
    <w:tmpl w:val="931E85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52C488C"/>
    <w:multiLevelType w:val="hybridMultilevel"/>
    <w:tmpl w:val="7086346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938095D"/>
    <w:multiLevelType w:val="hybridMultilevel"/>
    <w:tmpl w:val="B4B4F4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6A0346C8"/>
    <w:multiLevelType w:val="hybridMultilevel"/>
    <w:tmpl w:val="3F366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5"/>
  </w:num>
  <w:num w:numId="6">
    <w:abstractNumId w:val="6"/>
  </w:num>
  <w:num w:numId="7">
    <w:abstractNumId w:val="3"/>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off\Local Settings\Temporary Internet Files\Content.Outlook\9T18D4AO\AER Consumer Reference Group Minutes - Meeting  no 7 - 17 October 2013.DOCX"/>
  </w:docVars>
  <w:rsids>
    <w:rsidRoot w:val="00CC1C28"/>
    <w:rsid w:val="00011333"/>
    <w:rsid w:val="000171DD"/>
    <w:rsid w:val="00073E3F"/>
    <w:rsid w:val="000F2D64"/>
    <w:rsid w:val="0011760F"/>
    <w:rsid w:val="00131967"/>
    <w:rsid w:val="00142081"/>
    <w:rsid w:val="001A65C4"/>
    <w:rsid w:val="001C3853"/>
    <w:rsid w:val="00207406"/>
    <w:rsid w:val="0021244B"/>
    <w:rsid w:val="002329AC"/>
    <w:rsid w:val="00244E0C"/>
    <w:rsid w:val="002C7AA8"/>
    <w:rsid w:val="002D6414"/>
    <w:rsid w:val="002E73EC"/>
    <w:rsid w:val="0037081E"/>
    <w:rsid w:val="00396079"/>
    <w:rsid w:val="003E7791"/>
    <w:rsid w:val="00462048"/>
    <w:rsid w:val="004707E3"/>
    <w:rsid w:val="00475867"/>
    <w:rsid w:val="00487FD6"/>
    <w:rsid w:val="004E2806"/>
    <w:rsid w:val="004F6D55"/>
    <w:rsid w:val="005013C1"/>
    <w:rsid w:val="005757B9"/>
    <w:rsid w:val="00615A98"/>
    <w:rsid w:val="006605F9"/>
    <w:rsid w:val="006725B0"/>
    <w:rsid w:val="006A7FF8"/>
    <w:rsid w:val="006D44B2"/>
    <w:rsid w:val="006D4C13"/>
    <w:rsid w:val="006E5C03"/>
    <w:rsid w:val="00711A63"/>
    <w:rsid w:val="007A32C4"/>
    <w:rsid w:val="007C0CD6"/>
    <w:rsid w:val="00812F82"/>
    <w:rsid w:val="00850DAB"/>
    <w:rsid w:val="00860641"/>
    <w:rsid w:val="00900F22"/>
    <w:rsid w:val="0090267B"/>
    <w:rsid w:val="009116EA"/>
    <w:rsid w:val="00923D51"/>
    <w:rsid w:val="00950C63"/>
    <w:rsid w:val="009737F6"/>
    <w:rsid w:val="009B0D4F"/>
    <w:rsid w:val="00A4138A"/>
    <w:rsid w:val="00A70A10"/>
    <w:rsid w:val="00AA4DA2"/>
    <w:rsid w:val="00AC14D1"/>
    <w:rsid w:val="00AD19EA"/>
    <w:rsid w:val="00AF72B3"/>
    <w:rsid w:val="00B15BB0"/>
    <w:rsid w:val="00B23C3F"/>
    <w:rsid w:val="00B863A9"/>
    <w:rsid w:val="00BE072F"/>
    <w:rsid w:val="00C00D03"/>
    <w:rsid w:val="00C01789"/>
    <w:rsid w:val="00C05EB6"/>
    <w:rsid w:val="00C36045"/>
    <w:rsid w:val="00C40946"/>
    <w:rsid w:val="00C448B2"/>
    <w:rsid w:val="00C63824"/>
    <w:rsid w:val="00C77316"/>
    <w:rsid w:val="00CA0435"/>
    <w:rsid w:val="00CC1C28"/>
    <w:rsid w:val="00D40A24"/>
    <w:rsid w:val="00D90674"/>
    <w:rsid w:val="00DB669C"/>
    <w:rsid w:val="00EB1E94"/>
    <w:rsid w:val="00F32DCA"/>
    <w:rsid w:val="00F7194D"/>
    <w:rsid w:val="00FA2804"/>
    <w:rsid w:val="00FA3ED0"/>
    <w:rsid w:val="00FA5580"/>
    <w:rsid w:val="00FF4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28"/>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C28"/>
    <w:pPr>
      <w:ind w:left="720"/>
      <w:contextualSpacing/>
    </w:pPr>
  </w:style>
  <w:style w:type="paragraph" w:styleId="Footer">
    <w:name w:val="footer"/>
    <w:basedOn w:val="Normal"/>
    <w:link w:val="FooterChar"/>
    <w:uiPriority w:val="99"/>
    <w:unhideWhenUsed/>
    <w:rsid w:val="00CC1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28"/>
    <w:rPr>
      <w:rFonts w:eastAsiaTheme="minorEastAsia"/>
      <w:lang w:eastAsia="en-AU"/>
    </w:rPr>
  </w:style>
  <w:style w:type="paragraph" w:customStyle="1" w:styleId="Default">
    <w:name w:val="Default"/>
    <w:rsid w:val="00CC1C2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CC1C28"/>
    <w:rPr>
      <w:sz w:val="16"/>
      <w:szCs w:val="16"/>
    </w:rPr>
  </w:style>
  <w:style w:type="paragraph" w:styleId="CommentText">
    <w:name w:val="annotation text"/>
    <w:basedOn w:val="Normal"/>
    <w:link w:val="CommentTextChar"/>
    <w:uiPriority w:val="99"/>
    <w:semiHidden/>
    <w:unhideWhenUsed/>
    <w:rsid w:val="00CC1C28"/>
    <w:pPr>
      <w:spacing w:line="240" w:lineRule="auto"/>
    </w:pPr>
    <w:rPr>
      <w:sz w:val="20"/>
      <w:szCs w:val="20"/>
    </w:rPr>
  </w:style>
  <w:style w:type="character" w:customStyle="1" w:styleId="CommentTextChar">
    <w:name w:val="Comment Text Char"/>
    <w:basedOn w:val="DefaultParagraphFont"/>
    <w:link w:val="CommentText"/>
    <w:uiPriority w:val="99"/>
    <w:semiHidden/>
    <w:rsid w:val="00CC1C28"/>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CC1C28"/>
    <w:rPr>
      <w:b/>
      <w:bCs/>
    </w:rPr>
  </w:style>
  <w:style w:type="character" w:customStyle="1" w:styleId="CommentSubjectChar">
    <w:name w:val="Comment Subject Char"/>
    <w:basedOn w:val="CommentTextChar"/>
    <w:link w:val="CommentSubject"/>
    <w:uiPriority w:val="99"/>
    <w:semiHidden/>
    <w:rsid w:val="00CC1C28"/>
    <w:rPr>
      <w:rFonts w:eastAsiaTheme="minorEastAsia"/>
      <w:b/>
      <w:bCs/>
      <w:sz w:val="20"/>
      <w:szCs w:val="20"/>
      <w:lang w:eastAsia="en-AU"/>
    </w:rPr>
  </w:style>
  <w:style w:type="paragraph" w:styleId="BalloonText">
    <w:name w:val="Balloon Text"/>
    <w:basedOn w:val="Normal"/>
    <w:link w:val="BalloonTextChar"/>
    <w:uiPriority w:val="99"/>
    <w:semiHidden/>
    <w:unhideWhenUsed/>
    <w:rsid w:val="00CC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28"/>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28"/>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C28"/>
    <w:pPr>
      <w:ind w:left="720"/>
      <w:contextualSpacing/>
    </w:pPr>
  </w:style>
  <w:style w:type="paragraph" w:styleId="Footer">
    <w:name w:val="footer"/>
    <w:basedOn w:val="Normal"/>
    <w:link w:val="FooterChar"/>
    <w:uiPriority w:val="99"/>
    <w:unhideWhenUsed/>
    <w:rsid w:val="00CC1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28"/>
    <w:rPr>
      <w:rFonts w:eastAsiaTheme="minorEastAsia"/>
      <w:lang w:eastAsia="en-AU"/>
    </w:rPr>
  </w:style>
  <w:style w:type="paragraph" w:customStyle="1" w:styleId="Default">
    <w:name w:val="Default"/>
    <w:rsid w:val="00CC1C2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CC1C28"/>
    <w:rPr>
      <w:sz w:val="16"/>
      <w:szCs w:val="16"/>
    </w:rPr>
  </w:style>
  <w:style w:type="paragraph" w:styleId="CommentText">
    <w:name w:val="annotation text"/>
    <w:basedOn w:val="Normal"/>
    <w:link w:val="CommentTextChar"/>
    <w:uiPriority w:val="99"/>
    <w:semiHidden/>
    <w:unhideWhenUsed/>
    <w:rsid w:val="00CC1C28"/>
    <w:pPr>
      <w:spacing w:line="240" w:lineRule="auto"/>
    </w:pPr>
    <w:rPr>
      <w:sz w:val="20"/>
      <w:szCs w:val="20"/>
    </w:rPr>
  </w:style>
  <w:style w:type="character" w:customStyle="1" w:styleId="CommentTextChar">
    <w:name w:val="Comment Text Char"/>
    <w:basedOn w:val="DefaultParagraphFont"/>
    <w:link w:val="CommentText"/>
    <w:uiPriority w:val="99"/>
    <w:semiHidden/>
    <w:rsid w:val="00CC1C28"/>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CC1C28"/>
    <w:rPr>
      <w:b/>
      <w:bCs/>
    </w:rPr>
  </w:style>
  <w:style w:type="character" w:customStyle="1" w:styleId="CommentSubjectChar">
    <w:name w:val="Comment Subject Char"/>
    <w:basedOn w:val="CommentTextChar"/>
    <w:link w:val="CommentSubject"/>
    <w:uiPriority w:val="99"/>
    <w:semiHidden/>
    <w:rsid w:val="00CC1C28"/>
    <w:rPr>
      <w:rFonts w:eastAsiaTheme="minorEastAsia"/>
      <w:b/>
      <w:bCs/>
      <w:sz w:val="20"/>
      <w:szCs w:val="20"/>
      <w:lang w:eastAsia="en-AU"/>
    </w:rPr>
  </w:style>
  <w:style w:type="paragraph" w:styleId="BalloonText">
    <w:name w:val="Balloon Text"/>
    <w:basedOn w:val="Normal"/>
    <w:link w:val="BalloonTextChar"/>
    <w:uiPriority w:val="99"/>
    <w:semiHidden/>
    <w:unhideWhenUsed/>
    <w:rsid w:val="00CC1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C28"/>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7741">
      <w:bodyDiv w:val="1"/>
      <w:marLeft w:val="0"/>
      <w:marRight w:val="0"/>
      <w:marTop w:val="0"/>
      <w:marBottom w:val="0"/>
      <w:divBdr>
        <w:top w:val="none" w:sz="0" w:space="0" w:color="auto"/>
        <w:left w:val="none" w:sz="0" w:space="0" w:color="auto"/>
        <w:bottom w:val="none" w:sz="0" w:space="0" w:color="auto"/>
        <w:right w:val="none" w:sz="0" w:space="0" w:color="auto"/>
      </w:divBdr>
    </w:div>
    <w:div w:id="283777283">
      <w:bodyDiv w:val="1"/>
      <w:marLeft w:val="0"/>
      <w:marRight w:val="0"/>
      <w:marTop w:val="0"/>
      <w:marBottom w:val="0"/>
      <w:divBdr>
        <w:top w:val="none" w:sz="0" w:space="0" w:color="auto"/>
        <w:left w:val="none" w:sz="0" w:space="0" w:color="auto"/>
        <w:bottom w:val="none" w:sz="0" w:space="0" w:color="auto"/>
        <w:right w:val="none" w:sz="0" w:space="0" w:color="auto"/>
      </w:divBdr>
    </w:div>
    <w:div w:id="361907505">
      <w:bodyDiv w:val="1"/>
      <w:marLeft w:val="0"/>
      <w:marRight w:val="0"/>
      <w:marTop w:val="0"/>
      <w:marBottom w:val="0"/>
      <w:divBdr>
        <w:top w:val="none" w:sz="0" w:space="0" w:color="auto"/>
        <w:left w:val="none" w:sz="0" w:space="0" w:color="auto"/>
        <w:bottom w:val="none" w:sz="0" w:space="0" w:color="auto"/>
        <w:right w:val="none" w:sz="0" w:space="0" w:color="auto"/>
      </w:divBdr>
    </w:div>
    <w:div w:id="421293454">
      <w:bodyDiv w:val="1"/>
      <w:marLeft w:val="0"/>
      <w:marRight w:val="0"/>
      <w:marTop w:val="0"/>
      <w:marBottom w:val="0"/>
      <w:divBdr>
        <w:top w:val="none" w:sz="0" w:space="0" w:color="auto"/>
        <w:left w:val="none" w:sz="0" w:space="0" w:color="auto"/>
        <w:bottom w:val="none" w:sz="0" w:space="0" w:color="auto"/>
        <w:right w:val="none" w:sz="0" w:space="0" w:color="auto"/>
      </w:divBdr>
    </w:div>
    <w:div w:id="18097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1681</Words>
  <Characters>9586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squad</dc:creator>
  <cp:keywords/>
  <dc:description/>
  <cp:lastModifiedBy>Moffitt, Shannon</cp:lastModifiedBy>
  <cp:revision>2</cp:revision>
  <dcterms:created xsi:type="dcterms:W3CDTF">2013-11-19T01:05:00Z</dcterms:created>
  <dcterms:modified xsi:type="dcterms:W3CDTF">2013-11-19T01:05:00Z</dcterms:modified>
</cp:coreProperties>
</file>