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7942A8" w:rsidP="00290C63">
          <w:r w:rsidRPr="007942A8">
            <w:rPr>
              <w:noProof/>
              <w:lang w:eastAsia="zh-CN"/>
            </w:rPr>
            <w:drawing>
              <wp:anchor distT="0" distB="0" distL="114300" distR="114300" simplePos="0" relativeHeight="251680768" behindDoc="1" locked="0" layoutInCell="1" allowOverlap="1" wp14:anchorId="4DDBBBA1" wp14:editId="01B9E06A">
                <wp:simplePos x="0" y="0"/>
                <wp:positionH relativeFrom="column">
                  <wp:posOffset>-1090358</wp:posOffset>
                </wp:positionH>
                <wp:positionV relativeFrom="paragraph">
                  <wp:posOffset>-899286</wp:posOffset>
                </wp:positionV>
                <wp:extent cx="7653307" cy="10730975"/>
                <wp:effectExtent l="0" t="0" r="5080"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51870"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8F4FB0" w:rsidP="008F4FB0">
          <w:pPr>
            <w:pStyle w:val="ReportTitle"/>
            <w:jc w:val="left"/>
          </w:pPr>
          <w:r>
            <w:tab/>
          </w:r>
          <w:r w:rsidR="00077BA1">
            <w:t>Decision</w:t>
          </w:r>
        </w:p>
        <w:p w:rsidR="00077BA1" w:rsidRPr="00FF07E3" w:rsidRDefault="00077BA1" w:rsidP="00077BA1">
          <w:pPr>
            <w:rPr>
              <w:rStyle w:val="AERsuperscript"/>
            </w:rPr>
          </w:pPr>
        </w:p>
        <w:p w:rsidR="00831377" w:rsidRDefault="007942A8" w:rsidP="00E53609">
          <w:pPr>
            <w:pStyle w:val="ReportSubtitle"/>
          </w:pPr>
          <w:r>
            <w:t xml:space="preserve">Applications by DNSPs for </w:t>
          </w:r>
          <w:r w:rsidR="00BE5B9B">
            <w:t>Demand Management In</w:t>
          </w:r>
          <w:r w:rsidR="00A23780">
            <w:t>novation</w:t>
          </w:r>
          <w:r w:rsidR="00BE5B9B">
            <w:t xml:space="preserve"> </w:t>
          </w:r>
          <w:r w:rsidR="00A23780">
            <w:t>Allowance</w:t>
          </w:r>
          <w:r w:rsidR="00A5483A">
            <w:t xml:space="preserve"> for</w:t>
          </w:r>
          <w:r w:rsidR="00D17CCF">
            <w:t>:</w:t>
          </w:r>
        </w:p>
        <w:tbl>
          <w:tblPr>
            <w:tblStyle w:val="ACCCTable3"/>
            <w:tblW w:w="8806" w:type="dxa"/>
            <w:tblLook w:val="04A0" w:firstRow="1" w:lastRow="0" w:firstColumn="1" w:lastColumn="0" w:noHBand="0" w:noVBand="1"/>
          </w:tblPr>
          <w:tblGrid>
            <w:gridCol w:w="3300"/>
            <w:gridCol w:w="2206"/>
            <w:gridCol w:w="3300"/>
          </w:tblGrid>
          <w:tr w:rsidR="001C45BD" w:rsidTr="008F4FB0">
            <w:trPr>
              <w:gridAfter w:val="1"/>
              <w:cnfStyle w:val="100000000000" w:firstRow="1" w:lastRow="0" w:firstColumn="0" w:lastColumn="0" w:oddVBand="0" w:evenVBand="0" w:oddHBand="0" w:evenHBand="0" w:firstRowFirstColumn="0" w:firstRowLastColumn="0" w:lastRowFirstColumn="0" w:lastRowLastColumn="0"/>
              <w:wAfter w:w="3300" w:type="dxa"/>
              <w:trHeight w:val="594"/>
            </w:trPr>
            <w:tc>
              <w:tcPr>
                <w:cnfStyle w:val="001000000000" w:firstRow="0" w:lastRow="0" w:firstColumn="1" w:lastColumn="0" w:oddVBand="0" w:evenVBand="0" w:oddHBand="0" w:evenHBand="0" w:firstRowFirstColumn="0" w:firstRowLastColumn="0" w:lastRowFirstColumn="0" w:lastRowLastColumn="0"/>
                <w:tcW w:w="5506" w:type="dxa"/>
                <w:gridSpan w:val="2"/>
              </w:tcPr>
              <w:p w:rsidR="001C45BD" w:rsidRPr="00FF07E3" w:rsidRDefault="001C45BD" w:rsidP="00D81AA9">
                <w:pPr>
                  <w:pStyle w:val="UnnumberedHeading"/>
                  <w:rPr>
                    <w:rStyle w:val="AERsuperscript"/>
                  </w:rPr>
                </w:pPr>
                <w:bookmarkStart w:id="0" w:name="_Toc411513661"/>
              </w:p>
            </w:tc>
          </w:tr>
          <w:tr w:rsidR="00831377" w:rsidTr="008F4FB0">
            <w:trPr>
              <w:trHeight w:val="606"/>
            </w:trPr>
            <w:tc>
              <w:tcPr>
                <w:cnfStyle w:val="001000000000" w:firstRow="0" w:lastRow="0" w:firstColumn="1" w:lastColumn="0" w:oddVBand="0" w:evenVBand="0" w:oddHBand="0" w:evenHBand="0" w:firstRowFirstColumn="0" w:firstRowLastColumn="0" w:lastRowFirstColumn="0" w:lastRowLastColumn="0"/>
                <w:tcW w:w="3300" w:type="dxa"/>
              </w:tcPr>
              <w:p w:rsidR="00831377" w:rsidRPr="00FF07E3" w:rsidRDefault="00831377" w:rsidP="00D81AA9">
                <w:pPr>
                  <w:pStyle w:val="UnnumberedHeading"/>
                  <w:rPr>
                    <w:rStyle w:val="Strong"/>
                  </w:rPr>
                </w:pPr>
                <w:r w:rsidRPr="00FF07E3">
                  <w:rPr>
                    <w:rStyle w:val="Strong"/>
                  </w:rPr>
                  <w:t>Victorian DNSPs</w:t>
                </w:r>
              </w:p>
            </w:tc>
            <w:tc>
              <w:tcPr>
                <w:tcW w:w="5506" w:type="dxa"/>
                <w:gridSpan w:val="2"/>
              </w:tcPr>
              <w:p w:rsidR="00831377" w:rsidRPr="00FF07E3" w:rsidRDefault="00831377" w:rsidP="00997945">
                <w:pPr>
                  <w:pStyle w:val="UnnumberedHeading"/>
                  <w:cnfStyle w:val="000000000000" w:firstRow="0" w:lastRow="0" w:firstColumn="0" w:lastColumn="0" w:oddVBand="0" w:evenVBand="0" w:oddHBand="0" w:evenHBand="0" w:firstRowFirstColumn="0" w:firstRowLastColumn="0" w:lastRowFirstColumn="0" w:lastRowLastColumn="0"/>
                  <w:rPr>
                    <w:rStyle w:val="Strong"/>
                  </w:rPr>
                </w:pPr>
                <w:r w:rsidRPr="00FF07E3">
                  <w:rPr>
                    <w:rStyle w:val="Strong"/>
                  </w:rPr>
                  <w:t>2014 calendar year</w:t>
                </w:r>
              </w:p>
            </w:tc>
          </w:tr>
          <w:tr w:rsidR="00831377" w:rsidTr="008F4FB0">
            <w:trPr>
              <w:trHeight w:val="2412"/>
            </w:trPr>
            <w:tc>
              <w:tcPr>
                <w:cnfStyle w:val="001000000000" w:firstRow="0" w:lastRow="0" w:firstColumn="1" w:lastColumn="0" w:oddVBand="0" w:evenVBand="0" w:oddHBand="0" w:evenHBand="0" w:firstRowFirstColumn="0" w:firstRowLastColumn="0" w:lastRowFirstColumn="0" w:lastRowLastColumn="0"/>
                <w:tcW w:w="3300" w:type="dxa"/>
              </w:tcPr>
              <w:p w:rsidR="00B20707" w:rsidRPr="00FF07E3" w:rsidRDefault="00B20707" w:rsidP="00D81AA9">
                <w:pPr>
                  <w:pStyle w:val="UnnumberedHeading"/>
                  <w:rPr>
                    <w:rStyle w:val="Strong"/>
                  </w:rPr>
                </w:pPr>
                <w:r w:rsidRPr="00FF07E3">
                  <w:rPr>
                    <w:rStyle w:val="Strong"/>
                  </w:rPr>
                  <w:t>TasNetworks</w:t>
                </w:r>
              </w:p>
              <w:p w:rsidR="00831377" w:rsidRPr="00FF07E3" w:rsidRDefault="001C45BD" w:rsidP="001C45BD">
                <w:pPr>
                  <w:pStyle w:val="UnnumberedHeading"/>
                  <w:rPr>
                    <w:rStyle w:val="Strong"/>
                  </w:rPr>
                </w:pPr>
                <w:r w:rsidRPr="00FF07E3">
                  <w:rPr>
                    <w:rStyle w:val="Strong"/>
                  </w:rPr>
                  <w:t>Other</w:t>
                </w:r>
                <w:r w:rsidR="00B20707" w:rsidRPr="00FF07E3">
                  <w:rPr>
                    <w:rStyle w:val="Strong"/>
                  </w:rPr>
                  <w:t xml:space="preserve"> </w:t>
                </w:r>
                <w:r w:rsidR="00831377" w:rsidRPr="00FF07E3">
                  <w:rPr>
                    <w:rStyle w:val="Strong"/>
                  </w:rPr>
                  <w:t>DNSPs</w:t>
                </w:r>
              </w:p>
            </w:tc>
            <w:tc>
              <w:tcPr>
                <w:tcW w:w="5506" w:type="dxa"/>
                <w:gridSpan w:val="2"/>
              </w:tcPr>
              <w:p w:rsidR="00B20707" w:rsidRPr="00FF07E3" w:rsidRDefault="00B20707" w:rsidP="00B20707">
                <w:pPr>
                  <w:pStyle w:val="UnnumberedHeading"/>
                  <w:cnfStyle w:val="000000000000" w:firstRow="0" w:lastRow="0" w:firstColumn="0" w:lastColumn="0" w:oddVBand="0" w:evenVBand="0" w:oddHBand="0" w:evenHBand="0" w:firstRowFirstColumn="0" w:firstRowLastColumn="0" w:lastRowFirstColumn="0" w:lastRowLastColumn="0"/>
                  <w:rPr>
                    <w:rStyle w:val="Strong"/>
                  </w:rPr>
                </w:pPr>
                <w:r w:rsidRPr="00FF07E3">
                  <w:rPr>
                    <w:rStyle w:val="Strong"/>
                  </w:rPr>
                  <w:t xml:space="preserve">2013–14 </w:t>
                </w:r>
                <w:r w:rsidR="008507D4" w:rsidRPr="00FF07E3">
                  <w:rPr>
                    <w:rStyle w:val="Strong"/>
                  </w:rPr>
                  <w:t>financial year</w:t>
                </w:r>
              </w:p>
              <w:p w:rsidR="00831377" w:rsidRPr="00FF07E3" w:rsidRDefault="00B20707" w:rsidP="008507D4">
                <w:pPr>
                  <w:pStyle w:val="UnnumberedHeading"/>
                  <w:cnfStyle w:val="000000000000" w:firstRow="0" w:lastRow="0" w:firstColumn="0" w:lastColumn="0" w:oddVBand="0" w:evenVBand="0" w:oddHBand="0" w:evenHBand="0" w:firstRowFirstColumn="0" w:firstRowLastColumn="0" w:lastRowFirstColumn="0" w:lastRowLastColumn="0"/>
                  <w:rPr>
                    <w:rStyle w:val="Strong"/>
                  </w:rPr>
                </w:pPr>
                <w:r w:rsidRPr="00FF07E3">
                  <w:rPr>
                    <w:rStyle w:val="Strong"/>
                  </w:rPr>
                  <w:t>2013–14</w:t>
                </w:r>
                <w:r w:rsidR="001C45BD" w:rsidRPr="00FF07E3">
                  <w:rPr>
                    <w:rStyle w:val="Strong"/>
                  </w:rPr>
                  <w:t>, 2014–15</w:t>
                </w:r>
                <w:r w:rsidRPr="00FF07E3">
                  <w:rPr>
                    <w:rStyle w:val="Strong"/>
                  </w:rPr>
                  <w:t xml:space="preserve"> </w:t>
                </w:r>
                <w:r w:rsidR="00831377" w:rsidRPr="00FF07E3">
                  <w:rPr>
                    <w:rStyle w:val="Strong"/>
                  </w:rPr>
                  <w:t>financial year</w:t>
                </w:r>
                <w:r w:rsidRPr="00FF07E3">
                  <w:rPr>
                    <w:rStyle w:val="Strong"/>
                  </w:rPr>
                  <w:t xml:space="preserve"> </w:t>
                </w:r>
                <w:r w:rsidR="001C45BD" w:rsidRPr="00FF07E3">
                  <w:rPr>
                    <w:rStyle w:val="Strong"/>
                  </w:rPr>
                  <w:t xml:space="preserve">as appropriate </w:t>
                </w:r>
                <w:r w:rsidRPr="00FF07E3">
                  <w:rPr>
                    <w:rStyle w:val="Strong"/>
                  </w:rPr>
                  <w:t>and carryover adjustments</w:t>
                </w:r>
                <w:r w:rsidR="008F4FB0" w:rsidRPr="00FF07E3">
                  <w:rPr>
                    <w:rStyle w:val="Strong"/>
                  </w:rPr>
                  <w:t xml:space="preserve"> for the new regulatory control period </w:t>
                </w:r>
              </w:p>
            </w:tc>
          </w:tr>
          <w:bookmarkEnd w:id="0"/>
        </w:tbl>
        <w:p w:rsidR="00E53609" w:rsidRDefault="00E53609" w:rsidP="00327A1E">
          <w:pPr>
            <w:pStyle w:val="ReportDate"/>
          </w:pPr>
        </w:p>
        <w:p w:rsidR="000A6C7B" w:rsidRPr="00327A1E" w:rsidRDefault="00CA203A" w:rsidP="00327A1E">
          <w:pPr>
            <w:pStyle w:val="ReportDate"/>
          </w:pPr>
          <w:r>
            <w:t>April</w:t>
          </w:r>
          <w:r w:rsidR="00F5374A">
            <w:t xml:space="preserve"> 2016</w:t>
          </w:r>
        </w:p>
      </w:sdtContent>
    </w:sdt>
    <w:p w:rsidR="000A6C7B" w:rsidRDefault="00327A1E" w:rsidP="001C45BD">
      <w:r>
        <w:br w:type="page"/>
      </w:r>
      <w:r w:rsidR="00A77E34">
        <w:lastRenderedPageBreak/>
        <w:t>© Commonwealth of Australia 2016</w:t>
      </w:r>
    </w:p>
    <w:p w:rsidR="000A6C7B" w:rsidRPr="00786F06" w:rsidRDefault="000A6C7B" w:rsidP="000A6C7B">
      <w:pPr>
        <w:pStyle w:val="Copyright"/>
        <w:rPr>
          <w:rStyle w:val="AERbody"/>
        </w:rPr>
      </w:pPr>
      <w:r w:rsidRPr="00786F06">
        <w:rPr>
          <w:rStyle w:val="AERbody"/>
        </w:rPr>
        <w:t>This work is copyright. In addition to any use permitted under the Copyright Act 1968, all material contained within this work is provided under a Creative Commons Attributions 3.0 Australia licence, with the exception of:</w:t>
      </w:r>
    </w:p>
    <w:p w:rsidR="000A6C7B" w:rsidRPr="00290C63" w:rsidRDefault="000A6C7B" w:rsidP="007942A8">
      <w:pPr>
        <w:pStyle w:val="AERbulletlistfirststyle"/>
      </w:pPr>
      <w:r>
        <w:t>the Commonwealth Coat of Arms</w:t>
      </w:r>
    </w:p>
    <w:p w:rsidR="000A6C7B" w:rsidRPr="00290C63" w:rsidRDefault="000A6C7B" w:rsidP="007942A8">
      <w:pPr>
        <w:pStyle w:val="AERbulletlistfirststyle"/>
      </w:pPr>
      <w:r>
        <w:t>the ACCC and AER logos</w:t>
      </w:r>
    </w:p>
    <w:p w:rsidR="000A6C7B" w:rsidRDefault="000A6C7B" w:rsidP="007942A8">
      <w:pPr>
        <w:pStyle w:val="AERbulletlistfirststyle"/>
      </w:pPr>
      <w: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Pr="00786F06" w:rsidRDefault="000A6C7B" w:rsidP="000A6C7B">
      <w:pPr>
        <w:pStyle w:val="Copyright"/>
        <w:rPr>
          <w:rStyle w:val="AERbody"/>
        </w:rPr>
      </w:pPr>
      <w:r w:rsidRPr="00786F06">
        <w:rPr>
          <w:rStyle w:val="AERbody"/>
        </w:rPr>
        <w:t>Requests and inquiries concerning reproduction and rights should be addressed to the Director, Corporate Communications, Australian Competition and Consumer Commission, GPO Box 4141, Canberra ACT 2601 or publishing.unit@accc.gov.au.</w:t>
      </w:r>
    </w:p>
    <w:p w:rsidR="00951978" w:rsidRPr="00786F06" w:rsidRDefault="000A6C7B" w:rsidP="00A02A88">
      <w:pPr>
        <w:pStyle w:val="Copyright"/>
        <w:rPr>
          <w:rStyle w:val="AERbody"/>
        </w:rPr>
      </w:pPr>
      <w:r w:rsidRPr="00786F06">
        <w:rPr>
          <w:rStyle w:val="AERbody"/>
        </w:rPr>
        <w:t>Inquiries about this publication should be addressed to:</w:t>
      </w:r>
    </w:p>
    <w:p w:rsidR="000A6C7B" w:rsidRPr="00786F06" w:rsidRDefault="000A6C7B" w:rsidP="000A6C7B">
      <w:pPr>
        <w:pStyle w:val="Copyright"/>
        <w:rPr>
          <w:rStyle w:val="AERbody"/>
        </w:rPr>
      </w:pPr>
      <w:r w:rsidRPr="00786F06">
        <w:rPr>
          <w:rStyle w:val="AERbody"/>
        </w:rPr>
        <w:t>Australian Energy Regulator</w:t>
      </w:r>
      <w:r w:rsidR="00951978" w:rsidRPr="00786F06">
        <w:rPr>
          <w:rStyle w:val="AERbody"/>
        </w:rPr>
        <w:br/>
      </w:r>
      <w:r w:rsidRPr="00786F06">
        <w:rPr>
          <w:rStyle w:val="AERbody"/>
        </w:rPr>
        <w:t>GPO Box 520</w:t>
      </w:r>
      <w:r w:rsidR="00951978" w:rsidRPr="00786F06">
        <w:rPr>
          <w:rStyle w:val="AERbody"/>
        </w:rPr>
        <w:br/>
      </w:r>
      <w:r w:rsidRPr="00786F06">
        <w:rPr>
          <w:rStyle w:val="AERbody"/>
        </w:rPr>
        <w:t>Melbourne  Vic  3001</w:t>
      </w:r>
    </w:p>
    <w:p w:rsidR="00BE5B9B" w:rsidRPr="00786F06" w:rsidRDefault="000A6C7B" w:rsidP="00BE5B9B">
      <w:pPr>
        <w:pStyle w:val="Copyright"/>
        <w:rPr>
          <w:rStyle w:val="AERbody"/>
        </w:rPr>
      </w:pPr>
      <w:r w:rsidRPr="00786F06">
        <w:rPr>
          <w:rStyle w:val="AERbody"/>
        </w:rPr>
        <w:t>Tel: (03) 9290 1444</w:t>
      </w:r>
      <w:r w:rsidR="00951978" w:rsidRPr="00786F06">
        <w:rPr>
          <w:rStyle w:val="AERbody"/>
        </w:rPr>
        <w:br/>
      </w:r>
      <w:r w:rsidRPr="00786F06">
        <w:rPr>
          <w:rStyle w:val="AERbody"/>
        </w:rPr>
        <w:t>Fax: (03) 9290 1457</w:t>
      </w:r>
    </w:p>
    <w:p w:rsidR="002010BC" w:rsidRDefault="000A6C7B" w:rsidP="00BE5B9B">
      <w:pPr>
        <w:pStyle w:val="Copyright"/>
        <w:rPr>
          <w:rStyle w:val="Hyperlink"/>
        </w:rPr>
      </w:pPr>
      <w:r w:rsidRPr="00786F06">
        <w:rPr>
          <w:rStyle w:val="AERbody"/>
        </w:rPr>
        <w:t>Email:</w:t>
      </w:r>
      <w:r>
        <w:t xml:space="preserve"> </w:t>
      </w:r>
      <w:hyperlink r:id="rId11" w:history="1">
        <w:r w:rsidRPr="00D64888">
          <w:rPr>
            <w:rStyle w:val="Hyperlink"/>
          </w:rPr>
          <w:t>AERInquiry@aer.gov.au</w:t>
        </w:r>
      </w:hyperlink>
    </w:p>
    <w:p w:rsidR="0091178C" w:rsidRDefault="0091178C" w:rsidP="0091178C"/>
    <w:p w:rsidR="0091178C" w:rsidRPr="00786F06" w:rsidRDefault="00A23780" w:rsidP="0091178C">
      <w:pPr>
        <w:pStyle w:val="Copyright"/>
        <w:rPr>
          <w:rStyle w:val="AERbody"/>
        </w:rPr>
      </w:pPr>
      <w:r w:rsidRPr="00786F06">
        <w:rPr>
          <w:rStyle w:val="AERbody"/>
        </w:rPr>
        <w:t>AER Reference:</w:t>
      </w:r>
      <w:r w:rsidRPr="00786F06">
        <w:rPr>
          <w:rStyle w:val="AERbody"/>
        </w:rPr>
        <w:tab/>
        <w:t>53792</w:t>
      </w:r>
    </w:p>
    <w:p w:rsidR="00E02E43" w:rsidRDefault="002010BC">
      <w:pPr>
        <w:spacing w:line="240" w:lineRule="auto"/>
        <w:rPr>
          <w:rFonts w:eastAsiaTheme="majorEastAsia" w:cstheme="majorBidi"/>
          <w:b/>
          <w:bCs/>
          <w:color w:val="70635A"/>
          <w:sz w:val="36"/>
          <w:szCs w:val="28"/>
        </w:rPr>
      </w:pPr>
      <w:r>
        <w:br w:type="page"/>
      </w:r>
      <w:bookmarkStart w:id="1" w:name="_Toc392751188"/>
    </w:p>
    <w:sdt>
      <w:sdtPr>
        <w:rPr>
          <w:rFonts w:eastAsiaTheme="minorHAnsi" w:cstheme="minorBidi"/>
          <w:b w:val="0"/>
          <w:bCs w:val="0"/>
          <w:color w:val="auto"/>
          <w:sz w:val="22"/>
          <w:szCs w:val="22"/>
          <w:lang w:val="en-AU" w:eastAsia="en-US"/>
        </w:rPr>
        <w:id w:val="-2037105787"/>
        <w:docPartObj>
          <w:docPartGallery w:val="Table of Contents"/>
          <w:docPartUnique/>
        </w:docPartObj>
      </w:sdtPr>
      <w:sdtEndPr/>
      <w:sdtContent>
        <w:p w:rsidR="00A77E34" w:rsidRPr="00A77E34" w:rsidRDefault="00A77E34">
          <w:pPr>
            <w:pStyle w:val="TOCHeading"/>
          </w:pPr>
          <w:r w:rsidRPr="00A77E34">
            <w:t>Table of Contents</w:t>
          </w:r>
        </w:p>
        <w:p w:rsidR="00AA0E8D" w:rsidRDefault="00A77E34">
          <w:pPr>
            <w:pStyle w:val="TOC1"/>
            <w:rPr>
              <w:rFonts w:asciiTheme="minorHAnsi" w:eastAsiaTheme="minorEastAsia" w:hAnsiTheme="minorHAnsi"/>
              <w:b w:val="0"/>
              <w:color w:val="auto"/>
              <w:sz w:val="22"/>
              <w:lang w:val="en-AU" w:eastAsia="en-AU"/>
            </w:rPr>
          </w:pPr>
          <w:r w:rsidRPr="00A77E34">
            <w:fldChar w:fldCharType="begin"/>
          </w:r>
          <w:r w:rsidRPr="00A77E34">
            <w:instrText xml:space="preserve"> TOC \o "1-3" \h \z \u </w:instrText>
          </w:r>
          <w:r w:rsidRPr="00A77E34">
            <w:fldChar w:fldCharType="separate"/>
          </w:r>
          <w:hyperlink w:anchor="_Toc445801804" w:history="1">
            <w:r w:rsidR="00AA0E8D" w:rsidRPr="00EC70A9">
              <w:rPr>
                <w:rStyle w:val="Hyperlink"/>
              </w:rPr>
              <w:t>Summary</w:t>
            </w:r>
            <w:r w:rsidR="00AA0E8D">
              <w:rPr>
                <w:webHidden/>
              </w:rPr>
              <w:tab/>
            </w:r>
            <w:r w:rsidR="00AA0E8D">
              <w:rPr>
                <w:webHidden/>
              </w:rPr>
              <w:fldChar w:fldCharType="begin"/>
            </w:r>
            <w:r w:rsidR="00AA0E8D">
              <w:rPr>
                <w:webHidden/>
              </w:rPr>
              <w:instrText xml:space="preserve"> PAGEREF _Toc445801804 \h </w:instrText>
            </w:r>
            <w:r w:rsidR="00AA0E8D">
              <w:rPr>
                <w:webHidden/>
              </w:rPr>
            </w:r>
            <w:r w:rsidR="00AA0E8D">
              <w:rPr>
                <w:webHidden/>
              </w:rPr>
              <w:fldChar w:fldCharType="separate"/>
            </w:r>
            <w:r w:rsidR="00A547C3">
              <w:rPr>
                <w:webHidden/>
              </w:rPr>
              <w:t>3</w:t>
            </w:r>
            <w:r w:rsidR="00AA0E8D">
              <w:rPr>
                <w:webHidden/>
              </w:rPr>
              <w:fldChar w:fldCharType="end"/>
            </w:r>
          </w:hyperlink>
        </w:p>
        <w:p w:rsidR="00AA0E8D" w:rsidRDefault="00BF480E">
          <w:pPr>
            <w:pStyle w:val="TOC1"/>
            <w:rPr>
              <w:rFonts w:asciiTheme="minorHAnsi" w:eastAsiaTheme="minorEastAsia" w:hAnsiTheme="minorHAnsi"/>
              <w:b w:val="0"/>
              <w:color w:val="auto"/>
              <w:sz w:val="22"/>
              <w:lang w:val="en-AU" w:eastAsia="en-AU"/>
            </w:rPr>
          </w:pPr>
          <w:hyperlink w:anchor="_Toc445801805" w:history="1">
            <w:r w:rsidR="00AA0E8D" w:rsidRPr="00EC70A9">
              <w:rPr>
                <w:rStyle w:val="Hyperlink"/>
              </w:rPr>
              <w:t>1</w:t>
            </w:r>
            <w:r w:rsidR="00AA0E8D">
              <w:rPr>
                <w:rFonts w:asciiTheme="minorHAnsi" w:eastAsiaTheme="minorEastAsia" w:hAnsiTheme="minorHAnsi"/>
                <w:b w:val="0"/>
                <w:color w:val="auto"/>
                <w:sz w:val="22"/>
                <w:lang w:val="en-AU" w:eastAsia="en-AU"/>
              </w:rPr>
              <w:tab/>
            </w:r>
            <w:r w:rsidR="00AA0E8D" w:rsidRPr="00EC70A9">
              <w:rPr>
                <w:rStyle w:val="Hyperlink"/>
              </w:rPr>
              <w:t>Background</w:t>
            </w:r>
            <w:r w:rsidR="00AA0E8D">
              <w:rPr>
                <w:webHidden/>
              </w:rPr>
              <w:tab/>
            </w:r>
            <w:r w:rsidR="00AA0E8D">
              <w:rPr>
                <w:webHidden/>
              </w:rPr>
              <w:fldChar w:fldCharType="begin"/>
            </w:r>
            <w:r w:rsidR="00AA0E8D">
              <w:rPr>
                <w:webHidden/>
              </w:rPr>
              <w:instrText xml:space="preserve"> PAGEREF _Toc445801805 \h </w:instrText>
            </w:r>
            <w:r w:rsidR="00AA0E8D">
              <w:rPr>
                <w:webHidden/>
              </w:rPr>
            </w:r>
            <w:r w:rsidR="00AA0E8D">
              <w:rPr>
                <w:webHidden/>
              </w:rPr>
              <w:fldChar w:fldCharType="separate"/>
            </w:r>
            <w:r w:rsidR="00A547C3">
              <w:rPr>
                <w:webHidden/>
              </w:rPr>
              <w:t>7</w:t>
            </w:r>
            <w:r w:rsidR="00AA0E8D">
              <w:rPr>
                <w:webHidden/>
              </w:rPr>
              <w:fldChar w:fldCharType="end"/>
            </w:r>
          </w:hyperlink>
        </w:p>
        <w:p w:rsidR="00AA0E8D" w:rsidRDefault="00BF480E">
          <w:pPr>
            <w:pStyle w:val="TOC1"/>
            <w:rPr>
              <w:rFonts w:asciiTheme="minorHAnsi" w:eastAsiaTheme="minorEastAsia" w:hAnsiTheme="minorHAnsi"/>
              <w:b w:val="0"/>
              <w:color w:val="auto"/>
              <w:sz w:val="22"/>
              <w:lang w:val="en-AU" w:eastAsia="en-AU"/>
            </w:rPr>
          </w:pPr>
          <w:hyperlink w:anchor="_Toc445801806" w:history="1">
            <w:r w:rsidR="00AA0E8D" w:rsidRPr="00EC70A9">
              <w:rPr>
                <w:rStyle w:val="Hyperlink"/>
              </w:rPr>
              <w:t>2</w:t>
            </w:r>
            <w:r w:rsidR="00AA0E8D">
              <w:rPr>
                <w:rFonts w:asciiTheme="minorHAnsi" w:eastAsiaTheme="minorEastAsia" w:hAnsiTheme="minorHAnsi"/>
                <w:b w:val="0"/>
                <w:color w:val="auto"/>
                <w:sz w:val="22"/>
                <w:lang w:val="en-AU" w:eastAsia="en-AU"/>
              </w:rPr>
              <w:tab/>
            </w:r>
            <w:r w:rsidR="00AA0E8D" w:rsidRPr="00EC70A9">
              <w:rPr>
                <w:rStyle w:val="Hyperlink"/>
              </w:rPr>
              <w:t>Demand Management Incentive Scheme Criteria</w:t>
            </w:r>
            <w:r w:rsidR="00AA0E8D">
              <w:rPr>
                <w:webHidden/>
              </w:rPr>
              <w:tab/>
            </w:r>
            <w:r w:rsidR="00AA0E8D">
              <w:rPr>
                <w:webHidden/>
              </w:rPr>
              <w:fldChar w:fldCharType="begin"/>
            </w:r>
            <w:r w:rsidR="00AA0E8D">
              <w:rPr>
                <w:webHidden/>
              </w:rPr>
              <w:instrText xml:space="preserve"> PAGEREF _Toc445801806 \h </w:instrText>
            </w:r>
            <w:r w:rsidR="00AA0E8D">
              <w:rPr>
                <w:webHidden/>
              </w:rPr>
            </w:r>
            <w:r w:rsidR="00AA0E8D">
              <w:rPr>
                <w:webHidden/>
              </w:rPr>
              <w:fldChar w:fldCharType="separate"/>
            </w:r>
            <w:r w:rsidR="00A547C3">
              <w:rPr>
                <w:webHidden/>
              </w:rPr>
              <w:t>8</w:t>
            </w:r>
            <w:r w:rsidR="00AA0E8D">
              <w:rPr>
                <w:webHidden/>
              </w:rPr>
              <w:fldChar w:fldCharType="end"/>
            </w:r>
          </w:hyperlink>
        </w:p>
        <w:p w:rsidR="00AA0E8D" w:rsidRDefault="00BF480E">
          <w:pPr>
            <w:pStyle w:val="TOC1"/>
            <w:rPr>
              <w:rFonts w:asciiTheme="minorHAnsi" w:eastAsiaTheme="minorEastAsia" w:hAnsiTheme="minorHAnsi"/>
              <w:b w:val="0"/>
              <w:color w:val="auto"/>
              <w:sz w:val="22"/>
              <w:lang w:val="en-AU" w:eastAsia="en-AU"/>
            </w:rPr>
          </w:pPr>
          <w:hyperlink w:anchor="_Toc445801807" w:history="1">
            <w:r w:rsidR="00AA0E8D" w:rsidRPr="00EC70A9">
              <w:rPr>
                <w:rStyle w:val="Hyperlink"/>
              </w:rPr>
              <w:t>3</w:t>
            </w:r>
            <w:r w:rsidR="00AA0E8D">
              <w:rPr>
                <w:rFonts w:asciiTheme="minorHAnsi" w:eastAsiaTheme="minorEastAsia" w:hAnsiTheme="minorHAnsi"/>
                <w:b w:val="0"/>
                <w:color w:val="auto"/>
                <w:sz w:val="22"/>
                <w:lang w:val="en-AU" w:eastAsia="en-AU"/>
              </w:rPr>
              <w:tab/>
            </w:r>
            <w:r w:rsidR="00AA0E8D" w:rsidRPr="00EC70A9">
              <w:rPr>
                <w:rStyle w:val="Hyperlink"/>
              </w:rPr>
              <w:t>DMIA Assessment</w:t>
            </w:r>
            <w:r w:rsidR="00AA0E8D">
              <w:rPr>
                <w:webHidden/>
              </w:rPr>
              <w:tab/>
            </w:r>
            <w:r w:rsidR="00AA0E8D">
              <w:rPr>
                <w:webHidden/>
              </w:rPr>
              <w:fldChar w:fldCharType="begin"/>
            </w:r>
            <w:r w:rsidR="00AA0E8D">
              <w:rPr>
                <w:webHidden/>
              </w:rPr>
              <w:instrText xml:space="preserve"> PAGEREF _Toc445801807 \h </w:instrText>
            </w:r>
            <w:r w:rsidR="00AA0E8D">
              <w:rPr>
                <w:webHidden/>
              </w:rPr>
            </w:r>
            <w:r w:rsidR="00AA0E8D">
              <w:rPr>
                <w:webHidden/>
              </w:rPr>
              <w:fldChar w:fldCharType="separate"/>
            </w:r>
            <w:r w:rsidR="00A547C3">
              <w:rPr>
                <w:webHidden/>
              </w:rPr>
              <w:t>9</w:t>
            </w:r>
            <w:r w:rsidR="00AA0E8D">
              <w:rPr>
                <w:webHidden/>
              </w:rPr>
              <w:fldChar w:fldCharType="end"/>
            </w:r>
          </w:hyperlink>
        </w:p>
        <w:p w:rsidR="00AA0E8D" w:rsidRDefault="00BF480E">
          <w:pPr>
            <w:pStyle w:val="TOC1"/>
            <w:rPr>
              <w:rFonts w:asciiTheme="minorHAnsi" w:eastAsiaTheme="minorEastAsia" w:hAnsiTheme="minorHAnsi"/>
              <w:b w:val="0"/>
              <w:color w:val="auto"/>
              <w:sz w:val="22"/>
              <w:lang w:val="en-AU" w:eastAsia="en-AU"/>
            </w:rPr>
          </w:pPr>
          <w:hyperlink w:anchor="_Toc445801813" w:history="1">
            <w:r w:rsidR="00AA0E8D" w:rsidRPr="00EC70A9">
              <w:rPr>
                <w:rStyle w:val="Hyperlink"/>
              </w:rPr>
              <w:t>4</w:t>
            </w:r>
            <w:r w:rsidR="00AA0E8D">
              <w:rPr>
                <w:rFonts w:asciiTheme="minorHAnsi" w:eastAsiaTheme="minorEastAsia" w:hAnsiTheme="minorHAnsi"/>
                <w:b w:val="0"/>
                <w:color w:val="auto"/>
                <w:sz w:val="22"/>
                <w:lang w:val="en-AU" w:eastAsia="en-AU"/>
              </w:rPr>
              <w:tab/>
            </w:r>
            <w:r w:rsidR="00AA0E8D" w:rsidRPr="00EC70A9">
              <w:rPr>
                <w:rStyle w:val="Hyperlink"/>
              </w:rPr>
              <w:t>ActewAGL</w:t>
            </w:r>
            <w:r w:rsidR="00AA0E8D">
              <w:rPr>
                <w:webHidden/>
              </w:rPr>
              <w:tab/>
            </w:r>
            <w:r w:rsidR="00AA0E8D">
              <w:rPr>
                <w:webHidden/>
              </w:rPr>
              <w:fldChar w:fldCharType="begin"/>
            </w:r>
            <w:r w:rsidR="00AA0E8D">
              <w:rPr>
                <w:webHidden/>
              </w:rPr>
              <w:instrText xml:space="preserve"> PAGEREF _Toc445801813 \h </w:instrText>
            </w:r>
            <w:r w:rsidR="00AA0E8D">
              <w:rPr>
                <w:webHidden/>
              </w:rPr>
            </w:r>
            <w:r w:rsidR="00AA0E8D">
              <w:rPr>
                <w:webHidden/>
              </w:rPr>
              <w:fldChar w:fldCharType="separate"/>
            </w:r>
            <w:r w:rsidR="00A547C3">
              <w:rPr>
                <w:webHidden/>
              </w:rPr>
              <w:t>16</w:t>
            </w:r>
            <w:r w:rsidR="00AA0E8D">
              <w:rPr>
                <w:webHidden/>
              </w:rPr>
              <w:fldChar w:fldCharType="end"/>
            </w:r>
          </w:hyperlink>
        </w:p>
        <w:p w:rsidR="00AA0E8D" w:rsidRDefault="00BF480E">
          <w:pPr>
            <w:pStyle w:val="TOC1"/>
            <w:rPr>
              <w:rFonts w:asciiTheme="minorHAnsi" w:eastAsiaTheme="minorEastAsia" w:hAnsiTheme="minorHAnsi"/>
              <w:b w:val="0"/>
              <w:color w:val="auto"/>
              <w:sz w:val="22"/>
              <w:lang w:val="en-AU" w:eastAsia="en-AU"/>
            </w:rPr>
          </w:pPr>
          <w:hyperlink w:anchor="_Toc445801817" w:history="1">
            <w:r w:rsidR="00AA0E8D" w:rsidRPr="00EC70A9">
              <w:rPr>
                <w:rStyle w:val="Hyperlink"/>
              </w:rPr>
              <w:t>5</w:t>
            </w:r>
            <w:r w:rsidR="00AA0E8D">
              <w:rPr>
                <w:rFonts w:asciiTheme="minorHAnsi" w:eastAsiaTheme="minorEastAsia" w:hAnsiTheme="minorHAnsi"/>
                <w:b w:val="0"/>
                <w:color w:val="auto"/>
                <w:sz w:val="22"/>
                <w:lang w:val="en-AU" w:eastAsia="en-AU"/>
              </w:rPr>
              <w:tab/>
            </w:r>
            <w:r w:rsidR="00AA0E8D" w:rsidRPr="00EC70A9">
              <w:rPr>
                <w:rStyle w:val="Hyperlink"/>
              </w:rPr>
              <w:t>Ausgrid</w:t>
            </w:r>
            <w:r w:rsidR="00AA0E8D">
              <w:rPr>
                <w:webHidden/>
              </w:rPr>
              <w:tab/>
            </w:r>
            <w:r w:rsidR="00AA0E8D">
              <w:rPr>
                <w:webHidden/>
              </w:rPr>
              <w:fldChar w:fldCharType="begin"/>
            </w:r>
            <w:r w:rsidR="00AA0E8D">
              <w:rPr>
                <w:webHidden/>
              </w:rPr>
              <w:instrText xml:space="preserve"> PAGEREF _Toc445801817 \h </w:instrText>
            </w:r>
            <w:r w:rsidR="00AA0E8D">
              <w:rPr>
                <w:webHidden/>
              </w:rPr>
            </w:r>
            <w:r w:rsidR="00AA0E8D">
              <w:rPr>
                <w:webHidden/>
              </w:rPr>
              <w:fldChar w:fldCharType="separate"/>
            </w:r>
            <w:r w:rsidR="00A547C3">
              <w:rPr>
                <w:webHidden/>
              </w:rPr>
              <w:t>18</w:t>
            </w:r>
            <w:r w:rsidR="00AA0E8D">
              <w:rPr>
                <w:webHidden/>
              </w:rPr>
              <w:fldChar w:fldCharType="end"/>
            </w:r>
          </w:hyperlink>
        </w:p>
        <w:p w:rsidR="00AA0E8D" w:rsidRDefault="00BF480E">
          <w:pPr>
            <w:pStyle w:val="TOC1"/>
            <w:rPr>
              <w:rFonts w:asciiTheme="minorHAnsi" w:eastAsiaTheme="minorEastAsia" w:hAnsiTheme="minorHAnsi"/>
              <w:b w:val="0"/>
              <w:color w:val="auto"/>
              <w:sz w:val="22"/>
              <w:lang w:val="en-AU" w:eastAsia="en-AU"/>
            </w:rPr>
          </w:pPr>
          <w:hyperlink w:anchor="_Toc445801850" w:history="1">
            <w:r w:rsidR="00AA0E8D" w:rsidRPr="00EC70A9">
              <w:rPr>
                <w:rStyle w:val="Hyperlink"/>
              </w:rPr>
              <w:t>6</w:t>
            </w:r>
            <w:r w:rsidR="00AA0E8D">
              <w:rPr>
                <w:rFonts w:asciiTheme="minorHAnsi" w:eastAsiaTheme="minorEastAsia" w:hAnsiTheme="minorHAnsi"/>
                <w:b w:val="0"/>
                <w:color w:val="auto"/>
                <w:sz w:val="22"/>
                <w:lang w:val="en-AU" w:eastAsia="en-AU"/>
              </w:rPr>
              <w:tab/>
            </w:r>
            <w:r w:rsidR="00AA0E8D" w:rsidRPr="00EC70A9">
              <w:rPr>
                <w:rStyle w:val="Hyperlink"/>
              </w:rPr>
              <w:t>Endeavour Energy</w:t>
            </w:r>
            <w:r w:rsidR="00AA0E8D">
              <w:rPr>
                <w:webHidden/>
              </w:rPr>
              <w:tab/>
            </w:r>
            <w:r w:rsidR="00AA0E8D">
              <w:rPr>
                <w:webHidden/>
              </w:rPr>
              <w:fldChar w:fldCharType="begin"/>
            </w:r>
            <w:r w:rsidR="00AA0E8D">
              <w:rPr>
                <w:webHidden/>
              </w:rPr>
              <w:instrText xml:space="preserve"> PAGEREF _Toc445801850 \h </w:instrText>
            </w:r>
            <w:r w:rsidR="00AA0E8D">
              <w:rPr>
                <w:webHidden/>
              </w:rPr>
            </w:r>
            <w:r w:rsidR="00AA0E8D">
              <w:rPr>
                <w:webHidden/>
              </w:rPr>
              <w:fldChar w:fldCharType="separate"/>
            </w:r>
            <w:r w:rsidR="00A547C3">
              <w:rPr>
                <w:webHidden/>
              </w:rPr>
              <w:t>26</w:t>
            </w:r>
            <w:r w:rsidR="00AA0E8D">
              <w:rPr>
                <w:webHidden/>
              </w:rPr>
              <w:fldChar w:fldCharType="end"/>
            </w:r>
          </w:hyperlink>
        </w:p>
        <w:p w:rsidR="00AA0E8D" w:rsidRDefault="00BF480E">
          <w:pPr>
            <w:pStyle w:val="TOC1"/>
            <w:rPr>
              <w:rFonts w:asciiTheme="minorHAnsi" w:eastAsiaTheme="minorEastAsia" w:hAnsiTheme="minorHAnsi"/>
              <w:b w:val="0"/>
              <w:color w:val="auto"/>
              <w:sz w:val="22"/>
              <w:lang w:val="en-AU" w:eastAsia="en-AU"/>
            </w:rPr>
          </w:pPr>
          <w:hyperlink w:anchor="_Toc445801856" w:history="1">
            <w:r w:rsidR="00AA0E8D" w:rsidRPr="00EC70A9">
              <w:rPr>
                <w:rStyle w:val="Hyperlink"/>
              </w:rPr>
              <w:t>7</w:t>
            </w:r>
            <w:r w:rsidR="00AA0E8D">
              <w:rPr>
                <w:rFonts w:asciiTheme="minorHAnsi" w:eastAsiaTheme="minorEastAsia" w:hAnsiTheme="minorHAnsi"/>
                <w:b w:val="0"/>
                <w:color w:val="auto"/>
                <w:sz w:val="22"/>
                <w:lang w:val="en-AU" w:eastAsia="en-AU"/>
              </w:rPr>
              <w:tab/>
            </w:r>
            <w:r w:rsidR="00AA0E8D" w:rsidRPr="00EC70A9">
              <w:rPr>
                <w:rStyle w:val="Hyperlink"/>
              </w:rPr>
              <w:t>Essential Energy</w:t>
            </w:r>
            <w:r w:rsidR="00AA0E8D">
              <w:rPr>
                <w:webHidden/>
              </w:rPr>
              <w:tab/>
            </w:r>
            <w:r w:rsidR="00AA0E8D">
              <w:rPr>
                <w:webHidden/>
              </w:rPr>
              <w:fldChar w:fldCharType="begin"/>
            </w:r>
            <w:r w:rsidR="00AA0E8D">
              <w:rPr>
                <w:webHidden/>
              </w:rPr>
              <w:instrText xml:space="preserve"> PAGEREF _Toc445801856 \h </w:instrText>
            </w:r>
            <w:r w:rsidR="00AA0E8D">
              <w:rPr>
                <w:webHidden/>
              </w:rPr>
            </w:r>
            <w:r w:rsidR="00AA0E8D">
              <w:rPr>
                <w:webHidden/>
              </w:rPr>
              <w:fldChar w:fldCharType="separate"/>
            </w:r>
            <w:r w:rsidR="00A547C3">
              <w:rPr>
                <w:webHidden/>
              </w:rPr>
              <w:t>28</w:t>
            </w:r>
            <w:r w:rsidR="00AA0E8D">
              <w:rPr>
                <w:webHidden/>
              </w:rPr>
              <w:fldChar w:fldCharType="end"/>
            </w:r>
          </w:hyperlink>
        </w:p>
        <w:p w:rsidR="00AA0E8D" w:rsidRDefault="00BF480E">
          <w:pPr>
            <w:pStyle w:val="TOC1"/>
            <w:rPr>
              <w:rFonts w:asciiTheme="minorHAnsi" w:eastAsiaTheme="minorEastAsia" w:hAnsiTheme="minorHAnsi"/>
              <w:b w:val="0"/>
              <w:color w:val="auto"/>
              <w:sz w:val="22"/>
              <w:lang w:val="en-AU" w:eastAsia="en-AU"/>
            </w:rPr>
          </w:pPr>
          <w:hyperlink w:anchor="_Toc445801872" w:history="1">
            <w:r w:rsidR="00AA0E8D" w:rsidRPr="00EC70A9">
              <w:rPr>
                <w:rStyle w:val="Hyperlink"/>
              </w:rPr>
              <w:t>8</w:t>
            </w:r>
            <w:r w:rsidR="00AA0E8D">
              <w:rPr>
                <w:rFonts w:asciiTheme="minorHAnsi" w:eastAsiaTheme="minorEastAsia" w:hAnsiTheme="minorHAnsi"/>
                <w:b w:val="0"/>
                <w:color w:val="auto"/>
                <w:sz w:val="22"/>
                <w:lang w:val="en-AU" w:eastAsia="en-AU"/>
              </w:rPr>
              <w:tab/>
            </w:r>
            <w:r w:rsidR="00AA0E8D" w:rsidRPr="00EC70A9">
              <w:rPr>
                <w:rStyle w:val="Hyperlink"/>
              </w:rPr>
              <w:t>Energex</w:t>
            </w:r>
            <w:r w:rsidR="00AA0E8D">
              <w:rPr>
                <w:webHidden/>
              </w:rPr>
              <w:tab/>
            </w:r>
            <w:r w:rsidR="00AA0E8D">
              <w:rPr>
                <w:webHidden/>
              </w:rPr>
              <w:fldChar w:fldCharType="begin"/>
            </w:r>
            <w:r w:rsidR="00AA0E8D">
              <w:rPr>
                <w:webHidden/>
              </w:rPr>
              <w:instrText xml:space="preserve"> PAGEREF _Toc445801872 \h </w:instrText>
            </w:r>
            <w:r w:rsidR="00AA0E8D">
              <w:rPr>
                <w:webHidden/>
              </w:rPr>
            </w:r>
            <w:r w:rsidR="00AA0E8D">
              <w:rPr>
                <w:webHidden/>
              </w:rPr>
              <w:fldChar w:fldCharType="separate"/>
            </w:r>
            <w:r w:rsidR="00A547C3">
              <w:rPr>
                <w:webHidden/>
              </w:rPr>
              <w:t>32</w:t>
            </w:r>
            <w:r w:rsidR="00AA0E8D">
              <w:rPr>
                <w:webHidden/>
              </w:rPr>
              <w:fldChar w:fldCharType="end"/>
            </w:r>
          </w:hyperlink>
        </w:p>
        <w:p w:rsidR="00AA0E8D" w:rsidRDefault="00BF480E">
          <w:pPr>
            <w:pStyle w:val="TOC1"/>
            <w:rPr>
              <w:rFonts w:asciiTheme="minorHAnsi" w:eastAsiaTheme="minorEastAsia" w:hAnsiTheme="minorHAnsi"/>
              <w:b w:val="0"/>
              <w:color w:val="auto"/>
              <w:sz w:val="22"/>
              <w:lang w:val="en-AU" w:eastAsia="en-AU"/>
            </w:rPr>
          </w:pPr>
          <w:hyperlink w:anchor="_Toc445801888" w:history="1">
            <w:r w:rsidR="00AA0E8D" w:rsidRPr="00EC70A9">
              <w:rPr>
                <w:rStyle w:val="Hyperlink"/>
              </w:rPr>
              <w:t>9</w:t>
            </w:r>
            <w:r w:rsidR="00AA0E8D">
              <w:rPr>
                <w:rFonts w:asciiTheme="minorHAnsi" w:eastAsiaTheme="minorEastAsia" w:hAnsiTheme="minorHAnsi"/>
                <w:b w:val="0"/>
                <w:color w:val="auto"/>
                <w:sz w:val="22"/>
                <w:lang w:val="en-AU" w:eastAsia="en-AU"/>
              </w:rPr>
              <w:tab/>
            </w:r>
            <w:r w:rsidR="00AA0E8D" w:rsidRPr="00EC70A9">
              <w:rPr>
                <w:rStyle w:val="Hyperlink"/>
              </w:rPr>
              <w:t>Ergon Energy</w:t>
            </w:r>
            <w:r w:rsidR="00AA0E8D">
              <w:rPr>
                <w:webHidden/>
              </w:rPr>
              <w:tab/>
            </w:r>
            <w:r w:rsidR="00AA0E8D">
              <w:rPr>
                <w:webHidden/>
              </w:rPr>
              <w:fldChar w:fldCharType="begin"/>
            </w:r>
            <w:r w:rsidR="00AA0E8D">
              <w:rPr>
                <w:webHidden/>
              </w:rPr>
              <w:instrText xml:space="preserve"> PAGEREF _Toc445801888 \h </w:instrText>
            </w:r>
            <w:r w:rsidR="00AA0E8D">
              <w:rPr>
                <w:webHidden/>
              </w:rPr>
            </w:r>
            <w:r w:rsidR="00AA0E8D">
              <w:rPr>
                <w:webHidden/>
              </w:rPr>
              <w:fldChar w:fldCharType="separate"/>
            </w:r>
            <w:r w:rsidR="00A547C3">
              <w:rPr>
                <w:webHidden/>
              </w:rPr>
              <w:t>36</w:t>
            </w:r>
            <w:r w:rsidR="00AA0E8D">
              <w:rPr>
                <w:webHidden/>
              </w:rPr>
              <w:fldChar w:fldCharType="end"/>
            </w:r>
          </w:hyperlink>
        </w:p>
        <w:p w:rsidR="00AA0E8D" w:rsidRDefault="00BF480E">
          <w:pPr>
            <w:pStyle w:val="TOC1"/>
            <w:rPr>
              <w:rFonts w:asciiTheme="minorHAnsi" w:eastAsiaTheme="minorEastAsia" w:hAnsiTheme="minorHAnsi"/>
              <w:b w:val="0"/>
              <w:color w:val="auto"/>
              <w:sz w:val="22"/>
              <w:lang w:val="en-AU" w:eastAsia="en-AU"/>
            </w:rPr>
          </w:pPr>
          <w:hyperlink w:anchor="_Toc445801934" w:history="1">
            <w:r w:rsidR="00AA0E8D" w:rsidRPr="00EC70A9">
              <w:rPr>
                <w:rStyle w:val="Hyperlink"/>
              </w:rPr>
              <w:t>10</w:t>
            </w:r>
            <w:r w:rsidR="00AA0E8D">
              <w:rPr>
                <w:rFonts w:asciiTheme="minorHAnsi" w:eastAsiaTheme="minorEastAsia" w:hAnsiTheme="minorHAnsi"/>
                <w:b w:val="0"/>
                <w:color w:val="auto"/>
                <w:sz w:val="22"/>
                <w:lang w:val="en-AU" w:eastAsia="en-AU"/>
              </w:rPr>
              <w:tab/>
            </w:r>
            <w:r w:rsidR="00AA0E8D" w:rsidRPr="00EC70A9">
              <w:rPr>
                <w:rStyle w:val="Hyperlink"/>
              </w:rPr>
              <w:t>SA Power Networks</w:t>
            </w:r>
            <w:r w:rsidR="00AA0E8D">
              <w:rPr>
                <w:webHidden/>
              </w:rPr>
              <w:tab/>
            </w:r>
            <w:r w:rsidR="00AA0E8D">
              <w:rPr>
                <w:webHidden/>
              </w:rPr>
              <w:fldChar w:fldCharType="begin"/>
            </w:r>
            <w:r w:rsidR="00AA0E8D">
              <w:rPr>
                <w:webHidden/>
              </w:rPr>
              <w:instrText xml:space="preserve"> PAGEREF _Toc445801934 \h </w:instrText>
            </w:r>
            <w:r w:rsidR="00AA0E8D">
              <w:rPr>
                <w:webHidden/>
              </w:rPr>
            </w:r>
            <w:r w:rsidR="00AA0E8D">
              <w:rPr>
                <w:webHidden/>
              </w:rPr>
              <w:fldChar w:fldCharType="separate"/>
            </w:r>
            <w:r w:rsidR="00A547C3">
              <w:rPr>
                <w:webHidden/>
              </w:rPr>
              <w:t>45</w:t>
            </w:r>
            <w:r w:rsidR="00AA0E8D">
              <w:rPr>
                <w:webHidden/>
              </w:rPr>
              <w:fldChar w:fldCharType="end"/>
            </w:r>
          </w:hyperlink>
        </w:p>
        <w:p w:rsidR="00AA0E8D" w:rsidRDefault="00BF480E">
          <w:pPr>
            <w:pStyle w:val="TOC1"/>
            <w:rPr>
              <w:rFonts w:asciiTheme="minorHAnsi" w:eastAsiaTheme="minorEastAsia" w:hAnsiTheme="minorHAnsi"/>
              <w:b w:val="0"/>
              <w:color w:val="auto"/>
              <w:sz w:val="22"/>
              <w:lang w:val="en-AU" w:eastAsia="en-AU"/>
            </w:rPr>
          </w:pPr>
          <w:hyperlink w:anchor="_Toc445801953" w:history="1">
            <w:r w:rsidR="00AA0E8D" w:rsidRPr="00EC70A9">
              <w:rPr>
                <w:rStyle w:val="Hyperlink"/>
              </w:rPr>
              <w:t>11</w:t>
            </w:r>
            <w:r w:rsidR="00AA0E8D">
              <w:rPr>
                <w:rFonts w:asciiTheme="minorHAnsi" w:eastAsiaTheme="minorEastAsia" w:hAnsiTheme="minorHAnsi"/>
                <w:b w:val="0"/>
                <w:color w:val="auto"/>
                <w:sz w:val="22"/>
                <w:lang w:val="en-AU" w:eastAsia="en-AU"/>
              </w:rPr>
              <w:tab/>
            </w:r>
            <w:r w:rsidR="00AA0E8D" w:rsidRPr="00EC70A9">
              <w:rPr>
                <w:rStyle w:val="Hyperlink"/>
              </w:rPr>
              <w:t>CitiPower</w:t>
            </w:r>
            <w:r w:rsidR="00AA0E8D">
              <w:rPr>
                <w:webHidden/>
              </w:rPr>
              <w:tab/>
            </w:r>
            <w:r w:rsidR="00AA0E8D">
              <w:rPr>
                <w:webHidden/>
              </w:rPr>
              <w:fldChar w:fldCharType="begin"/>
            </w:r>
            <w:r w:rsidR="00AA0E8D">
              <w:rPr>
                <w:webHidden/>
              </w:rPr>
              <w:instrText xml:space="preserve"> PAGEREF _Toc445801953 \h </w:instrText>
            </w:r>
            <w:r w:rsidR="00AA0E8D">
              <w:rPr>
                <w:webHidden/>
              </w:rPr>
            </w:r>
            <w:r w:rsidR="00AA0E8D">
              <w:rPr>
                <w:webHidden/>
              </w:rPr>
              <w:fldChar w:fldCharType="separate"/>
            </w:r>
            <w:r w:rsidR="00A547C3">
              <w:rPr>
                <w:webHidden/>
              </w:rPr>
              <w:t>49</w:t>
            </w:r>
            <w:r w:rsidR="00AA0E8D">
              <w:rPr>
                <w:webHidden/>
              </w:rPr>
              <w:fldChar w:fldCharType="end"/>
            </w:r>
          </w:hyperlink>
        </w:p>
        <w:p w:rsidR="00AA0E8D" w:rsidRDefault="00BF480E">
          <w:pPr>
            <w:pStyle w:val="TOC1"/>
            <w:rPr>
              <w:rFonts w:asciiTheme="minorHAnsi" w:eastAsiaTheme="minorEastAsia" w:hAnsiTheme="minorHAnsi"/>
              <w:b w:val="0"/>
              <w:color w:val="auto"/>
              <w:sz w:val="22"/>
              <w:lang w:val="en-AU" w:eastAsia="en-AU"/>
            </w:rPr>
          </w:pPr>
          <w:hyperlink w:anchor="_Toc445801969" w:history="1">
            <w:r w:rsidR="00AA0E8D" w:rsidRPr="00EC70A9">
              <w:rPr>
                <w:rStyle w:val="Hyperlink"/>
              </w:rPr>
              <w:t>12</w:t>
            </w:r>
            <w:r w:rsidR="00AA0E8D">
              <w:rPr>
                <w:rFonts w:asciiTheme="minorHAnsi" w:eastAsiaTheme="minorEastAsia" w:hAnsiTheme="minorHAnsi"/>
                <w:b w:val="0"/>
                <w:color w:val="auto"/>
                <w:sz w:val="22"/>
                <w:lang w:val="en-AU" w:eastAsia="en-AU"/>
              </w:rPr>
              <w:tab/>
            </w:r>
            <w:r w:rsidR="00AA0E8D" w:rsidRPr="00EC70A9">
              <w:rPr>
                <w:rStyle w:val="Hyperlink"/>
              </w:rPr>
              <w:t>Jemena Electricity Networks</w:t>
            </w:r>
            <w:r w:rsidR="00AA0E8D">
              <w:rPr>
                <w:webHidden/>
              </w:rPr>
              <w:tab/>
            </w:r>
            <w:r w:rsidR="00AA0E8D">
              <w:rPr>
                <w:webHidden/>
              </w:rPr>
              <w:fldChar w:fldCharType="begin"/>
            </w:r>
            <w:r w:rsidR="00AA0E8D">
              <w:rPr>
                <w:webHidden/>
              </w:rPr>
              <w:instrText xml:space="preserve"> PAGEREF _Toc445801969 \h </w:instrText>
            </w:r>
            <w:r w:rsidR="00AA0E8D">
              <w:rPr>
                <w:webHidden/>
              </w:rPr>
            </w:r>
            <w:r w:rsidR="00AA0E8D">
              <w:rPr>
                <w:webHidden/>
              </w:rPr>
              <w:fldChar w:fldCharType="separate"/>
            </w:r>
            <w:r w:rsidR="00A547C3">
              <w:rPr>
                <w:webHidden/>
              </w:rPr>
              <w:t>53</w:t>
            </w:r>
            <w:r w:rsidR="00AA0E8D">
              <w:rPr>
                <w:webHidden/>
              </w:rPr>
              <w:fldChar w:fldCharType="end"/>
            </w:r>
          </w:hyperlink>
        </w:p>
        <w:p w:rsidR="00AA0E8D" w:rsidRDefault="00BF480E">
          <w:pPr>
            <w:pStyle w:val="TOC1"/>
            <w:rPr>
              <w:rFonts w:asciiTheme="minorHAnsi" w:eastAsiaTheme="minorEastAsia" w:hAnsiTheme="minorHAnsi"/>
              <w:b w:val="0"/>
              <w:color w:val="auto"/>
              <w:sz w:val="22"/>
              <w:lang w:val="en-AU" w:eastAsia="en-AU"/>
            </w:rPr>
          </w:pPr>
          <w:hyperlink w:anchor="_Toc445801976" w:history="1">
            <w:r w:rsidR="00AA0E8D" w:rsidRPr="00EC70A9">
              <w:rPr>
                <w:rStyle w:val="Hyperlink"/>
              </w:rPr>
              <w:t>13</w:t>
            </w:r>
            <w:r w:rsidR="00AA0E8D">
              <w:rPr>
                <w:rFonts w:asciiTheme="minorHAnsi" w:eastAsiaTheme="minorEastAsia" w:hAnsiTheme="minorHAnsi"/>
                <w:b w:val="0"/>
                <w:color w:val="auto"/>
                <w:sz w:val="22"/>
                <w:lang w:val="en-AU" w:eastAsia="en-AU"/>
              </w:rPr>
              <w:tab/>
            </w:r>
            <w:r w:rsidR="00AA0E8D" w:rsidRPr="00EC70A9">
              <w:rPr>
                <w:rStyle w:val="Hyperlink"/>
              </w:rPr>
              <w:t>Powercor</w:t>
            </w:r>
            <w:r w:rsidR="00AA0E8D">
              <w:rPr>
                <w:webHidden/>
              </w:rPr>
              <w:tab/>
            </w:r>
            <w:r w:rsidR="00AA0E8D">
              <w:rPr>
                <w:webHidden/>
              </w:rPr>
              <w:fldChar w:fldCharType="begin"/>
            </w:r>
            <w:r w:rsidR="00AA0E8D">
              <w:rPr>
                <w:webHidden/>
              </w:rPr>
              <w:instrText xml:space="preserve"> PAGEREF _Toc445801976 \h </w:instrText>
            </w:r>
            <w:r w:rsidR="00AA0E8D">
              <w:rPr>
                <w:webHidden/>
              </w:rPr>
            </w:r>
            <w:r w:rsidR="00AA0E8D">
              <w:rPr>
                <w:webHidden/>
              </w:rPr>
              <w:fldChar w:fldCharType="separate"/>
            </w:r>
            <w:r w:rsidR="00A547C3">
              <w:rPr>
                <w:webHidden/>
              </w:rPr>
              <w:t>55</w:t>
            </w:r>
            <w:r w:rsidR="00AA0E8D">
              <w:rPr>
                <w:webHidden/>
              </w:rPr>
              <w:fldChar w:fldCharType="end"/>
            </w:r>
          </w:hyperlink>
        </w:p>
        <w:p w:rsidR="00AA0E8D" w:rsidRDefault="00BF480E">
          <w:pPr>
            <w:pStyle w:val="TOC1"/>
            <w:rPr>
              <w:rFonts w:asciiTheme="minorHAnsi" w:eastAsiaTheme="minorEastAsia" w:hAnsiTheme="minorHAnsi"/>
              <w:b w:val="0"/>
              <w:color w:val="auto"/>
              <w:sz w:val="22"/>
              <w:lang w:val="en-AU" w:eastAsia="en-AU"/>
            </w:rPr>
          </w:pPr>
          <w:hyperlink w:anchor="_Toc445801990" w:history="1">
            <w:r w:rsidR="00AA0E8D" w:rsidRPr="00EC70A9">
              <w:rPr>
                <w:rStyle w:val="Hyperlink"/>
              </w:rPr>
              <w:t>14</w:t>
            </w:r>
            <w:r w:rsidR="00AA0E8D">
              <w:rPr>
                <w:rFonts w:asciiTheme="minorHAnsi" w:eastAsiaTheme="minorEastAsia" w:hAnsiTheme="minorHAnsi"/>
                <w:b w:val="0"/>
                <w:color w:val="auto"/>
                <w:sz w:val="22"/>
                <w:lang w:val="en-AU" w:eastAsia="en-AU"/>
              </w:rPr>
              <w:tab/>
            </w:r>
            <w:r w:rsidR="00AA0E8D" w:rsidRPr="00EC70A9">
              <w:rPr>
                <w:rStyle w:val="Hyperlink"/>
              </w:rPr>
              <w:t>AusNet Services</w:t>
            </w:r>
            <w:r w:rsidR="00AA0E8D">
              <w:rPr>
                <w:webHidden/>
              </w:rPr>
              <w:tab/>
            </w:r>
            <w:r w:rsidR="00AA0E8D">
              <w:rPr>
                <w:webHidden/>
              </w:rPr>
              <w:fldChar w:fldCharType="begin"/>
            </w:r>
            <w:r w:rsidR="00AA0E8D">
              <w:rPr>
                <w:webHidden/>
              </w:rPr>
              <w:instrText xml:space="preserve"> PAGEREF _Toc445801990 \h </w:instrText>
            </w:r>
            <w:r w:rsidR="00AA0E8D">
              <w:rPr>
                <w:webHidden/>
              </w:rPr>
            </w:r>
            <w:r w:rsidR="00AA0E8D">
              <w:rPr>
                <w:webHidden/>
              </w:rPr>
              <w:fldChar w:fldCharType="separate"/>
            </w:r>
            <w:r w:rsidR="00A547C3">
              <w:rPr>
                <w:webHidden/>
              </w:rPr>
              <w:t>58</w:t>
            </w:r>
            <w:r w:rsidR="00AA0E8D">
              <w:rPr>
                <w:webHidden/>
              </w:rPr>
              <w:fldChar w:fldCharType="end"/>
            </w:r>
          </w:hyperlink>
        </w:p>
        <w:p w:rsidR="00AA0E8D" w:rsidRDefault="00BF480E">
          <w:pPr>
            <w:pStyle w:val="TOC1"/>
            <w:rPr>
              <w:rFonts w:asciiTheme="minorHAnsi" w:eastAsiaTheme="minorEastAsia" w:hAnsiTheme="minorHAnsi"/>
              <w:b w:val="0"/>
              <w:color w:val="auto"/>
              <w:sz w:val="22"/>
              <w:lang w:val="en-AU" w:eastAsia="en-AU"/>
            </w:rPr>
          </w:pPr>
          <w:hyperlink w:anchor="_Toc445801999" w:history="1">
            <w:r w:rsidR="00AA0E8D" w:rsidRPr="00EC70A9">
              <w:rPr>
                <w:rStyle w:val="Hyperlink"/>
              </w:rPr>
              <w:t>15</w:t>
            </w:r>
            <w:r w:rsidR="00AA0E8D">
              <w:rPr>
                <w:rFonts w:asciiTheme="minorHAnsi" w:eastAsiaTheme="minorEastAsia" w:hAnsiTheme="minorHAnsi"/>
                <w:b w:val="0"/>
                <w:color w:val="auto"/>
                <w:sz w:val="22"/>
                <w:lang w:val="en-AU" w:eastAsia="en-AU"/>
              </w:rPr>
              <w:tab/>
            </w:r>
            <w:r w:rsidR="00AA0E8D" w:rsidRPr="00EC70A9">
              <w:rPr>
                <w:rStyle w:val="Hyperlink"/>
              </w:rPr>
              <w:t>United Energy</w:t>
            </w:r>
            <w:r w:rsidR="00AA0E8D">
              <w:rPr>
                <w:webHidden/>
              </w:rPr>
              <w:tab/>
            </w:r>
            <w:r w:rsidR="00AA0E8D">
              <w:rPr>
                <w:webHidden/>
              </w:rPr>
              <w:fldChar w:fldCharType="begin"/>
            </w:r>
            <w:r w:rsidR="00AA0E8D">
              <w:rPr>
                <w:webHidden/>
              </w:rPr>
              <w:instrText xml:space="preserve"> PAGEREF _Toc445801999 \h </w:instrText>
            </w:r>
            <w:r w:rsidR="00AA0E8D">
              <w:rPr>
                <w:webHidden/>
              </w:rPr>
            </w:r>
            <w:r w:rsidR="00AA0E8D">
              <w:rPr>
                <w:webHidden/>
              </w:rPr>
              <w:fldChar w:fldCharType="separate"/>
            </w:r>
            <w:r w:rsidR="00A547C3">
              <w:rPr>
                <w:webHidden/>
              </w:rPr>
              <w:t>61</w:t>
            </w:r>
            <w:r w:rsidR="00AA0E8D">
              <w:rPr>
                <w:webHidden/>
              </w:rPr>
              <w:fldChar w:fldCharType="end"/>
            </w:r>
          </w:hyperlink>
        </w:p>
        <w:p w:rsidR="00AA0E8D" w:rsidRDefault="00BF480E">
          <w:pPr>
            <w:pStyle w:val="TOC1"/>
            <w:rPr>
              <w:rFonts w:asciiTheme="minorHAnsi" w:eastAsiaTheme="minorEastAsia" w:hAnsiTheme="minorHAnsi"/>
              <w:b w:val="0"/>
              <w:color w:val="auto"/>
              <w:sz w:val="22"/>
              <w:lang w:val="en-AU" w:eastAsia="en-AU"/>
            </w:rPr>
          </w:pPr>
          <w:hyperlink w:anchor="_Toc445802009" w:history="1">
            <w:r w:rsidR="00AA0E8D" w:rsidRPr="00EC70A9">
              <w:rPr>
                <w:rStyle w:val="Hyperlink"/>
              </w:rPr>
              <w:t>16</w:t>
            </w:r>
            <w:r w:rsidR="00AA0E8D">
              <w:rPr>
                <w:rFonts w:asciiTheme="minorHAnsi" w:eastAsiaTheme="minorEastAsia" w:hAnsiTheme="minorHAnsi"/>
                <w:b w:val="0"/>
                <w:color w:val="auto"/>
                <w:sz w:val="22"/>
                <w:lang w:val="en-AU" w:eastAsia="en-AU"/>
              </w:rPr>
              <w:tab/>
            </w:r>
            <w:r w:rsidR="00AA0E8D" w:rsidRPr="00EC70A9">
              <w:rPr>
                <w:rStyle w:val="Hyperlink"/>
              </w:rPr>
              <w:t>TasNetworks</w:t>
            </w:r>
            <w:r w:rsidR="00AA0E8D">
              <w:rPr>
                <w:webHidden/>
              </w:rPr>
              <w:tab/>
            </w:r>
            <w:r w:rsidR="00AA0E8D">
              <w:rPr>
                <w:webHidden/>
              </w:rPr>
              <w:fldChar w:fldCharType="begin"/>
            </w:r>
            <w:r w:rsidR="00AA0E8D">
              <w:rPr>
                <w:webHidden/>
              </w:rPr>
              <w:instrText xml:space="preserve"> PAGEREF _Toc445802009 \h </w:instrText>
            </w:r>
            <w:r w:rsidR="00AA0E8D">
              <w:rPr>
                <w:webHidden/>
              </w:rPr>
            </w:r>
            <w:r w:rsidR="00AA0E8D">
              <w:rPr>
                <w:webHidden/>
              </w:rPr>
              <w:fldChar w:fldCharType="separate"/>
            </w:r>
            <w:r w:rsidR="00A547C3">
              <w:rPr>
                <w:webHidden/>
              </w:rPr>
              <w:t>64</w:t>
            </w:r>
            <w:r w:rsidR="00AA0E8D">
              <w:rPr>
                <w:webHidden/>
              </w:rPr>
              <w:fldChar w:fldCharType="end"/>
            </w:r>
          </w:hyperlink>
        </w:p>
        <w:p w:rsidR="00A77E34" w:rsidRPr="00A77E34" w:rsidRDefault="00A77E34">
          <w:r w:rsidRPr="00A77E34">
            <w:fldChar w:fldCharType="end"/>
          </w:r>
        </w:p>
      </w:sdtContent>
    </w:sdt>
    <w:p w:rsidR="0091178C" w:rsidRDefault="0091178C">
      <w:pPr>
        <w:spacing w:line="240" w:lineRule="auto"/>
        <w:rPr>
          <w:rFonts w:eastAsiaTheme="majorEastAsia" w:cstheme="majorBidi"/>
          <w:b/>
          <w:bCs/>
          <w:color w:val="70635A"/>
          <w:sz w:val="36"/>
          <w:szCs w:val="28"/>
        </w:rPr>
      </w:pPr>
      <w:r>
        <w:br w:type="page"/>
      </w:r>
    </w:p>
    <w:p w:rsidR="003E5CC1" w:rsidRDefault="003E5CC1" w:rsidP="00E02E43">
      <w:pPr>
        <w:pStyle w:val="UnnumberedHeading"/>
        <w:numPr>
          <w:ilvl w:val="0"/>
          <w:numId w:val="23"/>
        </w:numPr>
      </w:pPr>
      <w:bookmarkStart w:id="2" w:name="_Toc445801804"/>
      <w:r>
        <w:lastRenderedPageBreak/>
        <w:t>Summary</w:t>
      </w:r>
      <w:bookmarkEnd w:id="1"/>
      <w:bookmarkEnd w:id="2"/>
    </w:p>
    <w:p w:rsidR="0004110B" w:rsidRPr="0004110B" w:rsidRDefault="0004110B" w:rsidP="0004110B">
      <w:pPr>
        <w:numPr>
          <w:ilvl w:val="0"/>
          <w:numId w:val="24"/>
        </w:numPr>
      </w:pPr>
      <w:bookmarkStart w:id="3" w:name="_Toc392751189"/>
      <w:r w:rsidRPr="0004110B">
        <w:t>The Demand Management Incentive Scheme (DMIS) aims to provide incentives for Distribution Network Service Providers (DNSPs) to conduct research and investigation into innovative techniques for managing demand. It also aims to enhance industry knowledge of practical demand management projects and programs through the publication of annual DMIS reports. The DMIS has been applied to all DNSPs in the NEM as part of our current distribution determinations.</w:t>
      </w:r>
    </w:p>
    <w:p w:rsidR="0004110B" w:rsidRPr="0004110B" w:rsidRDefault="0004110B" w:rsidP="0004110B">
      <w:pPr>
        <w:pStyle w:val="ListParagraph"/>
        <w:numPr>
          <w:ilvl w:val="0"/>
          <w:numId w:val="24"/>
        </w:numPr>
      </w:pPr>
      <w:r w:rsidRPr="0004110B">
        <w:t>The DMIS contains a Demand Management Innovation Allowance (DMIA) element. DMIA is provided to each DNSP in the form of a fixed allowance for each regulatory period. DNSPs are required to justify and seek our approval of their actual DMIA expenditures on demand management improvement projects.</w:t>
      </w:r>
      <w:r w:rsidRPr="0004110B">
        <w:rPr>
          <w:rStyle w:val="FootnoteReference"/>
        </w:rPr>
        <w:footnoteReference w:id="1"/>
      </w:r>
    </w:p>
    <w:p w:rsidR="0004110B" w:rsidRPr="0004110B" w:rsidRDefault="0004110B" w:rsidP="0004110B">
      <w:pPr>
        <w:pStyle w:val="ListParagraph"/>
        <w:numPr>
          <w:ilvl w:val="0"/>
          <w:numId w:val="24"/>
        </w:numPr>
      </w:pPr>
      <w:r w:rsidRPr="0004110B">
        <w:t>If a DNSP has not spent it</w:t>
      </w:r>
      <w:r w:rsidR="006D44D2">
        <w:t>s</w:t>
      </w:r>
      <w:r w:rsidRPr="0004110B">
        <w:t xml:space="preserve"> DMIA allowance in the regulatory period, it will be required to return the amount of any underspend or unapproved amounts to customers in the form of tariff reduction. However, any over-spend would be borne by the DNSP. </w:t>
      </w:r>
    </w:p>
    <w:p w:rsidR="0004110B" w:rsidRDefault="0004110B" w:rsidP="0004110B">
      <w:pPr>
        <w:numPr>
          <w:ilvl w:val="0"/>
          <w:numId w:val="24"/>
        </w:numPr>
      </w:pPr>
      <w:r w:rsidRPr="0004110B">
        <w:t>DNSPs are required to report their DMIA expenditures and activities to us each regulatory year. We approve or reject DNSPs' claims based on our assessment of these claims against six criteria, listed in section 2 of this paper. While descriptive, the criteria enable a wide range of demand management project options.</w:t>
      </w:r>
    </w:p>
    <w:p w:rsidR="00051D7C" w:rsidRDefault="00051D7C" w:rsidP="0004110B">
      <w:pPr>
        <w:numPr>
          <w:ilvl w:val="0"/>
          <w:numId w:val="24"/>
        </w:numPr>
      </w:pPr>
      <w:r>
        <w:t>This report presents:</w:t>
      </w:r>
    </w:p>
    <w:p w:rsidR="00051D7C" w:rsidRDefault="00051D7C" w:rsidP="00815B7F">
      <w:pPr>
        <w:pStyle w:val="AERbulletlistfirststyle"/>
      </w:pPr>
      <w:r>
        <w:t>our assessment findings of DNSPs' annual expenditure claims</w:t>
      </w:r>
    </w:p>
    <w:p w:rsidR="00051D7C" w:rsidRPr="0004110B" w:rsidRDefault="00051D7C" w:rsidP="00815B7F">
      <w:pPr>
        <w:pStyle w:val="AERbulletlistfirststyle"/>
      </w:pPr>
      <w:r>
        <w:t>where relevant, our determination of any under-expenditure by the DNSPs that should be returned to the customers by way of network charge reduction in 2016</w:t>
      </w:r>
      <w:r w:rsidR="00D8551A">
        <w:t>–</w:t>
      </w:r>
      <w:r>
        <w:t>17.</w:t>
      </w:r>
    </w:p>
    <w:p w:rsidR="0004110B" w:rsidRPr="0004110B" w:rsidRDefault="0004110B" w:rsidP="0004110B">
      <w:pPr>
        <w:rPr>
          <w:rStyle w:val="AERbody"/>
        </w:rPr>
      </w:pPr>
      <w:r w:rsidRPr="0004110B">
        <w:rPr>
          <w:rStyle w:val="AERbody"/>
        </w:rPr>
        <w:t xml:space="preserve">DMIA reports from ActewAGL, Ausgrid, Endeavour Energy, </w:t>
      </w:r>
      <w:r w:rsidR="006D44D2">
        <w:rPr>
          <w:rStyle w:val="AERbody"/>
        </w:rPr>
        <w:t xml:space="preserve">Energex, </w:t>
      </w:r>
      <w:r w:rsidRPr="0004110B">
        <w:rPr>
          <w:rStyle w:val="AERbody"/>
        </w:rPr>
        <w:t>Ergon Energy, Essential Energy</w:t>
      </w:r>
      <w:r>
        <w:rPr>
          <w:rStyle w:val="AERbody"/>
        </w:rPr>
        <w:t>, SA Power Networks</w:t>
      </w:r>
      <w:r w:rsidRPr="0004110B">
        <w:rPr>
          <w:rStyle w:val="AERbody"/>
        </w:rPr>
        <w:t xml:space="preserve"> and TasNetworks (the non-Victorian DNSPs) were provided to us as part of the DNSPs’ </w:t>
      </w:r>
      <w:r>
        <w:rPr>
          <w:rStyle w:val="AERbody"/>
        </w:rPr>
        <w:t>2013–14</w:t>
      </w:r>
      <w:r w:rsidRPr="0004110B">
        <w:rPr>
          <w:rStyle w:val="AERbody"/>
        </w:rPr>
        <w:t xml:space="preserve"> </w:t>
      </w:r>
      <w:r w:rsidR="003E774C">
        <w:rPr>
          <w:rStyle w:val="AERbody"/>
        </w:rPr>
        <w:t xml:space="preserve">and 2014–15 </w:t>
      </w:r>
      <w:r w:rsidRPr="0004110B">
        <w:rPr>
          <w:rStyle w:val="AERbody"/>
        </w:rPr>
        <w:t>RIN responses</w:t>
      </w:r>
      <w:r w:rsidR="003E774C">
        <w:rPr>
          <w:rStyle w:val="AERbody"/>
        </w:rPr>
        <w:t xml:space="preserve"> as appropriate</w:t>
      </w:r>
      <w:r w:rsidRPr="0004110B">
        <w:rPr>
          <w:rStyle w:val="AERbody"/>
        </w:rPr>
        <w:t xml:space="preserve">. </w:t>
      </w:r>
    </w:p>
    <w:p w:rsidR="0004110B" w:rsidRPr="0004110B" w:rsidRDefault="0004110B" w:rsidP="0004110B">
      <w:pPr>
        <w:rPr>
          <w:rStyle w:val="AERtexthighlight"/>
        </w:rPr>
      </w:pPr>
      <w:r w:rsidRPr="0004110B">
        <w:rPr>
          <w:rStyle w:val="AERbody"/>
        </w:rPr>
        <w:t xml:space="preserve">DMIA reports for </w:t>
      </w:r>
      <w:r w:rsidR="003E774C">
        <w:rPr>
          <w:rStyle w:val="AERbody"/>
        </w:rPr>
        <w:t xml:space="preserve">CitiPower, </w:t>
      </w:r>
      <w:r w:rsidRPr="0004110B">
        <w:rPr>
          <w:rStyle w:val="AERbody"/>
        </w:rPr>
        <w:t>Powercor, Jemena Electricity Networks, AusNet Services</w:t>
      </w:r>
      <w:r>
        <w:rPr>
          <w:rStyle w:val="AERbody"/>
        </w:rPr>
        <w:t xml:space="preserve"> </w:t>
      </w:r>
      <w:r w:rsidRPr="0004110B">
        <w:rPr>
          <w:rStyle w:val="AERbody"/>
        </w:rPr>
        <w:t>and United Energy (the Victorian DNSPs) were prov</w:t>
      </w:r>
      <w:r>
        <w:rPr>
          <w:rStyle w:val="AERbody"/>
        </w:rPr>
        <w:t>ided to us as part of their 2014</w:t>
      </w:r>
      <w:r w:rsidRPr="0004110B">
        <w:rPr>
          <w:rStyle w:val="AERbody"/>
        </w:rPr>
        <w:t xml:space="preserve"> RIN responses</w:t>
      </w:r>
      <w:r w:rsidRPr="0004110B">
        <w:t>.</w:t>
      </w:r>
      <w:r w:rsidRPr="0004110B">
        <w:rPr>
          <w:rStyle w:val="FootnoteReference"/>
        </w:rPr>
        <w:footnoteReference w:id="2"/>
      </w:r>
    </w:p>
    <w:p w:rsidR="0004110B" w:rsidRPr="0004110B" w:rsidRDefault="0004110B" w:rsidP="0004110B">
      <w:pPr>
        <w:numPr>
          <w:ilvl w:val="0"/>
          <w:numId w:val="24"/>
        </w:numPr>
      </w:pPr>
      <w:r w:rsidRPr="0004110B">
        <w:t xml:space="preserve">The projects undertaken vary considerably in both their nature and scale. For example, the projects include tariff based measures designed to incentivise customers to reduce their usage at times of peak demand. However, the majority of the projects were non-tariff based. These projects included various trials of technologies with the potential to reduce and/or shift demand, improving the storage of renewable energy generated </w:t>
      </w:r>
      <w:r w:rsidRPr="0004110B">
        <w:lastRenderedPageBreak/>
        <w:t>during non-peak times for subsequent use during peak periods, improving power factor correction to reduce the amount of electricity that requires transportation across a distribution network and load control options which result in shifting load to non-peak times.</w:t>
      </w:r>
    </w:p>
    <w:p w:rsidR="0004110B" w:rsidRPr="0004110B" w:rsidRDefault="0004110B" w:rsidP="0004110B">
      <w:pPr>
        <w:numPr>
          <w:ilvl w:val="0"/>
          <w:numId w:val="24"/>
        </w:numPr>
        <w:rPr>
          <w:rStyle w:val="AERbody"/>
        </w:rPr>
      </w:pPr>
      <w:r w:rsidRPr="0004110B">
        <w:rPr>
          <w:rStyle w:val="AERbody"/>
        </w:rPr>
        <w:t xml:space="preserve">We have approved </w:t>
      </w:r>
      <w:r w:rsidR="003C1FE9">
        <w:rPr>
          <w:rStyle w:val="AERbody"/>
        </w:rPr>
        <w:t xml:space="preserve">all </w:t>
      </w:r>
      <w:r w:rsidRPr="0004110B">
        <w:rPr>
          <w:rStyle w:val="AERbody"/>
        </w:rPr>
        <w:t>the DMIA expenditure claimed by all of the DNSPs as the expenditure complies with the DMIA criteria.</w:t>
      </w:r>
      <w:r w:rsidR="00AA7744">
        <w:rPr>
          <w:rStyle w:val="AERbody"/>
        </w:rPr>
        <w:t xml:space="preserve"> Section 4 provides further details of each project for each DNSP that has been funded through the DMIA.</w:t>
      </w:r>
    </w:p>
    <w:p w:rsidR="00CA52B0" w:rsidRDefault="0004110B" w:rsidP="0004110B">
      <w:pPr>
        <w:pStyle w:val="ListParagraph"/>
        <w:numPr>
          <w:ilvl w:val="0"/>
          <w:numId w:val="24"/>
        </w:numPr>
      </w:pPr>
      <w:r w:rsidRPr="0004110B">
        <w:t>Summaries of each DNSP's DMIA expenditures are shown in the table</w:t>
      </w:r>
      <w:r w:rsidR="008D3140">
        <w:t>s</w:t>
      </w:r>
      <w:r w:rsidRPr="0004110B">
        <w:t xml:space="preserve"> below.</w:t>
      </w:r>
    </w:p>
    <w:p w:rsidR="00CA52B0" w:rsidRPr="00CA52B0" w:rsidRDefault="00CA52B0" w:rsidP="00CA52B0">
      <w:pPr>
        <w:pStyle w:val="AERbulletlistfirststyle"/>
        <w:numPr>
          <w:ilvl w:val="0"/>
          <w:numId w:val="24"/>
        </w:numPr>
      </w:pPr>
      <w:r w:rsidRPr="00CA52B0">
        <w:t>With the exception of ActewAGL and SA Power Networks, who completed 100 percent of their respective DMIA allowances, all other ACT, NSW and QLD distributors did not use all of their DMIA allowances.</w:t>
      </w:r>
      <w:r w:rsidR="00161429">
        <w:t xml:space="preserve"> </w:t>
      </w:r>
      <w:r w:rsidRPr="00CA52B0">
        <w:t>Ener</w:t>
      </w:r>
      <w:r w:rsidR="00161429">
        <w:t>gex</w:t>
      </w:r>
      <w:r w:rsidRPr="00CA52B0">
        <w:t xml:space="preserve"> (26 percent) and Endeavour Energy (32 percent) spent less than half of their respective allowance.</w:t>
      </w:r>
    </w:p>
    <w:p w:rsidR="00CA52B0" w:rsidRDefault="00CA52B0" w:rsidP="00CA52B0">
      <w:pPr>
        <w:pStyle w:val="ListParagraph"/>
        <w:numPr>
          <w:ilvl w:val="0"/>
          <w:numId w:val="24"/>
        </w:numPr>
      </w:pPr>
      <w:r w:rsidRPr="00CA52B0">
        <w:t>TasNetworks utilised about 9 percent of its total allowance so far after 2 years into the 5 year regulatory control period.</w:t>
      </w:r>
    </w:p>
    <w:p w:rsidR="00CA52B0" w:rsidRDefault="00CA52B0" w:rsidP="00CA52B0">
      <w:pPr>
        <w:pStyle w:val="ListParagraph"/>
        <w:numPr>
          <w:ilvl w:val="0"/>
          <w:numId w:val="24"/>
        </w:numPr>
      </w:pPr>
      <w:r w:rsidRPr="008B5877">
        <w:t>In total, Victorian DNSPs reported around $4.0 million DMIA expenditure for 2014 reporting period. Overall, Victorian DNSPs have spent 57 percent of the DMIA allowance for the 2011 to 2015 regulatory period. AusNet Services has overspent its DMIA allowance.</w:t>
      </w:r>
    </w:p>
    <w:p w:rsidR="00404FC4" w:rsidRPr="00404FC4" w:rsidRDefault="00DA4E0A" w:rsidP="00EE1C73">
      <w:pPr>
        <w:pStyle w:val="Caption"/>
      </w:pPr>
      <w:r>
        <w:t xml:space="preserve">Table </w:t>
      </w:r>
      <w:r w:rsidR="00BF480E">
        <w:fldChar w:fldCharType="begin"/>
      </w:r>
      <w:r w:rsidR="00BF480E">
        <w:instrText xml:space="preserve"> SEQ Table \* ARABIC </w:instrText>
      </w:r>
      <w:r w:rsidR="00BF480E">
        <w:fldChar w:fldCharType="separate"/>
      </w:r>
      <w:r w:rsidR="002D1097">
        <w:rPr>
          <w:noProof/>
        </w:rPr>
        <w:t>1</w:t>
      </w:r>
      <w:r w:rsidR="00BF480E">
        <w:rPr>
          <w:noProof/>
        </w:rPr>
        <w:fldChar w:fldCharType="end"/>
      </w:r>
      <w:r w:rsidR="00D60712">
        <w:t xml:space="preserve"> </w:t>
      </w:r>
      <w:r>
        <w:tab/>
      </w:r>
      <w:r w:rsidR="00D60712">
        <w:t>Summaries</w:t>
      </w:r>
      <w:r w:rsidR="00404FC4" w:rsidRPr="00404FC4">
        <w:t xml:space="preserve"> of DMIA expenditures to date</w:t>
      </w:r>
      <w:r w:rsidR="00CA203A">
        <w:t xml:space="preserve"> for ACT/NSW</w:t>
      </w:r>
      <w:r w:rsidR="006B1A1A">
        <w:t xml:space="preserve"> </w:t>
      </w:r>
      <w:r w:rsidR="00554DFB">
        <w:t xml:space="preserve">DNSPs </w:t>
      </w:r>
      <w:r w:rsidR="006B1A1A">
        <w:t>for the 2009–10 to 2013–14 regulatory control period</w:t>
      </w:r>
      <w:r w:rsidR="001C45BD">
        <w:t xml:space="preserve"> </w:t>
      </w:r>
      <w:r w:rsidR="006B1A1A">
        <w:t>($</w:t>
      </w:r>
      <w:r w:rsidR="00554DFB">
        <w:t xml:space="preserve">'000 </w:t>
      </w:r>
      <w:r w:rsidR="006B1A1A">
        <w:t>nominal)</w:t>
      </w:r>
    </w:p>
    <w:tbl>
      <w:tblPr>
        <w:tblStyle w:val="AERtable-numbers"/>
        <w:tblW w:w="8755" w:type="dxa"/>
        <w:tblLayout w:type="fixed"/>
        <w:tblLook w:val="04A0" w:firstRow="1" w:lastRow="0" w:firstColumn="1" w:lastColumn="0" w:noHBand="0" w:noVBand="1"/>
      </w:tblPr>
      <w:tblGrid>
        <w:gridCol w:w="1384"/>
        <w:gridCol w:w="1842"/>
        <w:gridCol w:w="1843"/>
        <w:gridCol w:w="1843"/>
        <w:gridCol w:w="1843"/>
      </w:tblGrid>
      <w:tr w:rsidR="0057464C" w:rsidTr="005746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57464C" w:rsidRPr="00404FC4" w:rsidRDefault="0057464C" w:rsidP="00404FC4">
            <w:pPr>
              <w:pStyle w:val="AERtabletextleft"/>
            </w:pPr>
            <w:r w:rsidRPr="00404FC4">
              <w:t>DNSP</w:t>
            </w:r>
          </w:p>
        </w:tc>
        <w:tc>
          <w:tcPr>
            <w:tcW w:w="1842" w:type="dxa"/>
          </w:tcPr>
          <w:p w:rsidR="0057464C" w:rsidRPr="00404FC4" w:rsidRDefault="0057464C" w:rsidP="0057464C">
            <w:pPr>
              <w:pStyle w:val="AERtabletextright"/>
              <w:cnfStyle w:val="100000000000" w:firstRow="1" w:lastRow="0" w:firstColumn="0" w:lastColumn="0" w:oddVBand="0" w:evenVBand="0" w:oddHBand="0" w:evenHBand="0" w:firstRowFirstColumn="0" w:firstRowLastColumn="0" w:lastRowFirstColumn="0" w:lastRowLastColumn="0"/>
            </w:pPr>
            <w:r>
              <w:t xml:space="preserve">Total </w:t>
            </w:r>
            <w:r w:rsidRPr="00404FC4">
              <w:t xml:space="preserve">DMIA </w:t>
            </w:r>
            <w:r>
              <w:t xml:space="preserve">Allowance </w:t>
            </w:r>
          </w:p>
        </w:tc>
        <w:tc>
          <w:tcPr>
            <w:tcW w:w="1843" w:type="dxa"/>
          </w:tcPr>
          <w:p w:rsidR="0057464C" w:rsidRPr="00404FC4" w:rsidRDefault="0057464C" w:rsidP="00404FC4">
            <w:pPr>
              <w:pStyle w:val="AERtabletextright"/>
              <w:cnfStyle w:val="100000000000" w:firstRow="1" w:lastRow="0" w:firstColumn="0" w:lastColumn="0" w:oddVBand="0" w:evenVBand="0" w:oddHBand="0" w:evenHBand="0" w:firstRowFirstColumn="0" w:firstRowLastColumn="0" w:lastRowFirstColumn="0" w:lastRowLastColumn="0"/>
            </w:pPr>
            <w:r w:rsidRPr="00404FC4">
              <w:t xml:space="preserve">DMIA approved </w:t>
            </w:r>
            <w:r w:rsidRPr="00404FC4">
              <w:br/>
              <w:t>to date</w:t>
            </w:r>
          </w:p>
        </w:tc>
        <w:tc>
          <w:tcPr>
            <w:tcW w:w="1843" w:type="dxa"/>
          </w:tcPr>
          <w:p w:rsidR="0057464C" w:rsidRPr="00404FC4" w:rsidRDefault="0057464C" w:rsidP="00404FC4">
            <w:pPr>
              <w:pStyle w:val="AERtabletextright"/>
              <w:cnfStyle w:val="100000000000" w:firstRow="1" w:lastRow="0" w:firstColumn="0" w:lastColumn="0" w:oddVBand="0" w:evenVBand="0" w:oddHBand="0" w:evenHBand="0" w:firstRowFirstColumn="0" w:firstRowLastColumn="0" w:lastRowFirstColumn="0" w:lastRowLastColumn="0"/>
            </w:pPr>
            <w:r w:rsidRPr="00404FC4">
              <w:t>DMIA remaining for the period</w:t>
            </w:r>
          </w:p>
        </w:tc>
        <w:tc>
          <w:tcPr>
            <w:tcW w:w="1843" w:type="dxa"/>
          </w:tcPr>
          <w:p w:rsidR="0057464C" w:rsidRPr="00404FC4" w:rsidRDefault="0057464C" w:rsidP="00404FC4">
            <w:pPr>
              <w:pStyle w:val="AERtabletextleft"/>
              <w:cnfStyle w:val="100000000000" w:firstRow="1" w:lastRow="0" w:firstColumn="0" w:lastColumn="0" w:oddVBand="0" w:evenVBand="0" w:oddHBand="0" w:evenHBand="0" w:firstRowFirstColumn="0" w:firstRowLastColumn="0" w:lastRowFirstColumn="0" w:lastRowLastColumn="0"/>
            </w:pPr>
            <w:r w:rsidRPr="00404FC4">
              <w:t>Proportion of approved DMIA spent (%)</w:t>
            </w:r>
          </w:p>
        </w:tc>
      </w:tr>
      <w:tr w:rsidR="00F823C7" w:rsidTr="0057464C">
        <w:tc>
          <w:tcPr>
            <w:cnfStyle w:val="001000000000" w:firstRow="0" w:lastRow="0" w:firstColumn="1" w:lastColumn="0" w:oddVBand="0" w:evenVBand="0" w:oddHBand="0" w:evenHBand="0" w:firstRowFirstColumn="0" w:firstRowLastColumn="0" w:lastRowFirstColumn="0" w:lastRowLastColumn="0"/>
            <w:tcW w:w="1384" w:type="dxa"/>
            <w:vAlign w:val="top"/>
          </w:tcPr>
          <w:p w:rsidR="00F823C7" w:rsidRPr="00F823C7" w:rsidRDefault="00F823C7" w:rsidP="00F823C7">
            <w:r w:rsidRPr="00F823C7">
              <w:t>ActewAGL</w:t>
            </w:r>
          </w:p>
        </w:tc>
        <w:tc>
          <w:tcPr>
            <w:tcW w:w="1842" w:type="dxa"/>
            <w:vAlign w:val="top"/>
          </w:tcPr>
          <w:p w:rsidR="00F823C7" w:rsidRPr="00F823C7" w:rsidRDefault="00F823C7" w:rsidP="00F823C7">
            <w:pPr>
              <w:cnfStyle w:val="000000000000" w:firstRow="0" w:lastRow="0" w:firstColumn="0" w:lastColumn="0" w:oddVBand="0" w:evenVBand="0" w:oddHBand="0" w:evenHBand="0" w:firstRowFirstColumn="0" w:firstRowLastColumn="0" w:lastRowFirstColumn="0" w:lastRowLastColumn="0"/>
            </w:pPr>
            <w:r w:rsidRPr="00F823C7">
              <w:t>533.1</w:t>
            </w:r>
          </w:p>
        </w:tc>
        <w:tc>
          <w:tcPr>
            <w:tcW w:w="1843" w:type="dxa"/>
            <w:vAlign w:val="top"/>
          </w:tcPr>
          <w:p w:rsidR="00F823C7" w:rsidRPr="00F823C7" w:rsidRDefault="00F823C7" w:rsidP="00F823C7">
            <w:pPr>
              <w:cnfStyle w:val="000000000000" w:firstRow="0" w:lastRow="0" w:firstColumn="0" w:lastColumn="0" w:oddVBand="0" w:evenVBand="0" w:oddHBand="0" w:evenHBand="0" w:firstRowFirstColumn="0" w:firstRowLastColumn="0" w:lastRowFirstColumn="0" w:lastRowLastColumn="0"/>
            </w:pPr>
            <w:r w:rsidRPr="00F823C7">
              <w:t>533.1</w:t>
            </w:r>
          </w:p>
        </w:tc>
        <w:tc>
          <w:tcPr>
            <w:tcW w:w="1843" w:type="dxa"/>
            <w:vAlign w:val="top"/>
          </w:tcPr>
          <w:p w:rsidR="00F823C7" w:rsidRPr="00F823C7" w:rsidRDefault="00F823C7" w:rsidP="00F823C7">
            <w:pPr>
              <w:cnfStyle w:val="000000000000" w:firstRow="0" w:lastRow="0" w:firstColumn="0" w:lastColumn="0" w:oddVBand="0" w:evenVBand="0" w:oddHBand="0" w:evenHBand="0" w:firstRowFirstColumn="0" w:firstRowLastColumn="0" w:lastRowFirstColumn="0" w:lastRowLastColumn="0"/>
            </w:pPr>
            <w:r w:rsidRPr="00F823C7">
              <w:t>0.0</w:t>
            </w:r>
          </w:p>
        </w:tc>
        <w:tc>
          <w:tcPr>
            <w:tcW w:w="1843" w:type="dxa"/>
            <w:vAlign w:val="top"/>
          </w:tcPr>
          <w:p w:rsidR="00F823C7" w:rsidRPr="00F823C7" w:rsidRDefault="00F823C7" w:rsidP="00F823C7">
            <w:pPr>
              <w:cnfStyle w:val="000000000000" w:firstRow="0" w:lastRow="0" w:firstColumn="0" w:lastColumn="0" w:oddVBand="0" w:evenVBand="0" w:oddHBand="0" w:evenHBand="0" w:firstRowFirstColumn="0" w:firstRowLastColumn="0" w:lastRowFirstColumn="0" w:lastRowLastColumn="0"/>
            </w:pPr>
            <w:r w:rsidRPr="00F823C7">
              <w:t>100%</w:t>
            </w:r>
          </w:p>
        </w:tc>
      </w:tr>
      <w:tr w:rsidR="00F823C7" w:rsidTr="005746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Align w:val="top"/>
          </w:tcPr>
          <w:p w:rsidR="00F823C7" w:rsidRPr="00F823C7" w:rsidRDefault="00F823C7" w:rsidP="00F823C7">
            <w:r w:rsidRPr="00F823C7">
              <w:t>Ausgrid</w:t>
            </w:r>
          </w:p>
        </w:tc>
        <w:tc>
          <w:tcPr>
            <w:tcW w:w="1842" w:type="dxa"/>
            <w:vAlign w:val="top"/>
          </w:tcPr>
          <w:p w:rsidR="00F823C7" w:rsidRPr="00F823C7" w:rsidRDefault="00F823C7" w:rsidP="00F823C7">
            <w:pPr>
              <w:cnfStyle w:val="000000010000" w:firstRow="0" w:lastRow="0" w:firstColumn="0" w:lastColumn="0" w:oddVBand="0" w:evenVBand="0" w:oddHBand="0" w:evenHBand="1" w:firstRowFirstColumn="0" w:firstRowLastColumn="0" w:lastRowFirstColumn="0" w:lastRowLastColumn="0"/>
            </w:pPr>
            <w:r w:rsidRPr="00F823C7">
              <w:t>5 330.6</w:t>
            </w:r>
          </w:p>
        </w:tc>
        <w:tc>
          <w:tcPr>
            <w:tcW w:w="1843" w:type="dxa"/>
            <w:vAlign w:val="top"/>
          </w:tcPr>
          <w:p w:rsidR="00F823C7" w:rsidRPr="00F823C7" w:rsidRDefault="00F823C7" w:rsidP="00F823C7">
            <w:pPr>
              <w:cnfStyle w:val="000000010000" w:firstRow="0" w:lastRow="0" w:firstColumn="0" w:lastColumn="0" w:oddVBand="0" w:evenVBand="0" w:oddHBand="0" w:evenHBand="1" w:firstRowFirstColumn="0" w:firstRowLastColumn="0" w:lastRowFirstColumn="0" w:lastRowLastColumn="0"/>
            </w:pPr>
            <w:r w:rsidRPr="00F823C7">
              <w:t>4 121.5</w:t>
            </w:r>
          </w:p>
        </w:tc>
        <w:tc>
          <w:tcPr>
            <w:tcW w:w="1843" w:type="dxa"/>
            <w:vAlign w:val="top"/>
          </w:tcPr>
          <w:p w:rsidR="00F823C7" w:rsidRPr="00F823C7" w:rsidRDefault="00F823C7" w:rsidP="00F823C7">
            <w:pPr>
              <w:cnfStyle w:val="000000010000" w:firstRow="0" w:lastRow="0" w:firstColumn="0" w:lastColumn="0" w:oddVBand="0" w:evenVBand="0" w:oddHBand="0" w:evenHBand="1" w:firstRowFirstColumn="0" w:firstRowLastColumn="0" w:lastRowFirstColumn="0" w:lastRowLastColumn="0"/>
            </w:pPr>
            <w:r w:rsidRPr="00F823C7">
              <w:t>1 209.1</w:t>
            </w:r>
          </w:p>
        </w:tc>
        <w:tc>
          <w:tcPr>
            <w:tcW w:w="1843" w:type="dxa"/>
            <w:vAlign w:val="top"/>
          </w:tcPr>
          <w:p w:rsidR="00F823C7" w:rsidRPr="00F823C7" w:rsidRDefault="00F823C7" w:rsidP="00F823C7">
            <w:pPr>
              <w:cnfStyle w:val="000000010000" w:firstRow="0" w:lastRow="0" w:firstColumn="0" w:lastColumn="0" w:oddVBand="0" w:evenVBand="0" w:oddHBand="0" w:evenHBand="1" w:firstRowFirstColumn="0" w:firstRowLastColumn="0" w:lastRowFirstColumn="0" w:lastRowLastColumn="0"/>
            </w:pPr>
            <w:r w:rsidRPr="00F823C7">
              <w:t>77%</w:t>
            </w:r>
          </w:p>
        </w:tc>
      </w:tr>
      <w:tr w:rsidR="00F823C7" w:rsidTr="0057464C">
        <w:tc>
          <w:tcPr>
            <w:cnfStyle w:val="001000000000" w:firstRow="0" w:lastRow="0" w:firstColumn="1" w:lastColumn="0" w:oddVBand="0" w:evenVBand="0" w:oddHBand="0" w:evenHBand="0" w:firstRowFirstColumn="0" w:firstRowLastColumn="0" w:lastRowFirstColumn="0" w:lastRowLastColumn="0"/>
            <w:tcW w:w="1384" w:type="dxa"/>
            <w:vAlign w:val="top"/>
          </w:tcPr>
          <w:p w:rsidR="00F823C7" w:rsidRPr="00F823C7" w:rsidRDefault="00F823C7" w:rsidP="00F823C7">
            <w:r w:rsidRPr="00F823C7">
              <w:t>Endeavour Energy</w:t>
            </w:r>
          </w:p>
        </w:tc>
        <w:tc>
          <w:tcPr>
            <w:tcW w:w="1842" w:type="dxa"/>
            <w:vAlign w:val="top"/>
          </w:tcPr>
          <w:p w:rsidR="00F823C7" w:rsidRPr="00F823C7" w:rsidRDefault="00F823C7" w:rsidP="00F823C7">
            <w:pPr>
              <w:cnfStyle w:val="000000000000" w:firstRow="0" w:lastRow="0" w:firstColumn="0" w:lastColumn="0" w:oddVBand="0" w:evenVBand="0" w:oddHBand="0" w:evenHBand="0" w:firstRowFirstColumn="0" w:firstRowLastColumn="0" w:lastRowFirstColumn="0" w:lastRowLastColumn="0"/>
            </w:pPr>
            <w:r w:rsidRPr="00F823C7">
              <w:t>3 198.4</w:t>
            </w:r>
          </w:p>
        </w:tc>
        <w:tc>
          <w:tcPr>
            <w:tcW w:w="1843" w:type="dxa"/>
            <w:vAlign w:val="top"/>
          </w:tcPr>
          <w:p w:rsidR="00F823C7" w:rsidRPr="00F823C7" w:rsidRDefault="00F823C7" w:rsidP="00F823C7">
            <w:pPr>
              <w:cnfStyle w:val="000000000000" w:firstRow="0" w:lastRow="0" w:firstColumn="0" w:lastColumn="0" w:oddVBand="0" w:evenVBand="0" w:oddHBand="0" w:evenHBand="0" w:firstRowFirstColumn="0" w:firstRowLastColumn="0" w:lastRowFirstColumn="0" w:lastRowLastColumn="0"/>
            </w:pPr>
            <w:r w:rsidRPr="00F823C7">
              <w:t>1 017.9</w:t>
            </w:r>
          </w:p>
        </w:tc>
        <w:tc>
          <w:tcPr>
            <w:tcW w:w="1843" w:type="dxa"/>
            <w:vAlign w:val="top"/>
          </w:tcPr>
          <w:p w:rsidR="00F823C7" w:rsidRPr="00F823C7" w:rsidRDefault="00F823C7" w:rsidP="00F823C7">
            <w:pPr>
              <w:cnfStyle w:val="000000000000" w:firstRow="0" w:lastRow="0" w:firstColumn="0" w:lastColumn="0" w:oddVBand="0" w:evenVBand="0" w:oddHBand="0" w:evenHBand="0" w:firstRowFirstColumn="0" w:firstRowLastColumn="0" w:lastRowFirstColumn="0" w:lastRowLastColumn="0"/>
            </w:pPr>
            <w:r w:rsidRPr="00F823C7">
              <w:t>2 180.5</w:t>
            </w:r>
          </w:p>
        </w:tc>
        <w:tc>
          <w:tcPr>
            <w:tcW w:w="1843" w:type="dxa"/>
            <w:vAlign w:val="top"/>
          </w:tcPr>
          <w:p w:rsidR="00F823C7" w:rsidRPr="00F823C7" w:rsidRDefault="00F823C7" w:rsidP="00F823C7">
            <w:pPr>
              <w:cnfStyle w:val="000000000000" w:firstRow="0" w:lastRow="0" w:firstColumn="0" w:lastColumn="0" w:oddVBand="0" w:evenVBand="0" w:oddHBand="0" w:evenHBand="0" w:firstRowFirstColumn="0" w:firstRowLastColumn="0" w:lastRowFirstColumn="0" w:lastRowLastColumn="0"/>
            </w:pPr>
            <w:r w:rsidRPr="00F823C7">
              <w:t>32%</w:t>
            </w:r>
          </w:p>
        </w:tc>
      </w:tr>
      <w:tr w:rsidR="00F823C7" w:rsidTr="005746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Align w:val="top"/>
          </w:tcPr>
          <w:p w:rsidR="00F823C7" w:rsidRPr="00F823C7" w:rsidRDefault="00F823C7" w:rsidP="00F823C7">
            <w:r w:rsidRPr="00F823C7">
              <w:t>Essential Energy</w:t>
            </w:r>
          </w:p>
        </w:tc>
        <w:tc>
          <w:tcPr>
            <w:tcW w:w="1842" w:type="dxa"/>
            <w:vAlign w:val="top"/>
          </w:tcPr>
          <w:p w:rsidR="00F823C7" w:rsidRPr="00F823C7" w:rsidRDefault="00F823C7" w:rsidP="00F823C7">
            <w:pPr>
              <w:cnfStyle w:val="000000010000" w:firstRow="0" w:lastRow="0" w:firstColumn="0" w:lastColumn="0" w:oddVBand="0" w:evenVBand="0" w:oddHBand="0" w:evenHBand="1" w:firstRowFirstColumn="0" w:firstRowLastColumn="0" w:lastRowFirstColumn="0" w:lastRowLastColumn="0"/>
            </w:pPr>
            <w:r w:rsidRPr="00F823C7">
              <w:t>3 198.4</w:t>
            </w:r>
          </w:p>
        </w:tc>
        <w:tc>
          <w:tcPr>
            <w:tcW w:w="1843" w:type="dxa"/>
            <w:vAlign w:val="top"/>
          </w:tcPr>
          <w:p w:rsidR="00F823C7" w:rsidRPr="00F823C7" w:rsidRDefault="00F823C7" w:rsidP="00F823C7">
            <w:pPr>
              <w:cnfStyle w:val="000000010000" w:firstRow="0" w:lastRow="0" w:firstColumn="0" w:lastColumn="0" w:oddVBand="0" w:evenVBand="0" w:oddHBand="0" w:evenHBand="1" w:firstRowFirstColumn="0" w:firstRowLastColumn="0" w:lastRowFirstColumn="0" w:lastRowLastColumn="0"/>
            </w:pPr>
            <w:r w:rsidRPr="00F823C7">
              <w:t>2 670.5</w:t>
            </w:r>
          </w:p>
        </w:tc>
        <w:tc>
          <w:tcPr>
            <w:tcW w:w="1843" w:type="dxa"/>
            <w:vAlign w:val="top"/>
          </w:tcPr>
          <w:p w:rsidR="00F823C7" w:rsidRPr="00F823C7" w:rsidRDefault="00F823C7" w:rsidP="00F823C7">
            <w:pPr>
              <w:cnfStyle w:val="000000010000" w:firstRow="0" w:lastRow="0" w:firstColumn="0" w:lastColumn="0" w:oddVBand="0" w:evenVBand="0" w:oddHBand="0" w:evenHBand="1" w:firstRowFirstColumn="0" w:firstRowLastColumn="0" w:lastRowFirstColumn="0" w:lastRowLastColumn="0"/>
            </w:pPr>
            <w:r w:rsidRPr="00F823C7">
              <w:t>527.8</w:t>
            </w:r>
          </w:p>
        </w:tc>
        <w:tc>
          <w:tcPr>
            <w:tcW w:w="1843" w:type="dxa"/>
            <w:vAlign w:val="top"/>
          </w:tcPr>
          <w:p w:rsidR="00F823C7" w:rsidRPr="00F823C7" w:rsidRDefault="00F823C7" w:rsidP="00F823C7">
            <w:pPr>
              <w:cnfStyle w:val="000000010000" w:firstRow="0" w:lastRow="0" w:firstColumn="0" w:lastColumn="0" w:oddVBand="0" w:evenVBand="0" w:oddHBand="0" w:evenHBand="1" w:firstRowFirstColumn="0" w:firstRowLastColumn="0" w:lastRowFirstColumn="0" w:lastRowLastColumn="0"/>
            </w:pPr>
            <w:r w:rsidRPr="00F823C7">
              <w:t>83%</w:t>
            </w:r>
          </w:p>
        </w:tc>
      </w:tr>
      <w:tr w:rsidR="00F823C7" w:rsidTr="0057464C">
        <w:tc>
          <w:tcPr>
            <w:cnfStyle w:val="001000000000" w:firstRow="0" w:lastRow="0" w:firstColumn="1" w:lastColumn="0" w:oddVBand="0" w:evenVBand="0" w:oddHBand="0" w:evenHBand="0" w:firstRowFirstColumn="0" w:firstRowLastColumn="0" w:lastRowFirstColumn="0" w:lastRowLastColumn="0"/>
            <w:tcW w:w="1384" w:type="dxa"/>
            <w:vAlign w:val="top"/>
          </w:tcPr>
          <w:p w:rsidR="00F823C7" w:rsidRPr="00F823C7" w:rsidRDefault="00F823C7" w:rsidP="00F823C7">
            <w:pPr>
              <w:rPr>
                <w:rStyle w:val="Strong"/>
              </w:rPr>
            </w:pPr>
            <w:r w:rsidRPr="00F823C7">
              <w:rPr>
                <w:rStyle w:val="Strong"/>
              </w:rPr>
              <w:t>TOTAL</w:t>
            </w:r>
          </w:p>
        </w:tc>
        <w:tc>
          <w:tcPr>
            <w:tcW w:w="1842" w:type="dxa"/>
            <w:vAlign w:val="top"/>
          </w:tcPr>
          <w:p w:rsidR="00F823C7" w:rsidRPr="00F823C7" w:rsidRDefault="00F823C7" w:rsidP="00F823C7">
            <w:pPr>
              <w:cnfStyle w:val="000000000000" w:firstRow="0" w:lastRow="0" w:firstColumn="0" w:lastColumn="0" w:oddVBand="0" w:evenVBand="0" w:oddHBand="0" w:evenHBand="0" w:firstRowFirstColumn="0" w:firstRowLastColumn="0" w:lastRowFirstColumn="0" w:lastRowLastColumn="0"/>
            </w:pPr>
            <w:r w:rsidRPr="00F823C7">
              <w:t>12 260.4</w:t>
            </w:r>
          </w:p>
        </w:tc>
        <w:tc>
          <w:tcPr>
            <w:tcW w:w="1843" w:type="dxa"/>
            <w:vAlign w:val="top"/>
          </w:tcPr>
          <w:p w:rsidR="00F823C7" w:rsidRPr="00F823C7" w:rsidRDefault="00F823C7" w:rsidP="00F823C7">
            <w:pPr>
              <w:cnfStyle w:val="000000000000" w:firstRow="0" w:lastRow="0" w:firstColumn="0" w:lastColumn="0" w:oddVBand="0" w:evenVBand="0" w:oddHBand="0" w:evenHBand="0" w:firstRowFirstColumn="0" w:firstRowLastColumn="0" w:lastRowFirstColumn="0" w:lastRowLastColumn="0"/>
            </w:pPr>
            <w:r w:rsidRPr="00F823C7">
              <w:t>8 343.0</w:t>
            </w:r>
          </w:p>
        </w:tc>
        <w:tc>
          <w:tcPr>
            <w:tcW w:w="1843" w:type="dxa"/>
            <w:vAlign w:val="top"/>
          </w:tcPr>
          <w:p w:rsidR="00F823C7" w:rsidRPr="00F823C7" w:rsidRDefault="00F823C7" w:rsidP="00F823C7">
            <w:pPr>
              <w:cnfStyle w:val="000000000000" w:firstRow="0" w:lastRow="0" w:firstColumn="0" w:lastColumn="0" w:oddVBand="0" w:evenVBand="0" w:oddHBand="0" w:evenHBand="0" w:firstRowFirstColumn="0" w:firstRowLastColumn="0" w:lastRowFirstColumn="0" w:lastRowLastColumn="0"/>
            </w:pPr>
            <w:r w:rsidRPr="00F823C7">
              <w:t>3 917.4</w:t>
            </w:r>
          </w:p>
        </w:tc>
        <w:tc>
          <w:tcPr>
            <w:tcW w:w="1843" w:type="dxa"/>
            <w:vAlign w:val="top"/>
          </w:tcPr>
          <w:p w:rsidR="00F823C7" w:rsidRPr="00F823C7" w:rsidRDefault="00F823C7" w:rsidP="00F823C7">
            <w:pPr>
              <w:cnfStyle w:val="000000000000" w:firstRow="0" w:lastRow="0" w:firstColumn="0" w:lastColumn="0" w:oddVBand="0" w:evenVBand="0" w:oddHBand="0" w:evenHBand="0" w:firstRowFirstColumn="0" w:firstRowLastColumn="0" w:lastRowFirstColumn="0" w:lastRowLastColumn="0"/>
            </w:pPr>
            <w:r w:rsidRPr="00F823C7">
              <w:t>68%</w:t>
            </w:r>
          </w:p>
        </w:tc>
      </w:tr>
    </w:tbl>
    <w:p w:rsidR="008D3140" w:rsidRDefault="00404FC4" w:rsidP="00F04DBD">
      <w:pPr>
        <w:pStyle w:val="AERtablesource"/>
      </w:pPr>
      <w:r w:rsidRPr="00404FC4">
        <w:t>Source:</w:t>
      </w:r>
      <w:r w:rsidRPr="00404FC4">
        <w:tab/>
        <w:t xml:space="preserve">AER analysis and DMIA </w:t>
      </w:r>
      <w:r w:rsidR="00F6148F">
        <w:t>r</w:t>
      </w:r>
      <w:r w:rsidRPr="00404FC4">
        <w:t>eports submitted by DNSPs</w:t>
      </w:r>
      <w:r w:rsidR="008E0ED1">
        <w:t>;</w:t>
      </w:r>
      <w:r w:rsidR="006B1A1A">
        <w:t xml:space="preserve"> </w:t>
      </w:r>
      <w:r w:rsidR="00BC1729">
        <w:t>numbers</w:t>
      </w:r>
      <w:r w:rsidR="006B1A1A">
        <w:t xml:space="preserve"> may not be exact due to rounding.  </w:t>
      </w:r>
      <w:r w:rsidR="008E0ED1">
        <w:t xml:space="preserve"> </w:t>
      </w:r>
    </w:p>
    <w:p w:rsidR="00051D7C" w:rsidRDefault="00051D7C">
      <w:pPr>
        <w:spacing w:line="240" w:lineRule="auto"/>
        <w:rPr>
          <w:b/>
          <w:bCs/>
          <w:color w:val="076A92" w:themeColor="text1"/>
          <w:sz w:val="24"/>
          <w:szCs w:val="18"/>
        </w:rPr>
      </w:pPr>
      <w:r>
        <w:br w:type="page"/>
      </w:r>
    </w:p>
    <w:p w:rsidR="006B1A1A" w:rsidRPr="006B1A1A" w:rsidRDefault="00DA4E0A" w:rsidP="00EE1C73">
      <w:pPr>
        <w:pStyle w:val="Caption"/>
      </w:pPr>
      <w:r>
        <w:lastRenderedPageBreak/>
        <w:t xml:space="preserve">Table </w:t>
      </w:r>
      <w:r w:rsidR="00BF480E">
        <w:fldChar w:fldCharType="begin"/>
      </w:r>
      <w:r w:rsidR="00BF480E">
        <w:instrText xml:space="preserve"> SEQ Table \* ARABIC </w:instrText>
      </w:r>
      <w:r w:rsidR="00BF480E">
        <w:fldChar w:fldCharType="separate"/>
      </w:r>
      <w:r w:rsidR="002D1097">
        <w:rPr>
          <w:noProof/>
        </w:rPr>
        <w:t>2</w:t>
      </w:r>
      <w:r w:rsidR="00BF480E">
        <w:rPr>
          <w:noProof/>
        </w:rPr>
        <w:fldChar w:fldCharType="end"/>
      </w:r>
      <w:r w:rsidRPr="00DA4E0A">
        <w:t xml:space="preserve"> </w:t>
      </w:r>
      <w:r>
        <w:tab/>
      </w:r>
      <w:r w:rsidR="006B1A1A" w:rsidRPr="006B1A1A">
        <w:t xml:space="preserve">Summaries of DMIA expenditures to date </w:t>
      </w:r>
      <w:r w:rsidR="006B1A1A">
        <w:t>for QLD</w:t>
      </w:r>
      <w:r w:rsidR="006B1A1A" w:rsidRPr="006B1A1A">
        <w:t>/</w:t>
      </w:r>
      <w:r w:rsidR="006B1A1A">
        <w:t>SA</w:t>
      </w:r>
      <w:r w:rsidR="006B1A1A" w:rsidRPr="006B1A1A">
        <w:t xml:space="preserve"> </w:t>
      </w:r>
      <w:r w:rsidR="00554DFB">
        <w:t xml:space="preserve">DNSPs </w:t>
      </w:r>
      <w:r w:rsidR="00926CF2">
        <w:t>for the 2010</w:t>
      </w:r>
      <w:r w:rsidR="00926CF2" w:rsidRPr="00926CF2">
        <w:t>–</w:t>
      </w:r>
      <w:r w:rsidR="00926CF2">
        <w:t>11</w:t>
      </w:r>
      <w:r w:rsidR="00926CF2" w:rsidRPr="00926CF2">
        <w:t xml:space="preserve"> to </w:t>
      </w:r>
      <w:r w:rsidR="00926CF2">
        <w:t>2014–15</w:t>
      </w:r>
      <w:r w:rsidR="00926CF2" w:rsidRPr="00926CF2">
        <w:t xml:space="preserve"> regulatory control period </w:t>
      </w:r>
      <w:r w:rsidR="006B1A1A" w:rsidRPr="006B1A1A">
        <w:t>($</w:t>
      </w:r>
      <w:r w:rsidR="00554DFB">
        <w:t xml:space="preserve">' 000 </w:t>
      </w:r>
      <w:r w:rsidR="006B1A1A" w:rsidRPr="006B1A1A">
        <w:t>nominal)</w:t>
      </w:r>
    </w:p>
    <w:tbl>
      <w:tblPr>
        <w:tblStyle w:val="AERtable-numbers"/>
        <w:tblW w:w="8755" w:type="dxa"/>
        <w:tblLayout w:type="fixed"/>
        <w:tblLook w:val="04A0" w:firstRow="1" w:lastRow="0" w:firstColumn="1" w:lastColumn="0" w:noHBand="0" w:noVBand="1"/>
      </w:tblPr>
      <w:tblGrid>
        <w:gridCol w:w="1384"/>
        <w:gridCol w:w="1842"/>
        <w:gridCol w:w="1843"/>
        <w:gridCol w:w="1843"/>
        <w:gridCol w:w="1843"/>
      </w:tblGrid>
      <w:tr w:rsidR="006B1A1A" w:rsidTr="00264F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6B1A1A" w:rsidRPr="006B1A1A" w:rsidRDefault="006B1A1A" w:rsidP="006B1A1A">
            <w:pPr>
              <w:pStyle w:val="AERtabletextleft"/>
            </w:pPr>
            <w:r w:rsidRPr="006B1A1A">
              <w:t>DNSP</w:t>
            </w:r>
          </w:p>
        </w:tc>
        <w:tc>
          <w:tcPr>
            <w:tcW w:w="1842" w:type="dxa"/>
          </w:tcPr>
          <w:p w:rsidR="006B1A1A" w:rsidRPr="006B1A1A" w:rsidRDefault="006B1A1A" w:rsidP="006B1A1A">
            <w:pPr>
              <w:pStyle w:val="AERtabletextright"/>
              <w:cnfStyle w:val="100000000000" w:firstRow="1" w:lastRow="0" w:firstColumn="0" w:lastColumn="0" w:oddVBand="0" w:evenVBand="0" w:oddHBand="0" w:evenHBand="0" w:firstRowFirstColumn="0" w:firstRowLastColumn="0" w:lastRowFirstColumn="0" w:lastRowLastColumn="0"/>
            </w:pPr>
            <w:r w:rsidRPr="006B1A1A">
              <w:t xml:space="preserve">Total DMIA Allowance </w:t>
            </w:r>
          </w:p>
        </w:tc>
        <w:tc>
          <w:tcPr>
            <w:tcW w:w="1843" w:type="dxa"/>
          </w:tcPr>
          <w:p w:rsidR="006B1A1A" w:rsidRPr="006B1A1A" w:rsidRDefault="006B1A1A" w:rsidP="006B1A1A">
            <w:pPr>
              <w:pStyle w:val="AERtabletextright"/>
              <w:cnfStyle w:val="100000000000" w:firstRow="1" w:lastRow="0" w:firstColumn="0" w:lastColumn="0" w:oddVBand="0" w:evenVBand="0" w:oddHBand="0" w:evenHBand="0" w:firstRowFirstColumn="0" w:firstRowLastColumn="0" w:lastRowFirstColumn="0" w:lastRowLastColumn="0"/>
            </w:pPr>
            <w:r w:rsidRPr="006B1A1A">
              <w:t xml:space="preserve">DMIA approved </w:t>
            </w:r>
            <w:r w:rsidRPr="006B1A1A">
              <w:br/>
              <w:t>to date</w:t>
            </w:r>
          </w:p>
        </w:tc>
        <w:tc>
          <w:tcPr>
            <w:tcW w:w="1843" w:type="dxa"/>
          </w:tcPr>
          <w:p w:rsidR="006B1A1A" w:rsidRPr="006B1A1A" w:rsidRDefault="006B1A1A" w:rsidP="006B1A1A">
            <w:pPr>
              <w:pStyle w:val="AERtabletextright"/>
              <w:cnfStyle w:val="100000000000" w:firstRow="1" w:lastRow="0" w:firstColumn="0" w:lastColumn="0" w:oddVBand="0" w:evenVBand="0" w:oddHBand="0" w:evenHBand="0" w:firstRowFirstColumn="0" w:firstRowLastColumn="0" w:lastRowFirstColumn="0" w:lastRowLastColumn="0"/>
            </w:pPr>
            <w:r w:rsidRPr="006B1A1A">
              <w:t>DMIA remaining for the period</w:t>
            </w:r>
          </w:p>
        </w:tc>
        <w:tc>
          <w:tcPr>
            <w:tcW w:w="1843" w:type="dxa"/>
          </w:tcPr>
          <w:p w:rsidR="006B1A1A" w:rsidRPr="006B1A1A" w:rsidRDefault="006B1A1A" w:rsidP="006B1A1A">
            <w:pPr>
              <w:pStyle w:val="AERtabletextleft"/>
              <w:cnfStyle w:val="100000000000" w:firstRow="1" w:lastRow="0" w:firstColumn="0" w:lastColumn="0" w:oddVBand="0" w:evenVBand="0" w:oddHBand="0" w:evenHBand="0" w:firstRowFirstColumn="0" w:firstRowLastColumn="0" w:lastRowFirstColumn="0" w:lastRowLastColumn="0"/>
            </w:pPr>
            <w:r w:rsidRPr="006B1A1A">
              <w:t>Proportion of approved DMIA spent (%)</w:t>
            </w:r>
          </w:p>
        </w:tc>
      </w:tr>
      <w:tr w:rsidR="00C8071E" w:rsidTr="00264F41">
        <w:tc>
          <w:tcPr>
            <w:cnfStyle w:val="001000000000" w:firstRow="0" w:lastRow="0" w:firstColumn="1" w:lastColumn="0" w:oddVBand="0" w:evenVBand="0" w:oddHBand="0" w:evenHBand="0" w:firstRowFirstColumn="0" w:firstRowLastColumn="0" w:lastRowFirstColumn="0" w:lastRowLastColumn="0"/>
            <w:tcW w:w="1384" w:type="dxa"/>
            <w:vAlign w:val="top"/>
          </w:tcPr>
          <w:p w:rsidR="00C8071E" w:rsidRPr="00C8071E" w:rsidRDefault="00C8071E" w:rsidP="00C8071E">
            <w:r w:rsidRPr="00C8071E">
              <w:t>Energex</w:t>
            </w:r>
          </w:p>
        </w:tc>
        <w:tc>
          <w:tcPr>
            <w:tcW w:w="1842" w:type="dxa"/>
            <w:vAlign w:val="top"/>
          </w:tcPr>
          <w:p w:rsidR="00C8071E" w:rsidRPr="00C8071E" w:rsidRDefault="00C8071E" w:rsidP="00C8071E">
            <w:pPr>
              <w:cnfStyle w:val="000000000000" w:firstRow="0" w:lastRow="0" w:firstColumn="0" w:lastColumn="0" w:oddVBand="0" w:evenVBand="0" w:oddHBand="0" w:evenHBand="0" w:firstRowFirstColumn="0" w:firstRowLastColumn="0" w:lastRowFirstColumn="0" w:lastRowLastColumn="0"/>
            </w:pPr>
            <w:r w:rsidRPr="00C8071E">
              <w:t>4 917.0</w:t>
            </w:r>
          </w:p>
        </w:tc>
        <w:tc>
          <w:tcPr>
            <w:tcW w:w="1843" w:type="dxa"/>
            <w:vAlign w:val="top"/>
          </w:tcPr>
          <w:p w:rsidR="00C8071E" w:rsidRPr="00C8071E" w:rsidRDefault="00C8071E" w:rsidP="00C8071E">
            <w:pPr>
              <w:cnfStyle w:val="000000000000" w:firstRow="0" w:lastRow="0" w:firstColumn="0" w:lastColumn="0" w:oddVBand="0" w:evenVBand="0" w:oddHBand="0" w:evenHBand="0" w:firstRowFirstColumn="0" w:firstRowLastColumn="0" w:lastRowFirstColumn="0" w:lastRowLastColumn="0"/>
            </w:pPr>
            <w:r w:rsidRPr="00C8071E">
              <w:t xml:space="preserve"> 1 291.2 </w:t>
            </w:r>
          </w:p>
        </w:tc>
        <w:tc>
          <w:tcPr>
            <w:tcW w:w="1843" w:type="dxa"/>
            <w:vAlign w:val="top"/>
          </w:tcPr>
          <w:p w:rsidR="00C8071E" w:rsidRPr="00C8071E" w:rsidRDefault="00C8071E" w:rsidP="00C8071E">
            <w:pPr>
              <w:cnfStyle w:val="000000000000" w:firstRow="0" w:lastRow="0" w:firstColumn="0" w:lastColumn="0" w:oddVBand="0" w:evenVBand="0" w:oddHBand="0" w:evenHBand="0" w:firstRowFirstColumn="0" w:firstRowLastColumn="0" w:lastRowFirstColumn="0" w:lastRowLastColumn="0"/>
            </w:pPr>
            <w:r w:rsidRPr="00C8071E">
              <w:t xml:space="preserve"> 3 625.9 </w:t>
            </w:r>
          </w:p>
        </w:tc>
        <w:tc>
          <w:tcPr>
            <w:tcW w:w="1843" w:type="dxa"/>
            <w:vAlign w:val="top"/>
          </w:tcPr>
          <w:p w:rsidR="00C8071E" w:rsidRPr="00C8071E" w:rsidRDefault="00C8071E" w:rsidP="00C8071E">
            <w:pPr>
              <w:cnfStyle w:val="000000000000" w:firstRow="0" w:lastRow="0" w:firstColumn="0" w:lastColumn="0" w:oddVBand="0" w:evenVBand="0" w:oddHBand="0" w:evenHBand="0" w:firstRowFirstColumn="0" w:firstRowLastColumn="0" w:lastRowFirstColumn="0" w:lastRowLastColumn="0"/>
            </w:pPr>
            <w:r w:rsidRPr="00C8071E">
              <w:t>26%</w:t>
            </w:r>
          </w:p>
        </w:tc>
      </w:tr>
      <w:tr w:rsidR="00C8071E" w:rsidTr="00264F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Align w:val="top"/>
          </w:tcPr>
          <w:p w:rsidR="00C8071E" w:rsidRPr="00C8071E" w:rsidRDefault="00C8071E" w:rsidP="00C8071E">
            <w:r w:rsidRPr="00C8071E">
              <w:t>Ergon Energy</w:t>
            </w:r>
          </w:p>
        </w:tc>
        <w:tc>
          <w:tcPr>
            <w:tcW w:w="1842" w:type="dxa"/>
            <w:vAlign w:val="top"/>
          </w:tcPr>
          <w:p w:rsidR="00C8071E" w:rsidRPr="00C8071E" w:rsidRDefault="00C8071E" w:rsidP="00C8071E">
            <w:pPr>
              <w:cnfStyle w:val="000000010000" w:firstRow="0" w:lastRow="0" w:firstColumn="0" w:lastColumn="0" w:oddVBand="0" w:evenVBand="0" w:oddHBand="0" w:evenHBand="1" w:firstRowFirstColumn="0" w:firstRowLastColumn="0" w:lastRowFirstColumn="0" w:lastRowLastColumn="0"/>
            </w:pPr>
            <w:r w:rsidRPr="00C8071E">
              <w:t>5 300.7</w:t>
            </w:r>
          </w:p>
        </w:tc>
        <w:tc>
          <w:tcPr>
            <w:tcW w:w="1843" w:type="dxa"/>
            <w:vAlign w:val="top"/>
          </w:tcPr>
          <w:p w:rsidR="00C8071E" w:rsidRPr="00C8071E" w:rsidRDefault="00C8071E" w:rsidP="00C8071E">
            <w:pPr>
              <w:cnfStyle w:val="000000010000" w:firstRow="0" w:lastRow="0" w:firstColumn="0" w:lastColumn="0" w:oddVBand="0" w:evenVBand="0" w:oddHBand="0" w:evenHBand="1" w:firstRowFirstColumn="0" w:firstRowLastColumn="0" w:lastRowFirstColumn="0" w:lastRowLastColumn="0"/>
            </w:pPr>
            <w:r w:rsidRPr="00C8071E">
              <w:t xml:space="preserve"> 3 477.5 </w:t>
            </w:r>
          </w:p>
        </w:tc>
        <w:tc>
          <w:tcPr>
            <w:tcW w:w="1843" w:type="dxa"/>
            <w:vAlign w:val="top"/>
          </w:tcPr>
          <w:p w:rsidR="00C8071E" w:rsidRPr="00C8071E" w:rsidRDefault="00C8071E" w:rsidP="00C8071E">
            <w:pPr>
              <w:cnfStyle w:val="000000010000" w:firstRow="0" w:lastRow="0" w:firstColumn="0" w:lastColumn="0" w:oddVBand="0" w:evenVBand="0" w:oddHBand="0" w:evenHBand="1" w:firstRowFirstColumn="0" w:firstRowLastColumn="0" w:lastRowFirstColumn="0" w:lastRowLastColumn="0"/>
            </w:pPr>
            <w:r w:rsidRPr="00C8071E">
              <w:t xml:space="preserve"> 1 823.2 </w:t>
            </w:r>
          </w:p>
        </w:tc>
        <w:tc>
          <w:tcPr>
            <w:tcW w:w="1843" w:type="dxa"/>
            <w:vAlign w:val="top"/>
          </w:tcPr>
          <w:p w:rsidR="00C8071E" w:rsidRPr="00C8071E" w:rsidRDefault="00C8071E" w:rsidP="00C8071E">
            <w:pPr>
              <w:cnfStyle w:val="000000010000" w:firstRow="0" w:lastRow="0" w:firstColumn="0" w:lastColumn="0" w:oddVBand="0" w:evenVBand="0" w:oddHBand="0" w:evenHBand="1" w:firstRowFirstColumn="0" w:firstRowLastColumn="0" w:lastRowFirstColumn="0" w:lastRowLastColumn="0"/>
            </w:pPr>
            <w:r w:rsidRPr="00C8071E">
              <w:t>66%</w:t>
            </w:r>
          </w:p>
        </w:tc>
      </w:tr>
      <w:tr w:rsidR="00C8071E" w:rsidTr="00264F41">
        <w:tc>
          <w:tcPr>
            <w:cnfStyle w:val="001000000000" w:firstRow="0" w:lastRow="0" w:firstColumn="1" w:lastColumn="0" w:oddVBand="0" w:evenVBand="0" w:oddHBand="0" w:evenHBand="0" w:firstRowFirstColumn="0" w:firstRowLastColumn="0" w:lastRowFirstColumn="0" w:lastRowLastColumn="0"/>
            <w:tcW w:w="1384" w:type="dxa"/>
            <w:vAlign w:val="top"/>
          </w:tcPr>
          <w:p w:rsidR="00C8071E" w:rsidRPr="00C8071E" w:rsidRDefault="00C8071E" w:rsidP="00C8071E">
            <w:r w:rsidRPr="00C8071E">
              <w:t>SA Power Networks</w:t>
            </w:r>
          </w:p>
        </w:tc>
        <w:tc>
          <w:tcPr>
            <w:tcW w:w="1842" w:type="dxa"/>
            <w:vAlign w:val="top"/>
          </w:tcPr>
          <w:p w:rsidR="00C8071E" w:rsidRPr="00C8071E" w:rsidRDefault="00C8071E" w:rsidP="00C8071E">
            <w:pPr>
              <w:cnfStyle w:val="000000000000" w:firstRow="0" w:lastRow="0" w:firstColumn="0" w:lastColumn="0" w:oddVBand="0" w:evenVBand="0" w:oddHBand="0" w:evenHBand="0" w:firstRowFirstColumn="0" w:firstRowLastColumn="0" w:lastRowFirstColumn="0" w:lastRowLastColumn="0"/>
            </w:pPr>
            <w:r w:rsidRPr="00C8071E">
              <w:t>3</w:t>
            </w:r>
            <w:r w:rsidR="003D7F1F">
              <w:t xml:space="preserve"> </w:t>
            </w:r>
            <w:r w:rsidRPr="00C8071E">
              <w:t>180.4</w:t>
            </w:r>
          </w:p>
        </w:tc>
        <w:tc>
          <w:tcPr>
            <w:tcW w:w="1843" w:type="dxa"/>
            <w:vAlign w:val="top"/>
          </w:tcPr>
          <w:p w:rsidR="00C8071E" w:rsidRPr="00C8071E" w:rsidRDefault="00C8071E" w:rsidP="00C8071E">
            <w:pPr>
              <w:cnfStyle w:val="000000000000" w:firstRow="0" w:lastRow="0" w:firstColumn="0" w:lastColumn="0" w:oddVBand="0" w:evenVBand="0" w:oddHBand="0" w:evenHBand="0" w:firstRowFirstColumn="0" w:firstRowLastColumn="0" w:lastRowFirstColumn="0" w:lastRowLastColumn="0"/>
            </w:pPr>
            <w:r w:rsidRPr="00C8071E">
              <w:t xml:space="preserve"> 3 180.4 </w:t>
            </w:r>
          </w:p>
        </w:tc>
        <w:tc>
          <w:tcPr>
            <w:tcW w:w="1843" w:type="dxa"/>
            <w:vAlign w:val="top"/>
          </w:tcPr>
          <w:p w:rsidR="00C8071E" w:rsidRPr="00C8071E" w:rsidRDefault="00C8071E" w:rsidP="00C8071E">
            <w:pPr>
              <w:cnfStyle w:val="000000000000" w:firstRow="0" w:lastRow="0" w:firstColumn="0" w:lastColumn="0" w:oddVBand="0" w:evenVBand="0" w:oddHBand="0" w:evenHBand="0" w:firstRowFirstColumn="0" w:firstRowLastColumn="0" w:lastRowFirstColumn="0" w:lastRowLastColumn="0"/>
            </w:pPr>
            <w:r w:rsidRPr="00C8071E">
              <w:t xml:space="preserve"> -   </w:t>
            </w:r>
          </w:p>
        </w:tc>
        <w:tc>
          <w:tcPr>
            <w:tcW w:w="1843" w:type="dxa"/>
            <w:vAlign w:val="top"/>
          </w:tcPr>
          <w:p w:rsidR="00C8071E" w:rsidRPr="00C8071E" w:rsidRDefault="00C8071E" w:rsidP="00C8071E">
            <w:pPr>
              <w:cnfStyle w:val="000000000000" w:firstRow="0" w:lastRow="0" w:firstColumn="0" w:lastColumn="0" w:oddVBand="0" w:evenVBand="0" w:oddHBand="0" w:evenHBand="0" w:firstRowFirstColumn="0" w:firstRowLastColumn="0" w:lastRowFirstColumn="0" w:lastRowLastColumn="0"/>
            </w:pPr>
            <w:r w:rsidRPr="00C8071E">
              <w:t>100%</w:t>
            </w:r>
          </w:p>
        </w:tc>
      </w:tr>
      <w:tr w:rsidR="00C8071E" w:rsidTr="00264F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Align w:val="top"/>
          </w:tcPr>
          <w:p w:rsidR="00C8071E" w:rsidRPr="00C8071E" w:rsidRDefault="00C8071E" w:rsidP="00C8071E">
            <w:pPr>
              <w:rPr>
                <w:rStyle w:val="Strong"/>
              </w:rPr>
            </w:pPr>
            <w:r w:rsidRPr="00C8071E">
              <w:rPr>
                <w:rStyle w:val="Strong"/>
              </w:rPr>
              <w:t>TOTAL</w:t>
            </w:r>
          </w:p>
        </w:tc>
        <w:tc>
          <w:tcPr>
            <w:tcW w:w="1842" w:type="dxa"/>
            <w:vAlign w:val="top"/>
          </w:tcPr>
          <w:p w:rsidR="00C8071E" w:rsidRPr="00C8071E" w:rsidRDefault="00C8071E" w:rsidP="00C8071E">
            <w:pPr>
              <w:cnfStyle w:val="000000010000" w:firstRow="0" w:lastRow="0" w:firstColumn="0" w:lastColumn="0" w:oddVBand="0" w:evenVBand="0" w:oddHBand="0" w:evenHBand="1" w:firstRowFirstColumn="0" w:firstRowLastColumn="0" w:lastRowFirstColumn="0" w:lastRowLastColumn="0"/>
            </w:pPr>
            <w:r w:rsidRPr="00C8071E">
              <w:t>13 398.2</w:t>
            </w:r>
          </w:p>
        </w:tc>
        <w:tc>
          <w:tcPr>
            <w:tcW w:w="1843" w:type="dxa"/>
            <w:vAlign w:val="top"/>
          </w:tcPr>
          <w:p w:rsidR="00C8071E" w:rsidRPr="00C8071E" w:rsidRDefault="00C8071E" w:rsidP="00C8071E">
            <w:pPr>
              <w:cnfStyle w:val="000000010000" w:firstRow="0" w:lastRow="0" w:firstColumn="0" w:lastColumn="0" w:oddVBand="0" w:evenVBand="0" w:oddHBand="0" w:evenHBand="1" w:firstRowFirstColumn="0" w:firstRowLastColumn="0" w:lastRowFirstColumn="0" w:lastRowLastColumn="0"/>
            </w:pPr>
            <w:r w:rsidRPr="00C8071E">
              <w:t xml:space="preserve"> 7 949.1 </w:t>
            </w:r>
          </w:p>
        </w:tc>
        <w:tc>
          <w:tcPr>
            <w:tcW w:w="1843" w:type="dxa"/>
            <w:vAlign w:val="top"/>
          </w:tcPr>
          <w:p w:rsidR="00C8071E" w:rsidRPr="00C8071E" w:rsidRDefault="00C8071E" w:rsidP="00C8071E">
            <w:pPr>
              <w:cnfStyle w:val="000000010000" w:firstRow="0" w:lastRow="0" w:firstColumn="0" w:lastColumn="0" w:oddVBand="0" w:evenVBand="0" w:oddHBand="0" w:evenHBand="1" w:firstRowFirstColumn="0" w:firstRowLastColumn="0" w:lastRowFirstColumn="0" w:lastRowLastColumn="0"/>
            </w:pPr>
            <w:r w:rsidRPr="00C8071E">
              <w:t xml:space="preserve"> 5 449.1 </w:t>
            </w:r>
          </w:p>
        </w:tc>
        <w:tc>
          <w:tcPr>
            <w:tcW w:w="1843" w:type="dxa"/>
            <w:vAlign w:val="top"/>
          </w:tcPr>
          <w:p w:rsidR="00C8071E" w:rsidRPr="00C8071E" w:rsidRDefault="00C8071E" w:rsidP="00C8071E">
            <w:pPr>
              <w:cnfStyle w:val="000000010000" w:firstRow="0" w:lastRow="0" w:firstColumn="0" w:lastColumn="0" w:oddVBand="0" w:evenVBand="0" w:oddHBand="0" w:evenHBand="1" w:firstRowFirstColumn="0" w:firstRowLastColumn="0" w:lastRowFirstColumn="0" w:lastRowLastColumn="0"/>
            </w:pPr>
            <w:r w:rsidRPr="00C8071E">
              <w:t>59%</w:t>
            </w:r>
          </w:p>
        </w:tc>
      </w:tr>
    </w:tbl>
    <w:p w:rsidR="006B1A1A" w:rsidRPr="006B1A1A" w:rsidRDefault="006B1A1A" w:rsidP="006B1A1A">
      <w:pPr>
        <w:pStyle w:val="AERtablesource"/>
      </w:pPr>
      <w:r w:rsidRPr="006B1A1A">
        <w:t>Source:</w:t>
      </w:r>
      <w:r w:rsidRPr="006B1A1A">
        <w:tab/>
        <w:t xml:space="preserve">AER analysis and DMIA </w:t>
      </w:r>
      <w:r w:rsidR="00F6148F">
        <w:t>r</w:t>
      </w:r>
      <w:r w:rsidRPr="006B1A1A">
        <w:t xml:space="preserve">eports submitted by DNSPs; </w:t>
      </w:r>
      <w:r w:rsidR="00BC1729">
        <w:t>numbers</w:t>
      </w:r>
      <w:r w:rsidRPr="006B1A1A">
        <w:t xml:space="preserve"> may not be exact due to rounding.   </w:t>
      </w:r>
    </w:p>
    <w:p w:rsidR="00CE5F1D" w:rsidRPr="00CE5F1D" w:rsidRDefault="00DA4E0A" w:rsidP="00EE1C73">
      <w:pPr>
        <w:pStyle w:val="Caption"/>
      </w:pPr>
      <w:r>
        <w:t xml:space="preserve">Table </w:t>
      </w:r>
      <w:r w:rsidR="00BF480E">
        <w:fldChar w:fldCharType="begin"/>
      </w:r>
      <w:r w:rsidR="00BF480E">
        <w:instrText xml:space="preserve"> SEQ Table \* ARABIC </w:instrText>
      </w:r>
      <w:r w:rsidR="00BF480E">
        <w:fldChar w:fldCharType="separate"/>
      </w:r>
      <w:r w:rsidR="002D1097">
        <w:rPr>
          <w:noProof/>
        </w:rPr>
        <w:t>3</w:t>
      </w:r>
      <w:r w:rsidR="00BF480E">
        <w:rPr>
          <w:noProof/>
        </w:rPr>
        <w:fldChar w:fldCharType="end"/>
      </w:r>
      <w:r>
        <w:tab/>
      </w:r>
      <w:r w:rsidR="00CE5F1D" w:rsidRPr="00CE5F1D">
        <w:t xml:space="preserve">Summaries of DMIA expenditures to date for </w:t>
      </w:r>
      <w:r w:rsidR="00CE5F1D">
        <w:t>VIC</w:t>
      </w:r>
      <w:r w:rsidR="00CE5F1D" w:rsidRPr="00CE5F1D">
        <w:t xml:space="preserve"> </w:t>
      </w:r>
      <w:r w:rsidR="00554DFB">
        <w:t xml:space="preserve">DNSPs </w:t>
      </w:r>
      <w:r w:rsidR="00CE5F1D" w:rsidRPr="00CE5F1D">
        <w:t xml:space="preserve">for the 2011 to </w:t>
      </w:r>
      <w:r w:rsidR="00CE5F1D">
        <w:t>20</w:t>
      </w:r>
      <w:r w:rsidR="00CE5F1D" w:rsidRPr="00CE5F1D">
        <w:t>15 regulatory control period ($</w:t>
      </w:r>
      <w:r w:rsidR="00554DFB">
        <w:t xml:space="preserve">' 000 </w:t>
      </w:r>
      <w:r w:rsidR="00CE5F1D" w:rsidRPr="00CE5F1D">
        <w:t>nominal)</w:t>
      </w:r>
    </w:p>
    <w:tbl>
      <w:tblPr>
        <w:tblStyle w:val="AERtable-numbers"/>
        <w:tblW w:w="8755" w:type="dxa"/>
        <w:tblLayout w:type="fixed"/>
        <w:tblLook w:val="04A0" w:firstRow="1" w:lastRow="0" w:firstColumn="1" w:lastColumn="0" w:noHBand="0" w:noVBand="1"/>
      </w:tblPr>
      <w:tblGrid>
        <w:gridCol w:w="1294"/>
        <w:gridCol w:w="1492"/>
        <w:gridCol w:w="1492"/>
        <w:gridCol w:w="1492"/>
        <w:gridCol w:w="1492"/>
        <w:gridCol w:w="1493"/>
      </w:tblGrid>
      <w:tr w:rsidR="00D22968" w:rsidTr="00264F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tcPr>
          <w:p w:rsidR="00D22968" w:rsidRPr="00CE5F1D" w:rsidRDefault="00D22968" w:rsidP="00CE5F1D">
            <w:pPr>
              <w:pStyle w:val="AERtabletextleft"/>
            </w:pPr>
            <w:r w:rsidRPr="00CE5F1D">
              <w:t>DNSP</w:t>
            </w:r>
          </w:p>
        </w:tc>
        <w:tc>
          <w:tcPr>
            <w:tcW w:w="1492" w:type="dxa"/>
          </w:tcPr>
          <w:p w:rsidR="00D22968" w:rsidRPr="00CE5F1D" w:rsidRDefault="00D22968">
            <w:pPr>
              <w:pStyle w:val="AERtabletextright"/>
              <w:cnfStyle w:val="100000000000" w:firstRow="1" w:lastRow="0" w:firstColumn="0" w:lastColumn="0" w:oddVBand="0" w:evenVBand="0" w:oddHBand="0" w:evenHBand="0" w:firstRowFirstColumn="0" w:firstRowLastColumn="0" w:lastRowFirstColumn="0" w:lastRowLastColumn="0"/>
            </w:pPr>
            <w:r>
              <w:t>DMIA approved for 2014</w:t>
            </w:r>
          </w:p>
        </w:tc>
        <w:tc>
          <w:tcPr>
            <w:tcW w:w="1492" w:type="dxa"/>
          </w:tcPr>
          <w:p w:rsidR="00D22968" w:rsidRPr="00CE5F1D" w:rsidRDefault="00D22968" w:rsidP="00CE5F1D">
            <w:pPr>
              <w:pStyle w:val="AERtabletextright"/>
              <w:cnfStyle w:val="100000000000" w:firstRow="1" w:lastRow="0" w:firstColumn="0" w:lastColumn="0" w:oddVBand="0" w:evenVBand="0" w:oddHBand="0" w:evenHBand="0" w:firstRowFirstColumn="0" w:firstRowLastColumn="0" w:lastRowFirstColumn="0" w:lastRowLastColumn="0"/>
            </w:pPr>
            <w:r w:rsidRPr="00CE5F1D">
              <w:t xml:space="preserve">Total DMIA Allowance </w:t>
            </w:r>
          </w:p>
        </w:tc>
        <w:tc>
          <w:tcPr>
            <w:tcW w:w="1492" w:type="dxa"/>
          </w:tcPr>
          <w:p w:rsidR="00D22968" w:rsidRPr="00CE5F1D" w:rsidRDefault="00D22968" w:rsidP="00CE5F1D">
            <w:pPr>
              <w:pStyle w:val="AERtabletextright"/>
              <w:cnfStyle w:val="100000000000" w:firstRow="1" w:lastRow="0" w:firstColumn="0" w:lastColumn="0" w:oddVBand="0" w:evenVBand="0" w:oddHBand="0" w:evenHBand="0" w:firstRowFirstColumn="0" w:firstRowLastColumn="0" w:lastRowFirstColumn="0" w:lastRowLastColumn="0"/>
            </w:pPr>
            <w:r w:rsidRPr="00CE5F1D">
              <w:t xml:space="preserve">DMIA approved </w:t>
            </w:r>
            <w:r w:rsidRPr="00CE5F1D">
              <w:br/>
              <w:t>to date</w:t>
            </w:r>
          </w:p>
        </w:tc>
        <w:tc>
          <w:tcPr>
            <w:tcW w:w="1492" w:type="dxa"/>
          </w:tcPr>
          <w:p w:rsidR="00D22968" w:rsidRPr="00CE5F1D" w:rsidRDefault="00D22968" w:rsidP="00CE5F1D">
            <w:pPr>
              <w:pStyle w:val="AERtabletextright"/>
              <w:cnfStyle w:val="100000000000" w:firstRow="1" w:lastRow="0" w:firstColumn="0" w:lastColumn="0" w:oddVBand="0" w:evenVBand="0" w:oddHBand="0" w:evenHBand="0" w:firstRowFirstColumn="0" w:firstRowLastColumn="0" w:lastRowFirstColumn="0" w:lastRowLastColumn="0"/>
            </w:pPr>
            <w:r w:rsidRPr="00CE5F1D">
              <w:t>DMIA remaining for the period</w:t>
            </w:r>
          </w:p>
        </w:tc>
        <w:tc>
          <w:tcPr>
            <w:tcW w:w="1493" w:type="dxa"/>
          </w:tcPr>
          <w:p w:rsidR="00D22968" w:rsidRPr="00CE5F1D" w:rsidRDefault="00D22968" w:rsidP="00CE5F1D">
            <w:pPr>
              <w:pStyle w:val="AERtabletextleft"/>
              <w:cnfStyle w:val="100000000000" w:firstRow="1" w:lastRow="0" w:firstColumn="0" w:lastColumn="0" w:oddVBand="0" w:evenVBand="0" w:oddHBand="0" w:evenHBand="0" w:firstRowFirstColumn="0" w:firstRowLastColumn="0" w:lastRowFirstColumn="0" w:lastRowLastColumn="0"/>
            </w:pPr>
            <w:r w:rsidRPr="00CE5F1D">
              <w:t>Proportion of approved DMIA spent (%)</w:t>
            </w:r>
          </w:p>
        </w:tc>
      </w:tr>
      <w:tr w:rsidR="00D22968" w:rsidTr="00264F41">
        <w:tc>
          <w:tcPr>
            <w:cnfStyle w:val="001000000000" w:firstRow="0" w:lastRow="0" w:firstColumn="1" w:lastColumn="0" w:oddVBand="0" w:evenVBand="0" w:oddHBand="0" w:evenHBand="0" w:firstRowFirstColumn="0" w:firstRowLastColumn="0" w:lastRowFirstColumn="0" w:lastRowLastColumn="0"/>
            <w:tcW w:w="1294" w:type="dxa"/>
            <w:vAlign w:val="top"/>
          </w:tcPr>
          <w:p w:rsidR="00D22968" w:rsidRPr="00D22968" w:rsidRDefault="00D22968" w:rsidP="00D22968">
            <w:r w:rsidRPr="00D22968">
              <w:t>AusNet Services</w:t>
            </w:r>
          </w:p>
        </w:tc>
        <w:tc>
          <w:tcPr>
            <w:tcW w:w="1492" w:type="dxa"/>
            <w:vAlign w:val="top"/>
          </w:tcPr>
          <w:p w:rsidR="00D22968" w:rsidRPr="00D22968" w:rsidRDefault="00D22968" w:rsidP="00D22968">
            <w:pPr>
              <w:cnfStyle w:val="000000000000" w:firstRow="0" w:lastRow="0" w:firstColumn="0" w:lastColumn="0" w:oddVBand="0" w:evenVBand="0" w:oddHBand="0" w:evenHBand="0" w:firstRowFirstColumn="0" w:firstRowLastColumn="0" w:lastRowFirstColumn="0" w:lastRowLastColumn="0"/>
            </w:pPr>
            <w:r>
              <w:t xml:space="preserve">2 </w:t>
            </w:r>
            <w:r w:rsidRPr="00D22968">
              <w:t>633</w:t>
            </w:r>
            <w:r>
              <w:t>.</w:t>
            </w:r>
            <w:r w:rsidRPr="00D22968">
              <w:t>9</w:t>
            </w:r>
          </w:p>
        </w:tc>
        <w:tc>
          <w:tcPr>
            <w:tcW w:w="1492" w:type="dxa"/>
            <w:vAlign w:val="top"/>
          </w:tcPr>
          <w:p w:rsidR="00D22968" w:rsidRPr="00D22968" w:rsidRDefault="00D22968" w:rsidP="00D22968">
            <w:pPr>
              <w:cnfStyle w:val="000000000000" w:firstRow="0" w:lastRow="0" w:firstColumn="0" w:lastColumn="0" w:oddVBand="0" w:evenVBand="0" w:oddHBand="0" w:evenHBand="0" w:firstRowFirstColumn="0" w:firstRowLastColumn="0" w:lastRowFirstColumn="0" w:lastRowLastColumn="0"/>
            </w:pPr>
            <w:r w:rsidRPr="00D22968">
              <w:t xml:space="preserve"> 3 180</w:t>
            </w:r>
            <w:r>
              <w:t>.</w:t>
            </w:r>
            <w:r w:rsidRPr="00D22968">
              <w:t xml:space="preserve"> </w:t>
            </w:r>
            <w:r>
              <w:t>6</w:t>
            </w:r>
            <w:r w:rsidRPr="00D22968">
              <w:t xml:space="preserve"> </w:t>
            </w:r>
          </w:p>
        </w:tc>
        <w:tc>
          <w:tcPr>
            <w:tcW w:w="1492" w:type="dxa"/>
            <w:vAlign w:val="top"/>
          </w:tcPr>
          <w:p w:rsidR="00D22968" w:rsidRPr="00D22968" w:rsidRDefault="00D22968" w:rsidP="00D22968">
            <w:pPr>
              <w:cnfStyle w:val="000000000000" w:firstRow="0" w:lastRow="0" w:firstColumn="0" w:lastColumn="0" w:oddVBand="0" w:evenVBand="0" w:oddHBand="0" w:evenHBand="0" w:firstRowFirstColumn="0" w:firstRowLastColumn="0" w:lastRowFirstColumn="0" w:lastRowLastColumn="0"/>
            </w:pPr>
            <w:r w:rsidRPr="00D22968">
              <w:t xml:space="preserve"> 3 193</w:t>
            </w:r>
            <w:r w:rsidR="00C330AE">
              <w:t>.2</w:t>
            </w:r>
            <w:r w:rsidRPr="00D22968">
              <w:t xml:space="preserve"> </w:t>
            </w:r>
          </w:p>
        </w:tc>
        <w:tc>
          <w:tcPr>
            <w:tcW w:w="1492" w:type="dxa"/>
            <w:vAlign w:val="top"/>
          </w:tcPr>
          <w:p w:rsidR="00D22968" w:rsidRPr="00D22968" w:rsidRDefault="00D22968">
            <w:pPr>
              <w:cnfStyle w:val="000000000000" w:firstRow="0" w:lastRow="0" w:firstColumn="0" w:lastColumn="0" w:oddVBand="0" w:evenVBand="0" w:oddHBand="0" w:evenHBand="0" w:firstRowFirstColumn="0" w:firstRowLastColumn="0" w:lastRowFirstColumn="0" w:lastRowLastColumn="0"/>
            </w:pPr>
            <w:r w:rsidRPr="00D22968">
              <w:t>-12</w:t>
            </w:r>
            <w:r w:rsidR="00C330AE">
              <w:t>.</w:t>
            </w:r>
            <w:r w:rsidRPr="00D22968">
              <w:t xml:space="preserve">6 </w:t>
            </w:r>
          </w:p>
        </w:tc>
        <w:tc>
          <w:tcPr>
            <w:tcW w:w="1493" w:type="dxa"/>
            <w:vAlign w:val="top"/>
          </w:tcPr>
          <w:p w:rsidR="00D22968" w:rsidRPr="00D22968" w:rsidRDefault="00D22968" w:rsidP="00D22968">
            <w:pPr>
              <w:cnfStyle w:val="000000000000" w:firstRow="0" w:lastRow="0" w:firstColumn="0" w:lastColumn="0" w:oddVBand="0" w:evenVBand="0" w:oddHBand="0" w:evenHBand="0" w:firstRowFirstColumn="0" w:firstRowLastColumn="0" w:lastRowFirstColumn="0" w:lastRowLastColumn="0"/>
            </w:pPr>
            <w:r w:rsidRPr="00D22968">
              <w:t>100%</w:t>
            </w:r>
          </w:p>
        </w:tc>
      </w:tr>
      <w:tr w:rsidR="00D22968" w:rsidTr="00264F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vAlign w:val="top"/>
          </w:tcPr>
          <w:p w:rsidR="00D22968" w:rsidRPr="00D22968" w:rsidRDefault="00D22968" w:rsidP="00D22968">
            <w:r w:rsidRPr="00D22968">
              <w:t>CitiPower</w:t>
            </w:r>
          </w:p>
        </w:tc>
        <w:tc>
          <w:tcPr>
            <w:tcW w:w="1492" w:type="dxa"/>
            <w:vAlign w:val="top"/>
          </w:tcPr>
          <w:p w:rsidR="00D22968" w:rsidRPr="00D22968" w:rsidRDefault="00D22968" w:rsidP="00D22968">
            <w:pPr>
              <w:cnfStyle w:val="000000010000" w:firstRow="0" w:lastRow="0" w:firstColumn="0" w:lastColumn="0" w:oddVBand="0" w:evenVBand="0" w:oddHBand="0" w:evenHBand="1" w:firstRowFirstColumn="0" w:firstRowLastColumn="0" w:lastRowFirstColumn="0" w:lastRowLastColumn="0"/>
            </w:pPr>
            <w:r>
              <w:t xml:space="preserve"> 403.9</w:t>
            </w:r>
            <w:r w:rsidRPr="00D22968">
              <w:t xml:space="preserve"> </w:t>
            </w:r>
          </w:p>
        </w:tc>
        <w:tc>
          <w:tcPr>
            <w:tcW w:w="1492" w:type="dxa"/>
            <w:vAlign w:val="top"/>
          </w:tcPr>
          <w:p w:rsidR="00D22968" w:rsidRPr="00D22968" w:rsidRDefault="00D22968" w:rsidP="00D22968">
            <w:pPr>
              <w:cnfStyle w:val="000000010000" w:firstRow="0" w:lastRow="0" w:firstColumn="0" w:lastColumn="0" w:oddVBand="0" w:evenVBand="0" w:oddHBand="0" w:evenHBand="1" w:firstRowFirstColumn="0" w:firstRowLastColumn="0" w:lastRowFirstColumn="0" w:lastRowLastColumn="0"/>
            </w:pPr>
            <w:r w:rsidRPr="00D22968">
              <w:t xml:space="preserve"> 1 060</w:t>
            </w:r>
            <w:r>
              <w:t>.2</w:t>
            </w:r>
            <w:r w:rsidRPr="00D22968">
              <w:t xml:space="preserve"> </w:t>
            </w:r>
          </w:p>
        </w:tc>
        <w:tc>
          <w:tcPr>
            <w:tcW w:w="1492" w:type="dxa"/>
            <w:vAlign w:val="top"/>
          </w:tcPr>
          <w:p w:rsidR="00D22968" w:rsidRPr="00D22968" w:rsidRDefault="00D22968" w:rsidP="00D22968">
            <w:pPr>
              <w:cnfStyle w:val="000000010000" w:firstRow="0" w:lastRow="0" w:firstColumn="0" w:lastColumn="0" w:oddVBand="0" w:evenVBand="0" w:oddHBand="0" w:evenHBand="1" w:firstRowFirstColumn="0" w:firstRowLastColumn="0" w:lastRowFirstColumn="0" w:lastRowLastColumn="0"/>
            </w:pPr>
            <w:r w:rsidRPr="00D22968">
              <w:t xml:space="preserve"> 523</w:t>
            </w:r>
            <w:r w:rsidR="00C330AE">
              <w:t>.0</w:t>
            </w:r>
            <w:r w:rsidRPr="00D22968">
              <w:t xml:space="preserve"> </w:t>
            </w:r>
          </w:p>
        </w:tc>
        <w:tc>
          <w:tcPr>
            <w:tcW w:w="1492" w:type="dxa"/>
            <w:vAlign w:val="top"/>
          </w:tcPr>
          <w:p w:rsidR="00D22968" w:rsidRPr="00D22968" w:rsidRDefault="00D22968" w:rsidP="00D22968">
            <w:pPr>
              <w:cnfStyle w:val="000000010000" w:firstRow="0" w:lastRow="0" w:firstColumn="0" w:lastColumn="0" w:oddVBand="0" w:evenVBand="0" w:oddHBand="0" w:evenHBand="1" w:firstRowFirstColumn="0" w:firstRowLastColumn="0" w:lastRowFirstColumn="0" w:lastRowLastColumn="0"/>
            </w:pPr>
            <w:r w:rsidRPr="00D22968">
              <w:t xml:space="preserve"> 537</w:t>
            </w:r>
            <w:r w:rsidR="00C330AE">
              <w:t>.2</w:t>
            </w:r>
            <w:r w:rsidRPr="00D22968">
              <w:t xml:space="preserve"> </w:t>
            </w:r>
          </w:p>
        </w:tc>
        <w:tc>
          <w:tcPr>
            <w:tcW w:w="1493" w:type="dxa"/>
            <w:vAlign w:val="top"/>
          </w:tcPr>
          <w:p w:rsidR="00D22968" w:rsidRPr="00D22968" w:rsidRDefault="00D22968" w:rsidP="00D22968">
            <w:pPr>
              <w:cnfStyle w:val="000000010000" w:firstRow="0" w:lastRow="0" w:firstColumn="0" w:lastColumn="0" w:oddVBand="0" w:evenVBand="0" w:oddHBand="0" w:evenHBand="1" w:firstRowFirstColumn="0" w:firstRowLastColumn="0" w:lastRowFirstColumn="0" w:lastRowLastColumn="0"/>
            </w:pPr>
            <w:r w:rsidRPr="00D22968">
              <w:t>49%</w:t>
            </w:r>
          </w:p>
        </w:tc>
      </w:tr>
      <w:tr w:rsidR="00D22968" w:rsidTr="00264F41">
        <w:tc>
          <w:tcPr>
            <w:cnfStyle w:val="001000000000" w:firstRow="0" w:lastRow="0" w:firstColumn="1" w:lastColumn="0" w:oddVBand="0" w:evenVBand="0" w:oddHBand="0" w:evenHBand="0" w:firstRowFirstColumn="0" w:firstRowLastColumn="0" w:lastRowFirstColumn="0" w:lastRowLastColumn="0"/>
            <w:tcW w:w="1294" w:type="dxa"/>
            <w:vAlign w:val="top"/>
          </w:tcPr>
          <w:p w:rsidR="00D22968" w:rsidRPr="00D22968" w:rsidRDefault="00D22968" w:rsidP="00D22968">
            <w:r w:rsidRPr="00D22968">
              <w:t>Jemena</w:t>
            </w:r>
          </w:p>
        </w:tc>
        <w:tc>
          <w:tcPr>
            <w:tcW w:w="1492" w:type="dxa"/>
            <w:vAlign w:val="top"/>
          </w:tcPr>
          <w:p w:rsidR="00D22968" w:rsidRPr="00D22968" w:rsidRDefault="00D22968">
            <w:pPr>
              <w:cnfStyle w:val="000000000000" w:firstRow="0" w:lastRow="0" w:firstColumn="0" w:lastColumn="0" w:oddVBand="0" w:evenVBand="0" w:oddHBand="0" w:evenHBand="0" w:firstRowFirstColumn="0" w:firstRowLastColumn="0" w:lastRowFirstColumn="0" w:lastRowLastColumn="0"/>
            </w:pPr>
            <w:r>
              <w:t>63.9</w:t>
            </w:r>
          </w:p>
        </w:tc>
        <w:tc>
          <w:tcPr>
            <w:tcW w:w="1492" w:type="dxa"/>
            <w:vAlign w:val="top"/>
          </w:tcPr>
          <w:p w:rsidR="00D22968" w:rsidRPr="00D22968" w:rsidRDefault="00D22968" w:rsidP="00D22968">
            <w:pPr>
              <w:cnfStyle w:val="000000000000" w:firstRow="0" w:lastRow="0" w:firstColumn="0" w:lastColumn="0" w:oddVBand="0" w:evenVBand="0" w:oddHBand="0" w:evenHBand="0" w:firstRowFirstColumn="0" w:firstRowLastColumn="0" w:lastRowFirstColumn="0" w:lastRowLastColumn="0"/>
            </w:pPr>
            <w:r w:rsidRPr="00D22968">
              <w:t xml:space="preserve"> 1 060</w:t>
            </w:r>
            <w:r>
              <w:t>.2</w:t>
            </w:r>
            <w:r w:rsidRPr="00D22968">
              <w:t xml:space="preserve"> </w:t>
            </w:r>
          </w:p>
        </w:tc>
        <w:tc>
          <w:tcPr>
            <w:tcW w:w="1492" w:type="dxa"/>
            <w:vAlign w:val="top"/>
          </w:tcPr>
          <w:p w:rsidR="00D22968" w:rsidRPr="00D22968" w:rsidRDefault="00D22968" w:rsidP="00D22968">
            <w:pPr>
              <w:cnfStyle w:val="000000000000" w:firstRow="0" w:lastRow="0" w:firstColumn="0" w:lastColumn="0" w:oddVBand="0" w:evenVBand="0" w:oddHBand="0" w:evenHBand="0" w:firstRowFirstColumn="0" w:firstRowLastColumn="0" w:lastRowFirstColumn="0" w:lastRowLastColumn="0"/>
            </w:pPr>
            <w:r w:rsidRPr="00D22968">
              <w:t xml:space="preserve"> 803</w:t>
            </w:r>
            <w:r w:rsidR="00C330AE">
              <w:t>.6</w:t>
            </w:r>
            <w:r w:rsidRPr="00D22968">
              <w:t xml:space="preserve"> </w:t>
            </w:r>
          </w:p>
        </w:tc>
        <w:tc>
          <w:tcPr>
            <w:tcW w:w="1492" w:type="dxa"/>
            <w:vAlign w:val="top"/>
          </w:tcPr>
          <w:p w:rsidR="00D22968" w:rsidRPr="00D22968" w:rsidRDefault="00D22968" w:rsidP="00D22968">
            <w:pPr>
              <w:cnfStyle w:val="000000000000" w:firstRow="0" w:lastRow="0" w:firstColumn="0" w:lastColumn="0" w:oddVBand="0" w:evenVBand="0" w:oddHBand="0" w:evenHBand="0" w:firstRowFirstColumn="0" w:firstRowLastColumn="0" w:lastRowFirstColumn="0" w:lastRowLastColumn="0"/>
            </w:pPr>
            <w:r w:rsidRPr="00D22968">
              <w:t xml:space="preserve"> 256</w:t>
            </w:r>
            <w:r w:rsidR="00C330AE">
              <w:t>.6</w:t>
            </w:r>
            <w:r w:rsidRPr="00D22968">
              <w:t xml:space="preserve"> </w:t>
            </w:r>
          </w:p>
        </w:tc>
        <w:tc>
          <w:tcPr>
            <w:tcW w:w="1493" w:type="dxa"/>
            <w:vAlign w:val="top"/>
          </w:tcPr>
          <w:p w:rsidR="00D22968" w:rsidRPr="00D22968" w:rsidRDefault="00D22968" w:rsidP="00D22968">
            <w:pPr>
              <w:cnfStyle w:val="000000000000" w:firstRow="0" w:lastRow="0" w:firstColumn="0" w:lastColumn="0" w:oddVBand="0" w:evenVBand="0" w:oddHBand="0" w:evenHBand="0" w:firstRowFirstColumn="0" w:firstRowLastColumn="0" w:lastRowFirstColumn="0" w:lastRowLastColumn="0"/>
            </w:pPr>
            <w:r w:rsidRPr="00D22968">
              <w:t>76%</w:t>
            </w:r>
          </w:p>
        </w:tc>
      </w:tr>
      <w:tr w:rsidR="00D22968" w:rsidTr="00264F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vAlign w:val="top"/>
          </w:tcPr>
          <w:p w:rsidR="00D22968" w:rsidRPr="00D22968" w:rsidRDefault="00D22968" w:rsidP="00D22968">
            <w:r w:rsidRPr="00D22968">
              <w:t>Powercor</w:t>
            </w:r>
          </w:p>
        </w:tc>
        <w:tc>
          <w:tcPr>
            <w:tcW w:w="1492" w:type="dxa"/>
            <w:vAlign w:val="top"/>
          </w:tcPr>
          <w:p w:rsidR="00D22968" w:rsidRPr="00D22968" w:rsidRDefault="00D22968">
            <w:pPr>
              <w:cnfStyle w:val="000000010000" w:firstRow="0" w:lastRow="0" w:firstColumn="0" w:lastColumn="0" w:oddVBand="0" w:evenVBand="0" w:oddHBand="0" w:evenHBand="1" w:firstRowFirstColumn="0" w:firstRowLastColumn="0" w:lastRowFirstColumn="0" w:lastRowLastColumn="0"/>
            </w:pPr>
            <w:r>
              <w:t xml:space="preserve"> 230.</w:t>
            </w:r>
            <w:r w:rsidRPr="00D22968">
              <w:t xml:space="preserve">6 </w:t>
            </w:r>
          </w:p>
        </w:tc>
        <w:tc>
          <w:tcPr>
            <w:tcW w:w="1492" w:type="dxa"/>
            <w:vAlign w:val="top"/>
          </w:tcPr>
          <w:p w:rsidR="00D22968" w:rsidRPr="00D22968" w:rsidRDefault="00D22968" w:rsidP="00D22968">
            <w:pPr>
              <w:cnfStyle w:val="000000010000" w:firstRow="0" w:lastRow="0" w:firstColumn="0" w:lastColumn="0" w:oddVBand="0" w:evenVBand="0" w:oddHBand="0" w:evenHBand="1" w:firstRowFirstColumn="0" w:firstRowLastColumn="0" w:lastRowFirstColumn="0" w:lastRowLastColumn="0"/>
            </w:pPr>
            <w:r w:rsidRPr="00D22968">
              <w:t xml:space="preserve"> 3 180</w:t>
            </w:r>
            <w:r>
              <w:t>.6</w:t>
            </w:r>
            <w:r w:rsidRPr="00D22968">
              <w:t xml:space="preserve"> </w:t>
            </w:r>
          </w:p>
        </w:tc>
        <w:tc>
          <w:tcPr>
            <w:tcW w:w="1492" w:type="dxa"/>
            <w:vAlign w:val="top"/>
          </w:tcPr>
          <w:p w:rsidR="00D22968" w:rsidRPr="00D22968" w:rsidRDefault="00D22968" w:rsidP="00D22968">
            <w:pPr>
              <w:cnfStyle w:val="000000010000" w:firstRow="0" w:lastRow="0" w:firstColumn="0" w:lastColumn="0" w:oddVBand="0" w:evenVBand="0" w:oddHBand="0" w:evenHBand="1" w:firstRowFirstColumn="0" w:firstRowLastColumn="0" w:lastRowFirstColumn="0" w:lastRowLastColumn="0"/>
            </w:pPr>
            <w:r w:rsidRPr="00D22968">
              <w:t xml:space="preserve"> 438</w:t>
            </w:r>
            <w:r w:rsidR="00C330AE">
              <w:t>.8</w:t>
            </w:r>
            <w:r w:rsidRPr="00D22968">
              <w:t xml:space="preserve"> </w:t>
            </w:r>
          </w:p>
        </w:tc>
        <w:tc>
          <w:tcPr>
            <w:tcW w:w="1492" w:type="dxa"/>
            <w:vAlign w:val="top"/>
          </w:tcPr>
          <w:p w:rsidR="00D22968" w:rsidRPr="00D22968" w:rsidRDefault="00D22968" w:rsidP="00D22968">
            <w:pPr>
              <w:cnfStyle w:val="000000010000" w:firstRow="0" w:lastRow="0" w:firstColumn="0" w:lastColumn="0" w:oddVBand="0" w:evenVBand="0" w:oddHBand="0" w:evenHBand="1" w:firstRowFirstColumn="0" w:firstRowLastColumn="0" w:lastRowFirstColumn="0" w:lastRowLastColumn="0"/>
            </w:pPr>
            <w:r w:rsidRPr="00D22968">
              <w:t xml:space="preserve"> 2 741</w:t>
            </w:r>
            <w:r w:rsidR="00C330AE">
              <w:t>.</w:t>
            </w:r>
            <w:r w:rsidRPr="00D22968">
              <w:t xml:space="preserve">8 </w:t>
            </w:r>
          </w:p>
        </w:tc>
        <w:tc>
          <w:tcPr>
            <w:tcW w:w="1493" w:type="dxa"/>
            <w:vAlign w:val="top"/>
          </w:tcPr>
          <w:p w:rsidR="00D22968" w:rsidRPr="00D22968" w:rsidRDefault="00D22968" w:rsidP="00D22968">
            <w:pPr>
              <w:cnfStyle w:val="000000010000" w:firstRow="0" w:lastRow="0" w:firstColumn="0" w:lastColumn="0" w:oddVBand="0" w:evenVBand="0" w:oddHBand="0" w:evenHBand="1" w:firstRowFirstColumn="0" w:firstRowLastColumn="0" w:lastRowFirstColumn="0" w:lastRowLastColumn="0"/>
            </w:pPr>
            <w:r w:rsidRPr="00D22968">
              <w:t>14%</w:t>
            </w:r>
          </w:p>
        </w:tc>
      </w:tr>
      <w:tr w:rsidR="00D22968" w:rsidTr="00264F41">
        <w:tc>
          <w:tcPr>
            <w:cnfStyle w:val="001000000000" w:firstRow="0" w:lastRow="0" w:firstColumn="1" w:lastColumn="0" w:oddVBand="0" w:evenVBand="0" w:oddHBand="0" w:evenHBand="0" w:firstRowFirstColumn="0" w:firstRowLastColumn="0" w:lastRowFirstColumn="0" w:lastRowLastColumn="0"/>
            <w:tcW w:w="1294" w:type="dxa"/>
            <w:vAlign w:val="top"/>
          </w:tcPr>
          <w:p w:rsidR="00D22968" w:rsidRPr="00D22968" w:rsidRDefault="00D22968" w:rsidP="00D22968">
            <w:r w:rsidRPr="00D22968">
              <w:t>United Energy</w:t>
            </w:r>
          </w:p>
        </w:tc>
        <w:tc>
          <w:tcPr>
            <w:tcW w:w="1492" w:type="dxa"/>
            <w:vAlign w:val="top"/>
          </w:tcPr>
          <w:p w:rsidR="00D22968" w:rsidRPr="00D22968" w:rsidRDefault="00D22968" w:rsidP="00D22968">
            <w:pPr>
              <w:cnfStyle w:val="000000000000" w:firstRow="0" w:lastRow="0" w:firstColumn="0" w:lastColumn="0" w:oddVBand="0" w:evenVBand="0" w:oddHBand="0" w:evenHBand="0" w:firstRowFirstColumn="0" w:firstRowLastColumn="0" w:lastRowFirstColumn="0" w:lastRowLastColumn="0"/>
            </w:pPr>
            <w:r>
              <w:t xml:space="preserve"> 661.7</w:t>
            </w:r>
            <w:r w:rsidRPr="00D22968">
              <w:t xml:space="preserve"> </w:t>
            </w:r>
          </w:p>
        </w:tc>
        <w:tc>
          <w:tcPr>
            <w:tcW w:w="1492" w:type="dxa"/>
            <w:vAlign w:val="top"/>
          </w:tcPr>
          <w:p w:rsidR="00D22968" w:rsidRPr="00D22968" w:rsidRDefault="00D22968" w:rsidP="00D22968">
            <w:pPr>
              <w:cnfStyle w:val="000000000000" w:firstRow="0" w:lastRow="0" w:firstColumn="0" w:lastColumn="0" w:oddVBand="0" w:evenVBand="0" w:oddHBand="0" w:evenHBand="0" w:firstRowFirstColumn="0" w:firstRowLastColumn="0" w:lastRowFirstColumn="0" w:lastRowLastColumn="0"/>
            </w:pPr>
            <w:r w:rsidRPr="00D22968">
              <w:t xml:space="preserve"> 2 120</w:t>
            </w:r>
            <w:r>
              <w:t>.4</w:t>
            </w:r>
            <w:r w:rsidRPr="00D22968">
              <w:t xml:space="preserve"> </w:t>
            </w:r>
          </w:p>
        </w:tc>
        <w:tc>
          <w:tcPr>
            <w:tcW w:w="1492" w:type="dxa"/>
            <w:vAlign w:val="top"/>
          </w:tcPr>
          <w:p w:rsidR="00D22968" w:rsidRPr="00D22968" w:rsidRDefault="00D22968" w:rsidP="00D22968">
            <w:pPr>
              <w:cnfStyle w:val="000000000000" w:firstRow="0" w:lastRow="0" w:firstColumn="0" w:lastColumn="0" w:oddVBand="0" w:evenVBand="0" w:oddHBand="0" w:evenHBand="0" w:firstRowFirstColumn="0" w:firstRowLastColumn="0" w:lastRowFirstColumn="0" w:lastRowLastColumn="0"/>
            </w:pPr>
            <w:r w:rsidRPr="00D22968">
              <w:t xml:space="preserve"> 1 082</w:t>
            </w:r>
            <w:r w:rsidR="00C330AE">
              <w:t>.1</w:t>
            </w:r>
            <w:r w:rsidRPr="00D22968">
              <w:t xml:space="preserve"> </w:t>
            </w:r>
          </w:p>
        </w:tc>
        <w:tc>
          <w:tcPr>
            <w:tcW w:w="1492" w:type="dxa"/>
            <w:vAlign w:val="top"/>
          </w:tcPr>
          <w:p w:rsidR="00D22968" w:rsidRPr="00D22968" w:rsidRDefault="00D22968" w:rsidP="00D22968">
            <w:pPr>
              <w:cnfStyle w:val="000000000000" w:firstRow="0" w:lastRow="0" w:firstColumn="0" w:lastColumn="0" w:oddVBand="0" w:evenVBand="0" w:oddHBand="0" w:evenHBand="0" w:firstRowFirstColumn="0" w:firstRowLastColumn="0" w:lastRowFirstColumn="0" w:lastRowLastColumn="0"/>
            </w:pPr>
            <w:r w:rsidRPr="00D22968">
              <w:t xml:space="preserve"> 1 038</w:t>
            </w:r>
            <w:r w:rsidR="00C330AE">
              <w:t>.</w:t>
            </w:r>
            <w:r w:rsidRPr="00D22968">
              <w:t xml:space="preserve">3 </w:t>
            </w:r>
          </w:p>
        </w:tc>
        <w:tc>
          <w:tcPr>
            <w:tcW w:w="1493" w:type="dxa"/>
            <w:vAlign w:val="top"/>
          </w:tcPr>
          <w:p w:rsidR="00D22968" w:rsidRPr="00D22968" w:rsidRDefault="00D22968" w:rsidP="00D22968">
            <w:pPr>
              <w:cnfStyle w:val="000000000000" w:firstRow="0" w:lastRow="0" w:firstColumn="0" w:lastColumn="0" w:oddVBand="0" w:evenVBand="0" w:oddHBand="0" w:evenHBand="0" w:firstRowFirstColumn="0" w:firstRowLastColumn="0" w:lastRowFirstColumn="0" w:lastRowLastColumn="0"/>
            </w:pPr>
            <w:r w:rsidRPr="00D22968">
              <w:t>51%</w:t>
            </w:r>
          </w:p>
        </w:tc>
      </w:tr>
      <w:tr w:rsidR="00D22968" w:rsidTr="00264F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vAlign w:val="top"/>
          </w:tcPr>
          <w:p w:rsidR="00D22968" w:rsidRPr="00D22968" w:rsidRDefault="00D22968" w:rsidP="00D22968">
            <w:r w:rsidRPr="00D22968">
              <w:t>Total</w:t>
            </w:r>
          </w:p>
        </w:tc>
        <w:tc>
          <w:tcPr>
            <w:tcW w:w="1492" w:type="dxa"/>
            <w:vAlign w:val="top"/>
          </w:tcPr>
          <w:p w:rsidR="00D22968" w:rsidRPr="00D22968" w:rsidRDefault="00D22968" w:rsidP="00D22968">
            <w:pPr>
              <w:cnfStyle w:val="000000010000" w:firstRow="0" w:lastRow="0" w:firstColumn="0" w:lastColumn="0" w:oddVBand="0" w:evenVBand="0" w:oddHBand="0" w:evenHBand="1" w:firstRowFirstColumn="0" w:firstRowLastColumn="0" w:lastRowFirstColumn="0" w:lastRowLastColumn="0"/>
            </w:pPr>
            <w:r>
              <w:t xml:space="preserve"> 3 994.0</w:t>
            </w:r>
            <w:r w:rsidRPr="00D22968">
              <w:t xml:space="preserve"> </w:t>
            </w:r>
          </w:p>
        </w:tc>
        <w:tc>
          <w:tcPr>
            <w:tcW w:w="1492" w:type="dxa"/>
            <w:vAlign w:val="top"/>
          </w:tcPr>
          <w:p w:rsidR="00D22968" w:rsidRPr="00D22968" w:rsidRDefault="00D22968" w:rsidP="00D22968">
            <w:pPr>
              <w:cnfStyle w:val="000000010000" w:firstRow="0" w:lastRow="0" w:firstColumn="0" w:lastColumn="0" w:oddVBand="0" w:evenVBand="0" w:oddHBand="0" w:evenHBand="1" w:firstRowFirstColumn="0" w:firstRowLastColumn="0" w:lastRowFirstColumn="0" w:lastRowLastColumn="0"/>
            </w:pPr>
            <w:r w:rsidRPr="00D22968">
              <w:t xml:space="preserve"> 10 60</w:t>
            </w:r>
            <w:r>
              <w:t>2.0</w:t>
            </w:r>
            <w:r w:rsidRPr="00D22968">
              <w:t xml:space="preserve"> </w:t>
            </w:r>
          </w:p>
        </w:tc>
        <w:tc>
          <w:tcPr>
            <w:tcW w:w="1492" w:type="dxa"/>
            <w:vAlign w:val="top"/>
          </w:tcPr>
          <w:p w:rsidR="00D22968" w:rsidRPr="00D22968" w:rsidRDefault="00D22968" w:rsidP="00D22968">
            <w:pPr>
              <w:cnfStyle w:val="000000010000" w:firstRow="0" w:lastRow="0" w:firstColumn="0" w:lastColumn="0" w:oddVBand="0" w:evenVBand="0" w:oddHBand="0" w:evenHBand="1" w:firstRowFirstColumn="0" w:firstRowLastColumn="0" w:lastRowFirstColumn="0" w:lastRowLastColumn="0"/>
            </w:pPr>
            <w:r w:rsidRPr="00D22968">
              <w:t xml:space="preserve"> 6 040</w:t>
            </w:r>
            <w:r w:rsidR="00C330AE">
              <w:t>.7</w:t>
            </w:r>
            <w:r w:rsidRPr="00D22968">
              <w:t xml:space="preserve"> </w:t>
            </w:r>
          </w:p>
        </w:tc>
        <w:tc>
          <w:tcPr>
            <w:tcW w:w="1492" w:type="dxa"/>
            <w:vAlign w:val="top"/>
          </w:tcPr>
          <w:p w:rsidR="00D22968" w:rsidRPr="00D22968" w:rsidRDefault="00D22968" w:rsidP="00D22968">
            <w:pPr>
              <w:cnfStyle w:val="000000010000" w:firstRow="0" w:lastRow="0" w:firstColumn="0" w:lastColumn="0" w:oddVBand="0" w:evenVBand="0" w:oddHBand="0" w:evenHBand="1" w:firstRowFirstColumn="0" w:firstRowLastColumn="0" w:lastRowFirstColumn="0" w:lastRowLastColumn="0"/>
            </w:pPr>
            <w:r w:rsidRPr="00D22968">
              <w:t xml:space="preserve"> 4 561</w:t>
            </w:r>
            <w:r w:rsidR="00C330AE">
              <w:t>.</w:t>
            </w:r>
            <w:r w:rsidRPr="00D22968">
              <w:t xml:space="preserve">3 </w:t>
            </w:r>
          </w:p>
        </w:tc>
        <w:tc>
          <w:tcPr>
            <w:tcW w:w="1493" w:type="dxa"/>
            <w:vAlign w:val="top"/>
          </w:tcPr>
          <w:p w:rsidR="00D22968" w:rsidRPr="00D22968" w:rsidRDefault="00D22968" w:rsidP="00D22968">
            <w:pPr>
              <w:cnfStyle w:val="000000010000" w:firstRow="0" w:lastRow="0" w:firstColumn="0" w:lastColumn="0" w:oddVBand="0" w:evenVBand="0" w:oddHBand="0" w:evenHBand="1" w:firstRowFirstColumn="0" w:firstRowLastColumn="0" w:lastRowFirstColumn="0" w:lastRowLastColumn="0"/>
            </w:pPr>
            <w:r w:rsidRPr="00D22968">
              <w:t>57%</w:t>
            </w:r>
          </w:p>
        </w:tc>
      </w:tr>
    </w:tbl>
    <w:p w:rsidR="00CE5F1D" w:rsidRPr="00CE5F1D" w:rsidRDefault="00CE5F1D" w:rsidP="00CE5F1D">
      <w:pPr>
        <w:pStyle w:val="AERtablesource"/>
      </w:pPr>
      <w:r w:rsidRPr="00CE5F1D">
        <w:t>Source:</w:t>
      </w:r>
      <w:r w:rsidRPr="00CE5F1D">
        <w:tab/>
        <w:t xml:space="preserve">AER analysis and DMIA </w:t>
      </w:r>
      <w:r w:rsidR="00F6148F">
        <w:t>r</w:t>
      </w:r>
      <w:r w:rsidRPr="00CE5F1D">
        <w:t xml:space="preserve">eports submitted by DNSPs; </w:t>
      </w:r>
      <w:r w:rsidR="00BC1729">
        <w:t>numbers</w:t>
      </w:r>
      <w:r w:rsidRPr="00CE5F1D">
        <w:t xml:space="preserve"> may not be exact due to rounding.   </w:t>
      </w:r>
    </w:p>
    <w:p w:rsidR="00554DFB" w:rsidRPr="00CE5F1D" w:rsidRDefault="00DA4E0A" w:rsidP="00264F41">
      <w:pPr>
        <w:pStyle w:val="Caption"/>
      </w:pPr>
      <w:r>
        <w:t xml:space="preserve">Table </w:t>
      </w:r>
      <w:r w:rsidR="00BF480E">
        <w:fldChar w:fldCharType="begin"/>
      </w:r>
      <w:r w:rsidR="00BF480E">
        <w:instrText xml:space="preserve"> SEQ Table \* ARABIC </w:instrText>
      </w:r>
      <w:r w:rsidR="00BF480E">
        <w:fldChar w:fldCharType="separate"/>
      </w:r>
      <w:r w:rsidR="002D1097">
        <w:rPr>
          <w:noProof/>
        </w:rPr>
        <w:t>4</w:t>
      </w:r>
      <w:r w:rsidR="00BF480E">
        <w:rPr>
          <w:noProof/>
        </w:rPr>
        <w:fldChar w:fldCharType="end"/>
      </w:r>
      <w:r>
        <w:tab/>
      </w:r>
      <w:r w:rsidR="00554DFB" w:rsidRPr="00CE5F1D">
        <w:t xml:space="preserve">Summaries of DMIA expenditures to date for </w:t>
      </w:r>
      <w:r w:rsidR="00554DFB">
        <w:t>TAS</w:t>
      </w:r>
      <w:r w:rsidR="00554DFB" w:rsidRPr="00CE5F1D">
        <w:t xml:space="preserve"> </w:t>
      </w:r>
      <w:r w:rsidR="00554DFB">
        <w:t xml:space="preserve">DNSP </w:t>
      </w:r>
      <w:r w:rsidR="00554DFB" w:rsidRPr="00CE5F1D">
        <w:t>for the 201</w:t>
      </w:r>
      <w:r w:rsidR="00115EA6">
        <w:t>2–17</w:t>
      </w:r>
      <w:r w:rsidR="00554DFB" w:rsidRPr="00CE5F1D">
        <w:t xml:space="preserve"> regulatory control period ($</w:t>
      </w:r>
      <w:r w:rsidR="00C330AE">
        <w:t xml:space="preserve">' 000, </w:t>
      </w:r>
      <w:r w:rsidR="00554DFB" w:rsidRPr="00CE5F1D">
        <w:t>nominal)</w:t>
      </w:r>
    </w:p>
    <w:tbl>
      <w:tblPr>
        <w:tblStyle w:val="AERtable-numbers"/>
        <w:tblW w:w="8755" w:type="dxa"/>
        <w:tblLayout w:type="fixed"/>
        <w:tblLook w:val="04A0" w:firstRow="1" w:lastRow="0" w:firstColumn="1" w:lastColumn="0" w:noHBand="0" w:noVBand="1"/>
      </w:tblPr>
      <w:tblGrid>
        <w:gridCol w:w="1530"/>
        <w:gridCol w:w="1445"/>
        <w:gridCol w:w="1445"/>
        <w:gridCol w:w="1445"/>
        <w:gridCol w:w="1445"/>
        <w:gridCol w:w="1445"/>
      </w:tblGrid>
      <w:tr w:rsidR="00C330AE" w:rsidTr="00264F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C330AE" w:rsidRPr="00554DFB" w:rsidRDefault="00C330AE" w:rsidP="00554DFB">
            <w:pPr>
              <w:pStyle w:val="AERtabletextleft"/>
            </w:pPr>
            <w:r w:rsidRPr="00CE5F1D">
              <w:t>DNSP</w:t>
            </w:r>
          </w:p>
        </w:tc>
        <w:tc>
          <w:tcPr>
            <w:tcW w:w="1445" w:type="dxa"/>
          </w:tcPr>
          <w:p w:rsidR="00C330AE" w:rsidRPr="00CE5F1D" w:rsidRDefault="00C330AE">
            <w:pPr>
              <w:pStyle w:val="AERtabletextright"/>
              <w:cnfStyle w:val="100000000000" w:firstRow="1" w:lastRow="0" w:firstColumn="0" w:lastColumn="0" w:oddVBand="0" w:evenVBand="0" w:oddHBand="0" w:evenHBand="0" w:firstRowFirstColumn="0" w:firstRowLastColumn="0" w:lastRowFirstColumn="0" w:lastRowLastColumn="0"/>
            </w:pPr>
            <w:r>
              <w:t>DMIA approved for 2013–</w:t>
            </w:r>
            <w:r w:rsidRPr="00C330AE">
              <w:t>14</w:t>
            </w:r>
          </w:p>
        </w:tc>
        <w:tc>
          <w:tcPr>
            <w:tcW w:w="1445" w:type="dxa"/>
          </w:tcPr>
          <w:p w:rsidR="00C330AE" w:rsidRPr="00554DFB" w:rsidRDefault="00C330AE" w:rsidP="00554DFB">
            <w:pPr>
              <w:pStyle w:val="AERtabletextright"/>
              <w:cnfStyle w:val="100000000000" w:firstRow="1" w:lastRow="0" w:firstColumn="0" w:lastColumn="0" w:oddVBand="0" w:evenVBand="0" w:oddHBand="0" w:evenHBand="0" w:firstRowFirstColumn="0" w:firstRowLastColumn="0" w:lastRowFirstColumn="0" w:lastRowLastColumn="0"/>
            </w:pPr>
            <w:r w:rsidRPr="00CE5F1D">
              <w:t xml:space="preserve">Total </w:t>
            </w:r>
            <w:r w:rsidRPr="00554DFB">
              <w:t xml:space="preserve">DMIA Allowance </w:t>
            </w:r>
          </w:p>
        </w:tc>
        <w:tc>
          <w:tcPr>
            <w:tcW w:w="1445" w:type="dxa"/>
          </w:tcPr>
          <w:p w:rsidR="00C330AE" w:rsidRPr="00554DFB" w:rsidRDefault="00C330AE" w:rsidP="00554DFB">
            <w:pPr>
              <w:pStyle w:val="AERtabletextright"/>
              <w:cnfStyle w:val="100000000000" w:firstRow="1" w:lastRow="0" w:firstColumn="0" w:lastColumn="0" w:oddVBand="0" w:evenVBand="0" w:oddHBand="0" w:evenHBand="0" w:firstRowFirstColumn="0" w:firstRowLastColumn="0" w:lastRowFirstColumn="0" w:lastRowLastColumn="0"/>
            </w:pPr>
            <w:r w:rsidRPr="00CE5F1D">
              <w:t xml:space="preserve">DMIA approved </w:t>
            </w:r>
            <w:r w:rsidRPr="00CE5F1D">
              <w:br/>
              <w:t>to date</w:t>
            </w:r>
          </w:p>
        </w:tc>
        <w:tc>
          <w:tcPr>
            <w:tcW w:w="1445" w:type="dxa"/>
          </w:tcPr>
          <w:p w:rsidR="00C330AE" w:rsidRPr="00554DFB" w:rsidRDefault="00C330AE" w:rsidP="00554DFB">
            <w:pPr>
              <w:pStyle w:val="AERtabletextright"/>
              <w:cnfStyle w:val="100000000000" w:firstRow="1" w:lastRow="0" w:firstColumn="0" w:lastColumn="0" w:oddVBand="0" w:evenVBand="0" w:oddHBand="0" w:evenHBand="0" w:firstRowFirstColumn="0" w:firstRowLastColumn="0" w:lastRowFirstColumn="0" w:lastRowLastColumn="0"/>
            </w:pPr>
            <w:r w:rsidRPr="00CE5F1D">
              <w:t>DMIA remaining for the period</w:t>
            </w:r>
          </w:p>
        </w:tc>
        <w:tc>
          <w:tcPr>
            <w:tcW w:w="1445" w:type="dxa"/>
          </w:tcPr>
          <w:p w:rsidR="00C330AE" w:rsidRPr="00554DFB" w:rsidRDefault="00C330AE" w:rsidP="00554DFB">
            <w:pPr>
              <w:pStyle w:val="AERtabletextleft"/>
              <w:cnfStyle w:val="100000000000" w:firstRow="1" w:lastRow="0" w:firstColumn="0" w:lastColumn="0" w:oddVBand="0" w:evenVBand="0" w:oddHBand="0" w:evenHBand="0" w:firstRowFirstColumn="0" w:firstRowLastColumn="0" w:lastRowFirstColumn="0" w:lastRowLastColumn="0"/>
            </w:pPr>
            <w:r w:rsidRPr="00CE5F1D">
              <w:t>Proportion of approved DMIA spent (%)</w:t>
            </w:r>
          </w:p>
        </w:tc>
      </w:tr>
      <w:tr w:rsidR="00C330AE" w:rsidTr="00264F41">
        <w:tc>
          <w:tcPr>
            <w:cnfStyle w:val="001000000000" w:firstRow="0" w:lastRow="0" w:firstColumn="1" w:lastColumn="0" w:oddVBand="0" w:evenVBand="0" w:oddHBand="0" w:evenHBand="0" w:firstRowFirstColumn="0" w:firstRowLastColumn="0" w:lastRowFirstColumn="0" w:lastRowLastColumn="0"/>
            <w:tcW w:w="1530" w:type="dxa"/>
            <w:vAlign w:val="top"/>
          </w:tcPr>
          <w:p w:rsidR="00C330AE" w:rsidRPr="00554DFB" w:rsidRDefault="00C330AE" w:rsidP="00554DFB">
            <w:r>
              <w:t>TasNetworks</w:t>
            </w:r>
          </w:p>
        </w:tc>
        <w:tc>
          <w:tcPr>
            <w:tcW w:w="1445" w:type="dxa"/>
          </w:tcPr>
          <w:p w:rsidR="00C330AE" w:rsidRDefault="00C330AE">
            <w:pPr>
              <w:cnfStyle w:val="000000000000" w:firstRow="0" w:lastRow="0" w:firstColumn="0" w:lastColumn="0" w:oddVBand="0" w:evenVBand="0" w:oddHBand="0" w:evenHBand="0" w:firstRowFirstColumn="0" w:firstRowLastColumn="0" w:lastRowFirstColumn="0" w:lastRowLastColumn="0"/>
            </w:pPr>
            <w:r w:rsidRPr="00C330AE">
              <w:t>49</w:t>
            </w:r>
            <w:r>
              <w:t>.</w:t>
            </w:r>
            <w:r w:rsidRPr="00C330AE">
              <w:t>7</w:t>
            </w:r>
          </w:p>
        </w:tc>
        <w:tc>
          <w:tcPr>
            <w:tcW w:w="1445" w:type="dxa"/>
            <w:vAlign w:val="top"/>
          </w:tcPr>
          <w:p w:rsidR="00C330AE" w:rsidRPr="00554DFB" w:rsidRDefault="00C330AE">
            <w:pPr>
              <w:cnfStyle w:val="000000000000" w:firstRow="0" w:lastRow="0" w:firstColumn="0" w:lastColumn="0" w:oddVBand="0" w:evenVBand="0" w:oddHBand="0" w:evenHBand="0" w:firstRowFirstColumn="0" w:firstRowLastColumn="0" w:lastRowFirstColumn="0" w:lastRowLastColumn="0"/>
            </w:pPr>
            <w:r>
              <w:t xml:space="preserve">2 </w:t>
            </w:r>
            <w:r w:rsidRPr="00554DFB">
              <w:t>114</w:t>
            </w:r>
            <w:r w:rsidR="00146245">
              <w:t>.9</w:t>
            </w:r>
          </w:p>
        </w:tc>
        <w:tc>
          <w:tcPr>
            <w:tcW w:w="1445" w:type="dxa"/>
            <w:vAlign w:val="top"/>
          </w:tcPr>
          <w:p w:rsidR="00C330AE" w:rsidRPr="00554DFB" w:rsidRDefault="00C330AE">
            <w:pPr>
              <w:cnfStyle w:val="000000000000" w:firstRow="0" w:lastRow="0" w:firstColumn="0" w:lastColumn="0" w:oddVBand="0" w:evenVBand="0" w:oddHBand="0" w:evenHBand="0" w:firstRowFirstColumn="0" w:firstRowLastColumn="0" w:lastRowFirstColumn="0" w:lastRowLastColumn="0"/>
            </w:pPr>
            <w:r w:rsidRPr="00554DFB">
              <w:t>186</w:t>
            </w:r>
            <w:r w:rsidR="00146245">
              <w:t>.</w:t>
            </w:r>
            <w:r w:rsidRPr="00554DFB">
              <w:t>8</w:t>
            </w:r>
          </w:p>
        </w:tc>
        <w:tc>
          <w:tcPr>
            <w:tcW w:w="1445" w:type="dxa"/>
            <w:vAlign w:val="top"/>
          </w:tcPr>
          <w:p w:rsidR="00C330AE" w:rsidRPr="00554DFB" w:rsidRDefault="00C330AE">
            <w:pPr>
              <w:cnfStyle w:val="000000000000" w:firstRow="0" w:lastRow="0" w:firstColumn="0" w:lastColumn="0" w:oddVBand="0" w:evenVBand="0" w:oddHBand="0" w:evenHBand="0" w:firstRowFirstColumn="0" w:firstRowLastColumn="0" w:lastRowFirstColumn="0" w:lastRowLastColumn="0"/>
            </w:pPr>
            <w:r>
              <w:t>1 928</w:t>
            </w:r>
            <w:r w:rsidR="00146245">
              <w:t>.1</w:t>
            </w:r>
            <w:r w:rsidRPr="00554DFB">
              <w:t xml:space="preserve">  </w:t>
            </w:r>
          </w:p>
        </w:tc>
        <w:tc>
          <w:tcPr>
            <w:tcW w:w="1445" w:type="dxa"/>
            <w:vAlign w:val="top"/>
          </w:tcPr>
          <w:p w:rsidR="00C330AE" w:rsidRPr="00554DFB" w:rsidRDefault="00C330AE" w:rsidP="00554DFB">
            <w:pPr>
              <w:cnfStyle w:val="000000000000" w:firstRow="0" w:lastRow="0" w:firstColumn="0" w:lastColumn="0" w:oddVBand="0" w:evenVBand="0" w:oddHBand="0" w:evenHBand="0" w:firstRowFirstColumn="0" w:firstRowLastColumn="0" w:lastRowFirstColumn="0" w:lastRowLastColumn="0"/>
            </w:pPr>
            <w:r w:rsidRPr="00554DFB">
              <w:t>9%</w:t>
            </w:r>
          </w:p>
        </w:tc>
      </w:tr>
      <w:tr w:rsidR="00C330AE" w:rsidTr="00264F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vAlign w:val="top"/>
          </w:tcPr>
          <w:p w:rsidR="00C330AE" w:rsidRPr="00554DFB" w:rsidRDefault="00C330AE" w:rsidP="00554DFB">
            <w:r w:rsidRPr="00554DFB">
              <w:t>Total</w:t>
            </w:r>
          </w:p>
        </w:tc>
        <w:tc>
          <w:tcPr>
            <w:tcW w:w="1445" w:type="dxa"/>
          </w:tcPr>
          <w:p w:rsidR="00C330AE" w:rsidRPr="00554DFB" w:rsidRDefault="00C330AE" w:rsidP="00E17DE7">
            <w:pPr>
              <w:cnfStyle w:val="000000010000" w:firstRow="0" w:lastRow="0" w:firstColumn="0" w:lastColumn="0" w:oddVBand="0" w:evenVBand="0" w:oddHBand="0" w:evenHBand="1" w:firstRowFirstColumn="0" w:firstRowLastColumn="0" w:lastRowFirstColumn="0" w:lastRowLastColumn="0"/>
            </w:pPr>
            <w:r>
              <w:t>49.7</w:t>
            </w:r>
          </w:p>
        </w:tc>
        <w:tc>
          <w:tcPr>
            <w:tcW w:w="1445" w:type="dxa"/>
            <w:vAlign w:val="top"/>
          </w:tcPr>
          <w:p w:rsidR="00C330AE" w:rsidRPr="00554DFB" w:rsidRDefault="00C330AE" w:rsidP="00E17DE7">
            <w:pPr>
              <w:cnfStyle w:val="000000010000" w:firstRow="0" w:lastRow="0" w:firstColumn="0" w:lastColumn="0" w:oddVBand="0" w:evenVBand="0" w:oddHBand="0" w:evenHBand="1" w:firstRowFirstColumn="0" w:firstRowLastColumn="0" w:lastRowFirstColumn="0" w:lastRowLastColumn="0"/>
            </w:pPr>
            <w:r w:rsidRPr="00554DFB">
              <w:t>2 114</w:t>
            </w:r>
            <w:r w:rsidR="00146245">
              <w:t>.9</w:t>
            </w:r>
          </w:p>
        </w:tc>
        <w:tc>
          <w:tcPr>
            <w:tcW w:w="1445" w:type="dxa"/>
            <w:vAlign w:val="top"/>
          </w:tcPr>
          <w:p w:rsidR="00C330AE" w:rsidRPr="00554DFB" w:rsidRDefault="00C330AE">
            <w:pPr>
              <w:cnfStyle w:val="000000010000" w:firstRow="0" w:lastRow="0" w:firstColumn="0" w:lastColumn="0" w:oddVBand="0" w:evenVBand="0" w:oddHBand="0" w:evenHBand="1" w:firstRowFirstColumn="0" w:firstRowLastColumn="0" w:lastRowFirstColumn="0" w:lastRowLastColumn="0"/>
            </w:pPr>
            <w:r w:rsidRPr="00554DFB">
              <w:t>186</w:t>
            </w:r>
            <w:r w:rsidR="00146245">
              <w:t>.</w:t>
            </w:r>
            <w:r w:rsidRPr="00554DFB">
              <w:t>8</w:t>
            </w:r>
          </w:p>
        </w:tc>
        <w:tc>
          <w:tcPr>
            <w:tcW w:w="1445" w:type="dxa"/>
            <w:vAlign w:val="top"/>
          </w:tcPr>
          <w:p w:rsidR="00C330AE" w:rsidRPr="00554DFB" w:rsidRDefault="00C330AE">
            <w:pPr>
              <w:cnfStyle w:val="000000010000" w:firstRow="0" w:lastRow="0" w:firstColumn="0" w:lastColumn="0" w:oddVBand="0" w:evenVBand="0" w:oddHBand="0" w:evenHBand="1" w:firstRowFirstColumn="0" w:firstRowLastColumn="0" w:lastRowFirstColumn="0" w:lastRowLastColumn="0"/>
            </w:pPr>
            <w:r w:rsidRPr="00554DFB">
              <w:t>1 928</w:t>
            </w:r>
            <w:r w:rsidR="00146245">
              <w:t>.1</w:t>
            </w:r>
            <w:r w:rsidRPr="00554DFB">
              <w:t xml:space="preserve">  </w:t>
            </w:r>
          </w:p>
        </w:tc>
        <w:tc>
          <w:tcPr>
            <w:tcW w:w="1445" w:type="dxa"/>
            <w:vAlign w:val="top"/>
          </w:tcPr>
          <w:p w:rsidR="00C330AE" w:rsidRPr="00554DFB" w:rsidRDefault="00C330AE" w:rsidP="00E17DE7">
            <w:pPr>
              <w:cnfStyle w:val="000000010000" w:firstRow="0" w:lastRow="0" w:firstColumn="0" w:lastColumn="0" w:oddVBand="0" w:evenVBand="0" w:oddHBand="0" w:evenHBand="1" w:firstRowFirstColumn="0" w:firstRowLastColumn="0" w:lastRowFirstColumn="0" w:lastRowLastColumn="0"/>
            </w:pPr>
            <w:r w:rsidRPr="00554DFB">
              <w:t>9%</w:t>
            </w:r>
          </w:p>
        </w:tc>
      </w:tr>
    </w:tbl>
    <w:p w:rsidR="00554DFB" w:rsidRPr="00CE5F1D" w:rsidRDefault="00554DFB" w:rsidP="00554DFB">
      <w:pPr>
        <w:pStyle w:val="AERtablesource"/>
      </w:pPr>
      <w:r w:rsidRPr="00CE5F1D">
        <w:lastRenderedPageBreak/>
        <w:t>Source:</w:t>
      </w:r>
      <w:r w:rsidRPr="00CE5F1D">
        <w:tab/>
        <w:t xml:space="preserve">AER analysis and DMIA </w:t>
      </w:r>
      <w:r w:rsidR="00F6148F">
        <w:t>r</w:t>
      </w:r>
      <w:r w:rsidRPr="00CE5F1D">
        <w:t>eports</w:t>
      </w:r>
      <w:r w:rsidR="00BC1729">
        <w:t xml:space="preserve"> submitted by DNSPs; numbers</w:t>
      </w:r>
      <w:r w:rsidRPr="00CE5F1D">
        <w:t xml:space="preserve"> may not be exact due to rounding.   </w:t>
      </w:r>
    </w:p>
    <w:p w:rsidR="00404FC4" w:rsidRPr="00404FC4" w:rsidRDefault="00404FC4" w:rsidP="00404FC4">
      <w:r w:rsidRPr="00404FC4">
        <w:t>In this 2016 DMIA determination the AER is required to calculate a carryover amount adjustment for the non–Victorian</w:t>
      </w:r>
      <w:r w:rsidR="008D3140">
        <w:t>/Tasmanian</w:t>
      </w:r>
      <w:r w:rsidRPr="00404FC4">
        <w:t xml:space="preserve"> electricity distributors. A similar carryover adjustment will be calculated for the Victorian </w:t>
      </w:r>
      <w:r w:rsidR="00D13E57">
        <w:t xml:space="preserve">and Tasmanian </w:t>
      </w:r>
      <w:r w:rsidRPr="00404FC4">
        <w:t xml:space="preserve">electricity distributors in </w:t>
      </w:r>
      <w:r w:rsidR="00051D7C">
        <w:t xml:space="preserve">the </w:t>
      </w:r>
      <w:r w:rsidRPr="00404FC4">
        <w:t>2017</w:t>
      </w:r>
      <w:r w:rsidR="00051D7C">
        <w:t xml:space="preserve"> and 2018-19 regulatory control years respectively</w:t>
      </w:r>
      <w:r w:rsidRPr="00404FC4">
        <w:t xml:space="preserve">, when data on their total DMIA expenditure over </w:t>
      </w:r>
      <w:r w:rsidR="00051D7C">
        <w:t xml:space="preserve">this </w:t>
      </w:r>
      <w:r w:rsidRPr="00404FC4">
        <w:t xml:space="preserve">regulatory period </w:t>
      </w:r>
      <w:r w:rsidR="00051D7C">
        <w:t xml:space="preserve">are </w:t>
      </w:r>
      <w:r w:rsidRPr="00404FC4">
        <w:t xml:space="preserve">available. </w:t>
      </w:r>
    </w:p>
    <w:p w:rsidR="00404FC4" w:rsidRDefault="00404FC4" w:rsidP="00404FC4">
      <w:r>
        <w:t>W</w:t>
      </w:r>
      <w:r w:rsidRPr="00404FC4">
        <w:t xml:space="preserve">e calculated the carryover adjustment to be applied in the NSW/ACT distributors' 2014–19 regulatory control period and the QLD/SA distributors' 2015–20 regulatory control period. </w:t>
      </w:r>
      <w:r>
        <w:t>T</w:t>
      </w:r>
      <w:r w:rsidRPr="00404FC4">
        <w:t>hose carryover adjustments</w:t>
      </w:r>
      <w:r>
        <w:t xml:space="preserve"> are </w:t>
      </w:r>
      <w:r w:rsidRPr="00404FC4">
        <w:t>set out</w:t>
      </w:r>
      <w:r>
        <w:t xml:space="preserve"> in the table below:</w:t>
      </w:r>
      <w:r w:rsidRPr="00404FC4">
        <w:t xml:space="preserve">  </w:t>
      </w:r>
    </w:p>
    <w:p w:rsidR="00404FC4" w:rsidRPr="00404FC4" w:rsidRDefault="00DA4E0A">
      <w:pPr>
        <w:pStyle w:val="Caption"/>
      </w:pPr>
      <w:r>
        <w:t xml:space="preserve">Table </w:t>
      </w:r>
      <w:r w:rsidR="00BF480E">
        <w:fldChar w:fldCharType="begin"/>
      </w:r>
      <w:r w:rsidR="00BF480E">
        <w:instrText xml:space="preserve"> SEQ Table \* ARABIC </w:instrText>
      </w:r>
      <w:r w:rsidR="00BF480E">
        <w:fldChar w:fldCharType="separate"/>
      </w:r>
      <w:r w:rsidR="002D1097">
        <w:rPr>
          <w:noProof/>
        </w:rPr>
        <w:t>5</w:t>
      </w:r>
      <w:r w:rsidR="00BF480E">
        <w:rPr>
          <w:noProof/>
        </w:rPr>
        <w:fldChar w:fldCharType="end"/>
      </w:r>
      <w:r>
        <w:t xml:space="preserve"> </w:t>
      </w:r>
      <w:r>
        <w:tab/>
      </w:r>
      <w:r w:rsidR="00404FC4" w:rsidRPr="00404FC4">
        <w:t>Carryover adjustment: NSW/ACT distributors ($</w:t>
      </w:r>
      <w:r w:rsidR="00902AE1">
        <w:t>'000</w:t>
      </w:r>
      <w:r w:rsidR="00404FC4" w:rsidRPr="00404FC4">
        <w:t xml:space="preserve"> nominal)</w:t>
      </w:r>
    </w:p>
    <w:tbl>
      <w:tblPr>
        <w:tblStyle w:val="AERtable-numbers"/>
        <w:tblW w:w="0" w:type="auto"/>
        <w:tblLook w:val="04A0" w:firstRow="1" w:lastRow="0" w:firstColumn="1" w:lastColumn="0" w:noHBand="0" w:noVBand="1"/>
      </w:tblPr>
      <w:tblGrid>
        <w:gridCol w:w="4346"/>
        <w:gridCol w:w="4347"/>
      </w:tblGrid>
      <w:tr w:rsidR="00404FC4" w:rsidTr="00BF10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404FC4" w:rsidRPr="00404FC4" w:rsidRDefault="00404FC4" w:rsidP="00404FC4"/>
        </w:tc>
        <w:tc>
          <w:tcPr>
            <w:tcW w:w="4347" w:type="dxa"/>
          </w:tcPr>
          <w:p w:rsidR="00404FC4" w:rsidRPr="00404FC4" w:rsidRDefault="00404FC4" w:rsidP="000B0EE3">
            <w:pPr>
              <w:cnfStyle w:val="100000000000" w:firstRow="1" w:lastRow="0" w:firstColumn="0" w:lastColumn="0" w:oddVBand="0" w:evenVBand="0" w:oddHBand="0" w:evenHBand="0" w:firstRowFirstColumn="0" w:firstRowLastColumn="0" w:lastRowFirstColumn="0" w:lastRowLastColumn="0"/>
            </w:pPr>
            <w:r w:rsidRPr="00404FC4">
              <w:t>$</w:t>
            </w:r>
            <w:r w:rsidR="000B0EE3">
              <w:t>'000</w:t>
            </w:r>
            <w:r w:rsidRPr="00404FC4">
              <w:t xml:space="preserve"> nominal</w:t>
            </w:r>
            <w:r w:rsidR="000B0EE3">
              <w:t xml:space="preserve"> (a)</w:t>
            </w:r>
          </w:p>
        </w:tc>
      </w:tr>
      <w:tr w:rsidR="00E84C7D" w:rsidTr="00F04DBD">
        <w:tc>
          <w:tcPr>
            <w:cnfStyle w:val="001000000000" w:firstRow="0" w:lastRow="0" w:firstColumn="1" w:lastColumn="0" w:oddVBand="0" w:evenVBand="0" w:oddHBand="0" w:evenHBand="0" w:firstRowFirstColumn="0" w:firstRowLastColumn="0" w:lastRowFirstColumn="0" w:lastRowLastColumn="0"/>
            <w:tcW w:w="4346" w:type="dxa"/>
          </w:tcPr>
          <w:p w:rsidR="00E84C7D" w:rsidRPr="00E84C7D" w:rsidRDefault="00E84C7D" w:rsidP="00E84C7D">
            <w:r w:rsidRPr="00E84C7D">
              <w:t>ActewAGL</w:t>
            </w:r>
          </w:p>
        </w:tc>
        <w:tc>
          <w:tcPr>
            <w:tcW w:w="4347" w:type="dxa"/>
            <w:vAlign w:val="top"/>
          </w:tcPr>
          <w:p w:rsidR="00E84C7D" w:rsidRPr="00E84C7D" w:rsidRDefault="00E84C7D" w:rsidP="00E84C7D">
            <w:pPr>
              <w:cnfStyle w:val="000000000000" w:firstRow="0" w:lastRow="0" w:firstColumn="0" w:lastColumn="0" w:oddVBand="0" w:evenVBand="0" w:oddHBand="0" w:evenHBand="0" w:firstRowFirstColumn="0" w:firstRowLastColumn="0" w:lastRowFirstColumn="0" w:lastRowLastColumn="0"/>
            </w:pPr>
            <w:r w:rsidRPr="00E84C7D">
              <w:t>-95.3</w:t>
            </w:r>
          </w:p>
        </w:tc>
      </w:tr>
      <w:tr w:rsidR="00E84C7D" w:rsidTr="00F04D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E84C7D" w:rsidRPr="00E84C7D" w:rsidRDefault="00E84C7D" w:rsidP="00E84C7D">
            <w:r w:rsidRPr="00E84C7D">
              <w:t>Ausgrid</w:t>
            </w:r>
          </w:p>
        </w:tc>
        <w:tc>
          <w:tcPr>
            <w:tcW w:w="4347" w:type="dxa"/>
            <w:vAlign w:val="top"/>
          </w:tcPr>
          <w:p w:rsidR="00E84C7D" w:rsidRPr="00E84C7D" w:rsidRDefault="00E84C7D" w:rsidP="00E84C7D">
            <w:pPr>
              <w:cnfStyle w:val="000000010000" w:firstRow="0" w:lastRow="0" w:firstColumn="0" w:lastColumn="0" w:oddVBand="0" w:evenVBand="0" w:oddHBand="0" w:evenHBand="1" w:firstRowFirstColumn="0" w:firstRowLastColumn="0" w:lastRowFirstColumn="0" w:lastRowLastColumn="0"/>
            </w:pPr>
            <w:r w:rsidRPr="00E84C7D">
              <w:t>-2</w:t>
            </w:r>
            <w:r>
              <w:t xml:space="preserve"> </w:t>
            </w:r>
            <w:r w:rsidRPr="00E84C7D">
              <w:t>560.6</w:t>
            </w:r>
          </w:p>
        </w:tc>
      </w:tr>
      <w:tr w:rsidR="00E84C7D" w:rsidTr="00F04DBD">
        <w:tc>
          <w:tcPr>
            <w:cnfStyle w:val="001000000000" w:firstRow="0" w:lastRow="0" w:firstColumn="1" w:lastColumn="0" w:oddVBand="0" w:evenVBand="0" w:oddHBand="0" w:evenHBand="0" w:firstRowFirstColumn="0" w:firstRowLastColumn="0" w:lastRowFirstColumn="0" w:lastRowLastColumn="0"/>
            <w:tcW w:w="4346" w:type="dxa"/>
          </w:tcPr>
          <w:p w:rsidR="00E84C7D" w:rsidRPr="00E84C7D" w:rsidRDefault="00E84C7D" w:rsidP="00E84C7D">
            <w:r w:rsidRPr="00E84C7D">
              <w:t>Endeavour Energy</w:t>
            </w:r>
          </w:p>
        </w:tc>
        <w:tc>
          <w:tcPr>
            <w:tcW w:w="4347" w:type="dxa"/>
            <w:vAlign w:val="top"/>
          </w:tcPr>
          <w:p w:rsidR="00E84C7D" w:rsidRPr="00E84C7D" w:rsidRDefault="00E84C7D" w:rsidP="00E84C7D">
            <w:pPr>
              <w:cnfStyle w:val="000000000000" w:firstRow="0" w:lastRow="0" w:firstColumn="0" w:lastColumn="0" w:oddVBand="0" w:evenVBand="0" w:oddHBand="0" w:evenHBand="0" w:firstRowFirstColumn="0" w:firstRowLastColumn="0" w:lastRowFirstColumn="0" w:lastRowLastColumn="0"/>
            </w:pPr>
            <w:r w:rsidRPr="00E84C7D">
              <w:t>-3</w:t>
            </w:r>
            <w:r>
              <w:t xml:space="preserve"> </w:t>
            </w:r>
            <w:r w:rsidRPr="00E84C7D">
              <w:t>301.6</w:t>
            </w:r>
          </w:p>
        </w:tc>
      </w:tr>
      <w:tr w:rsidR="00E84C7D" w:rsidTr="00F04D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E84C7D" w:rsidRPr="00E84C7D" w:rsidRDefault="00E84C7D" w:rsidP="00E84C7D">
            <w:r w:rsidRPr="00E84C7D">
              <w:t>Essential Energy</w:t>
            </w:r>
          </w:p>
        </w:tc>
        <w:tc>
          <w:tcPr>
            <w:tcW w:w="4347" w:type="dxa"/>
            <w:vAlign w:val="top"/>
          </w:tcPr>
          <w:p w:rsidR="00E84C7D" w:rsidRPr="00E84C7D" w:rsidRDefault="00E84C7D" w:rsidP="00E84C7D">
            <w:pPr>
              <w:cnfStyle w:val="000000010000" w:firstRow="0" w:lastRow="0" w:firstColumn="0" w:lastColumn="0" w:oddVBand="0" w:evenVBand="0" w:oddHBand="0" w:evenHBand="1" w:firstRowFirstColumn="0" w:firstRowLastColumn="0" w:lastRowFirstColumn="0" w:lastRowLastColumn="0"/>
            </w:pPr>
            <w:r w:rsidRPr="00E84C7D">
              <w:t>-891.2</w:t>
            </w:r>
          </w:p>
        </w:tc>
      </w:tr>
      <w:tr w:rsidR="00E84C7D" w:rsidTr="00F04DBD">
        <w:tc>
          <w:tcPr>
            <w:cnfStyle w:val="001000000000" w:firstRow="0" w:lastRow="0" w:firstColumn="1" w:lastColumn="0" w:oddVBand="0" w:evenVBand="0" w:oddHBand="0" w:evenHBand="0" w:firstRowFirstColumn="0" w:firstRowLastColumn="0" w:lastRowFirstColumn="0" w:lastRowLastColumn="0"/>
            <w:tcW w:w="4346" w:type="dxa"/>
          </w:tcPr>
          <w:p w:rsidR="00E84C7D" w:rsidRPr="00E84C7D" w:rsidRDefault="00E84C7D" w:rsidP="00E84C7D">
            <w:r w:rsidRPr="00E84C7D">
              <w:t>Energex</w:t>
            </w:r>
          </w:p>
        </w:tc>
        <w:tc>
          <w:tcPr>
            <w:tcW w:w="4347" w:type="dxa"/>
            <w:vAlign w:val="top"/>
          </w:tcPr>
          <w:p w:rsidR="00E84C7D" w:rsidRPr="00E84C7D" w:rsidRDefault="00E84C7D" w:rsidP="00E84C7D">
            <w:pPr>
              <w:cnfStyle w:val="000000000000" w:firstRow="0" w:lastRow="0" w:firstColumn="0" w:lastColumn="0" w:oddVBand="0" w:evenVBand="0" w:oddHBand="0" w:evenHBand="0" w:firstRowFirstColumn="0" w:firstRowLastColumn="0" w:lastRowFirstColumn="0" w:lastRowLastColumn="0"/>
            </w:pPr>
            <w:r w:rsidRPr="00E84C7D">
              <w:t>-5</w:t>
            </w:r>
            <w:r>
              <w:t xml:space="preserve"> </w:t>
            </w:r>
            <w:r w:rsidR="00B76CF9">
              <w:t>238.1</w:t>
            </w:r>
          </w:p>
        </w:tc>
      </w:tr>
      <w:tr w:rsidR="00E84C7D" w:rsidTr="00F04D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E84C7D" w:rsidRPr="00E84C7D" w:rsidRDefault="00E84C7D" w:rsidP="00E84C7D">
            <w:r w:rsidRPr="00E84C7D">
              <w:t>Ergon Energy</w:t>
            </w:r>
          </w:p>
        </w:tc>
        <w:tc>
          <w:tcPr>
            <w:tcW w:w="4347" w:type="dxa"/>
            <w:vAlign w:val="top"/>
          </w:tcPr>
          <w:p w:rsidR="00E84C7D" w:rsidRPr="00E84C7D" w:rsidRDefault="00E84C7D" w:rsidP="00E84C7D">
            <w:pPr>
              <w:cnfStyle w:val="000000010000" w:firstRow="0" w:lastRow="0" w:firstColumn="0" w:lastColumn="0" w:oddVBand="0" w:evenVBand="0" w:oddHBand="0" w:evenHBand="1" w:firstRowFirstColumn="0" w:firstRowLastColumn="0" w:lastRowFirstColumn="0" w:lastRowLastColumn="0"/>
            </w:pPr>
            <w:r w:rsidRPr="00E84C7D">
              <w:t>-2</w:t>
            </w:r>
            <w:r>
              <w:t xml:space="preserve"> </w:t>
            </w:r>
            <w:r w:rsidRPr="00E84C7D">
              <w:t>575.</w:t>
            </w:r>
            <w:r w:rsidR="004C17FF">
              <w:t>8</w:t>
            </w:r>
          </w:p>
        </w:tc>
      </w:tr>
      <w:tr w:rsidR="00072472" w:rsidTr="00F04DBD">
        <w:tc>
          <w:tcPr>
            <w:cnfStyle w:val="001000000000" w:firstRow="0" w:lastRow="0" w:firstColumn="1" w:lastColumn="0" w:oddVBand="0" w:evenVBand="0" w:oddHBand="0" w:evenHBand="0" w:firstRowFirstColumn="0" w:firstRowLastColumn="0" w:lastRowFirstColumn="0" w:lastRowLastColumn="0"/>
            <w:tcW w:w="4346" w:type="dxa"/>
          </w:tcPr>
          <w:p w:rsidR="00072472" w:rsidRPr="00072472" w:rsidRDefault="00072472" w:rsidP="00072472">
            <w:r w:rsidRPr="00072472">
              <w:t>SA Power Networks</w:t>
            </w:r>
          </w:p>
        </w:tc>
        <w:tc>
          <w:tcPr>
            <w:tcW w:w="4347" w:type="dxa"/>
            <w:vAlign w:val="top"/>
          </w:tcPr>
          <w:p w:rsidR="00072472" w:rsidRPr="00072472" w:rsidRDefault="00072472" w:rsidP="00072472">
            <w:pPr>
              <w:cnfStyle w:val="000000000000" w:firstRow="0" w:lastRow="0" w:firstColumn="0" w:lastColumn="0" w:oddVBand="0" w:evenVBand="0" w:oddHBand="0" w:evenHBand="0" w:firstRowFirstColumn="0" w:firstRowLastColumn="0" w:lastRowFirstColumn="0" w:lastRowLastColumn="0"/>
            </w:pPr>
            <w:r w:rsidRPr="00072472">
              <w:t xml:space="preserve">0.0 </w:t>
            </w:r>
          </w:p>
        </w:tc>
      </w:tr>
    </w:tbl>
    <w:p w:rsidR="000B0EE3" w:rsidRDefault="00F5374A" w:rsidP="00F5374A">
      <w:pPr>
        <w:pStyle w:val="AERtablesource"/>
      </w:pPr>
      <w:r w:rsidRPr="00404FC4">
        <w:t>Source:</w:t>
      </w:r>
      <w:r w:rsidRPr="00404FC4">
        <w:tab/>
        <w:t xml:space="preserve">AER analysis and DMIA </w:t>
      </w:r>
      <w:r w:rsidR="00F6148F">
        <w:t>r</w:t>
      </w:r>
      <w:r w:rsidRPr="00404FC4">
        <w:t>eports submitted by DNSPs</w:t>
      </w:r>
      <w:r w:rsidR="000B0EE3">
        <w:t xml:space="preserve">; </w:t>
      </w:r>
    </w:p>
    <w:p w:rsidR="00F5374A" w:rsidRDefault="000B0EE3" w:rsidP="00F5374A">
      <w:pPr>
        <w:pStyle w:val="AERtablesource"/>
      </w:pPr>
      <w:r>
        <w:t>Note: (a)</w:t>
      </w:r>
      <w:r>
        <w:tab/>
        <w:t xml:space="preserve">the final carryover amounts will be subject to the final adjustment when the WACC is updated when DNSPs submit the annual pricing proposals.   </w:t>
      </w:r>
    </w:p>
    <w:p w:rsidR="00450A93" w:rsidRDefault="00450A93">
      <w:pPr>
        <w:spacing w:line="240" w:lineRule="auto"/>
      </w:pPr>
      <w:r>
        <w:br w:type="page"/>
      </w:r>
    </w:p>
    <w:p w:rsidR="003E5CC1" w:rsidRPr="003F20E1" w:rsidRDefault="003E5CC1" w:rsidP="003F20E1">
      <w:pPr>
        <w:pStyle w:val="Heading1"/>
      </w:pPr>
      <w:bookmarkStart w:id="4" w:name="_Toc445801805"/>
      <w:r w:rsidRPr="003F20E1">
        <w:lastRenderedPageBreak/>
        <w:t>Background</w:t>
      </w:r>
      <w:bookmarkEnd w:id="3"/>
      <w:bookmarkEnd w:id="4"/>
      <w:r w:rsidRPr="003F20E1">
        <w:t xml:space="preserve"> </w:t>
      </w:r>
    </w:p>
    <w:p w:rsidR="007C344B" w:rsidRPr="007C344B" w:rsidRDefault="007C344B" w:rsidP="007C344B">
      <w:pPr>
        <w:numPr>
          <w:ilvl w:val="0"/>
          <w:numId w:val="24"/>
        </w:numPr>
      </w:pPr>
      <w:bookmarkStart w:id="5" w:name="_Toc392751190"/>
      <w:r w:rsidRPr="007C344B">
        <w:t xml:space="preserve">The Demand Management Incentive Scheme (DMIS) is a research and development fund which aims to provide incentives for Distribution Network Service Providers (DNSPs) to conduct research and investigation into innovative techniques for managing demand. The AER published its DMIS for the non-Victorian DNSPs (in October and November 2008) and Victorian DNSPs (in April 2009) in accordance with clause 6.6.3 of the National Electricity Rules (NER). </w:t>
      </w:r>
    </w:p>
    <w:p w:rsidR="007C344B" w:rsidRPr="007C344B" w:rsidRDefault="007C344B" w:rsidP="007C344B">
      <w:pPr>
        <w:numPr>
          <w:ilvl w:val="0"/>
          <w:numId w:val="24"/>
        </w:numPr>
      </w:pPr>
      <w:r w:rsidRPr="007C344B">
        <w:t>The Demand Management Innovation Allowance (DMIA) is part A of the DMIS. DMIA is provided to a DNSP in the form of a fixed amount of additional revenue at the commencement of each year of the regulatory period. As part of its distribution determination the AER has previously approved the allowances in accordance with Part A of the DMIS.</w:t>
      </w:r>
    </w:p>
    <w:p w:rsidR="007C344B" w:rsidRPr="007C344B" w:rsidRDefault="007C344B" w:rsidP="007C344B">
      <w:pPr>
        <w:numPr>
          <w:ilvl w:val="0"/>
          <w:numId w:val="24"/>
        </w:numPr>
      </w:pPr>
      <w:r w:rsidRPr="007C344B">
        <w:t xml:space="preserve">In the second year of the next regulatory control period, when results for the five years of the current regulatory control period are known, a single adjustment will be made to return the amount of any underspends or unapproved DMIA amounts to customers. This ensures that the scheme remains neutral in terms of the expenditure profile which the DNSP adopts during the regulatory control period. </w:t>
      </w:r>
    </w:p>
    <w:p w:rsidR="007C344B" w:rsidRPr="007C344B" w:rsidRDefault="007C344B" w:rsidP="007C344B">
      <w:pPr>
        <w:numPr>
          <w:ilvl w:val="0"/>
          <w:numId w:val="24"/>
        </w:numPr>
      </w:pPr>
      <w:r w:rsidRPr="007C344B">
        <w:t>Part B of the DMIS relates to foregone revenue. It allows the DNSPs to recover foregone revenue in a regulatory control period resulting from a reduction in the quantity of energy sold directly attributable to demand management projects or programs approved under Part A of the scheme.</w:t>
      </w:r>
    </w:p>
    <w:p w:rsidR="007C344B" w:rsidRPr="007C344B" w:rsidRDefault="007C344B" w:rsidP="007C344B">
      <w:pPr>
        <w:numPr>
          <w:ilvl w:val="0"/>
          <w:numId w:val="24"/>
        </w:numPr>
      </w:pPr>
      <w:r w:rsidRPr="007C344B">
        <w:t>A key objective of the DMIS is to assist in enhancing industry knowledge of practical demand management projects and programs through the annual publication of DMIS reports from DNSPs. As such, the DMIS sets out annual reporting requirements for DNSPs for the regulatory control period. DNSPs are required to submit a report to the AER on their DMIS expenditure shortly after the end of each regulatory year. The information provided in a DNSP’s annual DMIS report is used in the AER’s assessment of a DNSP’s compliance with the DMIA criteria and entitlement to recover expenditure under the DMIA.</w:t>
      </w:r>
    </w:p>
    <w:p w:rsidR="000A2B46" w:rsidRDefault="00815D8D">
      <w:pPr>
        <w:spacing w:line="240" w:lineRule="auto"/>
      </w:pPr>
      <w:r>
        <w:t xml:space="preserve">Chapter 2 provides the </w:t>
      </w:r>
      <w:r w:rsidRPr="00815D8D">
        <w:t>criteria contained in the DMIS</w:t>
      </w:r>
      <w:r>
        <w:t>, against which t</w:t>
      </w:r>
      <w:r w:rsidRPr="00815D8D">
        <w:t xml:space="preserve">he AER is required to assess claims for the DMIA </w:t>
      </w:r>
      <w:r>
        <w:t>each year.</w:t>
      </w:r>
    </w:p>
    <w:p w:rsidR="00815D8D" w:rsidRDefault="00815D8D">
      <w:pPr>
        <w:spacing w:line="240" w:lineRule="auto"/>
      </w:pPr>
      <w:r>
        <w:t xml:space="preserve">Chapter 3 provides a summary </w:t>
      </w:r>
      <w:r w:rsidR="00F04DBD">
        <w:t xml:space="preserve">of our </w:t>
      </w:r>
      <w:r>
        <w:t xml:space="preserve">annual </w:t>
      </w:r>
      <w:r w:rsidRPr="00815D8D">
        <w:t xml:space="preserve">DMIA compliance assessment </w:t>
      </w:r>
      <w:r w:rsidR="00F04DBD">
        <w:t xml:space="preserve">results of all DNSPs' </w:t>
      </w:r>
      <w:r w:rsidRPr="00815D8D">
        <w:t>DMIA re</w:t>
      </w:r>
      <w:r>
        <w:t xml:space="preserve">ports and supporting information. It also provides </w:t>
      </w:r>
      <w:r w:rsidRPr="00815D8D">
        <w:t>a carryover amount adjustment for the non–Victorian/Tasmanian electricity distributors</w:t>
      </w:r>
      <w:r>
        <w:t xml:space="preserve">, which will be included in </w:t>
      </w:r>
      <w:r w:rsidR="00F04DBD">
        <w:t xml:space="preserve">setting </w:t>
      </w:r>
      <w:r>
        <w:t>the 2016–17</w:t>
      </w:r>
      <w:r w:rsidR="00F04DBD">
        <w:t xml:space="preserve"> network charges</w:t>
      </w:r>
      <w:r>
        <w:t>.</w:t>
      </w:r>
    </w:p>
    <w:p w:rsidR="00815D8D" w:rsidRDefault="00251DD2">
      <w:pPr>
        <w:spacing w:line="240" w:lineRule="auto"/>
      </w:pPr>
      <w:r>
        <w:t>C</w:t>
      </w:r>
      <w:r w:rsidR="00815D8D">
        <w:t>hapter</w:t>
      </w:r>
      <w:r w:rsidR="00DC4D5F">
        <w:t>s</w:t>
      </w:r>
      <w:r w:rsidR="00815D8D">
        <w:t xml:space="preserve"> 4 to </w:t>
      </w:r>
      <w:r>
        <w:t>16 of the report</w:t>
      </w:r>
      <w:r w:rsidR="00DC4D5F">
        <w:t xml:space="preserve"> </w:t>
      </w:r>
      <w:r w:rsidR="00815D8D">
        <w:t>provide</w:t>
      </w:r>
      <w:r w:rsidR="00DC4D5F">
        <w:t xml:space="preserve"> the detailed assessment </w:t>
      </w:r>
      <w:r w:rsidR="00F04DBD">
        <w:t xml:space="preserve">of all DNSPs' </w:t>
      </w:r>
      <w:r w:rsidR="00DC4D5F">
        <w:t>DMIA</w:t>
      </w:r>
      <w:r w:rsidR="00F04DBD">
        <w:t xml:space="preserve"> expenditure claims</w:t>
      </w:r>
      <w:r w:rsidR="00DC4D5F">
        <w:t xml:space="preserve"> against the </w:t>
      </w:r>
      <w:r w:rsidR="00DC4D5F" w:rsidRPr="00DC4D5F">
        <w:t>criteria contained in the DMIS</w:t>
      </w:r>
      <w:r w:rsidR="00DC4D5F">
        <w:t>.</w:t>
      </w:r>
    </w:p>
    <w:p w:rsidR="00904F37" w:rsidRDefault="00904F37">
      <w:pPr>
        <w:spacing w:line="240" w:lineRule="auto"/>
        <w:rPr>
          <w:rFonts w:eastAsiaTheme="majorEastAsia" w:cstheme="majorBidi"/>
          <w:b/>
          <w:bCs/>
          <w:color w:val="70635A"/>
          <w:sz w:val="36"/>
          <w:szCs w:val="28"/>
        </w:rPr>
      </w:pPr>
      <w:r>
        <w:br w:type="page"/>
      </w:r>
    </w:p>
    <w:p w:rsidR="003E5CC1" w:rsidRPr="003F20E1" w:rsidRDefault="003E5CC1" w:rsidP="003F20E1">
      <w:pPr>
        <w:pStyle w:val="Heading1"/>
      </w:pPr>
      <w:bookmarkStart w:id="6" w:name="_Toc445801806"/>
      <w:r w:rsidRPr="003F20E1">
        <w:lastRenderedPageBreak/>
        <w:t>Demand Management Incentive Scheme Criteria</w:t>
      </w:r>
      <w:bookmarkEnd w:id="5"/>
      <w:bookmarkEnd w:id="6"/>
    </w:p>
    <w:p w:rsidR="003E5CC1" w:rsidRPr="001B0D42" w:rsidRDefault="003E5CC1" w:rsidP="003E5CC1">
      <w:r w:rsidRPr="001B0D42">
        <w:t>The AER is required to assess claims for the DMIA against the criteria contained in the DMIS</w:t>
      </w:r>
      <w:r>
        <w:t xml:space="preserve"> each year</w:t>
      </w:r>
      <w:r w:rsidRPr="001B0D42">
        <w:t>. The DMI</w:t>
      </w:r>
      <w:r>
        <w:t>A</w:t>
      </w:r>
      <w:r w:rsidRPr="001B0D42">
        <w:t xml:space="preserve"> criteria are:</w:t>
      </w:r>
    </w:p>
    <w:p w:rsidR="003E5CC1" w:rsidRPr="001B0D42" w:rsidRDefault="009B52A1" w:rsidP="003E5CC1">
      <w:r w:rsidRPr="009C7BC2">
        <w:rPr>
          <w:noProof/>
          <w:lang w:eastAsia="zh-CN"/>
        </w:rPr>
        <mc:AlternateContent>
          <mc:Choice Requires="wps">
            <w:drawing>
              <wp:anchor distT="0" distB="0" distL="114300" distR="114300" simplePos="0" relativeHeight="251668480" behindDoc="0" locked="0" layoutInCell="1" allowOverlap="1" wp14:anchorId="534B5018" wp14:editId="0B4C9392">
                <wp:simplePos x="0" y="0"/>
                <wp:positionH relativeFrom="column">
                  <wp:posOffset>-116840</wp:posOffset>
                </wp:positionH>
                <wp:positionV relativeFrom="paragraph">
                  <wp:posOffset>48895</wp:posOffset>
                </wp:positionV>
                <wp:extent cx="5429250" cy="1038225"/>
                <wp:effectExtent l="0" t="0" r="19050" b="2857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0" cy="1038225"/>
                        </a:xfrm>
                        <a:prstGeom prst="roundRect">
                          <a:avLst/>
                        </a:prstGeom>
                        <a:noFill/>
                        <a:ln w="25400" cap="flat" cmpd="sng" algn="ctr">
                          <a:solidFill>
                            <a:srgbClr val="F2750E"/>
                          </a:solidFill>
                          <a:prstDash val="solid"/>
                        </a:ln>
                        <a:effectLst/>
                      </wps:spPr>
                      <wps:txbx>
                        <w:txbxContent>
                          <w:p w:rsidR="00045D1E" w:rsidRPr="002903DC" w:rsidRDefault="00045D1E" w:rsidP="002903DC">
                            <w:r w:rsidRPr="002903DC">
                              <w:rPr>
                                <w:rStyle w:val="Strong"/>
                              </w:rPr>
                              <w:t>Criteria #1</w:t>
                            </w:r>
                            <w:r>
                              <w:rPr>
                                <w:rStyle w:val="Strong"/>
                              </w:rPr>
                              <w:t>:</w:t>
                            </w:r>
                            <w:r w:rsidRPr="002903DC">
                              <w:t xml:space="preserve"> </w:t>
                            </w:r>
                            <w:r w:rsidRPr="002903DC">
                              <w:rPr>
                                <w:rStyle w:val="AERtextsize10"/>
                              </w:rPr>
                              <w:t>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w:t>
                            </w:r>
                          </w:p>
                          <w:p w:rsidR="00045D1E" w:rsidRPr="00C07C00" w:rsidRDefault="00045D1E" w:rsidP="009C7BC2">
                            <w:pPr>
                              <w:jc w:val="center"/>
                              <w:rPr>
                                <w:b/>
                                <w:color w:val="076A92" w:themeColor="text1"/>
                              </w:rPr>
                            </w:pPr>
                          </w:p>
                          <w:p w:rsidR="00045D1E" w:rsidRDefault="00045D1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9.2pt;margin-top:3.85pt;width:427.5pt;height:8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" filled="f" strokecolor="#f2750e" strokeweight="2pt">
                <v:path arrowok="t"/>
                <v:textbox>
                  <w:txbxContent>
                    <w:p w:rsidR="00045D1E" w:rsidRPr="002903DC" w:rsidRDefault="00045D1E" w:rsidP="002903DC">
                      <w:r w:rsidRPr="002903DC">
                        <w:rPr>
                          <w:rStyle w:val="Strong"/>
                        </w:rPr>
                        <w:t>Criteria #1</w:t>
                      </w:r>
                      <w:r>
                        <w:rPr>
                          <w:rStyle w:val="Strong"/>
                        </w:rPr>
                        <w:t>:</w:t>
                      </w:r>
                      <w:r w:rsidRPr="002903DC">
                        <w:t xml:space="preserve"> </w:t>
                      </w:r>
                      <w:r w:rsidRPr="002903DC">
                        <w:rPr>
                          <w:rStyle w:val="AERtextsize10"/>
                        </w:rPr>
                        <w:t>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w:t>
                      </w:r>
                    </w:p>
                    <w:p w:rsidR="00045D1E" w:rsidRPr="00C07C00" w:rsidRDefault="00045D1E" w:rsidP="009C7BC2">
                      <w:pPr>
                        <w:jc w:val="center"/>
                        <w:rPr>
                          <w:b/>
                          <w:color w:val="076A92" w:themeColor="text1"/>
                        </w:rPr>
                      </w:pPr>
                    </w:p>
                    <w:p w:rsidR="00045D1E" w:rsidRDefault="00045D1E"/>
                  </w:txbxContent>
                </v:textbox>
              </v:roundrect>
            </w:pict>
          </mc:Fallback>
        </mc:AlternateContent>
      </w:r>
    </w:p>
    <w:p w:rsidR="003E5CC1" w:rsidRPr="001B0D42" w:rsidRDefault="003E5CC1" w:rsidP="003E5CC1"/>
    <w:p w:rsidR="003E5CC1" w:rsidRPr="001B0D42" w:rsidRDefault="003E5CC1" w:rsidP="003E5CC1"/>
    <w:p w:rsidR="003E5CC1" w:rsidRPr="001B0D42" w:rsidRDefault="009B52A1" w:rsidP="003E5CC1">
      <w:r w:rsidRPr="009C7BC2">
        <w:rPr>
          <w:noProof/>
          <w:lang w:eastAsia="zh-CN"/>
        </w:rPr>
        <mc:AlternateContent>
          <mc:Choice Requires="wps">
            <w:drawing>
              <wp:anchor distT="0" distB="0" distL="114300" distR="114300" simplePos="0" relativeHeight="251670528" behindDoc="0" locked="0" layoutInCell="1" allowOverlap="1" wp14:anchorId="13C5FC44" wp14:editId="2D6B8755">
                <wp:simplePos x="0" y="0"/>
                <wp:positionH relativeFrom="column">
                  <wp:posOffset>-116840</wp:posOffset>
                </wp:positionH>
                <wp:positionV relativeFrom="paragraph">
                  <wp:posOffset>275590</wp:posOffset>
                </wp:positionV>
                <wp:extent cx="5429250" cy="2190750"/>
                <wp:effectExtent l="0" t="0" r="19050" b="1905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0" cy="2190750"/>
                        </a:xfrm>
                        <a:prstGeom prst="roundRect">
                          <a:avLst/>
                        </a:prstGeom>
                        <a:noFill/>
                        <a:ln w="25400" cap="flat" cmpd="sng" algn="ctr">
                          <a:solidFill>
                            <a:srgbClr val="F2750E"/>
                          </a:solidFill>
                          <a:prstDash val="solid"/>
                        </a:ln>
                        <a:effectLst/>
                      </wps:spPr>
                      <wps:txbx>
                        <w:txbxContent>
                          <w:p w:rsidR="00045D1E" w:rsidRPr="00CE587A" w:rsidRDefault="00045D1E" w:rsidP="009C7BC2">
                            <w:pPr>
                              <w:rPr>
                                <w:rStyle w:val="AERtextsize10"/>
                              </w:rPr>
                            </w:pPr>
                            <w:r w:rsidRPr="002903DC">
                              <w:rPr>
                                <w:rStyle w:val="Strong"/>
                              </w:rPr>
                              <w:t>Criteria #2</w:t>
                            </w:r>
                            <w:r>
                              <w:rPr>
                                <w:rStyle w:val="Strong"/>
                              </w:rPr>
                              <w:t>:</w:t>
                            </w:r>
                            <w:r w:rsidRPr="002903DC">
                              <w:rPr>
                                <w:rStyle w:val="Strong"/>
                              </w:rPr>
                              <w:t xml:space="preserve"> </w:t>
                            </w:r>
                            <w:r w:rsidRPr="00CE587A">
                              <w:rPr>
                                <w:rStyle w:val="AERtextsize10"/>
                              </w:rPr>
                              <w:t>Demand management projects or programs may be:</w:t>
                            </w:r>
                          </w:p>
                          <w:p w:rsidR="00045D1E" w:rsidRPr="00CE587A" w:rsidRDefault="00045D1E" w:rsidP="009C7BC2">
                            <w:pPr>
                              <w:rPr>
                                <w:rStyle w:val="AERtextsize10"/>
                              </w:rPr>
                            </w:pPr>
                            <w:r w:rsidRPr="00CE587A">
                              <w:rPr>
                                <w:rStyle w:val="AERtextsize10"/>
                              </w:rPr>
                              <w:t>a. broad-based demand management projects or programs — which aim to reduce demand for standard control services across a DNSP’s network, rather than at a specific point in the network. These may be projects targeted at particular network users, such as residential or commercial customers, and may include energy efficiency programs; and/or</w:t>
                            </w:r>
                          </w:p>
                          <w:p w:rsidR="00045D1E" w:rsidRPr="00CE587A" w:rsidRDefault="00045D1E" w:rsidP="009C7BC2">
                            <w:pPr>
                              <w:rPr>
                                <w:rStyle w:val="AERtextsize10"/>
                              </w:rPr>
                            </w:pPr>
                            <w:r w:rsidRPr="00CE587A">
                              <w:rPr>
                                <w:rStyle w:val="AERtextsize10"/>
                              </w:rPr>
                              <w:t>b. peak demand management projects or programs — which aim to address specific network constraints by reducing demand on the network at the location and time of the constraint.</w:t>
                            </w:r>
                          </w:p>
                          <w:p w:rsidR="00045D1E" w:rsidRPr="00D503C7" w:rsidRDefault="00045D1E" w:rsidP="009C7BC2"/>
                          <w:p w:rsidR="00045D1E" w:rsidRPr="00C07C00" w:rsidRDefault="00045D1E" w:rsidP="009C7BC2">
                            <w:pPr>
                              <w:jc w:val="center"/>
                              <w:rPr>
                                <w:b/>
                                <w:color w:val="076A92" w:themeColor="text1"/>
                              </w:rPr>
                            </w:pPr>
                          </w:p>
                          <w:p w:rsidR="00045D1E" w:rsidRDefault="00045D1E" w:rsidP="009C7BC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27" style="position:absolute;margin-left:-9.2pt;margin-top:21.7pt;width:42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" filled="f" strokecolor="#f2750e" strokeweight="2pt">
                <v:path arrowok="t"/>
                <v:textbox>
                  <w:txbxContent>
                    <w:p w:rsidR="00045D1E" w:rsidRPr="00CE587A" w:rsidRDefault="00045D1E" w:rsidP="009C7BC2">
                      <w:pPr>
                        <w:rPr>
                          <w:rStyle w:val="AERtextsize10"/>
                        </w:rPr>
                      </w:pPr>
                      <w:r w:rsidRPr="002903DC">
                        <w:rPr>
                          <w:rStyle w:val="Strong"/>
                        </w:rPr>
                        <w:t>Criteria #2</w:t>
                      </w:r>
                      <w:r>
                        <w:rPr>
                          <w:rStyle w:val="Strong"/>
                        </w:rPr>
                        <w:t>:</w:t>
                      </w:r>
                      <w:r w:rsidRPr="002903DC">
                        <w:rPr>
                          <w:rStyle w:val="Strong"/>
                        </w:rPr>
                        <w:t xml:space="preserve"> </w:t>
                      </w:r>
                      <w:r w:rsidRPr="00CE587A">
                        <w:rPr>
                          <w:rStyle w:val="AERtextsize10"/>
                        </w:rPr>
                        <w:t>Demand management projects or programs may be:</w:t>
                      </w:r>
                    </w:p>
                    <w:p w:rsidR="00045D1E" w:rsidRPr="00CE587A" w:rsidRDefault="00045D1E" w:rsidP="009C7BC2">
                      <w:pPr>
                        <w:rPr>
                          <w:rStyle w:val="AERtextsize10"/>
                        </w:rPr>
                      </w:pPr>
                      <w:proofErr w:type="gramStart"/>
                      <w:r w:rsidRPr="00CE587A">
                        <w:rPr>
                          <w:rStyle w:val="AERtextsize10"/>
                        </w:rPr>
                        <w:t>a</w:t>
                      </w:r>
                      <w:proofErr w:type="gramEnd"/>
                      <w:r w:rsidRPr="00CE587A">
                        <w:rPr>
                          <w:rStyle w:val="AERtextsize10"/>
                        </w:rPr>
                        <w:t>. broad-based demand management projects or programs — which aim to reduce demand for standard control services across a DNSP’s network, rather than at a specific point in the network. These may be projects targeted at particular network users, such as residential or commercial customers, and may include energy efficiency programs; and/or</w:t>
                      </w:r>
                    </w:p>
                    <w:p w:rsidR="00045D1E" w:rsidRPr="00CE587A" w:rsidRDefault="00045D1E" w:rsidP="009C7BC2">
                      <w:pPr>
                        <w:rPr>
                          <w:rStyle w:val="AERtextsize10"/>
                        </w:rPr>
                      </w:pPr>
                      <w:proofErr w:type="gramStart"/>
                      <w:r w:rsidRPr="00CE587A">
                        <w:rPr>
                          <w:rStyle w:val="AERtextsize10"/>
                        </w:rPr>
                        <w:t>b</w:t>
                      </w:r>
                      <w:proofErr w:type="gramEnd"/>
                      <w:r w:rsidRPr="00CE587A">
                        <w:rPr>
                          <w:rStyle w:val="AERtextsize10"/>
                        </w:rPr>
                        <w:t>. peak demand management projects or programs — which aim to address specific network constraints by reducing demand on the network at the location and time of the constraint.</w:t>
                      </w:r>
                    </w:p>
                    <w:p w:rsidR="00045D1E" w:rsidRPr="00D503C7" w:rsidRDefault="00045D1E" w:rsidP="009C7BC2"/>
                    <w:p w:rsidR="00045D1E" w:rsidRPr="00C07C00" w:rsidRDefault="00045D1E" w:rsidP="009C7BC2">
                      <w:pPr>
                        <w:jc w:val="center"/>
                        <w:rPr>
                          <w:b/>
                          <w:color w:val="076A92" w:themeColor="text1"/>
                        </w:rPr>
                      </w:pPr>
                    </w:p>
                    <w:p w:rsidR="00045D1E" w:rsidRDefault="00045D1E" w:rsidP="009C7BC2"/>
                  </w:txbxContent>
                </v:textbox>
              </v:roundrect>
            </w:pict>
          </mc:Fallback>
        </mc:AlternateContent>
      </w:r>
    </w:p>
    <w:p w:rsidR="003E5CC1" w:rsidRPr="001B0D42" w:rsidRDefault="003E5CC1" w:rsidP="003E5CC1"/>
    <w:p w:rsidR="003E5CC1" w:rsidRPr="001B0D42" w:rsidRDefault="003E5CC1" w:rsidP="003E5CC1"/>
    <w:p w:rsidR="003E5CC1" w:rsidRPr="001B0D42" w:rsidRDefault="003E5CC1" w:rsidP="003E5CC1"/>
    <w:p w:rsidR="003E5CC1" w:rsidRPr="001B0D42" w:rsidRDefault="003E5CC1" w:rsidP="003E5CC1"/>
    <w:p w:rsidR="003E5CC1" w:rsidRPr="001B0D42" w:rsidRDefault="003E5CC1" w:rsidP="003E5CC1"/>
    <w:p w:rsidR="003E5CC1" w:rsidRPr="001B0D42" w:rsidRDefault="003E5CC1" w:rsidP="003E5CC1"/>
    <w:p w:rsidR="003E5CC1" w:rsidRPr="001B0D42" w:rsidRDefault="003E5CC1" w:rsidP="003E5CC1"/>
    <w:p w:rsidR="003E5CC1" w:rsidRPr="001B0D42" w:rsidRDefault="009B52A1" w:rsidP="003E5CC1">
      <w:r w:rsidRPr="009C7BC2">
        <w:rPr>
          <w:noProof/>
          <w:lang w:eastAsia="zh-CN"/>
        </w:rPr>
        <mc:AlternateContent>
          <mc:Choice Requires="wps">
            <w:drawing>
              <wp:anchor distT="0" distB="0" distL="114300" distR="114300" simplePos="0" relativeHeight="251672576" behindDoc="0" locked="0" layoutInCell="1" allowOverlap="1" wp14:anchorId="11339E6D" wp14:editId="04516736">
                <wp:simplePos x="0" y="0"/>
                <wp:positionH relativeFrom="column">
                  <wp:posOffset>-69215</wp:posOffset>
                </wp:positionH>
                <wp:positionV relativeFrom="paragraph">
                  <wp:posOffset>106046</wp:posOffset>
                </wp:positionV>
                <wp:extent cx="5429250" cy="857250"/>
                <wp:effectExtent l="0" t="0" r="19050" b="1905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0" cy="857250"/>
                        </a:xfrm>
                        <a:prstGeom prst="roundRect">
                          <a:avLst/>
                        </a:prstGeom>
                        <a:noFill/>
                        <a:ln w="25400" cap="flat" cmpd="sng" algn="ctr">
                          <a:solidFill>
                            <a:srgbClr val="F2750E"/>
                          </a:solidFill>
                          <a:prstDash val="solid"/>
                        </a:ln>
                        <a:effectLst/>
                      </wps:spPr>
                      <wps:txbx>
                        <w:txbxContent>
                          <w:p w:rsidR="00045D1E" w:rsidRPr="00CE587A" w:rsidRDefault="00045D1E" w:rsidP="009B52A1">
                            <w:pPr>
                              <w:rPr>
                                <w:rStyle w:val="AERtextsize10"/>
                              </w:rPr>
                            </w:pPr>
                            <w:r w:rsidRPr="002903DC">
                              <w:rPr>
                                <w:rStyle w:val="Strong"/>
                              </w:rPr>
                              <w:t>Criteria #3</w:t>
                            </w:r>
                            <w:r>
                              <w:rPr>
                                <w:rStyle w:val="Strong"/>
                              </w:rPr>
                              <w:t>:</w:t>
                            </w:r>
                            <w:r>
                              <w:t xml:space="preserve"> </w:t>
                            </w:r>
                            <w:r w:rsidRPr="00CE587A">
                              <w:rPr>
                                <w:rStyle w:val="AERtextsize10"/>
                              </w:rPr>
                              <w:t>Demand management projects or programs may be innovative, and designed to build demand management capability and capacity and explore potentially efficient demand management mechanisms, including but not limited to new or original concepts.</w:t>
                            </w:r>
                          </w:p>
                          <w:p w:rsidR="00045D1E" w:rsidRPr="00C07C00" w:rsidRDefault="00045D1E" w:rsidP="009B52A1">
                            <w:pPr>
                              <w:jc w:val="center"/>
                              <w:rPr>
                                <w:b/>
                                <w:color w:val="076A92" w:themeColor="text1"/>
                              </w:rPr>
                            </w:pPr>
                          </w:p>
                          <w:p w:rsidR="00045D1E" w:rsidRDefault="00045D1E" w:rsidP="009B52A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28" style="position:absolute;margin-left:-5.45pt;margin-top:8.35pt;width:427.5pt;height: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" filled="f" strokecolor="#f2750e" strokeweight="2pt">
                <v:path arrowok="t"/>
                <v:textbox>
                  <w:txbxContent>
                    <w:p w:rsidR="00045D1E" w:rsidRPr="00CE587A" w:rsidRDefault="00045D1E" w:rsidP="009B52A1">
                      <w:pPr>
                        <w:rPr>
                          <w:rStyle w:val="AERtextsize10"/>
                        </w:rPr>
                      </w:pPr>
                      <w:r w:rsidRPr="002903DC">
                        <w:rPr>
                          <w:rStyle w:val="Strong"/>
                        </w:rPr>
                        <w:t>Criteria #3</w:t>
                      </w:r>
                      <w:r>
                        <w:rPr>
                          <w:rStyle w:val="Strong"/>
                        </w:rPr>
                        <w:t>:</w:t>
                      </w:r>
                      <w:r>
                        <w:t xml:space="preserve"> </w:t>
                      </w:r>
                      <w:r w:rsidRPr="00CE587A">
                        <w:rPr>
                          <w:rStyle w:val="AERtextsize10"/>
                        </w:rPr>
                        <w:t>Demand management projects or programs may be innovative, and designed to build demand management capability and capacity and explore potentially efficient demand management mechanisms, including but not limited to new or original concepts.</w:t>
                      </w:r>
                    </w:p>
                    <w:p w:rsidR="00045D1E" w:rsidRPr="00C07C00" w:rsidRDefault="00045D1E" w:rsidP="009B52A1">
                      <w:pPr>
                        <w:jc w:val="center"/>
                        <w:rPr>
                          <w:b/>
                          <w:color w:val="076A92" w:themeColor="text1"/>
                        </w:rPr>
                      </w:pPr>
                    </w:p>
                    <w:p w:rsidR="00045D1E" w:rsidRDefault="00045D1E" w:rsidP="009B52A1"/>
                  </w:txbxContent>
                </v:textbox>
              </v:roundrect>
            </w:pict>
          </mc:Fallback>
        </mc:AlternateContent>
      </w:r>
    </w:p>
    <w:p w:rsidR="003E5CC1" w:rsidRPr="001B0D42" w:rsidRDefault="003E5CC1" w:rsidP="003E5CC1"/>
    <w:p w:rsidR="003E5CC1" w:rsidRPr="001B0D42" w:rsidRDefault="003E5CC1" w:rsidP="003E5CC1"/>
    <w:p w:rsidR="003E5CC1" w:rsidRPr="001B0D42" w:rsidRDefault="00CE587A" w:rsidP="003E5CC1">
      <w:r w:rsidRPr="009C7BC2">
        <w:rPr>
          <w:noProof/>
          <w:lang w:eastAsia="zh-CN"/>
        </w:rPr>
        <mc:AlternateContent>
          <mc:Choice Requires="wps">
            <w:drawing>
              <wp:anchor distT="0" distB="0" distL="114300" distR="114300" simplePos="0" relativeHeight="251674624" behindDoc="0" locked="0" layoutInCell="1" allowOverlap="1" wp14:anchorId="41F12B27" wp14:editId="5C115B45">
                <wp:simplePos x="0" y="0"/>
                <wp:positionH relativeFrom="column">
                  <wp:posOffset>-69215</wp:posOffset>
                </wp:positionH>
                <wp:positionV relativeFrom="paragraph">
                  <wp:posOffset>151765</wp:posOffset>
                </wp:positionV>
                <wp:extent cx="5429250" cy="438150"/>
                <wp:effectExtent l="0" t="0" r="19050" b="1905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0" cy="438150"/>
                        </a:xfrm>
                        <a:prstGeom prst="roundRect">
                          <a:avLst/>
                        </a:prstGeom>
                        <a:noFill/>
                        <a:ln w="25400" cap="flat" cmpd="sng" algn="ctr">
                          <a:solidFill>
                            <a:srgbClr val="F2750E"/>
                          </a:solidFill>
                          <a:prstDash val="solid"/>
                        </a:ln>
                        <a:effectLst/>
                      </wps:spPr>
                      <wps:txbx>
                        <w:txbxContent>
                          <w:p w:rsidR="00045D1E" w:rsidRPr="00CE587A" w:rsidRDefault="00045D1E" w:rsidP="009B52A1">
                            <w:pPr>
                              <w:rPr>
                                <w:rStyle w:val="AERtextsize10"/>
                              </w:rPr>
                            </w:pPr>
                            <w:r w:rsidRPr="009B52A1">
                              <w:rPr>
                                <w:rStyle w:val="Strong"/>
                              </w:rPr>
                              <w:t>Criteria #4</w:t>
                            </w:r>
                            <w:r>
                              <w:rPr>
                                <w:rStyle w:val="Strong"/>
                              </w:rPr>
                              <w:t>:</w:t>
                            </w:r>
                            <w:r>
                              <w:t xml:space="preserve"> </w:t>
                            </w:r>
                            <w:r w:rsidRPr="00CE587A">
                              <w:rPr>
                                <w:rStyle w:val="AERtextsize10"/>
                              </w:rPr>
                              <w:t>Recoverable projects and programs may be tariff or non-tariff based.</w:t>
                            </w:r>
                          </w:p>
                          <w:p w:rsidR="00045D1E" w:rsidRDefault="00045D1E" w:rsidP="009B52A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29" style="position:absolute;margin-left:-5.45pt;margin-top:11.95pt;width:427.5pt;height: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" filled="f" strokecolor="#f2750e" strokeweight="2pt">
                <v:path arrowok="t"/>
                <v:textbox>
                  <w:txbxContent>
                    <w:p w:rsidR="00045D1E" w:rsidRPr="00CE587A" w:rsidRDefault="00045D1E" w:rsidP="009B52A1">
                      <w:pPr>
                        <w:rPr>
                          <w:rStyle w:val="AERtextsize10"/>
                        </w:rPr>
                      </w:pPr>
                      <w:r w:rsidRPr="009B52A1">
                        <w:rPr>
                          <w:rStyle w:val="Strong"/>
                        </w:rPr>
                        <w:t>Criteria #4</w:t>
                      </w:r>
                      <w:r>
                        <w:rPr>
                          <w:rStyle w:val="Strong"/>
                        </w:rPr>
                        <w:t>:</w:t>
                      </w:r>
                      <w:r>
                        <w:t xml:space="preserve"> </w:t>
                      </w:r>
                      <w:r w:rsidRPr="00CE587A">
                        <w:rPr>
                          <w:rStyle w:val="AERtextsize10"/>
                        </w:rPr>
                        <w:t>Recoverable projects and programs may be tariff or non-tariff based.</w:t>
                      </w:r>
                    </w:p>
                    <w:p w:rsidR="00045D1E" w:rsidRDefault="00045D1E" w:rsidP="009B52A1"/>
                  </w:txbxContent>
                </v:textbox>
              </v:roundrect>
            </w:pict>
          </mc:Fallback>
        </mc:AlternateContent>
      </w:r>
    </w:p>
    <w:p w:rsidR="003E5CC1" w:rsidRPr="001B0D42" w:rsidRDefault="003E5CC1" w:rsidP="003E5CC1"/>
    <w:p w:rsidR="003E5CC1" w:rsidRPr="001B0D42" w:rsidRDefault="00CE587A" w:rsidP="003E5CC1">
      <w:r w:rsidRPr="009C7BC2">
        <w:rPr>
          <w:noProof/>
          <w:lang w:eastAsia="zh-CN"/>
        </w:rPr>
        <mc:AlternateContent>
          <mc:Choice Requires="wps">
            <w:drawing>
              <wp:anchor distT="0" distB="0" distL="114300" distR="114300" simplePos="0" relativeHeight="251676672" behindDoc="0" locked="0" layoutInCell="1" allowOverlap="1" wp14:anchorId="20E759AF" wp14:editId="66684C77">
                <wp:simplePos x="0" y="0"/>
                <wp:positionH relativeFrom="column">
                  <wp:posOffset>-116840</wp:posOffset>
                </wp:positionH>
                <wp:positionV relativeFrom="paragraph">
                  <wp:posOffset>90170</wp:posOffset>
                </wp:positionV>
                <wp:extent cx="5429250" cy="1809750"/>
                <wp:effectExtent l="0" t="0" r="19050" b="19050"/>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0" cy="1809750"/>
                        </a:xfrm>
                        <a:prstGeom prst="roundRect">
                          <a:avLst/>
                        </a:prstGeom>
                        <a:noFill/>
                        <a:ln w="25400" cap="flat" cmpd="sng" algn="ctr">
                          <a:solidFill>
                            <a:srgbClr val="F2750E"/>
                          </a:solidFill>
                          <a:prstDash val="solid"/>
                        </a:ln>
                        <a:effectLst/>
                      </wps:spPr>
                      <wps:txbx>
                        <w:txbxContent>
                          <w:p w:rsidR="00045D1E" w:rsidRPr="00CE587A" w:rsidRDefault="00045D1E" w:rsidP="009B52A1">
                            <w:pPr>
                              <w:rPr>
                                <w:rStyle w:val="AERtextsize10"/>
                              </w:rPr>
                            </w:pPr>
                            <w:r w:rsidRPr="009B52A1">
                              <w:rPr>
                                <w:rStyle w:val="Strong"/>
                              </w:rPr>
                              <w:t>Criteria #5</w:t>
                            </w:r>
                            <w:r>
                              <w:rPr>
                                <w:rStyle w:val="Strong"/>
                              </w:rPr>
                              <w:t>:</w:t>
                            </w:r>
                            <w:r>
                              <w:t xml:space="preserve"> </w:t>
                            </w:r>
                            <w:r w:rsidRPr="00CE587A">
                              <w:rPr>
                                <w:rStyle w:val="AERtextsize10"/>
                              </w:rPr>
                              <w:t xml:space="preserve">Costs recovered under this scheme: </w:t>
                            </w:r>
                          </w:p>
                          <w:p w:rsidR="00045D1E" w:rsidRPr="00CE587A" w:rsidRDefault="00045D1E" w:rsidP="009B52A1">
                            <w:pPr>
                              <w:rPr>
                                <w:rStyle w:val="AERtextsize10"/>
                              </w:rPr>
                            </w:pPr>
                            <w:r w:rsidRPr="00CE587A">
                              <w:rPr>
                                <w:rStyle w:val="AERtextsize10"/>
                              </w:rPr>
                              <w:t xml:space="preserve">a. must not be recoverable under any other jurisdictional incentive scheme </w:t>
                            </w:r>
                          </w:p>
                          <w:p w:rsidR="00045D1E" w:rsidRPr="00CE587A" w:rsidRDefault="00045D1E" w:rsidP="009B52A1">
                            <w:pPr>
                              <w:rPr>
                                <w:rStyle w:val="AERtextsize10"/>
                              </w:rPr>
                            </w:pPr>
                            <w:r w:rsidRPr="00CE587A">
                              <w:rPr>
                                <w:rStyle w:val="AERtextsize10"/>
                              </w:rPr>
                              <w:t xml:space="preserve">b. must not be recoverable under any other state or Australian Government scheme </w:t>
                            </w:r>
                          </w:p>
                          <w:p w:rsidR="00045D1E" w:rsidRPr="00CE587A" w:rsidRDefault="00045D1E" w:rsidP="009B52A1">
                            <w:pPr>
                              <w:rPr>
                                <w:rStyle w:val="AERtextsize10"/>
                              </w:rPr>
                            </w:pPr>
                            <w:r w:rsidRPr="00CE587A">
                              <w:rPr>
                                <w:rStyle w:val="AERtextsize10"/>
                              </w:rPr>
                              <w:t>c. must not be included in forecast capital or operating expenditure approved in the distribution determination for the regulatory control period under which the scheme applies, or under any other incentive scheme in that determination.</w:t>
                            </w:r>
                          </w:p>
                          <w:p w:rsidR="00045D1E" w:rsidRDefault="00045D1E" w:rsidP="009B52A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0" style="position:absolute;margin-left:-9.2pt;margin-top:7.1pt;width:427.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" filled="f" strokecolor="#f2750e" strokeweight="2pt">
                <v:path arrowok="t"/>
                <v:textbox>
                  <w:txbxContent>
                    <w:p w:rsidR="00045D1E" w:rsidRPr="00CE587A" w:rsidRDefault="00045D1E" w:rsidP="009B52A1">
                      <w:pPr>
                        <w:rPr>
                          <w:rStyle w:val="AERtextsize10"/>
                        </w:rPr>
                      </w:pPr>
                      <w:r w:rsidRPr="009B52A1">
                        <w:rPr>
                          <w:rStyle w:val="Strong"/>
                        </w:rPr>
                        <w:t>Criteria #5</w:t>
                      </w:r>
                      <w:r>
                        <w:rPr>
                          <w:rStyle w:val="Strong"/>
                        </w:rPr>
                        <w:t>:</w:t>
                      </w:r>
                      <w:r>
                        <w:t xml:space="preserve"> </w:t>
                      </w:r>
                      <w:r w:rsidRPr="00CE587A">
                        <w:rPr>
                          <w:rStyle w:val="AERtextsize10"/>
                        </w:rPr>
                        <w:t xml:space="preserve">Costs recovered under this scheme: </w:t>
                      </w:r>
                    </w:p>
                    <w:p w:rsidR="00045D1E" w:rsidRPr="00CE587A" w:rsidRDefault="00045D1E" w:rsidP="009B52A1">
                      <w:pPr>
                        <w:rPr>
                          <w:rStyle w:val="AERtextsize10"/>
                        </w:rPr>
                      </w:pPr>
                      <w:proofErr w:type="gramStart"/>
                      <w:r w:rsidRPr="00CE587A">
                        <w:rPr>
                          <w:rStyle w:val="AERtextsize10"/>
                        </w:rPr>
                        <w:t>a</w:t>
                      </w:r>
                      <w:proofErr w:type="gramEnd"/>
                      <w:r w:rsidRPr="00CE587A">
                        <w:rPr>
                          <w:rStyle w:val="AERtextsize10"/>
                        </w:rPr>
                        <w:t xml:space="preserve">. must not be recoverable under any other jurisdictional incentive scheme </w:t>
                      </w:r>
                    </w:p>
                    <w:p w:rsidR="00045D1E" w:rsidRPr="00CE587A" w:rsidRDefault="00045D1E" w:rsidP="009B52A1">
                      <w:pPr>
                        <w:rPr>
                          <w:rStyle w:val="AERtextsize10"/>
                        </w:rPr>
                      </w:pPr>
                      <w:proofErr w:type="gramStart"/>
                      <w:r w:rsidRPr="00CE587A">
                        <w:rPr>
                          <w:rStyle w:val="AERtextsize10"/>
                        </w:rPr>
                        <w:t>b</w:t>
                      </w:r>
                      <w:proofErr w:type="gramEnd"/>
                      <w:r w:rsidRPr="00CE587A">
                        <w:rPr>
                          <w:rStyle w:val="AERtextsize10"/>
                        </w:rPr>
                        <w:t xml:space="preserve">. must not be recoverable under any other state or Australian Government scheme </w:t>
                      </w:r>
                    </w:p>
                    <w:p w:rsidR="00045D1E" w:rsidRPr="00CE587A" w:rsidRDefault="00045D1E" w:rsidP="009B52A1">
                      <w:pPr>
                        <w:rPr>
                          <w:rStyle w:val="AERtextsize10"/>
                        </w:rPr>
                      </w:pPr>
                      <w:r w:rsidRPr="00CE587A">
                        <w:rPr>
                          <w:rStyle w:val="AERtextsize10"/>
                        </w:rPr>
                        <w:t>c. must not be included in forecast capital or operating expenditure approved in the distribution determination for the regulatory control period under which the scheme applies, or under any other incentive scheme in that determination.</w:t>
                      </w:r>
                    </w:p>
                    <w:p w:rsidR="00045D1E" w:rsidRDefault="00045D1E" w:rsidP="009B52A1"/>
                  </w:txbxContent>
                </v:textbox>
              </v:roundrect>
            </w:pict>
          </mc:Fallback>
        </mc:AlternateContent>
      </w:r>
    </w:p>
    <w:p w:rsidR="003E5CC1" w:rsidRPr="001B0D42" w:rsidRDefault="003E5CC1" w:rsidP="003E5CC1"/>
    <w:p w:rsidR="003E5CC1" w:rsidRPr="001B0D42" w:rsidRDefault="003E5CC1" w:rsidP="003E5CC1"/>
    <w:p w:rsidR="003E5CC1" w:rsidRPr="001B0D42" w:rsidRDefault="003E5CC1" w:rsidP="003E5CC1"/>
    <w:p w:rsidR="003E5CC1" w:rsidRPr="001B0D42" w:rsidRDefault="003E5CC1" w:rsidP="003E5CC1"/>
    <w:p w:rsidR="003E5CC1" w:rsidRPr="001B0D42" w:rsidRDefault="003E5CC1" w:rsidP="003E5CC1"/>
    <w:p w:rsidR="003E5CC1" w:rsidRPr="001B0D42" w:rsidRDefault="00CE587A" w:rsidP="003E5CC1">
      <w:r w:rsidRPr="009C7BC2">
        <w:rPr>
          <w:noProof/>
          <w:lang w:eastAsia="zh-CN"/>
        </w:rPr>
        <mc:AlternateContent>
          <mc:Choice Requires="wps">
            <w:drawing>
              <wp:anchor distT="0" distB="0" distL="114300" distR="114300" simplePos="0" relativeHeight="251678720" behindDoc="0" locked="0" layoutInCell="1" allowOverlap="1" wp14:anchorId="4A4A4C6B" wp14:editId="1F6280E3">
                <wp:simplePos x="0" y="0"/>
                <wp:positionH relativeFrom="column">
                  <wp:posOffset>-69215</wp:posOffset>
                </wp:positionH>
                <wp:positionV relativeFrom="paragraph">
                  <wp:posOffset>134620</wp:posOffset>
                </wp:positionV>
                <wp:extent cx="5429250" cy="533400"/>
                <wp:effectExtent l="0" t="0" r="19050" b="19050"/>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0" cy="533400"/>
                        </a:xfrm>
                        <a:prstGeom prst="roundRect">
                          <a:avLst/>
                        </a:prstGeom>
                        <a:noFill/>
                        <a:ln w="25400" cap="flat" cmpd="sng" algn="ctr">
                          <a:solidFill>
                            <a:srgbClr val="F2750E"/>
                          </a:solidFill>
                          <a:prstDash val="solid"/>
                        </a:ln>
                        <a:effectLst/>
                      </wps:spPr>
                      <wps:txbx>
                        <w:txbxContent>
                          <w:p w:rsidR="00045D1E" w:rsidRPr="00CE587A" w:rsidRDefault="00045D1E" w:rsidP="00CE587A">
                            <w:pPr>
                              <w:rPr>
                                <w:rStyle w:val="AERtextsize10"/>
                              </w:rPr>
                            </w:pPr>
                            <w:r w:rsidRPr="00CE587A">
                              <w:rPr>
                                <w:rStyle w:val="Strong"/>
                              </w:rPr>
                              <w:t>Criteria #6</w:t>
                            </w:r>
                            <w:r>
                              <w:rPr>
                                <w:rStyle w:val="Strong"/>
                              </w:rPr>
                              <w:t>:</w:t>
                            </w:r>
                            <w:r>
                              <w:t xml:space="preserve"> </w:t>
                            </w:r>
                            <w:r w:rsidRPr="00CE587A">
                              <w:rPr>
                                <w:rStyle w:val="AERtextsize10"/>
                              </w:rPr>
                              <w:t>Expenditure under the DMIA can be in the nature of capex or opex.</w:t>
                            </w:r>
                          </w:p>
                          <w:p w:rsidR="00045D1E" w:rsidRDefault="00045D1E" w:rsidP="00CE587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1" style="position:absolute;margin-left:-5.45pt;margin-top:10.6pt;width:427.5pt;height: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" filled="f" strokecolor="#f2750e" strokeweight="2pt">
                <v:path arrowok="t"/>
                <v:textbox>
                  <w:txbxContent>
                    <w:p w:rsidR="00045D1E" w:rsidRPr="00CE587A" w:rsidRDefault="00045D1E" w:rsidP="00CE587A">
                      <w:pPr>
                        <w:rPr>
                          <w:rStyle w:val="AERtextsize10"/>
                        </w:rPr>
                      </w:pPr>
                      <w:r w:rsidRPr="00CE587A">
                        <w:rPr>
                          <w:rStyle w:val="Strong"/>
                        </w:rPr>
                        <w:t>Criteria #6</w:t>
                      </w:r>
                      <w:r>
                        <w:rPr>
                          <w:rStyle w:val="Strong"/>
                        </w:rPr>
                        <w:t>:</w:t>
                      </w:r>
                      <w:r>
                        <w:t xml:space="preserve"> </w:t>
                      </w:r>
                      <w:r w:rsidRPr="00CE587A">
                        <w:rPr>
                          <w:rStyle w:val="AERtextsize10"/>
                        </w:rPr>
                        <w:t>Expenditure under the DMIA can be in the nature of capex or opex.</w:t>
                      </w:r>
                    </w:p>
                    <w:p w:rsidR="00045D1E" w:rsidRDefault="00045D1E" w:rsidP="00CE587A"/>
                  </w:txbxContent>
                </v:textbox>
              </v:roundrect>
            </w:pict>
          </mc:Fallback>
        </mc:AlternateContent>
      </w:r>
    </w:p>
    <w:p w:rsidR="003E5CC1" w:rsidRPr="001B0D42" w:rsidRDefault="003E5CC1" w:rsidP="003E5CC1"/>
    <w:p w:rsidR="00765337" w:rsidRPr="003F20E1" w:rsidRDefault="00765337" w:rsidP="003F20E1">
      <w:pPr>
        <w:pStyle w:val="Heading1"/>
      </w:pPr>
      <w:bookmarkStart w:id="7" w:name="_Toc445801807"/>
      <w:bookmarkStart w:id="8" w:name="_Toc392751191"/>
      <w:r w:rsidRPr="003F20E1">
        <w:lastRenderedPageBreak/>
        <w:t>DMIA Assessment</w:t>
      </w:r>
      <w:bookmarkEnd w:id="7"/>
    </w:p>
    <w:p w:rsidR="00316D19" w:rsidRDefault="00316D19" w:rsidP="00316D19">
      <w:pPr>
        <w:pStyle w:val="Heading2"/>
      </w:pPr>
      <w:bookmarkStart w:id="9" w:name="_Toc443045304"/>
      <w:bookmarkStart w:id="10" w:name="_Toc445801808"/>
      <w:r>
        <w:t>Annual DMIA Assessment</w:t>
      </w:r>
      <w:bookmarkEnd w:id="9"/>
      <w:bookmarkEnd w:id="10"/>
    </w:p>
    <w:p w:rsidR="00405931" w:rsidRPr="008544D6" w:rsidRDefault="00405931" w:rsidP="00405931">
      <w:r w:rsidRPr="008544D6">
        <w:t>We conducted our DMIA complian</w:t>
      </w:r>
      <w:r>
        <w:t>ce assessments based on the DMIA</w:t>
      </w:r>
      <w:r w:rsidRPr="008544D6">
        <w:t xml:space="preserve"> reports</w:t>
      </w:r>
      <w:r>
        <w:t xml:space="preserve"> (for the 2013–14 financial year</w:t>
      </w:r>
      <w:r w:rsidR="00815D8D">
        <w:t>, 2014–15 financial year</w:t>
      </w:r>
      <w:r>
        <w:t xml:space="preserve"> or 2014 calendar year as applicable)</w:t>
      </w:r>
      <w:r w:rsidRPr="008544D6">
        <w:t xml:space="preserve"> and responses to further information requests</w:t>
      </w:r>
      <w:r>
        <w:t xml:space="preserve"> received</w:t>
      </w:r>
      <w:r w:rsidRPr="008544D6">
        <w:t xml:space="preserve"> from the following DNSPs: </w:t>
      </w:r>
    </w:p>
    <w:p w:rsidR="00405931" w:rsidRPr="008544D6" w:rsidRDefault="00405931" w:rsidP="00405931">
      <w:pPr>
        <w:pStyle w:val="AERbulletlistfirststyle"/>
      </w:pPr>
      <w:r w:rsidRPr="008544D6">
        <w:t xml:space="preserve">ActewAGL </w:t>
      </w:r>
      <w:r>
        <w:t>(for 2013–14 financial year)</w:t>
      </w:r>
    </w:p>
    <w:p w:rsidR="00405931" w:rsidRPr="008544D6" w:rsidRDefault="00405931" w:rsidP="00405931">
      <w:pPr>
        <w:pStyle w:val="AERbulletlistfirststyle"/>
      </w:pPr>
      <w:r w:rsidRPr="008544D6">
        <w:t xml:space="preserve">Ausgrid </w:t>
      </w:r>
      <w:r>
        <w:t>(for 2013–14 financial year)</w:t>
      </w:r>
    </w:p>
    <w:p w:rsidR="00405931" w:rsidRDefault="00405931" w:rsidP="00405931">
      <w:pPr>
        <w:pStyle w:val="AERbulletlistfirststyle"/>
      </w:pPr>
      <w:r w:rsidRPr="008544D6">
        <w:t xml:space="preserve">Endeavour Energy </w:t>
      </w:r>
      <w:r>
        <w:t>(for 2013–14 financial year)</w:t>
      </w:r>
    </w:p>
    <w:p w:rsidR="00C86C82" w:rsidRPr="00C86C82" w:rsidRDefault="00C86C82" w:rsidP="00C86C82">
      <w:pPr>
        <w:pStyle w:val="AERbulletlistfirststyle"/>
      </w:pPr>
      <w:r w:rsidRPr="00C86C82">
        <w:t>Essential Energy (for 2013–14 financial year)</w:t>
      </w:r>
    </w:p>
    <w:p w:rsidR="00405931" w:rsidRPr="008544D6" w:rsidRDefault="00405931" w:rsidP="00405931">
      <w:pPr>
        <w:pStyle w:val="AERbulletlistfirststyle"/>
      </w:pPr>
      <w:r w:rsidRPr="008544D6">
        <w:t xml:space="preserve">Ergon Energy </w:t>
      </w:r>
      <w:r>
        <w:t xml:space="preserve">(for 2013–14 </w:t>
      </w:r>
      <w:r w:rsidR="00C86C82">
        <w:t xml:space="preserve">and 2014–15 </w:t>
      </w:r>
      <w:r>
        <w:t>financial year)</w:t>
      </w:r>
    </w:p>
    <w:p w:rsidR="00405931" w:rsidRDefault="00C86C82" w:rsidP="00405931">
      <w:pPr>
        <w:pStyle w:val="AERbulletlistfirststyle"/>
      </w:pPr>
      <w:r>
        <w:t>Energex</w:t>
      </w:r>
      <w:r w:rsidR="00405931" w:rsidRPr="008544D6">
        <w:t xml:space="preserve"> </w:t>
      </w:r>
      <w:r w:rsidR="00405931">
        <w:t>(for 2013–14</w:t>
      </w:r>
      <w:r>
        <w:t xml:space="preserve"> and 2014–15 </w:t>
      </w:r>
      <w:r w:rsidR="00405931">
        <w:t xml:space="preserve"> financial year)</w:t>
      </w:r>
    </w:p>
    <w:p w:rsidR="00C86C82" w:rsidRDefault="00C86C82" w:rsidP="00405931">
      <w:pPr>
        <w:pStyle w:val="AERbulletlistfirststyle"/>
      </w:pPr>
      <w:r>
        <w:t xml:space="preserve">SA Power Networks </w:t>
      </w:r>
      <w:r w:rsidRPr="00C86C82">
        <w:t>(for 2013–14 and 2014–15  financial year)</w:t>
      </w:r>
    </w:p>
    <w:p w:rsidR="0009590D" w:rsidRPr="008544D6" w:rsidRDefault="0009590D" w:rsidP="00405931">
      <w:pPr>
        <w:pStyle w:val="AERbulletlistfirststyle"/>
      </w:pPr>
      <w:r>
        <w:t xml:space="preserve">CitiPower </w:t>
      </w:r>
      <w:r w:rsidRPr="0009590D">
        <w:t>(for 2014 calendar year)</w:t>
      </w:r>
    </w:p>
    <w:p w:rsidR="00405931" w:rsidRPr="008544D6" w:rsidRDefault="00405931" w:rsidP="00405931">
      <w:pPr>
        <w:pStyle w:val="AERbulletlistfirststyle"/>
      </w:pPr>
      <w:r w:rsidRPr="008544D6">
        <w:t>Jemena Electricity Networks</w:t>
      </w:r>
      <w:r>
        <w:t xml:space="preserve"> (for 2014 calendar year)</w:t>
      </w:r>
    </w:p>
    <w:p w:rsidR="00405931" w:rsidRDefault="00405931" w:rsidP="00405931">
      <w:pPr>
        <w:pStyle w:val="AERbulletlistfirststyle"/>
      </w:pPr>
      <w:r w:rsidRPr="008544D6">
        <w:t>Powercor</w:t>
      </w:r>
      <w:r>
        <w:t xml:space="preserve"> (for 2014 calendar year)</w:t>
      </w:r>
    </w:p>
    <w:p w:rsidR="0009590D" w:rsidRPr="0009590D" w:rsidRDefault="0009590D" w:rsidP="0009590D">
      <w:pPr>
        <w:pStyle w:val="AERbulletlistfirststyle"/>
      </w:pPr>
      <w:r w:rsidRPr="0009590D">
        <w:t>AusNet Services (for 2014 calendar year)</w:t>
      </w:r>
    </w:p>
    <w:p w:rsidR="00C86C82" w:rsidRDefault="00405931" w:rsidP="00405931">
      <w:pPr>
        <w:pStyle w:val="AERbulletlistfirststyle"/>
      </w:pPr>
      <w:r>
        <w:t>United Energy (for 2014 calendar year)</w:t>
      </w:r>
    </w:p>
    <w:p w:rsidR="00C86C82" w:rsidRPr="00C86C82" w:rsidRDefault="00C86C82" w:rsidP="00C86C82">
      <w:pPr>
        <w:pStyle w:val="AERbulletlistfirststyle"/>
      </w:pPr>
      <w:r w:rsidRPr="00C86C82">
        <w:t>TasNetworks (for 2013–14 financial year)</w:t>
      </w:r>
    </w:p>
    <w:p w:rsidR="00CA52B0" w:rsidRDefault="00F04DBD" w:rsidP="00F04DBD">
      <w:pPr>
        <w:pStyle w:val="AERbulletlistfirststyle"/>
        <w:numPr>
          <w:ilvl w:val="0"/>
          <w:numId w:val="0"/>
        </w:numPr>
      </w:pPr>
      <w:r>
        <w:t xml:space="preserve">With the </w:t>
      </w:r>
      <w:r w:rsidR="008B5877" w:rsidRPr="008B5877">
        <w:t>except</w:t>
      </w:r>
      <w:r>
        <w:t xml:space="preserve">ion of </w:t>
      </w:r>
      <w:r w:rsidR="008B5877" w:rsidRPr="008B5877">
        <w:t>ActewAGL and SA Power Networks,</w:t>
      </w:r>
      <w:r>
        <w:t xml:space="preserve"> who</w:t>
      </w:r>
      <w:r w:rsidRPr="00F04DBD">
        <w:t xml:space="preserve"> </w:t>
      </w:r>
      <w:r>
        <w:t>completed 100 percent of their respective DMIA allowances, all other distributors did not use all of their DMIA allowances.</w:t>
      </w:r>
      <w:r w:rsidR="00EB4FFC">
        <w:t xml:space="preserve"> </w:t>
      </w:r>
      <w:r>
        <w:t>Ener</w:t>
      </w:r>
      <w:r w:rsidR="00EB4FFC">
        <w:t>gex</w:t>
      </w:r>
      <w:r>
        <w:t xml:space="preserve"> (26 percent) and </w:t>
      </w:r>
      <w:r w:rsidR="00CA52B0">
        <w:t>Endeavour Energy (32 percent) spent less than half of their respective allowance.</w:t>
      </w:r>
    </w:p>
    <w:p w:rsidR="00CA52B0" w:rsidRDefault="00CA52B0" w:rsidP="00F04DBD">
      <w:pPr>
        <w:pStyle w:val="AERbulletlistfirststyle"/>
        <w:numPr>
          <w:ilvl w:val="0"/>
          <w:numId w:val="0"/>
        </w:numPr>
      </w:pPr>
      <w:r w:rsidRPr="008B5877">
        <w:t xml:space="preserve">TasNetworks </w:t>
      </w:r>
      <w:r>
        <w:t>utilised</w:t>
      </w:r>
      <w:r w:rsidRPr="008B5877">
        <w:t xml:space="preserve"> </w:t>
      </w:r>
      <w:r>
        <w:t>about 9 percent of its total allowance so far after 2 years into the 5 year regulatory control period.</w:t>
      </w:r>
    </w:p>
    <w:p w:rsidR="00CA52B0" w:rsidRDefault="00CA52B0" w:rsidP="00F04DBD">
      <w:pPr>
        <w:pStyle w:val="AERbulletlistfirststyle"/>
        <w:numPr>
          <w:ilvl w:val="0"/>
          <w:numId w:val="0"/>
        </w:numPr>
      </w:pPr>
      <w:r w:rsidRPr="008B5877">
        <w:t>In total, Victorian DNSPs reported around $4.0 million DMIA expenditure for 2014 reporting period. Overall, Victorian DNSPs have spent 57 percent of the DMIA allowance for the 2011 to 2015 regulatory period. AusNet Services has overspent its DMIA allowance.</w:t>
      </w:r>
    </w:p>
    <w:p w:rsidR="00CA52B0" w:rsidRDefault="00CA52B0">
      <w:pPr>
        <w:spacing w:line="240" w:lineRule="auto"/>
        <w:rPr>
          <w:b/>
          <w:bCs/>
          <w:color w:val="076A92" w:themeColor="text1"/>
          <w:sz w:val="24"/>
          <w:szCs w:val="18"/>
        </w:rPr>
      </w:pPr>
      <w:r>
        <w:br w:type="page"/>
      </w:r>
    </w:p>
    <w:p w:rsidR="008B5877" w:rsidRPr="008B5877" w:rsidRDefault="00F54B77" w:rsidP="00F04DBD">
      <w:pPr>
        <w:pStyle w:val="Caption"/>
      </w:pPr>
      <w:r>
        <w:lastRenderedPageBreak/>
        <w:t xml:space="preserve">Table </w:t>
      </w:r>
      <w:r w:rsidR="00BF480E">
        <w:fldChar w:fldCharType="begin"/>
      </w:r>
      <w:r w:rsidR="00BF480E">
        <w:instrText xml:space="preserve"> SEQ Table \* ARABIC </w:instrText>
      </w:r>
      <w:r w:rsidR="00BF480E">
        <w:fldChar w:fldCharType="separate"/>
      </w:r>
      <w:r w:rsidR="002D1097">
        <w:rPr>
          <w:noProof/>
        </w:rPr>
        <w:t>6</w:t>
      </w:r>
      <w:r w:rsidR="00BF480E">
        <w:rPr>
          <w:noProof/>
        </w:rPr>
        <w:fldChar w:fldCharType="end"/>
      </w:r>
      <w:r w:rsidR="008B5877" w:rsidRPr="008B5877">
        <w:t xml:space="preserve"> </w:t>
      </w:r>
      <w:r w:rsidR="00121DEB">
        <w:tab/>
      </w:r>
      <w:r w:rsidR="009F4529" w:rsidRPr="008B5877">
        <w:t xml:space="preserve">ACT/NSW DNSPs </w:t>
      </w:r>
      <w:r w:rsidR="009F4529">
        <w:t xml:space="preserve">DMIA expenditure </w:t>
      </w:r>
      <w:r w:rsidR="008B5877" w:rsidRPr="008B5877">
        <w:t>for the 2009–10 to 2013–14 regulatory control period ($'000 nominal)</w:t>
      </w:r>
    </w:p>
    <w:tbl>
      <w:tblPr>
        <w:tblStyle w:val="AERtable-numbers"/>
        <w:tblW w:w="8929" w:type="dxa"/>
        <w:tblLayout w:type="fixed"/>
        <w:tblLook w:val="04A0" w:firstRow="1" w:lastRow="0" w:firstColumn="1" w:lastColumn="0" w:noHBand="0" w:noVBand="1"/>
      </w:tblPr>
      <w:tblGrid>
        <w:gridCol w:w="1223"/>
        <w:gridCol w:w="1616"/>
        <w:gridCol w:w="1615"/>
        <w:gridCol w:w="1616"/>
        <w:gridCol w:w="1616"/>
        <w:gridCol w:w="1243"/>
      </w:tblGrid>
      <w:tr w:rsidR="00C86C82" w:rsidTr="00F04D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dxa"/>
          </w:tcPr>
          <w:p w:rsidR="00C86C82" w:rsidRPr="008B5877" w:rsidRDefault="00C86C82" w:rsidP="008B5877">
            <w:pPr>
              <w:pStyle w:val="AERtabletextleft"/>
            </w:pPr>
            <w:r w:rsidRPr="008B5877">
              <w:t>DNSP</w:t>
            </w:r>
          </w:p>
        </w:tc>
        <w:tc>
          <w:tcPr>
            <w:tcW w:w="1616" w:type="dxa"/>
          </w:tcPr>
          <w:p w:rsidR="00C86C82" w:rsidRPr="008B5877" w:rsidRDefault="00C86C82" w:rsidP="008B5877">
            <w:pPr>
              <w:pStyle w:val="AERtabletextright"/>
              <w:cnfStyle w:val="100000000000" w:firstRow="1" w:lastRow="0" w:firstColumn="0" w:lastColumn="0" w:oddVBand="0" w:evenVBand="0" w:oddHBand="0" w:evenHBand="0" w:firstRowFirstColumn="0" w:firstRowLastColumn="0" w:lastRowFirstColumn="0" w:lastRowLastColumn="0"/>
            </w:pPr>
            <w:r w:rsidRPr="00C86C82">
              <w:t>DMIA approved for 20</w:t>
            </w:r>
            <w:r>
              <w:t>13–</w:t>
            </w:r>
            <w:r w:rsidRPr="00C86C82">
              <w:t>14</w:t>
            </w:r>
          </w:p>
        </w:tc>
        <w:tc>
          <w:tcPr>
            <w:tcW w:w="1615" w:type="dxa"/>
          </w:tcPr>
          <w:p w:rsidR="00C86C82" w:rsidRPr="008B5877" w:rsidRDefault="00A079B6" w:rsidP="008B5877">
            <w:pPr>
              <w:pStyle w:val="AERtabletextright"/>
              <w:cnfStyle w:val="100000000000" w:firstRow="1" w:lastRow="0" w:firstColumn="0" w:lastColumn="0" w:oddVBand="0" w:evenVBand="0" w:oddHBand="0" w:evenHBand="0" w:firstRowFirstColumn="0" w:firstRowLastColumn="0" w:lastRowFirstColumn="0" w:lastRowLastColumn="0"/>
            </w:pPr>
            <w:r>
              <w:t>Total DMIA a</w:t>
            </w:r>
            <w:r w:rsidR="00C86C82" w:rsidRPr="008B5877">
              <w:t>llowance</w:t>
            </w:r>
            <w:r w:rsidR="009F4529">
              <w:t xml:space="preserve"> for the period</w:t>
            </w:r>
            <w:r w:rsidR="00C86C82" w:rsidRPr="008B5877">
              <w:t xml:space="preserve"> </w:t>
            </w:r>
          </w:p>
        </w:tc>
        <w:tc>
          <w:tcPr>
            <w:tcW w:w="1616" w:type="dxa"/>
          </w:tcPr>
          <w:p w:rsidR="00C86C82" w:rsidRPr="008B5877" w:rsidRDefault="009F4529" w:rsidP="008B5877">
            <w:pPr>
              <w:pStyle w:val="AERtabletextright"/>
              <w:cnfStyle w:val="100000000000" w:firstRow="1" w:lastRow="0" w:firstColumn="0" w:lastColumn="0" w:oddVBand="0" w:evenVBand="0" w:oddHBand="0" w:evenHBand="0" w:firstRowFirstColumn="0" w:firstRowLastColumn="0" w:lastRowFirstColumn="0" w:lastRowLastColumn="0"/>
            </w:pPr>
            <w:r>
              <w:t xml:space="preserve">Total </w:t>
            </w:r>
            <w:r w:rsidR="00C86C82" w:rsidRPr="008B5877">
              <w:t xml:space="preserve">DMIA approved </w:t>
            </w:r>
            <w:r w:rsidR="00C86C82" w:rsidRPr="008B5877">
              <w:br/>
              <w:t>to date</w:t>
            </w:r>
          </w:p>
        </w:tc>
        <w:tc>
          <w:tcPr>
            <w:tcW w:w="1616" w:type="dxa"/>
          </w:tcPr>
          <w:p w:rsidR="00C86C82" w:rsidRPr="008B5877" w:rsidRDefault="00C86C82" w:rsidP="008B5877">
            <w:pPr>
              <w:pStyle w:val="AERtabletextright"/>
              <w:cnfStyle w:val="100000000000" w:firstRow="1" w:lastRow="0" w:firstColumn="0" w:lastColumn="0" w:oddVBand="0" w:evenVBand="0" w:oddHBand="0" w:evenHBand="0" w:firstRowFirstColumn="0" w:firstRowLastColumn="0" w:lastRowFirstColumn="0" w:lastRowLastColumn="0"/>
            </w:pPr>
            <w:r w:rsidRPr="008B5877">
              <w:t>DMIA remaining for the period</w:t>
            </w:r>
          </w:p>
        </w:tc>
        <w:tc>
          <w:tcPr>
            <w:tcW w:w="1243" w:type="dxa"/>
          </w:tcPr>
          <w:p w:rsidR="00C86C82" w:rsidRPr="008B5877" w:rsidRDefault="00C86C82" w:rsidP="00264F41">
            <w:pPr>
              <w:pStyle w:val="AERtabletextleft"/>
              <w:cnfStyle w:val="100000000000" w:firstRow="1" w:lastRow="0" w:firstColumn="0" w:lastColumn="0" w:oddVBand="0" w:evenVBand="0" w:oddHBand="0" w:evenHBand="0" w:firstRowFirstColumn="0" w:firstRowLastColumn="0" w:lastRowFirstColumn="0" w:lastRowLastColumn="0"/>
            </w:pPr>
            <w:r w:rsidRPr="008B5877">
              <w:t xml:space="preserve">Proportion of approved DMIA spent </w:t>
            </w:r>
          </w:p>
        </w:tc>
      </w:tr>
      <w:tr w:rsidR="00622860" w:rsidTr="00F04DBD">
        <w:tc>
          <w:tcPr>
            <w:cnfStyle w:val="001000000000" w:firstRow="0" w:lastRow="0" w:firstColumn="1" w:lastColumn="0" w:oddVBand="0" w:evenVBand="0" w:oddHBand="0" w:evenHBand="0" w:firstRowFirstColumn="0" w:firstRowLastColumn="0" w:lastRowFirstColumn="0" w:lastRowLastColumn="0"/>
            <w:tcW w:w="1223" w:type="dxa"/>
            <w:vAlign w:val="top"/>
          </w:tcPr>
          <w:p w:rsidR="00622860" w:rsidRPr="00622860" w:rsidRDefault="00622860" w:rsidP="00622860">
            <w:r w:rsidRPr="00622860">
              <w:t>ActewAGL</w:t>
            </w:r>
          </w:p>
        </w:tc>
        <w:tc>
          <w:tcPr>
            <w:tcW w:w="1616" w:type="dxa"/>
            <w:vAlign w:val="top"/>
          </w:tcPr>
          <w:p w:rsidR="00622860" w:rsidRPr="00622860" w:rsidRDefault="00622860">
            <w:pPr>
              <w:cnfStyle w:val="000000000000" w:firstRow="0" w:lastRow="0" w:firstColumn="0" w:lastColumn="0" w:oddVBand="0" w:evenVBand="0" w:oddHBand="0" w:evenHBand="0" w:firstRowFirstColumn="0" w:firstRowLastColumn="0" w:lastRowFirstColumn="0" w:lastRowLastColumn="0"/>
            </w:pPr>
            <w:r w:rsidRPr="00622860">
              <w:t>442</w:t>
            </w:r>
            <w:r>
              <w:t>.8</w:t>
            </w:r>
          </w:p>
        </w:tc>
        <w:tc>
          <w:tcPr>
            <w:tcW w:w="1615" w:type="dxa"/>
            <w:vAlign w:val="top"/>
          </w:tcPr>
          <w:p w:rsidR="00622860" w:rsidRPr="00622860" w:rsidRDefault="00622860" w:rsidP="00622860">
            <w:pPr>
              <w:cnfStyle w:val="000000000000" w:firstRow="0" w:lastRow="0" w:firstColumn="0" w:lastColumn="0" w:oddVBand="0" w:evenVBand="0" w:oddHBand="0" w:evenHBand="0" w:firstRowFirstColumn="0" w:firstRowLastColumn="0" w:lastRowFirstColumn="0" w:lastRowLastColumn="0"/>
            </w:pPr>
            <w:r w:rsidRPr="00622860">
              <w:t xml:space="preserve"> 533.1 </w:t>
            </w:r>
          </w:p>
        </w:tc>
        <w:tc>
          <w:tcPr>
            <w:tcW w:w="1616" w:type="dxa"/>
            <w:vAlign w:val="top"/>
          </w:tcPr>
          <w:p w:rsidR="00622860" w:rsidRPr="00622860" w:rsidRDefault="00622860" w:rsidP="00622860">
            <w:pPr>
              <w:cnfStyle w:val="000000000000" w:firstRow="0" w:lastRow="0" w:firstColumn="0" w:lastColumn="0" w:oddVBand="0" w:evenVBand="0" w:oddHBand="0" w:evenHBand="0" w:firstRowFirstColumn="0" w:firstRowLastColumn="0" w:lastRowFirstColumn="0" w:lastRowLastColumn="0"/>
            </w:pPr>
            <w:r w:rsidRPr="00622860">
              <w:t xml:space="preserve"> 533.1 </w:t>
            </w:r>
          </w:p>
        </w:tc>
        <w:tc>
          <w:tcPr>
            <w:tcW w:w="1616" w:type="dxa"/>
            <w:vAlign w:val="top"/>
          </w:tcPr>
          <w:p w:rsidR="00622860" w:rsidRPr="00622860" w:rsidRDefault="00622860" w:rsidP="00622860">
            <w:pPr>
              <w:cnfStyle w:val="000000000000" w:firstRow="0" w:lastRow="0" w:firstColumn="0" w:lastColumn="0" w:oddVBand="0" w:evenVBand="0" w:oddHBand="0" w:evenHBand="0" w:firstRowFirstColumn="0" w:firstRowLastColumn="0" w:lastRowFirstColumn="0" w:lastRowLastColumn="0"/>
            </w:pPr>
            <w:r w:rsidRPr="00622860">
              <w:t xml:space="preserve"> 0 </w:t>
            </w:r>
          </w:p>
        </w:tc>
        <w:tc>
          <w:tcPr>
            <w:tcW w:w="1243" w:type="dxa"/>
            <w:vAlign w:val="top"/>
          </w:tcPr>
          <w:p w:rsidR="00622860" w:rsidRPr="00622860" w:rsidRDefault="00622860" w:rsidP="00622860">
            <w:pPr>
              <w:cnfStyle w:val="000000000000" w:firstRow="0" w:lastRow="0" w:firstColumn="0" w:lastColumn="0" w:oddVBand="0" w:evenVBand="0" w:oddHBand="0" w:evenHBand="0" w:firstRowFirstColumn="0" w:firstRowLastColumn="0" w:lastRowFirstColumn="0" w:lastRowLastColumn="0"/>
            </w:pPr>
            <w:r w:rsidRPr="00622860">
              <w:t>100%</w:t>
            </w:r>
          </w:p>
        </w:tc>
      </w:tr>
      <w:tr w:rsidR="00622860" w:rsidTr="00F04D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dxa"/>
            <w:vAlign w:val="top"/>
          </w:tcPr>
          <w:p w:rsidR="00622860" w:rsidRPr="00622860" w:rsidRDefault="00622860" w:rsidP="00622860">
            <w:r w:rsidRPr="00622860">
              <w:t>Ausgrid</w:t>
            </w:r>
          </w:p>
        </w:tc>
        <w:tc>
          <w:tcPr>
            <w:tcW w:w="1616" w:type="dxa"/>
            <w:vAlign w:val="top"/>
          </w:tcPr>
          <w:p w:rsidR="00622860" w:rsidRPr="00622860" w:rsidRDefault="00622860">
            <w:pPr>
              <w:cnfStyle w:val="000000010000" w:firstRow="0" w:lastRow="0" w:firstColumn="0" w:lastColumn="0" w:oddVBand="0" w:evenVBand="0" w:oddHBand="0" w:evenHBand="1" w:firstRowFirstColumn="0" w:firstRowLastColumn="0" w:lastRowFirstColumn="0" w:lastRowLastColumn="0"/>
            </w:pPr>
            <w:r w:rsidRPr="00622860">
              <w:t>2</w:t>
            </w:r>
            <w:r>
              <w:t xml:space="preserve"> </w:t>
            </w:r>
            <w:r w:rsidRPr="00622860">
              <w:t>473</w:t>
            </w:r>
            <w:r>
              <w:t>.</w:t>
            </w:r>
            <w:r w:rsidRPr="00622860">
              <w:t>1</w:t>
            </w:r>
          </w:p>
        </w:tc>
        <w:tc>
          <w:tcPr>
            <w:tcW w:w="1615" w:type="dxa"/>
            <w:vAlign w:val="top"/>
          </w:tcPr>
          <w:p w:rsidR="00622860" w:rsidRPr="00622860" w:rsidRDefault="00622860" w:rsidP="00622860">
            <w:pPr>
              <w:cnfStyle w:val="000000010000" w:firstRow="0" w:lastRow="0" w:firstColumn="0" w:lastColumn="0" w:oddVBand="0" w:evenVBand="0" w:oddHBand="0" w:evenHBand="1" w:firstRowFirstColumn="0" w:firstRowLastColumn="0" w:lastRowFirstColumn="0" w:lastRowLastColumn="0"/>
            </w:pPr>
            <w:r w:rsidRPr="00622860">
              <w:t xml:space="preserve"> 5 330.6 </w:t>
            </w:r>
          </w:p>
        </w:tc>
        <w:tc>
          <w:tcPr>
            <w:tcW w:w="1616" w:type="dxa"/>
            <w:vAlign w:val="top"/>
          </w:tcPr>
          <w:p w:rsidR="00622860" w:rsidRPr="00622860" w:rsidRDefault="00622860" w:rsidP="00622860">
            <w:pPr>
              <w:cnfStyle w:val="000000010000" w:firstRow="0" w:lastRow="0" w:firstColumn="0" w:lastColumn="0" w:oddVBand="0" w:evenVBand="0" w:oddHBand="0" w:evenHBand="1" w:firstRowFirstColumn="0" w:firstRowLastColumn="0" w:lastRowFirstColumn="0" w:lastRowLastColumn="0"/>
            </w:pPr>
            <w:r w:rsidRPr="00622860">
              <w:t xml:space="preserve"> 4 121.5 </w:t>
            </w:r>
          </w:p>
        </w:tc>
        <w:tc>
          <w:tcPr>
            <w:tcW w:w="1616" w:type="dxa"/>
            <w:vAlign w:val="top"/>
          </w:tcPr>
          <w:p w:rsidR="00622860" w:rsidRPr="00622860" w:rsidRDefault="00622860" w:rsidP="00622860">
            <w:pPr>
              <w:cnfStyle w:val="000000010000" w:firstRow="0" w:lastRow="0" w:firstColumn="0" w:lastColumn="0" w:oddVBand="0" w:evenVBand="0" w:oddHBand="0" w:evenHBand="1" w:firstRowFirstColumn="0" w:firstRowLastColumn="0" w:lastRowFirstColumn="0" w:lastRowLastColumn="0"/>
            </w:pPr>
            <w:r w:rsidRPr="00622860">
              <w:t xml:space="preserve"> 1 209.1 </w:t>
            </w:r>
          </w:p>
        </w:tc>
        <w:tc>
          <w:tcPr>
            <w:tcW w:w="1243" w:type="dxa"/>
            <w:vAlign w:val="top"/>
          </w:tcPr>
          <w:p w:rsidR="00622860" w:rsidRPr="00622860" w:rsidRDefault="00622860" w:rsidP="00622860">
            <w:pPr>
              <w:cnfStyle w:val="000000010000" w:firstRow="0" w:lastRow="0" w:firstColumn="0" w:lastColumn="0" w:oddVBand="0" w:evenVBand="0" w:oddHBand="0" w:evenHBand="1" w:firstRowFirstColumn="0" w:firstRowLastColumn="0" w:lastRowFirstColumn="0" w:lastRowLastColumn="0"/>
            </w:pPr>
            <w:r w:rsidRPr="00622860">
              <w:t>77%</w:t>
            </w:r>
          </w:p>
        </w:tc>
      </w:tr>
      <w:tr w:rsidR="00622860" w:rsidTr="00F04DBD">
        <w:tc>
          <w:tcPr>
            <w:cnfStyle w:val="001000000000" w:firstRow="0" w:lastRow="0" w:firstColumn="1" w:lastColumn="0" w:oddVBand="0" w:evenVBand="0" w:oddHBand="0" w:evenHBand="0" w:firstRowFirstColumn="0" w:firstRowLastColumn="0" w:lastRowFirstColumn="0" w:lastRowLastColumn="0"/>
            <w:tcW w:w="1223" w:type="dxa"/>
            <w:vAlign w:val="top"/>
          </w:tcPr>
          <w:p w:rsidR="00622860" w:rsidRPr="00622860" w:rsidRDefault="00622860" w:rsidP="00622860">
            <w:r w:rsidRPr="00622860">
              <w:t>Endeavour Energy</w:t>
            </w:r>
          </w:p>
        </w:tc>
        <w:tc>
          <w:tcPr>
            <w:tcW w:w="1616" w:type="dxa"/>
            <w:vAlign w:val="top"/>
          </w:tcPr>
          <w:p w:rsidR="00622860" w:rsidRPr="00622860" w:rsidRDefault="00622860">
            <w:pPr>
              <w:cnfStyle w:val="000000000000" w:firstRow="0" w:lastRow="0" w:firstColumn="0" w:lastColumn="0" w:oddVBand="0" w:evenVBand="0" w:oddHBand="0" w:evenHBand="0" w:firstRowFirstColumn="0" w:firstRowLastColumn="0" w:lastRowFirstColumn="0" w:lastRowLastColumn="0"/>
            </w:pPr>
            <w:r w:rsidRPr="00622860">
              <w:t>173</w:t>
            </w:r>
            <w:r>
              <w:t>.4</w:t>
            </w:r>
          </w:p>
        </w:tc>
        <w:tc>
          <w:tcPr>
            <w:tcW w:w="1615" w:type="dxa"/>
            <w:vAlign w:val="top"/>
          </w:tcPr>
          <w:p w:rsidR="00622860" w:rsidRPr="00622860" w:rsidRDefault="00622860" w:rsidP="00622860">
            <w:pPr>
              <w:cnfStyle w:val="000000000000" w:firstRow="0" w:lastRow="0" w:firstColumn="0" w:lastColumn="0" w:oddVBand="0" w:evenVBand="0" w:oddHBand="0" w:evenHBand="0" w:firstRowFirstColumn="0" w:firstRowLastColumn="0" w:lastRowFirstColumn="0" w:lastRowLastColumn="0"/>
            </w:pPr>
            <w:r w:rsidRPr="00622860">
              <w:t xml:space="preserve"> 3 198.4 </w:t>
            </w:r>
          </w:p>
        </w:tc>
        <w:tc>
          <w:tcPr>
            <w:tcW w:w="1616" w:type="dxa"/>
            <w:vAlign w:val="top"/>
          </w:tcPr>
          <w:p w:rsidR="00622860" w:rsidRPr="00622860" w:rsidRDefault="00622860" w:rsidP="00622860">
            <w:pPr>
              <w:cnfStyle w:val="000000000000" w:firstRow="0" w:lastRow="0" w:firstColumn="0" w:lastColumn="0" w:oddVBand="0" w:evenVBand="0" w:oddHBand="0" w:evenHBand="0" w:firstRowFirstColumn="0" w:firstRowLastColumn="0" w:lastRowFirstColumn="0" w:lastRowLastColumn="0"/>
            </w:pPr>
            <w:r w:rsidRPr="00622860">
              <w:t xml:space="preserve"> 1 017.9 </w:t>
            </w:r>
          </w:p>
        </w:tc>
        <w:tc>
          <w:tcPr>
            <w:tcW w:w="1616" w:type="dxa"/>
            <w:vAlign w:val="top"/>
          </w:tcPr>
          <w:p w:rsidR="00622860" w:rsidRPr="00622860" w:rsidRDefault="00622860" w:rsidP="00622860">
            <w:pPr>
              <w:cnfStyle w:val="000000000000" w:firstRow="0" w:lastRow="0" w:firstColumn="0" w:lastColumn="0" w:oddVBand="0" w:evenVBand="0" w:oddHBand="0" w:evenHBand="0" w:firstRowFirstColumn="0" w:firstRowLastColumn="0" w:lastRowFirstColumn="0" w:lastRowLastColumn="0"/>
            </w:pPr>
            <w:r w:rsidRPr="00622860">
              <w:t xml:space="preserve"> 2 180.5 </w:t>
            </w:r>
          </w:p>
        </w:tc>
        <w:tc>
          <w:tcPr>
            <w:tcW w:w="1243" w:type="dxa"/>
            <w:vAlign w:val="top"/>
          </w:tcPr>
          <w:p w:rsidR="00622860" w:rsidRPr="00622860" w:rsidRDefault="00622860" w:rsidP="00622860">
            <w:pPr>
              <w:cnfStyle w:val="000000000000" w:firstRow="0" w:lastRow="0" w:firstColumn="0" w:lastColumn="0" w:oddVBand="0" w:evenVBand="0" w:oddHBand="0" w:evenHBand="0" w:firstRowFirstColumn="0" w:firstRowLastColumn="0" w:lastRowFirstColumn="0" w:lastRowLastColumn="0"/>
            </w:pPr>
            <w:r w:rsidRPr="00622860">
              <w:t>32%</w:t>
            </w:r>
          </w:p>
        </w:tc>
      </w:tr>
      <w:tr w:rsidR="00622860" w:rsidTr="00F04D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dxa"/>
            <w:vAlign w:val="top"/>
          </w:tcPr>
          <w:p w:rsidR="00622860" w:rsidRPr="00622860" w:rsidRDefault="00622860" w:rsidP="00622860">
            <w:r w:rsidRPr="00622860">
              <w:t>Essential Energy</w:t>
            </w:r>
          </w:p>
        </w:tc>
        <w:tc>
          <w:tcPr>
            <w:tcW w:w="1616" w:type="dxa"/>
            <w:vAlign w:val="top"/>
          </w:tcPr>
          <w:p w:rsidR="00622860" w:rsidRPr="00622860" w:rsidRDefault="00622860">
            <w:pPr>
              <w:cnfStyle w:val="000000010000" w:firstRow="0" w:lastRow="0" w:firstColumn="0" w:lastColumn="0" w:oddVBand="0" w:evenVBand="0" w:oddHBand="0" w:evenHBand="1" w:firstRowFirstColumn="0" w:firstRowLastColumn="0" w:lastRowFirstColumn="0" w:lastRowLastColumn="0"/>
            </w:pPr>
            <w:r w:rsidRPr="00622860">
              <w:t>380</w:t>
            </w:r>
            <w:r>
              <w:t>.</w:t>
            </w:r>
            <w:r w:rsidRPr="00622860">
              <w:t>8</w:t>
            </w:r>
          </w:p>
        </w:tc>
        <w:tc>
          <w:tcPr>
            <w:tcW w:w="1615" w:type="dxa"/>
            <w:vAlign w:val="top"/>
          </w:tcPr>
          <w:p w:rsidR="00622860" w:rsidRPr="00622860" w:rsidRDefault="00622860" w:rsidP="00622860">
            <w:pPr>
              <w:cnfStyle w:val="000000010000" w:firstRow="0" w:lastRow="0" w:firstColumn="0" w:lastColumn="0" w:oddVBand="0" w:evenVBand="0" w:oddHBand="0" w:evenHBand="1" w:firstRowFirstColumn="0" w:firstRowLastColumn="0" w:lastRowFirstColumn="0" w:lastRowLastColumn="0"/>
            </w:pPr>
            <w:r w:rsidRPr="00622860">
              <w:t xml:space="preserve"> 3 198.4 </w:t>
            </w:r>
          </w:p>
        </w:tc>
        <w:tc>
          <w:tcPr>
            <w:tcW w:w="1616" w:type="dxa"/>
            <w:vAlign w:val="top"/>
          </w:tcPr>
          <w:p w:rsidR="00622860" w:rsidRPr="00622860" w:rsidRDefault="00622860" w:rsidP="00622860">
            <w:pPr>
              <w:cnfStyle w:val="000000010000" w:firstRow="0" w:lastRow="0" w:firstColumn="0" w:lastColumn="0" w:oddVBand="0" w:evenVBand="0" w:oddHBand="0" w:evenHBand="1" w:firstRowFirstColumn="0" w:firstRowLastColumn="0" w:lastRowFirstColumn="0" w:lastRowLastColumn="0"/>
            </w:pPr>
            <w:r w:rsidRPr="00622860">
              <w:t xml:space="preserve"> 2 670.5 </w:t>
            </w:r>
          </w:p>
        </w:tc>
        <w:tc>
          <w:tcPr>
            <w:tcW w:w="1616" w:type="dxa"/>
            <w:vAlign w:val="top"/>
          </w:tcPr>
          <w:p w:rsidR="00622860" w:rsidRPr="00622860" w:rsidRDefault="00622860" w:rsidP="00622860">
            <w:pPr>
              <w:cnfStyle w:val="000000010000" w:firstRow="0" w:lastRow="0" w:firstColumn="0" w:lastColumn="0" w:oddVBand="0" w:evenVBand="0" w:oddHBand="0" w:evenHBand="1" w:firstRowFirstColumn="0" w:firstRowLastColumn="0" w:lastRowFirstColumn="0" w:lastRowLastColumn="0"/>
            </w:pPr>
            <w:r w:rsidRPr="00622860">
              <w:t xml:space="preserve"> 527.8</w:t>
            </w:r>
          </w:p>
        </w:tc>
        <w:tc>
          <w:tcPr>
            <w:tcW w:w="1243" w:type="dxa"/>
            <w:vAlign w:val="top"/>
          </w:tcPr>
          <w:p w:rsidR="00622860" w:rsidRPr="00622860" w:rsidRDefault="00622860" w:rsidP="00622860">
            <w:pPr>
              <w:cnfStyle w:val="000000010000" w:firstRow="0" w:lastRow="0" w:firstColumn="0" w:lastColumn="0" w:oddVBand="0" w:evenVBand="0" w:oddHBand="0" w:evenHBand="1" w:firstRowFirstColumn="0" w:firstRowLastColumn="0" w:lastRowFirstColumn="0" w:lastRowLastColumn="0"/>
            </w:pPr>
            <w:r w:rsidRPr="00622860">
              <w:t>83%</w:t>
            </w:r>
          </w:p>
        </w:tc>
      </w:tr>
      <w:tr w:rsidR="00622860" w:rsidTr="00F04DBD">
        <w:tc>
          <w:tcPr>
            <w:cnfStyle w:val="001000000000" w:firstRow="0" w:lastRow="0" w:firstColumn="1" w:lastColumn="0" w:oddVBand="0" w:evenVBand="0" w:oddHBand="0" w:evenHBand="0" w:firstRowFirstColumn="0" w:firstRowLastColumn="0" w:lastRowFirstColumn="0" w:lastRowLastColumn="0"/>
            <w:tcW w:w="1223" w:type="dxa"/>
            <w:vAlign w:val="top"/>
          </w:tcPr>
          <w:p w:rsidR="00622860" w:rsidRPr="00622860" w:rsidRDefault="00622860" w:rsidP="00622860">
            <w:pPr>
              <w:rPr>
                <w:rStyle w:val="Strong"/>
              </w:rPr>
            </w:pPr>
            <w:r w:rsidRPr="00622860">
              <w:rPr>
                <w:rStyle w:val="Strong"/>
              </w:rPr>
              <w:t>TOTAL</w:t>
            </w:r>
          </w:p>
        </w:tc>
        <w:tc>
          <w:tcPr>
            <w:tcW w:w="1616" w:type="dxa"/>
            <w:vAlign w:val="top"/>
          </w:tcPr>
          <w:p w:rsidR="00622860" w:rsidRPr="00622860" w:rsidRDefault="00622860" w:rsidP="00622860">
            <w:pPr>
              <w:cnfStyle w:val="000000000000" w:firstRow="0" w:lastRow="0" w:firstColumn="0" w:lastColumn="0" w:oddVBand="0" w:evenVBand="0" w:oddHBand="0" w:evenHBand="0" w:firstRowFirstColumn="0" w:firstRowLastColumn="0" w:lastRowFirstColumn="0" w:lastRowLastColumn="0"/>
            </w:pPr>
            <w:r>
              <w:t xml:space="preserve"> 3 470.1</w:t>
            </w:r>
            <w:r w:rsidRPr="00622860">
              <w:t xml:space="preserve"> </w:t>
            </w:r>
          </w:p>
        </w:tc>
        <w:tc>
          <w:tcPr>
            <w:tcW w:w="1615" w:type="dxa"/>
            <w:vAlign w:val="top"/>
          </w:tcPr>
          <w:p w:rsidR="00622860" w:rsidRPr="00622860" w:rsidRDefault="00622860" w:rsidP="00622860">
            <w:pPr>
              <w:cnfStyle w:val="000000000000" w:firstRow="0" w:lastRow="0" w:firstColumn="0" w:lastColumn="0" w:oddVBand="0" w:evenVBand="0" w:oddHBand="0" w:evenHBand="0" w:firstRowFirstColumn="0" w:firstRowLastColumn="0" w:lastRowFirstColumn="0" w:lastRowLastColumn="0"/>
            </w:pPr>
            <w:r w:rsidRPr="00622860">
              <w:t xml:space="preserve"> 12 260.4 </w:t>
            </w:r>
          </w:p>
        </w:tc>
        <w:tc>
          <w:tcPr>
            <w:tcW w:w="1616" w:type="dxa"/>
            <w:vAlign w:val="top"/>
          </w:tcPr>
          <w:p w:rsidR="00622860" w:rsidRPr="00622860" w:rsidRDefault="00622860" w:rsidP="00622860">
            <w:pPr>
              <w:cnfStyle w:val="000000000000" w:firstRow="0" w:lastRow="0" w:firstColumn="0" w:lastColumn="0" w:oddVBand="0" w:evenVBand="0" w:oddHBand="0" w:evenHBand="0" w:firstRowFirstColumn="0" w:firstRowLastColumn="0" w:lastRowFirstColumn="0" w:lastRowLastColumn="0"/>
            </w:pPr>
            <w:r w:rsidRPr="00622860">
              <w:t xml:space="preserve"> 8 343.0 </w:t>
            </w:r>
          </w:p>
        </w:tc>
        <w:tc>
          <w:tcPr>
            <w:tcW w:w="1616" w:type="dxa"/>
            <w:vAlign w:val="top"/>
          </w:tcPr>
          <w:p w:rsidR="00622860" w:rsidRPr="00622860" w:rsidRDefault="00622860" w:rsidP="00622860">
            <w:pPr>
              <w:cnfStyle w:val="000000000000" w:firstRow="0" w:lastRow="0" w:firstColumn="0" w:lastColumn="0" w:oddVBand="0" w:evenVBand="0" w:oddHBand="0" w:evenHBand="0" w:firstRowFirstColumn="0" w:firstRowLastColumn="0" w:lastRowFirstColumn="0" w:lastRowLastColumn="0"/>
            </w:pPr>
            <w:r w:rsidRPr="00622860">
              <w:t xml:space="preserve"> 3 917.4 </w:t>
            </w:r>
          </w:p>
        </w:tc>
        <w:tc>
          <w:tcPr>
            <w:tcW w:w="1243" w:type="dxa"/>
            <w:vAlign w:val="top"/>
          </w:tcPr>
          <w:p w:rsidR="00622860" w:rsidRPr="00622860" w:rsidRDefault="00622860" w:rsidP="00622860">
            <w:pPr>
              <w:cnfStyle w:val="000000000000" w:firstRow="0" w:lastRow="0" w:firstColumn="0" w:lastColumn="0" w:oddVBand="0" w:evenVBand="0" w:oddHBand="0" w:evenHBand="0" w:firstRowFirstColumn="0" w:firstRowLastColumn="0" w:lastRowFirstColumn="0" w:lastRowLastColumn="0"/>
            </w:pPr>
            <w:r w:rsidRPr="00622860">
              <w:t>68%</w:t>
            </w:r>
          </w:p>
        </w:tc>
      </w:tr>
    </w:tbl>
    <w:p w:rsidR="008B5877" w:rsidRPr="008B5877" w:rsidRDefault="008B5877" w:rsidP="008B5877">
      <w:pPr>
        <w:pStyle w:val="AERtablesource"/>
      </w:pPr>
      <w:r w:rsidRPr="008B5877">
        <w:t>Source:</w:t>
      </w:r>
      <w:r w:rsidRPr="008B5877">
        <w:tab/>
        <w:t xml:space="preserve">AER analysis and DMIA </w:t>
      </w:r>
      <w:r w:rsidR="00F6148F">
        <w:t>r</w:t>
      </w:r>
      <w:r w:rsidRPr="008B5877">
        <w:t xml:space="preserve">eports submitted by DNSPs; </w:t>
      </w:r>
      <w:r w:rsidR="0055068C">
        <w:t>numbers</w:t>
      </w:r>
      <w:r w:rsidRPr="008B5877">
        <w:t xml:space="preserve"> may not be exact due to rounding.   </w:t>
      </w:r>
    </w:p>
    <w:p w:rsidR="008B5877" w:rsidRPr="008B5877" w:rsidRDefault="00F54B77" w:rsidP="00F04DBD">
      <w:pPr>
        <w:pStyle w:val="Caption"/>
      </w:pPr>
      <w:r>
        <w:t xml:space="preserve">Table </w:t>
      </w:r>
      <w:r w:rsidR="00BF480E">
        <w:fldChar w:fldCharType="begin"/>
      </w:r>
      <w:r w:rsidR="00BF480E">
        <w:instrText xml:space="preserve"> SEQ Table \* ARABIC </w:instrText>
      </w:r>
      <w:r w:rsidR="00BF480E">
        <w:fldChar w:fldCharType="separate"/>
      </w:r>
      <w:r w:rsidR="002D1097">
        <w:rPr>
          <w:noProof/>
        </w:rPr>
        <w:t>7</w:t>
      </w:r>
      <w:r w:rsidR="00BF480E">
        <w:rPr>
          <w:noProof/>
        </w:rPr>
        <w:fldChar w:fldCharType="end"/>
      </w:r>
      <w:r>
        <w:tab/>
      </w:r>
      <w:r w:rsidR="009F4529" w:rsidRPr="008B5877">
        <w:t xml:space="preserve">QLD/SA DNSPs </w:t>
      </w:r>
      <w:r w:rsidR="008B5877" w:rsidRPr="008B5877">
        <w:t>DMIA expenditures the 2010–11 to 2014–15 regulatory control period ($' 000 nominal)</w:t>
      </w:r>
    </w:p>
    <w:tbl>
      <w:tblPr>
        <w:tblStyle w:val="AERtable-numbers"/>
        <w:tblW w:w="8897" w:type="dxa"/>
        <w:tblLayout w:type="fixed"/>
        <w:tblLook w:val="04A0" w:firstRow="1" w:lastRow="0" w:firstColumn="1" w:lastColumn="0" w:noHBand="0" w:noVBand="1"/>
      </w:tblPr>
      <w:tblGrid>
        <w:gridCol w:w="1049"/>
        <w:gridCol w:w="1274"/>
        <w:gridCol w:w="1274"/>
        <w:gridCol w:w="1274"/>
        <w:gridCol w:w="1274"/>
        <w:gridCol w:w="1274"/>
        <w:gridCol w:w="1478"/>
      </w:tblGrid>
      <w:tr w:rsidR="009F4529" w:rsidTr="00264F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 w:type="dxa"/>
          </w:tcPr>
          <w:p w:rsidR="009F4529" w:rsidRPr="008B5877" w:rsidRDefault="009F4529" w:rsidP="008B5877">
            <w:pPr>
              <w:pStyle w:val="AERtabletextleft"/>
            </w:pPr>
            <w:r w:rsidRPr="008B5877">
              <w:t>DNSP</w:t>
            </w:r>
          </w:p>
        </w:tc>
        <w:tc>
          <w:tcPr>
            <w:tcW w:w="1274" w:type="dxa"/>
          </w:tcPr>
          <w:p w:rsidR="009F4529" w:rsidRPr="008B5877" w:rsidRDefault="009F4529" w:rsidP="008B5877">
            <w:pPr>
              <w:pStyle w:val="AERtabletextright"/>
              <w:cnfStyle w:val="100000000000" w:firstRow="1" w:lastRow="0" w:firstColumn="0" w:lastColumn="0" w:oddVBand="0" w:evenVBand="0" w:oddHBand="0" w:evenHBand="0" w:firstRowFirstColumn="0" w:firstRowLastColumn="0" w:lastRowFirstColumn="0" w:lastRowLastColumn="0"/>
            </w:pPr>
            <w:r w:rsidRPr="00C86C82">
              <w:t>DMIA approved for 20</w:t>
            </w:r>
            <w:r w:rsidRPr="009F4529">
              <w:t>13–14</w:t>
            </w:r>
          </w:p>
        </w:tc>
        <w:tc>
          <w:tcPr>
            <w:tcW w:w="1274" w:type="dxa"/>
          </w:tcPr>
          <w:p w:rsidR="009F4529" w:rsidRPr="008B5877" w:rsidRDefault="009F4529" w:rsidP="008B5877">
            <w:pPr>
              <w:pStyle w:val="AERtabletextright"/>
              <w:cnfStyle w:val="100000000000" w:firstRow="1" w:lastRow="0" w:firstColumn="0" w:lastColumn="0" w:oddVBand="0" w:evenVBand="0" w:oddHBand="0" w:evenHBand="0" w:firstRowFirstColumn="0" w:firstRowLastColumn="0" w:lastRowFirstColumn="0" w:lastRowLastColumn="0"/>
            </w:pPr>
            <w:r w:rsidRPr="00C86C82">
              <w:t>DMIA approved for 20</w:t>
            </w:r>
            <w:r>
              <w:t>14</w:t>
            </w:r>
            <w:r w:rsidRPr="009F4529">
              <w:t>–1</w:t>
            </w:r>
            <w:r>
              <w:t>5</w:t>
            </w:r>
          </w:p>
        </w:tc>
        <w:tc>
          <w:tcPr>
            <w:tcW w:w="1274" w:type="dxa"/>
          </w:tcPr>
          <w:p w:rsidR="009F4529" w:rsidRPr="008B5877" w:rsidRDefault="00A079B6" w:rsidP="008B5877">
            <w:pPr>
              <w:pStyle w:val="AERtabletextright"/>
              <w:cnfStyle w:val="100000000000" w:firstRow="1" w:lastRow="0" w:firstColumn="0" w:lastColumn="0" w:oddVBand="0" w:evenVBand="0" w:oddHBand="0" w:evenHBand="0" w:firstRowFirstColumn="0" w:firstRowLastColumn="0" w:lastRowFirstColumn="0" w:lastRowLastColumn="0"/>
            </w:pPr>
            <w:r>
              <w:t>Total DMIA a</w:t>
            </w:r>
            <w:r w:rsidR="009F4529" w:rsidRPr="008B5877">
              <w:t xml:space="preserve">llowance </w:t>
            </w:r>
          </w:p>
        </w:tc>
        <w:tc>
          <w:tcPr>
            <w:tcW w:w="1274" w:type="dxa"/>
          </w:tcPr>
          <w:p w:rsidR="009F4529" w:rsidRPr="008B5877" w:rsidRDefault="009F4529" w:rsidP="008B5877">
            <w:pPr>
              <w:pStyle w:val="AERtabletextright"/>
              <w:cnfStyle w:val="100000000000" w:firstRow="1" w:lastRow="0" w:firstColumn="0" w:lastColumn="0" w:oddVBand="0" w:evenVBand="0" w:oddHBand="0" w:evenHBand="0" w:firstRowFirstColumn="0" w:firstRowLastColumn="0" w:lastRowFirstColumn="0" w:lastRowLastColumn="0"/>
            </w:pPr>
            <w:r w:rsidRPr="008B5877">
              <w:t xml:space="preserve">DMIA approved </w:t>
            </w:r>
            <w:r w:rsidRPr="008B5877">
              <w:br/>
              <w:t>to date</w:t>
            </w:r>
          </w:p>
        </w:tc>
        <w:tc>
          <w:tcPr>
            <w:tcW w:w="1274" w:type="dxa"/>
          </w:tcPr>
          <w:p w:rsidR="009F4529" w:rsidRPr="008B5877" w:rsidRDefault="009F4529" w:rsidP="008B5877">
            <w:pPr>
              <w:pStyle w:val="AERtabletextright"/>
              <w:cnfStyle w:val="100000000000" w:firstRow="1" w:lastRow="0" w:firstColumn="0" w:lastColumn="0" w:oddVBand="0" w:evenVBand="0" w:oddHBand="0" w:evenHBand="0" w:firstRowFirstColumn="0" w:firstRowLastColumn="0" w:lastRowFirstColumn="0" w:lastRowLastColumn="0"/>
            </w:pPr>
            <w:r w:rsidRPr="008B5877">
              <w:t>DMIA remaining for the period</w:t>
            </w:r>
          </w:p>
        </w:tc>
        <w:tc>
          <w:tcPr>
            <w:tcW w:w="1478" w:type="dxa"/>
          </w:tcPr>
          <w:p w:rsidR="009F4529" w:rsidRPr="008B5877" w:rsidRDefault="009F4529" w:rsidP="00264F41">
            <w:pPr>
              <w:pStyle w:val="AERtabletextleft"/>
              <w:cnfStyle w:val="100000000000" w:firstRow="1" w:lastRow="0" w:firstColumn="0" w:lastColumn="0" w:oddVBand="0" w:evenVBand="0" w:oddHBand="0" w:evenHBand="0" w:firstRowFirstColumn="0" w:firstRowLastColumn="0" w:lastRowFirstColumn="0" w:lastRowLastColumn="0"/>
            </w:pPr>
            <w:r w:rsidRPr="008B5877">
              <w:t xml:space="preserve">Proportion of approved DMIA spent </w:t>
            </w:r>
          </w:p>
        </w:tc>
      </w:tr>
      <w:tr w:rsidR="00764119" w:rsidTr="00264F41">
        <w:tc>
          <w:tcPr>
            <w:cnfStyle w:val="001000000000" w:firstRow="0" w:lastRow="0" w:firstColumn="1" w:lastColumn="0" w:oddVBand="0" w:evenVBand="0" w:oddHBand="0" w:evenHBand="0" w:firstRowFirstColumn="0" w:firstRowLastColumn="0" w:lastRowFirstColumn="0" w:lastRowLastColumn="0"/>
            <w:tcW w:w="1049" w:type="dxa"/>
            <w:vAlign w:val="top"/>
          </w:tcPr>
          <w:p w:rsidR="00764119" w:rsidRPr="00764119" w:rsidRDefault="00764119" w:rsidP="00764119">
            <w:r w:rsidRPr="00764119">
              <w:t>Energex</w:t>
            </w:r>
          </w:p>
        </w:tc>
        <w:tc>
          <w:tcPr>
            <w:tcW w:w="1274" w:type="dxa"/>
            <w:vAlign w:val="top"/>
          </w:tcPr>
          <w:p w:rsidR="00764119" w:rsidRPr="00764119" w:rsidRDefault="00764119" w:rsidP="00764119">
            <w:pPr>
              <w:cnfStyle w:val="000000000000" w:firstRow="0" w:lastRow="0" w:firstColumn="0" w:lastColumn="0" w:oddVBand="0" w:evenVBand="0" w:oddHBand="0" w:evenHBand="0" w:firstRowFirstColumn="0" w:firstRowLastColumn="0" w:lastRowFirstColumn="0" w:lastRowLastColumn="0"/>
            </w:pPr>
            <w:r w:rsidRPr="00764119">
              <w:t>0</w:t>
            </w:r>
          </w:p>
        </w:tc>
        <w:tc>
          <w:tcPr>
            <w:tcW w:w="1274" w:type="dxa"/>
            <w:vAlign w:val="top"/>
          </w:tcPr>
          <w:p w:rsidR="00764119" w:rsidRPr="00764119" w:rsidRDefault="00764119" w:rsidP="00764119">
            <w:pPr>
              <w:cnfStyle w:val="000000000000" w:firstRow="0" w:lastRow="0" w:firstColumn="0" w:lastColumn="0" w:oddVBand="0" w:evenVBand="0" w:oddHBand="0" w:evenHBand="0" w:firstRowFirstColumn="0" w:firstRowLastColumn="0" w:lastRowFirstColumn="0" w:lastRowLastColumn="0"/>
            </w:pPr>
            <w:r w:rsidRPr="00764119">
              <w:t>1 240.9</w:t>
            </w:r>
          </w:p>
        </w:tc>
        <w:tc>
          <w:tcPr>
            <w:tcW w:w="1274" w:type="dxa"/>
            <w:vAlign w:val="top"/>
          </w:tcPr>
          <w:p w:rsidR="00764119" w:rsidRPr="00764119" w:rsidRDefault="00764119" w:rsidP="00764119">
            <w:pPr>
              <w:cnfStyle w:val="000000000000" w:firstRow="0" w:lastRow="0" w:firstColumn="0" w:lastColumn="0" w:oddVBand="0" w:evenVBand="0" w:oddHBand="0" w:evenHBand="0" w:firstRowFirstColumn="0" w:firstRowLastColumn="0" w:lastRowFirstColumn="0" w:lastRowLastColumn="0"/>
            </w:pPr>
            <w:r w:rsidRPr="00764119">
              <w:t>4 917.0</w:t>
            </w:r>
          </w:p>
        </w:tc>
        <w:tc>
          <w:tcPr>
            <w:tcW w:w="1274" w:type="dxa"/>
            <w:vAlign w:val="top"/>
          </w:tcPr>
          <w:p w:rsidR="00764119" w:rsidRPr="00764119" w:rsidRDefault="00764119" w:rsidP="00764119">
            <w:pPr>
              <w:cnfStyle w:val="000000000000" w:firstRow="0" w:lastRow="0" w:firstColumn="0" w:lastColumn="0" w:oddVBand="0" w:evenVBand="0" w:oddHBand="0" w:evenHBand="0" w:firstRowFirstColumn="0" w:firstRowLastColumn="0" w:lastRowFirstColumn="0" w:lastRowLastColumn="0"/>
            </w:pPr>
            <w:r w:rsidRPr="00764119">
              <w:t xml:space="preserve"> 1 291.2 </w:t>
            </w:r>
          </w:p>
        </w:tc>
        <w:tc>
          <w:tcPr>
            <w:tcW w:w="1274" w:type="dxa"/>
            <w:vAlign w:val="top"/>
          </w:tcPr>
          <w:p w:rsidR="00764119" w:rsidRPr="00764119" w:rsidRDefault="00764119">
            <w:pPr>
              <w:cnfStyle w:val="000000000000" w:firstRow="0" w:lastRow="0" w:firstColumn="0" w:lastColumn="0" w:oddVBand="0" w:evenVBand="0" w:oddHBand="0" w:evenHBand="0" w:firstRowFirstColumn="0" w:firstRowLastColumn="0" w:lastRowFirstColumn="0" w:lastRowLastColumn="0"/>
            </w:pPr>
            <w:r w:rsidRPr="00764119">
              <w:t xml:space="preserve"> 3 625.9 </w:t>
            </w:r>
          </w:p>
        </w:tc>
        <w:tc>
          <w:tcPr>
            <w:tcW w:w="1478" w:type="dxa"/>
            <w:vAlign w:val="top"/>
          </w:tcPr>
          <w:p w:rsidR="00764119" w:rsidRPr="00764119" w:rsidRDefault="00764119" w:rsidP="00764119">
            <w:pPr>
              <w:cnfStyle w:val="000000000000" w:firstRow="0" w:lastRow="0" w:firstColumn="0" w:lastColumn="0" w:oddVBand="0" w:evenVBand="0" w:oddHBand="0" w:evenHBand="0" w:firstRowFirstColumn="0" w:firstRowLastColumn="0" w:lastRowFirstColumn="0" w:lastRowLastColumn="0"/>
            </w:pPr>
            <w:r w:rsidRPr="00764119">
              <w:t>26%</w:t>
            </w:r>
          </w:p>
        </w:tc>
      </w:tr>
      <w:tr w:rsidR="00764119" w:rsidTr="00264F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 w:type="dxa"/>
            <w:vAlign w:val="top"/>
          </w:tcPr>
          <w:p w:rsidR="00764119" w:rsidRPr="00764119" w:rsidRDefault="00764119" w:rsidP="00764119">
            <w:r w:rsidRPr="00764119">
              <w:t>Ergon Energy</w:t>
            </w:r>
          </w:p>
        </w:tc>
        <w:tc>
          <w:tcPr>
            <w:tcW w:w="1274" w:type="dxa"/>
            <w:vAlign w:val="top"/>
          </w:tcPr>
          <w:p w:rsidR="00764119" w:rsidRPr="00764119" w:rsidRDefault="00764119" w:rsidP="00764119">
            <w:pPr>
              <w:cnfStyle w:val="000000010000" w:firstRow="0" w:lastRow="0" w:firstColumn="0" w:lastColumn="0" w:oddVBand="0" w:evenVBand="0" w:oddHBand="0" w:evenHBand="1" w:firstRowFirstColumn="0" w:firstRowLastColumn="0" w:lastRowFirstColumn="0" w:lastRowLastColumn="0"/>
            </w:pPr>
            <w:r w:rsidRPr="00764119">
              <w:t>850.7</w:t>
            </w:r>
          </w:p>
        </w:tc>
        <w:tc>
          <w:tcPr>
            <w:tcW w:w="1274" w:type="dxa"/>
            <w:vAlign w:val="top"/>
          </w:tcPr>
          <w:p w:rsidR="00764119" w:rsidRPr="00764119" w:rsidRDefault="00764119" w:rsidP="00764119">
            <w:pPr>
              <w:cnfStyle w:val="000000010000" w:firstRow="0" w:lastRow="0" w:firstColumn="0" w:lastColumn="0" w:oddVBand="0" w:evenVBand="0" w:oddHBand="0" w:evenHBand="1" w:firstRowFirstColumn="0" w:firstRowLastColumn="0" w:lastRowFirstColumn="0" w:lastRowLastColumn="0"/>
            </w:pPr>
            <w:r w:rsidRPr="00764119">
              <w:t>747.3</w:t>
            </w:r>
          </w:p>
        </w:tc>
        <w:tc>
          <w:tcPr>
            <w:tcW w:w="1274" w:type="dxa"/>
            <w:vAlign w:val="top"/>
          </w:tcPr>
          <w:p w:rsidR="00764119" w:rsidRPr="00764119" w:rsidRDefault="00764119" w:rsidP="00764119">
            <w:pPr>
              <w:cnfStyle w:val="000000010000" w:firstRow="0" w:lastRow="0" w:firstColumn="0" w:lastColumn="0" w:oddVBand="0" w:evenVBand="0" w:oddHBand="0" w:evenHBand="1" w:firstRowFirstColumn="0" w:firstRowLastColumn="0" w:lastRowFirstColumn="0" w:lastRowLastColumn="0"/>
            </w:pPr>
            <w:r w:rsidRPr="00764119">
              <w:t>5 300.7</w:t>
            </w:r>
          </w:p>
        </w:tc>
        <w:tc>
          <w:tcPr>
            <w:tcW w:w="1274" w:type="dxa"/>
            <w:vAlign w:val="top"/>
          </w:tcPr>
          <w:p w:rsidR="00764119" w:rsidRPr="00764119" w:rsidRDefault="00764119" w:rsidP="00764119">
            <w:pPr>
              <w:cnfStyle w:val="000000010000" w:firstRow="0" w:lastRow="0" w:firstColumn="0" w:lastColumn="0" w:oddVBand="0" w:evenVBand="0" w:oddHBand="0" w:evenHBand="1" w:firstRowFirstColumn="0" w:firstRowLastColumn="0" w:lastRowFirstColumn="0" w:lastRowLastColumn="0"/>
            </w:pPr>
            <w:r w:rsidRPr="00764119">
              <w:t xml:space="preserve"> 3 477.5 </w:t>
            </w:r>
          </w:p>
        </w:tc>
        <w:tc>
          <w:tcPr>
            <w:tcW w:w="1274" w:type="dxa"/>
            <w:vAlign w:val="top"/>
          </w:tcPr>
          <w:p w:rsidR="00764119" w:rsidRPr="00764119" w:rsidRDefault="00764119" w:rsidP="00764119">
            <w:pPr>
              <w:cnfStyle w:val="000000010000" w:firstRow="0" w:lastRow="0" w:firstColumn="0" w:lastColumn="0" w:oddVBand="0" w:evenVBand="0" w:oddHBand="0" w:evenHBand="1" w:firstRowFirstColumn="0" w:firstRowLastColumn="0" w:lastRowFirstColumn="0" w:lastRowLastColumn="0"/>
            </w:pPr>
            <w:r w:rsidRPr="00764119">
              <w:t xml:space="preserve"> 1 823.2 </w:t>
            </w:r>
          </w:p>
        </w:tc>
        <w:tc>
          <w:tcPr>
            <w:tcW w:w="1478" w:type="dxa"/>
            <w:vAlign w:val="top"/>
          </w:tcPr>
          <w:p w:rsidR="00764119" w:rsidRPr="00764119" w:rsidRDefault="00764119" w:rsidP="00764119">
            <w:pPr>
              <w:cnfStyle w:val="000000010000" w:firstRow="0" w:lastRow="0" w:firstColumn="0" w:lastColumn="0" w:oddVBand="0" w:evenVBand="0" w:oddHBand="0" w:evenHBand="1" w:firstRowFirstColumn="0" w:firstRowLastColumn="0" w:lastRowFirstColumn="0" w:lastRowLastColumn="0"/>
            </w:pPr>
            <w:r w:rsidRPr="00764119">
              <w:t>66%</w:t>
            </w:r>
          </w:p>
        </w:tc>
      </w:tr>
      <w:tr w:rsidR="00764119" w:rsidTr="00264F41">
        <w:tc>
          <w:tcPr>
            <w:cnfStyle w:val="001000000000" w:firstRow="0" w:lastRow="0" w:firstColumn="1" w:lastColumn="0" w:oddVBand="0" w:evenVBand="0" w:oddHBand="0" w:evenHBand="0" w:firstRowFirstColumn="0" w:firstRowLastColumn="0" w:lastRowFirstColumn="0" w:lastRowLastColumn="0"/>
            <w:tcW w:w="1049" w:type="dxa"/>
            <w:vAlign w:val="top"/>
          </w:tcPr>
          <w:p w:rsidR="00764119" w:rsidRPr="00764119" w:rsidRDefault="00764119" w:rsidP="00764119">
            <w:r w:rsidRPr="00764119">
              <w:t>SA Power Networks</w:t>
            </w:r>
          </w:p>
        </w:tc>
        <w:tc>
          <w:tcPr>
            <w:tcW w:w="1274" w:type="dxa"/>
            <w:vAlign w:val="top"/>
          </w:tcPr>
          <w:p w:rsidR="00764119" w:rsidRPr="00764119" w:rsidRDefault="00764119" w:rsidP="00764119">
            <w:pPr>
              <w:cnfStyle w:val="000000000000" w:firstRow="0" w:lastRow="0" w:firstColumn="0" w:lastColumn="0" w:oddVBand="0" w:evenVBand="0" w:oddHBand="0" w:evenHBand="0" w:firstRowFirstColumn="0" w:firstRowLastColumn="0" w:lastRowFirstColumn="0" w:lastRowLastColumn="0"/>
            </w:pPr>
            <w:r w:rsidRPr="00764119">
              <w:t>65</w:t>
            </w:r>
            <w:r w:rsidR="0057039C">
              <w:t>3.6</w:t>
            </w:r>
          </w:p>
        </w:tc>
        <w:tc>
          <w:tcPr>
            <w:tcW w:w="1274" w:type="dxa"/>
            <w:vAlign w:val="top"/>
          </w:tcPr>
          <w:p w:rsidR="00764119" w:rsidRPr="00764119" w:rsidRDefault="00764119" w:rsidP="00764119">
            <w:pPr>
              <w:cnfStyle w:val="000000000000" w:firstRow="0" w:lastRow="0" w:firstColumn="0" w:lastColumn="0" w:oddVBand="0" w:evenVBand="0" w:oddHBand="0" w:evenHBand="0" w:firstRowFirstColumn="0" w:firstRowLastColumn="0" w:lastRowFirstColumn="0" w:lastRowLastColumn="0"/>
            </w:pPr>
            <w:r w:rsidRPr="00764119">
              <w:t>6</w:t>
            </w:r>
            <w:r w:rsidR="0057039C">
              <w:t>62.3</w:t>
            </w:r>
          </w:p>
        </w:tc>
        <w:tc>
          <w:tcPr>
            <w:tcW w:w="1274" w:type="dxa"/>
            <w:vAlign w:val="top"/>
          </w:tcPr>
          <w:p w:rsidR="00764119" w:rsidRPr="00764119" w:rsidRDefault="00764119" w:rsidP="00764119">
            <w:pPr>
              <w:cnfStyle w:val="000000000000" w:firstRow="0" w:lastRow="0" w:firstColumn="0" w:lastColumn="0" w:oddVBand="0" w:evenVBand="0" w:oddHBand="0" w:evenHBand="0" w:firstRowFirstColumn="0" w:firstRowLastColumn="0" w:lastRowFirstColumn="0" w:lastRowLastColumn="0"/>
            </w:pPr>
            <w:r w:rsidRPr="00764119">
              <w:t>3 180.4</w:t>
            </w:r>
          </w:p>
        </w:tc>
        <w:tc>
          <w:tcPr>
            <w:tcW w:w="1274" w:type="dxa"/>
            <w:vAlign w:val="top"/>
          </w:tcPr>
          <w:p w:rsidR="00764119" w:rsidRPr="00764119" w:rsidRDefault="00764119" w:rsidP="00764119">
            <w:pPr>
              <w:cnfStyle w:val="000000000000" w:firstRow="0" w:lastRow="0" w:firstColumn="0" w:lastColumn="0" w:oddVBand="0" w:evenVBand="0" w:oddHBand="0" w:evenHBand="0" w:firstRowFirstColumn="0" w:firstRowLastColumn="0" w:lastRowFirstColumn="0" w:lastRowLastColumn="0"/>
            </w:pPr>
            <w:r w:rsidRPr="00764119">
              <w:t xml:space="preserve"> 3 180.4 </w:t>
            </w:r>
          </w:p>
        </w:tc>
        <w:tc>
          <w:tcPr>
            <w:tcW w:w="1274" w:type="dxa"/>
            <w:vAlign w:val="top"/>
          </w:tcPr>
          <w:p w:rsidR="00764119" w:rsidRPr="00764119" w:rsidRDefault="00764119" w:rsidP="00764119">
            <w:pPr>
              <w:cnfStyle w:val="000000000000" w:firstRow="0" w:lastRow="0" w:firstColumn="0" w:lastColumn="0" w:oddVBand="0" w:evenVBand="0" w:oddHBand="0" w:evenHBand="0" w:firstRowFirstColumn="0" w:firstRowLastColumn="0" w:lastRowFirstColumn="0" w:lastRowLastColumn="0"/>
            </w:pPr>
            <w:r w:rsidRPr="00764119">
              <w:t xml:space="preserve"> -   </w:t>
            </w:r>
          </w:p>
        </w:tc>
        <w:tc>
          <w:tcPr>
            <w:tcW w:w="1478" w:type="dxa"/>
            <w:vAlign w:val="top"/>
          </w:tcPr>
          <w:p w:rsidR="00764119" w:rsidRPr="00764119" w:rsidRDefault="00764119" w:rsidP="00764119">
            <w:pPr>
              <w:cnfStyle w:val="000000000000" w:firstRow="0" w:lastRow="0" w:firstColumn="0" w:lastColumn="0" w:oddVBand="0" w:evenVBand="0" w:oddHBand="0" w:evenHBand="0" w:firstRowFirstColumn="0" w:firstRowLastColumn="0" w:lastRowFirstColumn="0" w:lastRowLastColumn="0"/>
            </w:pPr>
            <w:r w:rsidRPr="00764119">
              <w:t>100%</w:t>
            </w:r>
          </w:p>
        </w:tc>
      </w:tr>
      <w:tr w:rsidR="00764119" w:rsidTr="00264F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 w:type="dxa"/>
            <w:vAlign w:val="top"/>
          </w:tcPr>
          <w:p w:rsidR="00764119" w:rsidRPr="00764119" w:rsidRDefault="00764119" w:rsidP="00764119">
            <w:pPr>
              <w:rPr>
                <w:rStyle w:val="Strong"/>
              </w:rPr>
            </w:pPr>
            <w:r w:rsidRPr="00764119">
              <w:rPr>
                <w:rStyle w:val="Strong"/>
              </w:rPr>
              <w:t>TOTAL</w:t>
            </w:r>
          </w:p>
        </w:tc>
        <w:tc>
          <w:tcPr>
            <w:tcW w:w="1274" w:type="dxa"/>
            <w:vAlign w:val="top"/>
          </w:tcPr>
          <w:p w:rsidR="00764119" w:rsidRPr="00764119" w:rsidRDefault="00764119" w:rsidP="00764119">
            <w:pPr>
              <w:cnfStyle w:val="000000010000" w:firstRow="0" w:lastRow="0" w:firstColumn="0" w:lastColumn="0" w:oddVBand="0" w:evenVBand="0" w:oddHBand="0" w:evenHBand="1" w:firstRowFirstColumn="0" w:firstRowLastColumn="0" w:lastRowFirstColumn="0" w:lastRowLastColumn="0"/>
            </w:pPr>
            <w:r w:rsidRPr="00764119">
              <w:t xml:space="preserve"> 1 50</w:t>
            </w:r>
            <w:r w:rsidR="0057039C">
              <w:t>4.3</w:t>
            </w:r>
            <w:r w:rsidRPr="00764119">
              <w:t xml:space="preserve"> </w:t>
            </w:r>
          </w:p>
        </w:tc>
        <w:tc>
          <w:tcPr>
            <w:tcW w:w="1274" w:type="dxa"/>
            <w:vAlign w:val="top"/>
          </w:tcPr>
          <w:p w:rsidR="00764119" w:rsidRPr="00764119" w:rsidRDefault="00764119" w:rsidP="00764119">
            <w:pPr>
              <w:cnfStyle w:val="000000010000" w:firstRow="0" w:lastRow="0" w:firstColumn="0" w:lastColumn="0" w:oddVBand="0" w:evenVBand="0" w:oddHBand="0" w:evenHBand="1" w:firstRowFirstColumn="0" w:firstRowLastColumn="0" w:lastRowFirstColumn="0" w:lastRowLastColumn="0"/>
            </w:pPr>
            <w:r w:rsidRPr="00764119">
              <w:t xml:space="preserve"> 2 6</w:t>
            </w:r>
            <w:r w:rsidR="0057039C">
              <w:t>50.4</w:t>
            </w:r>
            <w:r w:rsidRPr="00764119">
              <w:t xml:space="preserve"> </w:t>
            </w:r>
          </w:p>
        </w:tc>
        <w:tc>
          <w:tcPr>
            <w:tcW w:w="1274" w:type="dxa"/>
            <w:vAlign w:val="top"/>
          </w:tcPr>
          <w:p w:rsidR="00764119" w:rsidRPr="00764119" w:rsidRDefault="00764119" w:rsidP="00764119">
            <w:pPr>
              <w:cnfStyle w:val="000000010000" w:firstRow="0" w:lastRow="0" w:firstColumn="0" w:lastColumn="0" w:oddVBand="0" w:evenVBand="0" w:oddHBand="0" w:evenHBand="1" w:firstRowFirstColumn="0" w:firstRowLastColumn="0" w:lastRowFirstColumn="0" w:lastRowLastColumn="0"/>
            </w:pPr>
            <w:r w:rsidRPr="00764119">
              <w:t>13 398.2</w:t>
            </w:r>
          </w:p>
        </w:tc>
        <w:tc>
          <w:tcPr>
            <w:tcW w:w="1274" w:type="dxa"/>
            <w:vAlign w:val="top"/>
          </w:tcPr>
          <w:p w:rsidR="00764119" w:rsidRPr="00764119" w:rsidRDefault="00764119" w:rsidP="00764119">
            <w:pPr>
              <w:cnfStyle w:val="000000010000" w:firstRow="0" w:lastRow="0" w:firstColumn="0" w:lastColumn="0" w:oddVBand="0" w:evenVBand="0" w:oddHBand="0" w:evenHBand="1" w:firstRowFirstColumn="0" w:firstRowLastColumn="0" w:lastRowFirstColumn="0" w:lastRowLastColumn="0"/>
            </w:pPr>
            <w:r w:rsidRPr="00764119">
              <w:t xml:space="preserve"> 7 949.1 </w:t>
            </w:r>
          </w:p>
        </w:tc>
        <w:tc>
          <w:tcPr>
            <w:tcW w:w="1274" w:type="dxa"/>
            <w:vAlign w:val="top"/>
          </w:tcPr>
          <w:p w:rsidR="00764119" w:rsidRPr="00764119" w:rsidRDefault="00764119" w:rsidP="00764119">
            <w:pPr>
              <w:cnfStyle w:val="000000010000" w:firstRow="0" w:lastRow="0" w:firstColumn="0" w:lastColumn="0" w:oddVBand="0" w:evenVBand="0" w:oddHBand="0" w:evenHBand="1" w:firstRowFirstColumn="0" w:firstRowLastColumn="0" w:lastRowFirstColumn="0" w:lastRowLastColumn="0"/>
            </w:pPr>
            <w:r w:rsidRPr="00764119">
              <w:t xml:space="preserve"> 5 449.1 </w:t>
            </w:r>
          </w:p>
        </w:tc>
        <w:tc>
          <w:tcPr>
            <w:tcW w:w="1478" w:type="dxa"/>
            <w:vAlign w:val="top"/>
          </w:tcPr>
          <w:p w:rsidR="00764119" w:rsidRPr="00764119" w:rsidRDefault="00764119" w:rsidP="00764119">
            <w:pPr>
              <w:cnfStyle w:val="000000010000" w:firstRow="0" w:lastRow="0" w:firstColumn="0" w:lastColumn="0" w:oddVBand="0" w:evenVBand="0" w:oddHBand="0" w:evenHBand="1" w:firstRowFirstColumn="0" w:firstRowLastColumn="0" w:lastRowFirstColumn="0" w:lastRowLastColumn="0"/>
            </w:pPr>
            <w:r w:rsidRPr="00764119">
              <w:t>59%</w:t>
            </w:r>
          </w:p>
        </w:tc>
      </w:tr>
    </w:tbl>
    <w:p w:rsidR="008B5877" w:rsidRPr="008B5877" w:rsidRDefault="008B5877" w:rsidP="008B5877">
      <w:pPr>
        <w:pStyle w:val="AERtablesource"/>
      </w:pPr>
      <w:r w:rsidRPr="008B5877">
        <w:t>Source:</w:t>
      </w:r>
      <w:r w:rsidRPr="008B5877">
        <w:tab/>
        <w:t xml:space="preserve">AER analysis and DMIA </w:t>
      </w:r>
      <w:r w:rsidR="00F6148F">
        <w:t>r</w:t>
      </w:r>
      <w:r w:rsidRPr="008B5877">
        <w:t xml:space="preserve">eports submitted by DNSPs; </w:t>
      </w:r>
      <w:r w:rsidR="0055068C">
        <w:t>numbers</w:t>
      </w:r>
      <w:r w:rsidRPr="008B5877">
        <w:t xml:space="preserve"> may not be exact due to rounding.   </w:t>
      </w:r>
    </w:p>
    <w:p w:rsidR="007D085A" w:rsidRDefault="007D085A">
      <w:pPr>
        <w:spacing w:line="240" w:lineRule="auto"/>
        <w:rPr>
          <w:b/>
          <w:bCs/>
          <w:color w:val="076A92" w:themeColor="text1"/>
          <w:sz w:val="24"/>
          <w:szCs w:val="18"/>
        </w:rPr>
      </w:pPr>
      <w:r>
        <w:br w:type="page"/>
      </w:r>
    </w:p>
    <w:p w:rsidR="008B5877" w:rsidRPr="008B5877" w:rsidRDefault="00DA4E0A">
      <w:pPr>
        <w:pStyle w:val="Caption"/>
      </w:pPr>
      <w:r>
        <w:lastRenderedPageBreak/>
        <w:t xml:space="preserve">Table </w:t>
      </w:r>
      <w:r w:rsidR="00BF480E">
        <w:fldChar w:fldCharType="begin"/>
      </w:r>
      <w:r w:rsidR="00BF480E">
        <w:instrText xml:space="preserve"> SEQ Table \* ARABIC </w:instrText>
      </w:r>
      <w:r w:rsidR="00BF480E">
        <w:fldChar w:fldCharType="separate"/>
      </w:r>
      <w:r w:rsidR="002D1097">
        <w:rPr>
          <w:noProof/>
        </w:rPr>
        <w:t>8</w:t>
      </w:r>
      <w:r w:rsidR="00BF480E">
        <w:rPr>
          <w:noProof/>
        </w:rPr>
        <w:fldChar w:fldCharType="end"/>
      </w:r>
      <w:r>
        <w:tab/>
      </w:r>
      <w:r w:rsidR="00A079B6">
        <w:t>VIC</w:t>
      </w:r>
      <w:r w:rsidR="009F4529" w:rsidRPr="008B5877">
        <w:t xml:space="preserve"> DNSPs </w:t>
      </w:r>
      <w:r w:rsidR="009F4529">
        <w:t>DMIA expenditure</w:t>
      </w:r>
      <w:r w:rsidR="008B5877" w:rsidRPr="008B5877">
        <w:t xml:space="preserve"> for the 2011 to 2015 regulatory control period ($' 000 nominal)</w:t>
      </w:r>
    </w:p>
    <w:tbl>
      <w:tblPr>
        <w:tblStyle w:val="AERtable-numbers"/>
        <w:tblW w:w="8897" w:type="dxa"/>
        <w:tblLayout w:type="fixed"/>
        <w:tblLook w:val="04A0" w:firstRow="1" w:lastRow="0" w:firstColumn="1" w:lastColumn="0" w:noHBand="0" w:noVBand="1"/>
      </w:tblPr>
      <w:tblGrid>
        <w:gridCol w:w="1294"/>
        <w:gridCol w:w="1520"/>
        <w:gridCol w:w="1521"/>
        <w:gridCol w:w="1520"/>
        <w:gridCol w:w="1521"/>
        <w:gridCol w:w="1521"/>
      </w:tblGrid>
      <w:tr w:rsidR="008B5877" w:rsidTr="00264F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tcPr>
          <w:p w:rsidR="008B5877" w:rsidRPr="008B5877" w:rsidRDefault="008B5877" w:rsidP="008B5877">
            <w:pPr>
              <w:pStyle w:val="AERtabletextleft"/>
            </w:pPr>
            <w:r w:rsidRPr="008B5877">
              <w:t>DNSP</w:t>
            </w:r>
          </w:p>
        </w:tc>
        <w:tc>
          <w:tcPr>
            <w:tcW w:w="1520" w:type="dxa"/>
          </w:tcPr>
          <w:p w:rsidR="008B5877" w:rsidRPr="008B5877" w:rsidRDefault="008B5877" w:rsidP="008B5877">
            <w:pPr>
              <w:pStyle w:val="AERtabletextright"/>
              <w:cnfStyle w:val="100000000000" w:firstRow="1" w:lastRow="0" w:firstColumn="0" w:lastColumn="0" w:oddVBand="0" w:evenVBand="0" w:oddHBand="0" w:evenHBand="0" w:firstRowFirstColumn="0" w:firstRowLastColumn="0" w:lastRowFirstColumn="0" w:lastRowLastColumn="0"/>
            </w:pPr>
            <w:r w:rsidRPr="008B5877">
              <w:t>DMIA approved for 2014</w:t>
            </w:r>
          </w:p>
        </w:tc>
        <w:tc>
          <w:tcPr>
            <w:tcW w:w="1521" w:type="dxa"/>
          </w:tcPr>
          <w:p w:rsidR="008B5877" w:rsidRPr="008B5877" w:rsidRDefault="00A079B6" w:rsidP="008B5877">
            <w:pPr>
              <w:pStyle w:val="AERtabletextright"/>
              <w:cnfStyle w:val="100000000000" w:firstRow="1" w:lastRow="0" w:firstColumn="0" w:lastColumn="0" w:oddVBand="0" w:evenVBand="0" w:oddHBand="0" w:evenHBand="0" w:firstRowFirstColumn="0" w:firstRowLastColumn="0" w:lastRowFirstColumn="0" w:lastRowLastColumn="0"/>
            </w:pPr>
            <w:r>
              <w:t>Total DMIA a</w:t>
            </w:r>
            <w:r w:rsidR="008B5877" w:rsidRPr="008B5877">
              <w:t>l</w:t>
            </w:r>
            <w:r>
              <w:t>l</w:t>
            </w:r>
            <w:r w:rsidR="008B5877" w:rsidRPr="008B5877">
              <w:t xml:space="preserve">owance </w:t>
            </w:r>
          </w:p>
        </w:tc>
        <w:tc>
          <w:tcPr>
            <w:tcW w:w="1520" w:type="dxa"/>
          </w:tcPr>
          <w:p w:rsidR="008B5877" w:rsidRPr="008B5877" w:rsidRDefault="008B5877" w:rsidP="008B5877">
            <w:pPr>
              <w:pStyle w:val="AERtabletextright"/>
              <w:cnfStyle w:val="100000000000" w:firstRow="1" w:lastRow="0" w:firstColumn="0" w:lastColumn="0" w:oddVBand="0" w:evenVBand="0" w:oddHBand="0" w:evenHBand="0" w:firstRowFirstColumn="0" w:firstRowLastColumn="0" w:lastRowFirstColumn="0" w:lastRowLastColumn="0"/>
            </w:pPr>
            <w:r w:rsidRPr="008B5877">
              <w:t xml:space="preserve">DMIA approved </w:t>
            </w:r>
            <w:r w:rsidRPr="008B5877">
              <w:br/>
              <w:t>to date</w:t>
            </w:r>
          </w:p>
        </w:tc>
        <w:tc>
          <w:tcPr>
            <w:tcW w:w="1521" w:type="dxa"/>
          </w:tcPr>
          <w:p w:rsidR="008B5877" w:rsidRPr="008B5877" w:rsidRDefault="008B5877" w:rsidP="008B5877">
            <w:pPr>
              <w:pStyle w:val="AERtabletextright"/>
              <w:cnfStyle w:val="100000000000" w:firstRow="1" w:lastRow="0" w:firstColumn="0" w:lastColumn="0" w:oddVBand="0" w:evenVBand="0" w:oddHBand="0" w:evenHBand="0" w:firstRowFirstColumn="0" w:firstRowLastColumn="0" w:lastRowFirstColumn="0" w:lastRowLastColumn="0"/>
            </w:pPr>
            <w:r w:rsidRPr="008B5877">
              <w:t>DMIA remaining for the period</w:t>
            </w:r>
          </w:p>
        </w:tc>
        <w:tc>
          <w:tcPr>
            <w:tcW w:w="1521" w:type="dxa"/>
          </w:tcPr>
          <w:p w:rsidR="008B5877" w:rsidRPr="008B5877" w:rsidRDefault="008B5877" w:rsidP="00264F41">
            <w:pPr>
              <w:pStyle w:val="AERtabletextleft"/>
              <w:cnfStyle w:val="100000000000" w:firstRow="1" w:lastRow="0" w:firstColumn="0" w:lastColumn="0" w:oddVBand="0" w:evenVBand="0" w:oddHBand="0" w:evenHBand="0" w:firstRowFirstColumn="0" w:firstRowLastColumn="0" w:lastRowFirstColumn="0" w:lastRowLastColumn="0"/>
            </w:pPr>
            <w:r w:rsidRPr="008B5877">
              <w:t xml:space="preserve">Proportion of approved DMIA spent </w:t>
            </w:r>
          </w:p>
        </w:tc>
      </w:tr>
      <w:tr w:rsidR="008B5877" w:rsidTr="00264F41">
        <w:tc>
          <w:tcPr>
            <w:cnfStyle w:val="001000000000" w:firstRow="0" w:lastRow="0" w:firstColumn="1" w:lastColumn="0" w:oddVBand="0" w:evenVBand="0" w:oddHBand="0" w:evenHBand="0" w:firstRowFirstColumn="0" w:firstRowLastColumn="0" w:lastRowFirstColumn="0" w:lastRowLastColumn="0"/>
            <w:tcW w:w="1294" w:type="dxa"/>
            <w:vAlign w:val="top"/>
          </w:tcPr>
          <w:p w:rsidR="008B5877" w:rsidRPr="008B5877" w:rsidRDefault="008B5877" w:rsidP="008B5877">
            <w:r w:rsidRPr="008B5877">
              <w:t>AusNet Services</w:t>
            </w:r>
          </w:p>
        </w:tc>
        <w:tc>
          <w:tcPr>
            <w:tcW w:w="1520" w:type="dxa"/>
            <w:vAlign w:val="top"/>
          </w:tcPr>
          <w:p w:rsidR="008B5877" w:rsidRPr="008B5877" w:rsidRDefault="008B5877" w:rsidP="008B5877">
            <w:pPr>
              <w:cnfStyle w:val="000000000000" w:firstRow="0" w:lastRow="0" w:firstColumn="0" w:lastColumn="0" w:oddVBand="0" w:evenVBand="0" w:oddHBand="0" w:evenHBand="0" w:firstRowFirstColumn="0" w:firstRowLastColumn="0" w:lastRowFirstColumn="0" w:lastRowLastColumn="0"/>
            </w:pPr>
            <w:r w:rsidRPr="008B5877">
              <w:t>2 633.9</w:t>
            </w:r>
          </w:p>
        </w:tc>
        <w:tc>
          <w:tcPr>
            <w:tcW w:w="1521" w:type="dxa"/>
            <w:vAlign w:val="top"/>
          </w:tcPr>
          <w:p w:rsidR="008B5877" w:rsidRPr="008B5877" w:rsidRDefault="008B5877" w:rsidP="008B5877">
            <w:pPr>
              <w:cnfStyle w:val="000000000000" w:firstRow="0" w:lastRow="0" w:firstColumn="0" w:lastColumn="0" w:oddVBand="0" w:evenVBand="0" w:oddHBand="0" w:evenHBand="0" w:firstRowFirstColumn="0" w:firstRowLastColumn="0" w:lastRowFirstColumn="0" w:lastRowLastColumn="0"/>
            </w:pPr>
            <w:r w:rsidRPr="008B5877">
              <w:t xml:space="preserve"> 3 180. 6 </w:t>
            </w:r>
          </w:p>
        </w:tc>
        <w:tc>
          <w:tcPr>
            <w:tcW w:w="1520" w:type="dxa"/>
            <w:vAlign w:val="top"/>
          </w:tcPr>
          <w:p w:rsidR="008B5877" w:rsidRPr="008B5877" w:rsidRDefault="008B5877" w:rsidP="008B5877">
            <w:pPr>
              <w:cnfStyle w:val="000000000000" w:firstRow="0" w:lastRow="0" w:firstColumn="0" w:lastColumn="0" w:oddVBand="0" w:evenVBand="0" w:oddHBand="0" w:evenHBand="0" w:firstRowFirstColumn="0" w:firstRowLastColumn="0" w:lastRowFirstColumn="0" w:lastRowLastColumn="0"/>
            </w:pPr>
            <w:r w:rsidRPr="008B5877">
              <w:t xml:space="preserve"> 3 193.2 </w:t>
            </w:r>
          </w:p>
        </w:tc>
        <w:tc>
          <w:tcPr>
            <w:tcW w:w="1521" w:type="dxa"/>
            <w:vAlign w:val="top"/>
          </w:tcPr>
          <w:p w:rsidR="008B5877" w:rsidRPr="008B5877" w:rsidRDefault="008B5877" w:rsidP="008B5877">
            <w:pPr>
              <w:cnfStyle w:val="000000000000" w:firstRow="0" w:lastRow="0" w:firstColumn="0" w:lastColumn="0" w:oddVBand="0" w:evenVBand="0" w:oddHBand="0" w:evenHBand="0" w:firstRowFirstColumn="0" w:firstRowLastColumn="0" w:lastRowFirstColumn="0" w:lastRowLastColumn="0"/>
            </w:pPr>
            <w:r w:rsidRPr="008B5877">
              <w:t xml:space="preserve">-12.6 </w:t>
            </w:r>
          </w:p>
        </w:tc>
        <w:tc>
          <w:tcPr>
            <w:tcW w:w="1521" w:type="dxa"/>
            <w:vAlign w:val="top"/>
          </w:tcPr>
          <w:p w:rsidR="008B5877" w:rsidRPr="008B5877" w:rsidRDefault="008B5877" w:rsidP="008B5877">
            <w:pPr>
              <w:cnfStyle w:val="000000000000" w:firstRow="0" w:lastRow="0" w:firstColumn="0" w:lastColumn="0" w:oddVBand="0" w:evenVBand="0" w:oddHBand="0" w:evenHBand="0" w:firstRowFirstColumn="0" w:firstRowLastColumn="0" w:lastRowFirstColumn="0" w:lastRowLastColumn="0"/>
            </w:pPr>
            <w:r w:rsidRPr="008B5877">
              <w:t>100%</w:t>
            </w:r>
          </w:p>
        </w:tc>
      </w:tr>
      <w:tr w:rsidR="008B5877" w:rsidTr="00264F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vAlign w:val="top"/>
          </w:tcPr>
          <w:p w:rsidR="008B5877" w:rsidRPr="008B5877" w:rsidRDefault="008B5877" w:rsidP="008B5877">
            <w:r w:rsidRPr="008B5877">
              <w:t>CitiPower</w:t>
            </w:r>
          </w:p>
        </w:tc>
        <w:tc>
          <w:tcPr>
            <w:tcW w:w="1520" w:type="dxa"/>
            <w:vAlign w:val="top"/>
          </w:tcPr>
          <w:p w:rsidR="008B5877" w:rsidRPr="008B5877" w:rsidRDefault="008B5877" w:rsidP="008B5877">
            <w:pPr>
              <w:cnfStyle w:val="000000010000" w:firstRow="0" w:lastRow="0" w:firstColumn="0" w:lastColumn="0" w:oddVBand="0" w:evenVBand="0" w:oddHBand="0" w:evenHBand="1" w:firstRowFirstColumn="0" w:firstRowLastColumn="0" w:lastRowFirstColumn="0" w:lastRowLastColumn="0"/>
            </w:pPr>
            <w:r w:rsidRPr="008B5877">
              <w:t xml:space="preserve"> 403.9 </w:t>
            </w:r>
          </w:p>
        </w:tc>
        <w:tc>
          <w:tcPr>
            <w:tcW w:w="1521" w:type="dxa"/>
            <w:vAlign w:val="top"/>
          </w:tcPr>
          <w:p w:rsidR="008B5877" w:rsidRPr="008B5877" w:rsidRDefault="008B5877" w:rsidP="008B5877">
            <w:pPr>
              <w:cnfStyle w:val="000000010000" w:firstRow="0" w:lastRow="0" w:firstColumn="0" w:lastColumn="0" w:oddVBand="0" w:evenVBand="0" w:oddHBand="0" w:evenHBand="1" w:firstRowFirstColumn="0" w:firstRowLastColumn="0" w:lastRowFirstColumn="0" w:lastRowLastColumn="0"/>
            </w:pPr>
            <w:r w:rsidRPr="008B5877">
              <w:t xml:space="preserve"> 1 060.2 </w:t>
            </w:r>
          </w:p>
        </w:tc>
        <w:tc>
          <w:tcPr>
            <w:tcW w:w="1520" w:type="dxa"/>
            <w:vAlign w:val="top"/>
          </w:tcPr>
          <w:p w:rsidR="008B5877" w:rsidRPr="008B5877" w:rsidRDefault="008B5877" w:rsidP="008B5877">
            <w:pPr>
              <w:cnfStyle w:val="000000010000" w:firstRow="0" w:lastRow="0" w:firstColumn="0" w:lastColumn="0" w:oddVBand="0" w:evenVBand="0" w:oddHBand="0" w:evenHBand="1" w:firstRowFirstColumn="0" w:firstRowLastColumn="0" w:lastRowFirstColumn="0" w:lastRowLastColumn="0"/>
            </w:pPr>
            <w:r w:rsidRPr="008B5877">
              <w:t xml:space="preserve"> 523.0 </w:t>
            </w:r>
          </w:p>
        </w:tc>
        <w:tc>
          <w:tcPr>
            <w:tcW w:w="1521" w:type="dxa"/>
            <w:vAlign w:val="top"/>
          </w:tcPr>
          <w:p w:rsidR="008B5877" w:rsidRPr="008B5877" w:rsidRDefault="008B5877" w:rsidP="008B5877">
            <w:pPr>
              <w:cnfStyle w:val="000000010000" w:firstRow="0" w:lastRow="0" w:firstColumn="0" w:lastColumn="0" w:oddVBand="0" w:evenVBand="0" w:oddHBand="0" w:evenHBand="1" w:firstRowFirstColumn="0" w:firstRowLastColumn="0" w:lastRowFirstColumn="0" w:lastRowLastColumn="0"/>
            </w:pPr>
            <w:r w:rsidRPr="008B5877">
              <w:t xml:space="preserve"> 537.2 </w:t>
            </w:r>
          </w:p>
        </w:tc>
        <w:tc>
          <w:tcPr>
            <w:tcW w:w="1521" w:type="dxa"/>
            <w:vAlign w:val="top"/>
          </w:tcPr>
          <w:p w:rsidR="008B5877" w:rsidRPr="008B5877" w:rsidRDefault="008B5877" w:rsidP="008B5877">
            <w:pPr>
              <w:cnfStyle w:val="000000010000" w:firstRow="0" w:lastRow="0" w:firstColumn="0" w:lastColumn="0" w:oddVBand="0" w:evenVBand="0" w:oddHBand="0" w:evenHBand="1" w:firstRowFirstColumn="0" w:firstRowLastColumn="0" w:lastRowFirstColumn="0" w:lastRowLastColumn="0"/>
            </w:pPr>
            <w:r w:rsidRPr="008B5877">
              <w:t>49%</w:t>
            </w:r>
          </w:p>
        </w:tc>
      </w:tr>
      <w:tr w:rsidR="008B5877" w:rsidTr="00264F41">
        <w:tc>
          <w:tcPr>
            <w:cnfStyle w:val="001000000000" w:firstRow="0" w:lastRow="0" w:firstColumn="1" w:lastColumn="0" w:oddVBand="0" w:evenVBand="0" w:oddHBand="0" w:evenHBand="0" w:firstRowFirstColumn="0" w:firstRowLastColumn="0" w:lastRowFirstColumn="0" w:lastRowLastColumn="0"/>
            <w:tcW w:w="1294" w:type="dxa"/>
            <w:vAlign w:val="top"/>
          </w:tcPr>
          <w:p w:rsidR="008B5877" w:rsidRPr="008B5877" w:rsidRDefault="008B5877" w:rsidP="008B5877">
            <w:r w:rsidRPr="008B5877">
              <w:t>Jemena</w:t>
            </w:r>
          </w:p>
        </w:tc>
        <w:tc>
          <w:tcPr>
            <w:tcW w:w="1520" w:type="dxa"/>
            <w:vAlign w:val="top"/>
          </w:tcPr>
          <w:p w:rsidR="008B5877" w:rsidRPr="008B5877" w:rsidRDefault="008B5877" w:rsidP="008B5877">
            <w:pPr>
              <w:cnfStyle w:val="000000000000" w:firstRow="0" w:lastRow="0" w:firstColumn="0" w:lastColumn="0" w:oddVBand="0" w:evenVBand="0" w:oddHBand="0" w:evenHBand="0" w:firstRowFirstColumn="0" w:firstRowLastColumn="0" w:lastRowFirstColumn="0" w:lastRowLastColumn="0"/>
            </w:pPr>
            <w:r w:rsidRPr="008B5877">
              <w:t>63.9</w:t>
            </w:r>
          </w:p>
        </w:tc>
        <w:tc>
          <w:tcPr>
            <w:tcW w:w="1521" w:type="dxa"/>
            <w:vAlign w:val="top"/>
          </w:tcPr>
          <w:p w:rsidR="008B5877" w:rsidRPr="008B5877" w:rsidRDefault="008B5877" w:rsidP="008B5877">
            <w:pPr>
              <w:cnfStyle w:val="000000000000" w:firstRow="0" w:lastRow="0" w:firstColumn="0" w:lastColumn="0" w:oddVBand="0" w:evenVBand="0" w:oddHBand="0" w:evenHBand="0" w:firstRowFirstColumn="0" w:firstRowLastColumn="0" w:lastRowFirstColumn="0" w:lastRowLastColumn="0"/>
            </w:pPr>
            <w:r w:rsidRPr="008B5877">
              <w:t xml:space="preserve"> 1 060.2 </w:t>
            </w:r>
          </w:p>
        </w:tc>
        <w:tc>
          <w:tcPr>
            <w:tcW w:w="1520" w:type="dxa"/>
            <w:vAlign w:val="top"/>
          </w:tcPr>
          <w:p w:rsidR="008B5877" w:rsidRPr="008B5877" w:rsidRDefault="008B5877" w:rsidP="008B5877">
            <w:pPr>
              <w:cnfStyle w:val="000000000000" w:firstRow="0" w:lastRow="0" w:firstColumn="0" w:lastColumn="0" w:oddVBand="0" w:evenVBand="0" w:oddHBand="0" w:evenHBand="0" w:firstRowFirstColumn="0" w:firstRowLastColumn="0" w:lastRowFirstColumn="0" w:lastRowLastColumn="0"/>
            </w:pPr>
            <w:r w:rsidRPr="008B5877">
              <w:t xml:space="preserve"> 803.6 </w:t>
            </w:r>
          </w:p>
        </w:tc>
        <w:tc>
          <w:tcPr>
            <w:tcW w:w="1521" w:type="dxa"/>
            <w:vAlign w:val="top"/>
          </w:tcPr>
          <w:p w:rsidR="008B5877" w:rsidRPr="008B5877" w:rsidRDefault="008B5877" w:rsidP="008B5877">
            <w:pPr>
              <w:cnfStyle w:val="000000000000" w:firstRow="0" w:lastRow="0" w:firstColumn="0" w:lastColumn="0" w:oddVBand="0" w:evenVBand="0" w:oddHBand="0" w:evenHBand="0" w:firstRowFirstColumn="0" w:firstRowLastColumn="0" w:lastRowFirstColumn="0" w:lastRowLastColumn="0"/>
            </w:pPr>
            <w:r w:rsidRPr="008B5877">
              <w:t xml:space="preserve"> 256.6 </w:t>
            </w:r>
          </w:p>
        </w:tc>
        <w:tc>
          <w:tcPr>
            <w:tcW w:w="1521" w:type="dxa"/>
            <w:vAlign w:val="top"/>
          </w:tcPr>
          <w:p w:rsidR="008B5877" w:rsidRPr="008B5877" w:rsidRDefault="008B5877" w:rsidP="008B5877">
            <w:pPr>
              <w:cnfStyle w:val="000000000000" w:firstRow="0" w:lastRow="0" w:firstColumn="0" w:lastColumn="0" w:oddVBand="0" w:evenVBand="0" w:oddHBand="0" w:evenHBand="0" w:firstRowFirstColumn="0" w:firstRowLastColumn="0" w:lastRowFirstColumn="0" w:lastRowLastColumn="0"/>
            </w:pPr>
            <w:r w:rsidRPr="008B5877">
              <w:t>76%</w:t>
            </w:r>
          </w:p>
        </w:tc>
      </w:tr>
      <w:tr w:rsidR="008B5877" w:rsidTr="00264F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vAlign w:val="top"/>
          </w:tcPr>
          <w:p w:rsidR="008B5877" w:rsidRPr="008B5877" w:rsidRDefault="008B5877" w:rsidP="008B5877">
            <w:r w:rsidRPr="008B5877">
              <w:t>Powercor</w:t>
            </w:r>
          </w:p>
        </w:tc>
        <w:tc>
          <w:tcPr>
            <w:tcW w:w="1520" w:type="dxa"/>
            <w:vAlign w:val="top"/>
          </w:tcPr>
          <w:p w:rsidR="008B5877" w:rsidRPr="008B5877" w:rsidRDefault="008B5877" w:rsidP="008B5877">
            <w:pPr>
              <w:cnfStyle w:val="000000010000" w:firstRow="0" w:lastRow="0" w:firstColumn="0" w:lastColumn="0" w:oddVBand="0" w:evenVBand="0" w:oddHBand="0" w:evenHBand="1" w:firstRowFirstColumn="0" w:firstRowLastColumn="0" w:lastRowFirstColumn="0" w:lastRowLastColumn="0"/>
            </w:pPr>
            <w:r w:rsidRPr="008B5877">
              <w:t xml:space="preserve"> 230.6 </w:t>
            </w:r>
          </w:p>
        </w:tc>
        <w:tc>
          <w:tcPr>
            <w:tcW w:w="1521" w:type="dxa"/>
            <w:vAlign w:val="top"/>
          </w:tcPr>
          <w:p w:rsidR="008B5877" w:rsidRPr="008B5877" w:rsidRDefault="008B5877" w:rsidP="008B5877">
            <w:pPr>
              <w:cnfStyle w:val="000000010000" w:firstRow="0" w:lastRow="0" w:firstColumn="0" w:lastColumn="0" w:oddVBand="0" w:evenVBand="0" w:oddHBand="0" w:evenHBand="1" w:firstRowFirstColumn="0" w:firstRowLastColumn="0" w:lastRowFirstColumn="0" w:lastRowLastColumn="0"/>
            </w:pPr>
            <w:r w:rsidRPr="008B5877">
              <w:t xml:space="preserve"> 3 180.6 </w:t>
            </w:r>
          </w:p>
        </w:tc>
        <w:tc>
          <w:tcPr>
            <w:tcW w:w="1520" w:type="dxa"/>
            <w:vAlign w:val="top"/>
          </w:tcPr>
          <w:p w:rsidR="008B5877" w:rsidRPr="008B5877" w:rsidRDefault="008B5877" w:rsidP="008B5877">
            <w:pPr>
              <w:cnfStyle w:val="000000010000" w:firstRow="0" w:lastRow="0" w:firstColumn="0" w:lastColumn="0" w:oddVBand="0" w:evenVBand="0" w:oddHBand="0" w:evenHBand="1" w:firstRowFirstColumn="0" w:firstRowLastColumn="0" w:lastRowFirstColumn="0" w:lastRowLastColumn="0"/>
            </w:pPr>
            <w:r w:rsidRPr="008B5877">
              <w:t xml:space="preserve"> 438.8 </w:t>
            </w:r>
          </w:p>
        </w:tc>
        <w:tc>
          <w:tcPr>
            <w:tcW w:w="1521" w:type="dxa"/>
            <w:vAlign w:val="top"/>
          </w:tcPr>
          <w:p w:rsidR="008B5877" w:rsidRPr="008B5877" w:rsidRDefault="008B5877" w:rsidP="008B5877">
            <w:pPr>
              <w:cnfStyle w:val="000000010000" w:firstRow="0" w:lastRow="0" w:firstColumn="0" w:lastColumn="0" w:oddVBand="0" w:evenVBand="0" w:oddHBand="0" w:evenHBand="1" w:firstRowFirstColumn="0" w:firstRowLastColumn="0" w:lastRowFirstColumn="0" w:lastRowLastColumn="0"/>
            </w:pPr>
            <w:r w:rsidRPr="008B5877">
              <w:t xml:space="preserve"> 2 741.8 </w:t>
            </w:r>
          </w:p>
        </w:tc>
        <w:tc>
          <w:tcPr>
            <w:tcW w:w="1521" w:type="dxa"/>
            <w:vAlign w:val="top"/>
          </w:tcPr>
          <w:p w:rsidR="008B5877" w:rsidRPr="008B5877" w:rsidRDefault="008B5877" w:rsidP="008B5877">
            <w:pPr>
              <w:cnfStyle w:val="000000010000" w:firstRow="0" w:lastRow="0" w:firstColumn="0" w:lastColumn="0" w:oddVBand="0" w:evenVBand="0" w:oddHBand="0" w:evenHBand="1" w:firstRowFirstColumn="0" w:firstRowLastColumn="0" w:lastRowFirstColumn="0" w:lastRowLastColumn="0"/>
            </w:pPr>
            <w:r w:rsidRPr="008B5877">
              <w:t>14%</w:t>
            </w:r>
          </w:p>
        </w:tc>
      </w:tr>
      <w:tr w:rsidR="008B5877" w:rsidTr="00264F41">
        <w:tc>
          <w:tcPr>
            <w:cnfStyle w:val="001000000000" w:firstRow="0" w:lastRow="0" w:firstColumn="1" w:lastColumn="0" w:oddVBand="0" w:evenVBand="0" w:oddHBand="0" w:evenHBand="0" w:firstRowFirstColumn="0" w:firstRowLastColumn="0" w:lastRowFirstColumn="0" w:lastRowLastColumn="0"/>
            <w:tcW w:w="1294" w:type="dxa"/>
            <w:vAlign w:val="top"/>
          </w:tcPr>
          <w:p w:rsidR="008B5877" w:rsidRPr="008B5877" w:rsidRDefault="008B5877" w:rsidP="008B5877">
            <w:r w:rsidRPr="008B5877">
              <w:t>United Energy</w:t>
            </w:r>
          </w:p>
        </w:tc>
        <w:tc>
          <w:tcPr>
            <w:tcW w:w="1520" w:type="dxa"/>
            <w:vAlign w:val="top"/>
          </w:tcPr>
          <w:p w:rsidR="008B5877" w:rsidRPr="008B5877" w:rsidRDefault="008B5877" w:rsidP="008B5877">
            <w:pPr>
              <w:cnfStyle w:val="000000000000" w:firstRow="0" w:lastRow="0" w:firstColumn="0" w:lastColumn="0" w:oddVBand="0" w:evenVBand="0" w:oddHBand="0" w:evenHBand="0" w:firstRowFirstColumn="0" w:firstRowLastColumn="0" w:lastRowFirstColumn="0" w:lastRowLastColumn="0"/>
            </w:pPr>
            <w:r w:rsidRPr="008B5877">
              <w:t xml:space="preserve"> 661.7 </w:t>
            </w:r>
          </w:p>
        </w:tc>
        <w:tc>
          <w:tcPr>
            <w:tcW w:w="1521" w:type="dxa"/>
            <w:vAlign w:val="top"/>
          </w:tcPr>
          <w:p w:rsidR="008B5877" w:rsidRPr="008B5877" w:rsidRDefault="008B5877" w:rsidP="008B5877">
            <w:pPr>
              <w:cnfStyle w:val="000000000000" w:firstRow="0" w:lastRow="0" w:firstColumn="0" w:lastColumn="0" w:oddVBand="0" w:evenVBand="0" w:oddHBand="0" w:evenHBand="0" w:firstRowFirstColumn="0" w:firstRowLastColumn="0" w:lastRowFirstColumn="0" w:lastRowLastColumn="0"/>
            </w:pPr>
            <w:r w:rsidRPr="008B5877">
              <w:t xml:space="preserve"> 2 120.4 </w:t>
            </w:r>
          </w:p>
        </w:tc>
        <w:tc>
          <w:tcPr>
            <w:tcW w:w="1520" w:type="dxa"/>
            <w:vAlign w:val="top"/>
          </w:tcPr>
          <w:p w:rsidR="008B5877" w:rsidRPr="008B5877" w:rsidRDefault="008B5877" w:rsidP="008B5877">
            <w:pPr>
              <w:cnfStyle w:val="000000000000" w:firstRow="0" w:lastRow="0" w:firstColumn="0" w:lastColumn="0" w:oddVBand="0" w:evenVBand="0" w:oddHBand="0" w:evenHBand="0" w:firstRowFirstColumn="0" w:firstRowLastColumn="0" w:lastRowFirstColumn="0" w:lastRowLastColumn="0"/>
            </w:pPr>
            <w:r w:rsidRPr="008B5877">
              <w:t xml:space="preserve"> 1 082.1 </w:t>
            </w:r>
          </w:p>
        </w:tc>
        <w:tc>
          <w:tcPr>
            <w:tcW w:w="1521" w:type="dxa"/>
            <w:vAlign w:val="top"/>
          </w:tcPr>
          <w:p w:rsidR="008B5877" w:rsidRPr="008B5877" w:rsidRDefault="008B5877" w:rsidP="008B5877">
            <w:pPr>
              <w:cnfStyle w:val="000000000000" w:firstRow="0" w:lastRow="0" w:firstColumn="0" w:lastColumn="0" w:oddVBand="0" w:evenVBand="0" w:oddHBand="0" w:evenHBand="0" w:firstRowFirstColumn="0" w:firstRowLastColumn="0" w:lastRowFirstColumn="0" w:lastRowLastColumn="0"/>
            </w:pPr>
            <w:r w:rsidRPr="008B5877">
              <w:t xml:space="preserve"> 1 038.3 </w:t>
            </w:r>
          </w:p>
        </w:tc>
        <w:tc>
          <w:tcPr>
            <w:tcW w:w="1521" w:type="dxa"/>
            <w:vAlign w:val="top"/>
          </w:tcPr>
          <w:p w:rsidR="008B5877" w:rsidRPr="008B5877" w:rsidRDefault="008B5877" w:rsidP="008B5877">
            <w:pPr>
              <w:cnfStyle w:val="000000000000" w:firstRow="0" w:lastRow="0" w:firstColumn="0" w:lastColumn="0" w:oddVBand="0" w:evenVBand="0" w:oddHBand="0" w:evenHBand="0" w:firstRowFirstColumn="0" w:firstRowLastColumn="0" w:lastRowFirstColumn="0" w:lastRowLastColumn="0"/>
            </w:pPr>
            <w:r w:rsidRPr="008B5877">
              <w:t>51%</w:t>
            </w:r>
          </w:p>
        </w:tc>
      </w:tr>
      <w:tr w:rsidR="008B5877" w:rsidTr="00264F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vAlign w:val="top"/>
          </w:tcPr>
          <w:p w:rsidR="008B5877" w:rsidRPr="008B5877" w:rsidRDefault="008B5877" w:rsidP="008B5877">
            <w:r w:rsidRPr="008B5877">
              <w:t>Total</w:t>
            </w:r>
          </w:p>
        </w:tc>
        <w:tc>
          <w:tcPr>
            <w:tcW w:w="1520" w:type="dxa"/>
            <w:vAlign w:val="top"/>
          </w:tcPr>
          <w:p w:rsidR="008B5877" w:rsidRPr="008B5877" w:rsidRDefault="008B5877" w:rsidP="008B5877">
            <w:pPr>
              <w:cnfStyle w:val="000000010000" w:firstRow="0" w:lastRow="0" w:firstColumn="0" w:lastColumn="0" w:oddVBand="0" w:evenVBand="0" w:oddHBand="0" w:evenHBand="1" w:firstRowFirstColumn="0" w:firstRowLastColumn="0" w:lastRowFirstColumn="0" w:lastRowLastColumn="0"/>
            </w:pPr>
            <w:r w:rsidRPr="008B5877">
              <w:t xml:space="preserve"> 3 994.0 </w:t>
            </w:r>
          </w:p>
        </w:tc>
        <w:tc>
          <w:tcPr>
            <w:tcW w:w="1521" w:type="dxa"/>
            <w:vAlign w:val="top"/>
          </w:tcPr>
          <w:p w:rsidR="008B5877" w:rsidRPr="008B5877" w:rsidRDefault="008B5877" w:rsidP="008B5877">
            <w:pPr>
              <w:cnfStyle w:val="000000010000" w:firstRow="0" w:lastRow="0" w:firstColumn="0" w:lastColumn="0" w:oddVBand="0" w:evenVBand="0" w:oddHBand="0" w:evenHBand="1" w:firstRowFirstColumn="0" w:firstRowLastColumn="0" w:lastRowFirstColumn="0" w:lastRowLastColumn="0"/>
            </w:pPr>
            <w:r w:rsidRPr="008B5877">
              <w:t xml:space="preserve"> 10 602.0 </w:t>
            </w:r>
          </w:p>
        </w:tc>
        <w:tc>
          <w:tcPr>
            <w:tcW w:w="1520" w:type="dxa"/>
            <w:vAlign w:val="top"/>
          </w:tcPr>
          <w:p w:rsidR="008B5877" w:rsidRPr="008B5877" w:rsidRDefault="008B5877" w:rsidP="008B5877">
            <w:pPr>
              <w:cnfStyle w:val="000000010000" w:firstRow="0" w:lastRow="0" w:firstColumn="0" w:lastColumn="0" w:oddVBand="0" w:evenVBand="0" w:oddHBand="0" w:evenHBand="1" w:firstRowFirstColumn="0" w:firstRowLastColumn="0" w:lastRowFirstColumn="0" w:lastRowLastColumn="0"/>
            </w:pPr>
            <w:r w:rsidRPr="008B5877">
              <w:t xml:space="preserve"> 6 040.7 </w:t>
            </w:r>
          </w:p>
        </w:tc>
        <w:tc>
          <w:tcPr>
            <w:tcW w:w="1521" w:type="dxa"/>
            <w:vAlign w:val="top"/>
          </w:tcPr>
          <w:p w:rsidR="008B5877" w:rsidRPr="008B5877" w:rsidRDefault="008B5877" w:rsidP="008B5877">
            <w:pPr>
              <w:cnfStyle w:val="000000010000" w:firstRow="0" w:lastRow="0" w:firstColumn="0" w:lastColumn="0" w:oddVBand="0" w:evenVBand="0" w:oddHBand="0" w:evenHBand="1" w:firstRowFirstColumn="0" w:firstRowLastColumn="0" w:lastRowFirstColumn="0" w:lastRowLastColumn="0"/>
            </w:pPr>
            <w:r w:rsidRPr="008B5877">
              <w:t xml:space="preserve"> 4 561.3 </w:t>
            </w:r>
          </w:p>
        </w:tc>
        <w:tc>
          <w:tcPr>
            <w:tcW w:w="1521" w:type="dxa"/>
            <w:vAlign w:val="top"/>
          </w:tcPr>
          <w:p w:rsidR="008B5877" w:rsidRPr="008B5877" w:rsidRDefault="008B5877" w:rsidP="008B5877">
            <w:pPr>
              <w:cnfStyle w:val="000000010000" w:firstRow="0" w:lastRow="0" w:firstColumn="0" w:lastColumn="0" w:oddVBand="0" w:evenVBand="0" w:oddHBand="0" w:evenHBand="1" w:firstRowFirstColumn="0" w:firstRowLastColumn="0" w:lastRowFirstColumn="0" w:lastRowLastColumn="0"/>
            </w:pPr>
            <w:r w:rsidRPr="008B5877">
              <w:t>57%</w:t>
            </w:r>
          </w:p>
        </w:tc>
      </w:tr>
    </w:tbl>
    <w:p w:rsidR="008B5877" w:rsidRPr="008B5877" w:rsidRDefault="008B5877" w:rsidP="008B5877">
      <w:pPr>
        <w:pStyle w:val="AERtablesource"/>
      </w:pPr>
      <w:r w:rsidRPr="008B5877">
        <w:t>Source:</w:t>
      </w:r>
      <w:r w:rsidRPr="008B5877">
        <w:tab/>
        <w:t xml:space="preserve">AER analysis and DMIA </w:t>
      </w:r>
      <w:r w:rsidR="00F6148F">
        <w:t>r</w:t>
      </w:r>
      <w:r w:rsidRPr="008B5877">
        <w:t xml:space="preserve">eports submitted by DNSPs; </w:t>
      </w:r>
      <w:r w:rsidR="0055068C">
        <w:t>numbers</w:t>
      </w:r>
      <w:r w:rsidR="0055068C" w:rsidRPr="008B5877">
        <w:t xml:space="preserve"> </w:t>
      </w:r>
      <w:r w:rsidRPr="008B5877">
        <w:t xml:space="preserve">may not be exact due to rounding.   </w:t>
      </w:r>
    </w:p>
    <w:p w:rsidR="008B5877" w:rsidRPr="008B5877" w:rsidRDefault="00F54B77" w:rsidP="00F04DBD">
      <w:pPr>
        <w:pStyle w:val="Caption"/>
      </w:pPr>
      <w:r>
        <w:t xml:space="preserve">Table </w:t>
      </w:r>
      <w:r w:rsidR="00BF480E">
        <w:fldChar w:fldCharType="begin"/>
      </w:r>
      <w:r w:rsidR="00BF480E">
        <w:instrText xml:space="preserve"> SEQ Table \* ARABIC </w:instrText>
      </w:r>
      <w:r w:rsidR="00BF480E">
        <w:fldChar w:fldCharType="separate"/>
      </w:r>
      <w:r w:rsidR="002D1097">
        <w:rPr>
          <w:noProof/>
        </w:rPr>
        <w:t>9</w:t>
      </w:r>
      <w:r w:rsidR="00BF480E">
        <w:rPr>
          <w:noProof/>
        </w:rPr>
        <w:fldChar w:fldCharType="end"/>
      </w:r>
      <w:r>
        <w:tab/>
      </w:r>
      <w:r w:rsidR="009F4529" w:rsidRPr="008B5877">
        <w:t xml:space="preserve">TAS DNSP </w:t>
      </w:r>
      <w:r w:rsidR="008B5877" w:rsidRPr="008B5877">
        <w:t>DMIA expenditures for the 2012–13 to 2016–17 regulatory control period ($' 000, nominal)</w:t>
      </w:r>
    </w:p>
    <w:tbl>
      <w:tblPr>
        <w:tblStyle w:val="AERtable-numbers"/>
        <w:tblW w:w="8897" w:type="dxa"/>
        <w:tblLayout w:type="fixed"/>
        <w:tblLook w:val="04A0" w:firstRow="1" w:lastRow="0" w:firstColumn="1" w:lastColumn="0" w:noHBand="0" w:noVBand="1"/>
      </w:tblPr>
      <w:tblGrid>
        <w:gridCol w:w="1242"/>
        <w:gridCol w:w="1531"/>
        <w:gridCol w:w="1531"/>
        <w:gridCol w:w="1531"/>
        <w:gridCol w:w="1531"/>
        <w:gridCol w:w="1531"/>
      </w:tblGrid>
      <w:tr w:rsidR="008B5877" w:rsidTr="00264F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8B5877" w:rsidRPr="008B5877" w:rsidRDefault="008B5877" w:rsidP="008B5877">
            <w:pPr>
              <w:pStyle w:val="AERtabletextleft"/>
            </w:pPr>
            <w:r w:rsidRPr="008B5877">
              <w:t>DNSP</w:t>
            </w:r>
          </w:p>
        </w:tc>
        <w:tc>
          <w:tcPr>
            <w:tcW w:w="1531" w:type="dxa"/>
          </w:tcPr>
          <w:p w:rsidR="008B5877" w:rsidRPr="008B5877" w:rsidRDefault="008B5877" w:rsidP="008B5877">
            <w:pPr>
              <w:pStyle w:val="AERtabletextright"/>
              <w:cnfStyle w:val="100000000000" w:firstRow="1" w:lastRow="0" w:firstColumn="0" w:lastColumn="0" w:oddVBand="0" w:evenVBand="0" w:oddHBand="0" w:evenHBand="0" w:firstRowFirstColumn="0" w:firstRowLastColumn="0" w:lastRowFirstColumn="0" w:lastRowLastColumn="0"/>
            </w:pPr>
            <w:r w:rsidRPr="008B5877">
              <w:t>DMIA approved for 2013–14</w:t>
            </w:r>
          </w:p>
        </w:tc>
        <w:tc>
          <w:tcPr>
            <w:tcW w:w="1531" w:type="dxa"/>
          </w:tcPr>
          <w:p w:rsidR="008B5877" w:rsidRPr="008B5877" w:rsidRDefault="00A079B6" w:rsidP="008B5877">
            <w:pPr>
              <w:pStyle w:val="AERtabletextright"/>
              <w:cnfStyle w:val="100000000000" w:firstRow="1" w:lastRow="0" w:firstColumn="0" w:lastColumn="0" w:oddVBand="0" w:evenVBand="0" w:oddHBand="0" w:evenHBand="0" w:firstRowFirstColumn="0" w:firstRowLastColumn="0" w:lastRowFirstColumn="0" w:lastRowLastColumn="0"/>
            </w:pPr>
            <w:r>
              <w:t>Total DMIA a</w:t>
            </w:r>
            <w:r w:rsidR="008B5877" w:rsidRPr="008B5877">
              <w:t xml:space="preserve">llowance </w:t>
            </w:r>
          </w:p>
        </w:tc>
        <w:tc>
          <w:tcPr>
            <w:tcW w:w="1531" w:type="dxa"/>
          </w:tcPr>
          <w:p w:rsidR="008B5877" w:rsidRPr="008B5877" w:rsidRDefault="008B5877" w:rsidP="008B5877">
            <w:pPr>
              <w:pStyle w:val="AERtabletextright"/>
              <w:cnfStyle w:val="100000000000" w:firstRow="1" w:lastRow="0" w:firstColumn="0" w:lastColumn="0" w:oddVBand="0" w:evenVBand="0" w:oddHBand="0" w:evenHBand="0" w:firstRowFirstColumn="0" w:firstRowLastColumn="0" w:lastRowFirstColumn="0" w:lastRowLastColumn="0"/>
            </w:pPr>
            <w:r w:rsidRPr="008B5877">
              <w:t xml:space="preserve">DMIA approved </w:t>
            </w:r>
            <w:r w:rsidRPr="008B5877">
              <w:br/>
              <w:t>to date</w:t>
            </w:r>
          </w:p>
        </w:tc>
        <w:tc>
          <w:tcPr>
            <w:tcW w:w="1531" w:type="dxa"/>
          </w:tcPr>
          <w:p w:rsidR="008B5877" w:rsidRPr="008B5877" w:rsidRDefault="008B5877" w:rsidP="008B5877">
            <w:pPr>
              <w:pStyle w:val="AERtabletextright"/>
              <w:cnfStyle w:val="100000000000" w:firstRow="1" w:lastRow="0" w:firstColumn="0" w:lastColumn="0" w:oddVBand="0" w:evenVBand="0" w:oddHBand="0" w:evenHBand="0" w:firstRowFirstColumn="0" w:firstRowLastColumn="0" w:lastRowFirstColumn="0" w:lastRowLastColumn="0"/>
            </w:pPr>
            <w:r w:rsidRPr="008B5877">
              <w:t>DMIA remaining for the period</w:t>
            </w:r>
          </w:p>
        </w:tc>
        <w:tc>
          <w:tcPr>
            <w:tcW w:w="1531" w:type="dxa"/>
          </w:tcPr>
          <w:p w:rsidR="008B5877" w:rsidRPr="008B5877" w:rsidRDefault="008B5877" w:rsidP="00264F41">
            <w:pPr>
              <w:pStyle w:val="AERtabletextleft"/>
              <w:cnfStyle w:val="100000000000" w:firstRow="1" w:lastRow="0" w:firstColumn="0" w:lastColumn="0" w:oddVBand="0" w:evenVBand="0" w:oddHBand="0" w:evenHBand="0" w:firstRowFirstColumn="0" w:firstRowLastColumn="0" w:lastRowFirstColumn="0" w:lastRowLastColumn="0"/>
            </w:pPr>
            <w:r w:rsidRPr="008B5877">
              <w:t xml:space="preserve">Proportion of approved DMIA spent </w:t>
            </w:r>
          </w:p>
        </w:tc>
      </w:tr>
      <w:tr w:rsidR="008B5877" w:rsidTr="00264F41">
        <w:tc>
          <w:tcPr>
            <w:cnfStyle w:val="001000000000" w:firstRow="0" w:lastRow="0" w:firstColumn="1" w:lastColumn="0" w:oddVBand="0" w:evenVBand="0" w:oddHBand="0" w:evenHBand="0" w:firstRowFirstColumn="0" w:firstRowLastColumn="0" w:lastRowFirstColumn="0" w:lastRowLastColumn="0"/>
            <w:tcW w:w="1242" w:type="dxa"/>
            <w:vAlign w:val="top"/>
          </w:tcPr>
          <w:p w:rsidR="008B5877" w:rsidRPr="008B5877" w:rsidRDefault="008B5877" w:rsidP="008B5877">
            <w:r w:rsidRPr="008B5877">
              <w:t>TasNetworks</w:t>
            </w:r>
          </w:p>
        </w:tc>
        <w:tc>
          <w:tcPr>
            <w:tcW w:w="1531" w:type="dxa"/>
          </w:tcPr>
          <w:p w:rsidR="008B5877" w:rsidRPr="008B5877" w:rsidRDefault="008B5877" w:rsidP="008B5877">
            <w:pPr>
              <w:cnfStyle w:val="000000000000" w:firstRow="0" w:lastRow="0" w:firstColumn="0" w:lastColumn="0" w:oddVBand="0" w:evenVBand="0" w:oddHBand="0" w:evenHBand="0" w:firstRowFirstColumn="0" w:firstRowLastColumn="0" w:lastRowFirstColumn="0" w:lastRowLastColumn="0"/>
            </w:pPr>
            <w:r w:rsidRPr="008B5877">
              <w:t>49.7</w:t>
            </w:r>
          </w:p>
        </w:tc>
        <w:tc>
          <w:tcPr>
            <w:tcW w:w="1531" w:type="dxa"/>
            <w:vAlign w:val="top"/>
          </w:tcPr>
          <w:p w:rsidR="008B5877" w:rsidRPr="008B5877" w:rsidRDefault="008B5877" w:rsidP="008B5877">
            <w:pPr>
              <w:cnfStyle w:val="000000000000" w:firstRow="0" w:lastRow="0" w:firstColumn="0" w:lastColumn="0" w:oddVBand="0" w:evenVBand="0" w:oddHBand="0" w:evenHBand="0" w:firstRowFirstColumn="0" w:firstRowLastColumn="0" w:lastRowFirstColumn="0" w:lastRowLastColumn="0"/>
            </w:pPr>
            <w:r w:rsidRPr="008B5877">
              <w:t>2 114.9</w:t>
            </w:r>
          </w:p>
        </w:tc>
        <w:tc>
          <w:tcPr>
            <w:tcW w:w="1531" w:type="dxa"/>
            <w:vAlign w:val="top"/>
          </w:tcPr>
          <w:p w:rsidR="008B5877" w:rsidRPr="008B5877" w:rsidRDefault="008B5877" w:rsidP="008B5877">
            <w:pPr>
              <w:cnfStyle w:val="000000000000" w:firstRow="0" w:lastRow="0" w:firstColumn="0" w:lastColumn="0" w:oddVBand="0" w:evenVBand="0" w:oddHBand="0" w:evenHBand="0" w:firstRowFirstColumn="0" w:firstRowLastColumn="0" w:lastRowFirstColumn="0" w:lastRowLastColumn="0"/>
            </w:pPr>
            <w:r w:rsidRPr="008B5877">
              <w:t>186.8</w:t>
            </w:r>
          </w:p>
        </w:tc>
        <w:tc>
          <w:tcPr>
            <w:tcW w:w="1531" w:type="dxa"/>
            <w:vAlign w:val="top"/>
          </w:tcPr>
          <w:p w:rsidR="008B5877" w:rsidRPr="008B5877" w:rsidRDefault="008B5877" w:rsidP="008B5877">
            <w:pPr>
              <w:cnfStyle w:val="000000000000" w:firstRow="0" w:lastRow="0" w:firstColumn="0" w:lastColumn="0" w:oddVBand="0" w:evenVBand="0" w:oddHBand="0" w:evenHBand="0" w:firstRowFirstColumn="0" w:firstRowLastColumn="0" w:lastRowFirstColumn="0" w:lastRowLastColumn="0"/>
            </w:pPr>
            <w:r w:rsidRPr="008B5877">
              <w:t xml:space="preserve">1 928.1  </w:t>
            </w:r>
          </w:p>
        </w:tc>
        <w:tc>
          <w:tcPr>
            <w:tcW w:w="1531" w:type="dxa"/>
            <w:vAlign w:val="top"/>
          </w:tcPr>
          <w:p w:rsidR="008B5877" w:rsidRPr="008B5877" w:rsidRDefault="008B5877" w:rsidP="008B5877">
            <w:pPr>
              <w:cnfStyle w:val="000000000000" w:firstRow="0" w:lastRow="0" w:firstColumn="0" w:lastColumn="0" w:oddVBand="0" w:evenVBand="0" w:oddHBand="0" w:evenHBand="0" w:firstRowFirstColumn="0" w:firstRowLastColumn="0" w:lastRowFirstColumn="0" w:lastRowLastColumn="0"/>
            </w:pPr>
            <w:r w:rsidRPr="008B5877">
              <w:t>9%</w:t>
            </w:r>
          </w:p>
        </w:tc>
      </w:tr>
      <w:tr w:rsidR="008B5877" w:rsidTr="00264F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Align w:val="top"/>
          </w:tcPr>
          <w:p w:rsidR="008B5877" w:rsidRPr="008B5877" w:rsidRDefault="008B5877" w:rsidP="008B5877">
            <w:r w:rsidRPr="008B5877">
              <w:t>Total</w:t>
            </w:r>
          </w:p>
        </w:tc>
        <w:tc>
          <w:tcPr>
            <w:tcW w:w="1531" w:type="dxa"/>
          </w:tcPr>
          <w:p w:rsidR="008B5877" w:rsidRPr="008B5877" w:rsidRDefault="008B5877" w:rsidP="008B5877">
            <w:pPr>
              <w:cnfStyle w:val="000000010000" w:firstRow="0" w:lastRow="0" w:firstColumn="0" w:lastColumn="0" w:oddVBand="0" w:evenVBand="0" w:oddHBand="0" w:evenHBand="1" w:firstRowFirstColumn="0" w:firstRowLastColumn="0" w:lastRowFirstColumn="0" w:lastRowLastColumn="0"/>
            </w:pPr>
            <w:r w:rsidRPr="008B5877">
              <w:t>49.7</w:t>
            </w:r>
          </w:p>
        </w:tc>
        <w:tc>
          <w:tcPr>
            <w:tcW w:w="1531" w:type="dxa"/>
            <w:vAlign w:val="top"/>
          </w:tcPr>
          <w:p w:rsidR="008B5877" w:rsidRPr="008B5877" w:rsidRDefault="008B5877" w:rsidP="008B5877">
            <w:pPr>
              <w:cnfStyle w:val="000000010000" w:firstRow="0" w:lastRow="0" w:firstColumn="0" w:lastColumn="0" w:oddVBand="0" w:evenVBand="0" w:oddHBand="0" w:evenHBand="1" w:firstRowFirstColumn="0" w:firstRowLastColumn="0" w:lastRowFirstColumn="0" w:lastRowLastColumn="0"/>
            </w:pPr>
            <w:r w:rsidRPr="008B5877">
              <w:t>2 114.9</w:t>
            </w:r>
          </w:p>
        </w:tc>
        <w:tc>
          <w:tcPr>
            <w:tcW w:w="1531" w:type="dxa"/>
            <w:vAlign w:val="top"/>
          </w:tcPr>
          <w:p w:rsidR="008B5877" w:rsidRPr="008B5877" w:rsidRDefault="008B5877" w:rsidP="008B5877">
            <w:pPr>
              <w:cnfStyle w:val="000000010000" w:firstRow="0" w:lastRow="0" w:firstColumn="0" w:lastColumn="0" w:oddVBand="0" w:evenVBand="0" w:oddHBand="0" w:evenHBand="1" w:firstRowFirstColumn="0" w:firstRowLastColumn="0" w:lastRowFirstColumn="0" w:lastRowLastColumn="0"/>
            </w:pPr>
            <w:r w:rsidRPr="008B5877">
              <w:t>186.8</w:t>
            </w:r>
          </w:p>
        </w:tc>
        <w:tc>
          <w:tcPr>
            <w:tcW w:w="1531" w:type="dxa"/>
            <w:vAlign w:val="top"/>
          </w:tcPr>
          <w:p w:rsidR="008B5877" w:rsidRPr="008B5877" w:rsidRDefault="008B5877" w:rsidP="008B5877">
            <w:pPr>
              <w:cnfStyle w:val="000000010000" w:firstRow="0" w:lastRow="0" w:firstColumn="0" w:lastColumn="0" w:oddVBand="0" w:evenVBand="0" w:oddHBand="0" w:evenHBand="1" w:firstRowFirstColumn="0" w:firstRowLastColumn="0" w:lastRowFirstColumn="0" w:lastRowLastColumn="0"/>
            </w:pPr>
            <w:r w:rsidRPr="008B5877">
              <w:t xml:space="preserve">1 928.1  </w:t>
            </w:r>
          </w:p>
        </w:tc>
        <w:tc>
          <w:tcPr>
            <w:tcW w:w="1531" w:type="dxa"/>
            <w:vAlign w:val="top"/>
          </w:tcPr>
          <w:p w:rsidR="008B5877" w:rsidRPr="008B5877" w:rsidRDefault="008B5877" w:rsidP="008B5877">
            <w:pPr>
              <w:cnfStyle w:val="000000010000" w:firstRow="0" w:lastRow="0" w:firstColumn="0" w:lastColumn="0" w:oddVBand="0" w:evenVBand="0" w:oddHBand="0" w:evenHBand="1" w:firstRowFirstColumn="0" w:firstRowLastColumn="0" w:lastRowFirstColumn="0" w:lastRowLastColumn="0"/>
            </w:pPr>
            <w:r w:rsidRPr="008B5877">
              <w:t>9%</w:t>
            </w:r>
          </w:p>
        </w:tc>
      </w:tr>
    </w:tbl>
    <w:p w:rsidR="008B5877" w:rsidRPr="008B5877" w:rsidRDefault="008B5877" w:rsidP="008B5877">
      <w:pPr>
        <w:pStyle w:val="AERtablesource"/>
      </w:pPr>
      <w:r w:rsidRPr="008B5877">
        <w:t>Source:</w:t>
      </w:r>
      <w:r w:rsidRPr="008B5877">
        <w:tab/>
        <w:t xml:space="preserve">AER analysis and DMIA </w:t>
      </w:r>
      <w:r w:rsidR="00F6148F">
        <w:t>r</w:t>
      </w:r>
      <w:r w:rsidRPr="008B5877">
        <w:t xml:space="preserve">eports submitted by DNSPs; </w:t>
      </w:r>
      <w:r w:rsidR="0055068C">
        <w:t>numbers</w:t>
      </w:r>
      <w:r w:rsidRPr="008B5877">
        <w:t xml:space="preserve"> may not be exact due to rounding.   </w:t>
      </w:r>
    </w:p>
    <w:p w:rsidR="00546380" w:rsidRDefault="001D6549" w:rsidP="00546380">
      <w:pPr>
        <w:pStyle w:val="Heading2"/>
      </w:pPr>
      <w:bookmarkStart w:id="11" w:name="_Toc445801809"/>
      <w:r>
        <w:t>Carryover adjustment</w:t>
      </w:r>
      <w:bookmarkEnd w:id="11"/>
    </w:p>
    <w:p w:rsidR="00AA21A2" w:rsidRDefault="00AA21A2" w:rsidP="00AA21A2">
      <w:pPr>
        <w:pStyle w:val="Heading3"/>
      </w:pPr>
      <w:bookmarkStart w:id="12" w:name="_Toc445801810"/>
      <w:r>
        <w:t>Background</w:t>
      </w:r>
      <w:bookmarkEnd w:id="12"/>
    </w:p>
    <w:p w:rsidR="001D6549" w:rsidRDefault="00C45CBC" w:rsidP="001D6549">
      <w:r>
        <w:t>In this 2016</w:t>
      </w:r>
      <w:r w:rsidR="00647D3A">
        <w:t xml:space="preserve"> </w:t>
      </w:r>
      <w:r w:rsidR="001D6549">
        <w:t>DMIA determination the AER is required</w:t>
      </w:r>
      <w:r w:rsidR="001D6549" w:rsidRPr="001D6549">
        <w:t xml:space="preserve"> to </w:t>
      </w:r>
      <w:r w:rsidR="004E51E0">
        <w:t xml:space="preserve">calculate </w:t>
      </w:r>
      <w:r w:rsidR="001D6549" w:rsidRPr="001D6549">
        <w:t>a</w:t>
      </w:r>
      <w:r w:rsidR="001D6549">
        <w:t xml:space="preserve"> </w:t>
      </w:r>
      <w:r w:rsidR="001D6549" w:rsidRPr="001D6549">
        <w:t>carryover</w:t>
      </w:r>
      <w:r w:rsidR="001D6549">
        <w:t xml:space="preserve"> amount </w:t>
      </w:r>
      <w:r w:rsidR="001D6549" w:rsidRPr="001D6549">
        <w:t>adjustment</w:t>
      </w:r>
      <w:r w:rsidR="001D6549">
        <w:t xml:space="preserve"> </w:t>
      </w:r>
      <w:r w:rsidR="004E51E0">
        <w:t>for the</w:t>
      </w:r>
      <w:r w:rsidR="001D6549">
        <w:t xml:space="preserve"> non–Victorian</w:t>
      </w:r>
      <w:r w:rsidR="00815D8D">
        <w:t xml:space="preserve">/Tasmanian </w:t>
      </w:r>
      <w:r w:rsidR="001D6549">
        <w:t>electricity distributors.</w:t>
      </w:r>
      <w:r w:rsidR="00647D3A">
        <w:t xml:space="preserve"> A similar carryover adjustment will be </w:t>
      </w:r>
      <w:r w:rsidR="004E51E0">
        <w:t xml:space="preserve">calculated for the </w:t>
      </w:r>
      <w:r w:rsidR="00647D3A">
        <w:t xml:space="preserve">Victorian </w:t>
      </w:r>
      <w:r w:rsidR="00675B4F">
        <w:t xml:space="preserve">and Tasmanian </w:t>
      </w:r>
      <w:r w:rsidR="00647D3A">
        <w:t xml:space="preserve">electricity </w:t>
      </w:r>
      <w:r w:rsidR="004E51E0">
        <w:t xml:space="preserve">distributors in </w:t>
      </w:r>
      <w:r w:rsidR="00675B4F">
        <w:t xml:space="preserve">the </w:t>
      </w:r>
      <w:r w:rsidR="004E51E0">
        <w:t>2017</w:t>
      </w:r>
      <w:r w:rsidR="00675B4F">
        <w:t xml:space="preserve"> and 2017-18 regulatory control years respectively</w:t>
      </w:r>
      <w:r w:rsidR="004E51E0">
        <w:t xml:space="preserve">, when data on their total DMIA expenditure over </w:t>
      </w:r>
      <w:r w:rsidR="00675B4F">
        <w:t xml:space="preserve">the current </w:t>
      </w:r>
      <w:r w:rsidR="004E51E0">
        <w:t xml:space="preserve">regulatory period </w:t>
      </w:r>
      <w:r w:rsidR="00675B4F">
        <w:t xml:space="preserve">are </w:t>
      </w:r>
      <w:r w:rsidR="004E51E0">
        <w:t xml:space="preserve">available. </w:t>
      </w:r>
    </w:p>
    <w:p w:rsidR="001D6549" w:rsidRDefault="001D6549" w:rsidP="001D6549">
      <w:r>
        <w:t xml:space="preserve">Under the DMIA scheme, distribution network businesses are given an allowance for demand management projects. The allowance forms part of their regulated revenue requirement for a regulatory control period. The distribution network businesses do not have to spend the allowance they are given and may decide to only spend some, or none, of it. </w:t>
      </w:r>
    </w:p>
    <w:p w:rsidR="00647D3A" w:rsidRDefault="001D6549" w:rsidP="001D6549">
      <w:r>
        <w:t xml:space="preserve">Factoring this in, the DMIA scheme provides that the AER </w:t>
      </w:r>
      <w:r w:rsidR="001E36DC">
        <w:t>must</w:t>
      </w:r>
      <w:r>
        <w:t xml:space="preserve"> calculate a carryover </w:t>
      </w:r>
      <w:r w:rsidR="001E36DC">
        <w:t>adjustment</w:t>
      </w:r>
      <w:r>
        <w:t>. The purpose of the</w:t>
      </w:r>
      <w:r w:rsidR="001E36DC">
        <w:t xml:space="preserve"> carryover</w:t>
      </w:r>
      <w:r>
        <w:t xml:space="preserve"> </w:t>
      </w:r>
      <w:r w:rsidR="001E36DC">
        <w:t>adjustment</w:t>
      </w:r>
      <w:r>
        <w:t xml:space="preserve"> is to return to customers </w:t>
      </w:r>
      <w:r w:rsidR="00647D3A">
        <w:t>the</w:t>
      </w:r>
      <w:r>
        <w:t xml:space="preserve"> </w:t>
      </w:r>
      <w:r w:rsidR="00647D3A">
        <w:lastRenderedPageBreak/>
        <w:t>proportion of an electricity network distributor's</w:t>
      </w:r>
      <w:r>
        <w:t xml:space="preserve"> DMIA allowance</w:t>
      </w:r>
      <w:r w:rsidR="00647D3A">
        <w:t xml:space="preserve"> that has not been spent. It also returns to customers any expenditure incurred by an electricity network distributor, but not approved by the AER. In that regard, the carryover adjustment is a "true–up" between an electricity network distributor's ex ante DMIA allowance for a regulatory control period and the AER's ex post review of any under–expenditure, with the difference returned to customers.</w:t>
      </w:r>
    </w:p>
    <w:p w:rsidR="00AA21A2" w:rsidRDefault="004E51E0" w:rsidP="001D6549">
      <w:r>
        <w:t>Additionally, the carryover adjustment must be calculated in a way that distribution network businesses will be</w:t>
      </w:r>
      <w:r w:rsidR="001E36DC">
        <w:t xml:space="preserve"> indifferent in net present value (NPV) terms to its DMIA expenditure profile over the regulatory control period. The purpose of this i</w:t>
      </w:r>
      <w:r w:rsidR="00DC269E">
        <w:t>s to 'remove any incentive for distribution network businesses</w:t>
      </w:r>
      <w:r w:rsidR="001E36DC">
        <w:t xml:space="preserve"> to defer or advance expenditure'.</w:t>
      </w:r>
      <w:r w:rsidR="00C45CBC">
        <w:rPr>
          <w:rStyle w:val="FootnoteReference"/>
        </w:rPr>
        <w:footnoteReference w:id="3"/>
      </w:r>
      <w:r w:rsidR="001E36DC">
        <w:t xml:space="preserve"> </w:t>
      </w:r>
    </w:p>
    <w:p w:rsidR="004E51E0" w:rsidRDefault="00AA21A2" w:rsidP="001D6549">
      <w:r>
        <w:t xml:space="preserve">The carryover adjustment operates between regulatory periods. For example, in the case of the NSW and ACT electricity distributors any under–expenditure in their 2009–14 regulatory control period will be "trued–up" by applying the carryover adjustment in the 2014–19 regulatory control period. Similarly, the QLD/SA electricity distributors will have a carryover adjustment applied in their 2015–20 regulatory control periods for any under–expenditure in their 2010–15 regulatory control periods.   </w:t>
      </w:r>
    </w:p>
    <w:p w:rsidR="00AA21A2" w:rsidRDefault="00AA21A2" w:rsidP="00AA21A2">
      <w:pPr>
        <w:pStyle w:val="Heading3"/>
      </w:pPr>
      <w:bookmarkStart w:id="13" w:name="_Ref444785482"/>
      <w:bookmarkStart w:id="14" w:name="_Toc445801811"/>
      <w:r>
        <w:t>Calculation of carryover adjustment</w:t>
      </w:r>
      <w:bookmarkEnd w:id="13"/>
      <w:bookmarkEnd w:id="14"/>
    </w:p>
    <w:p w:rsidR="00E531D2" w:rsidRDefault="00E531D2" w:rsidP="003E7298">
      <w:pPr>
        <w:pStyle w:val="AERbulletlistfirststyle"/>
        <w:numPr>
          <w:ilvl w:val="0"/>
          <w:numId w:val="0"/>
        </w:numPr>
      </w:pPr>
      <w:r>
        <w:t>When calculating the carryover adjustment</w:t>
      </w:r>
      <w:r w:rsidR="00923B82">
        <w:t xml:space="preserve"> to be applied to the non–Victorian distributors revenues in their current regulatory control periods</w:t>
      </w:r>
      <w:r>
        <w:t xml:space="preserve">, we </w:t>
      </w:r>
      <w:r w:rsidR="00C45CBC">
        <w:t>are required to use</w:t>
      </w:r>
      <w:r>
        <w:t xml:space="preserve"> the formula set out in the DMIA scheme. </w:t>
      </w:r>
    </w:p>
    <w:p w:rsidR="00477F3A" w:rsidRDefault="00C45CBC" w:rsidP="00477F3A">
      <w:pPr>
        <w:pStyle w:val="ListContinue3"/>
        <w:ind w:left="0"/>
      </w:pPr>
      <w:r>
        <w:t>This</w:t>
      </w:r>
      <w:r w:rsidR="00477F3A" w:rsidRPr="00477F3A">
        <w:t xml:space="preserve"> formula calculates the carryover adjustment on a cumulative basis. That is, any</w:t>
      </w:r>
      <w:r w:rsidR="00477F3A">
        <w:t xml:space="preserve"> under– or over–</w:t>
      </w:r>
      <w:r w:rsidR="00477F3A" w:rsidRPr="00477F3A">
        <w:t xml:space="preserve">expenditure in one year is rolled over to the </w:t>
      </w:r>
      <w:r w:rsidR="00477F3A">
        <w:t>following year</w:t>
      </w:r>
      <w:r w:rsidR="00477F3A" w:rsidRPr="00477F3A">
        <w:t xml:space="preserve">. </w:t>
      </w:r>
      <w:r w:rsidR="00D53C0D">
        <w:t>It also includes a weighted average cost of capital (WACC)</w:t>
      </w:r>
      <w:r>
        <w:t xml:space="preserve"> adjustment. By making this WACC adjustment, </w:t>
      </w:r>
      <w:r w:rsidR="0005256F">
        <w:t>a</w:t>
      </w:r>
      <w:r w:rsidR="00D53C0D">
        <w:t xml:space="preserve"> distributor</w:t>
      </w:r>
      <w:r w:rsidR="0005256F">
        <w:t xml:space="preserve"> is</w:t>
      </w:r>
      <w:r w:rsidR="00D53C0D">
        <w:t xml:space="preserve"> i</w:t>
      </w:r>
      <w:r w:rsidR="0005256F">
        <w:t>ndifferent in NPV terms to when it</w:t>
      </w:r>
      <w:r>
        <w:t xml:space="preserve"> spend</w:t>
      </w:r>
      <w:r w:rsidR="0005256F">
        <w:t>s</w:t>
      </w:r>
      <w:r w:rsidR="00D53C0D">
        <w:t xml:space="preserve"> </w:t>
      </w:r>
      <w:r w:rsidR="0005256F">
        <w:t>its</w:t>
      </w:r>
      <w:r w:rsidR="00D53C0D">
        <w:t xml:space="preserve"> DMIA allowance over a regulatory control period</w:t>
      </w:r>
      <w:r w:rsidR="00477F3A" w:rsidRPr="00477F3A">
        <w:t>.</w:t>
      </w:r>
      <w:r w:rsidR="00477F3A">
        <w:t xml:space="preserve">  The DMIA scheme  carryover formula </w:t>
      </w:r>
      <w:r w:rsidR="00D53C0D">
        <w:t>states</w:t>
      </w:r>
      <w:r w:rsidR="00477F3A">
        <w:t xml:space="preserve">: </w:t>
      </w:r>
    </w:p>
    <w:p w:rsidR="00E531D2" w:rsidRDefault="00BF480E" w:rsidP="00E531D2">
      <w:pPr>
        <w:pStyle w:val="AERbulletlistfirststyle"/>
        <w:numPr>
          <w:ilvl w:val="0"/>
          <w:numId w:val="0"/>
        </w:numPr>
      </w:pPr>
      <m:oMathPara>
        <m:oMath>
          <m:sSub>
            <m:sSubPr>
              <m:ctrlPr>
                <w:rPr>
                  <w:rFonts w:ascii="Cambria Math" w:hAnsi="Cambria Math"/>
                  <w:i/>
                </w:rPr>
              </m:ctrlPr>
            </m:sSubPr>
            <m:e>
              <m:r>
                <w:rPr>
                  <w:rFonts w:ascii="Cambria Math" w:hAnsi="Cambria Math"/>
                </w:rPr>
                <m:t>C</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t-1</m:t>
              </m:r>
            </m:sub>
          </m:sSub>
          <m:r>
            <w:rPr>
              <w:rFonts w:ascii="Cambria Math" w:hAnsi="Cambria Math"/>
            </w:rPr>
            <m:t xml:space="preserve"> – </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t</m:t>
                          </m:r>
                        </m:sub>
                      </m:sSub>
                    </m:e>
                  </m:d>
                </m:num>
                <m:den>
                  <m:d>
                    <m:dPr>
                      <m:ctrlPr>
                        <w:rPr>
                          <w:rFonts w:ascii="Cambria Math" w:hAnsi="Cambria Math"/>
                          <w:i/>
                        </w:rPr>
                      </m:ctrlPr>
                    </m:dPr>
                    <m:e>
                      <m:r>
                        <w:rPr>
                          <w:rFonts w:ascii="Cambria Math" w:hAnsi="Cambria Math"/>
                        </w:rPr>
                        <m:t>1+i</m:t>
                      </m:r>
                    </m:e>
                  </m:d>
                </m:den>
              </m:f>
              <m:r>
                <w:rPr>
                  <w:rFonts w:ascii="Cambria Math" w:hAnsi="Cambria Math"/>
                </w:rPr>
                <m:t xml:space="preserve"> × </m:t>
              </m:r>
              <m:d>
                <m:dPr>
                  <m:endChr m:val=""/>
                  <m:ctrlPr>
                    <w:rPr>
                      <w:rFonts w:ascii="Cambria Math" w:hAnsi="Cambria Math"/>
                    </w:rPr>
                  </m:ctrlPr>
                </m:dPr>
                <m:e>
                  <m:r>
                    <w:rPr>
                      <w:rFonts w:ascii="Cambria Math" w:hAnsi="Cambria Math"/>
                    </w:rPr>
                    <m:t xml:space="preserve">1+ </m:t>
                  </m:r>
                </m:e>
              </m:d>
              <m:sSup>
                <m:sSupPr>
                  <m:ctrlPr>
                    <w:rPr>
                      <w:rFonts w:ascii="Cambria Math" w:hAnsi="Cambria Math"/>
                      <w:i/>
                    </w:rPr>
                  </m:ctrlPr>
                </m:sSupPr>
                <m:e>
                  <m:d>
                    <m:dPr>
                      <m:begChr m:val=""/>
                      <m:ctrlPr>
                        <w:rPr>
                          <w:rFonts w:ascii="Cambria Math" w:hAnsi="Cambria Math"/>
                          <w:i/>
                        </w:rPr>
                      </m:ctrlPr>
                    </m:dPr>
                    <m:e>
                      <m:r>
                        <w:rPr>
                          <w:rFonts w:ascii="Cambria Math" w:hAnsi="Cambria Math"/>
                        </w:rPr>
                        <m:t>i</m:t>
                      </m:r>
                    </m:e>
                  </m:d>
                </m:e>
                <m:sup>
                  <m:r>
                    <w:rPr>
                      <w:rFonts w:ascii="Cambria Math" w:hAnsi="Cambria Math"/>
                    </w:rPr>
                    <m:t>n</m:t>
                  </m:r>
                </m:sup>
              </m:sSup>
              <m:d>
                <m:dPr>
                  <m:endChr m:val=""/>
                  <m:ctrlPr>
                    <w:rPr>
                      <w:rFonts w:ascii="Cambria Math" w:hAnsi="Cambria Math"/>
                    </w:rPr>
                  </m:ctrlPr>
                </m:dPr>
                <m:e>
                  <m:r>
                    <w:rPr>
                      <w:rFonts w:ascii="Cambria Math" w:hAnsi="Cambria Math"/>
                    </w:rPr>
                    <m:t xml:space="preserve">1+ </m:t>
                  </m:r>
                </m:e>
              </m:d>
              <m:sSup>
                <m:sSupPr>
                  <m:ctrlPr>
                    <w:rPr>
                      <w:rFonts w:ascii="Cambria Math" w:hAnsi="Cambria Math"/>
                    </w:rPr>
                  </m:ctrlPr>
                </m:sSupPr>
                <m:e>
                  <m:d>
                    <m:dPr>
                      <m:begChr m:val=""/>
                      <m:ctrlPr>
                        <w:rPr>
                          <w:rFonts w:ascii="Cambria Math" w:hAnsi="Cambria Math"/>
                        </w:rPr>
                      </m:ctrlPr>
                    </m:dPr>
                    <m:e>
                      <m:sSup>
                        <m:sSupPr>
                          <m:ctrlPr>
                            <w:rPr>
                              <w:rFonts w:ascii="Cambria Math" w:hAnsi="Cambria Math"/>
                              <w:i/>
                            </w:rPr>
                          </m:ctrlPr>
                        </m:sSupPr>
                        <m:e>
                          <m:r>
                            <w:rPr>
                              <w:rFonts w:ascii="Cambria Math" w:hAnsi="Cambria Math"/>
                            </w:rPr>
                            <m:t>i</m:t>
                          </m:r>
                        </m:e>
                        <m:sup>
                          <m:r>
                            <w:rPr>
                              <w:rFonts w:ascii="Cambria Math" w:hAnsi="Cambria Math"/>
                            </w:rPr>
                            <m:t>*</m:t>
                          </m:r>
                        </m:sup>
                      </m:sSup>
                    </m:e>
                  </m:d>
                </m:e>
                <m:sup>
                  <m:r>
                    <w:rPr>
                      <w:rFonts w:ascii="Cambria Math" w:hAnsi="Cambria Math"/>
                    </w:rPr>
                    <m:t>2</m:t>
                  </m:r>
                </m:sup>
              </m:sSup>
            </m:e>
          </m:d>
        </m:oMath>
      </m:oMathPara>
    </w:p>
    <w:p w:rsidR="00E531D2" w:rsidRDefault="0095484A" w:rsidP="005F1843">
      <w:r>
        <w:t>Where:</w:t>
      </w:r>
    </w:p>
    <w:p w:rsidR="00D53C0D" w:rsidRDefault="00D53C0D" w:rsidP="005F1843">
      <w:r>
        <w:tab/>
      </w:r>
      <w:r>
        <w:tab/>
      </w:r>
      <w:r>
        <w:tab/>
      </w:r>
      <m:oMath>
        <m:sSub>
          <m:sSubPr>
            <m:ctrlPr>
              <w:rPr>
                <w:rFonts w:ascii="Cambria Math" w:hAnsi="Cambria Math"/>
                <w:i/>
              </w:rPr>
            </m:ctrlPr>
          </m:sSubPr>
          <m:e>
            <m:r>
              <w:rPr>
                <w:rFonts w:ascii="Cambria Math" w:hAnsi="Cambria Math"/>
              </w:rPr>
              <m:t>C</m:t>
            </m:r>
          </m:e>
          <m:sub>
            <m:r>
              <w:rPr>
                <w:rFonts w:ascii="Cambria Math" w:hAnsi="Cambria Math"/>
              </w:rPr>
              <m:t>t</m:t>
            </m:r>
          </m:sub>
        </m:sSub>
      </m:oMath>
      <w:r>
        <w:tab/>
        <w:t>=</w:t>
      </w:r>
      <w:r>
        <w:tab/>
        <w:t>cumulative carryover balance</w:t>
      </w:r>
    </w:p>
    <w:p w:rsidR="0095484A" w:rsidRDefault="00BF480E" w:rsidP="0095484A">
      <w:pPr>
        <w:pStyle w:val="ListContinue3"/>
      </w:pPr>
      <m:oMath>
        <m:sSub>
          <m:sSubPr>
            <m:ctrlPr>
              <w:rPr>
                <w:rFonts w:ascii="Cambria Math" w:hAnsi="Cambria Math"/>
              </w:rPr>
            </m:ctrlPr>
          </m:sSubPr>
          <m:e>
            <m:r>
              <w:rPr>
                <w:rFonts w:ascii="Cambria Math" w:hAnsi="Cambria Math"/>
              </w:rPr>
              <m:t>R</m:t>
            </m:r>
          </m:e>
          <m:sub>
            <m:r>
              <w:rPr>
                <w:rFonts w:ascii="Cambria Math" w:hAnsi="Cambria Math"/>
              </w:rPr>
              <m:t>t</m:t>
            </m:r>
          </m:sub>
        </m:sSub>
      </m:oMath>
      <w:r w:rsidR="0095484A">
        <w:t xml:space="preserve"> </w:t>
      </w:r>
      <w:r w:rsidR="0095484A">
        <w:tab/>
        <w:t>=</w:t>
      </w:r>
      <w:r w:rsidR="0095484A">
        <w:tab/>
        <w:t>ex–ante revenue allowance under the scheme for regulatory year "t"</w:t>
      </w:r>
    </w:p>
    <w:p w:rsidR="0095484A" w:rsidRDefault="00BF480E" w:rsidP="0095484A">
      <w:pPr>
        <w:pStyle w:val="ListContinue3"/>
      </w:pPr>
      <m:oMath>
        <m:sSub>
          <m:sSubPr>
            <m:ctrlPr>
              <w:rPr>
                <w:rFonts w:ascii="Cambria Math" w:hAnsi="Cambria Math"/>
              </w:rPr>
            </m:ctrlPr>
          </m:sSubPr>
          <m:e>
            <m:r>
              <w:rPr>
                <w:rFonts w:ascii="Cambria Math" w:hAnsi="Cambria Math"/>
              </w:rPr>
              <m:t>A</m:t>
            </m:r>
          </m:e>
          <m:sub>
            <m:r>
              <w:rPr>
                <w:rFonts w:ascii="Cambria Math" w:hAnsi="Cambria Math"/>
              </w:rPr>
              <m:t>t</m:t>
            </m:r>
          </m:sub>
        </m:sSub>
      </m:oMath>
      <w:r w:rsidR="0095484A">
        <w:tab/>
        <w:t>=</w:t>
      </w:r>
      <w:r w:rsidR="0095484A">
        <w:tab/>
        <w:t>ex–post expenditure approved under the scheme for the regulatory year "t"</w:t>
      </w:r>
    </w:p>
    <w:p w:rsidR="0095484A" w:rsidRDefault="0095484A" w:rsidP="0095484A">
      <w:pPr>
        <w:pStyle w:val="ListContinue3"/>
      </w:pPr>
      <m:oMath>
        <m:r>
          <w:rPr>
            <w:rFonts w:ascii="Cambria Math" w:hAnsi="Cambria Math"/>
          </w:rPr>
          <m:t>i</m:t>
        </m:r>
      </m:oMath>
      <w:r>
        <w:tab/>
        <w:t>=</w:t>
      </w:r>
      <w:r>
        <w:tab/>
        <w:t>nominal vanilla WACC as set in the distribution determination for the regulatory control period the expenditure is incurred</w:t>
      </w:r>
    </w:p>
    <w:p w:rsidR="000A0070" w:rsidRDefault="000A0070" w:rsidP="0095484A">
      <w:pPr>
        <w:pStyle w:val="ListContinue3"/>
      </w:pPr>
      <m:oMath>
        <m:r>
          <w:rPr>
            <w:rFonts w:ascii="Cambria Math" w:hAnsi="Cambria Math"/>
          </w:rPr>
          <w:lastRenderedPageBreak/>
          <m:t>n</m:t>
        </m:r>
      </m:oMath>
      <w:r>
        <w:t xml:space="preserve">   =    the number of years remaining in the regulatory control period in which the expenditure is incurred</w:t>
      </w:r>
    </w:p>
    <w:p w:rsidR="0095484A" w:rsidRDefault="00BF480E" w:rsidP="0095484A">
      <w:pPr>
        <w:pStyle w:val="ListContinue3"/>
      </w:pPr>
      <m:oMath>
        <m:sSup>
          <m:sSupPr>
            <m:ctrlPr>
              <w:rPr>
                <w:rFonts w:ascii="Cambria Math" w:hAnsi="Cambria Math"/>
              </w:rPr>
            </m:ctrlPr>
          </m:sSupPr>
          <m:e>
            <m:r>
              <w:rPr>
                <w:rFonts w:ascii="Cambria Math" w:hAnsi="Cambria Math"/>
              </w:rPr>
              <m:t>i</m:t>
            </m:r>
          </m:e>
          <m:sup>
            <m:r>
              <w:rPr>
                <w:rFonts w:ascii="Cambria Math" w:hAnsi="Cambria Math"/>
              </w:rPr>
              <m:t>*</m:t>
            </m:r>
          </m:sup>
        </m:sSup>
      </m:oMath>
      <w:r w:rsidR="0095484A">
        <w:tab/>
        <w:t>=</w:t>
      </w:r>
      <w:r w:rsidR="0095484A">
        <w:tab/>
        <w:t>nominal vanilla WACC as set in the distribution determination for the regulatory control period in which the carryover adjustment is made.</w:t>
      </w:r>
    </w:p>
    <w:p w:rsidR="002F446E" w:rsidRDefault="00477F3A" w:rsidP="0095484A">
      <w:pPr>
        <w:pStyle w:val="ListContinue3"/>
        <w:ind w:left="0"/>
      </w:pPr>
      <w:r>
        <w:t>Using the DMIA scheme carryover formula, we calculated the carryover adjustment to be applied to each non–Victorian electricity distributor. Our calculations</w:t>
      </w:r>
      <w:r w:rsidR="00D53C0D">
        <w:t xml:space="preserve"> using each distributor's</w:t>
      </w:r>
      <w:r>
        <w:t xml:space="preserve"> DMIA ex ante allowance and our ex post review</w:t>
      </w:r>
      <w:r w:rsidR="00D53C0D">
        <w:t xml:space="preserve"> of DMIA expenditure</w:t>
      </w:r>
      <w:r>
        <w:t xml:space="preserve"> are set out in </w:t>
      </w:r>
      <w:r w:rsidR="00923B82">
        <w:fldChar w:fldCharType="begin"/>
      </w:r>
      <w:r w:rsidR="00923B82">
        <w:instrText xml:space="preserve"> REF _Ref444778303 \h </w:instrText>
      </w:r>
      <w:r w:rsidR="00923B82">
        <w:fldChar w:fldCharType="separate"/>
      </w:r>
      <w:r w:rsidR="002D1097">
        <w:t xml:space="preserve">Table </w:t>
      </w:r>
      <w:r w:rsidR="002D1097">
        <w:rPr>
          <w:noProof/>
        </w:rPr>
        <w:t>10</w:t>
      </w:r>
      <w:r w:rsidR="004043DC">
        <w:t xml:space="preserve"> </w:t>
      </w:r>
      <w:r w:rsidR="00923B82">
        <w:fldChar w:fldCharType="end"/>
      </w:r>
      <w:r>
        <w:t xml:space="preserve">to </w:t>
      </w:r>
      <w:r>
        <w:fldChar w:fldCharType="begin"/>
      </w:r>
      <w:r>
        <w:instrText xml:space="preserve"> REF _Ref444783794 \h </w:instrText>
      </w:r>
      <w:r>
        <w:fldChar w:fldCharType="separate"/>
      </w:r>
      <w:r w:rsidR="002D1097">
        <w:t xml:space="preserve">Table </w:t>
      </w:r>
      <w:r w:rsidR="002D1097">
        <w:rPr>
          <w:noProof/>
        </w:rPr>
        <w:t>16</w:t>
      </w:r>
      <w:r>
        <w:fldChar w:fldCharType="end"/>
      </w:r>
      <w:r>
        <w:t xml:space="preserve">. The actual carryover adjustment which we will apply to each distributor is specified in section </w:t>
      </w:r>
      <w:r>
        <w:fldChar w:fldCharType="begin"/>
      </w:r>
      <w:r>
        <w:instrText xml:space="preserve"> REF _Ref444784546 \n \h </w:instrText>
      </w:r>
      <w:r>
        <w:fldChar w:fldCharType="separate"/>
      </w:r>
      <w:r w:rsidR="002D1097">
        <w:t>3.2.3</w:t>
      </w:r>
      <w:r>
        <w:fldChar w:fldCharType="end"/>
      </w:r>
      <w:r w:rsidR="00C45CBC">
        <w:t xml:space="preserve"> below</w:t>
      </w:r>
      <w:r>
        <w:t xml:space="preserve">. </w:t>
      </w:r>
    </w:p>
    <w:p w:rsidR="008E7E63" w:rsidRDefault="008E7E63" w:rsidP="008E7E63">
      <w:pPr>
        <w:pStyle w:val="Caption"/>
      </w:pPr>
      <w:bookmarkStart w:id="15" w:name="_Ref444778303"/>
      <w:r>
        <w:t xml:space="preserve">Table </w:t>
      </w:r>
      <w:r w:rsidR="00BF480E">
        <w:fldChar w:fldCharType="begin"/>
      </w:r>
      <w:r w:rsidR="00BF480E">
        <w:instrText xml:space="preserve"> SEQ Table \* ARABIC </w:instrText>
      </w:r>
      <w:r w:rsidR="00BF480E">
        <w:fldChar w:fldCharType="separate"/>
      </w:r>
      <w:r w:rsidR="002D1097">
        <w:rPr>
          <w:noProof/>
        </w:rPr>
        <w:t>10</w:t>
      </w:r>
      <w:r w:rsidR="00BF480E">
        <w:rPr>
          <w:noProof/>
        </w:rPr>
        <w:fldChar w:fldCharType="end"/>
      </w:r>
      <w:r w:rsidR="00DA4E0A">
        <w:tab/>
      </w:r>
      <w:bookmarkEnd w:id="15"/>
      <w:r>
        <w:tab/>
        <w:t xml:space="preserve">ActewAGL: </w:t>
      </w:r>
      <w:r w:rsidR="00143A58" w:rsidRPr="00143A58">
        <w:t>carryover amount calculation ($</w:t>
      </w:r>
      <w:r w:rsidR="00D109DC">
        <w:t>'000</w:t>
      </w:r>
      <w:r w:rsidR="00143A58" w:rsidRPr="00143A58">
        <w:t xml:space="preserve"> nominal)</w:t>
      </w:r>
    </w:p>
    <w:tbl>
      <w:tblPr>
        <w:tblStyle w:val="AERtable-numbers"/>
        <w:tblW w:w="0" w:type="auto"/>
        <w:tblLook w:val="04A0" w:firstRow="1" w:lastRow="0" w:firstColumn="1" w:lastColumn="0" w:noHBand="0" w:noVBand="1"/>
      </w:tblPr>
      <w:tblGrid>
        <w:gridCol w:w="1809"/>
        <w:gridCol w:w="1376"/>
        <w:gridCol w:w="1377"/>
        <w:gridCol w:w="1377"/>
        <w:gridCol w:w="1377"/>
        <w:gridCol w:w="1377"/>
      </w:tblGrid>
      <w:tr w:rsidR="00520EE8" w:rsidTr="009B0B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520EE8" w:rsidRDefault="00520EE8" w:rsidP="0095484A">
            <w:pPr>
              <w:pStyle w:val="ListContinue3"/>
              <w:ind w:left="0"/>
            </w:pPr>
          </w:p>
        </w:tc>
        <w:tc>
          <w:tcPr>
            <w:tcW w:w="1376" w:type="dxa"/>
          </w:tcPr>
          <w:p w:rsidR="00520EE8" w:rsidRDefault="003C248F" w:rsidP="0095484A">
            <w:pPr>
              <w:pStyle w:val="ListContinue3"/>
              <w:ind w:left="0"/>
              <w:cnfStyle w:val="100000000000" w:firstRow="1" w:lastRow="0" w:firstColumn="0" w:lastColumn="0" w:oddVBand="0" w:evenVBand="0" w:oddHBand="0" w:evenHBand="0" w:firstRowFirstColumn="0" w:firstRowLastColumn="0" w:lastRowFirstColumn="0" w:lastRowLastColumn="0"/>
            </w:pPr>
            <w:r>
              <w:t>2009–</w:t>
            </w:r>
            <w:r w:rsidR="00520EE8">
              <w:t>10</w:t>
            </w:r>
          </w:p>
        </w:tc>
        <w:tc>
          <w:tcPr>
            <w:tcW w:w="1377" w:type="dxa"/>
          </w:tcPr>
          <w:p w:rsidR="00520EE8" w:rsidRDefault="003C248F" w:rsidP="0095484A">
            <w:pPr>
              <w:pStyle w:val="ListContinue3"/>
              <w:ind w:left="0"/>
              <w:cnfStyle w:val="100000000000" w:firstRow="1" w:lastRow="0" w:firstColumn="0" w:lastColumn="0" w:oddVBand="0" w:evenVBand="0" w:oddHBand="0" w:evenHBand="0" w:firstRowFirstColumn="0" w:firstRowLastColumn="0" w:lastRowFirstColumn="0" w:lastRowLastColumn="0"/>
            </w:pPr>
            <w:r>
              <w:t>2010–</w:t>
            </w:r>
            <w:r w:rsidR="00520EE8">
              <w:t>11</w:t>
            </w:r>
          </w:p>
        </w:tc>
        <w:tc>
          <w:tcPr>
            <w:tcW w:w="1377" w:type="dxa"/>
          </w:tcPr>
          <w:p w:rsidR="00520EE8" w:rsidRDefault="003C248F" w:rsidP="0095484A">
            <w:pPr>
              <w:pStyle w:val="ListContinue3"/>
              <w:ind w:left="0"/>
              <w:cnfStyle w:val="100000000000" w:firstRow="1" w:lastRow="0" w:firstColumn="0" w:lastColumn="0" w:oddVBand="0" w:evenVBand="0" w:oddHBand="0" w:evenHBand="0" w:firstRowFirstColumn="0" w:firstRowLastColumn="0" w:lastRowFirstColumn="0" w:lastRowLastColumn="0"/>
            </w:pPr>
            <w:r>
              <w:t>2011–</w:t>
            </w:r>
            <w:r w:rsidR="00520EE8">
              <w:t>12</w:t>
            </w:r>
          </w:p>
        </w:tc>
        <w:tc>
          <w:tcPr>
            <w:tcW w:w="1377" w:type="dxa"/>
          </w:tcPr>
          <w:p w:rsidR="00520EE8" w:rsidRDefault="003C248F" w:rsidP="0095484A">
            <w:pPr>
              <w:pStyle w:val="ListContinue3"/>
              <w:ind w:left="0"/>
              <w:cnfStyle w:val="100000000000" w:firstRow="1" w:lastRow="0" w:firstColumn="0" w:lastColumn="0" w:oddVBand="0" w:evenVBand="0" w:oddHBand="0" w:evenHBand="0" w:firstRowFirstColumn="0" w:firstRowLastColumn="0" w:lastRowFirstColumn="0" w:lastRowLastColumn="0"/>
            </w:pPr>
            <w:r>
              <w:t>2012–</w:t>
            </w:r>
            <w:r w:rsidR="00520EE8">
              <w:t>13</w:t>
            </w:r>
          </w:p>
        </w:tc>
        <w:tc>
          <w:tcPr>
            <w:tcW w:w="1377" w:type="dxa"/>
          </w:tcPr>
          <w:p w:rsidR="00520EE8" w:rsidRDefault="003C248F" w:rsidP="0095484A">
            <w:pPr>
              <w:pStyle w:val="ListContinue3"/>
              <w:ind w:left="0"/>
              <w:cnfStyle w:val="100000000000" w:firstRow="1" w:lastRow="0" w:firstColumn="0" w:lastColumn="0" w:oddVBand="0" w:evenVBand="0" w:oddHBand="0" w:evenHBand="0" w:firstRowFirstColumn="0" w:firstRowLastColumn="0" w:lastRowFirstColumn="0" w:lastRowLastColumn="0"/>
            </w:pPr>
            <w:r>
              <w:t>2013–</w:t>
            </w:r>
            <w:r w:rsidR="00520EE8">
              <w:t>14</w:t>
            </w:r>
          </w:p>
        </w:tc>
      </w:tr>
      <w:tr w:rsidR="00520EE8" w:rsidTr="009B0BB6">
        <w:tc>
          <w:tcPr>
            <w:cnfStyle w:val="001000000000" w:firstRow="0" w:lastRow="0" w:firstColumn="1" w:lastColumn="0" w:oddVBand="0" w:evenVBand="0" w:oddHBand="0" w:evenHBand="0" w:firstRowFirstColumn="0" w:firstRowLastColumn="0" w:lastRowFirstColumn="0" w:lastRowLastColumn="0"/>
            <w:tcW w:w="1809" w:type="dxa"/>
          </w:tcPr>
          <w:p w:rsidR="00520EE8" w:rsidRDefault="00520EE8" w:rsidP="0095484A">
            <w:pPr>
              <w:pStyle w:val="ListContinue3"/>
              <w:ind w:left="0"/>
            </w:pPr>
            <w:r>
              <w:t>Ex ante allowance</w:t>
            </w:r>
          </w:p>
        </w:tc>
        <w:tc>
          <w:tcPr>
            <w:tcW w:w="1376" w:type="dxa"/>
          </w:tcPr>
          <w:p w:rsidR="00520EE8" w:rsidRDefault="00BA5156" w:rsidP="0095484A">
            <w:pPr>
              <w:pStyle w:val="ListContinue3"/>
              <w:ind w:left="0"/>
              <w:cnfStyle w:val="000000000000" w:firstRow="0" w:lastRow="0" w:firstColumn="0" w:lastColumn="0" w:oddVBand="0" w:evenVBand="0" w:oddHBand="0" w:evenHBand="0" w:firstRowFirstColumn="0" w:firstRowLastColumn="0" w:lastRowFirstColumn="0" w:lastRowLastColumn="0"/>
            </w:pPr>
            <w:r w:rsidRPr="00BA5156">
              <w:t>100.9</w:t>
            </w:r>
          </w:p>
        </w:tc>
        <w:tc>
          <w:tcPr>
            <w:tcW w:w="1377" w:type="dxa"/>
          </w:tcPr>
          <w:p w:rsidR="00520EE8" w:rsidRDefault="00BA5156" w:rsidP="0095484A">
            <w:pPr>
              <w:pStyle w:val="ListContinue3"/>
              <w:ind w:left="0"/>
              <w:cnfStyle w:val="000000000000" w:firstRow="0" w:lastRow="0" w:firstColumn="0" w:lastColumn="0" w:oddVBand="0" w:evenVBand="0" w:oddHBand="0" w:evenHBand="0" w:firstRowFirstColumn="0" w:firstRowLastColumn="0" w:lastRowFirstColumn="0" w:lastRowLastColumn="0"/>
            </w:pPr>
            <w:r w:rsidRPr="00BA5156">
              <w:t>103.8</w:t>
            </w:r>
          </w:p>
        </w:tc>
        <w:tc>
          <w:tcPr>
            <w:tcW w:w="1377" w:type="dxa"/>
          </w:tcPr>
          <w:p w:rsidR="00520EE8" w:rsidRDefault="00BA5156" w:rsidP="0095484A">
            <w:pPr>
              <w:pStyle w:val="ListContinue3"/>
              <w:ind w:left="0"/>
              <w:cnfStyle w:val="000000000000" w:firstRow="0" w:lastRow="0" w:firstColumn="0" w:lastColumn="0" w:oddVBand="0" w:evenVBand="0" w:oddHBand="0" w:evenHBand="0" w:firstRowFirstColumn="0" w:firstRowLastColumn="0" w:lastRowFirstColumn="0" w:lastRowLastColumn="0"/>
            </w:pPr>
            <w:r w:rsidRPr="00BA5156">
              <w:t>107.3</w:t>
            </w:r>
          </w:p>
        </w:tc>
        <w:tc>
          <w:tcPr>
            <w:tcW w:w="1377" w:type="dxa"/>
          </w:tcPr>
          <w:p w:rsidR="00520EE8" w:rsidRDefault="00BA5156" w:rsidP="0095484A">
            <w:pPr>
              <w:pStyle w:val="ListContinue3"/>
              <w:ind w:left="0"/>
              <w:cnfStyle w:val="000000000000" w:firstRow="0" w:lastRow="0" w:firstColumn="0" w:lastColumn="0" w:oddVBand="0" w:evenVBand="0" w:oddHBand="0" w:evenHBand="0" w:firstRowFirstColumn="0" w:firstRowLastColumn="0" w:lastRowFirstColumn="0" w:lastRowLastColumn="0"/>
            </w:pPr>
            <w:r w:rsidRPr="00BA5156">
              <w:t>109.2</w:t>
            </w:r>
          </w:p>
        </w:tc>
        <w:tc>
          <w:tcPr>
            <w:tcW w:w="1377" w:type="dxa"/>
          </w:tcPr>
          <w:p w:rsidR="00520EE8" w:rsidRDefault="00BA5156" w:rsidP="0095484A">
            <w:pPr>
              <w:pStyle w:val="ListContinue3"/>
              <w:ind w:left="0"/>
              <w:cnfStyle w:val="000000000000" w:firstRow="0" w:lastRow="0" w:firstColumn="0" w:lastColumn="0" w:oddVBand="0" w:evenVBand="0" w:oddHBand="0" w:evenHBand="0" w:firstRowFirstColumn="0" w:firstRowLastColumn="0" w:lastRowFirstColumn="0" w:lastRowLastColumn="0"/>
            </w:pPr>
            <w:r w:rsidRPr="00BA5156">
              <w:t>111.9</w:t>
            </w:r>
          </w:p>
        </w:tc>
      </w:tr>
      <w:tr w:rsidR="00520EE8" w:rsidTr="009B0B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520EE8" w:rsidRDefault="00520EE8" w:rsidP="0095484A">
            <w:pPr>
              <w:pStyle w:val="ListContinue3"/>
              <w:ind w:left="0"/>
            </w:pPr>
            <w:r>
              <w:t>Ex post expenditure</w:t>
            </w:r>
          </w:p>
        </w:tc>
        <w:tc>
          <w:tcPr>
            <w:tcW w:w="1376" w:type="dxa"/>
          </w:tcPr>
          <w:p w:rsidR="00520EE8" w:rsidRDefault="00BA5156" w:rsidP="0095484A">
            <w:pPr>
              <w:pStyle w:val="ListContinue3"/>
              <w:ind w:left="0"/>
              <w:cnfStyle w:val="000000010000" w:firstRow="0" w:lastRow="0" w:firstColumn="0" w:lastColumn="0" w:oddVBand="0" w:evenVBand="0" w:oddHBand="0" w:evenHBand="1" w:firstRowFirstColumn="0" w:firstRowLastColumn="0" w:lastRowFirstColumn="0" w:lastRowLastColumn="0"/>
            </w:pPr>
            <w:r w:rsidRPr="00BA5156">
              <w:t>28.6</w:t>
            </w:r>
          </w:p>
        </w:tc>
        <w:tc>
          <w:tcPr>
            <w:tcW w:w="1377" w:type="dxa"/>
          </w:tcPr>
          <w:p w:rsidR="00520EE8" w:rsidRDefault="00BA5156" w:rsidP="0095484A">
            <w:pPr>
              <w:pStyle w:val="ListContinue3"/>
              <w:ind w:left="0"/>
              <w:cnfStyle w:val="000000010000" w:firstRow="0" w:lastRow="0" w:firstColumn="0" w:lastColumn="0" w:oddVBand="0" w:evenVBand="0" w:oddHBand="0" w:evenHBand="1" w:firstRowFirstColumn="0" w:firstRowLastColumn="0" w:lastRowFirstColumn="0" w:lastRowLastColumn="0"/>
            </w:pPr>
            <w:r w:rsidRPr="00BA5156">
              <w:t>8.4</w:t>
            </w:r>
          </w:p>
        </w:tc>
        <w:tc>
          <w:tcPr>
            <w:tcW w:w="1377" w:type="dxa"/>
          </w:tcPr>
          <w:p w:rsidR="00520EE8" w:rsidRDefault="00BA5156" w:rsidP="0095484A">
            <w:pPr>
              <w:pStyle w:val="ListContinue3"/>
              <w:ind w:left="0"/>
              <w:cnfStyle w:val="000000010000" w:firstRow="0" w:lastRow="0" w:firstColumn="0" w:lastColumn="0" w:oddVBand="0" w:evenVBand="0" w:oddHBand="0" w:evenHBand="1" w:firstRowFirstColumn="0" w:firstRowLastColumn="0" w:lastRowFirstColumn="0" w:lastRowLastColumn="0"/>
            </w:pPr>
            <w:r w:rsidRPr="00BA5156">
              <w:t>19.7</w:t>
            </w:r>
          </w:p>
        </w:tc>
        <w:tc>
          <w:tcPr>
            <w:tcW w:w="1377" w:type="dxa"/>
          </w:tcPr>
          <w:p w:rsidR="00520EE8" w:rsidRDefault="00BA5156" w:rsidP="0095484A">
            <w:pPr>
              <w:pStyle w:val="ListContinue3"/>
              <w:ind w:left="0"/>
              <w:cnfStyle w:val="000000010000" w:firstRow="0" w:lastRow="0" w:firstColumn="0" w:lastColumn="0" w:oddVBand="0" w:evenVBand="0" w:oddHBand="0" w:evenHBand="1" w:firstRowFirstColumn="0" w:firstRowLastColumn="0" w:lastRowFirstColumn="0" w:lastRowLastColumn="0"/>
            </w:pPr>
            <w:r w:rsidRPr="00BA5156">
              <w:t>33.6</w:t>
            </w:r>
          </w:p>
        </w:tc>
        <w:tc>
          <w:tcPr>
            <w:tcW w:w="1377" w:type="dxa"/>
          </w:tcPr>
          <w:p w:rsidR="00520EE8" w:rsidRDefault="00BA5156" w:rsidP="0095484A">
            <w:pPr>
              <w:pStyle w:val="ListContinue3"/>
              <w:ind w:left="0"/>
              <w:cnfStyle w:val="000000010000" w:firstRow="0" w:lastRow="0" w:firstColumn="0" w:lastColumn="0" w:oddVBand="0" w:evenVBand="0" w:oddHBand="0" w:evenHBand="1" w:firstRowFirstColumn="0" w:firstRowLastColumn="0" w:lastRowFirstColumn="0" w:lastRowLastColumn="0"/>
            </w:pPr>
            <w:r w:rsidRPr="00BA5156">
              <w:t>442.8</w:t>
            </w:r>
          </w:p>
        </w:tc>
      </w:tr>
      <w:tr w:rsidR="00520EE8" w:rsidTr="009B0BB6">
        <w:tc>
          <w:tcPr>
            <w:cnfStyle w:val="001000000000" w:firstRow="0" w:lastRow="0" w:firstColumn="1" w:lastColumn="0" w:oddVBand="0" w:evenVBand="0" w:oddHBand="0" w:evenHBand="0" w:firstRowFirstColumn="0" w:firstRowLastColumn="0" w:lastRowFirstColumn="0" w:lastRowLastColumn="0"/>
            <w:tcW w:w="1809" w:type="dxa"/>
          </w:tcPr>
          <w:p w:rsidR="00520EE8" w:rsidRDefault="00520EE8" w:rsidP="0095484A">
            <w:pPr>
              <w:pStyle w:val="ListContinue3"/>
              <w:ind w:left="0"/>
            </w:pPr>
            <w:r>
              <w:t>Cumulative carryover balance</w:t>
            </w:r>
            <w:r w:rsidR="009B0BB6">
              <w:t xml:space="preserve"> (a)</w:t>
            </w:r>
          </w:p>
        </w:tc>
        <w:tc>
          <w:tcPr>
            <w:tcW w:w="1376" w:type="dxa"/>
          </w:tcPr>
          <w:p w:rsidR="00520EE8" w:rsidRDefault="00CD7C0D" w:rsidP="0095484A">
            <w:pPr>
              <w:pStyle w:val="ListContinue3"/>
              <w:ind w:left="0"/>
              <w:cnfStyle w:val="000000000000" w:firstRow="0" w:lastRow="0" w:firstColumn="0" w:lastColumn="0" w:oddVBand="0" w:evenVBand="0" w:oddHBand="0" w:evenHBand="0" w:firstRowFirstColumn="0" w:firstRowLastColumn="0" w:lastRowFirstColumn="0" w:lastRowLastColumn="0"/>
            </w:pPr>
            <w:r w:rsidRPr="00CD7C0D">
              <w:t>-114.7</w:t>
            </w:r>
          </w:p>
        </w:tc>
        <w:tc>
          <w:tcPr>
            <w:tcW w:w="1377" w:type="dxa"/>
          </w:tcPr>
          <w:p w:rsidR="00520EE8" w:rsidRDefault="00CD7C0D" w:rsidP="0095484A">
            <w:pPr>
              <w:pStyle w:val="ListContinue3"/>
              <w:ind w:left="0"/>
              <w:cnfStyle w:val="000000000000" w:firstRow="0" w:lastRow="0" w:firstColumn="0" w:lastColumn="0" w:oddVBand="0" w:evenVBand="0" w:oddHBand="0" w:evenHBand="0" w:firstRowFirstColumn="0" w:firstRowLastColumn="0" w:lastRowFirstColumn="0" w:lastRowLastColumn="0"/>
            </w:pPr>
            <w:r w:rsidRPr="00CD7C0D">
              <w:t>-253.8</w:t>
            </w:r>
          </w:p>
        </w:tc>
        <w:tc>
          <w:tcPr>
            <w:tcW w:w="1377" w:type="dxa"/>
          </w:tcPr>
          <w:p w:rsidR="00520EE8" w:rsidRDefault="00CD7C0D" w:rsidP="0095484A">
            <w:pPr>
              <w:pStyle w:val="ListContinue3"/>
              <w:ind w:left="0"/>
              <w:cnfStyle w:val="000000000000" w:firstRow="0" w:lastRow="0" w:firstColumn="0" w:lastColumn="0" w:oddVBand="0" w:evenVBand="0" w:oddHBand="0" w:evenHBand="0" w:firstRowFirstColumn="0" w:firstRowLastColumn="0" w:lastRowFirstColumn="0" w:lastRowLastColumn="0"/>
            </w:pPr>
            <w:r w:rsidRPr="00CD7C0D">
              <w:t>-371.3</w:t>
            </w:r>
          </w:p>
        </w:tc>
        <w:tc>
          <w:tcPr>
            <w:tcW w:w="1377" w:type="dxa"/>
          </w:tcPr>
          <w:p w:rsidR="00520EE8" w:rsidRDefault="00CD7C0D" w:rsidP="0095484A">
            <w:pPr>
              <w:pStyle w:val="ListContinue3"/>
              <w:ind w:left="0"/>
              <w:cnfStyle w:val="000000000000" w:firstRow="0" w:lastRow="0" w:firstColumn="0" w:lastColumn="0" w:oddVBand="0" w:evenVBand="0" w:oddHBand="0" w:evenHBand="0" w:firstRowFirstColumn="0" w:firstRowLastColumn="0" w:lastRowFirstColumn="0" w:lastRowLastColumn="0"/>
            </w:pPr>
            <w:r w:rsidRPr="00CD7C0D">
              <w:t>-464.4</w:t>
            </w:r>
          </w:p>
        </w:tc>
        <w:tc>
          <w:tcPr>
            <w:tcW w:w="1377" w:type="dxa"/>
          </w:tcPr>
          <w:p w:rsidR="00520EE8" w:rsidRPr="008E7E63" w:rsidRDefault="00CD7C0D" w:rsidP="0095484A">
            <w:pPr>
              <w:pStyle w:val="ListContinue3"/>
              <w:ind w:left="0"/>
              <w:cnfStyle w:val="000000000000" w:firstRow="0" w:lastRow="0" w:firstColumn="0" w:lastColumn="0" w:oddVBand="0" w:evenVBand="0" w:oddHBand="0" w:evenHBand="0" w:firstRowFirstColumn="0" w:firstRowLastColumn="0" w:lastRowFirstColumn="0" w:lastRowLastColumn="0"/>
              <w:rPr>
                <w:rStyle w:val="AERtextboldunderline"/>
              </w:rPr>
            </w:pPr>
            <w:r w:rsidRPr="00CD7C0D">
              <w:t>-</w:t>
            </w:r>
            <w:r w:rsidR="00F83464">
              <w:t>95.3</w:t>
            </w:r>
          </w:p>
        </w:tc>
      </w:tr>
    </w:tbl>
    <w:p w:rsidR="005B0581" w:rsidRDefault="00192DE7" w:rsidP="00192DE7">
      <w:pPr>
        <w:pStyle w:val="AERtablesource"/>
      </w:pPr>
      <w:r w:rsidRPr="008B5877">
        <w:t>Source:</w:t>
      </w:r>
      <w:r w:rsidRPr="008B5877">
        <w:tab/>
        <w:t xml:space="preserve">AER analysis and DMIA </w:t>
      </w:r>
      <w:r w:rsidR="00F6148F">
        <w:t>r</w:t>
      </w:r>
      <w:r w:rsidRPr="008B5877">
        <w:t xml:space="preserve">eports submitted by DNSPs; </w:t>
      </w:r>
      <w:r w:rsidR="0055068C">
        <w:t>numbers</w:t>
      </w:r>
      <w:r w:rsidRPr="008B5877">
        <w:t xml:space="preserve"> may not be exact due to rounding.</w:t>
      </w:r>
    </w:p>
    <w:p w:rsidR="005B0581" w:rsidRDefault="005B0581" w:rsidP="005B0581">
      <w:pPr>
        <w:pStyle w:val="AERtablesource"/>
      </w:pPr>
      <w:r>
        <w:t>Note: (a)</w:t>
      </w:r>
      <w:r>
        <w:tab/>
        <w:t xml:space="preserve">the final carryover amounts will be subject to the final adjustment when the WACC is updated when DNSPs submit the annual pricing proposals.   </w:t>
      </w:r>
    </w:p>
    <w:p w:rsidR="003C248F" w:rsidRDefault="003C248F" w:rsidP="003C248F">
      <w:pPr>
        <w:pStyle w:val="Caption"/>
      </w:pPr>
      <w:r>
        <w:t xml:space="preserve">Table </w:t>
      </w:r>
      <w:r w:rsidR="00BF480E">
        <w:fldChar w:fldCharType="begin"/>
      </w:r>
      <w:r w:rsidR="00BF480E">
        <w:instrText xml:space="preserve"> SEQ Table \* ARABIC </w:instrText>
      </w:r>
      <w:r w:rsidR="00BF480E">
        <w:fldChar w:fldCharType="separate"/>
      </w:r>
      <w:r w:rsidR="002D1097">
        <w:rPr>
          <w:noProof/>
        </w:rPr>
        <w:t>11</w:t>
      </w:r>
      <w:r w:rsidR="00BF480E">
        <w:rPr>
          <w:noProof/>
        </w:rPr>
        <w:fldChar w:fldCharType="end"/>
      </w:r>
      <w:r w:rsidR="00DA4E0A">
        <w:tab/>
      </w:r>
      <w:r>
        <w:tab/>
        <w:t xml:space="preserve">Ausgrid: </w:t>
      </w:r>
      <w:r w:rsidR="00143A58" w:rsidRPr="00143A58">
        <w:t>carryover amount calculation ($</w:t>
      </w:r>
      <w:r w:rsidR="00D109DC">
        <w:t>'000</w:t>
      </w:r>
      <w:r w:rsidR="00143A58" w:rsidRPr="00143A58">
        <w:t xml:space="preserve"> nominal)</w:t>
      </w:r>
    </w:p>
    <w:tbl>
      <w:tblPr>
        <w:tblStyle w:val="AERtable-numbers"/>
        <w:tblW w:w="0" w:type="auto"/>
        <w:tblLook w:val="04A0" w:firstRow="1" w:lastRow="0" w:firstColumn="1" w:lastColumn="0" w:noHBand="0" w:noVBand="1"/>
      </w:tblPr>
      <w:tblGrid>
        <w:gridCol w:w="1809"/>
        <w:gridCol w:w="1376"/>
        <w:gridCol w:w="1377"/>
        <w:gridCol w:w="1377"/>
        <w:gridCol w:w="1377"/>
        <w:gridCol w:w="1377"/>
      </w:tblGrid>
      <w:tr w:rsidR="003C248F" w:rsidTr="009B0B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3C248F" w:rsidRDefault="003C248F" w:rsidP="0095484A">
            <w:pPr>
              <w:pStyle w:val="ListContinue3"/>
              <w:ind w:left="0"/>
            </w:pPr>
          </w:p>
        </w:tc>
        <w:tc>
          <w:tcPr>
            <w:tcW w:w="1376" w:type="dxa"/>
          </w:tcPr>
          <w:p w:rsidR="003C248F" w:rsidRDefault="003C248F" w:rsidP="0095484A">
            <w:pPr>
              <w:pStyle w:val="ListContinue3"/>
              <w:ind w:left="0"/>
              <w:cnfStyle w:val="100000000000" w:firstRow="1" w:lastRow="0" w:firstColumn="0" w:lastColumn="0" w:oddVBand="0" w:evenVBand="0" w:oddHBand="0" w:evenHBand="0" w:firstRowFirstColumn="0" w:firstRowLastColumn="0" w:lastRowFirstColumn="0" w:lastRowLastColumn="0"/>
            </w:pPr>
            <w:r>
              <w:t>2009–10</w:t>
            </w:r>
          </w:p>
        </w:tc>
        <w:tc>
          <w:tcPr>
            <w:tcW w:w="1377" w:type="dxa"/>
          </w:tcPr>
          <w:p w:rsidR="003C248F" w:rsidRDefault="003C248F" w:rsidP="0095484A">
            <w:pPr>
              <w:pStyle w:val="ListContinue3"/>
              <w:ind w:left="0"/>
              <w:cnfStyle w:val="100000000000" w:firstRow="1" w:lastRow="0" w:firstColumn="0" w:lastColumn="0" w:oddVBand="0" w:evenVBand="0" w:oddHBand="0" w:evenHBand="0" w:firstRowFirstColumn="0" w:firstRowLastColumn="0" w:lastRowFirstColumn="0" w:lastRowLastColumn="0"/>
            </w:pPr>
            <w:r>
              <w:t>2010–11</w:t>
            </w:r>
          </w:p>
        </w:tc>
        <w:tc>
          <w:tcPr>
            <w:tcW w:w="1377" w:type="dxa"/>
          </w:tcPr>
          <w:p w:rsidR="003C248F" w:rsidRDefault="003C248F" w:rsidP="0095484A">
            <w:pPr>
              <w:pStyle w:val="ListContinue3"/>
              <w:ind w:left="0"/>
              <w:cnfStyle w:val="100000000000" w:firstRow="1" w:lastRow="0" w:firstColumn="0" w:lastColumn="0" w:oddVBand="0" w:evenVBand="0" w:oddHBand="0" w:evenHBand="0" w:firstRowFirstColumn="0" w:firstRowLastColumn="0" w:lastRowFirstColumn="0" w:lastRowLastColumn="0"/>
            </w:pPr>
            <w:r>
              <w:t>2011–12</w:t>
            </w:r>
          </w:p>
        </w:tc>
        <w:tc>
          <w:tcPr>
            <w:tcW w:w="1377" w:type="dxa"/>
          </w:tcPr>
          <w:p w:rsidR="003C248F" w:rsidRDefault="003C248F" w:rsidP="0095484A">
            <w:pPr>
              <w:pStyle w:val="ListContinue3"/>
              <w:ind w:left="0"/>
              <w:cnfStyle w:val="100000000000" w:firstRow="1" w:lastRow="0" w:firstColumn="0" w:lastColumn="0" w:oddVBand="0" w:evenVBand="0" w:oddHBand="0" w:evenHBand="0" w:firstRowFirstColumn="0" w:firstRowLastColumn="0" w:lastRowFirstColumn="0" w:lastRowLastColumn="0"/>
            </w:pPr>
            <w:r>
              <w:t>2012–13</w:t>
            </w:r>
          </w:p>
        </w:tc>
        <w:tc>
          <w:tcPr>
            <w:tcW w:w="1377" w:type="dxa"/>
          </w:tcPr>
          <w:p w:rsidR="003C248F" w:rsidRDefault="003C248F" w:rsidP="0095484A">
            <w:pPr>
              <w:pStyle w:val="ListContinue3"/>
              <w:ind w:left="0"/>
              <w:cnfStyle w:val="100000000000" w:firstRow="1" w:lastRow="0" w:firstColumn="0" w:lastColumn="0" w:oddVBand="0" w:evenVBand="0" w:oddHBand="0" w:evenHBand="0" w:firstRowFirstColumn="0" w:firstRowLastColumn="0" w:lastRowFirstColumn="0" w:lastRowLastColumn="0"/>
            </w:pPr>
            <w:r>
              <w:t>2013–14</w:t>
            </w:r>
          </w:p>
        </w:tc>
      </w:tr>
      <w:tr w:rsidR="003C248F" w:rsidTr="009B0BB6">
        <w:tc>
          <w:tcPr>
            <w:cnfStyle w:val="001000000000" w:firstRow="0" w:lastRow="0" w:firstColumn="1" w:lastColumn="0" w:oddVBand="0" w:evenVBand="0" w:oddHBand="0" w:evenHBand="0" w:firstRowFirstColumn="0" w:firstRowLastColumn="0" w:lastRowFirstColumn="0" w:lastRowLastColumn="0"/>
            <w:tcW w:w="1809" w:type="dxa"/>
          </w:tcPr>
          <w:p w:rsidR="003C248F" w:rsidRDefault="003C248F" w:rsidP="0095484A">
            <w:pPr>
              <w:pStyle w:val="ListContinue3"/>
              <w:ind w:left="0"/>
            </w:pPr>
            <w:r>
              <w:t>Ex ante allowance</w:t>
            </w:r>
          </w:p>
        </w:tc>
        <w:tc>
          <w:tcPr>
            <w:tcW w:w="1376" w:type="dxa"/>
          </w:tcPr>
          <w:p w:rsidR="003C248F" w:rsidRDefault="00C87A19" w:rsidP="0095484A">
            <w:pPr>
              <w:pStyle w:val="ListContinue3"/>
              <w:ind w:left="0"/>
              <w:cnfStyle w:val="000000000000" w:firstRow="0" w:lastRow="0" w:firstColumn="0" w:lastColumn="0" w:oddVBand="0" w:evenVBand="0" w:oddHBand="0" w:evenHBand="0" w:firstRowFirstColumn="0" w:firstRowLastColumn="0" w:lastRowFirstColumn="0" w:lastRowLastColumn="0"/>
            </w:pPr>
            <w:r w:rsidRPr="00C87A19">
              <w:t>1009.1</w:t>
            </w:r>
          </w:p>
        </w:tc>
        <w:tc>
          <w:tcPr>
            <w:tcW w:w="1377" w:type="dxa"/>
          </w:tcPr>
          <w:p w:rsidR="003C248F" w:rsidRDefault="00C87A19" w:rsidP="0095484A">
            <w:pPr>
              <w:pStyle w:val="ListContinue3"/>
              <w:ind w:left="0"/>
              <w:cnfStyle w:val="000000000000" w:firstRow="0" w:lastRow="0" w:firstColumn="0" w:lastColumn="0" w:oddVBand="0" w:evenVBand="0" w:oddHBand="0" w:evenHBand="0" w:firstRowFirstColumn="0" w:firstRowLastColumn="0" w:lastRowFirstColumn="0" w:lastRowLastColumn="0"/>
            </w:pPr>
            <w:r w:rsidRPr="00C87A19">
              <w:t>1037.9</w:t>
            </w:r>
          </w:p>
        </w:tc>
        <w:tc>
          <w:tcPr>
            <w:tcW w:w="1377" w:type="dxa"/>
          </w:tcPr>
          <w:p w:rsidR="003C248F" w:rsidRDefault="00C87A19" w:rsidP="0095484A">
            <w:pPr>
              <w:pStyle w:val="ListContinue3"/>
              <w:ind w:left="0"/>
              <w:cnfStyle w:val="000000000000" w:firstRow="0" w:lastRow="0" w:firstColumn="0" w:lastColumn="0" w:oddVBand="0" w:evenVBand="0" w:oddHBand="0" w:evenHBand="0" w:firstRowFirstColumn="0" w:firstRowLastColumn="0" w:lastRowFirstColumn="0" w:lastRowLastColumn="0"/>
            </w:pPr>
            <w:r w:rsidRPr="00C87A19">
              <w:t>1073.0</w:t>
            </w:r>
          </w:p>
        </w:tc>
        <w:tc>
          <w:tcPr>
            <w:tcW w:w="1377" w:type="dxa"/>
          </w:tcPr>
          <w:p w:rsidR="003C248F" w:rsidRDefault="00C87A19" w:rsidP="0095484A">
            <w:pPr>
              <w:pStyle w:val="ListContinue3"/>
              <w:ind w:left="0"/>
              <w:cnfStyle w:val="000000000000" w:firstRow="0" w:lastRow="0" w:firstColumn="0" w:lastColumn="0" w:oddVBand="0" w:evenVBand="0" w:oddHBand="0" w:evenHBand="0" w:firstRowFirstColumn="0" w:firstRowLastColumn="0" w:lastRowFirstColumn="0" w:lastRowLastColumn="0"/>
            </w:pPr>
            <w:r w:rsidRPr="00C87A19">
              <w:t>1091.9</w:t>
            </w:r>
          </w:p>
        </w:tc>
        <w:tc>
          <w:tcPr>
            <w:tcW w:w="1377" w:type="dxa"/>
          </w:tcPr>
          <w:p w:rsidR="003C248F" w:rsidRDefault="00C87A19" w:rsidP="0095484A">
            <w:pPr>
              <w:pStyle w:val="ListContinue3"/>
              <w:ind w:left="0"/>
              <w:cnfStyle w:val="000000000000" w:firstRow="0" w:lastRow="0" w:firstColumn="0" w:lastColumn="0" w:oddVBand="0" w:evenVBand="0" w:oddHBand="0" w:evenHBand="0" w:firstRowFirstColumn="0" w:firstRowLastColumn="0" w:lastRowFirstColumn="0" w:lastRowLastColumn="0"/>
            </w:pPr>
            <w:r w:rsidRPr="00C87A19">
              <w:t>1118.7</w:t>
            </w:r>
            <w:r>
              <w:t xml:space="preserve"> </w:t>
            </w:r>
          </w:p>
        </w:tc>
      </w:tr>
      <w:tr w:rsidR="003C248F" w:rsidTr="009B0B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3C248F" w:rsidRDefault="003C248F" w:rsidP="0095484A">
            <w:pPr>
              <w:pStyle w:val="ListContinue3"/>
              <w:ind w:left="0"/>
            </w:pPr>
            <w:r>
              <w:t>Ex post expenditure</w:t>
            </w:r>
          </w:p>
        </w:tc>
        <w:tc>
          <w:tcPr>
            <w:tcW w:w="1376" w:type="dxa"/>
          </w:tcPr>
          <w:p w:rsidR="003C248F" w:rsidRDefault="00C87A19" w:rsidP="0095484A">
            <w:pPr>
              <w:pStyle w:val="ListContinue3"/>
              <w:ind w:left="0"/>
              <w:cnfStyle w:val="000000010000" w:firstRow="0" w:lastRow="0" w:firstColumn="0" w:lastColumn="0" w:oddVBand="0" w:evenVBand="0" w:oddHBand="0" w:evenHBand="1" w:firstRowFirstColumn="0" w:firstRowLastColumn="0" w:lastRowFirstColumn="0" w:lastRowLastColumn="0"/>
            </w:pPr>
            <w:r w:rsidRPr="00C87A19">
              <w:t>0.0</w:t>
            </w:r>
          </w:p>
        </w:tc>
        <w:tc>
          <w:tcPr>
            <w:tcW w:w="1377" w:type="dxa"/>
          </w:tcPr>
          <w:p w:rsidR="003C248F" w:rsidRDefault="00C87A19" w:rsidP="0095484A">
            <w:pPr>
              <w:pStyle w:val="ListContinue3"/>
              <w:ind w:left="0"/>
              <w:cnfStyle w:val="000000010000" w:firstRow="0" w:lastRow="0" w:firstColumn="0" w:lastColumn="0" w:oddVBand="0" w:evenVBand="0" w:oddHBand="0" w:evenHBand="1" w:firstRowFirstColumn="0" w:firstRowLastColumn="0" w:lastRowFirstColumn="0" w:lastRowLastColumn="0"/>
            </w:pPr>
            <w:r w:rsidRPr="00C87A19">
              <w:t>53.0</w:t>
            </w:r>
          </w:p>
        </w:tc>
        <w:tc>
          <w:tcPr>
            <w:tcW w:w="1377" w:type="dxa"/>
          </w:tcPr>
          <w:p w:rsidR="003C248F" w:rsidRDefault="00C87A19" w:rsidP="0095484A">
            <w:pPr>
              <w:pStyle w:val="ListContinue3"/>
              <w:ind w:left="0"/>
              <w:cnfStyle w:val="000000010000" w:firstRow="0" w:lastRow="0" w:firstColumn="0" w:lastColumn="0" w:oddVBand="0" w:evenVBand="0" w:oddHBand="0" w:evenHBand="1" w:firstRowFirstColumn="0" w:firstRowLastColumn="0" w:lastRowFirstColumn="0" w:lastRowLastColumn="0"/>
            </w:pPr>
            <w:r w:rsidRPr="00C87A19">
              <w:t>661.3</w:t>
            </w:r>
          </w:p>
        </w:tc>
        <w:tc>
          <w:tcPr>
            <w:tcW w:w="1377" w:type="dxa"/>
          </w:tcPr>
          <w:p w:rsidR="003C248F" w:rsidRDefault="00C87A19" w:rsidP="0095484A">
            <w:pPr>
              <w:pStyle w:val="ListContinue3"/>
              <w:ind w:left="0"/>
              <w:cnfStyle w:val="000000010000" w:firstRow="0" w:lastRow="0" w:firstColumn="0" w:lastColumn="0" w:oddVBand="0" w:evenVBand="0" w:oddHBand="0" w:evenHBand="1" w:firstRowFirstColumn="0" w:firstRowLastColumn="0" w:lastRowFirstColumn="0" w:lastRowLastColumn="0"/>
            </w:pPr>
            <w:r w:rsidRPr="00C87A19">
              <w:t>934.1</w:t>
            </w:r>
          </w:p>
        </w:tc>
        <w:tc>
          <w:tcPr>
            <w:tcW w:w="1377" w:type="dxa"/>
          </w:tcPr>
          <w:p w:rsidR="003C248F" w:rsidRDefault="00C87A19" w:rsidP="0095484A">
            <w:pPr>
              <w:pStyle w:val="ListContinue3"/>
              <w:ind w:left="0"/>
              <w:cnfStyle w:val="000000010000" w:firstRow="0" w:lastRow="0" w:firstColumn="0" w:lastColumn="0" w:oddVBand="0" w:evenVBand="0" w:oddHBand="0" w:evenHBand="1" w:firstRowFirstColumn="0" w:firstRowLastColumn="0" w:lastRowFirstColumn="0" w:lastRowLastColumn="0"/>
            </w:pPr>
            <w:r w:rsidRPr="00C87A19">
              <w:t>2</w:t>
            </w:r>
            <w:r w:rsidR="00BA5156">
              <w:t xml:space="preserve"> </w:t>
            </w:r>
            <w:r w:rsidRPr="00C87A19">
              <w:t>473.2</w:t>
            </w:r>
          </w:p>
        </w:tc>
      </w:tr>
      <w:tr w:rsidR="003C248F" w:rsidTr="009B0BB6">
        <w:tc>
          <w:tcPr>
            <w:cnfStyle w:val="001000000000" w:firstRow="0" w:lastRow="0" w:firstColumn="1" w:lastColumn="0" w:oddVBand="0" w:evenVBand="0" w:oddHBand="0" w:evenHBand="0" w:firstRowFirstColumn="0" w:firstRowLastColumn="0" w:lastRowFirstColumn="0" w:lastRowLastColumn="0"/>
            <w:tcW w:w="1809" w:type="dxa"/>
          </w:tcPr>
          <w:p w:rsidR="003C248F" w:rsidRDefault="003C248F" w:rsidP="0095484A">
            <w:pPr>
              <w:pStyle w:val="ListContinue3"/>
              <w:ind w:left="0"/>
            </w:pPr>
            <w:r>
              <w:t>Cumulative carryover balance</w:t>
            </w:r>
            <w:r w:rsidR="009B0BB6">
              <w:t xml:space="preserve"> (a)</w:t>
            </w:r>
          </w:p>
        </w:tc>
        <w:tc>
          <w:tcPr>
            <w:tcW w:w="1376" w:type="dxa"/>
          </w:tcPr>
          <w:p w:rsidR="003C248F" w:rsidRDefault="00887916" w:rsidP="0095484A">
            <w:pPr>
              <w:pStyle w:val="ListContinue3"/>
              <w:ind w:left="0"/>
              <w:cnfStyle w:val="000000000000" w:firstRow="0" w:lastRow="0" w:firstColumn="0" w:lastColumn="0" w:oddVBand="0" w:evenVBand="0" w:oddHBand="0" w:evenHBand="0" w:firstRowFirstColumn="0" w:firstRowLastColumn="0" w:lastRowFirstColumn="0" w:lastRowLastColumn="0"/>
            </w:pPr>
            <w:r w:rsidRPr="00887916">
              <w:t>-1</w:t>
            </w:r>
            <w:r>
              <w:t xml:space="preserve"> </w:t>
            </w:r>
            <w:r w:rsidRPr="00887916">
              <w:t>683.7</w:t>
            </w:r>
          </w:p>
        </w:tc>
        <w:tc>
          <w:tcPr>
            <w:tcW w:w="1377" w:type="dxa"/>
          </w:tcPr>
          <w:p w:rsidR="003C248F" w:rsidRDefault="00887916" w:rsidP="0095484A">
            <w:pPr>
              <w:pStyle w:val="ListContinue3"/>
              <w:ind w:left="0"/>
              <w:cnfStyle w:val="000000000000" w:firstRow="0" w:lastRow="0" w:firstColumn="0" w:lastColumn="0" w:oddVBand="0" w:evenVBand="0" w:oddHBand="0" w:evenHBand="0" w:firstRowFirstColumn="0" w:firstRowLastColumn="0" w:lastRowFirstColumn="0" w:lastRowLastColumn="0"/>
            </w:pPr>
            <w:r w:rsidRPr="00887916">
              <w:t>-3</w:t>
            </w:r>
            <w:r>
              <w:t xml:space="preserve"> </w:t>
            </w:r>
            <w:r w:rsidRPr="00887916">
              <w:t>177.4</w:t>
            </w:r>
          </w:p>
        </w:tc>
        <w:tc>
          <w:tcPr>
            <w:tcW w:w="1377" w:type="dxa"/>
          </w:tcPr>
          <w:p w:rsidR="003C248F" w:rsidRDefault="00887916" w:rsidP="0095484A">
            <w:pPr>
              <w:pStyle w:val="ListContinue3"/>
              <w:ind w:left="0"/>
              <w:cnfStyle w:val="000000000000" w:firstRow="0" w:lastRow="0" w:firstColumn="0" w:lastColumn="0" w:oddVBand="0" w:evenVBand="0" w:oddHBand="0" w:evenHBand="0" w:firstRowFirstColumn="0" w:firstRowLastColumn="0" w:lastRowFirstColumn="0" w:lastRowLastColumn="0"/>
            </w:pPr>
            <w:r w:rsidRPr="00887916">
              <w:t>3</w:t>
            </w:r>
            <w:r>
              <w:t xml:space="preserve"> </w:t>
            </w:r>
            <w:r w:rsidRPr="00887916">
              <w:t>744.9</w:t>
            </w:r>
          </w:p>
        </w:tc>
        <w:tc>
          <w:tcPr>
            <w:tcW w:w="1377" w:type="dxa"/>
          </w:tcPr>
          <w:p w:rsidR="003C248F" w:rsidRDefault="00887916" w:rsidP="0095484A">
            <w:pPr>
              <w:pStyle w:val="ListContinue3"/>
              <w:ind w:left="0"/>
              <w:cnfStyle w:val="000000000000" w:firstRow="0" w:lastRow="0" w:firstColumn="0" w:lastColumn="0" w:oddVBand="0" w:evenVBand="0" w:oddHBand="0" w:evenHBand="0" w:firstRowFirstColumn="0" w:firstRowLastColumn="0" w:lastRowFirstColumn="0" w:lastRowLastColumn="0"/>
            </w:pPr>
            <w:r w:rsidRPr="00887916">
              <w:t>-3</w:t>
            </w:r>
            <w:r>
              <w:t xml:space="preserve"> </w:t>
            </w:r>
            <w:r w:rsidRPr="00887916">
              <w:t>942.6</w:t>
            </w:r>
          </w:p>
        </w:tc>
        <w:tc>
          <w:tcPr>
            <w:tcW w:w="1377" w:type="dxa"/>
          </w:tcPr>
          <w:p w:rsidR="003C248F" w:rsidRDefault="00887916" w:rsidP="00694F6F">
            <w:pPr>
              <w:pStyle w:val="ListContinue3"/>
              <w:ind w:left="0"/>
              <w:cnfStyle w:val="000000000000" w:firstRow="0" w:lastRow="0" w:firstColumn="0" w:lastColumn="0" w:oddVBand="0" w:evenVBand="0" w:oddHBand="0" w:evenHBand="0" w:firstRowFirstColumn="0" w:firstRowLastColumn="0" w:lastRowFirstColumn="0" w:lastRowLastColumn="0"/>
            </w:pPr>
            <w:r w:rsidRPr="00887916">
              <w:t>-</w:t>
            </w:r>
            <w:r w:rsidR="00694F6F">
              <w:t>2 560.6</w:t>
            </w:r>
          </w:p>
        </w:tc>
      </w:tr>
    </w:tbl>
    <w:p w:rsidR="005B0581" w:rsidRDefault="00192DE7" w:rsidP="00192DE7">
      <w:pPr>
        <w:pStyle w:val="AERtablesource"/>
      </w:pPr>
      <w:r w:rsidRPr="008B5877">
        <w:t>Source:</w:t>
      </w:r>
      <w:r w:rsidRPr="008B5877">
        <w:tab/>
        <w:t xml:space="preserve">AER analysis and DMIA </w:t>
      </w:r>
      <w:r w:rsidR="00F6148F">
        <w:t>r</w:t>
      </w:r>
      <w:r w:rsidRPr="008B5877">
        <w:t xml:space="preserve">eports submitted by DNSPs; </w:t>
      </w:r>
      <w:r w:rsidR="0055068C">
        <w:t>numbers</w:t>
      </w:r>
      <w:r w:rsidRPr="008B5877">
        <w:t xml:space="preserve"> may not be exact due to rounding.</w:t>
      </w:r>
    </w:p>
    <w:p w:rsidR="00D8551A" w:rsidRPr="00264F41" w:rsidRDefault="005B0581" w:rsidP="00264F41">
      <w:pPr>
        <w:pStyle w:val="AERtablesource"/>
      </w:pPr>
      <w:r>
        <w:t>Note: (a)</w:t>
      </w:r>
      <w:r>
        <w:tab/>
        <w:t xml:space="preserve">the final carryover amounts will be subject to the final adjustment when the WACC is updated when DNSPs submit the annual pricing proposals.   </w:t>
      </w:r>
    </w:p>
    <w:p w:rsidR="00143A58" w:rsidRDefault="00143A58" w:rsidP="00143A58">
      <w:pPr>
        <w:pStyle w:val="Caption"/>
      </w:pPr>
      <w:r>
        <w:t xml:space="preserve">Table </w:t>
      </w:r>
      <w:r w:rsidR="00BF480E">
        <w:fldChar w:fldCharType="begin"/>
      </w:r>
      <w:r w:rsidR="00BF480E">
        <w:instrText xml:space="preserve"> SEQ Table \* ARABIC </w:instrText>
      </w:r>
      <w:r w:rsidR="00BF480E">
        <w:fldChar w:fldCharType="separate"/>
      </w:r>
      <w:r w:rsidR="002D1097">
        <w:rPr>
          <w:noProof/>
        </w:rPr>
        <w:t>12</w:t>
      </w:r>
      <w:r w:rsidR="00BF480E">
        <w:rPr>
          <w:noProof/>
        </w:rPr>
        <w:fldChar w:fldCharType="end"/>
      </w:r>
      <w:r>
        <w:tab/>
      </w:r>
      <w:r w:rsidR="00DA4E0A">
        <w:tab/>
      </w:r>
      <w:r>
        <w:t>Endeavour Energy: carryover amount calculation ($</w:t>
      </w:r>
      <w:r w:rsidR="00D109DC">
        <w:t>'000</w:t>
      </w:r>
      <w:r>
        <w:t xml:space="preserve"> nominal)</w:t>
      </w:r>
    </w:p>
    <w:tbl>
      <w:tblPr>
        <w:tblStyle w:val="AERtable-numbers"/>
        <w:tblW w:w="0" w:type="auto"/>
        <w:tblLook w:val="04A0" w:firstRow="1" w:lastRow="0" w:firstColumn="1" w:lastColumn="0" w:noHBand="0" w:noVBand="1"/>
      </w:tblPr>
      <w:tblGrid>
        <w:gridCol w:w="1809"/>
        <w:gridCol w:w="1376"/>
        <w:gridCol w:w="1377"/>
        <w:gridCol w:w="1377"/>
        <w:gridCol w:w="1377"/>
        <w:gridCol w:w="1377"/>
      </w:tblGrid>
      <w:tr w:rsidR="00143A58" w:rsidTr="009B0B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143A58" w:rsidRDefault="00143A58" w:rsidP="00143A58"/>
        </w:tc>
        <w:tc>
          <w:tcPr>
            <w:tcW w:w="1376" w:type="dxa"/>
          </w:tcPr>
          <w:p w:rsidR="00143A58" w:rsidRDefault="00143A58" w:rsidP="00143A58">
            <w:pPr>
              <w:cnfStyle w:val="100000000000" w:firstRow="1" w:lastRow="0" w:firstColumn="0" w:lastColumn="0" w:oddVBand="0" w:evenVBand="0" w:oddHBand="0" w:evenHBand="0" w:firstRowFirstColumn="0" w:firstRowLastColumn="0" w:lastRowFirstColumn="0" w:lastRowLastColumn="0"/>
            </w:pPr>
            <w:r>
              <w:t>2009–10</w:t>
            </w:r>
          </w:p>
        </w:tc>
        <w:tc>
          <w:tcPr>
            <w:tcW w:w="1377" w:type="dxa"/>
          </w:tcPr>
          <w:p w:rsidR="00143A58" w:rsidRDefault="00143A58" w:rsidP="00143A58">
            <w:pPr>
              <w:cnfStyle w:val="100000000000" w:firstRow="1" w:lastRow="0" w:firstColumn="0" w:lastColumn="0" w:oddVBand="0" w:evenVBand="0" w:oddHBand="0" w:evenHBand="0" w:firstRowFirstColumn="0" w:firstRowLastColumn="0" w:lastRowFirstColumn="0" w:lastRowLastColumn="0"/>
            </w:pPr>
            <w:r>
              <w:t>2010–11</w:t>
            </w:r>
          </w:p>
        </w:tc>
        <w:tc>
          <w:tcPr>
            <w:tcW w:w="1377" w:type="dxa"/>
          </w:tcPr>
          <w:p w:rsidR="00143A58" w:rsidRDefault="00143A58" w:rsidP="00143A58">
            <w:pPr>
              <w:cnfStyle w:val="100000000000" w:firstRow="1" w:lastRow="0" w:firstColumn="0" w:lastColumn="0" w:oddVBand="0" w:evenVBand="0" w:oddHBand="0" w:evenHBand="0" w:firstRowFirstColumn="0" w:firstRowLastColumn="0" w:lastRowFirstColumn="0" w:lastRowLastColumn="0"/>
            </w:pPr>
            <w:r>
              <w:t>2011–12</w:t>
            </w:r>
          </w:p>
        </w:tc>
        <w:tc>
          <w:tcPr>
            <w:tcW w:w="1377" w:type="dxa"/>
          </w:tcPr>
          <w:p w:rsidR="00143A58" w:rsidRDefault="00143A58" w:rsidP="00143A58">
            <w:pPr>
              <w:cnfStyle w:val="100000000000" w:firstRow="1" w:lastRow="0" w:firstColumn="0" w:lastColumn="0" w:oddVBand="0" w:evenVBand="0" w:oddHBand="0" w:evenHBand="0" w:firstRowFirstColumn="0" w:firstRowLastColumn="0" w:lastRowFirstColumn="0" w:lastRowLastColumn="0"/>
            </w:pPr>
            <w:r>
              <w:t>2012–13</w:t>
            </w:r>
          </w:p>
        </w:tc>
        <w:tc>
          <w:tcPr>
            <w:tcW w:w="1377" w:type="dxa"/>
          </w:tcPr>
          <w:p w:rsidR="00143A58" w:rsidRDefault="00143A58" w:rsidP="00143A58">
            <w:pPr>
              <w:cnfStyle w:val="100000000000" w:firstRow="1" w:lastRow="0" w:firstColumn="0" w:lastColumn="0" w:oddVBand="0" w:evenVBand="0" w:oddHBand="0" w:evenHBand="0" w:firstRowFirstColumn="0" w:firstRowLastColumn="0" w:lastRowFirstColumn="0" w:lastRowLastColumn="0"/>
            </w:pPr>
            <w:r>
              <w:t>2013–14</w:t>
            </w:r>
          </w:p>
        </w:tc>
      </w:tr>
      <w:tr w:rsidR="00C87A19" w:rsidTr="009B0BB6">
        <w:tc>
          <w:tcPr>
            <w:cnfStyle w:val="001000000000" w:firstRow="0" w:lastRow="0" w:firstColumn="1" w:lastColumn="0" w:oddVBand="0" w:evenVBand="0" w:oddHBand="0" w:evenHBand="0" w:firstRowFirstColumn="0" w:firstRowLastColumn="0" w:lastRowFirstColumn="0" w:lastRowLastColumn="0"/>
            <w:tcW w:w="1809" w:type="dxa"/>
          </w:tcPr>
          <w:p w:rsidR="00C87A19" w:rsidRPr="00C87A19" w:rsidRDefault="00C87A19" w:rsidP="00C87A19">
            <w:r w:rsidRPr="00C87A19">
              <w:t>Ex ante allowance</w:t>
            </w:r>
          </w:p>
        </w:tc>
        <w:tc>
          <w:tcPr>
            <w:tcW w:w="1376" w:type="dxa"/>
            <w:vAlign w:val="top"/>
          </w:tcPr>
          <w:p w:rsidR="00C87A19" w:rsidRPr="00C87A19" w:rsidRDefault="00C87A19" w:rsidP="00C87A19">
            <w:pPr>
              <w:cnfStyle w:val="000000000000" w:firstRow="0" w:lastRow="0" w:firstColumn="0" w:lastColumn="0" w:oddVBand="0" w:evenVBand="0" w:oddHBand="0" w:evenHBand="0" w:firstRowFirstColumn="0" w:firstRowLastColumn="0" w:lastRowFirstColumn="0" w:lastRowLastColumn="0"/>
            </w:pPr>
            <w:r w:rsidRPr="00C87A19">
              <w:t>605.5</w:t>
            </w:r>
          </w:p>
        </w:tc>
        <w:tc>
          <w:tcPr>
            <w:tcW w:w="1377" w:type="dxa"/>
            <w:vAlign w:val="top"/>
          </w:tcPr>
          <w:p w:rsidR="00C87A19" w:rsidRPr="00C87A19" w:rsidRDefault="00C87A19" w:rsidP="00C87A19">
            <w:pPr>
              <w:cnfStyle w:val="000000000000" w:firstRow="0" w:lastRow="0" w:firstColumn="0" w:lastColumn="0" w:oddVBand="0" w:evenVBand="0" w:oddHBand="0" w:evenHBand="0" w:firstRowFirstColumn="0" w:firstRowLastColumn="0" w:lastRowFirstColumn="0" w:lastRowLastColumn="0"/>
            </w:pPr>
            <w:r w:rsidRPr="00C87A19">
              <w:t>622.7</w:t>
            </w:r>
          </w:p>
        </w:tc>
        <w:tc>
          <w:tcPr>
            <w:tcW w:w="1377" w:type="dxa"/>
            <w:vAlign w:val="top"/>
          </w:tcPr>
          <w:p w:rsidR="00C87A19" w:rsidRPr="00C87A19" w:rsidRDefault="00C87A19" w:rsidP="00C87A19">
            <w:pPr>
              <w:cnfStyle w:val="000000000000" w:firstRow="0" w:lastRow="0" w:firstColumn="0" w:lastColumn="0" w:oddVBand="0" w:evenVBand="0" w:oddHBand="0" w:evenHBand="0" w:firstRowFirstColumn="0" w:firstRowLastColumn="0" w:lastRowFirstColumn="0" w:lastRowLastColumn="0"/>
            </w:pPr>
            <w:r w:rsidRPr="00C87A19">
              <w:t>643.8</w:t>
            </w:r>
          </w:p>
        </w:tc>
        <w:tc>
          <w:tcPr>
            <w:tcW w:w="1377" w:type="dxa"/>
            <w:vAlign w:val="top"/>
          </w:tcPr>
          <w:p w:rsidR="00C87A19" w:rsidRPr="00C87A19" w:rsidRDefault="00C87A19" w:rsidP="00C87A19">
            <w:pPr>
              <w:cnfStyle w:val="000000000000" w:firstRow="0" w:lastRow="0" w:firstColumn="0" w:lastColumn="0" w:oddVBand="0" w:evenVBand="0" w:oddHBand="0" w:evenHBand="0" w:firstRowFirstColumn="0" w:firstRowLastColumn="0" w:lastRowFirstColumn="0" w:lastRowLastColumn="0"/>
            </w:pPr>
            <w:r w:rsidRPr="00C87A19">
              <w:t>655.2</w:t>
            </w:r>
          </w:p>
        </w:tc>
        <w:tc>
          <w:tcPr>
            <w:tcW w:w="1377" w:type="dxa"/>
            <w:vAlign w:val="top"/>
          </w:tcPr>
          <w:p w:rsidR="00C87A19" w:rsidRPr="00C87A19" w:rsidRDefault="00C87A19" w:rsidP="00C87A19">
            <w:pPr>
              <w:cnfStyle w:val="000000000000" w:firstRow="0" w:lastRow="0" w:firstColumn="0" w:lastColumn="0" w:oddVBand="0" w:evenVBand="0" w:oddHBand="0" w:evenHBand="0" w:firstRowFirstColumn="0" w:firstRowLastColumn="0" w:lastRowFirstColumn="0" w:lastRowLastColumn="0"/>
            </w:pPr>
            <w:r w:rsidRPr="00C87A19">
              <w:t>671.2</w:t>
            </w:r>
          </w:p>
        </w:tc>
      </w:tr>
      <w:tr w:rsidR="00C87A19" w:rsidTr="009B0B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C87A19" w:rsidRPr="00C87A19" w:rsidRDefault="00C87A19" w:rsidP="00C87A19">
            <w:r w:rsidRPr="00C87A19">
              <w:t>Ex post expenditure</w:t>
            </w:r>
          </w:p>
        </w:tc>
        <w:tc>
          <w:tcPr>
            <w:tcW w:w="1376" w:type="dxa"/>
            <w:vAlign w:val="top"/>
          </w:tcPr>
          <w:p w:rsidR="00C87A19" w:rsidRPr="00C87A19" w:rsidRDefault="00C87A19" w:rsidP="00C87A19">
            <w:pPr>
              <w:cnfStyle w:val="000000010000" w:firstRow="0" w:lastRow="0" w:firstColumn="0" w:lastColumn="0" w:oddVBand="0" w:evenVBand="0" w:oddHBand="0" w:evenHBand="1" w:firstRowFirstColumn="0" w:firstRowLastColumn="0" w:lastRowFirstColumn="0" w:lastRowLastColumn="0"/>
            </w:pPr>
            <w:r w:rsidRPr="00C87A19">
              <w:t>0.0</w:t>
            </w:r>
          </w:p>
        </w:tc>
        <w:tc>
          <w:tcPr>
            <w:tcW w:w="1377" w:type="dxa"/>
            <w:vAlign w:val="top"/>
          </w:tcPr>
          <w:p w:rsidR="00C87A19" w:rsidRPr="00C87A19" w:rsidRDefault="00C87A19" w:rsidP="00C87A19">
            <w:pPr>
              <w:cnfStyle w:val="000000010000" w:firstRow="0" w:lastRow="0" w:firstColumn="0" w:lastColumn="0" w:oddVBand="0" w:evenVBand="0" w:oddHBand="0" w:evenHBand="1" w:firstRowFirstColumn="0" w:firstRowLastColumn="0" w:lastRowFirstColumn="0" w:lastRowLastColumn="0"/>
            </w:pPr>
            <w:r w:rsidRPr="00C87A19">
              <w:t>163.8</w:t>
            </w:r>
          </w:p>
        </w:tc>
        <w:tc>
          <w:tcPr>
            <w:tcW w:w="1377" w:type="dxa"/>
            <w:vAlign w:val="top"/>
          </w:tcPr>
          <w:p w:rsidR="00C87A19" w:rsidRPr="00C87A19" w:rsidRDefault="00C87A19" w:rsidP="00C87A19">
            <w:pPr>
              <w:cnfStyle w:val="000000010000" w:firstRow="0" w:lastRow="0" w:firstColumn="0" w:lastColumn="0" w:oddVBand="0" w:evenVBand="0" w:oddHBand="0" w:evenHBand="1" w:firstRowFirstColumn="0" w:firstRowLastColumn="0" w:lastRowFirstColumn="0" w:lastRowLastColumn="0"/>
            </w:pPr>
            <w:r w:rsidRPr="00C87A19">
              <w:t>268.6</w:t>
            </w:r>
          </w:p>
        </w:tc>
        <w:tc>
          <w:tcPr>
            <w:tcW w:w="1377" w:type="dxa"/>
            <w:vAlign w:val="top"/>
          </w:tcPr>
          <w:p w:rsidR="00C87A19" w:rsidRPr="00C87A19" w:rsidRDefault="00C87A19" w:rsidP="00C87A19">
            <w:pPr>
              <w:cnfStyle w:val="000000010000" w:firstRow="0" w:lastRow="0" w:firstColumn="0" w:lastColumn="0" w:oddVBand="0" w:evenVBand="0" w:oddHBand="0" w:evenHBand="1" w:firstRowFirstColumn="0" w:firstRowLastColumn="0" w:lastRowFirstColumn="0" w:lastRowLastColumn="0"/>
            </w:pPr>
            <w:r w:rsidRPr="00C87A19">
              <w:t>412.0</w:t>
            </w:r>
          </w:p>
        </w:tc>
        <w:tc>
          <w:tcPr>
            <w:tcW w:w="1377" w:type="dxa"/>
            <w:vAlign w:val="top"/>
          </w:tcPr>
          <w:p w:rsidR="00C87A19" w:rsidRPr="00C87A19" w:rsidRDefault="00C87A19" w:rsidP="00C87A19">
            <w:pPr>
              <w:cnfStyle w:val="000000010000" w:firstRow="0" w:lastRow="0" w:firstColumn="0" w:lastColumn="0" w:oddVBand="0" w:evenVBand="0" w:oddHBand="0" w:evenHBand="1" w:firstRowFirstColumn="0" w:firstRowLastColumn="0" w:lastRowFirstColumn="0" w:lastRowLastColumn="0"/>
            </w:pPr>
            <w:r w:rsidRPr="00C87A19">
              <w:t>173.4</w:t>
            </w:r>
          </w:p>
        </w:tc>
      </w:tr>
      <w:tr w:rsidR="00C87A19" w:rsidTr="009B0BB6">
        <w:tc>
          <w:tcPr>
            <w:cnfStyle w:val="001000000000" w:firstRow="0" w:lastRow="0" w:firstColumn="1" w:lastColumn="0" w:oddVBand="0" w:evenVBand="0" w:oddHBand="0" w:evenHBand="0" w:firstRowFirstColumn="0" w:firstRowLastColumn="0" w:lastRowFirstColumn="0" w:lastRowLastColumn="0"/>
            <w:tcW w:w="1809" w:type="dxa"/>
          </w:tcPr>
          <w:p w:rsidR="00C87A19" w:rsidRPr="00C87A19" w:rsidRDefault="00C87A19" w:rsidP="00C87A19">
            <w:r w:rsidRPr="00C87A19">
              <w:t xml:space="preserve">Cumulative carryover </w:t>
            </w:r>
            <w:r w:rsidRPr="00C87A19">
              <w:lastRenderedPageBreak/>
              <w:t>balance</w:t>
            </w:r>
            <w:r w:rsidR="009B0BB6">
              <w:t xml:space="preserve"> (a)</w:t>
            </w:r>
          </w:p>
        </w:tc>
        <w:tc>
          <w:tcPr>
            <w:tcW w:w="1376" w:type="dxa"/>
            <w:vAlign w:val="top"/>
          </w:tcPr>
          <w:p w:rsidR="00C87A19" w:rsidRPr="00C87A19" w:rsidRDefault="00C87A19" w:rsidP="00C87A19">
            <w:pPr>
              <w:cnfStyle w:val="000000000000" w:firstRow="0" w:lastRow="0" w:firstColumn="0" w:lastColumn="0" w:oddVBand="0" w:evenVBand="0" w:oddHBand="0" w:evenHBand="0" w:firstRowFirstColumn="0" w:firstRowLastColumn="0" w:lastRowFirstColumn="0" w:lastRowLastColumn="0"/>
            </w:pPr>
            <w:r w:rsidRPr="00C87A19">
              <w:lastRenderedPageBreak/>
              <w:t>-1</w:t>
            </w:r>
            <w:r>
              <w:t xml:space="preserve"> </w:t>
            </w:r>
            <w:r w:rsidRPr="00C87A19">
              <w:t>010.2</w:t>
            </w:r>
          </w:p>
        </w:tc>
        <w:tc>
          <w:tcPr>
            <w:tcW w:w="1377" w:type="dxa"/>
            <w:vAlign w:val="top"/>
          </w:tcPr>
          <w:p w:rsidR="00C87A19" w:rsidRPr="00C87A19" w:rsidRDefault="00C87A19" w:rsidP="00C87A19">
            <w:pPr>
              <w:cnfStyle w:val="000000000000" w:firstRow="0" w:lastRow="0" w:firstColumn="0" w:lastColumn="0" w:oddVBand="0" w:evenVBand="0" w:oddHBand="0" w:evenHBand="0" w:firstRowFirstColumn="0" w:firstRowLastColumn="0" w:lastRowFirstColumn="0" w:lastRowLastColumn="0"/>
            </w:pPr>
            <w:r w:rsidRPr="00C87A19">
              <w:t>-1</w:t>
            </w:r>
            <w:r>
              <w:t xml:space="preserve"> </w:t>
            </w:r>
            <w:r w:rsidRPr="00C87A19">
              <w:t>706.2</w:t>
            </w:r>
          </w:p>
        </w:tc>
        <w:tc>
          <w:tcPr>
            <w:tcW w:w="1377" w:type="dxa"/>
            <w:vAlign w:val="top"/>
          </w:tcPr>
          <w:p w:rsidR="00C87A19" w:rsidRPr="00C87A19" w:rsidRDefault="00C87A19" w:rsidP="00C87A19">
            <w:pPr>
              <w:cnfStyle w:val="000000000000" w:firstRow="0" w:lastRow="0" w:firstColumn="0" w:lastColumn="0" w:oddVBand="0" w:evenVBand="0" w:oddHBand="0" w:evenHBand="0" w:firstRowFirstColumn="0" w:firstRowLastColumn="0" w:lastRowFirstColumn="0" w:lastRowLastColumn="0"/>
            </w:pPr>
            <w:r w:rsidRPr="00C87A19">
              <w:t>-2</w:t>
            </w:r>
            <w:r>
              <w:t xml:space="preserve"> </w:t>
            </w:r>
            <w:r w:rsidRPr="00C87A19">
              <w:t>223.3</w:t>
            </w:r>
          </w:p>
        </w:tc>
        <w:tc>
          <w:tcPr>
            <w:tcW w:w="1377" w:type="dxa"/>
            <w:vAlign w:val="top"/>
          </w:tcPr>
          <w:p w:rsidR="00C87A19" w:rsidRPr="00C87A19" w:rsidRDefault="00C87A19" w:rsidP="00C87A19">
            <w:pPr>
              <w:cnfStyle w:val="000000000000" w:firstRow="0" w:lastRow="0" w:firstColumn="0" w:lastColumn="0" w:oddVBand="0" w:evenVBand="0" w:oddHBand="0" w:evenHBand="0" w:firstRowFirstColumn="0" w:firstRowLastColumn="0" w:lastRowFirstColumn="0" w:lastRowLastColumn="0"/>
            </w:pPr>
            <w:r w:rsidRPr="00C87A19">
              <w:t>-2</w:t>
            </w:r>
            <w:r>
              <w:t xml:space="preserve"> </w:t>
            </w:r>
            <w:r w:rsidRPr="00C87A19">
              <w:t>527.9</w:t>
            </w:r>
          </w:p>
        </w:tc>
        <w:tc>
          <w:tcPr>
            <w:tcW w:w="1377" w:type="dxa"/>
            <w:vAlign w:val="top"/>
          </w:tcPr>
          <w:p w:rsidR="00C87A19" w:rsidRPr="00C87A19" w:rsidRDefault="00C87A19" w:rsidP="00C87A19">
            <w:pPr>
              <w:cnfStyle w:val="000000000000" w:firstRow="0" w:lastRow="0" w:firstColumn="0" w:lastColumn="0" w:oddVBand="0" w:evenVBand="0" w:oddHBand="0" w:evenHBand="0" w:firstRowFirstColumn="0" w:firstRowLastColumn="0" w:lastRowFirstColumn="0" w:lastRowLastColumn="0"/>
            </w:pPr>
            <w:r w:rsidRPr="00C87A19">
              <w:t>-</w:t>
            </w:r>
            <w:r w:rsidR="00227E94">
              <w:t>3 301.6</w:t>
            </w:r>
          </w:p>
        </w:tc>
      </w:tr>
    </w:tbl>
    <w:p w:rsidR="005B0581" w:rsidRDefault="00192DE7" w:rsidP="00192DE7">
      <w:pPr>
        <w:pStyle w:val="AERtablesource"/>
      </w:pPr>
      <w:r w:rsidRPr="008B5877">
        <w:lastRenderedPageBreak/>
        <w:t>Source:</w:t>
      </w:r>
      <w:r w:rsidRPr="008B5877">
        <w:tab/>
        <w:t xml:space="preserve">AER analysis and DMIA </w:t>
      </w:r>
      <w:r w:rsidR="00F6148F">
        <w:t>r</w:t>
      </w:r>
      <w:r w:rsidRPr="008B5877">
        <w:t xml:space="preserve">eports submitted by DNSPs; </w:t>
      </w:r>
      <w:r w:rsidR="0055068C">
        <w:t>numbers</w:t>
      </w:r>
      <w:r w:rsidRPr="008B5877">
        <w:t xml:space="preserve"> may not be exact due to rounding.</w:t>
      </w:r>
    </w:p>
    <w:p w:rsidR="005B0581" w:rsidRDefault="005B0581" w:rsidP="005B0581">
      <w:pPr>
        <w:pStyle w:val="AERtablesource"/>
      </w:pPr>
      <w:r>
        <w:t>Note: (a)</w:t>
      </w:r>
      <w:r>
        <w:tab/>
        <w:t xml:space="preserve">the final carryover amounts will be subject to the final adjustment when the WACC is updated when DNSPs submit the annual pricing proposals.   </w:t>
      </w:r>
    </w:p>
    <w:p w:rsidR="000F024E" w:rsidRDefault="000F024E" w:rsidP="000F024E">
      <w:pPr>
        <w:pStyle w:val="Caption"/>
      </w:pPr>
      <w:r>
        <w:t xml:space="preserve">Table </w:t>
      </w:r>
      <w:r w:rsidR="00BF480E">
        <w:fldChar w:fldCharType="begin"/>
      </w:r>
      <w:r w:rsidR="00BF480E">
        <w:instrText xml:space="preserve"> SEQ Table \* ARABIC </w:instrText>
      </w:r>
      <w:r w:rsidR="00BF480E">
        <w:fldChar w:fldCharType="separate"/>
      </w:r>
      <w:r w:rsidR="002D1097">
        <w:rPr>
          <w:noProof/>
        </w:rPr>
        <w:t>13</w:t>
      </w:r>
      <w:r w:rsidR="00BF480E">
        <w:rPr>
          <w:noProof/>
        </w:rPr>
        <w:fldChar w:fldCharType="end"/>
      </w:r>
      <w:r>
        <w:tab/>
      </w:r>
      <w:r w:rsidR="00121DEB">
        <w:tab/>
      </w:r>
      <w:r>
        <w:t>Essential Energy: carryover amount calculation ($</w:t>
      </w:r>
      <w:r w:rsidR="00D109DC">
        <w:t>'000</w:t>
      </w:r>
      <w:r>
        <w:t xml:space="preserve"> nominal)</w:t>
      </w:r>
    </w:p>
    <w:tbl>
      <w:tblPr>
        <w:tblStyle w:val="AERtable-numbers"/>
        <w:tblW w:w="0" w:type="auto"/>
        <w:tblLook w:val="04A0" w:firstRow="1" w:lastRow="0" w:firstColumn="1" w:lastColumn="0" w:noHBand="0" w:noVBand="1"/>
      </w:tblPr>
      <w:tblGrid>
        <w:gridCol w:w="1809"/>
        <w:gridCol w:w="1376"/>
        <w:gridCol w:w="1377"/>
        <w:gridCol w:w="1377"/>
        <w:gridCol w:w="1377"/>
        <w:gridCol w:w="1377"/>
      </w:tblGrid>
      <w:tr w:rsidR="000F024E" w:rsidTr="009B0B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0F024E" w:rsidRDefault="000F024E" w:rsidP="00143A58"/>
        </w:tc>
        <w:tc>
          <w:tcPr>
            <w:tcW w:w="1376" w:type="dxa"/>
          </w:tcPr>
          <w:p w:rsidR="000F024E" w:rsidRDefault="000F024E" w:rsidP="00143A58">
            <w:pPr>
              <w:cnfStyle w:val="100000000000" w:firstRow="1" w:lastRow="0" w:firstColumn="0" w:lastColumn="0" w:oddVBand="0" w:evenVBand="0" w:oddHBand="0" w:evenHBand="0" w:firstRowFirstColumn="0" w:firstRowLastColumn="0" w:lastRowFirstColumn="0" w:lastRowLastColumn="0"/>
            </w:pPr>
            <w:r>
              <w:t>2009–10</w:t>
            </w:r>
          </w:p>
        </w:tc>
        <w:tc>
          <w:tcPr>
            <w:tcW w:w="1377" w:type="dxa"/>
          </w:tcPr>
          <w:p w:rsidR="000F024E" w:rsidRDefault="000F024E" w:rsidP="00143A58">
            <w:pPr>
              <w:cnfStyle w:val="100000000000" w:firstRow="1" w:lastRow="0" w:firstColumn="0" w:lastColumn="0" w:oddVBand="0" w:evenVBand="0" w:oddHBand="0" w:evenHBand="0" w:firstRowFirstColumn="0" w:firstRowLastColumn="0" w:lastRowFirstColumn="0" w:lastRowLastColumn="0"/>
            </w:pPr>
            <w:r>
              <w:t>2010–11</w:t>
            </w:r>
          </w:p>
        </w:tc>
        <w:tc>
          <w:tcPr>
            <w:tcW w:w="1377" w:type="dxa"/>
          </w:tcPr>
          <w:p w:rsidR="000F024E" w:rsidRDefault="000F024E" w:rsidP="00143A58">
            <w:pPr>
              <w:cnfStyle w:val="100000000000" w:firstRow="1" w:lastRow="0" w:firstColumn="0" w:lastColumn="0" w:oddVBand="0" w:evenVBand="0" w:oddHBand="0" w:evenHBand="0" w:firstRowFirstColumn="0" w:firstRowLastColumn="0" w:lastRowFirstColumn="0" w:lastRowLastColumn="0"/>
            </w:pPr>
            <w:r>
              <w:t>2011–12</w:t>
            </w:r>
          </w:p>
        </w:tc>
        <w:tc>
          <w:tcPr>
            <w:tcW w:w="1377" w:type="dxa"/>
          </w:tcPr>
          <w:p w:rsidR="000F024E" w:rsidRDefault="000F024E" w:rsidP="00143A58">
            <w:pPr>
              <w:cnfStyle w:val="100000000000" w:firstRow="1" w:lastRow="0" w:firstColumn="0" w:lastColumn="0" w:oddVBand="0" w:evenVBand="0" w:oddHBand="0" w:evenHBand="0" w:firstRowFirstColumn="0" w:firstRowLastColumn="0" w:lastRowFirstColumn="0" w:lastRowLastColumn="0"/>
            </w:pPr>
            <w:r>
              <w:t>2012–13</w:t>
            </w:r>
          </w:p>
        </w:tc>
        <w:tc>
          <w:tcPr>
            <w:tcW w:w="1377" w:type="dxa"/>
          </w:tcPr>
          <w:p w:rsidR="000F024E" w:rsidRDefault="000F024E" w:rsidP="00143A58">
            <w:pPr>
              <w:cnfStyle w:val="100000000000" w:firstRow="1" w:lastRow="0" w:firstColumn="0" w:lastColumn="0" w:oddVBand="0" w:evenVBand="0" w:oddHBand="0" w:evenHBand="0" w:firstRowFirstColumn="0" w:firstRowLastColumn="0" w:lastRowFirstColumn="0" w:lastRowLastColumn="0"/>
            </w:pPr>
            <w:r>
              <w:t>2013–14</w:t>
            </w:r>
          </w:p>
        </w:tc>
      </w:tr>
      <w:tr w:rsidR="00C87A19" w:rsidTr="009B0BB6">
        <w:tc>
          <w:tcPr>
            <w:cnfStyle w:val="001000000000" w:firstRow="0" w:lastRow="0" w:firstColumn="1" w:lastColumn="0" w:oddVBand="0" w:evenVBand="0" w:oddHBand="0" w:evenHBand="0" w:firstRowFirstColumn="0" w:firstRowLastColumn="0" w:lastRowFirstColumn="0" w:lastRowLastColumn="0"/>
            <w:tcW w:w="1809" w:type="dxa"/>
          </w:tcPr>
          <w:p w:rsidR="00C87A19" w:rsidRPr="00C87A19" w:rsidRDefault="00C87A19" w:rsidP="00C87A19">
            <w:r w:rsidRPr="00C87A19">
              <w:t>Ex ante allowance</w:t>
            </w:r>
          </w:p>
        </w:tc>
        <w:tc>
          <w:tcPr>
            <w:tcW w:w="1376" w:type="dxa"/>
            <w:vAlign w:val="top"/>
          </w:tcPr>
          <w:p w:rsidR="00C87A19" w:rsidRPr="00C87A19" w:rsidRDefault="00C87A19" w:rsidP="00C87A19">
            <w:pPr>
              <w:cnfStyle w:val="000000000000" w:firstRow="0" w:lastRow="0" w:firstColumn="0" w:lastColumn="0" w:oddVBand="0" w:evenVBand="0" w:oddHBand="0" w:evenHBand="0" w:firstRowFirstColumn="0" w:firstRowLastColumn="0" w:lastRowFirstColumn="0" w:lastRowLastColumn="0"/>
            </w:pPr>
            <w:r w:rsidRPr="00C87A19">
              <w:t>605.5</w:t>
            </w:r>
          </w:p>
        </w:tc>
        <w:tc>
          <w:tcPr>
            <w:tcW w:w="1377" w:type="dxa"/>
            <w:vAlign w:val="top"/>
          </w:tcPr>
          <w:p w:rsidR="00C87A19" w:rsidRPr="00C87A19" w:rsidRDefault="00C87A19" w:rsidP="00C87A19">
            <w:pPr>
              <w:cnfStyle w:val="000000000000" w:firstRow="0" w:lastRow="0" w:firstColumn="0" w:lastColumn="0" w:oddVBand="0" w:evenVBand="0" w:oddHBand="0" w:evenHBand="0" w:firstRowFirstColumn="0" w:firstRowLastColumn="0" w:lastRowFirstColumn="0" w:lastRowLastColumn="0"/>
            </w:pPr>
            <w:r w:rsidRPr="00C87A19">
              <w:t>622.7</w:t>
            </w:r>
          </w:p>
        </w:tc>
        <w:tc>
          <w:tcPr>
            <w:tcW w:w="1377" w:type="dxa"/>
            <w:vAlign w:val="top"/>
          </w:tcPr>
          <w:p w:rsidR="00C87A19" w:rsidRPr="00C87A19" w:rsidRDefault="00C87A19" w:rsidP="00C87A19">
            <w:pPr>
              <w:cnfStyle w:val="000000000000" w:firstRow="0" w:lastRow="0" w:firstColumn="0" w:lastColumn="0" w:oddVBand="0" w:evenVBand="0" w:oddHBand="0" w:evenHBand="0" w:firstRowFirstColumn="0" w:firstRowLastColumn="0" w:lastRowFirstColumn="0" w:lastRowLastColumn="0"/>
            </w:pPr>
            <w:r w:rsidRPr="00C87A19">
              <w:t>643.8</w:t>
            </w:r>
          </w:p>
        </w:tc>
        <w:tc>
          <w:tcPr>
            <w:tcW w:w="1377" w:type="dxa"/>
            <w:vAlign w:val="top"/>
          </w:tcPr>
          <w:p w:rsidR="00C87A19" w:rsidRPr="00C87A19" w:rsidRDefault="00C87A19" w:rsidP="00C87A19">
            <w:pPr>
              <w:cnfStyle w:val="000000000000" w:firstRow="0" w:lastRow="0" w:firstColumn="0" w:lastColumn="0" w:oddVBand="0" w:evenVBand="0" w:oddHBand="0" w:evenHBand="0" w:firstRowFirstColumn="0" w:firstRowLastColumn="0" w:lastRowFirstColumn="0" w:lastRowLastColumn="0"/>
            </w:pPr>
            <w:r w:rsidRPr="00C87A19">
              <w:t>655.2</w:t>
            </w:r>
          </w:p>
        </w:tc>
        <w:tc>
          <w:tcPr>
            <w:tcW w:w="1377" w:type="dxa"/>
            <w:vAlign w:val="top"/>
          </w:tcPr>
          <w:p w:rsidR="00C87A19" w:rsidRPr="00C87A19" w:rsidRDefault="00C87A19" w:rsidP="00C87A19">
            <w:pPr>
              <w:cnfStyle w:val="000000000000" w:firstRow="0" w:lastRow="0" w:firstColumn="0" w:lastColumn="0" w:oddVBand="0" w:evenVBand="0" w:oddHBand="0" w:evenHBand="0" w:firstRowFirstColumn="0" w:firstRowLastColumn="0" w:lastRowFirstColumn="0" w:lastRowLastColumn="0"/>
            </w:pPr>
            <w:r w:rsidRPr="00C87A19">
              <w:t>671.2</w:t>
            </w:r>
          </w:p>
        </w:tc>
      </w:tr>
      <w:tr w:rsidR="00C87A19" w:rsidTr="009B0B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C87A19" w:rsidRPr="00C87A19" w:rsidRDefault="00C87A19" w:rsidP="00C87A19">
            <w:r w:rsidRPr="00C87A19">
              <w:t>Ex post expenditure</w:t>
            </w:r>
          </w:p>
        </w:tc>
        <w:tc>
          <w:tcPr>
            <w:tcW w:w="1376" w:type="dxa"/>
            <w:vAlign w:val="top"/>
          </w:tcPr>
          <w:p w:rsidR="00C87A19" w:rsidRPr="00C87A19" w:rsidRDefault="00C87A19" w:rsidP="00C87A19">
            <w:pPr>
              <w:cnfStyle w:val="000000010000" w:firstRow="0" w:lastRow="0" w:firstColumn="0" w:lastColumn="0" w:oddVBand="0" w:evenVBand="0" w:oddHBand="0" w:evenHBand="1" w:firstRowFirstColumn="0" w:firstRowLastColumn="0" w:lastRowFirstColumn="0" w:lastRowLastColumn="0"/>
            </w:pPr>
            <w:r w:rsidRPr="00C87A19">
              <w:t>312.9</w:t>
            </w:r>
          </w:p>
        </w:tc>
        <w:tc>
          <w:tcPr>
            <w:tcW w:w="1377" w:type="dxa"/>
            <w:vAlign w:val="top"/>
          </w:tcPr>
          <w:p w:rsidR="00C87A19" w:rsidRPr="00C87A19" w:rsidRDefault="00C87A19" w:rsidP="00C87A19">
            <w:pPr>
              <w:cnfStyle w:val="000000010000" w:firstRow="0" w:lastRow="0" w:firstColumn="0" w:lastColumn="0" w:oddVBand="0" w:evenVBand="0" w:oddHBand="0" w:evenHBand="1" w:firstRowFirstColumn="0" w:firstRowLastColumn="0" w:lastRowFirstColumn="0" w:lastRowLastColumn="0"/>
            </w:pPr>
            <w:r w:rsidRPr="00C87A19">
              <w:t>245.0</w:t>
            </w:r>
          </w:p>
        </w:tc>
        <w:tc>
          <w:tcPr>
            <w:tcW w:w="1377" w:type="dxa"/>
            <w:vAlign w:val="top"/>
          </w:tcPr>
          <w:p w:rsidR="00C87A19" w:rsidRPr="00C87A19" w:rsidRDefault="00C87A19" w:rsidP="00C87A19">
            <w:pPr>
              <w:cnfStyle w:val="000000010000" w:firstRow="0" w:lastRow="0" w:firstColumn="0" w:lastColumn="0" w:oddVBand="0" w:evenVBand="0" w:oddHBand="0" w:evenHBand="1" w:firstRowFirstColumn="0" w:firstRowLastColumn="0" w:lastRowFirstColumn="0" w:lastRowLastColumn="0"/>
            </w:pPr>
            <w:r w:rsidRPr="00C87A19">
              <w:t>755.2</w:t>
            </w:r>
          </w:p>
        </w:tc>
        <w:tc>
          <w:tcPr>
            <w:tcW w:w="1377" w:type="dxa"/>
            <w:vAlign w:val="top"/>
          </w:tcPr>
          <w:p w:rsidR="00C87A19" w:rsidRPr="00C87A19" w:rsidRDefault="00C87A19" w:rsidP="00C87A19">
            <w:pPr>
              <w:cnfStyle w:val="000000010000" w:firstRow="0" w:lastRow="0" w:firstColumn="0" w:lastColumn="0" w:oddVBand="0" w:evenVBand="0" w:oddHBand="0" w:evenHBand="1" w:firstRowFirstColumn="0" w:firstRowLastColumn="0" w:lastRowFirstColumn="0" w:lastRowLastColumn="0"/>
            </w:pPr>
            <w:r w:rsidRPr="00C87A19">
              <w:t>976.6</w:t>
            </w:r>
          </w:p>
        </w:tc>
        <w:tc>
          <w:tcPr>
            <w:tcW w:w="1377" w:type="dxa"/>
            <w:vAlign w:val="top"/>
          </w:tcPr>
          <w:p w:rsidR="00C87A19" w:rsidRPr="00C87A19" w:rsidRDefault="00C87A19" w:rsidP="00C87A19">
            <w:pPr>
              <w:cnfStyle w:val="000000010000" w:firstRow="0" w:lastRow="0" w:firstColumn="0" w:lastColumn="0" w:oddVBand="0" w:evenVBand="0" w:oddHBand="0" w:evenHBand="1" w:firstRowFirstColumn="0" w:firstRowLastColumn="0" w:lastRowFirstColumn="0" w:lastRowLastColumn="0"/>
            </w:pPr>
            <w:r w:rsidRPr="00C87A19">
              <w:t>380.8</w:t>
            </w:r>
          </w:p>
        </w:tc>
      </w:tr>
      <w:tr w:rsidR="00C87A19" w:rsidTr="009B0BB6">
        <w:tc>
          <w:tcPr>
            <w:cnfStyle w:val="001000000000" w:firstRow="0" w:lastRow="0" w:firstColumn="1" w:lastColumn="0" w:oddVBand="0" w:evenVBand="0" w:oddHBand="0" w:evenHBand="0" w:firstRowFirstColumn="0" w:firstRowLastColumn="0" w:lastRowFirstColumn="0" w:lastRowLastColumn="0"/>
            <w:tcW w:w="1809" w:type="dxa"/>
          </w:tcPr>
          <w:p w:rsidR="00C87A19" w:rsidRPr="00C87A19" w:rsidRDefault="00C87A19" w:rsidP="00C87A19">
            <w:r w:rsidRPr="00C87A19">
              <w:t>Cumulative carryover balance</w:t>
            </w:r>
            <w:r w:rsidR="009B0BB6">
              <w:t xml:space="preserve"> (a)</w:t>
            </w:r>
          </w:p>
        </w:tc>
        <w:tc>
          <w:tcPr>
            <w:tcW w:w="1376" w:type="dxa"/>
            <w:vAlign w:val="top"/>
          </w:tcPr>
          <w:p w:rsidR="00C87A19" w:rsidRPr="00C87A19" w:rsidRDefault="00332FA6" w:rsidP="00C87A19">
            <w:pPr>
              <w:cnfStyle w:val="000000000000" w:firstRow="0" w:lastRow="0" w:firstColumn="0" w:lastColumn="0" w:oddVBand="0" w:evenVBand="0" w:oddHBand="0" w:evenHBand="0" w:firstRowFirstColumn="0" w:firstRowLastColumn="0" w:lastRowFirstColumn="0" w:lastRowLastColumn="0"/>
            </w:pPr>
            <w:r>
              <w:t>-488.2</w:t>
            </w:r>
          </w:p>
        </w:tc>
        <w:tc>
          <w:tcPr>
            <w:tcW w:w="1377" w:type="dxa"/>
            <w:vAlign w:val="top"/>
          </w:tcPr>
          <w:p w:rsidR="00C87A19" w:rsidRPr="00C87A19" w:rsidRDefault="00332FA6" w:rsidP="00C87A19">
            <w:pPr>
              <w:cnfStyle w:val="000000000000" w:firstRow="0" w:lastRow="0" w:firstColumn="0" w:lastColumn="0" w:oddVBand="0" w:evenVBand="0" w:oddHBand="0" w:evenHBand="0" w:firstRowFirstColumn="0" w:firstRowLastColumn="0" w:lastRowFirstColumn="0" w:lastRowLastColumn="0"/>
            </w:pPr>
            <w:r>
              <w:t>-1 061.0</w:t>
            </w:r>
          </w:p>
        </w:tc>
        <w:tc>
          <w:tcPr>
            <w:tcW w:w="1377" w:type="dxa"/>
            <w:vAlign w:val="top"/>
          </w:tcPr>
          <w:p w:rsidR="00C87A19" w:rsidRPr="00C87A19" w:rsidRDefault="00332FA6" w:rsidP="00C87A19">
            <w:pPr>
              <w:cnfStyle w:val="000000000000" w:firstRow="0" w:lastRow="0" w:firstColumn="0" w:lastColumn="0" w:oddVBand="0" w:evenVBand="0" w:oddHBand="0" w:evenHBand="0" w:firstRowFirstColumn="0" w:firstRowLastColumn="0" w:lastRowFirstColumn="0" w:lastRowLastColumn="0"/>
            </w:pPr>
            <w:r>
              <w:t>-907.5</w:t>
            </w:r>
          </w:p>
        </w:tc>
        <w:tc>
          <w:tcPr>
            <w:tcW w:w="1377" w:type="dxa"/>
            <w:vAlign w:val="top"/>
          </w:tcPr>
          <w:p w:rsidR="00C87A19" w:rsidRPr="00C87A19" w:rsidRDefault="00332FA6" w:rsidP="00C87A19">
            <w:pPr>
              <w:cnfStyle w:val="000000000000" w:firstRow="0" w:lastRow="0" w:firstColumn="0" w:lastColumn="0" w:oddVBand="0" w:evenVBand="0" w:oddHBand="0" w:evenHBand="0" w:firstRowFirstColumn="0" w:firstRowLastColumn="0" w:lastRowFirstColumn="0" w:lastRowLastColumn="0"/>
            </w:pPr>
            <w:r>
              <w:t>-504.7</w:t>
            </w:r>
          </w:p>
        </w:tc>
        <w:tc>
          <w:tcPr>
            <w:tcW w:w="1377" w:type="dxa"/>
            <w:vAlign w:val="top"/>
          </w:tcPr>
          <w:p w:rsidR="00C87A19" w:rsidRPr="00C87A19" w:rsidRDefault="00332FA6" w:rsidP="00C87A19">
            <w:pPr>
              <w:cnfStyle w:val="000000000000" w:firstRow="0" w:lastRow="0" w:firstColumn="0" w:lastColumn="0" w:oddVBand="0" w:evenVBand="0" w:oddHBand="0" w:evenHBand="0" w:firstRowFirstColumn="0" w:firstRowLastColumn="0" w:lastRowFirstColumn="0" w:lastRowLastColumn="0"/>
            </w:pPr>
            <w:r>
              <w:t>-8</w:t>
            </w:r>
            <w:r w:rsidR="00227E94">
              <w:t>91.2</w:t>
            </w:r>
          </w:p>
        </w:tc>
      </w:tr>
    </w:tbl>
    <w:p w:rsidR="005B0581" w:rsidRDefault="00192DE7" w:rsidP="00192DE7">
      <w:pPr>
        <w:pStyle w:val="AERtablesource"/>
      </w:pPr>
      <w:r w:rsidRPr="008B5877">
        <w:t>Source:</w:t>
      </w:r>
      <w:r w:rsidRPr="008B5877">
        <w:tab/>
        <w:t xml:space="preserve">AER analysis and DMIA </w:t>
      </w:r>
      <w:r w:rsidR="00F6148F">
        <w:t>r</w:t>
      </w:r>
      <w:r w:rsidRPr="008B5877">
        <w:t xml:space="preserve">eports submitted by DNSPs; </w:t>
      </w:r>
      <w:r w:rsidR="0055068C">
        <w:t>numbers</w:t>
      </w:r>
      <w:r w:rsidRPr="008B5877">
        <w:t xml:space="preserve"> may not be exact due to rounding.</w:t>
      </w:r>
    </w:p>
    <w:p w:rsidR="005B0581" w:rsidRDefault="005B0581" w:rsidP="005B0581">
      <w:pPr>
        <w:pStyle w:val="AERtablesource"/>
      </w:pPr>
      <w:r>
        <w:t>Note: (a)</w:t>
      </w:r>
      <w:r>
        <w:tab/>
        <w:t xml:space="preserve">the final carryover amounts will be subject to the final adjustment when the WACC is updated when DNSPs submit the annual pricing proposals.   </w:t>
      </w:r>
    </w:p>
    <w:p w:rsidR="000F024E" w:rsidRDefault="000F024E" w:rsidP="000F024E">
      <w:pPr>
        <w:pStyle w:val="Caption"/>
      </w:pPr>
      <w:r>
        <w:t xml:space="preserve">Table </w:t>
      </w:r>
      <w:r w:rsidR="00BF480E">
        <w:fldChar w:fldCharType="begin"/>
      </w:r>
      <w:r w:rsidR="00BF480E">
        <w:instrText xml:space="preserve"> SEQ Table \* ARABIC </w:instrText>
      </w:r>
      <w:r w:rsidR="00BF480E">
        <w:fldChar w:fldCharType="separate"/>
      </w:r>
      <w:r w:rsidR="002D1097">
        <w:rPr>
          <w:noProof/>
        </w:rPr>
        <w:t>14</w:t>
      </w:r>
      <w:r w:rsidR="00BF480E">
        <w:rPr>
          <w:noProof/>
        </w:rPr>
        <w:fldChar w:fldCharType="end"/>
      </w:r>
      <w:r>
        <w:tab/>
      </w:r>
      <w:r w:rsidR="00121DEB">
        <w:tab/>
      </w:r>
      <w:r>
        <w:t>Energex: carryover amount calculation ($</w:t>
      </w:r>
      <w:r w:rsidR="00D109DC">
        <w:t>'000</w:t>
      </w:r>
      <w:r>
        <w:t xml:space="preserve"> nominal)</w:t>
      </w:r>
    </w:p>
    <w:tbl>
      <w:tblPr>
        <w:tblStyle w:val="AERtable-numbers"/>
        <w:tblW w:w="0" w:type="auto"/>
        <w:tblLook w:val="04A0" w:firstRow="1" w:lastRow="0" w:firstColumn="1" w:lastColumn="0" w:noHBand="0" w:noVBand="1"/>
      </w:tblPr>
      <w:tblGrid>
        <w:gridCol w:w="1809"/>
        <w:gridCol w:w="1376"/>
        <w:gridCol w:w="1377"/>
        <w:gridCol w:w="1377"/>
        <w:gridCol w:w="1377"/>
        <w:gridCol w:w="1377"/>
      </w:tblGrid>
      <w:tr w:rsidR="000F024E" w:rsidTr="009B0B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0F024E" w:rsidRDefault="000F024E" w:rsidP="000F024E"/>
        </w:tc>
        <w:tc>
          <w:tcPr>
            <w:tcW w:w="1376" w:type="dxa"/>
          </w:tcPr>
          <w:p w:rsidR="000F024E" w:rsidRDefault="000F024E" w:rsidP="000F024E">
            <w:pPr>
              <w:cnfStyle w:val="100000000000" w:firstRow="1" w:lastRow="0" w:firstColumn="0" w:lastColumn="0" w:oddVBand="0" w:evenVBand="0" w:oddHBand="0" w:evenHBand="0" w:firstRowFirstColumn="0" w:firstRowLastColumn="0" w:lastRowFirstColumn="0" w:lastRowLastColumn="0"/>
            </w:pPr>
            <w:r>
              <w:t>2010–11</w:t>
            </w:r>
          </w:p>
        </w:tc>
        <w:tc>
          <w:tcPr>
            <w:tcW w:w="1377" w:type="dxa"/>
          </w:tcPr>
          <w:p w:rsidR="000F024E" w:rsidRDefault="000F024E" w:rsidP="000F024E">
            <w:pPr>
              <w:cnfStyle w:val="100000000000" w:firstRow="1" w:lastRow="0" w:firstColumn="0" w:lastColumn="0" w:oddVBand="0" w:evenVBand="0" w:oddHBand="0" w:evenHBand="0" w:firstRowFirstColumn="0" w:firstRowLastColumn="0" w:lastRowFirstColumn="0" w:lastRowLastColumn="0"/>
            </w:pPr>
            <w:r>
              <w:t>2011–12</w:t>
            </w:r>
          </w:p>
        </w:tc>
        <w:tc>
          <w:tcPr>
            <w:tcW w:w="1377" w:type="dxa"/>
          </w:tcPr>
          <w:p w:rsidR="000F024E" w:rsidRDefault="000F024E" w:rsidP="000F024E">
            <w:pPr>
              <w:cnfStyle w:val="100000000000" w:firstRow="1" w:lastRow="0" w:firstColumn="0" w:lastColumn="0" w:oddVBand="0" w:evenVBand="0" w:oddHBand="0" w:evenHBand="0" w:firstRowFirstColumn="0" w:firstRowLastColumn="0" w:lastRowFirstColumn="0" w:lastRowLastColumn="0"/>
            </w:pPr>
            <w:r>
              <w:t>2012–13</w:t>
            </w:r>
          </w:p>
        </w:tc>
        <w:tc>
          <w:tcPr>
            <w:tcW w:w="1377" w:type="dxa"/>
          </w:tcPr>
          <w:p w:rsidR="000F024E" w:rsidRDefault="000F024E" w:rsidP="000F024E">
            <w:pPr>
              <w:cnfStyle w:val="100000000000" w:firstRow="1" w:lastRow="0" w:firstColumn="0" w:lastColumn="0" w:oddVBand="0" w:evenVBand="0" w:oddHBand="0" w:evenHBand="0" w:firstRowFirstColumn="0" w:firstRowLastColumn="0" w:lastRowFirstColumn="0" w:lastRowLastColumn="0"/>
            </w:pPr>
            <w:r>
              <w:t>2013–14</w:t>
            </w:r>
          </w:p>
        </w:tc>
        <w:tc>
          <w:tcPr>
            <w:tcW w:w="1377" w:type="dxa"/>
          </w:tcPr>
          <w:p w:rsidR="000F024E" w:rsidRDefault="000F024E" w:rsidP="000F024E">
            <w:pPr>
              <w:cnfStyle w:val="100000000000" w:firstRow="1" w:lastRow="0" w:firstColumn="0" w:lastColumn="0" w:oddVBand="0" w:evenVBand="0" w:oddHBand="0" w:evenHBand="0" w:firstRowFirstColumn="0" w:firstRowLastColumn="0" w:lastRowFirstColumn="0" w:lastRowLastColumn="0"/>
            </w:pPr>
            <w:r>
              <w:t>2014–15</w:t>
            </w:r>
          </w:p>
        </w:tc>
      </w:tr>
      <w:tr w:rsidR="00C87A19" w:rsidTr="009B0BB6">
        <w:tc>
          <w:tcPr>
            <w:cnfStyle w:val="001000000000" w:firstRow="0" w:lastRow="0" w:firstColumn="1" w:lastColumn="0" w:oddVBand="0" w:evenVBand="0" w:oddHBand="0" w:evenHBand="0" w:firstRowFirstColumn="0" w:firstRowLastColumn="0" w:lastRowFirstColumn="0" w:lastRowLastColumn="0"/>
            <w:tcW w:w="1809" w:type="dxa"/>
          </w:tcPr>
          <w:p w:rsidR="00C87A19" w:rsidRPr="00C87A19" w:rsidRDefault="00C87A19" w:rsidP="00C87A19">
            <w:r w:rsidRPr="00C87A19">
              <w:t>Ex ante allowance</w:t>
            </w:r>
          </w:p>
        </w:tc>
        <w:tc>
          <w:tcPr>
            <w:tcW w:w="1376" w:type="dxa"/>
            <w:vAlign w:val="top"/>
          </w:tcPr>
          <w:p w:rsidR="00C87A19" w:rsidRPr="00C87A19" w:rsidRDefault="00C87A19" w:rsidP="00C87A19">
            <w:pPr>
              <w:cnfStyle w:val="000000000000" w:firstRow="0" w:lastRow="0" w:firstColumn="0" w:lastColumn="0" w:oddVBand="0" w:evenVBand="0" w:oddHBand="0" w:evenHBand="0" w:firstRowFirstColumn="0" w:firstRowLastColumn="0" w:lastRowFirstColumn="0" w:lastRowLastColumn="0"/>
            </w:pPr>
            <w:r w:rsidRPr="00C87A19">
              <w:t>991.5</w:t>
            </w:r>
          </w:p>
        </w:tc>
        <w:tc>
          <w:tcPr>
            <w:tcW w:w="1377" w:type="dxa"/>
            <w:vAlign w:val="top"/>
          </w:tcPr>
          <w:p w:rsidR="00C87A19" w:rsidRPr="00C87A19" w:rsidRDefault="00C87A19" w:rsidP="00C87A19">
            <w:pPr>
              <w:cnfStyle w:val="000000000000" w:firstRow="0" w:lastRow="0" w:firstColumn="0" w:lastColumn="0" w:oddVBand="0" w:evenVBand="0" w:oddHBand="0" w:evenHBand="0" w:firstRowFirstColumn="0" w:firstRowLastColumn="0" w:lastRowFirstColumn="0" w:lastRowLastColumn="0"/>
            </w:pPr>
            <w:r w:rsidRPr="00C87A19">
              <w:t>982.4</w:t>
            </w:r>
          </w:p>
        </w:tc>
        <w:tc>
          <w:tcPr>
            <w:tcW w:w="1377" w:type="dxa"/>
            <w:vAlign w:val="top"/>
          </w:tcPr>
          <w:p w:rsidR="00C87A19" w:rsidRPr="00C87A19" w:rsidRDefault="00C87A19" w:rsidP="00C87A19">
            <w:pPr>
              <w:cnfStyle w:val="000000000000" w:firstRow="0" w:lastRow="0" w:firstColumn="0" w:lastColumn="0" w:oddVBand="0" w:evenVBand="0" w:oddHBand="0" w:evenHBand="0" w:firstRowFirstColumn="0" w:firstRowLastColumn="0" w:lastRowFirstColumn="0" w:lastRowLastColumn="0"/>
            </w:pPr>
            <w:r w:rsidRPr="00C87A19">
              <w:t>982.2</w:t>
            </w:r>
          </w:p>
        </w:tc>
        <w:tc>
          <w:tcPr>
            <w:tcW w:w="1377" w:type="dxa"/>
            <w:vAlign w:val="top"/>
          </w:tcPr>
          <w:p w:rsidR="00C87A19" w:rsidRPr="00C87A19" w:rsidRDefault="00C87A19" w:rsidP="00C87A19">
            <w:pPr>
              <w:cnfStyle w:val="000000000000" w:firstRow="0" w:lastRow="0" w:firstColumn="0" w:lastColumn="0" w:oddVBand="0" w:evenVBand="0" w:oddHBand="0" w:evenHBand="0" w:firstRowFirstColumn="0" w:firstRowLastColumn="0" w:lastRowFirstColumn="0" w:lastRowLastColumn="0"/>
            </w:pPr>
            <w:r w:rsidRPr="00C87A19">
              <w:t>986.2</w:t>
            </w:r>
          </w:p>
        </w:tc>
        <w:tc>
          <w:tcPr>
            <w:tcW w:w="1377" w:type="dxa"/>
            <w:vAlign w:val="top"/>
          </w:tcPr>
          <w:p w:rsidR="00C87A19" w:rsidRPr="00C87A19" w:rsidRDefault="00C87A19" w:rsidP="00C87A19">
            <w:pPr>
              <w:cnfStyle w:val="000000000000" w:firstRow="0" w:lastRow="0" w:firstColumn="0" w:lastColumn="0" w:oddVBand="0" w:evenVBand="0" w:oddHBand="0" w:evenHBand="0" w:firstRowFirstColumn="0" w:firstRowLastColumn="0" w:lastRowFirstColumn="0" w:lastRowLastColumn="0"/>
            </w:pPr>
            <w:r w:rsidRPr="00C87A19">
              <w:t>974.7</w:t>
            </w:r>
          </w:p>
        </w:tc>
      </w:tr>
      <w:tr w:rsidR="00C87A19" w:rsidTr="009B0B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C87A19" w:rsidRPr="00C87A19" w:rsidRDefault="00C87A19" w:rsidP="00C87A19">
            <w:r w:rsidRPr="00C87A19">
              <w:t>Ex post expenditure</w:t>
            </w:r>
          </w:p>
        </w:tc>
        <w:tc>
          <w:tcPr>
            <w:tcW w:w="1376" w:type="dxa"/>
            <w:vAlign w:val="top"/>
          </w:tcPr>
          <w:p w:rsidR="00C87A19" w:rsidRPr="00C87A19" w:rsidRDefault="00C87A19" w:rsidP="00C87A19">
            <w:pPr>
              <w:cnfStyle w:val="000000010000" w:firstRow="0" w:lastRow="0" w:firstColumn="0" w:lastColumn="0" w:oddVBand="0" w:evenVBand="0" w:oddHBand="0" w:evenHBand="1" w:firstRowFirstColumn="0" w:firstRowLastColumn="0" w:lastRowFirstColumn="0" w:lastRowLastColumn="0"/>
            </w:pPr>
            <w:r w:rsidRPr="00C87A19">
              <w:t>50.3</w:t>
            </w:r>
          </w:p>
        </w:tc>
        <w:tc>
          <w:tcPr>
            <w:tcW w:w="1377" w:type="dxa"/>
            <w:vAlign w:val="top"/>
          </w:tcPr>
          <w:p w:rsidR="00C87A19" w:rsidRPr="00C87A19" w:rsidRDefault="00C87A19" w:rsidP="00C87A19">
            <w:pPr>
              <w:cnfStyle w:val="000000010000" w:firstRow="0" w:lastRow="0" w:firstColumn="0" w:lastColumn="0" w:oddVBand="0" w:evenVBand="0" w:oddHBand="0" w:evenHBand="1" w:firstRowFirstColumn="0" w:firstRowLastColumn="0" w:lastRowFirstColumn="0" w:lastRowLastColumn="0"/>
            </w:pPr>
            <w:r w:rsidRPr="00C87A19">
              <w:t>0.0</w:t>
            </w:r>
          </w:p>
        </w:tc>
        <w:tc>
          <w:tcPr>
            <w:tcW w:w="1377" w:type="dxa"/>
            <w:vAlign w:val="top"/>
          </w:tcPr>
          <w:p w:rsidR="00C87A19" w:rsidRPr="00C87A19" w:rsidRDefault="00C87A19" w:rsidP="00C87A19">
            <w:pPr>
              <w:cnfStyle w:val="000000010000" w:firstRow="0" w:lastRow="0" w:firstColumn="0" w:lastColumn="0" w:oddVBand="0" w:evenVBand="0" w:oddHBand="0" w:evenHBand="1" w:firstRowFirstColumn="0" w:firstRowLastColumn="0" w:lastRowFirstColumn="0" w:lastRowLastColumn="0"/>
            </w:pPr>
            <w:r w:rsidRPr="00C87A19">
              <w:t>0.0</w:t>
            </w:r>
          </w:p>
        </w:tc>
        <w:tc>
          <w:tcPr>
            <w:tcW w:w="1377" w:type="dxa"/>
            <w:vAlign w:val="top"/>
          </w:tcPr>
          <w:p w:rsidR="00C87A19" w:rsidRPr="00C87A19" w:rsidRDefault="00C87A19" w:rsidP="00C87A19">
            <w:pPr>
              <w:cnfStyle w:val="000000010000" w:firstRow="0" w:lastRow="0" w:firstColumn="0" w:lastColumn="0" w:oddVBand="0" w:evenVBand="0" w:oddHBand="0" w:evenHBand="1" w:firstRowFirstColumn="0" w:firstRowLastColumn="0" w:lastRowFirstColumn="0" w:lastRowLastColumn="0"/>
            </w:pPr>
            <w:r w:rsidRPr="00C87A19">
              <w:t>0.0</w:t>
            </w:r>
          </w:p>
        </w:tc>
        <w:tc>
          <w:tcPr>
            <w:tcW w:w="1377" w:type="dxa"/>
            <w:vAlign w:val="top"/>
          </w:tcPr>
          <w:p w:rsidR="00C87A19" w:rsidRPr="00C87A19" w:rsidRDefault="00C87A19" w:rsidP="00C87A19">
            <w:pPr>
              <w:cnfStyle w:val="000000010000" w:firstRow="0" w:lastRow="0" w:firstColumn="0" w:lastColumn="0" w:oddVBand="0" w:evenVBand="0" w:oddHBand="0" w:evenHBand="1" w:firstRowFirstColumn="0" w:firstRowLastColumn="0" w:lastRowFirstColumn="0" w:lastRowLastColumn="0"/>
            </w:pPr>
            <w:r w:rsidRPr="00C87A19">
              <w:t>1</w:t>
            </w:r>
            <w:r>
              <w:t xml:space="preserve"> </w:t>
            </w:r>
            <w:r w:rsidRPr="00C87A19">
              <w:t>240.9</w:t>
            </w:r>
          </w:p>
        </w:tc>
      </w:tr>
      <w:tr w:rsidR="00C87A19" w:rsidTr="009B0BB6">
        <w:tc>
          <w:tcPr>
            <w:cnfStyle w:val="001000000000" w:firstRow="0" w:lastRow="0" w:firstColumn="1" w:lastColumn="0" w:oddVBand="0" w:evenVBand="0" w:oddHBand="0" w:evenHBand="0" w:firstRowFirstColumn="0" w:firstRowLastColumn="0" w:lastRowFirstColumn="0" w:lastRowLastColumn="0"/>
            <w:tcW w:w="1809" w:type="dxa"/>
          </w:tcPr>
          <w:p w:rsidR="00C87A19" w:rsidRPr="00C87A19" w:rsidRDefault="00C87A19" w:rsidP="00C87A19">
            <w:r w:rsidRPr="00C87A19">
              <w:t>Cumulative carryover balance</w:t>
            </w:r>
            <w:r w:rsidR="009B0BB6">
              <w:t xml:space="preserve"> (a)</w:t>
            </w:r>
          </w:p>
        </w:tc>
        <w:tc>
          <w:tcPr>
            <w:tcW w:w="1376" w:type="dxa"/>
            <w:vAlign w:val="top"/>
          </w:tcPr>
          <w:p w:rsidR="00C87A19" w:rsidRPr="00C87A19" w:rsidRDefault="00C87A19" w:rsidP="00C87A19">
            <w:pPr>
              <w:cnfStyle w:val="000000000000" w:firstRow="0" w:lastRow="0" w:firstColumn="0" w:lastColumn="0" w:oddVBand="0" w:evenVBand="0" w:oddHBand="0" w:evenHBand="0" w:firstRowFirstColumn="0" w:firstRowLastColumn="0" w:lastRowFirstColumn="0" w:lastRowLastColumn="0"/>
            </w:pPr>
            <w:r w:rsidRPr="00C87A19">
              <w:t>-1</w:t>
            </w:r>
            <w:r>
              <w:t xml:space="preserve"> </w:t>
            </w:r>
            <w:r w:rsidRPr="00C87A19">
              <w:t>53</w:t>
            </w:r>
            <w:r w:rsidR="00045109">
              <w:t>3</w:t>
            </w:r>
            <w:r w:rsidRPr="00C87A19">
              <w:t>.</w:t>
            </w:r>
            <w:r w:rsidR="00045109">
              <w:t>2</w:t>
            </w:r>
          </w:p>
        </w:tc>
        <w:tc>
          <w:tcPr>
            <w:tcW w:w="1377" w:type="dxa"/>
            <w:vAlign w:val="top"/>
          </w:tcPr>
          <w:p w:rsidR="00C87A19" w:rsidRPr="00C87A19" w:rsidRDefault="00C87A19" w:rsidP="00C87A19">
            <w:pPr>
              <w:cnfStyle w:val="000000000000" w:firstRow="0" w:lastRow="0" w:firstColumn="0" w:lastColumn="0" w:oddVBand="0" w:evenVBand="0" w:oddHBand="0" w:evenHBand="0" w:firstRowFirstColumn="0" w:firstRowLastColumn="0" w:lastRowFirstColumn="0" w:lastRowLastColumn="0"/>
            </w:pPr>
            <w:r w:rsidRPr="00C87A19">
              <w:t>-2</w:t>
            </w:r>
            <w:r>
              <w:t xml:space="preserve"> </w:t>
            </w:r>
            <w:r w:rsidRPr="00C87A19">
              <w:t>99</w:t>
            </w:r>
            <w:r w:rsidR="00045109">
              <w:t>1</w:t>
            </w:r>
            <w:r w:rsidRPr="00C87A19">
              <w:t>.</w:t>
            </w:r>
            <w:r w:rsidR="00045109">
              <w:t>8</w:t>
            </w:r>
          </w:p>
        </w:tc>
        <w:tc>
          <w:tcPr>
            <w:tcW w:w="1377" w:type="dxa"/>
            <w:vAlign w:val="top"/>
          </w:tcPr>
          <w:p w:rsidR="00C87A19" w:rsidRPr="00C87A19" w:rsidRDefault="00C87A19" w:rsidP="00C87A19">
            <w:pPr>
              <w:cnfStyle w:val="000000000000" w:firstRow="0" w:lastRow="0" w:firstColumn="0" w:lastColumn="0" w:oddVBand="0" w:evenVBand="0" w:oddHBand="0" w:evenHBand="0" w:firstRowFirstColumn="0" w:firstRowLastColumn="0" w:lastRowFirstColumn="0" w:lastRowLastColumn="0"/>
            </w:pPr>
            <w:r w:rsidRPr="00C87A19">
              <w:t>-4</w:t>
            </w:r>
            <w:r>
              <w:t xml:space="preserve"> </w:t>
            </w:r>
            <w:r w:rsidRPr="00C87A19">
              <w:t>3</w:t>
            </w:r>
            <w:r w:rsidR="00045109">
              <w:t>21</w:t>
            </w:r>
            <w:r w:rsidRPr="00C87A19">
              <w:t>.</w:t>
            </w:r>
            <w:r w:rsidR="00045109">
              <w:t>0</w:t>
            </w:r>
          </w:p>
        </w:tc>
        <w:tc>
          <w:tcPr>
            <w:tcW w:w="1377" w:type="dxa"/>
            <w:vAlign w:val="top"/>
          </w:tcPr>
          <w:p w:rsidR="00C87A19" w:rsidRPr="00C87A19" w:rsidRDefault="00C87A19" w:rsidP="00C87A19">
            <w:pPr>
              <w:cnfStyle w:val="000000000000" w:firstRow="0" w:lastRow="0" w:firstColumn="0" w:lastColumn="0" w:oddVBand="0" w:evenVBand="0" w:oddHBand="0" w:evenHBand="0" w:firstRowFirstColumn="0" w:firstRowLastColumn="0" w:lastRowFirstColumn="0" w:lastRowLastColumn="0"/>
            </w:pPr>
            <w:r w:rsidRPr="00C87A19">
              <w:t>-5</w:t>
            </w:r>
            <w:r>
              <w:t xml:space="preserve"> </w:t>
            </w:r>
            <w:r w:rsidRPr="00C87A19">
              <w:t>53</w:t>
            </w:r>
            <w:r w:rsidR="00045109">
              <w:t>7</w:t>
            </w:r>
            <w:r w:rsidRPr="00C87A19">
              <w:t>.</w:t>
            </w:r>
            <w:r w:rsidR="00045109">
              <w:t>3</w:t>
            </w:r>
          </w:p>
        </w:tc>
        <w:tc>
          <w:tcPr>
            <w:tcW w:w="1377" w:type="dxa"/>
            <w:vAlign w:val="top"/>
          </w:tcPr>
          <w:p w:rsidR="00C87A19" w:rsidRPr="00C87A19" w:rsidRDefault="00C87A19" w:rsidP="00C87A19">
            <w:pPr>
              <w:cnfStyle w:val="000000000000" w:firstRow="0" w:lastRow="0" w:firstColumn="0" w:lastColumn="0" w:oddVBand="0" w:evenVBand="0" w:oddHBand="0" w:evenHBand="0" w:firstRowFirstColumn="0" w:firstRowLastColumn="0" w:lastRowFirstColumn="0" w:lastRowLastColumn="0"/>
            </w:pPr>
            <w:r w:rsidRPr="00C87A19">
              <w:t>-5</w:t>
            </w:r>
            <w:r>
              <w:t xml:space="preserve"> </w:t>
            </w:r>
            <w:r w:rsidRPr="00C87A19">
              <w:t>23</w:t>
            </w:r>
            <w:r w:rsidR="00045109">
              <w:t>8</w:t>
            </w:r>
            <w:r w:rsidRPr="00C87A19">
              <w:t>.</w:t>
            </w:r>
            <w:r w:rsidR="00045109">
              <w:t>1</w:t>
            </w:r>
          </w:p>
        </w:tc>
      </w:tr>
    </w:tbl>
    <w:p w:rsidR="005B0581" w:rsidRDefault="00192DE7" w:rsidP="00192DE7">
      <w:pPr>
        <w:pStyle w:val="AERtablesource"/>
      </w:pPr>
      <w:r w:rsidRPr="008B5877">
        <w:t>Source:</w:t>
      </w:r>
      <w:r w:rsidRPr="008B5877">
        <w:tab/>
        <w:t xml:space="preserve">AER analysis and DMIA </w:t>
      </w:r>
      <w:r w:rsidR="00F6148F">
        <w:t>r</w:t>
      </w:r>
      <w:r w:rsidRPr="008B5877">
        <w:t xml:space="preserve">eports submitted by DNSPs; </w:t>
      </w:r>
      <w:r w:rsidR="0055068C">
        <w:t>numbers</w:t>
      </w:r>
      <w:r w:rsidRPr="008B5877">
        <w:t xml:space="preserve"> may not be exact due to rounding.</w:t>
      </w:r>
    </w:p>
    <w:p w:rsidR="00D8551A" w:rsidRDefault="005B0581" w:rsidP="005B0581">
      <w:pPr>
        <w:pStyle w:val="AERtablesource"/>
      </w:pPr>
      <w:r>
        <w:t>Note: (a)</w:t>
      </w:r>
      <w:r>
        <w:tab/>
        <w:t xml:space="preserve">the final carryover amounts will be subject to the final adjustment when the WACC is updated when DNSPs submit the annual pricing proposals.  </w:t>
      </w:r>
    </w:p>
    <w:p w:rsidR="002306B9" w:rsidRDefault="002306B9" w:rsidP="002306B9">
      <w:pPr>
        <w:pStyle w:val="Caption"/>
      </w:pPr>
      <w:r>
        <w:t xml:space="preserve">Table </w:t>
      </w:r>
      <w:r w:rsidR="00BF480E">
        <w:fldChar w:fldCharType="begin"/>
      </w:r>
      <w:r w:rsidR="00BF480E">
        <w:instrText xml:space="preserve"> SEQ Table \* ARABIC </w:instrText>
      </w:r>
      <w:r w:rsidR="00BF480E">
        <w:fldChar w:fldCharType="separate"/>
      </w:r>
      <w:r w:rsidR="002D1097">
        <w:rPr>
          <w:noProof/>
        </w:rPr>
        <w:t>15</w:t>
      </w:r>
      <w:r w:rsidR="00BF480E">
        <w:rPr>
          <w:noProof/>
        </w:rPr>
        <w:fldChar w:fldCharType="end"/>
      </w:r>
      <w:r>
        <w:tab/>
      </w:r>
      <w:r w:rsidR="00121DEB">
        <w:tab/>
      </w:r>
      <w:r>
        <w:t xml:space="preserve">Ergon Energy: </w:t>
      </w:r>
      <w:r w:rsidRPr="002306B9">
        <w:t>carryover amount calculation ($</w:t>
      </w:r>
      <w:r w:rsidR="00D109DC">
        <w:t>'000</w:t>
      </w:r>
      <w:r w:rsidRPr="002306B9">
        <w:t xml:space="preserve"> nominal)</w:t>
      </w:r>
    </w:p>
    <w:tbl>
      <w:tblPr>
        <w:tblStyle w:val="AERtable-numbers"/>
        <w:tblW w:w="0" w:type="auto"/>
        <w:tblLook w:val="04A0" w:firstRow="1" w:lastRow="0" w:firstColumn="1" w:lastColumn="0" w:noHBand="0" w:noVBand="1"/>
      </w:tblPr>
      <w:tblGrid>
        <w:gridCol w:w="1809"/>
        <w:gridCol w:w="1376"/>
        <w:gridCol w:w="1377"/>
        <w:gridCol w:w="1377"/>
        <w:gridCol w:w="1377"/>
        <w:gridCol w:w="1377"/>
      </w:tblGrid>
      <w:tr w:rsidR="002F446E" w:rsidTr="009B0B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2306B9" w:rsidRDefault="002306B9" w:rsidP="000F024E"/>
        </w:tc>
        <w:tc>
          <w:tcPr>
            <w:tcW w:w="1376" w:type="dxa"/>
          </w:tcPr>
          <w:p w:rsidR="002306B9" w:rsidRDefault="002F446E" w:rsidP="000F024E">
            <w:pPr>
              <w:cnfStyle w:val="100000000000" w:firstRow="1" w:lastRow="0" w:firstColumn="0" w:lastColumn="0" w:oddVBand="0" w:evenVBand="0" w:oddHBand="0" w:evenHBand="0" w:firstRowFirstColumn="0" w:firstRowLastColumn="0" w:lastRowFirstColumn="0" w:lastRowLastColumn="0"/>
            </w:pPr>
            <w:r>
              <w:t>2010–11</w:t>
            </w:r>
          </w:p>
        </w:tc>
        <w:tc>
          <w:tcPr>
            <w:tcW w:w="1377" w:type="dxa"/>
          </w:tcPr>
          <w:p w:rsidR="002306B9" w:rsidRDefault="002F446E" w:rsidP="000F024E">
            <w:pPr>
              <w:cnfStyle w:val="100000000000" w:firstRow="1" w:lastRow="0" w:firstColumn="0" w:lastColumn="0" w:oddVBand="0" w:evenVBand="0" w:oddHBand="0" w:evenHBand="0" w:firstRowFirstColumn="0" w:firstRowLastColumn="0" w:lastRowFirstColumn="0" w:lastRowLastColumn="0"/>
            </w:pPr>
            <w:r>
              <w:t>2011–12</w:t>
            </w:r>
          </w:p>
        </w:tc>
        <w:tc>
          <w:tcPr>
            <w:tcW w:w="1377" w:type="dxa"/>
          </w:tcPr>
          <w:p w:rsidR="002306B9" w:rsidRDefault="002F446E" w:rsidP="000F024E">
            <w:pPr>
              <w:cnfStyle w:val="100000000000" w:firstRow="1" w:lastRow="0" w:firstColumn="0" w:lastColumn="0" w:oddVBand="0" w:evenVBand="0" w:oddHBand="0" w:evenHBand="0" w:firstRowFirstColumn="0" w:firstRowLastColumn="0" w:lastRowFirstColumn="0" w:lastRowLastColumn="0"/>
            </w:pPr>
            <w:r>
              <w:t>2012–13</w:t>
            </w:r>
          </w:p>
        </w:tc>
        <w:tc>
          <w:tcPr>
            <w:tcW w:w="1377" w:type="dxa"/>
          </w:tcPr>
          <w:p w:rsidR="002306B9" w:rsidRDefault="002F446E" w:rsidP="000F024E">
            <w:pPr>
              <w:cnfStyle w:val="100000000000" w:firstRow="1" w:lastRow="0" w:firstColumn="0" w:lastColumn="0" w:oddVBand="0" w:evenVBand="0" w:oddHBand="0" w:evenHBand="0" w:firstRowFirstColumn="0" w:firstRowLastColumn="0" w:lastRowFirstColumn="0" w:lastRowLastColumn="0"/>
            </w:pPr>
            <w:r>
              <w:t>2013–14</w:t>
            </w:r>
          </w:p>
        </w:tc>
        <w:tc>
          <w:tcPr>
            <w:tcW w:w="1377" w:type="dxa"/>
          </w:tcPr>
          <w:p w:rsidR="002306B9" w:rsidRDefault="002F446E" w:rsidP="000F024E">
            <w:pPr>
              <w:cnfStyle w:val="100000000000" w:firstRow="1" w:lastRow="0" w:firstColumn="0" w:lastColumn="0" w:oddVBand="0" w:evenVBand="0" w:oddHBand="0" w:evenHBand="0" w:firstRowFirstColumn="0" w:firstRowLastColumn="0" w:lastRowFirstColumn="0" w:lastRowLastColumn="0"/>
            </w:pPr>
            <w:r>
              <w:t>2014–15</w:t>
            </w:r>
          </w:p>
        </w:tc>
      </w:tr>
      <w:tr w:rsidR="00C87A19" w:rsidTr="009B0BB6">
        <w:tc>
          <w:tcPr>
            <w:cnfStyle w:val="001000000000" w:firstRow="0" w:lastRow="0" w:firstColumn="1" w:lastColumn="0" w:oddVBand="0" w:evenVBand="0" w:oddHBand="0" w:evenHBand="0" w:firstRowFirstColumn="0" w:firstRowLastColumn="0" w:lastRowFirstColumn="0" w:lastRowLastColumn="0"/>
            <w:tcW w:w="1809" w:type="dxa"/>
          </w:tcPr>
          <w:p w:rsidR="00C87A19" w:rsidRPr="00C87A19" w:rsidRDefault="00C87A19" w:rsidP="00C87A19">
            <w:r w:rsidRPr="00C87A19">
              <w:t>Ex ante allowance</w:t>
            </w:r>
          </w:p>
        </w:tc>
        <w:tc>
          <w:tcPr>
            <w:tcW w:w="1376" w:type="dxa"/>
            <w:vAlign w:val="top"/>
          </w:tcPr>
          <w:p w:rsidR="00C87A19" w:rsidRPr="00C87A19" w:rsidRDefault="00C87A19" w:rsidP="00C87A19">
            <w:pPr>
              <w:cnfStyle w:val="000000000000" w:firstRow="0" w:lastRow="0" w:firstColumn="0" w:lastColumn="0" w:oddVBand="0" w:evenVBand="0" w:oddHBand="0" w:evenHBand="0" w:firstRowFirstColumn="0" w:firstRowLastColumn="0" w:lastRowFirstColumn="0" w:lastRowLastColumn="0"/>
            </w:pPr>
            <w:r w:rsidRPr="00C87A19">
              <w:t>1</w:t>
            </w:r>
            <w:r>
              <w:t xml:space="preserve"> </w:t>
            </w:r>
            <w:r w:rsidRPr="00C87A19">
              <w:t>016.5</w:t>
            </w:r>
          </w:p>
        </w:tc>
        <w:tc>
          <w:tcPr>
            <w:tcW w:w="1377" w:type="dxa"/>
            <w:vAlign w:val="top"/>
          </w:tcPr>
          <w:p w:rsidR="00C87A19" w:rsidRPr="00C87A19" w:rsidRDefault="00C87A19" w:rsidP="00C87A19">
            <w:pPr>
              <w:cnfStyle w:val="000000000000" w:firstRow="0" w:lastRow="0" w:firstColumn="0" w:lastColumn="0" w:oddVBand="0" w:evenVBand="0" w:oddHBand="0" w:evenHBand="0" w:firstRowFirstColumn="0" w:firstRowLastColumn="0" w:lastRowFirstColumn="0" w:lastRowLastColumn="0"/>
            </w:pPr>
            <w:r w:rsidRPr="00C87A19">
              <w:t>1</w:t>
            </w:r>
            <w:r>
              <w:t xml:space="preserve"> </w:t>
            </w:r>
            <w:r w:rsidRPr="00C87A19">
              <w:t>032.6</w:t>
            </w:r>
          </w:p>
        </w:tc>
        <w:tc>
          <w:tcPr>
            <w:tcW w:w="1377" w:type="dxa"/>
            <w:vAlign w:val="top"/>
          </w:tcPr>
          <w:p w:rsidR="00C87A19" w:rsidRPr="00C87A19" w:rsidRDefault="00C87A19" w:rsidP="00C87A19">
            <w:pPr>
              <w:cnfStyle w:val="000000000000" w:firstRow="0" w:lastRow="0" w:firstColumn="0" w:lastColumn="0" w:oddVBand="0" w:evenVBand="0" w:oddHBand="0" w:evenHBand="0" w:firstRowFirstColumn="0" w:firstRowLastColumn="0" w:lastRowFirstColumn="0" w:lastRowLastColumn="0"/>
            </w:pPr>
            <w:r w:rsidRPr="00C87A19">
              <w:t>1</w:t>
            </w:r>
            <w:r>
              <w:t xml:space="preserve"> </w:t>
            </w:r>
            <w:r w:rsidRPr="00C87A19">
              <w:t>058.4</w:t>
            </w:r>
          </w:p>
        </w:tc>
        <w:tc>
          <w:tcPr>
            <w:tcW w:w="1377" w:type="dxa"/>
            <w:vAlign w:val="top"/>
          </w:tcPr>
          <w:p w:rsidR="00C87A19" w:rsidRPr="00C87A19" w:rsidRDefault="00C87A19" w:rsidP="00C87A19">
            <w:pPr>
              <w:cnfStyle w:val="000000000000" w:firstRow="0" w:lastRow="0" w:firstColumn="0" w:lastColumn="0" w:oddVBand="0" w:evenVBand="0" w:oddHBand="0" w:evenHBand="0" w:firstRowFirstColumn="0" w:firstRowLastColumn="0" w:lastRowFirstColumn="0" w:lastRowLastColumn="0"/>
            </w:pPr>
            <w:r w:rsidRPr="00C87A19">
              <w:t>1</w:t>
            </w:r>
            <w:r>
              <w:t xml:space="preserve"> </w:t>
            </w:r>
            <w:r w:rsidRPr="00C87A19">
              <w:t>089.4</w:t>
            </w:r>
          </w:p>
        </w:tc>
        <w:tc>
          <w:tcPr>
            <w:tcW w:w="1377" w:type="dxa"/>
            <w:vAlign w:val="top"/>
          </w:tcPr>
          <w:p w:rsidR="00C87A19" w:rsidRPr="00C87A19" w:rsidRDefault="00C87A19" w:rsidP="00C87A19">
            <w:pPr>
              <w:cnfStyle w:val="000000000000" w:firstRow="0" w:lastRow="0" w:firstColumn="0" w:lastColumn="0" w:oddVBand="0" w:evenVBand="0" w:oddHBand="0" w:evenHBand="0" w:firstRowFirstColumn="0" w:firstRowLastColumn="0" w:lastRowFirstColumn="0" w:lastRowLastColumn="0"/>
            </w:pPr>
            <w:r w:rsidRPr="00C87A19">
              <w:t>1</w:t>
            </w:r>
            <w:r>
              <w:t xml:space="preserve"> </w:t>
            </w:r>
            <w:r w:rsidRPr="00C87A19">
              <w:t>103.9</w:t>
            </w:r>
          </w:p>
        </w:tc>
      </w:tr>
      <w:tr w:rsidR="00C87A19" w:rsidTr="009B0B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C87A19" w:rsidRPr="00C87A19" w:rsidRDefault="00C87A19" w:rsidP="00C87A19">
            <w:r w:rsidRPr="00C87A19">
              <w:t>Ex post expenditure</w:t>
            </w:r>
          </w:p>
        </w:tc>
        <w:tc>
          <w:tcPr>
            <w:tcW w:w="1376" w:type="dxa"/>
            <w:vAlign w:val="top"/>
          </w:tcPr>
          <w:p w:rsidR="00C87A19" w:rsidRPr="00C87A19" w:rsidRDefault="00C87A19" w:rsidP="00C87A19">
            <w:pPr>
              <w:cnfStyle w:val="000000010000" w:firstRow="0" w:lastRow="0" w:firstColumn="0" w:lastColumn="0" w:oddVBand="0" w:evenVBand="0" w:oddHBand="0" w:evenHBand="1" w:firstRowFirstColumn="0" w:firstRowLastColumn="0" w:lastRowFirstColumn="0" w:lastRowLastColumn="0"/>
            </w:pPr>
            <w:r w:rsidRPr="00C87A19">
              <w:t>458.1</w:t>
            </w:r>
          </w:p>
        </w:tc>
        <w:tc>
          <w:tcPr>
            <w:tcW w:w="1377" w:type="dxa"/>
            <w:vAlign w:val="top"/>
          </w:tcPr>
          <w:p w:rsidR="00C87A19" w:rsidRPr="00C87A19" w:rsidRDefault="00C87A19" w:rsidP="00C87A19">
            <w:pPr>
              <w:cnfStyle w:val="000000010000" w:firstRow="0" w:lastRow="0" w:firstColumn="0" w:lastColumn="0" w:oddVBand="0" w:evenVBand="0" w:oddHBand="0" w:evenHBand="1" w:firstRowFirstColumn="0" w:firstRowLastColumn="0" w:lastRowFirstColumn="0" w:lastRowLastColumn="0"/>
            </w:pPr>
            <w:r w:rsidRPr="00C87A19">
              <w:t>540.1</w:t>
            </w:r>
          </w:p>
        </w:tc>
        <w:tc>
          <w:tcPr>
            <w:tcW w:w="1377" w:type="dxa"/>
            <w:vAlign w:val="top"/>
          </w:tcPr>
          <w:p w:rsidR="00C87A19" w:rsidRPr="00C87A19" w:rsidRDefault="00C87A19" w:rsidP="00C87A19">
            <w:pPr>
              <w:cnfStyle w:val="000000010000" w:firstRow="0" w:lastRow="0" w:firstColumn="0" w:lastColumn="0" w:oddVBand="0" w:evenVBand="0" w:oddHBand="0" w:evenHBand="1" w:firstRowFirstColumn="0" w:firstRowLastColumn="0" w:lastRowFirstColumn="0" w:lastRowLastColumn="0"/>
            </w:pPr>
            <w:r w:rsidRPr="00C87A19">
              <w:t>881.3</w:t>
            </w:r>
          </w:p>
        </w:tc>
        <w:tc>
          <w:tcPr>
            <w:tcW w:w="1377" w:type="dxa"/>
            <w:vAlign w:val="top"/>
          </w:tcPr>
          <w:p w:rsidR="00C87A19" w:rsidRPr="00C87A19" w:rsidRDefault="00C87A19" w:rsidP="00C87A19">
            <w:pPr>
              <w:cnfStyle w:val="000000010000" w:firstRow="0" w:lastRow="0" w:firstColumn="0" w:lastColumn="0" w:oddVBand="0" w:evenVBand="0" w:oddHBand="0" w:evenHBand="1" w:firstRowFirstColumn="0" w:firstRowLastColumn="0" w:lastRowFirstColumn="0" w:lastRowLastColumn="0"/>
            </w:pPr>
            <w:r w:rsidRPr="00C87A19">
              <w:t>850.7</w:t>
            </w:r>
          </w:p>
        </w:tc>
        <w:tc>
          <w:tcPr>
            <w:tcW w:w="1377" w:type="dxa"/>
            <w:vAlign w:val="top"/>
          </w:tcPr>
          <w:p w:rsidR="00C87A19" w:rsidRPr="00C87A19" w:rsidRDefault="00C87A19" w:rsidP="00C87A19">
            <w:pPr>
              <w:cnfStyle w:val="000000010000" w:firstRow="0" w:lastRow="0" w:firstColumn="0" w:lastColumn="0" w:oddVBand="0" w:evenVBand="0" w:oddHBand="0" w:evenHBand="1" w:firstRowFirstColumn="0" w:firstRowLastColumn="0" w:lastRowFirstColumn="0" w:lastRowLastColumn="0"/>
            </w:pPr>
            <w:r w:rsidRPr="00C87A19">
              <w:t>747.3</w:t>
            </w:r>
          </w:p>
        </w:tc>
      </w:tr>
      <w:tr w:rsidR="00C87A19" w:rsidTr="009B0BB6">
        <w:tc>
          <w:tcPr>
            <w:cnfStyle w:val="001000000000" w:firstRow="0" w:lastRow="0" w:firstColumn="1" w:lastColumn="0" w:oddVBand="0" w:evenVBand="0" w:oddHBand="0" w:evenHBand="0" w:firstRowFirstColumn="0" w:firstRowLastColumn="0" w:lastRowFirstColumn="0" w:lastRowLastColumn="0"/>
            <w:tcW w:w="1809" w:type="dxa"/>
          </w:tcPr>
          <w:p w:rsidR="00C87A19" w:rsidRPr="00C87A19" w:rsidRDefault="00C87A19" w:rsidP="00C87A19">
            <w:r w:rsidRPr="00C87A19">
              <w:t>Cumulative carryover balance</w:t>
            </w:r>
            <w:r w:rsidR="009B0BB6">
              <w:t xml:space="preserve"> (a)</w:t>
            </w:r>
          </w:p>
        </w:tc>
        <w:tc>
          <w:tcPr>
            <w:tcW w:w="1376" w:type="dxa"/>
            <w:vAlign w:val="top"/>
          </w:tcPr>
          <w:p w:rsidR="00C87A19" w:rsidRPr="00C87A19" w:rsidRDefault="00C87A19" w:rsidP="00C87A19">
            <w:pPr>
              <w:cnfStyle w:val="000000000000" w:firstRow="0" w:lastRow="0" w:firstColumn="0" w:lastColumn="0" w:oddVBand="0" w:evenVBand="0" w:oddHBand="0" w:evenHBand="0" w:firstRowFirstColumn="0" w:firstRowLastColumn="0" w:lastRowFirstColumn="0" w:lastRowLastColumn="0"/>
            </w:pPr>
            <w:r w:rsidRPr="00C87A19">
              <w:t>-909.</w:t>
            </w:r>
            <w:r w:rsidR="004C17FF">
              <w:t>6</w:t>
            </w:r>
          </w:p>
        </w:tc>
        <w:tc>
          <w:tcPr>
            <w:tcW w:w="1377" w:type="dxa"/>
            <w:vAlign w:val="top"/>
          </w:tcPr>
          <w:p w:rsidR="00C87A19" w:rsidRPr="00C87A19" w:rsidRDefault="00C87A19" w:rsidP="00C87A19">
            <w:pPr>
              <w:cnfStyle w:val="000000000000" w:firstRow="0" w:lastRow="0" w:firstColumn="0" w:lastColumn="0" w:oddVBand="0" w:evenVBand="0" w:oddHBand="0" w:evenHBand="0" w:firstRowFirstColumn="0" w:firstRowLastColumn="0" w:lastRowFirstColumn="0" w:lastRowLastColumn="0"/>
            </w:pPr>
            <w:r w:rsidRPr="00C87A19">
              <w:t>-1</w:t>
            </w:r>
            <w:r>
              <w:t xml:space="preserve"> </w:t>
            </w:r>
            <w:r w:rsidRPr="00C87A19">
              <w:t>640.</w:t>
            </w:r>
            <w:r w:rsidR="004C17FF">
              <w:t>8</w:t>
            </w:r>
          </w:p>
        </w:tc>
        <w:tc>
          <w:tcPr>
            <w:tcW w:w="1377" w:type="dxa"/>
            <w:vAlign w:val="top"/>
          </w:tcPr>
          <w:p w:rsidR="00C87A19" w:rsidRPr="00C87A19" w:rsidRDefault="00C87A19" w:rsidP="00C87A19">
            <w:pPr>
              <w:cnfStyle w:val="000000000000" w:firstRow="0" w:lastRow="0" w:firstColumn="0" w:lastColumn="0" w:oddVBand="0" w:evenVBand="0" w:oddHBand="0" w:evenHBand="0" w:firstRowFirstColumn="0" w:firstRowLastColumn="0" w:lastRowFirstColumn="0" w:lastRowLastColumn="0"/>
            </w:pPr>
            <w:r w:rsidRPr="00C87A19">
              <w:t>-1</w:t>
            </w:r>
            <w:r>
              <w:t xml:space="preserve"> </w:t>
            </w:r>
            <w:r w:rsidRPr="00C87A19">
              <w:t>880.</w:t>
            </w:r>
            <w:r w:rsidR="004C17FF">
              <w:t>5</w:t>
            </w:r>
          </w:p>
        </w:tc>
        <w:tc>
          <w:tcPr>
            <w:tcW w:w="1377" w:type="dxa"/>
            <w:vAlign w:val="top"/>
          </w:tcPr>
          <w:p w:rsidR="00C87A19" w:rsidRPr="00C87A19" w:rsidRDefault="00C87A19" w:rsidP="00C87A19">
            <w:pPr>
              <w:cnfStyle w:val="000000000000" w:firstRow="0" w:lastRow="0" w:firstColumn="0" w:lastColumn="0" w:oddVBand="0" w:evenVBand="0" w:oddHBand="0" w:evenHBand="0" w:firstRowFirstColumn="0" w:firstRowLastColumn="0" w:lastRowFirstColumn="0" w:lastRowLastColumn="0"/>
            </w:pPr>
            <w:r w:rsidRPr="00C87A19">
              <w:t>-2</w:t>
            </w:r>
            <w:r>
              <w:t xml:space="preserve"> </w:t>
            </w:r>
            <w:r w:rsidRPr="00C87A19">
              <w:t>174.</w:t>
            </w:r>
            <w:r w:rsidR="004C17FF">
              <w:t>9</w:t>
            </w:r>
          </w:p>
        </w:tc>
        <w:tc>
          <w:tcPr>
            <w:tcW w:w="1377" w:type="dxa"/>
            <w:vAlign w:val="top"/>
          </w:tcPr>
          <w:p w:rsidR="00C87A19" w:rsidRPr="00C87A19" w:rsidRDefault="00C87A19" w:rsidP="00C87A19">
            <w:pPr>
              <w:cnfStyle w:val="000000000000" w:firstRow="0" w:lastRow="0" w:firstColumn="0" w:lastColumn="0" w:oddVBand="0" w:evenVBand="0" w:oddHBand="0" w:evenHBand="0" w:firstRowFirstColumn="0" w:firstRowLastColumn="0" w:lastRowFirstColumn="0" w:lastRowLastColumn="0"/>
            </w:pPr>
            <w:r w:rsidRPr="00C87A19">
              <w:t>-2</w:t>
            </w:r>
            <w:r>
              <w:t xml:space="preserve"> </w:t>
            </w:r>
            <w:r w:rsidR="009B0BB6">
              <w:t>575.</w:t>
            </w:r>
            <w:r w:rsidR="004C17FF">
              <w:t>8</w:t>
            </w:r>
          </w:p>
        </w:tc>
      </w:tr>
    </w:tbl>
    <w:p w:rsidR="005B0581" w:rsidRDefault="00192DE7" w:rsidP="00192DE7">
      <w:pPr>
        <w:pStyle w:val="AERtablesource"/>
      </w:pPr>
      <w:r w:rsidRPr="008B5877">
        <w:t>Source:</w:t>
      </w:r>
      <w:r w:rsidRPr="008B5877">
        <w:tab/>
        <w:t xml:space="preserve">AER analysis and </w:t>
      </w:r>
      <w:r w:rsidR="00F6148F">
        <w:t>D</w:t>
      </w:r>
      <w:r w:rsidRPr="008B5877">
        <w:t xml:space="preserve">MIA </w:t>
      </w:r>
      <w:r w:rsidR="00F6148F">
        <w:t>r</w:t>
      </w:r>
      <w:r w:rsidRPr="008B5877">
        <w:t xml:space="preserve">eports submitted by DNSPs; </w:t>
      </w:r>
      <w:r w:rsidR="0055068C">
        <w:t>numbers</w:t>
      </w:r>
      <w:r w:rsidRPr="008B5877">
        <w:t xml:space="preserve"> may not be exact due to rounding.</w:t>
      </w:r>
    </w:p>
    <w:p w:rsidR="005B0581" w:rsidRDefault="005B0581" w:rsidP="005B0581">
      <w:pPr>
        <w:pStyle w:val="AERtablesource"/>
      </w:pPr>
      <w:r>
        <w:t>Note: (a)</w:t>
      </w:r>
      <w:r>
        <w:tab/>
        <w:t xml:space="preserve">the final carryover amounts will be subject to the final adjustment when the WACC is updated when DNSPs submit the annual pricing proposals.   </w:t>
      </w:r>
    </w:p>
    <w:p w:rsidR="00121DEB" w:rsidRDefault="00121DEB" w:rsidP="00264F41"/>
    <w:p w:rsidR="00121DEB" w:rsidRDefault="00121DEB" w:rsidP="00264F41"/>
    <w:p w:rsidR="00121DEB" w:rsidRDefault="00121DEB" w:rsidP="00264F41"/>
    <w:p w:rsidR="002F446E" w:rsidRDefault="002F446E" w:rsidP="002F446E">
      <w:pPr>
        <w:pStyle w:val="Caption"/>
      </w:pPr>
      <w:bookmarkStart w:id="16" w:name="_Ref444783794"/>
      <w:r>
        <w:t xml:space="preserve">Table </w:t>
      </w:r>
      <w:r w:rsidR="00BF480E">
        <w:fldChar w:fldCharType="begin"/>
      </w:r>
      <w:r w:rsidR="00BF480E">
        <w:instrText xml:space="preserve"> SEQ Table \* ARABIC </w:instrText>
      </w:r>
      <w:r w:rsidR="00BF480E">
        <w:fldChar w:fldCharType="separate"/>
      </w:r>
      <w:r w:rsidR="002D1097">
        <w:rPr>
          <w:noProof/>
        </w:rPr>
        <w:t>16</w:t>
      </w:r>
      <w:r w:rsidR="00BF480E">
        <w:rPr>
          <w:noProof/>
        </w:rPr>
        <w:fldChar w:fldCharType="end"/>
      </w:r>
      <w:bookmarkEnd w:id="16"/>
      <w:r>
        <w:tab/>
      </w:r>
      <w:r w:rsidR="00DA4E0A">
        <w:tab/>
      </w:r>
      <w:r>
        <w:t>SA Power Networks: carryover amount calculation ($</w:t>
      </w:r>
      <w:r w:rsidR="00D109DC">
        <w:t>'000</w:t>
      </w:r>
      <w:r>
        <w:t xml:space="preserve"> nominal)</w:t>
      </w:r>
    </w:p>
    <w:tbl>
      <w:tblPr>
        <w:tblStyle w:val="AERtable-numbers"/>
        <w:tblW w:w="0" w:type="auto"/>
        <w:tblLook w:val="04A0" w:firstRow="1" w:lastRow="0" w:firstColumn="1" w:lastColumn="0" w:noHBand="0" w:noVBand="1"/>
      </w:tblPr>
      <w:tblGrid>
        <w:gridCol w:w="1809"/>
        <w:gridCol w:w="1376"/>
        <w:gridCol w:w="1377"/>
        <w:gridCol w:w="1377"/>
        <w:gridCol w:w="1377"/>
        <w:gridCol w:w="1377"/>
      </w:tblGrid>
      <w:tr w:rsidR="002F446E" w:rsidTr="009B0B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2F446E" w:rsidRDefault="002F446E" w:rsidP="002F446E"/>
        </w:tc>
        <w:tc>
          <w:tcPr>
            <w:tcW w:w="1376" w:type="dxa"/>
          </w:tcPr>
          <w:p w:rsidR="002F446E" w:rsidRDefault="002F446E" w:rsidP="002F446E">
            <w:pPr>
              <w:cnfStyle w:val="100000000000" w:firstRow="1" w:lastRow="0" w:firstColumn="0" w:lastColumn="0" w:oddVBand="0" w:evenVBand="0" w:oddHBand="0" w:evenHBand="0" w:firstRowFirstColumn="0" w:firstRowLastColumn="0" w:lastRowFirstColumn="0" w:lastRowLastColumn="0"/>
            </w:pPr>
            <w:r>
              <w:t>2010–11</w:t>
            </w:r>
          </w:p>
        </w:tc>
        <w:tc>
          <w:tcPr>
            <w:tcW w:w="1377" w:type="dxa"/>
          </w:tcPr>
          <w:p w:rsidR="002F446E" w:rsidRDefault="002F446E" w:rsidP="002F446E">
            <w:pPr>
              <w:cnfStyle w:val="100000000000" w:firstRow="1" w:lastRow="0" w:firstColumn="0" w:lastColumn="0" w:oddVBand="0" w:evenVBand="0" w:oddHBand="0" w:evenHBand="0" w:firstRowFirstColumn="0" w:firstRowLastColumn="0" w:lastRowFirstColumn="0" w:lastRowLastColumn="0"/>
            </w:pPr>
            <w:r>
              <w:t>2011–12</w:t>
            </w:r>
          </w:p>
        </w:tc>
        <w:tc>
          <w:tcPr>
            <w:tcW w:w="1377" w:type="dxa"/>
          </w:tcPr>
          <w:p w:rsidR="002F446E" w:rsidRDefault="002F446E" w:rsidP="002F446E">
            <w:pPr>
              <w:cnfStyle w:val="100000000000" w:firstRow="1" w:lastRow="0" w:firstColumn="0" w:lastColumn="0" w:oddVBand="0" w:evenVBand="0" w:oddHBand="0" w:evenHBand="0" w:firstRowFirstColumn="0" w:firstRowLastColumn="0" w:lastRowFirstColumn="0" w:lastRowLastColumn="0"/>
            </w:pPr>
            <w:r>
              <w:t>2012–13</w:t>
            </w:r>
          </w:p>
        </w:tc>
        <w:tc>
          <w:tcPr>
            <w:tcW w:w="1377" w:type="dxa"/>
          </w:tcPr>
          <w:p w:rsidR="002F446E" w:rsidRDefault="002F446E" w:rsidP="002F446E">
            <w:pPr>
              <w:cnfStyle w:val="100000000000" w:firstRow="1" w:lastRow="0" w:firstColumn="0" w:lastColumn="0" w:oddVBand="0" w:evenVBand="0" w:oddHBand="0" w:evenHBand="0" w:firstRowFirstColumn="0" w:firstRowLastColumn="0" w:lastRowFirstColumn="0" w:lastRowLastColumn="0"/>
            </w:pPr>
            <w:r>
              <w:t>2013–14</w:t>
            </w:r>
          </w:p>
        </w:tc>
        <w:tc>
          <w:tcPr>
            <w:tcW w:w="1377" w:type="dxa"/>
          </w:tcPr>
          <w:p w:rsidR="002F446E" w:rsidRDefault="002F446E" w:rsidP="002F446E">
            <w:pPr>
              <w:cnfStyle w:val="100000000000" w:firstRow="1" w:lastRow="0" w:firstColumn="0" w:lastColumn="0" w:oddVBand="0" w:evenVBand="0" w:oddHBand="0" w:evenHBand="0" w:firstRowFirstColumn="0" w:firstRowLastColumn="0" w:lastRowFirstColumn="0" w:lastRowLastColumn="0"/>
            </w:pPr>
            <w:r>
              <w:t>2014–15</w:t>
            </w:r>
          </w:p>
        </w:tc>
      </w:tr>
      <w:tr w:rsidR="00C87A19" w:rsidTr="009B0BB6">
        <w:tc>
          <w:tcPr>
            <w:cnfStyle w:val="001000000000" w:firstRow="0" w:lastRow="0" w:firstColumn="1" w:lastColumn="0" w:oddVBand="0" w:evenVBand="0" w:oddHBand="0" w:evenHBand="0" w:firstRowFirstColumn="0" w:firstRowLastColumn="0" w:lastRowFirstColumn="0" w:lastRowLastColumn="0"/>
            <w:tcW w:w="1809" w:type="dxa"/>
          </w:tcPr>
          <w:p w:rsidR="00C87A19" w:rsidRPr="00C87A19" w:rsidRDefault="00C87A19" w:rsidP="00C87A19">
            <w:r w:rsidRPr="00C87A19">
              <w:t>Ex ante allowance</w:t>
            </w:r>
          </w:p>
        </w:tc>
        <w:tc>
          <w:tcPr>
            <w:tcW w:w="1376" w:type="dxa"/>
            <w:vAlign w:val="top"/>
          </w:tcPr>
          <w:p w:rsidR="00C87A19" w:rsidRPr="00C87A19" w:rsidRDefault="00C87A19" w:rsidP="00C87A19">
            <w:pPr>
              <w:cnfStyle w:val="000000000000" w:firstRow="0" w:lastRow="0" w:firstColumn="0" w:lastColumn="0" w:oddVBand="0" w:evenVBand="0" w:oddHBand="0" w:evenHBand="0" w:firstRowFirstColumn="0" w:firstRowLastColumn="0" w:lastRowFirstColumn="0" w:lastRowLastColumn="0"/>
            </w:pPr>
            <w:r w:rsidRPr="00C87A19">
              <w:t>609.9</w:t>
            </w:r>
          </w:p>
        </w:tc>
        <w:tc>
          <w:tcPr>
            <w:tcW w:w="1377" w:type="dxa"/>
            <w:vAlign w:val="top"/>
          </w:tcPr>
          <w:p w:rsidR="00C87A19" w:rsidRPr="00C87A19" w:rsidRDefault="00C87A19" w:rsidP="00C87A19">
            <w:pPr>
              <w:cnfStyle w:val="000000000000" w:firstRow="0" w:lastRow="0" w:firstColumn="0" w:lastColumn="0" w:oddVBand="0" w:evenVBand="0" w:oddHBand="0" w:evenHBand="0" w:firstRowFirstColumn="0" w:firstRowLastColumn="0" w:lastRowFirstColumn="0" w:lastRowLastColumn="0"/>
            </w:pPr>
            <w:r w:rsidRPr="00C87A19">
              <w:t>619.5</w:t>
            </w:r>
          </w:p>
        </w:tc>
        <w:tc>
          <w:tcPr>
            <w:tcW w:w="1377" w:type="dxa"/>
            <w:vAlign w:val="top"/>
          </w:tcPr>
          <w:p w:rsidR="00C87A19" w:rsidRPr="00C87A19" w:rsidRDefault="00C87A19" w:rsidP="00C87A19">
            <w:pPr>
              <w:cnfStyle w:val="000000000000" w:firstRow="0" w:lastRow="0" w:firstColumn="0" w:lastColumn="0" w:oddVBand="0" w:evenVBand="0" w:oddHBand="0" w:evenHBand="0" w:firstRowFirstColumn="0" w:firstRowLastColumn="0" w:lastRowFirstColumn="0" w:lastRowLastColumn="0"/>
            </w:pPr>
            <w:r w:rsidRPr="00C87A19">
              <w:t>635.0</w:t>
            </w:r>
          </w:p>
        </w:tc>
        <w:tc>
          <w:tcPr>
            <w:tcW w:w="1377" w:type="dxa"/>
            <w:vAlign w:val="top"/>
          </w:tcPr>
          <w:p w:rsidR="00C87A19" w:rsidRPr="00C87A19" w:rsidRDefault="00C87A19" w:rsidP="00C87A19">
            <w:pPr>
              <w:cnfStyle w:val="000000000000" w:firstRow="0" w:lastRow="0" w:firstColumn="0" w:lastColumn="0" w:oddVBand="0" w:evenVBand="0" w:oddHBand="0" w:evenHBand="0" w:firstRowFirstColumn="0" w:firstRowLastColumn="0" w:lastRowFirstColumn="0" w:lastRowLastColumn="0"/>
            </w:pPr>
            <w:r w:rsidRPr="00C87A19">
              <w:t>653.6</w:t>
            </w:r>
          </w:p>
        </w:tc>
        <w:tc>
          <w:tcPr>
            <w:tcW w:w="1377" w:type="dxa"/>
            <w:vAlign w:val="top"/>
          </w:tcPr>
          <w:p w:rsidR="00C87A19" w:rsidRPr="00C87A19" w:rsidRDefault="00C87A19" w:rsidP="00C87A19">
            <w:pPr>
              <w:cnfStyle w:val="000000000000" w:firstRow="0" w:lastRow="0" w:firstColumn="0" w:lastColumn="0" w:oddVBand="0" w:evenVBand="0" w:oddHBand="0" w:evenHBand="0" w:firstRowFirstColumn="0" w:firstRowLastColumn="0" w:lastRowFirstColumn="0" w:lastRowLastColumn="0"/>
            </w:pPr>
            <w:r w:rsidRPr="00C87A19">
              <w:t>662.3</w:t>
            </w:r>
          </w:p>
        </w:tc>
      </w:tr>
      <w:tr w:rsidR="00C87A19" w:rsidTr="009B0B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C87A19" w:rsidRPr="00C87A19" w:rsidRDefault="00C87A19" w:rsidP="00C87A19">
            <w:r w:rsidRPr="00C87A19">
              <w:t>Ex post exp</w:t>
            </w:r>
            <w:r w:rsidR="009B0BB6">
              <w:t>enditure (a</w:t>
            </w:r>
            <w:r w:rsidRPr="00C87A19">
              <w:t>)</w:t>
            </w:r>
          </w:p>
        </w:tc>
        <w:tc>
          <w:tcPr>
            <w:tcW w:w="1376" w:type="dxa"/>
            <w:vAlign w:val="top"/>
          </w:tcPr>
          <w:p w:rsidR="00C87A19" w:rsidRPr="00C87A19" w:rsidRDefault="00C87A19" w:rsidP="00C87A19">
            <w:pPr>
              <w:cnfStyle w:val="000000010000" w:firstRow="0" w:lastRow="0" w:firstColumn="0" w:lastColumn="0" w:oddVBand="0" w:evenVBand="0" w:oddHBand="0" w:evenHBand="1" w:firstRowFirstColumn="0" w:firstRowLastColumn="0" w:lastRowFirstColumn="0" w:lastRowLastColumn="0"/>
            </w:pPr>
            <w:r w:rsidRPr="00C87A19">
              <w:t>609.9</w:t>
            </w:r>
          </w:p>
        </w:tc>
        <w:tc>
          <w:tcPr>
            <w:tcW w:w="1377" w:type="dxa"/>
            <w:vAlign w:val="top"/>
          </w:tcPr>
          <w:p w:rsidR="00C87A19" w:rsidRPr="00C87A19" w:rsidRDefault="00C87A19" w:rsidP="00C87A19">
            <w:pPr>
              <w:cnfStyle w:val="000000010000" w:firstRow="0" w:lastRow="0" w:firstColumn="0" w:lastColumn="0" w:oddVBand="0" w:evenVBand="0" w:oddHBand="0" w:evenHBand="1" w:firstRowFirstColumn="0" w:firstRowLastColumn="0" w:lastRowFirstColumn="0" w:lastRowLastColumn="0"/>
            </w:pPr>
            <w:r w:rsidRPr="00C87A19">
              <w:t>619.5</w:t>
            </w:r>
          </w:p>
        </w:tc>
        <w:tc>
          <w:tcPr>
            <w:tcW w:w="1377" w:type="dxa"/>
            <w:vAlign w:val="top"/>
          </w:tcPr>
          <w:p w:rsidR="00C87A19" w:rsidRPr="00C87A19" w:rsidRDefault="00C87A19" w:rsidP="00C87A19">
            <w:pPr>
              <w:cnfStyle w:val="000000010000" w:firstRow="0" w:lastRow="0" w:firstColumn="0" w:lastColumn="0" w:oddVBand="0" w:evenVBand="0" w:oddHBand="0" w:evenHBand="1" w:firstRowFirstColumn="0" w:firstRowLastColumn="0" w:lastRowFirstColumn="0" w:lastRowLastColumn="0"/>
            </w:pPr>
            <w:r w:rsidRPr="00C87A19">
              <w:t>635.0</w:t>
            </w:r>
          </w:p>
        </w:tc>
        <w:tc>
          <w:tcPr>
            <w:tcW w:w="1377" w:type="dxa"/>
            <w:vAlign w:val="top"/>
          </w:tcPr>
          <w:p w:rsidR="00C87A19" w:rsidRPr="00C87A19" w:rsidRDefault="00C87A19" w:rsidP="00C87A19">
            <w:pPr>
              <w:cnfStyle w:val="000000010000" w:firstRow="0" w:lastRow="0" w:firstColumn="0" w:lastColumn="0" w:oddVBand="0" w:evenVBand="0" w:oddHBand="0" w:evenHBand="1" w:firstRowFirstColumn="0" w:firstRowLastColumn="0" w:lastRowFirstColumn="0" w:lastRowLastColumn="0"/>
            </w:pPr>
            <w:r w:rsidRPr="00C87A19">
              <w:t>653.6</w:t>
            </w:r>
          </w:p>
        </w:tc>
        <w:tc>
          <w:tcPr>
            <w:tcW w:w="1377" w:type="dxa"/>
            <w:vAlign w:val="top"/>
          </w:tcPr>
          <w:p w:rsidR="00C87A19" w:rsidRPr="00C87A19" w:rsidRDefault="00C87A19" w:rsidP="00C87A19">
            <w:pPr>
              <w:cnfStyle w:val="000000010000" w:firstRow="0" w:lastRow="0" w:firstColumn="0" w:lastColumn="0" w:oddVBand="0" w:evenVBand="0" w:oddHBand="0" w:evenHBand="1" w:firstRowFirstColumn="0" w:firstRowLastColumn="0" w:lastRowFirstColumn="0" w:lastRowLastColumn="0"/>
            </w:pPr>
            <w:r w:rsidRPr="00C87A19">
              <w:t>662.3</w:t>
            </w:r>
          </w:p>
        </w:tc>
      </w:tr>
      <w:tr w:rsidR="00C87A19" w:rsidTr="009B0BB6">
        <w:tc>
          <w:tcPr>
            <w:cnfStyle w:val="001000000000" w:firstRow="0" w:lastRow="0" w:firstColumn="1" w:lastColumn="0" w:oddVBand="0" w:evenVBand="0" w:oddHBand="0" w:evenHBand="0" w:firstRowFirstColumn="0" w:firstRowLastColumn="0" w:lastRowFirstColumn="0" w:lastRowLastColumn="0"/>
            <w:tcW w:w="1809" w:type="dxa"/>
          </w:tcPr>
          <w:p w:rsidR="00C87A19" w:rsidRPr="00C87A19" w:rsidRDefault="00C87A19" w:rsidP="00C87A19">
            <w:r w:rsidRPr="00C87A19">
              <w:t>Cumulative carryover balance</w:t>
            </w:r>
            <w:r w:rsidR="009B0BB6">
              <w:t xml:space="preserve"> (b)</w:t>
            </w:r>
          </w:p>
        </w:tc>
        <w:tc>
          <w:tcPr>
            <w:tcW w:w="1376" w:type="dxa"/>
            <w:vAlign w:val="top"/>
          </w:tcPr>
          <w:p w:rsidR="00C87A19" w:rsidRPr="00C87A19" w:rsidRDefault="00C87A19" w:rsidP="00C87A19">
            <w:pPr>
              <w:cnfStyle w:val="000000000000" w:firstRow="0" w:lastRow="0" w:firstColumn="0" w:lastColumn="0" w:oddVBand="0" w:evenVBand="0" w:oddHBand="0" w:evenHBand="0" w:firstRowFirstColumn="0" w:firstRowLastColumn="0" w:lastRowFirstColumn="0" w:lastRowLastColumn="0"/>
            </w:pPr>
            <w:r w:rsidRPr="00C87A19">
              <w:t>0.0</w:t>
            </w:r>
          </w:p>
        </w:tc>
        <w:tc>
          <w:tcPr>
            <w:tcW w:w="1377" w:type="dxa"/>
            <w:vAlign w:val="top"/>
          </w:tcPr>
          <w:p w:rsidR="00C87A19" w:rsidRPr="00C87A19" w:rsidRDefault="00C87A19" w:rsidP="00C87A19">
            <w:pPr>
              <w:cnfStyle w:val="000000000000" w:firstRow="0" w:lastRow="0" w:firstColumn="0" w:lastColumn="0" w:oddVBand="0" w:evenVBand="0" w:oddHBand="0" w:evenHBand="0" w:firstRowFirstColumn="0" w:firstRowLastColumn="0" w:lastRowFirstColumn="0" w:lastRowLastColumn="0"/>
            </w:pPr>
            <w:r w:rsidRPr="00C87A19">
              <w:t>0.0</w:t>
            </w:r>
          </w:p>
        </w:tc>
        <w:tc>
          <w:tcPr>
            <w:tcW w:w="1377" w:type="dxa"/>
            <w:vAlign w:val="top"/>
          </w:tcPr>
          <w:p w:rsidR="00C87A19" w:rsidRPr="00C87A19" w:rsidRDefault="00C87A19" w:rsidP="00C87A19">
            <w:pPr>
              <w:cnfStyle w:val="000000000000" w:firstRow="0" w:lastRow="0" w:firstColumn="0" w:lastColumn="0" w:oddVBand="0" w:evenVBand="0" w:oddHBand="0" w:evenHBand="0" w:firstRowFirstColumn="0" w:firstRowLastColumn="0" w:lastRowFirstColumn="0" w:lastRowLastColumn="0"/>
            </w:pPr>
            <w:r w:rsidRPr="00C87A19">
              <w:t>0.0</w:t>
            </w:r>
          </w:p>
        </w:tc>
        <w:tc>
          <w:tcPr>
            <w:tcW w:w="1377" w:type="dxa"/>
            <w:vAlign w:val="top"/>
          </w:tcPr>
          <w:p w:rsidR="00C87A19" w:rsidRPr="00C87A19" w:rsidRDefault="00C87A19" w:rsidP="00C87A19">
            <w:pPr>
              <w:cnfStyle w:val="000000000000" w:firstRow="0" w:lastRow="0" w:firstColumn="0" w:lastColumn="0" w:oddVBand="0" w:evenVBand="0" w:oddHBand="0" w:evenHBand="0" w:firstRowFirstColumn="0" w:firstRowLastColumn="0" w:lastRowFirstColumn="0" w:lastRowLastColumn="0"/>
            </w:pPr>
            <w:r w:rsidRPr="00C87A19">
              <w:t>0.0</w:t>
            </w:r>
          </w:p>
        </w:tc>
        <w:tc>
          <w:tcPr>
            <w:tcW w:w="1377" w:type="dxa"/>
            <w:vAlign w:val="top"/>
          </w:tcPr>
          <w:p w:rsidR="00C87A19" w:rsidRPr="00C87A19" w:rsidRDefault="00C87A19" w:rsidP="00C87A19">
            <w:pPr>
              <w:cnfStyle w:val="000000000000" w:firstRow="0" w:lastRow="0" w:firstColumn="0" w:lastColumn="0" w:oddVBand="0" w:evenVBand="0" w:oddHBand="0" w:evenHBand="0" w:firstRowFirstColumn="0" w:firstRowLastColumn="0" w:lastRowFirstColumn="0" w:lastRowLastColumn="0"/>
            </w:pPr>
            <w:r w:rsidRPr="00C87A19">
              <w:t>0.0</w:t>
            </w:r>
          </w:p>
        </w:tc>
      </w:tr>
    </w:tbl>
    <w:p w:rsidR="005B0581" w:rsidRPr="00264F41" w:rsidRDefault="009B0BB6" w:rsidP="00264F41">
      <w:pPr>
        <w:pStyle w:val="AERtablesource"/>
      </w:pPr>
      <w:r w:rsidRPr="00264F41">
        <w:t>Note: (a): During the 2010-15 period, SA Power Networks operates under both DMIA schemes of the AER and Essential Services Commission of South Australia. Due to previous cost allocation error, SA Power Networks omitted to approval for DM projects under the AER's DMIA for 2010–13. It has re-allocated the DMIA expenditure for these three years. It has overspent the combined DM Allowance for the 2010–15 regulatory control period––actual total expenditure of 14.84M (2010 dollars) compared with the total combined allowance of $14.59M (2010 dollars) from the AER and the Essential Services Commission of South Australia. Refer to the advice from SA Power Networks dated 4 February 2016.</w:t>
      </w:r>
      <w:r w:rsidR="005B0581" w:rsidRPr="00264F41">
        <w:t xml:space="preserve">   </w:t>
      </w:r>
    </w:p>
    <w:p w:rsidR="009B0BB6" w:rsidRPr="00264F41" w:rsidRDefault="009B0BB6" w:rsidP="00264F41">
      <w:pPr>
        <w:pStyle w:val="AERtablesource"/>
      </w:pPr>
      <w:r w:rsidRPr="00264F41">
        <w:t xml:space="preserve">   (b)</w:t>
      </w:r>
      <w:r w:rsidRPr="00264F41">
        <w:tab/>
        <w:t>The final carryover amounts will be subject to the final adjustment when the WACC is updated when DNSPs submit the annual pricing proposals.</w:t>
      </w:r>
      <w:bookmarkStart w:id="17" w:name="_GoBack"/>
      <w:bookmarkEnd w:id="17"/>
    </w:p>
    <w:p w:rsidR="00AA21A2" w:rsidRDefault="00261262" w:rsidP="00261262">
      <w:pPr>
        <w:pStyle w:val="Heading3"/>
      </w:pPr>
      <w:bookmarkStart w:id="18" w:name="_Ref444784546"/>
      <w:bookmarkStart w:id="19" w:name="_Toc445801812"/>
      <w:r>
        <w:t>AER's determination of carryover adjustment</w:t>
      </w:r>
      <w:bookmarkEnd w:id="18"/>
      <w:bookmarkEnd w:id="19"/>
    </w:p>
    <w:p w:rsidR="00261262" w:rsidRDefault="00D53C0D" w:rsidP="00AA21A2">
      <w:r>
        <w:t xml:space="preserve">Using the calculations in section </w:t>
      </w:r>
      <w:r>
        <w:fldChar w:fldCharType="begin"/>
      </w:r>
      <w:r>
        <w:instrText xml:space="preserve"> REF _Ref444785482 \n \h </w:instrText>
      </w:r>
      <w:r>
        <w:fldChar w:fldCharType="separate"/>
      </w:r>
      <w:r w:rsidR="002D1097">
        <w:t>3.2.2</w:t>
      </w:r>
      <w:r>
        <w:fldChar w:fldCharType="end"/>
      </w:r>
      <w:r>
        <w:t xml:space="preserve"> above, we calculated the carryover adjustment to be applied in the NSW/ACT distributors' 2014–19 regulatory control period and the QLD/SA distributors' 2015–20 regulatory control period. </w:t>
      </w:r>
      <w:r>
        <w:fldChar w:fldCharType="begin"/>
      </w:r>
      <w:r>
        <w:instrText xml:space="preserve"> REF _Ref444785595 \h </w:instrText>
      </w:r>
      <w:r>
        <w:fldChar w:fldCharType="separate"/>
      </w:r>
      <w:r w:rsidR="002D1097">
        <w:t xml:space="preserve">Table </w:t>
      </w:r>
      <w:r w:rsidR="002D1097">
        <w:rPr>
          <w:noProof/>
        </w:rPr>
        <w:t>17</w:t>
      </w:r>
      <w:r>
        <w:fldChar w:fldCharType="end"/>
      </w:r>
      <w:r w:rsidR="0005256F">
        <w:t xml:space="preserve"> </w:t>
      </w:r>
      <w:r>
        <w:t xml:space="preserve">and </w:t>
      </w:r>
      <w:r>
        <w:fldChar w:fldCharType="begin"/>
      </w:r>
      <w:r>
        <w:instrText xml:space="preserve"> REF _Ref444785598 \h </w:instrText>
      </w:r>
      <w:r>
        <w:fldChar w:fldCharType="separate"/>
      </w:r>
      <w:r w:rsidR="002D1097">
        <w:t xml:space="preserve">Table </w:t>
      </w:r>
      <w:r w:rsidR="002D1097">
        <w:rPr>
          <w:noProof/>
        </w:rPr>
        <w:t>18</w:t>
      </w:r>
      <w:r>
        <w:fldChar w:fldCharType="end"/>
      </w:r>
      <w:r>
        <w:t xml:space="preserve"> set out those carryover adjustments.  </w:t>
      </w:r>
    </w:p>
    <w:p w:rsidR="00477F3A" w:rsidRDefault="00477F3A" w:rsidP="00477F3A">
      <w:pPr>
        <w:pStyle w:val="Caption"/>
      </w:pPr>
      <w:bookmarkStart w:id="20" w:name="_Ref444785595"/>
      <w:r>
        <w:t xml:space="preserve">Table </w:t>
      </w:r>
      <w:r w:rsidR="00BF480E">
        <w:fldChar w:fldCharType="begin"/>
      </w:r>
      <w:r w:rsidR="00BF480E">
        <w:instrText xml:space="preserve"> SEQ Table \* ARABIC </w:instrText>
      </w:r>
      <w:r w:rsidR="00BF480E">
        <w:fldChar w:fldCharType="separate"/>
      </w:r>
      <w:r w:rsidR="002D1097">
        <w:rPr>
          <w:noProof/>
        </w:rPr>
        <w:t>17</w:t>
      </w:r>
      <w:r w:rsidR="00BF480E">
        <w:rPr>
          <w:noProof/>
        </w:rPr>
        <w:fldChar w:fldCharType="end"/>
      </w:r>
      <w:bookmarkEnd w:id="20"/>
      <w:r>
        <w:tab/>
      </w:r>
      <w:r w:rsidR="00DA4E0A">
        <w:tab/>
      </w:r>
      <w:r>
        <w:t xml:space="preserve">Carryover adjustment: NSW/ACT </w:t>
      </w:r>
      <w:r w:rsidR="00576420">
        <w:t xml:space="preserve">DNSPs </w:t>
      </w:r>
      <w:r w:rsidR="00D53C0D">
        <w:t>($</w:t>
      </w:r>
      <w:r w:rsidR="00D109DC">
        <w:t>'000</w:t>
      </w:r>
      <w:r w:rsidR="00D53C0D">
        <w:t xml:space="preserve"> nominal)</w:t>
      </w:r>
    </w:p>
    <w:tbl>
      <w:tblPr>
        <w:tblStyle w:val="AERtable-numbers"/>
        <w:tblW w:w="0" w:type="auto"/>
        <w:tblLook w:val="04A0" w:firstRow="1" w:lastRow="0" w:firstColumn="1" w:lastColumn="0" w:noHBand="0" w:noVBand="1"/>
      </w:tblPr>
      <w:tblGrid>
        <w:gridCol w:w="4346"/>
        <w:gridCol w:w="4347"/>
      </w:tblGrid>
      <w:tr w:rsidR="009A37CF" w:rsidTr="009A37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9A37CF" w:rsidRDefault="009A37CF" w:rsidP="00AA21A2"/>
        </w:tc>
        <w:tc>
          <w:tcPr>
            <w:tcW w:w="4347" w:type="dxa"/>
          </w:tcPr>
          <w:p w:rsidR="009A37CF" w:rsidRDefault="00477F3A" w:rsidP="00AA21A2">
            <w:pPr>
              <w:cnfStyle w:val="100000000000" w:firstRow="1" w:lastRow="0" w:firstColumn="0" w:lastColumn="0" w:oddVBand="0" w:evenVBand="0" w:oddHBand="0" w:evenHBand="0" w:firstRowFirstColumn="0" w:firstRowLastColumn="0" w:lastRowFirstColumn="0" w:lastRowLastColumn="0"/>
            </w:pPr>
            <w:r>
              <w:t>$</w:t>
            </w:r>
            <w:r w:rsidR="009B0BB6">
              <w:t>'000</w:t>
            </w:r>
            <w:r>
              <w:t xml:space="preserve"> nominal</w:t>
            </w:r>
            <w:r w:rsidR="009B0BB6">
              <w:t xml:space="preserve"> (a)</w:t>
            </w:r>
          </w:p>
        </w:tc>
      </w:tr>
      <w:tr w:rsidR="00D109DC" w:rsidTr="00EE1C73">
        <w:tc>
          <w:tcPr>
            <w:cnfStyle w:val="001000000000" w:firstRow="0" w:lastRow="0" w:firstColumn="1" w:lastColumn="0" w:oddVBand="0" w:evenVBand="0" w:oddHBand="0" w:evenHBand="0" w:firstRowFirstColumn="0" w:firstRowLastColumn="0" w:lastRowFirstColumn="0" w:lastRowLastColumn="0"/>
            <w:tcW w:w="4346" w:type="dxa"/>
          </w:tcPr>
          <w:p w:rsidR="00D109DC" w:rsidRPr="00D109DC" w:rsidRDefault="00D109DC" w:rsidP="00D109DC">
            <w:r w:rsidRPr="00D109DC">
              <w:t>ActewAGL</w:t>
            </w:r>
          </w:p>
        </w:tc>
        <w:tc>
          <w:tcPr>
            <w:tcW w:w="4347" w:type="dxa"/>
            <w:vAlign w:val="top"/>
          </w:tcPr>
          <w:p w:rsidR="00D109DC" w:rsidRPr="00D109DC" w:rsidRDefault="00D109DC" w:rsidP="00D109DC">
            <w:pPr>
              <w:cnfStyle w:val="000000000000" w:firstRow="0" w:lastRow="0" w:firstColumn="0" w:lastColumn="0" w:oddVBand="0" w:evenVBand="0" w:oddHBand="0" w:evenHBand="0" w:firstRowFirstColumn="0" w:firstRowLastColumn="0" w:lastRowFirstColumn="0" w:lastRowLastColumn="0"/>
            </w:pPr>
            <w:r w:rsidRPr="00D109DC">
              <w:t>-95.3</w:t>
            </w:r>
          </w:p>
        </w:tc>
      </w:tr>
      <w:tr w:rsidR="00D109DC" w:rsidTr="00EE1C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109DC" w:rsidRPr="00D109DC" w:rsidRDefault="00D109DC" w:rsidP="00D109DC">
            <w:r w:rsidRPr="00D109DC">
              <w:t>Ausgrid</w:t>
            </w:r>
          </w:p>
        </w:tc>
        <w:tc>
          <w:tcPr>
            <w:tcW w:w="4347" w:type="dxa"/>
            <w:vAlign w:val="top"/>
          </w:tcPr>
          <w:p w:rsidR="00D109DC" w:rsidRPr="00D109DC" w:rsidRDefault="00D109DC" w:rsidP="00D109DC">
            <w:pPr>
              <w:cnfStyle w:val="000000010000" w:firstRow="0" w:lastRow="0" w:firstColumn="0" w:lastColumn="0" w:oddVBand="0" w:evenVBand="0" w:oddHBand="0" w:evenHBand="1" w:firstRowFirstColumn="0" w:firstRowLastColumn="0" w:lastRowFirstColumn="0" w:lastRowLastColumn="0"/>
            </w:pPr>
            <w:r w:rsidRPr="00D109DC">
              <w:t>-2</w:t>
            </w:r>
            <w:r>
              <w:t xml:space="preserve"> </w:t>
            </w:r>
            <w:r w:rsidRPr="00D109DC">
              <w:t>560.6</w:t>
            </w:r>
          </w:p>
        </w:tc>
      </w:tr>
      <w:tr w:rsidR="00D109DC" w:rsidTr="00EE1C73">
        <w:tc>
          <w:tcPr>
            <w:cnfStyle w:val="001000000000" w:firstRow="0" w:lastRow="0" w:firstColumn="1" w:lastColumn="0" w:oddVBand="0" w:evenVBand="0" w:oddHBand="0" w:evenHBand="0" w:firstRowFirstColumn="0" w:firstRowLastColumn="0" w:lastRowFirstColumn="0" w:lastRowLastColumn="0"/>
            <w:tcW w:w="4346" w:type="dxa"/>
          </w:tcPr>
          <w:p w:rsidR="00D109DC" w:rsidRPr="00D109DC" w:rsidRDefault="00D109DC" w:rsidP="00D109DC">
            <w:r w:rsidRPr="00D109DC">
              <w:t>Endeavour Energy</w:t>
            </w:r>
          </w:p>
        </w:tc>
        <w:tc>
          <w:tcPr>
            <w:tcW w:w="4347" w:type="dxa"/>
            <w:vAlign w:val="top"/>
          </w:tcPr>
          <w:p w:rsidR="00D109DC" w:rsidRPr="00D109DC" w:rsidRDefault="00D109DC" w:rsidP="00D109DC">
            <w:pPr>
              <w:cnfStyle w:val="000000000000" w:firstRow="0" w:lastRow="0" w:firstColumn="0" w:lastColumn="0" w:oddVBand="0" w:evenVBand="0" w:oddHBand="0" w:evenHBand="0" w:firstRowFirstColumn="0" w:firstRowLastColumn="0" w:lastRowFirstColumn="0" w:lastRowLastColumn="0"/>
            </w:pPr>
            <w:r w:rsidRPr="00D109DC">
              <w:t>-3</w:t>
            </w:r>
            <w:r>
              <w:t xml:space="preserve"> </w:t>
            </w:r>
            <w:r w:rsidRPr="00D109DC">
              <w:t>301.6</w:t>
            </w:r>
          </w:p>
        </w:tc>
      </w:tr>
      <w:tr w:rsidR="00D109DC" w:rsidTr="00EE1C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109DC" w:rsidRPr="00D109DC" w:rsidRDefault="00D109DC" w:rsidP="00D109DC">
            <w:r w:rsidRPr="00D109DC">
              <w:t>Essential Energy</w:t>
            </w:r>
          </w:p>
        </w:tc>
        <w:tc>
          <w:tcPr>
            <w:tcW w:w="4347" w:type="dxa"/>
            <w:vAlign w:val="top"/>
          </w:tcPr>
          <w:p w:rsidR="00D109DC" w:rsidRPr="00D109DC" w:rsidRDefault="00D109DC" w:rsidP="00D109DC">
            <w:pPr>
              <w:cnfStyle w:val="000000010000" w:firstRow="0" w:lastRow="0" w:firstColumn="0" w:lastColumn="0" w:oddVBand="0" w:evenVBand="0" w:oddHBand="0" w:evenHBand="1" w:firstRowFirstColumn="0" w:firstRowLastColumn="0" w:lastRowFirstColumn="0" w:lastRowLastColumn="0"/>
            </w:pPr>
            <w:r w:rsidRPr="00D109DC">
              <w:t>-891.2</w:t>
            </w:r>
          </w:p>
        </w:tc>
      </w:tr>
    </w:tbl>
    <w:p w:rsidR="009B0BB6" w:rsidRDefault="00192DE7" w:rsidP="00192DE7">
      <w:pPr>
        <w:pStyle w:val="AERtablesource"/>
      </w:pPr>
      <w:r w:rsidRPr="008B5877">
        <w:t>Source:</w:t>
      </w:r>
      <w:r w:rsidRPr="008B5877">
        <w:tab/>
        <w:t xml:space="preserve">AER analysis and DMIA </w:t>
      </w:r>
      <w:r w:rsidR="00F6148F">
        <w:t>r</w:t>
      </w:r>
      <w:r w:rsidRPr="008B5877">
        <w:t xml:space="preserve">eports submitted by DNSPs; </w:t>
      </w:r>
      <w:r w:rsidR="0055068C">
        <w:t>numbers</w:t>
      </w:r>
      <w:r w:rsidRPr="008B5877">
        <w:t xml:space="preserve"> may not be exact due to rounding.</w:t>
      </w:r>
    </w:p>
    <w:p w:rsidR="009B0BB6" w:rsidRDefault="009B0BB6" w:rsidP="009B0BB6">
      <w:pPr>
        <w:pStyle w:val="AERtablesource"/>
      </w:pPr>
      <w:r>
        <w:t>Note: (a)</w:t>
      </w:r>
      <w:r>
        <w:tab/>
        <w:t xml:space="preserve">the final carryover amounts will be subject to the final adjustment when the WACC is updated when DNSPs submit the annual pricing proposals.   </w:t>
      </w:r>
    </w:p>
    <w:p w:rsidR="00121DEB" w:rsidRDefault="00121DEB" w:rsidP="00477F3A">
      <w:pPr>
        <w:pStyle w:val="Caption"/>
      </w:pPr>
      <w:bookmarkStart w:id="21" w:name="_Ref444785598"/>
    </w:p>
    <w:p w:rsidR="00121DEB" w:rsidRDefault="00121DEB" w:rsidP="00264F41"/>
    <w:p w:rsidR="00121DEB" w:rsidRPr="00264F41" w:rsidRDefault="00121DEB" w:rsidP="00264F41"/>
    <w:p w:rsidR="00261262" w:rsidRDefault="00477F3A" w:rsidP="00477F3A">
      <w:pPr>
        <w:pStyle w:val="Caption"/>
      </w:pPr>
      <w:r>
        <w:t xml:space="preserve">Table </w:t>
      </w:r>
      <w:r w:rsidR="00BF480E">
        <w:fldChar w:fldCharType="begin"/>
      </w:r>
      <w:r w:rsidR="00BF480E">
        <w:instrText xml:space="preserve"> SEQ Table \* ARABIC </w:instrText>
      </w:r>
      <w:r w:rsidR="00BF480E">
        <w:fldChar w:fldCharType="separate"/>
      </w:r>
      <w:r w:rsidR="002D1097">
        <w:rPr>
          <w:noProof/>
        </w:rPr>
        <w:t>18</w:t>
      </w:r>
      <w:r w:rsidR="00BF480E">
        <w:rPr>
          <w:noProof/>
        </w:rPr>
        <w:fldChar w:fldCharType="end"/>
      </w:r>
      <w:bookmarkEnd w:id="21"/>
      <w:r>
        <w:tab/>
      </w:r>
      <w:r w:rsidR="00DA4E0A">
        <w:tab/>
      </w:r>
      <w:r>
        <w:t xml:space="preserve">Carryover adjustment: QLD/SA </w:t>
      </w:r>
      <w:r w:rsidR="00576420">
        <w:t xml:space="preserve">DNSPs </w:t>
      </w:r>
      <w:r w:rsidR="00D53C0D">
        <w:t>($</w:t>
      </w:r>
      <w:r w:rsidR="00D109DC">
        <w:t>'000</w:t>
      </w:r>
      <w:r w:rsidR="00D53C0D">
        <w:t xml:space="preserve"> nominal)</w:t>
      </w:r>
    </w:p>
    <w:tbl>
      <w:tblPr>
        <w:tblStyle w:val="AERtable-numbers"/>
        <w:tblW w:w="0" w:type="auto"/>
        <w:tblLook w:val="04A0" w:firstRow="1" w:lastRow="0" w:firstColumn="1" w:lastColumn="0" w:noHBand="0" w:noVBand="1"/>
      </w:tblPr>
      <w:tblGrid>
        <w:gridCol w:w="4346"/>
        <w:gridCol w:w="4347"/>
      </w:tblGrid>
      <w:tr w:rsidR="00261262" w:rsidTr="00E53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261262" w:rsidRDefault="00261262" w:rsidP="00261262"/>
        </w:tc>
        <w:tc>
          <w:tcPr>
            <w:tcW w:w="4347" w:type="dxa"/>
          </w:tcPr>
          <w:p w:rsidR="00261262" w:rsidRDefault="00477F3A" w:rsidP="00261262">
            <w:pPr>
              <w:cnfStyle w:val="100000000000" w:firstRow="1" w:lastRow="0" w:firstColumn="0" w:lastColumn="0" w:oddVBand="0" w:evenVBand="0" w:oddHBand="0" w:evenHBand="0" w:firstRowFirstColumn="0" w:firstRowLastColumn="0" w:lastRowFirstColumn="0" w:lastRowLastColumn="0"/>
            </w:pPr>
            <w:r>
              <w:t>$</w:t>
            </w:r>
            <w:r w:rsidR="009B0BB6">
              <w:t>'000</w:t>
            </w:r>
            <w:r>
              <w:t xml:space="preserve"> nominal</w:t>
            </w:r>
            <w:r w:rsidR="009B0BB6">
              <w:t xml:space="preserve"> (a)</w:t>
            </w:r>
          </w:p>
        </w:tc>
      </w:tr>
      <w:tr w:rsidR="00D109DC" w:rsidTr="00EE1C73">
        <w:tc>
          <w:tcPr>
            <w:cnfStyle w:val="001000000000" w:firstRow="0" w:lastRow="0" w:firstColumn="1" w:lastColumn="0" w:oddVBand="0" w:evenVBand="0" w:oddHBand="0" w:evenHBand="0" w:firstRowFirstColumn="0" w:firstRowLastColumn="0" w:lastRowFirstColumn="0" w:lastRowLastColumn="0"/>
            <w:tcW w:w="4346" w:type="dxa"/>
          </w:tcPr>
          <w:p w:rsidR="00D109DC" w:rsidRPr="00D109DC" w:rsidRDefault="00D109DC" w:rsidP="00D109DC">
            <w:r w:rsidRPr="00D109DC">
              <w:t>Energex</w:t>
            </w:r>
          </w:p>
        </w:tc>
        <w:tc>
          <w:tcPr>
            <w:tcW w:w="4347" w:type="dxa"/>
            <w:vAlign w:val="top"/>
          </w:tcPr>
          <w:p w:rsidR="00D109DC" w:rsidRPr="00D109DC" w:rsidRDefault="00D109DC" w:rsidP="00D109DC">
            <w:pPr>
              <w:cnfStyle w:val="000000000000" w:firstRow="0" w:lastRow="0" w:firstColumn="0" w:lastColumn="0" w:oddVBand="0" w:evenVBand="0" w:oddHBand="0" w:evenHBand="0" w:firstRowFirstColumn="0" w:firstRowLastColumn="0" w:lastRowFirstColumn="0" w:lastRowLastColumn="0"/>
            </w:pPr>
            <w:r w:rsidRPr="00D109DC">
              <w:t>-5</w:t>
            </w:r>
            <w:r>
              <w:t xml:space="preserve"> </w:t>
            </w:r>
            <w:r w:rsidRPr="00D109DC">
              <w:t>2</w:t>
            </w:r>
            <w:r w:rsidR="00045109">
              <w:t>38</w:t>
            </w:r>
            <w:r w:rsidRPr="00D109DC">
              <w:t>.</w:t>
            </w:r>
            <w:r w:rsidR="00045109">
              <w:t>1</w:t>
            </w:r>
          </w:p>
        </w:tc>
      </w:tr>
      <w:tr w:rsidR="00D109DC" w:rsidTr="00EE1C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109DC" w:rsidRPr="00D109DC" w:rsidRDefault="00D109DC" w:rsidP="00D109DC">
            <w:r w:rsidRPr="00D109DC">
              <w:t>Ergon Energy</w:t>
            </w:r>
          </w:p>
        </w:tc>
        <w:tc>
          <w:tcPr>
            <w:tcW w:w="4347" w:type="dxa"/>
            <w:vAlign w:val="top"/>
          </w:tcPr>
          <w:p w:rsidR="00D109DC" w:rsidRPr="00D109DC" w:rsidRDefault="00D109DC" w:rsidP="00D109DC">
            <w:pPr>
              <w:cnfStyle w:val="000000010000" w:firstRow="0" w:lastRow="0" w:firstColumn="0" w:lastColumn="0" w:oddVBand="0" w:evenVBand="0" w:oddHBand="0" w:evenHBand="1" w:firstRowFirstColumn="0" w:firstRowLastColumn="0" w:lastRowFirstColumn="0" w:lastRowLastColumn="0"/>
            </w:pPr>
            <w:r w:rsidRPr="00D109DC">
              <w:t>-2</w:t>
            </w:r>
            <w:r>
              <w:t xml:space="preserve"> </w:t>
            </w:r>
            <w:r w:rsidRPr="00D109DC">
              <w:t>575.</w:t>
            </w:r>
            <w:r w:rsidR="004C17FF">
              <w:t>8</w:t>
            </w:r>
          </w:p>
        </w:tc>
      </w:tr>
      <w:tr w:rsidR="00D109DC" w:rsidTr="00EE1C73">
        <w:tc>
          <w:tcPr>
            <w:cnfStyle w:val="001000000000" w:firstRow="0" w:lastRow="0" w:firstColumn="1" w:lastColumn="0" w:oddVBand="0" w:evenVBand="0" w:oddHBand="0" w:evenHBand="0" w:firstRowFirstColumn="0" w:firstRowLastColumn="0" w:lastRowFirstColumn="0" w:lastRowLastColumn="0"/>
            <w:tcW w:w="4346" w:type="dxa"/>
          </w:tcPr>
          <w:p w:rsidR="00D109DC" w:rsidRPr="00D109DC" w:rsidRDefault="00D109DC" w:rsidP="00D109DC">
            <w:r w:rsidRPr="00D109DC">
              <w:t>SA Power Networks</w:t>
            </w:r>
          </w:p>
        </w:tc>
        <w:tc>
          <w:tcPr>
            <w:tcW w:w="4347" w:type="dxa"/>
            <w:vAlign w:val="top"/>
          </w:tcPr>
          <w:p w:rsidR="00D109DC" w:rsidRPr="00D109DC" w:rsidRDefault="00D109DC" w:rsidP="00D109DC">
            <w:pPr>
              <w:cnfStyle w:val="000000000000" w:firstRow="0" w:lastRow="0" w:firstColumn="0" w:lastColumn="0" w:oddVBand="0" w:evenVBand="0" w:oddHBand="0" w:evenHBand="0" w:firstRowFirstColumn="0" w:firstRowLastColumn="0" w:lastRowFirstColumn="0" w:lastRowLastColumn="0"/>
            </w:pPr>
            <w:r w:rsidRPr="00D109DC">
              <w:t>0.0</w:t>
            </w:r>
          </w:p>
        </w:tc>
      </w:tr>
    </w:tbl>
    <w:p w:rsidR="009B0BB6" w:rsidRDefault="00192DE7" w:rsidP="00192DE7">
      <w:pPr>
        <w:pStyle w:val="AERtablesource"/>
      </w:pPr>
      <w:bookmarkStart w:id="22" w:name="_Toc445801813"/>
      <w:r w:rsidRPr="008B5877">
        <w:t>Source:</w:t>
      </w:r>
      <w:r w:rsidRPr="008B5877">
        <w:tab/>
        <w:t xml:space="preserve">AER analysis and DMIA </w:t>
      </w:r>
      <w:r w:rsidR="00F6148F">
        <w:t>r</w:t>
      </w:r>
      <w:r w:rsidRPr="008B5877">
        <w:t xml:space="preserve">eports submitted by DNSPs; </w:t>
      </w:r>
      <w:r w:rsidR="0055068C">
        <w:t>numbers</w:t>
      </w:r>
      <w:r w:rsidRPr="008B5877">
        <w:t xml:space="preserve"> may not be exact due to rounding.</w:t>
      </w:r>
    </w:p>
    <w:p w:rsidR="009B0BB6" w:rsidRDefault="009B0BB6" w:rsidP="009B0BB6">
      <w:pPr>
        <w:pStyle w:val="AERtablesource"/>
      </w:pPr>
      <w:r>
        <w:t>Note: (a)</w:t>
      </w:r>
      <w:r>
        <w:tab/>
        <w:t xml:space="preserve">the final carryover amounts will be subject to the final adjustment when the WACC is updated when DNSPs submit the annual pricing proposals.   </w:t>
      </w:r>
    </w:p>
    <w:p w:rsidR="00192DE7" w:rsidRPr="008B5877" w:rsidRDefault="00192DE7" w:rsidP="00192DE7">
      <w:pPr>
        <w:pStyle w:val="AERtablesource"/>
      </w:pPr>
      <w:r w:rsidRPr="008B5877">
        <w:t xml:space="preserve">   </w:t>
      </w:r>
    </w:p>
    <w:p w:rsidR="002D146E" w:rsidRDefault="002D146E">
      <w:pPr>
        <w:spacing w:line="240" w:lineRule="auto"/>
      </w:pPr>
      <w:r>
        <w:br w:type="page"/>
      </w:r>
    </w:p>
    <w:p w:rsidR="003E5CC1" w:rsidRPr="003F20E1" w:rsidRDefault="003E5CC1" w:rsidP="003F20E1">
      <w:pPr>
        <w:pStyle w:val="Heading1"/>
      </w:pPr>
      <w:r w:rsidRPr="003F20E1">
        <w:lastRenderedPageBreak/>
        <w:t>ActewAGL</w:t>
      </w:r>
      <w:bookmarkEnd w:id="8"/>
      <w:bookmarkEnd w:id="22"/>
    </w:p>
    <w:p w:rsidR="00E0633C" w:rsidRDefault="00E0633C" w:rsidP="00E0633C">
      <w:pPr>
        <w:numPr>
          <w:ilvl w:val="0"/>
          <w:numId w:val="24"/>
        </w:numPr>
      </w:pPr>
      <w:bookmarkStart w:id="23" w:name="_Toc392751193"/>
      <w:r>
        <w:t>We have approved ActewAGL's 2013–14 DMIA expenditure of $</w:t>
      </w:r>
      <w:r w:rsidR="00F3552A">
        <w:t>442 759</w:t>
      </w:r>
      <w:r>
        <w:t xml:space="preserve"> for the costs of an ongoing demand management project that meets the DMIA criteria</w:t>
      </w:r>
      <w:r w:rsidRPr="001B0D42">
        <w:t>.</w:t>
      </w:r>
      <w:r>
        <w:t xml:space="preserve"> The following section sets out our assessment of this project. For more detailed information about the project, please refer to ActewAGL's 2013–14 DMIA report.</w:t>
      </w:r>
    </w:p>
    <w:p w:rsidR="00E0633C" w:rsidRPr="003F20E1" w:rsidRDefault="00E0633C" w:rsidP="00E0633C">
      <w:pPr>
        <w:pStyle w:val="Heading2"/>
      </w:pPr>
      <w:bookmarkStart w:id="24" w:name="_Toc392751192"/>
      <w:bookmarkStart w:id="25" w:name="_Toc408238503"/>
      <w:bookmarkStart w:id="26" w:name="_Toc408571576"/>
      <w:bookmarkStart w:id="27" w:name="_Toc409617501"/>
      <w:bookmarkStart w:id="28" w:name="_Toc409702120"/>
      <w:bookmarkStart w:id="29" w:name="_Toc409778839"/>
      <w:bookmarkStart w:id="30" w:name="_Toc411513668"/>
      <w:bookmarkStart w:id="31" w:name="_Toc443045307"/>
      <w:bookmarkStart w:id="32" w:name="_Toc445801814"/>
      <w:r w:rsidRPr="003F20E1">
        <w:t>Power Factor Correction</w:t>
      </w:r>
      <w:bookmarkEnd w:id="24"/>
      <w:bookmarkEnd w:id="25"/>
      <w:bookmarkEnd w:id="26"/>
      <w:bookmarkEnd w:id="27"/>
      <w:bookmarkEnd w:id="28"/>
      <w:bookmarkEnd w:id="29"/>
      <w:bookmarkEnd w:id="30"/>
      <w:bookmarkEnd w:id="31"/>
      <w:bookmarkEnd w:id="32"/>
      <w:r w:rsidRPr="003F20E1">
        <w:t xml:space="preserve"> </w:t>
      </w:r>
    </w:p>
    <w:p w:rsidR="00E0633C" w:rsidRPr="003F20E1" w:rsidRDefault="00E0633C" w:rsidP="00E0633C">
      <w:pPr>
        <w:pStyle w:val="Heading3"/>
      </w:pPr>
      <w:bookmarkStart w:id="33" w:name="_Toc408238504"/>
      <w:bookmarkStart w:id="34" w:name="_Toc408571577"/>
      <w:bookmarkStart w:id="35" w:name="_Toc409617502"/>
      <w:bookmarkStart w:id="36" w:name="_Toc409702121"/>
      <w:bookmarkStart w:id="37" w:name="_Toc409778840"/>
      <w:bookmarkStart w:id="38" w:name="_Toc411513669"/>
      <w:bookmarkStart w:id="39" w:name="_Toc443045308"/>
      <w:bookmarkStart w:id="40" w:name="_Toc445801815"/>
      <w:r w:rsidRPr="003F20E1">
        <w:t>Project overview</w:t>
      </w:r>
      <w:bookmarkEnd w:id="33"/>
      <w:bookmarkEnd w:id="34"/>
      <w:bookmarkEnd w:id="35"/>
      <w:bookmarkEnd w:id="36"/>
      <w:bookmarkEnd w:id="37"/>
      <w:bookmarkEnd w:id="38"/>
      <w:bookmarkEnd w:id="39"/>
      <w:bookmarkEnd w:id="40"/>
    </w:p>
    <w:p w:rsidR="00E0633C" w:rsidRDefault="00E0633C" w:rsidP="00E0633C">
      <w:pPr>
        <w:numPr>
          <w:ilvl w:val="0"/>
          <w:numId w:val="24"/>
        </w:numPr>
      </w:pPr>
      <w:r w:rsidRPr="00CD2B41">
        <w:t>Acte</w:t>
      </w:r>
      <w:r>
        <w:t xml:space="preserve">wAGL and TransGrid's joint Power Factor Correction </w:t>
      </w:r>
      <w:r w:rsidRPr="00CD2B41">
        <w:t xml:space="preserve">project </w:t>
      </w:r>
      <w:r>
        <w:t xml:space="preserve">commenced in 2009–10. ActewAGL's 2013–14 DMIA expenditure is for the continuation of this project. </w:t>
      </w:r>
      <w:r w:rsidRPr="00CD2B41">
        <w:t>The project aims to reduce demand for standard control services for large commercial customers who record 15 minute interval consumption data across its network.</w:t>
      </w:r>
    </w:p>
    <w:p w:rsidR="00E0633C" w:rsidRPr="003F20E1" w:rsidRDefault="00E0633C" w:rsidP="00E0633C">
      <w:pPr>
        <w:pStyle w:val="Heading3"/>
      </w:pPr>
      <w:bookmarkStart w:id="41" w:name="_Toc408238505"/>
      <w:bookmarkStart w:id="42" w:name="_Toc408571578"/>
      <w:bookmarkStart w:id="43" w:name="_Toc409617503"/>
      <w:bookmarkStart w:id="44" w:name="_Toc409702122"/>
      <w:bookmarkStart w:id="45" w:name="_Toc409778841"/>
      <w:bookmarkStart w:id="46" w:name="_Toc411513670"/>
      <w:bookmarkStart w:id="47" w:name="_Toc443045309"/>
      <w:bookmarkStart w:id="48" w:name="_Toc445801816"/>
      <w:r w:rsidRPr="003F20E1">
        <w:t>Assessment against DMIA criteria</w:t>
      </w:r>
      <w:bookmarkEnd w:id="41"/>
      <w:bookmarkEnd w:id="42"/>
      <w:bookmarkEnd w:id="43"/>
      <w:bookmarkEnd w:id="44"/>
      <w:bookmarkEnd w:id="45"/>
      <w:bookmarkEnd w:id="46"/>
      <w:bookmarkEnd w:id="47"/>
      <w:bookmarkEnd w:id="48"/>
    </w:p>
    <w:p w:rsidR="00E0633C" w:rsidRDefault="00E0633C" w:rsidP="00E0633C">
      <w:pPr>
        <w:rPr>
          <w:rStyle w:val="Strong"/>
        </w:rPr>
      </w:pPr>
      <w:r w:rsidRPr="00C17C23">
        <w:rPr>
          <w:rStyle w:val="Strong"/>
        </w:rPr>
        <w:t>Criteria #1</w:t>
      </w:r>
      <w:r>
        <w:rPr>
          <w:rStyle w:val="Strong"/>
        </w:rPr>
        <w:t xml:space="preserve"> </w:t>
      </w:r>
      <w:r>
        <w:t xml:space="preserve">The project </w:t>
      </w:r>
      <w:r w:rsidRPr="00C36D0C">
        <w:t>is a measure undertaken by ActewAGL to reduce peak apparent demand on commercial feeders. The project aims to reduce demand for standard control services by identifying customers for whom suitable power correction equipment may be installed.</w:t>
      </w:r>
    </w:p>
    <w:p w:rsidR="00E0633C" w:rsidRPr="00C17C23" w:rsidRDefault="00E0633C" w:rsidP="00E0633C">
      <w:r>
        <w:rPr>
          <w:rStyle w:val="Strong"/>
        </w:rPr>
        <w:t>Criteria #</w:t>
      </w:r>
      <w:r w:rsidRPr="00C17C23">
        <w:rPr>
          <w:rStyle w:val="Strong"/>
        </w:rPr>
        <w:t xml:space="preserve">2 </w:t>
      </w:r>
      <w:r>
        <w:t xml:space="preserve">This is a broad-based demand management project that targets large commercial users. </w:t>
      </w:r>
      <w:r w:rsidRPr="00C17C23">
        <w:t xml:space="preserve"> </w:t>
      </w:r>
    </w:p>
    <w:p w:rsidR="00E0633C" w:rsidRDefault="00E0633C" w:rsidP="00E0633C">
      <w:pPr>
        <w:rPr>
          <w:rStyle w:val="Strong"/>
        </w:rPr>
      </w:pPr>
      <w:r>
        <w:rPr>
          <w:rStyle w:val="Strong"/>
        </w:rPr>
        <w:t xml:space="preserve">Criteria </w:t>
      </w:r>
      <w:r w:rsidRPr="00C17C23">
        <w:rPr>
          <w:rStyle w:val="Strong"/>
        </w:rPr>
        <w:t>#3</w:t>
      </w:r>
      <w:r>
        <w:rPr>
          <w:rStyle w:val="Strong"/>
        </w:rPr>
        <w:t xml:space="preserve"> </w:t>
      </w:r>
      <w:r>
        <w:t>This</w:t>
      </w:r>
      <w:r w:rsidRPr="00C36D0C">
        <w:t xml:space="preserve"> </w:t>
      </w:r>
      <w:r>
        <w:t xml:space="preserve">project </w:t>
      </w:r>
      <w:r w:rsidRPr="00C36D0C">
        <w:t>will explore potentially efficient demand management mechanisms in terms of power factor correction equipment installation in existing premises</w:t>
      </w:r>
    </w:p>
    <w:p w:rsidR="00E0633C" w:rsidRPr="00CD2645" w:rsidRDefault="00E0633C" w:rsidP="00E0633C">
      <w:pPr>
        <w:rPr>
          <w:rStyle w:val="AERbody"/>
        </w:rPr>
      </w:pPr>
      <w:r w:rsidRPr="00C17C23">
        <w:rPr>
          <w:rStyle w:val="Strong"/>
        </w:rPr>
        <w:t>Criteria #4</w:t>
      </w:r>
      <w:r>
        <w:rPr>
          <w:rStyle w:val="Strong"/>
        </w:rPr>
        <w:t xml:space="preserve"> </w:t>
      </w:r>
      <w:r>
        <w:rPr>
          <w:rStyle w:val="AERbody"/>
        </w:rPr>
        <w:t>Non-tariff based</w:t>
      </w:r>
    </w:p>
    <w:p w:rsidR="00E0633C" w:rsidRPr="00CD2645" w:rsidRDefault="00E0633C" w:rsidP="00E0633C">
      <w:pPr>
        <w:rPr>
          <w:rStyle w:val="AERbody"/>
        </w:rPr>
      </w:pPr>
      <w:r w:rsidRPr="00C17C23">
        <w:rPr>
          <w:rStyle w:val="Strong"/>
        </w:rPr>
        <w:t>Criteria #5</w:t>
      </w:r>
      <w:r>
        <w:rPr>
          <w:rStyle w:val="Strong"/>
        </w:rPr>
        <w:t xml:space="preserve"> </w:t>
      </w:r>
      <w:r>
        <w:rPr>
          <w:rStyle w:val="AERbody"/>
        </w:rPr>
        <w:t xml:space="preserve">This criterion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p>
    <w:p w:rsidR="00E0633C" w:rsidRPr="00C17C23" w:rsidRDefault="00E0633C" w:rsidP="00E0633C">
      <w:pPr>
        <w:numPr>
          <w:ilvl w:val="0"/>
          <w:numId w:val="24"/>
        </w:numPr>
        <w:rPr>
          <w:rStyle w:val="Strong"/>
        </w:rPr>
      </w:pPr>
      <w:r w:rsidRPr="00C17C23">
        <w:rPr>
          <w:rStyle w:val="Strong"/>
        </w:rPr>
        <w:t>Criteria #6</w:t>
      </w:r>
      <w:r>
        <w:rPr>
          <w:rStyle w:val="Strong"/>
        </w:rPr>
        <w:t xml:space="preserve"> </w:t>
      </w:r>
      <w:r w:rsidRPr="00CD2645">
        <w:rPr>
          <w:rStyle w:val="AERbody"/>
        </w:rPr>
        <w:t>Opex</w:t>
      </w:r>
    </w:p>
    <w:p w:rsidR="000A2B46" w:rsidRDefault="000A2B46">
      <w:pPr>
        <w:spacing w:line="240" w:lineRule="auto"/>
      </w:pPr>
    </w:p>
    <w:p w:rsidR="00CE587A" w:rsidRDefault="00CE587A">
      <w:pPr>
        <w:spacing w:line="240" w:lineRule="auto"/>
        <w:rPr>
          <w:rFonts w:eastAsiaTheme="majorEastAsia" w:cstheme="majorBidi"/>
          <w:b/>
          <w:bCs/>
          <w:color w:val="70635A"/>
          <w:sz w:val="36"/>
          <w:szCs w:val="28"/>
        </w:rPr>
      </w:pPr>
      <w:r>
        <w:br w:type="page"/>
      </w:r>
    </w:p>
    <w:p w:rsidR="00CE587A" w:rsidRPr="003F20E1" w:rsidRDefault="00CE587A" w:rsidP="003F20E1">
      <w:pPr>
        <w:pStyle w:val="Heading1"/>
      </w:pPr>
      <w:bookmarkStart w:id="49" w:name="_Toc445801817"/>
      <w:bookmarkEnd w:id="23"/>
      <w:r w:rsidRPr="003F20E1">
        <w:lastRenderedPageBreak/>
        <w:t>Ausgrid</w:t>
      </w:r>
      <w:bookmarkEnd w:id="49"/>
    </w:p>
    <w:p w:rsidR="00E0633C" w:rsidRDefault="00E0633C" w:rsidP="00E0633C">
      <w:pPr>
        <w:numPr>
          <w:ilvl w:val="0"/>
          <w:numId w:val="24"/>
        </w:numPr>
      </w:pPr>
      <w:bookmarkStart w:id="50" w:name="_Toc392751212"/>
      <w:r>
        <w:t xml:space="preserve">We approve </w:t>
      </w:r>
      <w:r w:rsidRPr="001B0D42">
        <w:t xml:space="preserve">DMIA expenditure of </w:t>
      </w:r>
      <w:r w:rsidRPr="0006167F">
        <w:t>$</w:t>
      </w:r>
      <w:r>
        <w:t>2 473 150 for 12 projects because they meet the DMIA criteria. Of these 12 projects, Ausgrid</w:t>
      </w:r>
      <w:r w:rsidRPr="0006167F">
        <w:t xml:space="preserve"> began </w:t>
      </w:r>
      <w:r>
        <w:t>two</w:t>
      </w:r>
      <w:r w:rsidRPr="0006167F">
        <w:t xml:space="preserve"> new projects</w:t>
      </w:r>
      <w:r>
        <w:t xml:space="preserve"> in 2013–14</w:t>
      </w:r>
      <w:r w:rsidRPr="0006167F">
        <w:t xml:space="preserve"> and continued another </w:t>
      </w:r>
      <w:r>
        <w:t>ten</w:t>
      </w:r>
      <w:r w:rsidRPr="0006167F">
        <w:t xml:space="preserve"> (which have previously been approved by the AER). </w:t>
      </w:r>
      <w:r>
        <w:t>The following section sets out our assessment of the individual projects. For more detailed information about these projects, please refer to Ausgrid's 2013–14 DMIA report.</w:t>
      </w:r>
    </w:p>
    <w:p w:rsidR="00E0633C" w:rsidRDefault="00E0633C" w:rsidP="00E0633C">
      <w:pPr>
        <w:pStyle w:val="Heading2"/>
      </w:pPr>
      <w:bookmarkStart w:id="51" w:name="_Toc443045311"/>
      <w:bookmarkStart w:id="52" w:name="_Toc445801818"/>
      <w:r>
        <w:t>Automatic demand response</w:t>
      </w:r>
      <w:bookmarkEnd w:id="51"/>
      <w:bookmarkEnd w:id="52"/>
    </w:p>
    <w:p w:rsidR="00E0633C" w:rsidRDefault="00E0633C" w:rsidP="00E0633C">
      <w:pPr>
        <w:pStyle w:val="Heading3"/>
      </w:pPr>
      <w:bookmarkStart w:id="53" w:name="_Toc443045312"/>
      <w:bookmarkStart w:id="54" w:name="_Toc445801819"/>
      <w:r>
        <w:t>Project overview</w:t>
      </w:r>
      <w:bookmarkEnd w:id="53"/>
      <w:bookmarkEnd w:id="54"/>
    </w:p>
    <w:p w:rsidR="00E0633C" w:rsidRDefault="00E0633C" w:rsidP="00E0633C">
      <w:r>
        <w:t>This is a new project that seeks to investigate the use of automated demand response (Auto DR) technologies at non–residential customer sites. Once installed, Auto DR technologies enable customers to initiate pre–programmed demand response strategies throughout their building or energy management system, without any manual intervention. Ausgrid claimed DMIA expenditure in 2013–14 of $24 931 for this project, which is still in the research and development stage.</w:t>
      </w:r>
    </w:p>
    <w:p w:rsidR="00E0633C" w:rsidRDefault="00E0633C" w:rsidP="00E0633C">
      <w:pPr>
        <w:pStyle w:val="Heading3"/>
      </w:pPr>
      <w:bookmarkStart w:id="55" w:name="_Toc443045313"/>
      <w:bookmarkStart w:id="56" w:name="_Toc445801820"/>
      <w:r>
        <w:t>Assessment against DMIA criteria</w:t>
      </w:r>
      <w:bookmarkEnd w:id="55"/>
      <w:bookmarkEnd w:id="56"/>
    </w:p>
    <w:p w:rsidR="00E0633C" w:rsidRPr="00BF7843" w:rsidRDefault="00E0633C" w:rsidP="00E0633C">
      <w:r w:rsidRPr="00C17C23">
        <w:rPr>
          <w:rStyle w:val="Strong"/>
        </w:rPr>
        <w:t>Criteria #1</w:t>
      </w:r>
      <w:r>
        <w:rPr>
          <w:rStyle w:val="Strong"/>
        </w:rPr>
        <w:t xml:space="preserve"> </w:t>
      </w:r>
      <w:r>
        <w:t>The project is a measure undertaken by Ausgrid to manage demand through non–network alternatives. Its aim is to reduce or shift demand by conducting research and development into the viability of technology capable of automating the load responses of customers.</w:t>
      </w:r>
    </w:p>
    <w:p w:rsidR="00E0633C" w:rsidRPr="000E48BF" w:rsidRDefault="00E0633C" w:rsidP="00E0633C">
      <w:r>
        <w:rPr>
          <w:rStyle w:val="Strong"/>
        </w:rPr>
        <w:t>Criteria #</w:t>
      </w:r>
      <w:r w:rsidRPr="00C17C23">
        <w:rPr>
          <w:rStyle w:val="Strong"/>
        </w:rPr>
        <w:t xml:space="preserve">2 </w:t>
      </w:r>
      <w:r w:rsidRPr="000E48BF">
        <w:t>Thi</w:t>
      </w:r>
      <w:r>
        <w:t>s is a broad–based demand management project that targets non–residential customers.</w:t>
      </w:r>
    </w:p>
    <w:p w:rsidR="00E0633C" w:rsidRDefault="00E0633C" w:rsidP="00E0633C">
      <w:r>
        <w:rPr>
          <w:rStyle w:val="Strong"/>
        </w:rPr>
        <w:t xml:space="preserve">Criteria </w:t>
      </w:r>
      <w:r w:rsidRPr="00C17C23">
        <w:rPr>
          <w:rStyle w:val="Strong"/>
        </w:rPr>
        <w:t>#3</w:t>
      </w:r>
      <w:r>
        <w:rPr>
          <w:rStyle w:val="Strong"/>
        </w:rPr>
        <w:t xml:space="preserve"> </w:t>
      </w:r>
      <w:r w:rsidRPr="00C17C23">
        <w:t>This condit</w:t>
      </w:r>
      <w:r>
        <w:t>ion is satisfied since the project investigates technologies that may offer innovative ways to build on existing demand management capabilities.</w:t>
      </w:r>
    </w:p>
    <w:p w:rsidR="00E0633C" w:rsidRPr="00CD2645" w:rsidRDefault="00E0633C" w:rsidP="00E0633C">
      <w:pPr>
        <w:rPr>
          <w:rStyle w:val="AERbody"/>
        </w:rPr>
      </w:pPr>
      <w:r w:rsidRPr="00C17C23">
        <w:rPr>
          <w:rStyle w:val="Strong"/>
        </w:rPr>
        <w:t>Criteria #4</w:t>
      </w:r>
      <w:r>
        <w:rPr>
          <w:rStyle w:val="Strong"/>
        </w:rPr>
        <w:t xml:space="preserve"> </w:t>
      </w:r>
      <w:r w:rsidRPr="002616F9">
        <w:t>Non–tariff based.</w:t>
      </w:r>
    </w:p>
    <w:p w:rsidR="00E0633C" w:rsidRPr="00CD2645" w:rsidRDefault="00E0633C" w:rsidP="00E0633C">
      <w:pPr>
        <w:rPr>
          <w:rStyle w:val="AERbody"/>
        </w:rPr>
      </w:pPr>
      <w:r w:rsidRPr="00C17C23">
        <w:rPr>
          <w:rStyle w:val="Strong"/>
        </w:rPr>
        <w:t>Criteria #5</w:t>
      </w:r>
      <w:r>
        <w:rPr>
          <w:rStyle w:val="Strong"/>
        </w:rPr>
        <w:t xml:space="preserve"> </w:t>
      </w:r>
      <w:r>
        <w:rPr>
          <w:rStyle w:val="AERbody"/>
        </w:rPr>
        <w:t xml:space="preserve">This criterion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p>
    <w:p w:rsidR="00E0633C" w:rsidRPr="00C17C23" w:rsidRDefault="00E0633C" w:rsidP="00E0633C">
      <w:pPr>
        <w:rPr>
          <w:rStyle w:val="Strong"/>
        </w:rPr>
      </w:pPr>
      <w:r w:rsidRPr="00C17C23">
        <w:rPr>
          <w:rStyle w:val="Strong"/>
        </w:rPr>
        <w:t>Criteria #6</w:t>
      </w:r>
      <w:r>
        <w:rPr>
          <w:rStyle w:val="Strong"/>
        </w:rPr>
        <w:t xml:space="preserve"> </w:t>
      </w:r>
      <w:r w:rsidRPr="002616F9">
        <w:t>Opex.</w:t>
      </w:r>
    </w:p>
    <w:p w:rsidR="00E0633C" w:rsidRDefault="00E0633C" w:rsidP="00E0633C">
      <w:pPr>
        <w:pStyle w:val="Heading2"/>
      </w:pPr>
      <w:bookmarkStart w:id="57" w:name="_Toc443045314"/>
      <w:bookmarkStart w:id="58" w:name="_Toc445801821"/>
      <w:r>
        <w:t>Pool pump demand study</w:t>
      </w:r>
      <w:bookmarkEnd w:id="57"/>
      <w:bookmarkEnd w:id="58"/>
    </w:p>
    <w:p w:rsidR="00E0633C" w:rsidRDefault="00E0633C" w:rsidP="00E0633C">
      <w:r>
        <w:t>This is a new project that trials a rebate to customers who purchase and install an energy efficient pool pump. It also incorporates a study into the reduction in diversified summer peak demand that is achievable when an energy efficient pool pump is installed. Ausgrid claimed DMIA expenditure in 2013–14 of $8 450 for this project, which is still in the development stage.</w:t>
      </w:r>
    </w:p>
    <w:p w:rsidR="00E0633C" w:rsidRDefault="00E0633C" w:rsidP="00E0633C">
      <w:pPr>
        <w:pStyle w:val="Heading3"/>
      </w:pPr>
      <w:bookmarkStart w:id="59" w:name="_Toc443045315"/>
      <w:bookmarkStart w:id="60" w:name="_Toc445801822"/>
      <w:r>
        <w:lastRenderedPageBreak/>
        <w:t>Assessment against DMIA criteria</w:t>
      </w:r>
      <w:bookmarkEnd w:id="59"/>
      <w:bookmarkEnd w:id="60"/>
    </w:p>
    <w:p w:rsidR="00E0633C" w:rsidRPr="00C17C23" w:rsidRDefault="00E0633C" w:rsidP="00E0633C">
      <w:r w:rsidRPr="00C17C23">
        <w:rPr>
          <w:rStyle w:val="Strong"/>
        </w:rPr>
        <w:t>Criteria #1</w:t>
      </w:r>
      <w:r>
        <w:rPr>
          <w:rStyle w:val="Strong"/>
        </w:rPr>
        <w:t xml:space="preserve"> </w:t>
      </w:r>
      <w:r>
        <w:t>The installation of energy efficient pool pumps</w:t>
      </w:r>
      <w:r w:rsidRPr="00C17C23">
        <w:t xml:space="preserve"> </w:t>
      </w:r>
      <w:r>
        <w:t xml:space="preserve">can help reduce summer peak demand, which may reduce the need for network augmentation. </w:t>
      </w:r>
      <w:r w:rsidRPr="00C17C23">
        <w:t xml:space="preserve"> </w:t>
      </w:r>
    </w:p>
    <w:p w:rsidR="00E0633C" w:rsidRPr="00C17C23" w:rsidRDefault="00E0633C" w:rsidP="00E0633C">
      <w:r>
        <w:rPr>
          <w:rStyle w:val="Strong"/>
        </w:rPr>
        <w:t>Criteria #</w:t>
      </w:r>
      <w:r w:rsidRPr="00C17C23">
        <w:rPr>
          <w:rStyle w:val="Strong"/>
        </w:rPr>
        <w:t xml:space="preserve">2 </w:t>
      </w:r>
      <w:r>
        <w:t xml:space="preserve">This is a peak demand project. </w:t>
      </w:r>
    </w:p>
    <w:p w:rsidR="00E0633C" w:rsidRDefault="00E0633C" w:rsidP="00E0633C">
      <w:r>
        <w:rPr>
          <w:rStyle w:val="Strong"/>
        </w:rPr>
        <w:t xml:space="preserve">Criteria </w:t>
      </w:r>
      <w:r w:rsidRPr="00C17C23">
        <w:rPr>
          <w:rStyle w:val="Strong"/>
        </w:rPr>
        <w:t>#3</w:t>
      </w:r>
      <w:r>
        <w:rPr>
          <w:rStyle w:val="Strong"/>
        </w:rPr>
        <w:t xml:space="preserve"> </w:t>
      </w:r>
      <w:r w:rsidRPr="00C17C23">
        <w:t>This project satisfies this condition as it explores a potentially efficient demand management mechanism (</w:t>
      </w:r>
      <w:r>
        <w:t>offering rebates to customers that purchase and install energy efficient pool pumps</w:t>
      </w:r>
      <w:r w:rsidRPr="00C17C23">
        <w:t>).</w:t>
      </w:r>
    </w:p>
    <w:p w:rsidR="00E0633C" w:rsidRPr="00CD2645" w:rsidRDefault="00E0633C" w:rsidP="00E0633C">
      <w:pPr>
        <w:rPr>
          <w:rStyle w:val="AERbody"/>
        </w:rPr>
      </w:pPr>
      <w:r w:rsidRPr="00C17C23">
        <w:rPr>
          <w:rStyle w:val="Strong"/>
        </w:rPr>
        <w:t>Criteria #4</w:t>
      </w:r>
      <w:r>
        <w:rPr>
          <w:rStyle w:val="Strong"/>
        </w:rPr>
        <w:t xml:space="preserve"> </w:t>
      </w:r>
      <w:r>
        <w:rPr>
          <w:rStyle w:val="AERbody"/>
        </w:rPr>
        <w:t>Non-tariff based</w:t>
      </w:r>
    </w:p>
    <w:p w:rsidR="00E0633C" w:rsidRPr="00CD2645" w:rsidRDefault="00E0633C" w:rsidP="00E0633C">
      <w:pPr>
        <w:rPr>
          <w:rStyle w:val="AERbody"/>
        </w:rPr>
      </w:pPr>
      <w:r w:rsidRPr="00C17C23">
        <w:rPr>
          <w:rStyle w:val="Strong"/>
        </w:rPr>
        <w:t>Criteria #5</w:t>
      </w:r>
      <w:r>
        <w:rPr>
          <w:rStyle w:val="Strong"/>
        </w:rPr>
        <w:t xml:space="preserve"> </w:t>
      </w:r>
      <w:r>
        <w:rPr>
          <w:rStyle w:val="AERbody"/>
        </w:rPr>
        <w:t xml:space="preserve">This criterion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r>
        <w:t>.</w:t>
      </w:r>
      <w:r w:rsidRPr="009724BC">
        <w:rPr>
          <w:rStyle w:val="AERbody"/>
        </w:rPr>
        <w:t xml:space="preserve"> </w:t>
      </w:r>
    </w:p>
    <w:p w:rsidR="00E0633C" w:rsidRPr="00C17C23" w:rsidRDefault="00E0633C" w:rsidP="00E0633C">
      <w:pPr>
        <w:numPr>
          <w:ilvl w:val="0"/>
          <w:numId w:val="24"/>
        </w:numPr>
        <w:rPr>
          <w:rStyle w:val="Strong"/>
        </w:rPr>
      </w:pPr>
      <w:r w:rsidRPr="00C17C23">
        <w:rPr>
          <w:rStyle w:val="Strong"/>
        </w:rPr>
        <w:t>Criteria #6</w:t>
      </w:r>
      <w:r>
        <w:rPr>
          <w:rStyle w:val="Strong"/>
        </w:rPr>
        <w:t xml:space="preserve"> </w:t>
      </w:r>
      <w:r>
        <w:rPr>
          <w:rStyle w:val="AERbody"/>
        </w:rPr>
        <w:t>Opex</w:t>
      </w:r>
    </w:p>
    <w:p w:rsidR="00045D1E" w:rsidRDefault="00045D1E" w:rsidP="00045D1E">
      <w:pPr>
        <w:pStyle w:val="Heading2"/>
      </w:pPr>
      <w:bookmarkStart w:id="61" w:name="_Toc392751207"/>
      <w:bookmarkStart w:id="62" w:name="_Toc408238544"/>
      <w:bookmarkStart w:id="63" w:name="_Toc408571617"/>
      <w:bookmarkStart w:id="64" w:name="_Toc409617542"/>
      <w:bookmarkStart w:id="65" w:name="_Toc409702151"/>
      <w:bookmarkStart w:id="66" w:name="_Toc409778870"/>
      <w:bookmarkStart w:id="67" w:name="_Toc411513699"/>
      <w:bookmarkStart w:id="68" w:name="_Toc443045316"/>
      <w:bookmarkStart w:id="69" w:name="_Toc445801823"/>
      <w:r w:rsidRPr="00045D1E">
        <w:t>Dynamic peak rebate for non-residential customers</w:t>
      </w:r>
    </w:p>
    <w:p w:rsidR="00045D1E" w:rsidRDefault="00045D1E" w:rsidP="00045D1E">
      <w:pPr>
        <w:pStyle w:val="Heading3"/>
      </w:pPr>
      <w:r w:rsidRPr="003F20E1">
        <w:t>Project overview</w:t>
      </w:r>
    </w:p>
    <w:p w:rsidR="00045D1E" w:rsidRPr="00045D1E" w:rsidRDefault="00045D1E" w:rsidP="00045D1E">
      <w:r w:rsidRPr="00045D1E">
        <w:t>The Dynamic Peak Rebate (DPR) trial provided a financial incentive to medium to large non-residential customers to</w:t>
      </w:r>
      <w:r>
        <w:t xml:space="preserve"> </w:t>
      </w:r>
      <w:r w:rsidRPr="00045D1E">
        <w:t>reduce their demand during the summer peak demand period on the 5-10 days of the year when network assets are</w:t>
      </w:r>
      <w:r>
        <w:t xml:space="preserve"> </w:t>
      </w:r>
      <w:r w:rsidRPr="00045D1E">
        <w:t>operating at maximum demand.</w:t>
      </w:r>
      <w:r>
        <w:t xml:space="preserve"> </w:t>
      </w:r>
      <w:r w:rsidRPr="00045D1E">
        <w:t>The DPR approach allows the customer to discover their own least cost demand reduction to supply reductions for</w:t>
      </w:r>
      <w:r>
        <w:t xml:space="preserve"> </w:t>
      </w:r>
      <w:r w:rsidRPr="00045D1E">
        <w:t>network deferral or minimise load at risk.</w:t>
      </w:r>
      <w:r>
        <w:t xml:space="preserve"> </w:t>
      </w:r>
      <w:r w:rsidRPr="00045D1E">
        <w:t>Ausgrid claimed DMIA e</w:t>
      </w:r>
      <w:r>
        <w:t>xpenditure in 2013–14 of</w:t>
      </w:r>
      <w:r w:rsidRPr="00045D1E">
        <w:t xml:space="preserve"> </w:t>
      </w:r>
      <w:r>
        <w:t xml:space="preserve">$1 269 </w:t>
      </w:r>
      <w:r w:rsidRPr="00045D1E">
        <w:t>686</w:t>
      </w:r>
      <w:r>
        <w:t xml:space="preserve"> </w:t>
      </w:r>
      <w:r w:rsidRPr="00045D1E">
        <w:t>for this project.</w:t>
      </w:r>
    </w:p>
    <w:p w:rsidR="00045D1E" w:rsidRPr="003F20E1" w:rsidRDefault="00045D1E" w:rsidP="00045D1E">
      <w:pPr>
        <w:pStyle w:val="Heading3"/>
      </w:pPr>
      <w:r w:rsidRPr="003F20E1">
        <w:t>Assessment against DMIA criteria</w:t>
      </w:r>
    </w:p>
    <w:p w:rsidR="00045D1E" w:rsidRPr="005550F0" w:rsidRDefault="00045D1E" w:rsidP="00045D1E">
      <w:pPr>
        <w:rPr>
          <w:rStyle w:val="AERbody"/>
        </w:rPr>
      </w:pPr>
      <w:r w:rsidRPr="00C17C23">
        <w:rPr>
          <w:rStyle w:val="Strong"/>
        </w:rPr>
        <w:t>Criteria #1</w:t>
      </w:r>
      <w:r>
        <w:rPr>
          <w:rStyle w:val="Strong"/>
        </w:rPr>
        <w:t xml:space="preserve"> </w:t>
      </w:r>
      <w:r>
        <w:rPr>
          <w:rStyle w:val="AERbody"/>
        </w:rPr>
        <w:t xml:space="preserve">Reducing peak demand through using </w:t>
      </w:r>
      <w:r w:rsidR="00EC5036">
        <w:rPr>
          <w:rStyle w:val="AERbody"/>
        </w:rPr>
        <w:t>demand reduction</w:t>
      </w:r>
      <w:r>
        <w:rPr>
          <w:rStyle w:val="AERbody"/>
        </w:rPr>
        <w:t xml:space="preserve"> can help defer the need for network augmentation. </w:t>
      </w:r>
    </w:p>
    <w:p w:rsidR="00EC5036" w:rsidRPr="00C17C23" w:rsidRDefault="00EC5036" w:rsidP="00EC5036">
      <w:r>
        <w:rPr>
          <w:rStyle w:val="Strong"/>
        </w:rPr>
        <w:t>Criteria #</w:t>
      </w:r>
      <w:r w:rsidRPr="00C17C23">
        <w:rPr>
          <w:rStyle w:val="Strong"/>
        </w:rPr>
        <w:t xml:space="preserve">2 </w:t>
      </w:r>
      <w:r>
        <w:t xml:space="preserve">This is a peak demand management project. </w:t>
      </w:r>
    </w:p>
    <w:p w:rsidR="00EC5036" w:rsidRPr="00C17C23" w:rsidRDefault="00EC5036" w:rsidP="00EC5036">
      <w:r>
        <w:rPr>
          <w:rStyle w:val="Strong"/>
        </w:rPr>
        <w:t xml:space="preserve">Criteria </w:t>
      </w:r>
      <w:r w:rsidRPr="00C17C23">
        <w:rPr>
          <w:rStyle w:val="Strong"/>
        </w:rPr>
        <w:t>#3</w:t>
      </w:r>
      <w:r>
        <w:rPr>
          <w:rStyle w:val="Strong"/>
        </w:rPr>
        <w:t xml:space="preserve"> </w:t>
      </w:r>
      <w:r>
        <w:rPr>
          <w:rStyle w:val="AERbody"/>
        </w:rPr>
        <w:t xml:space="preserve">Dynamic peak rebate is part of an efficient demand management strategy. </w:t>
      </w:r>
      <w:r>
        <w:t xml:space="preserve"> </w:t>
      </w:r>
    </w:p>
    <w:p w:rsidR="00EC5036" w:rsidRPr="00CD2645" w:rsidRDefault="00EC5036" w:rsidP="00EC5036">
      <w:pPr>
        <w:rPr>
          <w:rStyle w:val="AERbody"/>
        </w:rPr>
      </w:pPr>
      <w:r w:rsidRPr="00C17C23">
        <w:rPr>
          <w:rStyle w:val="Strong"/>
        </w:rPr>
        <w:t>Criteria #4</w:t>
      </w:r>
      <w:r>
        <w:rPr>
          <w:rStyle w:val="Strong"/>
        </w:rPr>
        <w:t xml:space="preserve"> </w:t>
      </w:r>
      <w:r>
        <w:rPr>
          <w:rStyle w:val="AERbody"/>
        </w:rPr>
        <w:t>Non-tariff based</w:t>
      </w:r>
    </w:p>
    <w:p w:rsidR="00EC5036" w:rsidRPr="009724BC" w:rsidRDefault="00EC5036" w:rsidP="00EC5036">
      <w:pPr>
        <w:rPr>
          <w:rStyle w:val="AERbody"/>
        </w:rPr>
      </w:pPr>
      <w:r w:rsidRPr="00C17C23">
        <w:rPr>
          <w:rStyle w:val="Strong"/>
        </w:rPr>
        <w:t>Criteria #5</w:t>
      </w:r>
      <w:r>
        <w:rPr>
          <w:rStyle w:val="Strong"/>
        </w:rPr>
        <w:t xml:space="preserve"> </w:t>
      </w:r>
      <w:r>
        <w:rPr>
          <w:rStyle w:val="AERbody"/>
        </w:rPr>
        <w:t xml:space="preserve">This criterion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r>
        <w:t>.</w:t>
      </w:r>
    </w:p>
    <w:p w:rsidR="00EC5036" w:rsidRPr="00C17C23" w:rsidRDefault="00EC5036" w:rsidP="00EC5036">
      <w:pPr>
        <w:numPr>
          <w:ilvl w:val="0"/>
          <w:numId w:val="24"/>
        </w:numPr>
        <w:rPr>
          <w:rStyle w:val="Strong"/>
        </w:rPr>
      </w:pPr>
      <w:r w:rsidRPr="00C17C23">
        <w:rPr>
          <w:rStyle w:val="Strong"/>
        </w:rPr>
        <w:t>Criteria #6</w:t>
      </w:r>
      <w:r>
        <w:rPr>
          <w:rStyle w:val="Strong"/>
        </w:rPr>
        <w:t xml:space="preserve"> </w:t>
      </w:r>
      <w:r>
        <w:rPr>
          <w:rStyle w:val="AERbody"/>
        </w:rPr>
        <w:t>Opex</w:t>
      </w:r>
    </w:p>
    <w:p w:rsidR="00045D1E" w:rsidRPr="00045D1E" w:rsidRDefault="00045D1E" w:rsidP="00045D1E"/>
    <w:p w:rsidR="00E0633C" w:rsidRPr="003F20E1" w:rsidRDefault="00E0633C" w:rsidP="00E0633C">
      <w:pPr>
        <w:pStyle w:val="Heading2"/>
      </w:pPr>
      <w:r w:rsidRPr="003F20E1">
        <w:lastRenderedPageBreak/>
        <w:t>Dynamic Load Control of Small Hot Water Systems</w:t>
      </w:r>
      <w:bookmarkEnd w:id="61"/>
      <w:bookmarkEnd w:id="62"/>
      <w:bookmarkEnd w:id="63"/>
      <w:bookmarkEnd w:id="64"/>
      <w:bookmarkEnd w:id="65"/>
      <w:bookmarkEnd w:id="66"/>
      <w:bookmarkEnd w:id="67"/>
      <w:bookmarkEnd w:id="68"/>
      <w:bookmarkEnd w:id="69"/>
      <w:r w:rsidRPr="003F20E1">
        <w:t xml:space="preserve"> </w:t>
      </w:r>
    </w:p>
    <w:p w:rsidR="00E0633C" w:rsidRPr="003F20E1" w:rsidRDefault="00E0633C" w:rsidP="00E0633C">
      <w:pPr>
        <w:pStyle w:val="Heading3"/>
      </w:pPr>
      <w:bookmarkStart w:id="70" w:name="_Toc408238545"/>
      <w:bookmarkStart w:id="71" w:name="_Toc408571618"/>
      <w:bookmarkStart w:id="72" w:name="_Toc409617543"/>
      <w:bookmarkStart w:id="73" w:name="_Toc409702152"/>
      <w:bookmarkStart w:id="74" w:name="_Toc409778871"/>
      <w:bookmarkStart w:id="75" w:name="_Toc411513700"/>
      <w:bookmarkStart w:id="76" w:name="_Toc443045317"/>
      <w:bookmarkStart w:id="77" w:name="_Toc445801824"/>
      <w:r w:rsidRPr="003F20E1">
        <w:t>Project overview</w:t>
      </w:r>
      <w:bookmarkEnd w:id="70"/>
      <w:bookmarkEnd w:id="71"/>
      <w:bookmarkEnd w:id="72"/>
      <w:bookmarkEnd w:id="73"/>
      <w:bookmarkEnd w:id="74"/>
      <w:bookmarkEnd w:id="75"/>
      <w:bookmarkEnd w:id="76"/>
      <w:bookmarkEnd w:id="77"/>
    </w:p>
    <w:p w:rsidR="00E0633C" w:rsidRDefault="00E0633C" w:rsidP="00E0633C">
      <w:pPr>
        <w:numPr>
          <w:ilvl w:val="0"/>
          <w:numId w:val="24"/>
        </w:numPr>
      </w:pPr>
      <w:bookmarkStart w:id="78" w:name="_Toc408238546"/>
      <w:bookmarkStart w:id="79" w:name="_Toc408571619"/>
      <w:bookmarkStart w:id="80" w:name="_Toc409617544"/>
      <w:bookmarkStart w:id="81" w:name="_Toc409702153"/>
      <w:bookmarkStart w:id="82" w:name="_Toc409778872"/>
      <w:bookmarkStart w:id="83" w:name="_Toc411513701"/>
      <w:r w:rsidRPr="00A271CE">
        <w:t xml:space="preserve">This project is aimed at trialling a load control option for small and medium sized hot water systems. </w:t>
      </w:r>
      <w:r>
        <w:t xml:space="preserve">To do this, between five and ten days per year the </w:t>
      </w:r>
      <w:r w:rsidRPr="00A271CE">
        <w:t xml:space="preserve">electricity supply to </w:t>
      </w:r>
      <w:r>
        <w:t>participating customers' water tanks was turned off for three to five hours</w:t>
      </w:r>
      <w:r w:rsidRPr="00A271CE">
        <w:t>.</w:t>
      </w:r>
      <w:r>
        <w:t xml:space="preserve"> Ausgrid claimed DMIA expenditure in 2013–14 of</w:t>
      </w:r>
      <w:r w:rsidRPr="00C17C23">
        <w:t xml:space="preserve"> </w:t>
      </w:r>
      <w:r>
        <w:t>$20 642 for this project.</w:t>
      </w:r>
    </w:p>
    <w:p w:rsidR="00E0633C" w:rsidRPr="003F20E1" w:rsidRDefault="00E0633C" w:rsidP="00E0633C">
      <w:pPr>
        <w:pStyle w:val="Heading3"/>
      </w:pPr>
      <w:bookmarkStart w:id="84" w:name="_Toc443045318"/>
      <w:bookmarkStart w:id="85" w:name="_Toc445801825"/>
      <w:r w:rsidRPr="003F20E1">
        <w:t>Assessment against DMIA criteria</w:t>
      </w:r>
      <w:bookmarkEnd w:id="78"/>
      <w:bookmarkEnd w:id="79"/>
      <w:bookmarkEnd w:id="80"/>
      <w:bookmarkEnd w:id="81"/>
      <w:bookmarkEnd w:id="82"/>
      <w:bookmarkEnd w:id="83"/>
      <w:bookmarkEnd w:id="84"/>
      <w:bookmarkEnd w:id="85"/>
    </w:p>
    <w:p w:rsidR="00E0633C" w:rsidRPr="005550F0" w:rsidRDefault="00E0633C" w:rsidP="00E0633C">
      <w:pPr>
        <w:rPr>
          <w:rStyle w:val="AERbody"/>
        </w:rPr>
      </w:pPr>
      <w:r w:rsidRPr="00C17C23">
        <w:rPr>
          <w:rStyle w:val="Strong"/>
        </w:rPr>
        <w:t>Criteria #1</w:t>
      </w:r>
      <w:r>
        <w:rPr>
          <w:rStyle w:val="Strong"/>
        </w:rPr>
        <w:t xml:space="preserve"> </w:t>
      </w:r>
      <w:r>
        <w:rPr>
          <w:rStyle w:val="AERbody"/>
        </w:rPr>
        <w:t xml:space="preserve">Reducing peak demand through using load control can help defer the need for network augmentation. </w:t>
      </w:r>
    </w:p>
    <w:p w:rsidR="00E0633C" w:rsidRPr="00C17C23" w:rsidRDefault="00E0633C" w:rsidP="00E0633C">
      <w:r>
        <w:rPr>
          <w:rStyle w:val="Strong"/>
        </w:rPr>
        <w:t>Criteria #</w:t>
      </w:r>
      <w:r w:rsidRPr="00C17C23">
        <w:rPr>
          <w:rStyle w:val="Strong"/>
        </w:rPr>
        <w:t xml:space="preserve">2 </w:t>
      </w:r>
      <w:r>
        <w:t xml:space="preserve">This is a peak demand management project. </w:t>
      </w:r>
    </w:p>
    <w:p w:rsidR="00E0633C" w:rsidRPr="00C17C23" w:rsidRDefault="00E0633C" w:rsidP="00E0633C">
      <w:r>
        <w:rPr>
          <w:rStyle w:val="Strong"/>
        </w:rPr>
        <w:t xml:space="preserve">Criteria </w:t>
      </w:r>
      <w:r w:rsidRPr="00C17C23">
        <w:rPr>
          <w:rStyle w:val="Strong"/>
        </w:rPr>
        <w:t>#3</w:t>
      </w:r>
      <w:r>
        <w:rPr>
          <w:rStyle w:val="Strong"/>
        </w:rPr>
        <w:t xml:space="preserve"> </w:t>
      </w:r>
      <w:r>
        <w:rPr>
          <w:rStyle w:val="AERbody"/>
        </w:rPr>
        <w:t xml:space="preserve">Load control options are part of an efficient demand management strategy. </w:t>
      </w:r>
      <w:r>
        <w:t xml:space="preserve"> </w:t>
      </w:r>
    </w:p>
    <w:p w:rsidR="00E0633C" w:rsidRPr="00CD2645" w:rsidRDefault="00E0633C" w:rsidP="00E0633C">
      <w:pPr>
        <w:rPr>
          <w:rStyle w:val="AERbody"/>
        </w:rPr>
      </w:pPr>
      <w:r w:rsidRPr="00C17C23">
        <w:rPr>
          <w:rStyle w:val="Strong"/>
        </w:rPr>
        <w:t>Criteria #4</w:t>
      </w:r>
      <w:r>
        <w:rPr>
          <w:rStyle w:val="Strong"/>
        </w:rPr>
        <w:t xml:space="preserve"> </w:t>
      </w:r>
      <w:r>
        <w:rPr>
          <w:rStyle w:val="AERbody"/>
        </w:rPr>
        <w:t>Non-tariff based</w:t>
      </w:r>
    </w:p>
    <w:p w:rsidR="00E0633C" w:rsidRPr="009724BC" w:rsidRDefault="00E0633C" w:rsidP="00E0633C">
      <w:pPr>
        <w:rPr>
          <w:rStyle w:val="AERbody"/>
        </w:rPr>
      </w:pPr>
      <w:r w:rsidRPr="00C17C23">
        <w:rPr>
          <w:rStyle w:val="Strong"/>
        </w:rPr>
        <w:t>Criteria #5</w:t>
      </w:r>
      <w:r>
        <w:rPr>
          <w:rStyle w:val="Strong"/>
        </w:rPr>
        <w:t xml:space="preserve"> </w:t>
      </w:r>
      <w:r>
        <w:rPr>
          <w:rStyle w:val="AERbody"/>
        </w:rPr>
        <w:t xml:space="preserve">This criterion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r>
        <w:t>.</w:t>
      </w:r>
    </w:p>
    <w:p w:rsidR="00E0633C" w:rsidRPr="00C17C23" w:rsidRDefault="00E0633C" w:rsidP="00E0633C">
      <w:pPr>
        <w:numPr>
          <w:ilvl w:val="0"/>
          <w:numId w:val="24"/>
        </w:numPr>
        <w:rPr>
          <w:rStyle w:val="Strong"/>
        </w:rPr>
      </w:pPr>
      <w:r w:rsidRPr="00C17C23">
        <w:rPr>
          <w:rStyle w:val="Strong"/>
        </w:rPr>
        <w:t>Criteria #6</w:t>
      </w:r>
      <w:r>
        <w:rPr>
          <w:rStyle w:val="Strong"/>
        </w:rPr>
        <w:t xml:space="preserve"> </w:t>
      </w:r>
      <w:r>
        <w:rPr>
          <w:rStyle w:val="AERbody"/>
        </w:rPr>
        <w:t>Opex</w:t>
      </w:r>
    </w:p>
    <w:p w:rsidR="00E0633C" w:rsidRPr="003F20E1" w:rsidRDefault="00E0633C" w:rsidP="00E0633C">
      <w:pPr>
        <w:pStyle w:val="Heading2"/>
      </w:pPr>
      <w:bookmarkStart w:id="86" w:name="_Toc392751209"/>
      <w:bookmarkStart w:id="87" w:name="_Toc408238550"/>
      <w:bookmarkStart w:id="88" w:name="_Toc408571623"/>
      <w:bookmarkStart w:id="89" w:name="_Toc409617548"/>
      <w:bookmarkStart w:id="90" w:name="_Toc409702157"/>
      <w:bookmarkStart w:id="91" w:name="_Toc409778876"/>
      <w:bookmarkStart w:id="92" w:name="_Toc411513705"/>
      <w:bookmarkStart w:id="93" w:name="_Toc443045319"/>
      <w:bookmarkStart w:id="94" w:name="_Toc445801826"/>
      <w:r w:rsidRPr="003F20E1">
        <w:t>Subsidised Off-peak Hot Water Connections</w:t>
      </w:r>
      <w:bookmarkEnd w:id="86"/>
      <w:bookmarkEnd w:id="87"/>
      <w:bookmarkEnd w:id="88"/>
      <w:bookmarkEnd w:id="89"/>
      <w:bookmarkEnd w:id="90"/>
      <w:bookmarkEnd w:id="91"/>
      <w:bookmarkEnd w:id="92"/>
      <w:bookmarkEnd w:id="93"/>
      <w:bookmarkEnd w:id="94"/>
    </w:p>
    <w:p w:rsidR="00E0633C" w:rsidRPr="003F20E1" w:rsidRDefault="00E0633C" w:rsidP="00E0633C">
      <w:pPr>
        <w:pStyle w:val="Heading3"/>
      </w:pPr>
      <w:bookmarkStart w:id="95" w:name="_Toc408238551"/>
      <w:bookmarkStart w:id="96" w:name="_Toc408571624"/>
      <w:bookmarkStart w:id="97" w:name="_Toc409617549"/>
      <w:bookmarkStart w:id="98" w:name="_Toc409702158"/>
      <w:bookmarkStart w:id="99" w:name="_Toc409778877"/>
      <w:bookmarkStart w:id="100" w:name="_Toc411513706"/>
      <w:bookmarkStart w:id="101" w:name="_Toc443045320"/>
      <w:bookmarkStart w:id="102" w:name="_Toc445801827"/>
      <w:r w:rsidRPr="003F20E1">
        <w:t>Project overview</w:t>
      </w:r>
      <w:bookmarkEnd w:id="95"/>
      <w:bookmarkEnd w:id="96"/>
      <w:bookmarkEnd w:id="97"/>
      <w:bookmarkEnd w:id="98"/>
      <w:bookmarkEnd w:id="99"/>
      <w:bookmarkEnd w:id="100"/>
      <w:bookmarkEnd w:id="101"/>
      <w:bookmarkEnd w:id="102"/>
    </w:p>
    <w:p w:rsidR="00E0633C" w:rsidRPr="00A271CE" w:rsidRDefault="00E0633C" w:rsidP="00E0633C">
      <w:pPr>
        <w:numPr>
          <w:ilvl w:val="0"/>
          <w:numId w:val="24"/>
        </w:numPr>
      </w:pPr>
      <w:r w:rsidRPr="00A271CE">
        <w:t>Ausgrid’s Subsidised Off-peak Hot Water Connections program</w:t>
      </w:r>
      <w:r>
        <w:t xml:space="preserve"> involves connecting the hot water systems of low income and vulnerable households to off peak electricity supply</w:t>
      </w:r>
      <w:r w:rsidRPr="00A271CE">
        <w:t xml:space="preserve">. </w:t>
      </w:r>
      <w:r>
        <w:t>This is a joint collaboration with NSW Land and Housing Corporation. Ausgrid claimed DMIA expenditure in 2013–14 of</w:t>
      </w:r>
      <w:r w:rsidRPr="00C17C23">
        <w:t xml:space="preserve"> </w:t>
      </w:r>
      <w:r>
        <w:t>$10 602 for this project.</w:t>
      </w:r>
    </w:p>
    <w:p w:rsidR="00E0633C" w:rsidRPr="003F20E1" w:rsidRDefault="00E0633C" w:rsidP="00E0633C">
      <w:pPr>
        <w:pStyle w:val="Heading3"/>
      </w:pPr>
      <w:bookmarkStart w:id="103" w:name="_Toc408238552"/>
      <w:bookmarkStart w:id="104" w:name="_Toc408571625"/>
      <w:bookmarkStart w:id="105" w:name="_Toc409617550"/>
      <w:bookmarkStart w:id="106" w:name="_Toc409702159"/>
      <w:bookmarkStart w:id="107" w:name="_Toc409778878"/>
      <w:bookmarkStart w:id="108" w:name="_Toc411513707"/>
      <w:bookmarkStart w:id="109" w:name="_Toc443045321"/>
      <w:bookmarkStart w:id="110" w:name="_Toc445801828"/>
      <w:r w:rsidRPr="003F20E1">
        <w:t>Assessment against DMIA criteria</w:t>
      </w:r>
      <w:bookmarkEnd w:id="103"/>
      <w:bookmarkEnd w:id="104"/>
      <w:bookmarkEnd w:id="105"/>
      <w:bookmarkEnd w:id="106"/>
      <w:bookmarkEnd w:id="107"/>
      <w:bookmarkEnd w:id="108"/>
      <w:bookmarkEnd w:id="109"/>
      <w:bookmarkEnd w:id="110"/>
    </w:p>
    <w:p w:rsidR="00E0633C" w:rsidRPr="00C17C23" w:rsidRDefault="00E0633C" w:rsidP="00E0633C">
      <w:r w:rsidRPr="00C17C23">
        <w:rPr>
          <w:rStyle w:val="Strong"/>
        </w:rPr>
        <w:t>Criteria #1</w:t>
      </w:r>
      <w:r>
        <w:rPr>
          <w:rStyle w:val="Strong"/>
        </w:rPr>
        <w:t xml:space="preserve"> </w:t>
      </w:r>
      <w:r>
        <w:t xml:space="preserve">This project aims to shift hot water loads to off peak times and by doing so helps reduce peak demand and defer network augmentation. </w:t>
      </w:r>
    </w:p>
    <w:p w:rsidR="00E0633C" w:rsidRPr="00C17C23" w:rsidRDefault="00E0633C" w:rsidP="00E0633C">
      <w:r>
        <w:rPr>
          <w:rStyle w:val="Strong"/>
        </w:rPr>
        <w:t>Criteria #</w:t>
      </w:r>
      <w:r w:rsidRPr="00C17C23">
        <w:rPr>
          <w:rStyle w:val="Strong"/>
        </w:rPr>
        <w:t xml:space="preserve">2 </w:t>
      </w:r>
      <w:r>
        <w:rPr>
          <w:rStyle w:val="AERbody"/>
        </w:rPr>
        <w:t xml:space="preserve">This is a peak demand management program. </w:t>
      </w:r>
      <w:r>
        <w:t xml:space="preserve"> </w:t>
      </w:r>
    </w:p>
    <w:p w:rsidR="00E0633C" w:rsidRDefault="00E0633C" w:rsidP="00E0633C">
      <w:pPr>
        <w:numPr>
          <w:ilvl w:val="0"/>
          <w:numId w:val="24"/>
        </w:numPr>
        <w:rPr>
          <w:rStyle w:val="Strong"/>
        </w:rPr>
      </w:pPr>
      <w:r>
        <w:rPr>
          <w:rStyle w:val="Strong"/>
        </w:rPr>
        <w:t xml:space="preserve">Criteria </w:t>
      </w:r>
      <w:r w:rsidRPr="00C17C23">
        <w:rPr>
          <w:rStyle w:val="Strong"/>
        </w:rPr>
        <w:t>#3</w:t>
      </w:r>
      <w:r>
        <w:rPr>
          <w:rStyle w:val="Strong"/>
        </w:rPr>
        <w:t xml:space="preserve"> </w:t>
      </w:r>
      <w:r>
        <w:rPr>
          <w:rStyle w:val="AERbody"/>
        </w:rPr>
        <w:t>Spreading load to off-peak times to lower peak demand is part of an efficient demand management strategy.</w:t>
      </w:r>
    </w:p>
    <w:p w:rsidR="00E0633C" w:rsidRPr="00CD2645" w:rsidRDefault="00E0633C" w:rsidP="00E0633C">
      <w:pPr>
        <w:rPr>
          <w:rStyle w:val="AERbody"/>
        </w:rPr>
      </w:pPr>
      <w:r>
        <w:rPr>
          <w:rStyle w:val="Strong"/>
        </w:rPr>
        <w:t xml:space="preserve"> </w:t>
      </w:r>
      <w:r w:rsidRPr="00C17C23">
        <w:rPr>
          <w:rStyle w:val="Strong"/>
        </w:rPr>
        <w:t>Criteria #4</w:t>
      </w:r>
      <w:r>
        <w:rPr>
          <w:rStyle w:val="Strong"/>
        </w:rPr>
        <w:t xml:space="preserve"> </w:t>
      </w:r>
      <w:r>
        <w:rPr>
          <w:rStyle w:val="AERbody"/>
        </w:rPr>
        <w:t>Non-tariff based</w:t>
      </w:r>
    </w:p>
    <w:p w:rsidR="00E0633C" w:rsidRPr="00CD2645" w:rsidRDefault="00E0633C" w:rsidP="00E0633C">
      <w:pPr>
        <w:rPr>
          <w:rStyle w:val="AERbody"/>
        </w:rPr>
      </w:pPr>
      <w:r w:rsidRPr="00C17C23">
        <w:rPr>
          <w:rStyle w:val="Strong"/>
        </w:rPr>
        <w:t>Criteria #5</w:t>
      </w:r>
      <w:r>
        <w:rPr>
          <w:rStyle w:val="Strong"/>
        </w:rPr>
        <w:t xml:space="preserve"> </w:t>
      </w:r>
      <w:r>
        <w:rPr>
          <w:rStyle w:val="AERbody"/>
        </w:rPr>
        <w:t xml:space="preserve">This criterion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lastRenderedPageBreak/>
        <w:t>through any other part of the distribution determination for the current regulatory control period</w:t>
      </w:r>
      <w:r>
        <w:t>.</w:t>
      </w:r>
    </w:p>
    <w:p w:rsidR="00E0633C" w:rsidRPr="00F675B6" w:rsidRDefault="00E0633C" w:rsidP="00E0633C">
      <w:pPr>
        <w:numPr>
          <w:ilvl w:val="0"/>
          <w:numId w:val="24"/>
        </w:numPr>
        <w:rPr>
          <w:rStyle w:val="AERbody"/>
        </w:rPr>
      </w:pPr>
      <w:r w:rsidRPr="00C17C23">
        <w:rPr>
          <w:rStyle w:val="Strong"/>
        </w:rPr>
        <w:t>Criteria #6</w:t>
      </w:r>
      <w:r>
        <w:rPr>
          <w:rStyle w:val="Strong"/>
        </w:rPr>
        <w:t xml:space="preserve"> </w:t>
      </w:r>
      <w:r>
        <w:rPr>
          <w:rStyle w:val="AERbody"/>
        </w:rPr>
        <w:t xml:space="preserve">Opex. </w:t>
      </w:r>
    </w:p>
    <w:p w:rsidR="00E0633C" w:rsidRDefault="00E0633C" w:rsidP="00E0633C">
      <w:pPr>
        <w:pStyle w:val="Heading2"/>
      </w:pPr>
      <w:bookmarkStart w:id="111" w:name="_Toc443045322"/>
      <w:bookmarkStart w:id="112" w:name="_Toc445801829"/>
      <w:r>
        <w:t>CBD embedded generator connection</w:t>
      </w:r>
      <w:bookmarkEnd w:id="111"/>
      <w:bookmarkEnd w:id="112"/>
    </w:p>
    <w:p w:rsidR="00E0633C" w:rsidRPr="003F20E1" w:rsidRDefault="00E0633C" w:rsidP="00E0633C">
      <w:pPr>
        <w:pStyle w:val="Heading3"/>
      </w:pPr>
      <w:bookmarkStart w:id="113" w:name="_Toc408238548"/>
      <w:bookmarkStart w:id="114" w:name="_Toc408571621"/>
      <w:bookmarkStart w:id="115" w:name="_Toc409617546"/>
      <w:bookmarkStart w:id="116" w:name="_Toc409702155"/>
      <w:bookmarkStart w:id="117" w:name="_Toc409778874"/>
      <w:bookmarkStart w:id="118" w:name="_Toc411513703"/>
      <w:bookmarkStart w:id="119" w:name="_Toc443045323"/>
      <w:bookmarkStart w:id="120" w:name="_Toc445801830"/>
      <w:r w:rsidRPr="003F20E1">
        <w:t>Project overview</w:t>
      </w:r>
      <w:bookmarkEnd w:id="113"/>
      <w:bookmarkEnd w:id="114"/>
      <w:bookmarkEnd w:id="115"/>
      <w:bookmarkEnd w:id="116"/>
      <w:bookmarkEnd w:id="117"/>
      <w:bookmarkEnd w:id="118"/>
      <w:bookmarkEnd w:id="119"/>
      <w:bookmarkEnd w:id="120"/>
    </w:p>
    <w:p w:rsidR="00E0633C" w:rsidRPr="00A271CE" w:rsidRDefault="00E0633C" w:rsidP="00E0633C">
      <w:pPr>
        <w:numPr>
          <w:ilvl w:val="0"/>
          <w:numId w:val="24"/>
        </w:numPr>
      </w:pPr>
      <w:r w:rsidRPr="00A271CE">
        <w:t xml:space="preserve">This project is to develop, design and test an alternative embedded generator connection in the Sydney CBD that addresses the potential fault level and feeder imbalance issues which are considered to be potential barriers to their widespread uptake in these types of network locations. </w:t>
      </w:r>
      <w:r>
        <w:t>Ausgrid claimed DMIA expenditure in 2013–14 of</w:t>
      </w:r>
      <w:r w:rsidRPr="00C17C23">
        <w:t xml:space="preserve"> </w:t>
      </w:r>
      <w:r>
        <w:t>$101 636 for this project.</w:t>
      </w:r>
    </w:p>
    <w:p w:rsidR="00E0633C" w:rsidRPr="003F20E1" w:rsidRDefault="00E0633C" w:rsidP="00E0633C">
      <w:pPr>
        <w:pStyle w:val="Heading3"/>
      </w:pPr>
      <w:bookmarkStart w:id="121" w:name="_Toc408238549"/>
      <w:bookmarkStart w:id="122" w:name="_Toc408571622"/>
      <w:bookmarkStart w:id="123" w:name="_Toc409617547"/>
      <w:bookmarkStart w:id="124" w:name="_Toc409702156"/>
      <w:bookmarkStart w:id="125" w:name="_Toc409778875"/>
      <w:bookmarkStart w:id="126" w:name="_Toc411513704"/>
      <w:bookmarkStart w:id="127" w:name="_Toc443045324"/>
      <w:bookmarkStart w:id="128" w:name="_Toc445801831"/>
      <w:r w:rsidRPr="003F20E1">
        <w:t>Assessment against DMIA criteria</w:t>
      </w:r>
      <w:bookmarkEnd w:id="121"/>
      <w:bookmarkEnd w:id="122"/>
      <w:bookmarkEnd w:id="123"/>
      <w:bookmarkEnd w:id="124"/>
      <w:bookmarkEnd w:id="125"/>
      <w:bookmarkEnd w:id="126"/>
      <w:bookmarkEnd w:id="127"/>
      <w:bookmarkEnd w:id="128"/>
    </w:p>
    <w:p w:rsidR="00E0633C" w:rsidRPr="00C17C23" w:rsidRDefault="00E0633C" w:rsidP="00E0633C">
      <w:r w:rsidRPr="00C17C23">
        <w:rPr>
          <w:rStyle w:val="Strong"/>
        </w:rPr>
        <w:t>Criteria #1</w:t>
      </w:r>
      <w:r>
        <w:rPr>
          <w:rStyle w:val="Strong"/>
        </w:rPr>
        <w:t xml:space="preserve"> </w:t>
      </w:r>
      <w:r w:rsidR="00C61840" w:rsidRPr="00C61840">
        <w:t>Enabling greater levels of embedded generation in the Sydney CBD which can help alleviate pressure on CBD electricity demand</w:t>
      </w:r>
    </w:p>
    <w:p w:rsidR="00E0633C" w:rsidRPr="00C17C23" w:rsidRDefault="00E0633C" w:rsidP="00E0633C">
      <w:r>
        <w:rPr>
          <w:rStyle w:val="Strong"/>
        </w:rPr>
        <w:t>Criteria #</w:t>
      </w:r>
      <w:r w:rsidRPr="00C17C23">
        <w:rPr>
          <w:rStyle w:val="Strong"/>
        </w:rPr>
        <w:t xml:space="preserve">2 </w:t>
      </w:r>
      <w:r>
        <w:t xml:space="preserve">This is a broad-based demand management project. </w:t>
      </w:r>
    </w:p>
    <w:p w:rsidR="00E0633C" w:rsidRPr="00C17C23" w:rsidRDefault="00E0633C" w:rsidP="00E0633C">
      <w:r>
        <w:rPr>
          <w:rStyle w:val="Strong"/>
        </w:rPr>
        <w:t xml:space="preserve">Criteria </w:t>
      </w:r>
      <w:r w:rsidRPr="00C17C23">
        <w:rPr>
          <w:rStyle w:val="Strong"/>
        </w:rPr>
        <w:t>#3</w:t>
      </w:r>
      <w:r>
        <w:rPr>
          <w:rStyle w:val="Strong"/>
        </w:rPr>
        <w:t xml:space="preserve"> </w:t>
      </w:r>
      <w:r>
        <w:rPr>
          <w:rStyle w:val="AERbody"/>
        </w:rPr>
        <w:t>Better integration of embedded generation can be used as part of an effective demand management strategy.</w:t>
      </w:r>
    </w:p>
    <w:p w:rsidR="00E0633C" w:rsidRPr="00CD2645" w:rsidRDefault="00E0633C" w:rsidP="00E0633C">
      <w:pPr>
        <w:rPr>
          <w:rStyle w:val="AERbody"/>
        </w:rPr>
      </w:pPr>
      <w:r w:rsidRPr="00C17C23">
        <w:rPr>
          <w:rStyle w:val="Strong"/>
        </w:rPr>
        <w:t>Criteria #4</w:t>
      </w:r>
      <w:r>
        <w:rPr>
          <w:rStyle w:val="Strong"/>
        </w:rPr>
        <w:t xml:space="preserve"> </w:t>
      </w:r>
      <w:r>
        <w:rPr>
          <w:rStyle w:val="AERbody"/>
        </w:rPr>
        <w:t>Non-tariff based</w:t>
      </w:r>
    </w:p>
    <w:p w:rsidR="00E0633C" w:rsidRPr="009724BC" w:rsidRDefault="00E0633C" w:rsidP="00E0633C">
      <w:pPr>
        <w:rPr>
          <w:rStyle w:val="AERbody"/>
        </w:rPr>
      </w:pPr>
      <w:r w:rsidRPr="00C17C23">
        <w:rPr>
          <w:rStyle w:val="Strong"/>
        </w:rPr>
        <w:t>Criteria #5</w:t>
      </w:r>
      <w:r>
        <w:rPr>
          <w:rStyle w:val="Strong"/>
        </w:rPr>
        <w:t xml:space="preserve"> </w:t>
      </w:r>
      <w:r>
        <w:rPr>
          <w:rStyle w:val="AERbody"/>
        </w:rPr>
        <w:t xml:space="preserve">This criterion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r>
        <w:t>.</w:t>
      </w:r>
    </w:p>
    <w:p w:rsidR="00E0633C" w:rsidRPr="00C17C23" w:rsidRDefault="00E0633C" w:rsidP="00E0633C">
      <w:pPr>
        <w:numPr>
          <w:ilvl w:val="0"/>
          <w:numId w:val="24"/>
        </w:numPr>
        <w:rPr>
          <w:rStyle w:val="Strong"/>
        </w:rPr>
      </w:pPr>
      <w:r w:rsidRPr="00C17C23">
        <w:rPr>
          <w:rStyle w:val="Strong"/>
        </w:rPr>
        <w:t>Criteria #6</w:t>
      </w:r>
      <w:r>
        <w:rPr>
          <w:rStyle w:val="Strong"/>
        </w:rPr>
        <w:t xml:space="preserve"> </w:t>
      </w:r>
      <w:r>
        <w:rPr>
          <w:rStyle w:val="AERbody"/>
        </w:rPr>
        <w:t>Opex</w:t>
      </w:r>
    </w:p>
    <w:p w:rsidR="00E0633C" w:rsidRDefault="00E0633C" w:rsidP="00E0633C">
      <w:pPr>
        <w:pStyle w:val="Heading2"/>
      </w:pPr>
      <w:bookmarkStart w:id="129" w:name="_Toc443045325"/>
      <w:bookmarkStart w:id="130" w:name="_Toc445801832"/>
      <w:r>
        <w:t>Air conditioner and pool pump load control</w:t>
      </w:r>
      <w:bookmarkEnd w:id="129"/>
      <w:bookmarkEnd w:id="130"/>
    </w:p>
    <w:p w:rsidR="00E0633C" w:rsidRPr="003F20E1" w:rsidRDefault="00E0633C" w:rsidP="00E0633C">
      <w:pPr>
        <w:pStyle w:val="Heading3"/>
      </w:pPr>
      <w:bookmarkStart w:id="131" w:name="_Toc408238554"/>
      <w:bookmarkStart w:id="132" w:name="_Toc408571627"/>
      <w:bookmarkStart w:id="133" w:name="_Toc409617552"/>
      <w:bookmarkStart w:id="134" w:name="_Toc409702161"/>
      <w:bookmarkStart w:id="135" w:name="_Toc409778880"/>
      <w:bookmarkStart w:id="136" w:name="_Toc411513709"/>
      <w:bookmarkStart w:id="137" w:name="_Toc443045326"/>
      <w:bookmarkStart w:id="138" w:name="_Toc445801833"/>
      <w:r w:rsidRPr="003F20E1">
        <w:t>Project overview</w:t>
      </w:r>
      <w:bookmarkEnd w:id="131"/>
      <w:bookmarkEnd w:id="132"/>
      <w:bookmarkEnd w:id="133"/>
      <w:bookmarkEnd w:id="134"/>
      <w:bookmarkEnd w:id="135"/>
      <w:bookmarkEnd w:id="136"/>
      <w:bookmarkEnd w:id="137"/>
      <w:bookmarkEnd w:id="138"/>
    </w:p>
    <w:p w:rsidR="00E0633C" w:rsidRDefault="00E0633C" w:rsidP="00E0633C">
      <w:pPr>
        <w:numPr>
          <w:ilvl w:val="0"/>
          <w:numId w:val="24"/>
        </w:numPr>
      </w:pPr>
      <w:r>
        <w:t>This project involves the development of Demand Response Enabling Devices (DREDs) for air conditioners and pool pumps. It also included a customer trial where 40 "ripple DREDs" and 68 "SMS DREDs" were fitted to air conditioners. For the ripple DRED customers, dispatch events were called on 9 separate occasions during the summer season with no negative feedback from participants. For the SMS DREDs, customers had the opportunity to override the dispatch event with no customer requesting an override. Ausgrid claimed DMIA expenditure in 2013–14 of</w:t>
      </w:r>
      <w:r w:rsidRPr="00C17C23">
        <w:t xml:space="preserve"> </w:t>
      </w:r>
      <w:r>
        <w:t>$585 715 for this project.</w:t>
      </w:r>
    </w:p>
    <w:p w:rsidR="00840AFA" w:rsidRDefault="00840AFA" w:rsidP="00840AFA"/>
    <w:p w:rsidR="00840AFA" w:rsidRDefault="00840AFA" w:rsidP="00840AFA"/>
    <w:p w:rsidR="00E0633C" w:rsidRPr="003F20E1" w:rsidRDefault="00E0633C" w:rsidP="00E0633C">
      <w:pPr>
        <w:pStyle w:val="Heading3"/>
      </w:pPr>
      <w:bookmarkStart w:id="139" w:name="_Toc408238555"/>
      <w:bookmarkStart w:id="140" w:name="_Toc408571628"/>
      <w:bookmarkStart w:id="141" w:name="_Toc409617553"/>
      <w:bookmarkStart w:id="142" w:name="_Toc409702162"/>
      <w:bookmarkStart w:id="143" w:name="_Toc409778881"/>
      <w:bookmarkStart w:id="144" w:name="_Toc411513710"/>
      <w:bookmarkStart w:id="145" w:name="_Toc443045327"/>
      <w:bookmarkStart w:id="146" w:name="_Toc445801834"/>
      <w:r w:rsidRPr="003F20E1">
        <w:lastRenderedPageBreak/>
        <w:t>Assessment against DMIA criteria</w:t>
      </w:r>
      <w:bookmarkEnd w:id="139"/>
      <w:bookmarkEnd w:id="140"/>
      <w:bookmarkEnd w:id="141"/>
      <w:bookmarkEnd w:id="142"/>
      <w:bookmarkEnd w:id="143"/>
      <w:bookmarkEnd w:id="144"/>
      <w:bookmarkEnd w:id="145"/>
      <w:bookmarkEnd w:id="146"/>
    </w:p>
    <w:p w:rsidR="00E0633C" w:rsidRPr="00C17C23" w:rsidRDefault="00E0633C" w:rsidP="00E0633C">
      <w:r w:rsidRPr="00C17C23">
        <w:rPr>
          <w:rStyle w:val="Strong"/>
        </w:rPr>
        <w:t>Criteria #1</w:t>
      </w:r>
      <w:r>
        <w:rPr>
          <w:rStyle w:val="Strong"/>
        </w:rPr>
        <w:t xml:space="preserve"> </w:t>
      </w:r>
      <w:r>
        <w:t xml:space="preserve">Direct load control of air conditioners and pool pumps can help lower summer peak demand. The results from this customer trial will help facilitate the take up of direct load control options. </w:t>
      </w:r>
    </w:p>
    <w:p w:rsidR="00E0633C" w:rsidRPr="00C17C23" w:rsidRDefault="00E0633C" w:rsidP="00E0633C">
      <w:r>
        <w:rPr>
          <w:rStyle w:val="Strong"/>
        </w:rPr>
        <w:t>Criteria #</w:t>
      </w:r>
      <w:r w:rsidRPr="00C17C23">
        <w:rPr>
          <w:rStyle w:val="Strong"/>
        </w:rPr>
        <w:t xml:space="preserve">2 </w:t>
      </w:r>
      <w:r>
        <w:t xml:space="preserve">This is a peak demand management project. </w:t>
      </w:r>
    </w:p>
    <w:p w:rsidR="00E0633C" w:rsidRPr="00C17C23" w:rsidRDefault="00E0633C" w:rsidP="00E0633C">
      <w:r>
        <w:rPr>
          <w:rStyle w:val="Strong"/>
        </w:rPr>
        <w:t xml:space="preserve">Criteria </w:t>
      </w:r>
      <w:r w:rsidRPr="00C17C23">
        <w:rPr>
          <w:rStyle w:val="Strong"/>
        </w:rPr>
        <w:t>#3</w:t>
      </w:r>
      <w:r>
        <w:rPr>
          <w:rStyle w:val="Strong"/>
        </w:rPr>
        <w:t xml:space="preserve"> </w:t>
      </w:r>
      <w:r>
        <w:rPr>
          <w:rStyle w:val="AERbody"/>
        </w:rPr>
        <w:t xml:space="preserve">This research improves Ausgrid's capacity to effectively deploy these technologies that enable peak demand reductions. </w:t>
      </w:r>
      <w:r>
        <w:t xml:space="preserve"> </w:t>
      </w:r>
    </w:p>
    <w:p w:rsidR="00E0633C" w:rsidRPr="00CD2645" w:rsidRDefault="00E0633C" w:rsidP="00E0633C">
      <w:pPr>
        <w:rPr>
          <w:rStyle w:val="AERbody"/>
        </w:rPr>
      </w:pPr>
      <w:r w:rsidRPr="00C17C23">
        <w:rPr>
          <w:rStyle w:val="Strong"/>
        </w:rPr>
        <w:t>Criteria #4</w:t>
      </w:r>
      <w:r>
        <w:rPr>
          <w:rStyle w:val="Strong"/>
        </w:rPr>
        <w:t xml:space="preserve"> </w:t>
      </w:r>
      <w:r>
        <w:rPr>
          <w:rStyle w:val="AERbody"/>
        </w:rPr>
        <w:t>Non-tariff based</w:t>
      </w:r>
    </w:p>
    <w:p w:rsidR="00E0633C" w:rsidRPr="00CD2645" w:rsidRDefault="00E0633C" w:rsidP="00E0633C">
      <w:pPr>
        <w:rPr>
          <w:rStyle w:val="AERbody"/>
        </w:rPr>
      </w:pPr>
      <w:r w:rsidRPr="00C17C23">
        <w:rPr>
          <w:rStyle w:val="Strong"/>
        </w:rPr>
        <w:t>Criteria #5</w:t>
      </w:r>
      <w:r>
        <w:rPr>
          <w:rStyle w:val="Strong"/>
        </w:rPr>
        <w:t xml:space="preserve"> </w:t>
      </w:r>
      <w:r>
        <w:rPr>
          <w:rStyle w:val="AERbody"/>
        </w:rPr>
        <w:t xml:space="preserve">This criteria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p>
    <w:p w:rsidR="00E0633C" w:rsidRPr="00C17C23" w:rsidRDefault="00E0633C" w:rsidP="00E0633C">
      <w:pPr>
        <w:numPr>
          <w:ilvl w:val="0"/>
          <w:numId w:val="24"/>
        </w:numPr>
        <w:rPr>
          <w:rStyle w:val="Strong"/>
        </w:rPr>
      </w:pPr>
      <w:r w:rsidRPr="00C17C23">
        <w:rPr>
          <w:rStyle w:val="Strong"/>
        </w:rPr>
        <w:t>Criteria #6</w:t>
      </w:r>
      <w:r>
        <w:rPr>
          <w:rStyle w:val="Strong"/>
        </w:rPr>
        <w:t xml:space="preserve"> </w:t>
      </w:r>
      <w:r>
        <w:rPr>
          <w:rStyle w:val="AERbody"/>
        </w:rPr>
        <w:t>Opex</w:t>
      </w:r>
    </w:p>
    <w:p w:rsidR="00E0633C" w:rsidRPr="003F20E1" w:rsidRDefault="00E0633C" w:rsidP="00E0633C">
      <w:pPr>
        <w:pStyle w:val="Heading2"/>
      </w:pPr>
      <w:bookmarkStart w:id="147" w:name="_Toc392751199"/>
      <w:bookmarkStart w:id="148" w:name="_Toc408238520"/>
      <w:bookmarkStart w:id="149" w:name="_Toc408571593"/>
      <w:bookmarkStart w:id="150" w:name="_Toc409617518"/>
      <w:bookmarkStart w:id="151" w:name="_Toc409702127"/>
      <w:bookmarkStart w:id="152" w:name="_Toc409778846"/>
      <w:bookmarkStart w:id="153" w:name="_Toc411513675"/>
      <w:bookmarkStart w:id="154" w:name="_Toc443045328"/>
      <w:bookmarkStart w:id="155" w:name="_Toc445801835"/>
      <w:r w:rsidRPr="003F20E1">
        <w:t>Grid Battery Trial</w:t>
      </w:r>
      <w:bookmarkEnd w:id="147"/>
      <w:bookmarkEnd w:id="148"/>
      <w:bookmarkEnd w:id="149"/>
      <w:bookmarkEnd w:id="150"/>
      <w:bookmarkEnd w:id="151"/>
      <w:bookmarkEnd w:id="152"/>
      <w:bookmarkEnd w:id="153"/>
      <w:bookmarkEnd w:id="154"/>
      <w:bookmarkEnd w:id="155"/>
    </w:p>
    <w:p w:rsidR="00E0633C" w:rsidRPr="003F20E1" w:rsidRDefault="00E0633C" w:rsidP="00E0633C">
      <w:pPr>
        <w:pStyle w:val="Heading3"/>
      </w:pPr>
      <w:bookmarkStart w:id="156" w:name="_Toc408238521"/>
      <w:bookmarkStart w:id="157" w:name="_Toc408571594"/>
      <w:bookmarkStart w:id="158" w:name="_Toc409617519"/>
      <w:bookmarkStart w:id="159" w:name="_Toc409702128"/>
      <w:bookmarkStart w:id="160" w:name="_Toc409778847"/>
      <w:bookmarkStart w:id="161" w:name="_Toc411513676"/>
      <w:bookmarkStart w:id="162" w:name="_Toc443045329"/>
      <w:bookmarkStart w:id="163" w:name="_Toc445801836"/>
      <w:r w:rsidRPr="003F20E1">
        <w:t>Project overview</w:t>
      </w:r>
      <w:bookmarkEnd w:id="156"/>
      <w:bookmarkEnd w:id="157"/>
      <w:bookmarkEnd w:id="158"/>
      <w:bookmarkEnd w:id="159"/>
      <w:bookmarkEnd w:id="160"/>
      <w:bookmarkEnd w:id="161"/>
      <w:bookmarkEnd w:id="162"/>
      <w:bookmarkEnd w:id="163"/>
    </w:p>
    <w:p w:rsidR="00E0633C" w:rsidRDefault="00E0633C" w:rsidP="00E0633C">
      <w:pPr>
        <w:numPr>
          <w:ilvl w:val="0"/>
          <w:numId w:val="24"/>
        </w:numPr>
      </w:pPr>
      <w:r w:rsidRPr="00A03834">
        <w:t>This project will investigate the potential benefits of using network grid-side battery storage as a means for reducing peak demand on the network wit</w:t>
      </w:r>
      <w:r>
        <w:t>h a trial over the summer 2013–1</w:t>
      </w:r>
      <w:r w:rsidRPr="00A03834">
        <w:t xml:space="preserve">4 period. The trial will test for reliability, quality and effectiveness at reducing summer peaks. It will also look into optimum battery management and control methodologies. </w:t>
      </w:r>
      <w:r>
        <w:t>Ausgrid claimed DMIA expenditure in 2013–14 of</w:t>
      </w:r>
      <w:r w:rsidRPr="00C17C23">
        <w:t xml:space="preserve"> </w:t>
      </w:r>
      <w:r w:rsidRPr="00A03834">
        <w:t>$</w:t>
      </w:r>
      <w:r>
        <w:t>259 026 for this project.</w:t>
      </w:r>
      <w:bookmarkStart w:id="164" w:name="_Toc408238522"/>
      <w:bookmarkStart w:id="165" w:name="_Toc408571595"/>
      <w:bookmarkStart w:id="166" w:name="_Toc409617520"/>
      <w:bookmarkStart w:id="167" w:name="_Toc409702129"/>
    </w:p>
    <w:p w:rsidR="00E0633C" w:rsidRPr="003F20E1" w:rsidRDefault="00E0633C" w:rsidP="00E0633C">
      <w:pPr>
        <w:pStyle w:val="Heading3"/>
      </w:pPr>
      <w:bookmarkStart w:id="168" w:name="_Toc409778848"/>
      <w:bookmarkStart w:id="169" w:name="_Toc411513677"/>
      <w:bookmarkStart w:id="170" w:name="_Toc443045330"/>
      <w:bookmarkStart w:id="171" w:name="_Toc445801837"/>
      <w:r w:rsidRPr="003F20E1">
        <w:t>Assessment against DMIA criteria</w:t>
      </w:r>
      <w:bookmarkEnd w:id="164"/>
      <w:bookmarkEnd w:id="165"/>
      <w:bookmarkEnd w:id="166"/>
      <w:bookmarkEnd w:id="167"/>
      <w:bookmarkEnd w:id="168"/>
      <w:bookmarkEnd w:id="169"/>
      <w:bookmarkEnd w:id="170"/>
      <w:bookmarkEnd w:id="171"/>
    </w:p>
    <w:p w:rsidR="00E0633C" w:rsidRPr="00C17C23" w:rsidRDefault="00E0633C" w:rsidP="00E0633C">
      <w:r w:rsidRPr="00C17C23">
        <w:rPr>
          <w:rStyle w:val="Strong"/>
        </w:rPr>
        <w:t>Criteria #1</w:t>
      </w:r>
      <w:r>
        <w:rPr>
          <w:rStyle w:val="Strong"/>
        </w:rPr>
        <w:t xml:space="preserve"> </w:t>
      </w:r>
      <w:r>
        <w:t>This is a trial of network grid-side battery storage (rather than domestic storage) that can be drawn on to help reduce peak demand (and in turn avoid network augmentation).</w:t>
      </w:r>
    </w:p>
    <w:p w:rsidR="00E0633C" w:rsidRPr="00C17C23" w:rsidRDefault="00E0633C" w:rsidP="00E0633C">
      <w:r>
        <w:rPr>
          <w:rStyle w:val="Strong"/>
        </w:rPr>
        <w:t>Criteria #</w:t>
      </w:r>
      <w:r w:rsidRPr="00C17C23">
        <w:rPr>
          <w:rStyle w:val="Strong"/>
        </w:rPr>
        <w:t xml:space="preserve">2 </w:t>
      </w:r>
      <w:r>
        <w:t xml:space="preserve">This is a peak demand project. </w:t>
      </w:r>
    </w:p>
    <w:p w:rsidR="00E0633C" w:rsidRPr="00C17C23" w:rsidRDefault="00E0633C" w:rsidP="00E0633C">
      <w:r>
        <w:rPr>
          <w:rStyle w:val="Strong"/>
        </w:rPr>
        <w:t xml:space="preserve">Criteria </w:t>
      </w:r>
      <w:r w:rsidRPr="00C17C23">
        <w:rPr>
          <w:rStyle w:val="Strong"/>
        </w:rPr>
        <w:t>#3</w:t>
      </w:r>
      <w:r>
        <w:rPr>
          <w:rStyle w:val="Strong"/>
        </w:rPr>
        <w:t xml:space="preserve"> </w:t>
      </w:r>
      <w:r>
        <w:t>Grid batteries are an innovative technology that ha</w:t>
      </w:r>
      <w:r w:rsidR="00EB4FFC">
        <w:t>s</w:t>
      </w:r>
      <w:r>
        <w:t xml:space="preserve"> the potential to improve Augrid's demand management capability. </w:t>
      </w:r>
    </w:p>
    <w:p w:rsidR="00E0633C" w:rsidRPr="00CD2645" w:rsidRDefault="00E0633C" w:rsidP="00E0633C">
      <w:pPr>
        <w:rPr>
          <w:rStyle w:val="AERbody"/>
        </w:rPr>
      </w:pPr>
      <w:r w:rsidRPr="00C17C23">
        <w:rPr>
          <w:rStyle w:val="Strong"/>
        </w:rPr>
        <w:t>Criteria #4</w:t>
      </w:r>
      <w:r>
        <w:rPr>
          <w:rStyle w:val="Strong"/>
        </w:rPr>
        <w:t xml:space="preserve"> </w:t>
      </w:r>
      <w:r>
        <w:rPr>
          <w:rStyle w:val="AERbody"/>
        </w:rPr>
        <w:t>Non-tariff based</w:t>
      </w:r>
    </w:p>
    <w:p w:rsidR="00E0633C" w:rsidRPr="009724BC" w:rsidRDefault="00E0633C" w:rsidP="00E0633C">
      <w:pPr>
        <w:rPr>
          <w:rStyle w:val="AERbody"/>
        </w:rPr>
      </w:pPr>
      <w:r w:rsidRPr="00C17C23">
        <w:rPr>
          <w:rStyle w:val="Strong"/>
        </w:rPr>
        <w:t>Criteria #5</w:t>
      </w:r>
      <w:r>
        <w:rPr>
          <w:rStyle w:val="Strong"/>
        </w:rPr>
        <w:t xml:space="preserve"> </w:t>
      </w:r>
      <w:r>
        <w:rPr>
          <w:rStyle w:val="AERbody"/>
        </w:rPr>
        <w:t xml:space="preserve">This criterion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r>
        <w:t>.</w:t>
      </w:r>
    </w:p>
    <w:p w:rsidR="00E0633C" w:rsidRPr="00C17C23" w:rsidRDefault="00E0633C" w:rsidP="00E0633C">
      <w:pPr>
        <w:numPr>
          <w:ilvl w:val="0"/>
          <w:numId w:val="24"/>
        </w:numPr>
        <w:rPr>
          <w:rStyle w:val="Strong"/>
        </w:rPr>
      </w:pPr>
      <w:r w:rsidRPr="00C17C23">
        <w:rPr>
          <w:rStyle w:val="Strong"/>
        </w:rPr>
        <w:t>Criteria #6</w:t>
      </w:r>
      <w:r>
        <w:rPr>
          <w:rStyle w:val="Strong"/>
        </w:rPr>
        <w:t xml:space="preserve"> </w:t>
      </w:r>
      <w:r>
        <w:rPr>
          <w:rStyle w:val="AERbody"/>
        </w:rPr>
        <w:t>Opex</w:t>
      </w:r>
    </w:p>
    <w:p w:rsidR="00E0633C" w:rsidRDefault="00E0633C" w:rsidP="00E0633C">
      <w:pPr>
        <w:pStyle w:val="Heading2"/>
      </w:pPr>
      <w:bookmarkStart w:id="172" w:name="_Toc443045331"/>
      <w:bookmarkStart w:id="173" w:name="_Toc445801838"/>
      <w:r>
        <w:lastRenderedPageBreak/>
        <w:t>Off peak 2 summer scheduling</w:t>
      </w:r>
      <w:bookmarkEnd w:id="172"/>
      <w:bookmarkEnd w:id="173"/>
    </w:p>
    <w:p w:rsidR="00E0633C" w:rsidRPr="003F20E1" w:rsidRDefault="00E0633C" w:rsidP="00E0633C">
      <w:pPr>
        <w:pStyle w:val="Heading3"/>
      </w:pPr>
      <w:bookmarkStart w:id="174" w:name="_Toc408238524"/>
      <w:bookmarkStart w:id="175" w:name="_Toc408571597"/>
      <w:bookmarkStart w:id="176" w:name="_Toc409617522"/>
      <w:bookmarkStart w:id="177" w:name="_Toc409702131"/>
      <w:bookmarkStart w:id="178" w:name="_Toc409778850"/>
      <w:bookmarkStart w:id="179" w:name="_Toc411513679"/>
      <w:bookmarkStart w:id="180" w:name="_Toc443045332"/>
      <w:bookmarkStart w:id="181" w:name="_Toc445801839"/>
      <w:r w:rsidRPr="003F20E1">
        <w:t>Project overview</w:t>
      </w:r>
      <w:bookmarkEnd w:id="174"/>
      <w:bookmarkEnd w:id="175"/>
      <w:bookmarkEnd w:id="176"/>
      <w:bookmarkEnd w:id="177"/>
      <w:bookmarkEnd w:id="178"/>
      <w:bookmarkEnd w:id="179"/>
      <w:bookmarkEnd w:id="180"/>
      <w:bookmarkEnd w:id="181"/>
    </w:p>
    <w:p w:rsidR="00E0633C" w:rsidRPr="00F67F60" w:rsidRDefault="00E0633C" w:rsidP="00E0633C">
      <w:pPr>
        <w:numPr>
          <w:ilvl w:val="0"/>
          <w:numId w:val="24"/>
        </w:numPr>
      </w:pPr>
      <w:r w:rsidRPr="00F67F60">
        <w:t xml:space="preserve">This project involves trialling a new summer load control schedule for summer peak reduction for customers with Controlled Load 2 tariffs. The main objective of the trial is to investigate the potential issues and barriers for implementing a summer scheduling regime for Controlled Load 2 customers across the whole network. </w:t>
      </w:r>
      <w:r>
        <w:t>Ausgrid claimed DMIA expenditure in 2013–14 of</w:t>
      </w:r>
      <w:r w:rsidRPr="00C17C23">
        <w:t xml:space="preserve"> </w:t>
      </w:r>
      <w:r>
        <w:t>$100 531 for this project.</w:t>
      </w:r>
    </w:p>
    <w:p w:rsidR="00E0633C" w:rsidRPr="003F20E1" w:rsidRDefault="00E0633C" w:rsidP="00E0633C">
      <w:pPr>
        <w:pStyle w:val="Heading3"/>
      </w:pPr>
      <w:bookmarkStart w:id="182" w:name="_Toc408238525"/>
      <w:bookmarkStart w:id="183" w:name="_Toc408571598"/>
      <w:bookmarkStart w:id="184" w:name="_Toc409617523"/>
      <w:bookmarkStart w:id="185" w:name="_Toc409702132"/>
      <w:bookmarkStart w:id="186" w:name="_Toc409778851"/>
      <w:bookmarkStart w:id="187" w:name="_Toc411513680"/>
      <w:bookmarkStart w:id="188" w:name="_Toc443045333"/>
      <w:bookmarkStart w:id="189" w:name="_Toc445801840"/>
      <w:r w:rsidRPr="003F20E1">
        <w:t>Assessment against DMIA criteria</w:t>
      </w:r>
      <w:bookmarkEnd w:id="182"/>
      <w:bookmarkEnd w:id="183"/>
      <w:bookmarkEnd w:id="184"/>
      <w:bookmarkEnd w:id="185"/>
      <w:bookmarkEnd w:id="186"/>
      <w:bookmarkEnd w:id="187"/>
      <w:bookmarkEnd w:id="188"/>
      <w:bookmarkEnd w:id="189"/>
    </w:p>
    <w:p w:rsidR="00E0633C" w:rsidRDefault="00E0633C" w:rsidP="00E0633C">
      <w:pPr>
        <w:rPr>
          <w:rStyle w:val="Strong"/>
        </w:rPr>
      </w:pPr>
      <w:r w:rsidRPr="00C17C23">
        <w:rPr>
          <w:rStyle w:val="Strong"/>
        </w:rPr>
        <w:t>Criteria #1</w:t>
      </w:r>
      <w:r>
        <w:rPr>
          <w:rStyle w:val="Strong"/>
        </w:rPr>
        <w:t xml:space="preserve"> </w:t>
      </w:r>
      <w:r w:rsidRPr="00C17C23">
        <w:t xml:space="preserve">This project meets this requirement as it </w:t>
      </w:r>
      <w:r>
        <w:t xml:space="preserve">shifts load outside of peak times </w:t>
      </w:r>
      <w:r w:rsidRPr="00C17C23">
        <w:t xml:space="preserve">which will lower peak demand reduce the need for network augmentation.  </w:t>
      </w:r>
    </w:p>
    <w:p w:rsidR="00E0633C" w:rsidRPr="00C17C23" w:rsidRDefault="00E0633C" w:rsidP="00E0633C">
      <w:r>
        <w:rPr>
          <w:rStyle w:val="Strong"/>
        </w:rPr>
        <w:t>Criteria #</w:t>
      </w:r>
      <w:r w:rsidRPr="00C17C23">
        <w:rPr>
          <w:rStyle w:val="Strong"/>
        </w:rPr>
        <w:t xml:space="preserve">2 </w:t>
      </w:r>
      <w:r>
        <w:t xml:space="preserve">This is a peak demand management project. </w:t>
      </w:r>
    </w:p>
    <w:p w:rsidR="00E0633C" w:rsidRPr="00C17C23" w:rsidRDefault="00E0633C" w:rsidP="00E0633C">
      <w:r>
        <w:rPr>
          <w:rStyle w:val="Strong"/>
        </w:rPr>
        <w:t xml:space="preserve">Criteria </w:t>
      </w:r>
      <w:r w:rsidRPr="00C17C23">
        <w:rPr>
          <w:rStyle w:val="Strong"/>
        </w:rPr>
        <w:t>#3</w:t>
      </w:r>
      <w:r>
        <w:rPr>
          <w:rStyle w:val="Strong"/>
        </w:rPr>
        <w:t xml:space="preserve"> </w:t>
      </w:r>
      <w:r w:rsidRPr="00C17C23">
        <w:t>This project satisfies this condition as it explores a potentially efficient demand management mechanism (reducing the impact of hot water systems at times of peak demand through load control).</w:t>
      </w:r>
    </w:p>
    <w:p w:rsidR="00E0633C" w:rsidRPr="00CD2645" w:rsidRDefault="00E0633C" w:rsidP="00E0633C">
      <w:pPr>
        <w:rPr>
          <w:rStyle w:val="AERbody"/>
        </w:rPr>
      </w:pPr>
      <w:r w:rsidRPr="00C17C23">
        <w:rPr>
          <w:rStyle w:val="Strong"/>
        </w:rPr>
        <w:t>Criteria #4</w:t>
      </w:r>
      <w:r>
        <w:rPr>
          <w:rStyle w:val="Strong"/>
        </w:rPr>
        <w:t xml:space="preserve"> </w:t>
      </w:r>
      <w:r>
        <w:rPr>
          <w:rStyle w:val="AERbody"/>
        </w:rPr>
        <w:t>Non-tariff based</w:t>
      </w:r>
    </w:p>
    <w:p w:rsidR="00E0633C" w:rsidRPr="009724BC" w:rsidRDefault="00E0633C" w:rsidP="00E0633C">
      <w:pPr>
        <w:rPr>
          <w:rStyle w:val="AERbody"/>
        </w:rPr>
      </w:pPr>
      <w:r w:rsidRPr="00C17C23">
        <w:rPr>
          <w:rStyle w:val="Strong"/>
        </w:rPr>
        <w:t>Criteria #5</w:t>
      </w:r>
      <w:r w:rsidRPr="00A8138E">
        <w:rPr>
          <w:rStyle w:val="AERbody"/>
        </w:rPr>
        <w:t xml:space="preserve"> </w:t>
      </w:r>
      <w:r>
        <w:rPr>
          <w:rStyle w:val="AERbody"/>
        </w:rPr>
        <w:t xml:space="preserve">This criterion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r>
        <w:t>.</w:t>
      </w:r>
    </w:p>
    <w:p w:rsidR="00E0633C" w:rsidRDefault="00E0633C" w:rsidP="00E0633C">
      <w:pPr>
        <w:numPr>
          <w:ilvl w:val="0"/>
          <w:numId w:val="24"/>
        </w:numPr>
        <w:rPr>
          <w:rStyle w:val="AERbody"/>
        </w:rPr>
      </w:pPr>
      <w:r w:rsidRPr="00C17C23">
        <w:rPr>
          <w:rStyle w:val="Strong"/>
        </w:rPr>
        <w:t>Criteria #6</w:t>
      </w:r>
      <w:r>
        <w:rPr>
          <w:rStyle w:val="Strong"/>
        </w:rPr>
        <w:t xml:space="preserve"> </w:t>
      </w:r>
      <w:r>
        <w:rPr>
          <w:rStyle w:val="AERbody"/>
        </w:rPr>
        <w:t>Opex</w:t>
      </w:r>
    </w:p>
    <w:p w:rsidR="00E0633C" w:rsidRDefault="00E0633C" w:rsidP="00E0633C">
      <w:pPr>
        <w:pStyle w:val="Heading2"/>
      </w:pPr>
      <w:bookmarkStart w:id="190" w:name="_Toc443045334"/>
      <w:bookmarkStart w:id="191" w:name="_Toc445801841"/>
      <w:r>
        <w:t>Large customer power factor correction</w:t>
      </w:r>
      <w:bookmarkEnd w:id="190"/>
      <w:bookmarkEnd w:id="191"/>
    </w:p>
    <w:p w:rsidR="00E0633C" w:rsidRPr="003F20E1" w:rsidRDefault="00E0633C" w:rsidP="00E0633C">
      <w:pPr>
        <w:pStyle w:val="Heading3"/>
      </w:pPr>
      <w:bookmarkStart w:id="192" w:name="_Toc408238536"/>
      <w:bookmarkStart w:id="193" w:name="_Toc408571609"/>
      <w:bookmarkStart w:id="194" w:name="_Toc409617534"/>
      <w:bookmarkStart w:id="195" w:name="_Toc409702143"/>
      <w:bookmarkStart w:id="196" w:name="_Toc409778862"/>
      <w:bookmarkStart w:id="197" w:name="_Toc411513691"/>
      <w:bookmarkStart w:id="198" w:name="_Toc443045335"/>
      <w:bookmarkStart w:id="199" w:name="_Toc445801842"/>
      <w:r w:rsidRPr="003F20E1">
        <w:t>Project overview</w:t>
      </w:r>
      <w:bookmarkEnd w:id="192"/>
      <w:bookmarkEnd w:id="193"/>
      <w:bookmarkEnd w:id="194"/>
      <w:bookmarkEnd w:id="195"/>
      <w:bookmarkEnd w:id="196"/>
      <w:bookmarkEnd w:id="197"/>
      <w:bookmarkEnd w:id="198"/>
      <w:bookmarkEnd w:id="199"/>
    </w:p>
    <w:p w:rsidR="00E0633C" w:rsidRDefault="00E0633C" w:rsidP="00E0633C">
      <w:pPr>
        <w:numPr>
          <w:ilvl w:val="0"/>
          <w:numId w:val="24"/>
        </w:numPr>
      </w:pPr>
      <w:r>
        <w:t>P</w:t>
      </w:r>
      <w:r w:rsidRPr="00814F11">
        <w:t xml:space="preserve">ower factor </w:t>
      </w:r>
      <w:r>
        <w:t xml:space="preserve">correction </w:t>
      </w:r>
      <w:r w:rsidRPr="00814F11">
        <w:t xml:space="preserve">at customer premises lowers the peak demand in kVA and reduces the electrical infrastructure requirements for networks. This project examines the incentives required to encourage medium to large customers whose power factor is below </w:t>
      </w:r>
      <w:r>
        <w:t xml:space="preserve">the </w:t>
      </w:r>
      <w:r w:rsidRPr="00814F11">
        <w:t>network standard during peak period</w:t>
      </w:r>
      <w:r>
        <w:t>s</w:t>
      </w:r>
      <w:r w:rsidRPr="00814F11">
        <w:t xml:space="preserve"> to install power factor correction equipment. </w:t>
      </w:r>
      <w:r>
        <w:t>Ausgrid claimed DMIA expenditure in 2013–14 of</w:t>
      </w:r>
      <w:r w:rsidRPr="00C17C23">
        <w:t xml:space="preserve"> </w:t>
      </w:r>
      <w:r>
        <w:t>$75 506 for this project.</w:t>
      </w:r>
    </w:p>
    <w:p w:rsidR="00BF1001" w:rsidRDefault="00BF1001" w:rsidP="00E0633C">
      <w:pPr>
        <w:numPr>
          <w:ilvl w:val="0"/>
          <w:numId w:val="24"/>
        </w:numPr>
      </w:pPr>
      <w:r w:rsidRPr="00CF733E">
        <w:t>Ausgrid was not eligible to recover its costs under the NSW Energy Savings Scheme, as this project did not include installation of any power factor correction equipment, nor did Ausgrid provide any funding to customers to install power factor correction equipment.</w:t>
      </w:r>
    </w:p>
    <w:p w:rsidR="00E0633C" w:rsidRPr="003F20E1" w:rsidRDefault="00E0633C" w:rsidP="00E0633C">
      <w:pPr>
        <w:pStyle w:val="Heading3"/>
      </w:pPr>
      <w:bookmarkStart w:id="200" w:name="_Toc408238537"/>
      <w:bookmarkStart w:id="201" w:name="_Toc408571610"/>
      <w:bookmarkStart w:id="202" w:name="_Toc409617535"/>
      <w:bookmarkStart w:id="203" w:name="_Toc409702144"/>
      <w:bookmarkStart w:id="204" w:name="_Toc409778863"/>
      <w:bookmarkStart w:id="205" w:name="_Toc411513692"/>
      <w:bookmarkStart w:id="206" w:name="_Toc443045336"/>
      <w:bookmarkStart w:id="207" w:name="_Toc445801843"/>
      <w:r w:rsidRPr="003F20E1">
        <w:t>Assessment against DMIA criteria</w:t>
      </w:r>
      <w:bookmarkEnd w:id="200"/>
      <w:bookmarkEnd w:id="201"/>
      <w:bookmarkEnd w:id="202"/>
      <w:bookmarkEnd w:id="203"/>
      <w:bookmarkEnd w:id="204"/>
      <w:bookmarkEnd w:id="205"/>
      <w:bookmarkEnd w:id="206"/>
      <w:bookmarkEnd w:id="207"/>
    </w:p>
    <w:p w:rsidR="00E0633C" w:rsidRPr="00C17C23" w:rsidRDefault="00E0633C" w:rsidP="00E0633C">
      <w:r w:rsidRPr="00C17C23">
        <w:rPr>
          <w:rStyle w:val="Strong"/>
        </w:rPr>
        <w:t>Criteria #1</w:t>
      </w:r>
      <w:r>
        <w:rPr>
          <w:rStyle w:val="Strong"/>
        </w:rPr>
        <w:t xml:space="preserve"> </w:t>
      </w:r>
      <w:r w:rsidR="00C61840" w:rsidRPr="00C61840">
        <w:t>By correcting the customer's power factor, the kVA demand from customers is reduced</w:t>
      </w:r>
      <w:r>
        <w:t xml:space="preserve">. </w:t>
      </w:r>
    </w:p>
    <w:p w:rsidR="00E0633C" w:rsidRPr="00C17C23" w:rsidRDefault="00E0633C" w:rsidP="00E0633C">
      <w:r>
        <w:rPr>
          <w:rStyle w:val="Strong"/>
        </w:rPr>
        <w:lastRenderedPageBreak/>
        <w:t>Criteria #</w:t>
      </w:r>
      <w:r w:rsidRPr="00C17C23">
        <w:rPr>
          <w:rStyle w:val="Strong"/>
        </w:rPr>
        <w:t xml:space="preserve">2 </w:t>
      </w:r>
      <w:r>
        <w:t>This project can help to improve energy efficiency overall (i.e. broad-based demand management) as well as be useful in managing peak demand as Ausgrid is proposing to target customers in areas that have network constraints.</w:t>
      </w:r>
    </w:p>
    <w:p w:rsidR="00E0633C" w:rsidRPr="00C17C23" w:rsidRDefault="00E0633C" w:rsidP="00E0633C">
      <w:r>
        <w:rPr>
          <w:rStyle w:val="Strong"/>
        </w:rPr>
        <w:t xml:space="preserve">Criteria </w:t>
      </w:r>
      <w:r w:rsidRPr="00C17C23">
        <w:rPr>
          <w:rStyle w:val="Strong"/>
        </w:rPr>
        <w:t>#3</w:t>
      </w:r>
      <w:r>
        <w:rPr>
          <w:rStyle w:val="Strong"/>
        </w:rPr>
        <w:t xml:space="preserve"> </w:t>
      </w:r>
      <w:r w:rsidRPr="00225479">
        <w:rPr>
          <w:rStyle w:val="AERbody"/>
        </w:rPr>
        <w:t xml:space="preserve">Encouraging </w:t>
      </w:r>
      <w:r>
        <w:rPr>
          <w:rStyle w:val="AERbody"/>
        </w:rPr>
        <w:t>p</w:t>
      </w:r>
      <w:r>
        <w:t xml:space="preserve">ower factor correction is a useful tool to manage demand. </w:t>
      </w:r>
    </w:p>
    <w:p w:rsidR="00E0633C" w:rsidRPr="00CD2645" w:rsidRDefault="00E0633C" w:rsidP="00E0633C">
      <w:pPr>
        <w:rPr>
          <w:rStyle w:val="AERbody"/>
        </w:rPr>
      </w:pPr>
      <w:r w:rsidRPr="00C17C23">
        <w:rPr>
          <w:rStyle w:val="Strong"/>
        </w:rPr>
        <w:t>Criteria #4</w:t>
      </w:r>
      <w:r>
        <w:rPr>
          <w:rStyle w:val="Strong"/>
        </w:rPr>
        <w:t xml:space="preserve"> </w:t>
      </w:r>
      <w:r>
        <w:rPr>
          <w:rStyle w:val="AERbody"/>
        </w:rPr>
        <w:t>Non-tariff based</w:t>
      </w:r>
    </w:p>
    <w:p w:rsidR="00E0633C" w:rsidRPr="00CD2645" w:rsidRDefault="00E0633C" w:rsidP="00E0633C">
      <w:pPr>
        <w:rPr>
          <w:rStyle w:val="AERbody"/>
        </w:rPr>
      </w:pPr>
      <w:r w:rsidRPr="00C17C23">
        <w:rPr>
          <w:rStyle w:val="Strong"/>
        </w:rPr>
        <w:t>Criteria #5</w:t>
      </w:r>
      <w:r>
        <w:rPr>
          <w:rStyle w:val="Strong"/>
        </w:rPr>
        <w:t xml:space="preserve"> </w:t>
      </w:r>
      <w:r>
        <w:rPr>
          <w:rStyle w:val="AERbody"/>
        </w:rPr>
        <w:t xml:space="preserve">This criterion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r>
        <w:t>.</w:t>
      </w:r>
    </w:p>
    <w:p w:rsidR="00E0633C" w:rsidRPr="00C17C23" w:rsidRDefault="00E0633C" w:rsidP="00E0633C">
      <w:pPr>
        <w:numPr>
          <w:ilvl w:val="0"/>
          <w:numId w:val="24"/>
        </w:numPr>
        <w:rPr>
          <w:rStyle w:val="Strong"/>
        </w:rPr>
      </w:pPr>
      <w:r w:rsidRPr="00C17C23">
        <w:rPr>
          <w:rStyle w:val="Strong"/>
        </w:rPr>
        <w:t>Criteria #6</w:t>
      </w:r>
      <w:r>
        <w:rPr>
          <w:rStyle w:val="Strong"/>
        </w:rPr>
        <w:t xml:space="preserve"> </w:t>
      </w:r>
      <w:r>
        <w:rPr>
          <w:rStyle w:val="AERbody"/>
        </w:rPr>
        <w:t>Opex</w:t>
      </w:r>
    </w:p>
    <w:p w:rsidR="00E0633C" w:rsidRDefault="00E0633C" w:rsidP="00E0633C">
      <w:pPr>
        <w:pStyle w:val="Heading2"/>
      </w:pPr>
      <w:bookmarkStart w:id="208" w:name="_Toc443045337"/>
      <w:bookmarkStart w:id="209" w:name="_Toc445801844"/>
      <w:r>
        <w:t>Co–managing home energy demand</w:t>
      </w:r>
      <w:bookmarkEnd w:id="208"/>
      <w:bookmarkEnd w:id="209"/>
    </w:p>
    <w:p w:rsidR="00E0633C" w:rsidRPr="003F20E1" w:rsidRDefault="00E0633C" w:rsidP="00E0633C">
      <w:pPr>
        <w:pStyle w:val="Heading3"/>
      </w:pPr>
      <w:bookmarkStart w:id="210" w:name="_Toc408238530"/>
      <w:bookmarkStart w:id="211" w:name="_Toc408571603"/>
      <w:bookmarkStart w:id="212" w:name="_Toc409617528"/>
      <w:bookmarkStart w:id="213" w:name="_Toc409702137"/>
      <w:bookmarkStart w:id="214" w:name="_Toc409778856"/>
      <w:bookmarkStart w:id="215" w:name="_Toc411513685"/>
      <w:bookmarkStart w:id="216" w:name="_Toc443045338"/>
      <w:bookmarkStart w:id="217" w:name="_Toc445801845"/>
      <w:r w:rsidRPr="003F20E1">
        <w:t>Project overview</w:t>
      </w:r>
      <w:bookmarkEnd w:id="210"/>
      <w:bookmarkEnd w:id="211"/>
      <w:bookmarkEnd w:id="212"/>
      <w:bookmarkEnd w:id="213"/>
      <w:bookmarkEnd w:id="214"/>
      <w:bookmarkEnd w:id="215"/>
      <w:bookmarkEnd w:id="216"/>
      <w:bookmarkEnd w:id="217"/>
    </w:p>
    <w:p w:rsidR="00E0633C" w:rsidRPr="00814F11" w:rsidRDefault="00E0633C" w:rsidP="00E0633C">
      <w:pPr>
        <w:numPr>
          <w:ilvl w:val="0"/>
          <w:numId w:val="24"/>
        </w:numPr>
      </w:pPr>
      <w:r w:rsidRPr="00814F11">
        <w:t xml:space="preserve">This project involves using qualitative research to better understand residential users’ level of knowledge on peak demand and how they are responding to current demand management activities. This will assist in developing strategies and programs to reduce peak demand from the residential sector. </w:t>
      </w:r>
    </w:p>
    <w:p w:rsidR="00E0633C" w:rsidRPr="00814F11" w:rsidRDefault="00E0633C" w:rsidP="00E0633C">
      <w:pPr>
        <w:numPr>
          <w:ilvl w:val="0"/>
          <w:numId w:val="24"/>
        </w:numPr>
      </w:pPr>
      <w:r>
        <w:t>In 2013–14, Ausgrid investigated methods for studying and predicting changes in the energy demand of customers. The research had a specific focus on key appliances which influence demand, such as air conditioners, hot water systems and pool pumps. The design, delivery and cost effectiveness of future demand management solutions should be informed by the research. Ausgrid claimed DMIA expenditure in 2013–14 of</w:t>
      </w:r>
      <w:r w:rsidRPr="00C17C23">
        <w:t xml:space="preserve"> </w:t>
      </w:r>
      <w:r>
        <w:t>$12 537 for this project.</w:t>
      </w:r>
    </w:p>
    <w:p w:rsidR="00E0633C" w:rsidRPr="003F20E1" w:rsidRDefault="00E0633C" w:rsidP="00E0633C">
      <w:pPr>
        <w:pStyle w:val="Heading3"/>
      </w:pPr>
      <w:bookmarkStart w:id="218" w:name="_Toc408238531"/>
      <w:bookmarkStart w:id="219" w:name="_Toc408571604"/>
      <w:bookmarkStart w:id="220" w:name="_Toc409617529"/>
      <w:bookmarkStart w:id="221" w:name="_Toc409702138"/>
      <w:bookmarkStart w:id="222" w:name="_Toc409778857"/>
      <w:bookmarkStart w:id="223" w:name="_Toc411513686"/>
      <w:bookmarkStart w:id="224" w:name="_Toc443045339"/>
      <w:bookmarkStart w:id="225" w:name="_Toc445801846"/>
      <w:r w:rsidRPr="003F20E1">
        <w:t>Assessment against DMIA criteria</w:t>
      </w:r>
      <w:bookmarkEnd w:id="218"/>
      <w:bookmarkEnd w:id="219"/>
      <w:bookmarkEnd w:id="220"/>
      <w:bookmarkEnd w:id="221"/>
      <w:bookmarkEnd w:id="222"/>
      <w:bookmarkEnd w:id="223"/>
      <w:bookmarkEnd w:id="224"/>
      <w:bookmarkEnd w:id="225"/>
    </w:p>
    <w:p w:rsidR="00E0633C" w:rsidRPr="00C17C23" w:rsidRDefault="00E0633C" w:rsidP="00E0633C">
      <w:r w:rsidRPr="00C17C23">
        <w:rPr>
          <w:rStyle w:val="Strong"/>
        </w:rPr>
        <w:t>Criteria #1</w:t>
      </w:r>
      <w:r>
        <w:rPr>
          <w:rStyle w:val="Strong"/>
        </w:rPr>
        <w:t xml:space="preserve"> </w:t>
      </w:r>
      <w:r>
        <w:t xml:space="preserve">Understanding customer behaviour can help Ausgrid to have more effective peak demand management strategies which in turn can reduce peak demand which defers the need for network augmentation. </w:t>
      </w:r>
    </w:p>
    <w:p w:rsidR="00E0633C" w:rsidRPr="00C17C23" w:rsidRDefault="00E0633C" w:rsidP="00E0633C">
      <w:r>
        <w:rPr>
          <w:rStyle w:val="Strong"/>
        </w:rPr>
        <w:t>Criteria #</w:t>
      </w:r>
      <w:r w:rsidRPr="00C17C23">
        <w:rPr>
          <w:rStyle w:val="Strong"/>
        </w:rPr>
        <w:t xml:space="preserve">2 </w:t>
      </w:r>
      <w:r>
        <w:t xml:space="preserve">This is a peak demand management program. </w:t>
      </w:r>
    </w:p>
    <w:p w:rsidR="00E0633C" w:rsidRPr="00C17C23" w:rsidRDefault="00E0633C" w:rsidP="00E0633C">
      <w:r>
        <w:rPr>
          <w:rStyle w:val="Strong"/>
        </w:rPr>
        <w:t xml:space="preserve">Criteria </w:t>
      </w:r>
      <w:r w:rsidRPr="00C17C23">
        <w:rPr>
          <w:rStyle w:val="Strong"/>
        </w:rPr>
        <w:t>#3</w:t>
      </w:r>
      <w:r>
        <w:rPr>
          <w:rStyle w:val="Strong"/>
        </w:rPr>
        <w:t xml:space="preserve"> </w:t>
      </w:r>
      <w:r>
        <w:t>This customer research builds Ausgrid's capacity to deliver effective peak demand management programs.</w:t>
      </w:r>
    </w:p>
    <w:p w:rsidR="00E0633C" w:rsidRPr="00CD2645" w:rsidRDefault="00E0633C" w:rsidP="00E0633C">
      <w:pPr>
        <w:rPr>
          <w:rStyle w:val="AERbody"/>
        </w:rPr>
      </w:pPr>
      <w:r w:rsidRPr="00C17C23">
        <w:rPr>
          <w:rStyle w:val="Strong"/>
        </w:rPr>
        <w:t>Criteria #4</w:t>
      </w:r>
      <w:r>
        <w:rPr>
          <w:rStyle w:val="Strong"/>
        </w:rPr>
        <w:t xml:space="preserve"> </w:t>
      </w:r>
      <w:r>
        <w:rPr>
          <w:rStyle w:val="AERbody"/>
        </w:rPr>
        <w:t>Non-tariff based</w:t>
      </w:r>
    </w:p>
    <w:p w:rsidR="00E0633C" w:rsidRPr="009724BC" w:rsidRDefault="00E0633C" w:rsidP="00E0633C">
      <w:pPr>
        <w:rPr>
          <w:rStyle w:val="AERbody"/>
        </w:rPr>
      </w:pPr>
      <w:r w:rsidRPr="00C17C23">
        <w:rPr>
          <w:rStyle w:val="Strong"/>
        </w:rPr>
        <w:t>Criteria #5</w:t>
      </w:r>
      <w:r>
        <w:rPr>
          <w:rStyle w:val="Strong"/>
        </w:rPr>
        <w:t xml:space="preserve"> </w:t>
      </w:r>
      <w:r>
        <w:rPr>
          <w:rStyle w:val="AERbody"/>
        </w:rPr>
        <w:t xml:space="preserve">This criterion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r>
        <w:t>.</w:t>
      </w:r>
    </w:p>
    <w:p w:rsidR="00E0633C" w:rsidRPr="00C17C23" w:rsidRDefault="00E0633C" w:rsidP="00E0633C">
      <w:pPr>
        <w:numPr>
          <w:ilvl w:val="0"/>
          <w:numId w:val="24"/>
        </w:numPr>
        <w:rPr>
          <w:rStyle w:val="Strong"/>
        </w:rPr>
      </w:pPr>
      <w:r w:rsidRPr="00C17C23">
        <w:rPr>
          <w:rStyle w:val="Strong"/>
        </w:rPr>
        <w:t>Criteria #6</w:t>
      </w:r>
      <w:r>
        <w:rPr>
          <w:rStyle w:val="Strong"/>
        </w:rPr>
        <w:t xml:space="preserve"> </w:t>
      </w:r>
      <w:r>
        <w:rPr>
          <w:rStyle w:val="AERbody"/>
        </w:rPr>
        <w:t>Opex</w:t>
      </w:r>
    </w:p>
    <w:p w:rsidR="00E0633C" w:rsidRDefault="00E0633C" w:rsidP="00E0633C">
      <w:pPr>
        <w:pStyle w:val="Heading2"/>
      </w:pPr>
      <w:bookmarkStart w:id="226" w:name="_Toc443045340"/>
      <w:bookmarkStart w:id="227" w:name="_Toc445801847"/>
      <w:r>
        <w:lastRenderedPageBreak/>
        <w:t>Verification of demand savings from energy efficiency programs</w:t>
      </w:r>
      <w:bookmarkEnd w:id="226"/>
      <w:bookmarkEnd w:id="227"/>
    </w:p>
    <w:p w:rsidR="00E0633C" w:rsidRPr="003F20E1" w:rsidRDefault="00E0633C" w:rsidP="00E0633C">
      <w:pPr>
        <w:pStyle w:val="Heading3"/>
      </w:pPr>
      <w:bookmarkStart w:id="228" w:name="_Toc408238527"/>
      <w:bookmarkStart w:id="229" w:name="_Toc408571600"/>
      <w:bookmarkStart w:id="230" w:name="_Toc409617525"/>
      <w:bookmarkStart w:id="231" w:name="_Toc409702134"/>
      <w:bookmarkStart w:id="232" w:name="_Toc409778853"/>
      <w:bookmarkStart w:id="233" w:name="_Toc411513682"/>
      <w:bookmarkStart w:id="234" w:name="_Toc443045341"/>
      <w:bookmarkStart w:id="235" w:name="_Toc445801848"/>
      <w:r w:rsidRPr="003F20E1">
        <w:t>Project overview</w:t>
      </w:r>
      <w:bookmarkEnd w:id="228"/>
      <w:bookmarkEnd w:id="229"/>
      <w:bookmarkEnd w:id="230"/>
      <w:bookmarkEnd w:id="231"/>
      <w:bookmarkEnd w:id="232"/>
      <w:bookmarkEnd w:id="233"/>
      <w:bookmarkEnd w:id="234"/>
      <w:bookmarkEnd w:id="235"/>
    </w:p>
    <w:p w:rsidR="00E0633C" w:rsidRPr="00814F11" w:rsidRDefault="00E0633C" w:rsidP="00E0633C">
      <w:pPr>
        <w:numPr>
          <w:ilvl w:val="0"/>
          <w:numId w:val="24"/>
        </w:numPr>
      </w:pPr>
      <w:r w:rsidRPr="00814F11">
        <w:t xml:space="preserve">Ausgrid are working jointly with NSW government on this project which aims to identify which energy efficiency programs or initiatives offered by NSW government organisations are effective at reducing peak demand. </w:t>
      </w:r>
      <w:r>
        <w:t>Ausgrid claimed DMIA expenditure in 2013–14 of</w:t>
      </w:r>
      <w:r w:rsidRPr="00C17C23">
        <w:t xml:space="preserve"> </w:t>
      </w:r>
      <w:r>
        <w:t>$3 889 for this project.</w:t>
      </w:r>
    </w:p>
    <w:p w:rsidR="00E0633C" w:rsidRPr="003F20E1" w:rsidRDefault="00E0633C" w:rsidP="00E0633C">
      <w:pPr>
        <w:pStyle w:val="Heading3"/>
      </w:pPr>
      <w:bookmarkStart w:id="236" w:name="_Toc408238528"/>
      <w:bookmarkStart w:id="237" w:name="_Toc408571601"/>
      <w:bookmarkStart w:id="238" w:name="_Toc409617526"/>
      <w:bookmarkStart w:id="239" w:name="_Toc409702135"/>
      <w:bookmarkStart w:id="240" w:name="_Toc409778854"/>
      <w:bookmarkStart w:id="241" w:name="_Toc411513683"/>
      <w:bookmarkStart w:id="242" w:name="_Toc443045342"/>
      <w:bookmarkStart w:id="243" w:name="_Toc445801849"/>
      <w:r w:rsidRPr="003F20E1">
        <w:t>Assessment against DMIA criteria</w:t>
      </w:r>
      <w:bookmarkEnd w:id="236"/>
      <w:bookmarkEnd w:id="237"/>
      <w:bookmarkEnd w:id="238"/>
      <w:bookmarkEnd w:id="239"/>
      <w:bookmarkEnd w:id="240"/>
      <w:bookmarkEnd w:id="241"/>
      <w:bookmarkEnd w:id="242"/>
      <w:bookmarkEnd w:id="243"/>
    </w:p>
    <w:p w:rsidR="00E0633C" w:rsidRPr="00C17C23" w:rsidRDefault="00E0633C" w:rsidP="00E0633C">
      <w:pPr>
        <w:numPr>
          <w:ilvl w:val="0"/>
          <w:numId w:val="24"/>
        </w:numPr>
      </w:pPr>
      <w:r w:rsidRPr="00C17C23">
        <w:rPr>
          <w:rStyle w:val="Strong"/>
        </w:rPr>
        <w:t>Criteria #1</w:t>
      </w:r>
      <w:r>
        <w:rPr>
          <w:rStyle w:val="Strong"/>
        </w:rPr>
        <w:t xml:space="preserve"> </w:t>
      </w:r>
      <w:r>
        <w:rPr>
          <w:rStyle w:val="AERbody"/>
        </w:rPr>
        <w:t xml:space="preserve">This project will help the government to target energy efficiency initiatives that best contribute to reductions in peak demand which in turn can help reduce network augmentation. </w:t>
      </w:r>
    </w:p>
    <w:p w:rsidR="00E0633C" w:rsidRPr="00C17C23" w:rsidRDefault="00E0633C" w:rsidP="00E0633C">
      <w:r>
        <w:rPr>
          <w:rStyle w:val="Strong"/>
        </w:rPr>
        <w:t>Criteria #</w:t>
      </w:r>
      <w:r w:rsidRPr="00C17C23">
        <w:rPr>
          <w:rStyle w:val="Strong"/>
        </w:rPr>
        <w:t xml:space="preserve">2 </w:t>
      </w:r>
      <w:r>
        <w:t xml:space="preserve">This project focuses on peak demand reduction. </w:t>
      </w:r>
    </w:p>
    <w:p w:rsidR="00E0633C" w:rsidRPr="00C17C23" w:rsidRDefault="00E0633C" w:rsidP="00E0633C">
      <w:r>
        <w:rPr>
          <w:rStyle w:val="Strong"/>
        </w:rPr>
        <w:t xml:space="preserve">Criteria </w:t>
      </w:r>
      <w:r w:rsidRPr="00C17C23">
        <w:rPr>
          <w:rStyle w:val="Strong"/>
        </w:rPr>
        <w:t>#3</w:t>
      </w:r>
      <w:r>
        <w:rPr>
          <w:rStyle w:val="Strong"/>
        </w:rPr>
        <w:t xml:space="preserve"> </w:t>
      </w:r>
      <w:r>
        <w:t xml:space="preserve">The collaborative approach and evidence-based focus will help build the demand management capacity of both Ausgrid and the NSW government.  </w:t>
      </w:r>
    </w:p>
    <w:p w:rsidR="00E0633C" w:rsidRPr="00CD2645" w:rsidRDefault="00E0633C" w:rsidP="00E0633C">
      <w:pPr>
        <w:rPr>
          <w:rStyle w:val="AERbody"/>
        </w:rPr>
      </w:pPr>
      <w:r w:rsidRPr="00C17C23">
        <w:rPr>
          <w:rStyle w:val="Strong"/>
        </w:rPr>
        <w:t>Criteria #4</w:t>
      </w:r>
      <w:r>
        <w:rPr>
          <w:rStyle w:val="Strong"/>
        </w:rPr>
        <w:t xml:space="preserve"> </w:t>
      </w:r>
      <w:r>
        <w:rPr>
          <w:rStyle w:val="AERbody"/>
        </w:rPr>
        <w:t>Non-tariff based</w:t>
      </w:r>
    </w:p>
    <w:p w:rsidR="00E0633C" w:rsidRPr="009724BC" w:rsidRDefault="00E0633C" w:rsidP="00E0633C">
      <w:pPr>
        <w:rPr>
          <w:rStyle w:val="AERbody"/>
        </w:rPr>
      </w:pPr>
      <w:r w:rsidRPr="00C17C23">
        <w:rPr>
          <w:rStyle w:val="Strong"/>
        </w:rPr>
        <w:t>Criteria #5</w:t>
      </w:r>
      <w:r>
        <w:rPr>
          <w:rStyle w:val="Strong"/>
        </w:rPr>
        <w:t xml:space="preserve"> </w:t>
      </w:r>
      <w:r>
        <w:rPr>
          <w:rStyle w:val="AERbody"/>
        </w:rPr>
        <w:t xml:space="preserve">This criterion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r>
        <w:t>.</w:t>
      </w:r>
    </w:p>
    <w:p w:rsidR="00E0633C" w:rsidRPr="00C17C23" w:rsidRDefault="00E0633C" w:rsidP="00E0633C">
      <w:pPr>
        <w:numPr>
          <w:ilvl w:val="0"/>
          <w:numId w:val="24"/>
        </w:numPr>
        <w:rPr>
          <w:rStyle w:val="Strong"/>
        </w:rPr>
      </w:pPr>
      <w:r w:rsidRPr="00C17C23">
        <w:rPr>
          <w:rStyle w:val="Strong"/>
        </w:rPr>
        <w:t>Criteria #6</w:t>
      </w:r>
      <w:r>
        <w:rPr>
          <w:rStyle w:val="Strong"/>
        </w:rPr>
        <w:t xml:space="preserve"> </w:t>
      </w:r>
      <w:r>
        <w:rPr>
          <w:rStyle w:val="AERbody"/>
        </w:rPr>
        <w:t>Opex</w:t>
      </w:r>
    </w:p>
    <w:p w:rsidR="00840AFA" w:rsidRDefault="00840AFA">
      <w:pPr>
        <w:spacing w:line="240" w:lineRule="auto"/>
      </w:pPr>
      <w:r>
        <w:br w:type="page"/>
      </w:r>
    </w:p>
    <w:p w:rsidR="003E5CC1" w:rsidRPr="003F20E1" w:rsidRDefault="003E5CC1" w:rsidP="003F20E1">
      <w:pPr>
        <w:pStyle w:val="Heading1"/>
      </w:pPr>
      <w:bookmarkStart w:id="244" w:name="_Toc445801850"/>
      <w:r w:rsidRPr="003F20E1">
        <w:lastRenderedPageBreak/>
        <w:t>Endeavour Energy</w:t>
      </w:r>
      <w:bookmarkEnd w:id="50"/>
      <w:bookmarkEnd w:id="244"/>
    </w:p>
    <w:p w:rsidR="00E0633C" w:rsidRDefault="00E0633C" w:rsidP="00E0633C">
      <w:bookmarkStart w:id="245" w:name="_Toc392751217"/>
      <w:r w:rsidRPr="000D1310">
        <w:t>We approve DMIA expenditure of $</w:t>
      </w:r>
      <w:r>
        <w:t>173 360 for two</w:t>
      </w:r>
      <w:r w:rsidRPr="000D1310">
        <w:t xml:space="preserve"> projects because they meet</w:t>
      </w:r>
      <w:r>
        <w:t xml:space="preserve"> the DMIA criteria. One of these is a continuing project which has already been approved by the AER. </w:t>
      </w:r>
      <w:r w:rsidRPr="000D1310">
        <w:t>The following section sets out our assessment</w:t>
      </w:r>
      <w:r>
        <w:t xml:space="preserve"> of the individual projects. </w:t>
      </w:r>
      <w:r w:rsidRPr="000D1310">
        <w:t>For</w:t>
      </w:r>
      <w:r>
        <w:t xml:space="preserve"> more detailed information about each project</w:t>
      </w:r>
      <w:r w:rsidRPr="000D1310">
        <w:t xml:space="preserve">, please refer to </w:t>
      </w:r>
      <w:r>
        <w:t>Endeavour</w:t>
      </w:r>
      <w:r w:rsidR="00E0219B">
        <w:t xml:space="preserve"> Energy</w:t>
      </w:r>
      <w:r>
        <w:t>'s</w:t>
      </w:r>
      <w:r w:rsidRPr="000D1310">
        <w:t xml:space="preserve"> 2013–14 DMIA report.</w:t>
      </w:r>
    </w:p>
    <w:p w:rsidR="00E0633C" w:rsidRPr="003F20E1" w:rsidRDefault="00E0633C" w:rsidP="00E0633C">
      <w:pPr>
        <w:pStyle w:val="Heading2"/>
      </w:pPr>
      <w:bookmarkStart w:id="246" w:name="_Toc392751214"/>
      <w:bookmarkStart w:id="247" w:name="_Toc408238563"/>
      <w:bookmarkStart w:id="248" w:name="_Toc408571636"/>
      <w:bookmarkStart w:id="249" w:name="_Toc409617561"/>
      <w:bookmarkStart w:id="250" w:name="_Toc409702182"/>
      <w:bookmarkStart w:id="251" w:name="_Toc409778901"/>
      <w:bookmarkStart w:id="252" w:name="_Toc411513729"/>
      <w:bookmarkStart w:id="253" w:name="_Toc443045344"/>
      <w:bookmarkStart w:id="254" w:name="_Toc445801851"/>
      <w:r w:rsidRPr="003F20E1">
        <w:t>Glenmore Park Demand Response Trial</w:t>
      </w:r>
      <w:bookmarkEnd w:id="246"/>
      <w:bookmarkEnd w:id="247"/>
      <w:bookmarkEnd w:id="248"/>
      <w:bookmarkEnd w:id="249"/>
      <w:bookmarkEnd w:id="250"/>
      <w:bookmarkEnd w:id="251"/>
      <w:bookmarkEnd w:id="252"/>
      <w:bookmarkEnd w:id="253"/>
      <w:bookmarkEnd w:id="254"/>
    </w:p>
    <w:p w:rsidR="00E0633C" w:rsidRPr="003F20E1" w:rsidRDefault="00E0633C" w:rsidP="00E0633C">
      <w:pPr>
        <w:pStyle w:val="Heading3"/>
      </w:pPr>
      <w:bookmarkStart w:id="255" w:name="_Toc408238564"/>
      <w:bookmarkStart w:id="256" w:name="_Toc408571637"/>
      <w:bookmarkStart w:id="257" w:name="_Toc409617562"/>
      <w:bookmarkStart w:id="258" w:name="_Toc409702183"/>
      <w:bookmarkStart w:id="259" w:name="_Toc409778902"/>
      <w:bookmarkStart w:id="260" w:name="_Toc411513730"/>
      <w:bookmarkStart w:id="261" w:name="_Toc443045345"/>
      <w:bookmarkStart w:id="262" w:name="_Toc445801852"/>
      <w:r w:rsidRPr="003F20E1">
        <w:t>Project overview</w:t>
      </w:r>
      <w:bookmarkEnd w:id="255"/>
      <w:bookmarkEnd w:id="256"/>
      <w:bookmarkEnd w:id="257"/>
      <w:bookmarkEnd w:id="258"/>
      <w:bookmarkEnd w:id="259"/>
      <w:bookmarkEnd w:id="260"/>
      <w:bookmarkEnd w:id="261"/>
      <w:bookmarkEnd w:id="262"/>
    </w:p>
    <w:p w:rsidR="00E0633C" w:rsidRPr="00B94644" w:rsidRDefault="00E0633C" w:rsidP="00E0633C">
      <w:pPr>
        <w:numPr>
          <w:ilvl w:val="0"/>
          <w:numId w:val="24"/>
        </w:numPr>
      </w:pPr>
      <w:r w:rsidRPr="00B94644">
        <w:t>Th</w:t>
      </w:r>
      <w:r>
        <w:t>is is a continuing project involving a customer trial into how peak demand can be reduced. The participating customers, which had existing smart meters installed at their premises, were offered time–based financial incentives to reduce demand on selected peak days. Additionally, the trial sought to qualitatively assess, via customer survey, the perceived benefit of in home displays. It also assessed the technical capability of using smart meters for the control of air conditioners. Endeavour Energy claimed DMIA expenditure in 2013–14 of</w:t>
      </w:r>
      <w:r w:rsidRPr="00C17C23">
        <w:t xml:space="preserve"> </w:t>
      </w:r>
      <w:r>
        <w:t>$127 269 for this project.</w:t>
      </w:r>
    </w:p>
    <w:p w:rsidR="00E0633C" w:rsidRPr="003F20E1" w:rsidRDefault="00E0633C" w:rsidP="00E0633C">
      <w:pPr>
        <w:pStyle w:val="Heading3"/>
      </w:pPr>
      <w:bookmarkStart w:id="263" w:name="_Toc408238565"/>
      <w:bookmarkStart w:id="264" w:name="_Toc408571638"/>
      <w:bookmarkStart w:id="265" w:name="_Toc409617563"/>
      <w:bookmarkStart w:id="266" w:name="_Toc409702184"/>
      <w:bookmarkStart w:id="267" w:name="_Toc409778903"/>
      <w:bookmarkStart w:id="268" w:name="_Toc411513731"/>
      <w:bookmarkStart w:id="269" w:name="_Toc443045346"/>
      <w:bookmarkStart w:id="270" w:name="_Toc445801853"/>
      <w:r w:rsidRPr="003F20E1">
        <w:t>Assessment against DMIA criteria</w:t>
      </w:r>
      <w:bookmarkEnd w:id="263"/>
      <w:bookmarkEnd w:id="264"/>
      <w:bookmarkEnd w:id="265"/>
      <w:bookmarkEnd w:id="266"/>
      <w:bookmarkEnd w:id="267"/>
      <w:bookmarkEnd w:id="268"/>
      <w:bookmarkEnd w:id="269"/>
      <w:bookmarkEnd w:id="270"/>
    </w:p>
    <w:p w:rsidR="00E0633C" w:rsidRPr="00B94644" w:rsidRDefault="00E0633C" w:rsidP="00E0633C">
      <w:r w:rsidRPr="00B94644">
        <w:rPr>
          <w:rStyle w:val="Strong"/>
        </w:rPr>
        <w:t>Criteria #1</w:t>
      </w:r>
      <w:r w:rsidRPr="00B94644">
        <w:t xml:space="preserve"> This project investigates how smart meters can be used to reduce peak demand through time-based incentives, information from in home displays and direct control of air-conditioners.</w:t>
      </w:r>
    </w:p>
    <w:p w:rsidR="00E0633C" w:rsidRPr="00B94644" w:rsidRDefault="00E0633C" w:rsidP="00E0633C">
      <w:r w:rsidRPr="00B94644">
        <w:rPr>
          <w:rStyle w:val="Strong"/>
        </w:rPr>
        <w:t xml:space="preserve">Criteria #2 </w:t>
      </w:r>
      <w:r w:rsidRPr="00B94644">
        <w:t>This project is a peak demand management project.</w:t>
      </w:r>
    </w:p>
    <w:p w:rsidR="00E0633C" w:rsidRPr="00B94644" w:rsidRDefault="00E0633C" w:rsidP="00E0633C">
      <w:r w:rsidRPr="00B94644">
        <w:rPr>
          <w:rStyle w:val="Strong"/>
        </w:rPr>
        <w:t xml:space="preserve">Criteria #3 </w:t>
      </w:r>
      <w:r w:rsidRPr="00B94644">
        <w:t>This proje</w:t>
      </w:r>
      <w:r>
        <w:t>ct explores how smart meters, an increasingly prevalent technology</w:t>
      </w:r>
      <w:r w:rsidRPr="00B94644">
        <w:t>, can be used to manage peak demand.</w:t>
      </w:r>
    </w:p>
    <w:p w:rsidR="00E0633C" w:rsidRPr="00B94644" w:rsidRDefault="00E0633C" w:rsidP="00E0633C">
      <w:pPr>
        <w:rPr>
          <w:rStyle w:val="AERbody"/>
        </w:rPr>
      </w:pPr>
      <w:r w:rsidRPr="00B94644">
        <w:rPr>
          <w:rStyle w:val="Strong"/>
        </w:rPr>
        <w:t xml:space="preserve">Criteria #4 </w:t>
      </w:r>
      <w:r>
        <w:rPr>
          <w:rStyle w:val="AERbody"/>
        </w:rPr>
        <w:t>Non-tariff based</w:t>
      </w:r>
    </w:p>
    <w:p w:rsidR="00E0633C" w:rsidRDefault="00E0633C" w:rsidP="00E0633C">
      <w:r w:rsidRPr="00B94644">
        <w:rPr>
          <w:rStyle w:val="Strong"/>
        </w:rPr>
        <w:t xml:space="preserve">Criteria #5 </w:t>
      </w:r>
      <w:r>
        <w:rPr>
          <w:rStyle w:val="AERbody"/>
        </w:rPr>
        <w:t xml:space="preserve">This criteria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p>
    <w:p w:rsidR="00E0633C" w:rsidRPr="00B94644" w:rsidRDefault="00E0633C" w:rsidP="00E0633C">
      <w:pPr>
        <w:numPr>
          <w:ilvl w:val="0"/>
          <w:numId w:val="24"/>
        </w:numPr>
        <w:rPr>
          <w:rStyle w:val="AERbody"/>
        </w:rPr>
      </w:pPr>
      <w:r w:rsidRPr="00D61E77">
        <w:rPr>
          <w:rStyle w:val="Strong"/>
        </w:rPr>
        <w:t xml:space="preserve">Criteria #6 </w:t>
      </w:r>
      <w:r>
        <w:rPr>
          <w:rStyle w:val="AERbody"/>
        </w:rPr>
        <w:t>Opex and capex</w:t>
      </w:r>
    </w:p>
    <w:p w:rsidR="00E0633C" w:rsidRDefault="00E0633C" w:rsidP="00E0633C">
      <w:pPr>
        <w:pStyle w:val="Heading2"/>
      </w:pPr>
      <w:bookmarkStart w:id="271" w:name="_Toc443045347"/>
      <w:bookmarkStart w:id="272" w:name="_Toc445801854"/>
      <w:r>
        <w:t>Pool pump trial</w:t>
      </w:r>
      <w:bookmarkEnd w:id="271"/>
      <w:bookmarkEnd w:id="272"/>
    </w:p>
    <w:p w:rsidR="00E0633C" w:rsidRPr="00B94644" w:rsidRDefault="00E0633C" w:rsidP="00E0633C">
      <w:pPr>
        <w:numPr>
          <w:ilvl w:val="0"/>
          <w:numId w:val="24"/>
        </w:numPr>
      </w:pPr>
      <w:r>
        <w:t xml:space="preserve">This is a new project which trials methods for allowing customers to switch their pool pump from a "Domestic" to a "Controlled Load 2" supply.  The trial's main objectives are to quantify peak demand reduction, investigate when customers use their pool pumps, and to identify the costs associated with controlled load conversion. To facilitate switching, customers were offered a $150 financial incentive and a reduction in the energy costs incurred by pool pump operations—which could lead to savings of </w:t>
      </w:r>
      <w:r>
        <w:lastRenderedPageBreak/>
        <w:t>several hundred dollars. Endeavour Energy claimed DMIA expenditure in 2013–14 of</w:t>
      </w:r>
      <w:r w:rsidRPr="00C17C23">
        <w:t xml:space="preserve"> </w:t>
      </w:r>
      <w:r>
        <w:t>$46 091 for this project.</w:t>
      </w:r>
    </w:p>
    <w:p w:rsidR="00E0633C" w:rsidRPr="003F20E1" w:rsidRDefault="00E0633C" w:rsidP="00E0633C">
      <w:pPr>
        <w:pStyle w:val="Heading3"/>
      </w:pPr>
      <w:bookmarkStart w:id="273" w:name="_Toc443045348"/>
      <w:bookmarkStart w:id="274" w:name="_Toc445801855"/>
      <w:r w:rsidRPr="003F20E1">
        <w:t>Assessment against DMIA criteria</w:t>
      </w:r>
      <w:bookmarkEnd w:id="273"/>
      <w:bookmarkEnd w:id="274"/>
    </w:p>
    <w:p w:rsidR="00E0633C" w:rsidRPr="00B94644" w:rsidRDefault="00E0633C" w:rsidP="00E0633C">
      <w:r w:rsidRPr="00B94644">
        <w:rPr>
          <w:rStyle w:val="Strong"/>
        </w:rPr>
        <w:t>Criteria #1</w:t>
      </w:r>
      <w:r w:rsidRPr="00B94644">
        <w:t xml:space="preserve"> </w:t>
      </w:r>
      <w:r>
        <w:t>The control of pool pumps through the Control Load 2 circuit</w:t>
      </w:r>
      <w:r w:rsidRPr="00C17C23">
        <w:t xml:space="preserve"> </w:t>
      </w:r>
      <w:r>
        <w:t xml:space="preserve">could help reduce summer peak demand, which may reduce the need for network augmentation. </w:t>
      </w:r>
      <w:r w:rsidRPr="00C17C23">
        <w:t xml:space="preserve"> </w:t>
      </w:r>
    </w:p>
    <w:p w:rsidR="00E0633C" w:rsidRPr="00B94644" w:rsidRDefault="00E0633C" w:rsidP="00E0633C">
      <w:r w:rsidRPr="00B94644">
        <w:rPr>
          <w:rStyle w:val="Strong"/>
        </w:rPr>
        <w:t xml:space="preserve">Criteria #2 </w:t>
      </w:r>
      <w:r w:rsidRPr="00B94644">
        <w:t>This project is a peak demand management project.</w:t>
      </w:r>
    </w:p>
    <w:p w:rsidR="00E0633C" w:rsidRDefault="00E0633C" w:rsidP="00E0633C">
      <w:r w:rsidRPr="00B94644">
        <w:rPr>
          <w:rStyle w:val="Strong"/>
        </w:rPr>
        <w:t xml:space="preserve">Criteria #3 </w:t>
      </w:r>
      <w:r w:rsidRPr="00B94644">
        <w:t>This proje</w:t>
      </w:r>
      <w:r>
        <w:t>ct explores customer pool pump usage behaviour and the control of pool pumps through the Control Load 2 circuit.</w:t>
      </w:r>
    </w:p>
    <w:p w:rsidR="00E0633C" w:rsidRPr="00B94644" w:rsidRDefault="00E0633C" w:rsidP="00E0633C">
      <w:pPr>
        <w:rPr>
          <w:rStyle w:val="AERbody"/>
        </w:rPr>
      </w:pPr>
      <w:r w:rsidRPr="00B94644">
        <w:rPr>
          <w:rStyle w:val="Strong"/>
        </w:rPr>
        <w:t xml:space="preserve">Criteria #4 </w:t>
      </w:r>
      <w:r w:rsidR="003A0432">
        <w:rPr>
          <w:rStyle w:val="AERbody"/>
        </w:rPr>
        <w:t>Both ta</w:t>
      </w:r>
      <w:r w:rsidR="00D56F3E">
        <w:rPr>
          <w:rStyle w:val="AERbody"/>
        </w:rPr>
        <w:t>r</w:t>
      </w:r>
      <w:r w:rsidR="003A0432">
        <w:rPr>
          <w:rStyle w:val="AERbody"/>
        </w:rPr>
        <w:t>iff and n</w:t>
      </w:r>
      <w:r>
        <w:rPr>
          <w:rStyle w:val="AERbody"/>
        </w:rPr>
        <w:t xml:space="preserve">on-tariff </w:t>
      </w:r>
      <w:r w:rsidR="003A0432">
        <w:rPr>
          <w:rStyle w:val="AERbody"/>
        </w:rPr>
        <w:t>incentives</w:t>
      </w:r>
    </w:p>
    <w:p w:rsidR="00E0633C" w:rsidRDefault="00E0633C" w:rsidP="00E0633C">
      <w:r w:rsidRPr="00B94644">
        <w:rPr>
          <w:rStyle w:val="Strong"/>
        </w:rPr>
        <w:t xml:space="preserve">Criteria #5 </w:t>
      </w:r>
      <w:r>
        <w:rPr>
          <w:rStyle w:val="AERbody"/>
        </w:rPr>
        <w:t xml:space="preserve">This criteria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p>
    <w:p w:rsidR="00E0633C" w:rsidRPr="00B94644" w:rsidRDefault="00E0633C" w:rsidP="00E0633C">
      <w:pPr>
        <w:numPr>
          <w:ilvl w:val="0"/>
          <w:numId w:val="24"/>
        </w:numPr>
        <w:rPr>
          <w:rStyle w:val="AERbody"/>
        </w:rPr>
      </w:pPr>
      <w:r w:rsidRPr="00D61E77">
        <w:rPr>
          <w:rStyle w:val="Strong"/>
        </w:rPr>
        <w:t xml:space="preserve">Criteria #6 </w:t>
      </w:r>
      <w:r>
        <w:rPr>
          <w:rStyle w:val="AERbody"/>
        </w:rPr>
        <w:t>Opex and capex</w:t>
      </w:r>
    </w:p>
    <w:p w:rsidR="000A2B46" w:rsidRDefault="000A2B46">
      <w:pPr>
        <w:spacing w:line="240" w:lineRule="auto"/>
      </w:pPr>
    </w:p>
    <w:p w:rsidR="00A30F01" w:rsidRDefault="00A30F01">
      <w:pPr>
        <w:spacing w:line="240" w:lineRule="auto"/>
        <w:rPr>
          <w:rFonts w:eastAsiaTheme="majorEastAsia" w:cstheme="majorBidi"/>
          <w:b/>
          <w:bCs/>
          <w:color w:val="70635A"/>
          <w:sz w:val="36"/>
          <w:szCs w:val="28"/>
        </w:rPr>
      </w:pPr>
      <w:r>
        <w:br w:type="page"/>
      </w:r>
    </w:p>
    <w:p w:rsidR="00A86DC4" w:rsidRPr="003F20E1" w:rsidRDefault="00A86DC4" w:rsidP="00A86DC4">
      <w:pPr>
        <w:pStyle w:val="Heading1"/>
      </w:pPr>
      <w:bookmarkStart w:id="275" w:name="_Toc445801856"/>
      <w:r w:rsidRPr="003F20E1">
        <w:lastRenderedPageBreak/>
        <w:t>Essential Energy</w:t>
      </w:r>
      <w:bookmarkEnd w:id="275"/>
    </w:p>
    <w:p w:rsidR="00A86DC4" w:rsidRDefault="00A86DC4" w:rsidP="00A86DC4">
      <w:pPr>
        <w:numPr>
          <w:ilvl w:val="0"/>
          <w:numId w:val="24"/>
        </w:numPr>
      </w:pPr>
      <w:r>
        <w:t>Essential</w:t>
      </w:r>
      <w:r w:rsidRPr="00D61E77">
        <w:t xml:space="preserve"> Energy is claiming </w:t>
      </w:r>
      <w:r>
        <w:t xml:space="preserve">2013–14 </w:t>
      </w:r>
      <w:r w:rsidRPr="00D61E77">
        <w:t xml:space="preserve">DMIA expenditure for </w:t>
      </w:r>
      <w:r>
        <w:t>six</w:t>
      </w:r>
      <w:r w:rsidRPr="00D61E77">
        <w:t xml:space="preserve"> demand management projects to</w:t>
      </w:r>
      <w:r>
        <w:t>talling</w:t>
      </w:r>
      <w:r w:rsidRPr="00D61E77">
        <w:t xml:space="preserve"> </w:t>
      </w:r>
      <w:r w:rsidRPr="006B26CD">
        <w:t>$</w:t>
      </w:r>
      <w:r>
        <w:t>380 836</w:t>
      </w:r>
      <w:r w:rsidRPr="00D61E77">
        <w:t xml:space="preserve">. </w:t>
      </w:r>
      <w:r>
        <w:t>We approve this expenditure as it meets the DMIA criteria. The following section sets out our assessment of the individual projects. For more detailed information about these projects, please refer to Essential Energy's 2013–14 DMIA report.</w:t>
      </w:r>
    </w:p>
    <w:p w:rsidR="00A86DC4" w:rsidRPr="003F20E1" w:rsidRDefault="00A86DC4" w:rsidP="00A86DC4">
      <w:pPr>
        <w:pStyle w:val="Heading2"/>
      </w:pPr>
      <w:bookmarkStart w:id="276" w:name="_Toc392751234"/>
      <w:bookmarkStart w:id="277" w:name="_Toc408238619"/>
      <w:bookmarkStart w:id="278" w:name="_Toc408571692"/>
      <w:bookmarkStart w:id="279" w:name="_Toc409617617"/>
      <w:bookmarkStart w:id="280" w:name="_Toc409702238"/>
      <w:bookmarkStart w:id="281" w:name="_Toc409778957"/>
      <w:bookmarkStart w:id="282" w:name="_Toc411513785"/>
      <w:bookmarkStart w:id="283" w:name="_Toc443045351"/>
      <w:bookmarkStart w:id="284" w:name="_Toc445801857"/>
      <w:r w:rsidRPr="003F20E1">
        <w:t>Grid Interactive Inverter program 20kVA based</w:t>
      </w:r>
      <w:bookmarkEnd w:id="276"/>
      <w:bookmarkEnd w:id="277"/>
      <w:bookmarkEnd w:id="278"/>
      <w:bookmarkEnd w:id="279"/>
      <w:bookmarkEnd w:id="280"/>
      <w:bookmarkEnd w:id="281"/>
      <w:bookmarkEnd w:id="282"/>
      <w:bookmarkEnd w:id="283"/>
      <w:bookmarkEnd w:id="284"/>
    </w:p>
    <w:p w:rsidR="00A86DC4" w:rsidRPr="003F20E1" w:rsidRDefault="00A86DC4" w:rsidP="00A86DC4">
      <w:pPr>
        <w:pStyle w:val="Heading3"/>
      </w:pPr>
      <w:bookmarkStart w:id="285" w:name="_Toc408238620"/>
      <w:bookmarkStart w:id="286" w:name="_Toc408571693"/>
      <w:bookmarkStart w:id="287" w:name="_Toc409617618"/>
      <w:bookmarkStart w:id="288" w:name="_Toc409702239"/>
      <w:bookmarkStart w:id="289" w:name="_Toc409778958"/>
      <w:bookmarkStart w:id="290" w:name="_Toc411513786"/>
      <w:bookmarkStart w:id="291" w:name="_Toc443045352"/>
      <w:bookmarkStart w:id="292" w:name="_Toc445801858"/>
      <w:r w:rsidRPr="003F20E1">
        <w:t>Project overview</w:t>
      </w:r>
      <w:bookmarkEnd w:id="285"/>
      <w:bookmarkEnd w:id="286"/>
      <w:bookmarkEnd w:id="287"/>
      <w:bookmarkEnd w:id="288"/>
      <w:bookmarkEnd w:id="289"/>
      <w:bookmarkEnd w:id="290"/>
      <w:bookmarkEnd w:id="291"/>
      <w:bookmarkEnd w:id="292"/>
    </w:p>
    <w:p w:rsidR="00A86DC4" w:rsidRPr="006B26CD" w:rsidRDefault="00A86DC4" w:rsidP="00A86DC4">
      <w:r w:rsidRPr="006B26CD">
        <w:t xml:space="preserve">The </w:t>
      </w:r>
      <w:r>
        <w:t>g</w:t>
      </w:r>
      <w:r w:rsidRPr="006B26CD">
        <w:t xml:space="preserve">rid </w:t>
      </w:r>
      <w:r>
        <w:t>i</w:t>
      </w:r>
      <w:r w:rsidRPr="006B26CD">
        <w:t>nteractive inverter program involves research, development and field testing of four quadrant inverters which can be used to avoid or defer network augmentation in low and medium voltage distribution networks. Following field trials</w:t>
      </w:r>
      <w:r>
        <w:t xml:space="preserve"> in previous years</w:t>
      </w:r>
      <w:r w:rsidRPr="006B26CD">
        <w:t>,</w:t>
      </w:r>
      <w:r>
        <w:t xml:space="preserve"> further monitoring, maintenance and upgrades to the inverter installations occurred in 2013–14</w:t>
      </w:r>
      <w:r w:rsidRPr="006B26CD">
        <w:t>.</w:t>
      </w:r>
      <w:r>
        <w:t xml:space="preserve"> Development of a pole mounted version, which may offer a more cost effective installation type, also occurred.</w:t>
      </w:r>
      <w:r w:rsidRPr="006B26CD">
        <w:t xml:space="preserve"> </w:t>
      </w:r>
      <w:r>
        <w:t>Essential</w:t>
      </w:r>
      <w:r w:rsidRPr="00F03724">
        <w:t xml:space="preserve"> Energy </w:t>
      </w:r>
      <w:r>
        <w:t xml:space="preserve">claimed DMIA expenditure in 2013–14 of $51 157 </w:t>
      </w:r>
      <w:r w:rsidRPr="00F03724">
        <w:t>for this project.</w:t>
      </w:r>
    </w:p>
    <w:p w:rsidR="00A86DC4" w:rsidRPr="003F20E1" w:rsidRDefault="00A86DC4" w:rsidP="00A86DC4">
      <w:pPr>
        <w:pStyle w:val="Heading3"/>
      </w:pPr>
      <w:bookmarkStart w:id="293" w:name="_Toc408238621"/>
      <w:bookmarkStart w:id="294" w:name="_Toc408571694"/>
      <w:bookmarkStart w:id="295" w:name="_Toc409617619"/>
      <w:bookmarkStart w:id="296" w:name="_Toc409702240"/>
      <w:bookmarkStart w:id="297" w:name="_Toc409778959"/>
      <w:bookmarkStart w:id="298" w:name="_Toc411513787"/>
      <w:bookmarkStart w:id="299" w:name="_Toc443045353"/>
      <w:bookmarkStart w:id="300" w:name="_Toc445801859"/>
      <w:r w:rsidRPr="003F20E1">
        <w:t>Assessment against DMIA criteria</w:t>
      </w:r>
      <w:bookmarkEnd w:id="293"/>
      <w:bookmarkEnd w:id="294"/>
      <w:bookmarkEnd w:id="295"/>
      <w:bookmarkEnd w:id="296"/>
      <w:bookmarkEnd w:id="297"/>
      <w:bookmarkEnd w:id="298"/>
      <w:bookmarkEnd w:id="299"/>
      <w:bookmarkEnd w:id="300"/>
    </w:p>
    <w:p w:rsidR="00A86DC4" w:rsidRPr="00C17C23" w:rsidRDefault="00A86DC4" w:rsidP="00A86DC4">
      <w:r w:rsidRPr="00C17C23">
        <w:rPr>
          <w:rStyle w:val="Strong"/>
        </w:rPr>
        <w:t>Criteria #1</w:t>
      </w:r>
      <w:r>
        <w:rPr>
          <w:rStyle w:val="Strong"/>
        </w:rPr>
        <w:t xml:space="preserve"> </w:t>
      </w:r>
      <w:r w:rsidRPr="00CD1135">
        <w:t>This project involve</w:t>
      </w:r>
      <w:r>
        <w:t>s</w:t>
      </w:r>
      <w:r w:rsidRPr="00CD1135">
        <w:t xml:space="preserve"> testing four quadrant inverters</w:t>
      </w:r>
      <w:r>
        <w:t>,</w:t>
      </w:r>
      <w:r w:rsidRPr="00CD1135">
        <w:t xml:space="preserve"> which are an enabling technology for energy storage</w:t>
      </w:r>
      <w:r>
        <w:t>,</w:t>
      </w:r>
      <w:r w:rsidRPr="00CD1135">
        <w:t xml:space="preserve"> and reactive power support which has the potential to shift/reduce demand at peak times rather than relying on network augmentation.</w:t>
      </w:r>
    </w:p>
    <w:p w:rsidR="00A86DC4" w:rsidRPr="00DC0FC9" w:rsidRDefault="00A86DC4" w:rsidP="00A86DC4">
      <w:r>
        <w:rPr>
          <w:rStyle w:val="Strong"/>
        </w:rPr>
        <w:t>Criteria #</w:t>
      </w:r>
      <w:r w:rsidRPr="00DC0FC9">
        <w:rPr>
          <w:rStyle w:val="Strong"/>
        </w:rPr>
        <w:t xml:space="preserve">2 </w:t>
      </w:r>
      <w:r w:rsidRPr="00DC0FC9">
        <w:t xml:space="preserve">This is a peak demand management program. </w:t>
      </w:r>
    </w:p>
    <w:p w:rsidR="00A86DC4" w:rsidRDefault="00A86DC4" w:rsidP="00A86DC4">
      <w:r>
        <w:rPr>
          <w:rStyle w:val="Strong"/>
        </w:rPr>
        <w:t xml:space="preserve">Criteria </w:t>
      </w:r>
      <w:r w:rsidRPr="00C17C23">
        <w:rPr>
          <w:rStyle w:val="Strong"/>
        </w:rPr>
        <w:t>#3</w:t>
      </w:r>
      <w:r>
        <w:rPr>
          <w:rStyle w:val="Strong"/>
        </w:rPr>
        <w:t xml:space="preserve"> </w:t>
      </w:r>
      <w:r w:rsidRPr="00CD1135">
        <w:t>This project explores innovative technologies to build demand management capability and capacity.</w:t>
      </w:r>
    </w:p>
    <w:p w:rsidR="00A86DC4" w:rsidRPr="00CD2645" w:rsidRDefault="00A86DC4" w:rsidP="00A86DC4">
      <w:pPr>
        <w:rPr>
          <w:rStyle w:val="AERbody"/>
        </w:rPr>
      </w:pPr>
      <w:r w:rsidRPr="00C17C23">
        <w:rPr>
          <w:rStyle w:val="Strong"/>
        </w:rPr>
        <w:t>Criteria #4</w:t>
      </w:r>
      <w:r>
        <w:rPr>
          <w:rStyle w:val="Strong"/>
        </w:rPr>
        <w:t xml:space="preserve"> </w:t>
      </w:r>
      <w:r w:rsidRPr="00CD1135">
        <w:t>Non-tariff based</w:t>
      </w:r>
    </w:p>
    <w:p w:rsidR="00A86DC4" w:rsidRPr="00CD2645" w:rsidRDefault="00A86DC4" w:rsidP="00A86DC4">
      <w:pPr>
        <w:rPr>
          <w:rStyle w:val="AERbody"/>
        </w:rPr>
      </w:pPr>
      <w:r w:rsidRPr="00C17C23">
        <w:rPr>
          <w:rStyle w:val="Strong"/>
        </w:rPr>
        <w:t>Criteria #5</w:t>
      </w:r>
      <w:r>
        <w:rPr>
          <w:rStyle w:val="Strong"/>
        </w:rPr>
        <w:t xml:space="preserve"> </w:t>
      </w:r>
      <w:r w:rsidRPr="00F03724">
        <w:rPr>
          <w:rStyle w:val="AERbody"/>
        </w:rPr>
        <w:t xml:space="preserve">This criteria is met because expenditure for this project </w:t>
      </w:r>
      <w:r w:rsidRPr="00F03724">
        <w:t>cannot be recovered through any other jurisdictional, state or Australian Government scheme, nor through any other part of the distribution determination for the current regulatory control period.</w:t>
      </w:r>
    </w:p>
    <w:p w:rsidR="00A86DC4" w:rsidRPr="00C17C23" w:rsidRDefault="00A86DC4" w:rsidP="00A86DC4">
      <w:pPr>
        <w:numPr>
          <w:ilvl w:val="0"/>
          <w:numId w:val="24"/>
        </w:numPr>
        <w:rPr>
          <w:rStyle w:val="Strong"/>
        </w:rPr>
      </w:pPr>
      <w:r w:rsidRPr="00C17C23">
        <w:rPr>
          <w:rStyle w:val="Strong"/>
        </w:rPr>
        <w:t>Criteria #6</w:t>
      </w:r>
      <w:r>
        <w:rPr>
          <w:rStyle w:val="Strong"/>
        </w:rPr>
        <w:t xml:space="preserve"> </w:t>
      </w:r>
      <w:r>
        <w:t>Opex and C</w:t>
      </w:r>
      <w:r w:rsidRPr="00CD1135">
        <w:t>apex</w:t>
      </w:r>
    </w:p>
    <w:p w:rsidR="00A86DC4" w:rsidRPr="003F20E1" w:rsidRDefault="00A86DC4" w:rsidP="00A86DC4">
      <w:pPr>
        <w:pStyle w:val="Heading2"/>
      </w:pPr>
      <w:bookmarkStart w:id="301" w:name="_Toc392751235"/>
      <w:bookmarkStart w:id="302" w:name="_Toc408238622"/>
      <w:bookmarkStart w:id="303" w:name="_Toc408571695"/>
      <w:bookmarkStart w:id="304" w:name="_Toc409617620"/>
      <w:bookmarkStart w:id="305" w:name="_Toc409702241"/>
      <w:bookmarkStart w:id="306" w:name="_Toc409778960"/>
      <w:bookmarkStart w:id="307" w:name="_Toc411513788"/>
      <w:bookmarkStart w:id="308" w:name="_Toc443045354"/>
      <w:bookmarkStart w:id="309" w:name="_Toc445801860"/>
      <w:r w:rsidRPr="003F20E1">
        <w:t>Grid Interactive Inverter program 5kVA based</w:t>
      </w:r>
      <w:bookmarkEnd w:id="301"/>
      <w:bookmarkEnd w:id="302"/>
      <w:bookmarkEnd w:id="303"/>
      <w:bookmarkEnd w:id="304"/>
      <w:bookmarkEnd w:id="305"/>
      <w:bookmarkEnd w:id="306"/>
      <w:bookmarkEnd w:id="307"/>
      <w:bookmarkEnd w:id="308"/>
      <w:bookmarkEnd w:id="309"/>
    </w:p>
    <w:p w:rsidR="00A86DC4" w:rsidRPr="003F20E1" w:rsidRDefault="00A86DC4" w:rsidP="00A86DC4">
      <w:pPr>
        <w:pStyle w:val="Heading3"/>
      </w:pPr>
      <w:bookmarkStart w:id="310" w:name="_Toc408238623"/>
      <w:bookmarkStart w:id="311" w:name="_Toc408571696"/>
      <w:bookmarkStart w:id="312" w:name="_Toc409617621"/>
      <w:bookmarkStart w:id="313" w:name="_Toc409702242"/>
      <w:bookmarkStart w:id="314" w:name="_Toc409778961"/>
      <w:bookmarkStart w:id="315" w:name="_Toc411513789"/>
      <w:bookmarkStart w:id="316" w:name="_Toc443045355"/>
      <w:bookmarkStart w:id="317" w:name="_Toc445801861"/>
      <w:r w:rsidRPr="003F20E1">
        <w:t>Project overview</w:t>
      </w:r>
      <w:bookmarkEnd w:id="310"/>
      <w:bookmarkEnd w:id="311"/>
      <w:bookmarkEnd w:id="312"/>
      <w:bookmarkEnd w:id="313"/>
      <w:bookmarkEnd w:id="314"/>
      <w:bookmarkEnd w:id="315"/>
      <w:bookmarkEnd w:id="316"/>
      <w:bookmarkEnd w:id="317"/>
    </w:p>
    <w:p w:rsidR="00A86DC4" w:rsidRPr="006B26CD" w:rsidRDefault="00A86DC4" w:rsidP="00A86DC4">
      <w:pPr>
        <w:numPr>
          <w:ilvl w:val="0"/>
          <w:numId w:val="24"/>
        </w:numPr>
      </w:pPr>
      <w:r w:rsidRPr="006B26CD">
        <w:t xml:space="preserve">This project builds on the ‘Grid Interactive Inverter program 20kVA based’. The 5kVA project focuses on developing this technology for use at a residential level. </w:t>
      </w:r>
      <w:r>
        <w:t>During 2013</w:t>
      </w:r>
      <w:r w:rsidRPr="00F03724">
        <w:t>–</w:t>
      </w:r>
      <w:r>
        <w:t>14, a number of</w:t>
      </w:r>
      <w:r w:rsidRPr="00F03724">
        <w:t xml:space="preserve"> </w:t>
      </w:r>
      <w:r w:rsidRPr="006B26CD">
        <w:t>5kVA four quadrant inverters were tested at the Clearwater Zone Substat</w:t>
      </w:r>
      <w:r>
        <w:t>ion in Port Macquarie</w:t>
      </w:r>
      <w:r w:rsidRPr="006B26CD">
        <w:t xml:space="preserve">. </w:t>
      </w:r>
      <w:r w:rsidRPr="00F03724">
        <w:t xml:space="preserve">Essential Energy </w:t>
      </w:r>
      <w:r>
        <w:t>claimed DMIA expenditure in 2013–14</w:t>
      </w:r>
      <w:r w:rsidRPr="00F03724">
        <w:t xml:space="preserve"> </w:t>
      </w:r>
      <w:r>
        <w:t xml:space="preserve">of </w:t>
      </w:r>
      <w:r w:rsidRPr="00F03724">
        <w:t>$</w:t>
      </w:r>
      <w:r>
        <w:t xml:space="preserve">52 270 </w:t>
      </w:r>
      <w:r w:rsidRPr="00F03724">
        <w:t>for this project.</w:t>
      </w:r>
    </w:p>
    <w:p w:rsidR="00A86DC4" w:rsidRPr="003F20E1" w:rsidRDefault="00A86DC4" w:rsidP="00A86DC4">
      <w:pPr>
        <w:pStyle w:val="Heading3"/>
      </w:pPr>
      <w:bookmarkStart w:id="318" w:name="_Toc408238624"/>
      <w:bookmarkStart w:id="319" w:name="_Toc408571697"/>
      <w:bookmarkStart w:id="320" w:name="_Toc409617622"/>
      <w:bookmarkStart w:id="321" w:name="_Toc409702243"/>
      <w:bookmarkStart w:id="322" w:name="_Toc409778962"/>
      <w:bookmarkStart w:id="323" w:name="_Toc411513790"/>
      <w:bookmarkStart w:id="324" w:name="_Toc443045356"/>
      <w:bookmarkStart w:id="325" w:name="_Toc445801862"/>
      <w:r w:rsidRPr="003F20E1">
        <w:lastRenderedPageBreak/>
        <w:t>Assessment against DMIA criteria</w:t>
      </w:r>
      <w:bookmarkEnd w:id="318"/>
      <w:bookmarkEnd w:id="319"/>
      <w:bookmarkEnd w:id="320"/>
      <w:bookmarkEnd w:id="321"/>
      <w:bookmarkEnd w:id="322"/>
      <w:bookmarkEnd w:id="323"/>
      <w:bookmarkEnd w:id="324"/>
      <w:bookmarkEnd w:id="325"/>
    </w:p>
    <w:p w:rsidR="00A86DC4" w:rsidRPr="00C17C23" w:rsidRDefault="00A86DC4" w:rsidP="00A86DC4">
      <w:r w:rsidRPr="00C17C23">
        <w:rPr>
          <w:rStyle w:val="Strong"/>
        </w:rPr>
        <w:t>Criteria #1</w:t>
      </w:r>
      <w:r>
        <w:rPr>
          <w:rStyle w:val="Strong"/>
        </w:rPr>
        <w:t xml:space="preserve"> </w:t>
      </w:r>
      <w:r w:rsidRPr="00CD1135">
        <w:t>Unlike the 20kVA based project which is used at the network level, the 5kVA inverters are developed to use at the residential level to support renewable generation connections while minimising adverse impacts to the distribution network.</w:t>
      </w:r>
    </w:p>
    <w:p w:rsidR="00A86DC4" w:rsidRPr="00C17C23" w:rsidRDefault="00A86DC4" w:rsidP="00A86DC4">
      <w:r>
        <w:rPr>
          <w:rStyle w:val="Strong"/>
        </w:rPr>
        <w:t>Criteria #</w:t>
      </w:r>
      <w:r w:rsidRPr="00C17C23">
        <w:rPr>
          <w:rStyle w:val="Strong"/>
        </w:rPr>
        <w:t xml:space="preserve">2 </w:t>
      </w:r>
      <w:r w:rsidRPr="00CD1135">
        <w:t>The technology explored in this project can be used in broad-based demand management programs and to address specific network constraints.</w:t>
      </w:r>
    </w:p>
    <w:p w:rsidR="00A86DC4" w:rsidRPr="00C17C23" w:rsidRDefault="00A86DC4" w:rsidP="00A86DC4">
      <w:r>
        <w:rPr>
          <w:rStyle w:val="Strong"/>
        </w:rPr>
        <w:t xml:space="preserve">Criteria </w:t>
      </w:r>
      <w:r w:rsidRPr="00C17C23">
        <w:rPr>
          <w:rStyle w:val="Strong"/>
        </w:rPr>
        <w:t>#3</w:t>
      </w:r>
      <w:r>
        <w:rPr>
          <w:rStyle w:val="Strong"/>
        </w:rPr>
        <w:t xml:space="preserve"> </w:t>
      </w:r>
      <w:r w:rsidRPr="00CD1135">
        <w:t>This project explores innovative technologies to build demand management capability and capacity.</w:t>
      </w:r>
    </w:p>
    <w:p w:rsidR="00A86DC4" w:rsidRPr="00CD2645" w:rsidRDefault="00A86DC4" w:rsidP="00A86DC4">
      <w:pPr>
        <w:rPr>
          <w:rStyle w:val="AERbody"/>
        </w:rPr>
      </w:pPr>
      <w:r w:rsidRPr="00C17C23">
        <w:rPr>
          <w:rStyle w:val="Strong"/>
        </w:rPr>
        <w:t>Criteria #4</w:t>
      </w:r>
      <w:r>
        <w:rPr>
          <w:rStyle w:val="Strong"/>
        </w:rPr>
        <w:t xml:space="preserve"> </w:t>
      </w:r>
      <w:r w:rsidRPr="00CD1135">
        <w:t>Non-tariff based</w:t>
      </w:r>
    </w:p>
    <w:p w:rsidR="00A86DC4" w:rsidRPr="00CD2645" w:rsidRDefault="00A86DC4" w:rsidP="00A86DC4">
      <w:pPr>
        <w:rPr>
          <w:rStyle w:val="AERbody"/>
        </w:rPr>
      </w:pPr>
      <w:r w:rsidRPr="00C17C23">
        <w:rPr>
          <w:rStyle w:val="Strong"/>
        </w:rPr>
        <w:t>Criteria #5</w:t>
      </w:r>
      <w:r>
        <w:rPr>
          <w:rStyle w:val="Strong"/>
        </w:rPr>
        <w:t xml:space="preserve"> </w:t>
      </w:r>
      <w:r w:rsidRPr="00ED1B62">
        <w:rPr>
          <w:rStyle w:val="AERbody"/>
        </w:rPr>
        <w:t xml:space="preserve">This criteria is met because expenditure for this project </w:t>
      </w:r>
      <w:r w:rsidRPr="00ED1B62">
        <w:t>cannot be recovered through any other jurisdictional, state or Australian Government scheme, nor through any other part of the distribution determination for the current regulatory control period.</w:t>
      </w:r>
    </w:p>
    <w:p w:rsidR="00A86DC4" w:rsidRPr="00C17C23" w:rsidRDefault="00A86DC4" w:rsidP="00A86DC4">
      <w:pPr>
        <w:numPr>
          <w:ilvl w:val="0"/>
          <w:numId w:val="24"/>
        </w:numPr>
        <w:rPr>
          <w:rStyle w:val="Strong"/>
        </w:rPr>
      </w:pPr>
      <w:r w:rsidRPr="00C17C23">
        <w:rPr>
          <w:rStyle w:val="Strong"/>
        </w:rPr>
        <w:t>Criteria #6</w:t>
      </w:r>
      <w:r>
        <w:rPr>
          <w:rStyle w:val="Strong"/>
        </w:rPr>
        <w:t xml:space="preserve"> </w:t>
      </w:r>
      <w:r>
        <w:t>Opex and C</w:t>
      </w:r>
      <w:r w:rsidRPr="00CD1135">
        <w:t>apex</w:t>
      </w:r>
    </w:p>
    <w:p w:rsidR="00A86DC4" w:rsidRDefault="00A86DC4" w:rsidP="00A86DC4">
      <w:pPr>
        <w:pStyle w:val="Heading2"/>
      </w:pPr>
      <w:bookmarkStart w:id="326" w:name="_Toc443045357"/>
      <w:bookmarkStart w:id="327" w:name="_Toc445801863"/>
      <w:r>
        <w:t>Conservation voltage reduction through low voltage regulators</w:t>
      </w:r>
      <w:bookmarkEnd w:id="326"/>
      <w:bookmarkEnd w:id="327"/>
    </w:p>
    <w:p w:rsidR="00A86DC4" w:rsidRPr="0072464F" w:rsidRDefault="00A86DC4" w:rsidP="00A86DC4">
      <w:r w:rsidRPr="0072464F">
        <w:t xml:space="preserve">Conservation voltage reduction is a lowering of voltage at the customer connection point in order to increase end use efficiency, lower peak demand, lower energy use and decrease losses without adversely </w:t>
      </w:r>
      <w:r>
        <w:t xml:space="preserve">affecting </w:t>
      </w:r>
      <w:r w:rsidRPr="0072464F">
        <w:t>power quality. It is also known as voltage optimisatio</w:t>
      </w:r>
      <w:r>
        <w:t>n. Overall project costs in 2013–14</w:t>
      </w:r>
      <w:r w:rsidRPr="0072464F">
        <w:t xml:space="preserve"> include research, purchasing and testing of two three phase low voltage regulators by appropriately qualified staff. </w:t>
      </w:r>
      <w:r w:rsidRPr="000C417C">
        <w:t xml:space="preserve">Essential Energy </w:t>
      </w:r>
      <w:r>
        <w:t xml:space="preserve">claimed DMIA expenditure in 2013–14 of $142 821 </w:t>
      </w:r>
      <w:r w:rsidRPr="000C417C">
        <w:t>for this project.</w:t>
      </w:r>
    </w:p>
    <w:p w:rsidR="00A86DC4" w:rsidRPr="003F20E1" w:rsidRDefault="00A86DC4" w:rsidP="00A86DC4">
      <w:pPr>
        <w:pStyle w:val="Heading3"/>
      </w:pPr>
      <w:bookmarkStart w:id="328" w:name="_Toc408238627"/>
      <w:bookmarkStart w:id="329" w:name="_Toc408571700"/>
      <w:bookmarkStart w:id="330" w:name="_Toc409617625"/>
      <w:bookmarkStart w:id="331" w:name="_Toc409702246"/>
      <w:bookmarkStart w:id="332" w:name="_Toc409778965"/>
      <w:bookmarkStart w:id="333" w:name="_Toc411513793"/>
      <w:bookmarkStart w:id="334" w:name="_Toc443045358"/>
      <w:bookmarkStart w:id="335" w:name="_Toc445801864"/>
      <w:r w:rsidRPr="003F20E1">
        <w:t>Assessment against DMIA criteria</w:t>
      </w:r>
      <w:bookmarkEnd w:id="328"/>
      <w:bookmarkEnd w:id="329"/>
      <w:bookmarkEnd w:id="330"/>
      <w:bookmarkEnd w:id="331"/>
      <w:bookmarkEnd w:id="332"/>
      <w:bookmarkEnd w:id="333"/>
      <w:bookmarkEnd w:id="334"/>
      <w:bookmarkEnd w:id="335"/>
    </w:p>
    <w:p w:rsidR="00A86DC4" w:rsidRDefault="00A86DC4" w:rsidP="00A86DC4">
      <w:r w:rsidRPr="00C17C23">
        <w:rPr>
          <w:rStyle w:val="Strong"/>
        </w:rPr>
        <w:t>Criteria #1</w:t>
      </w:r>
      <w:r>
        <w:rPr>
          <w:rStyle w:val="Strong"/>
        </w:rPr>
        <w:t xml:space="preserve"> </w:t>
      </w:r>
      <w:r w:rsidRPr="00CD1135">
        <w:t>Low voltage regulators have the potential to support voltage at times of peak demand and generally help conserve energy.</w:t>
      </w:r>
    </w:p>
    <w:p w:rsidR="00A86DC4" w:rsidRPr="00C17C23" w:rsidRDefault="00A86DC4" w:rsidP="00A86DC4">
      <w:r>
        <w:rPr>
          <w:rStyle w:val="Strong"/>
        </w:rPr>
        <w:t>Criteria #</w:t>
      </w:r>
      <w:r w:rsidRPr="00C17C23">
        <w:rPr>
          <w:rStyle w:val="Strong"/>
        </w:rPr>
        <w:t xml:space="preserve">2 </w:t>
      </w:r>
      <w:r w:rsidRPr="00CD1135">
        <w:t>The technology explored in this project can be used in broad-based demand and peak demand management program.</w:t>
      </w:r>
    </w:p>
    <w:p w:rsidR="00A86DC4" w:rsidRDefault="00A86DC4" w:rsidP="00A86DC4">
      <w:r>
        <w:rPr>
          <w:rStyle w:val="Strong"/>
        </w:rPr>
        <w:t xml:space="preserve">Criteria </w:t>
      </w:r>
      <w:r w:rsidRPr="00C17C23">
        <w:rPr>
          <w:rStyle w:val="Strong"/>
        </w:rPr>
        <w:t>#3</w:t>
      </w:r>
      <w:r>
        <w:rPr>
          <w:rStyle w:val="Strong"/>
        </w:rPr>
        <w:t xml:space="preserve"> </w:t>
      </w:r>
      <w:r w:rsidRPr="00CD1135">
        <w:t>This project explores ways to better manage demand by improving the effectiveness of existing network capacity.</w:t>
      </w:r>
    </w:p>
    <w:p w:rsidR="00A86DC4" w:rsidRPr="00CD2645" w:rsidRDefault="00A86DC4" w:rsidP="00A86DC4">
      <w:pPr>
        <w:rPr>
          <w:rStyle w:val="AERbody"/>
        </w:rPr>
      </w:pPr>
      <w:r w:rsidRPr="00C17C23">
        <w:rPr>
          <w:rStyle w:val="Strong"/>
        </w:rPr>
        <w:t>Criteria #4</w:t>
      </w:r>
      <w:r>
        <w:rPr>
          <w:rStyle w:val="Strong"/>
        </w:rPr>
        <w:t xml:space="preserve"> </w:t>
      </w:r>
      <w:r w:rsidRPr="00CD1135">
        <w:t>Non-tariff based</w:t>
      </w:r>
    </w:p>
    <w:p w:rsidR="00A86DC4" w:rsidRPr="00CD2645" w:rsidRDefault="00A86DC4" w:rsidP="00A86DC4">
      <w:pPr>
        <w:rPr>
          <w:rStyle w:val="AERbody"/>
        </w:rPr>
      </w:pPr>
      <w:r w:rsidRPr="00C17C23">
        <w:rPr>
          <w:rStyle w:val="Strong"/>
        </w:rPr>
        <w:t>Criteria #5</w:t>
      </w:r>
      <w:r w:rsidRPr="00A8138E">
        <w:rPr>
          <w:rStyle w:val="AERbody"/>
        </w:rPr>
        <w:t xml:space="preserve"> </w:t>
      </w:r>
      <w:r w:rsidRPr="000C417C">
        <w:rPr>
          <w:rStyle w:val="AERbody"/>
        </w:rPr>
        <w:t xml:space="preserve">This criteria is met because expenditure for this project </w:t>
      </w:r>
      <w:r w:rsidRPr="000C417C">
        <w:t>cannot be recovered through any other jurisdictional, state or Australian Government scheme, nor through any other part of the distribution determination for the current regulatory control period.</w:t>
      </w:r>
    </w:p>
    <w:p w:rsidR="00A86DC4" w:rsidRPr="0006167F" w:rsidRDefault="00A86DC4" w:rsidP="00A86DC4">
      <w:pPr>
        <w:numPr>
          <w:ilvl w:val="0"/>
          <w:numId w:val="24"/>
        </w:numPr>
        <w:rPr>
          <w:rStyle w:val="AERbody"/>
        </w:rPr>
      </w:pPr>
      <w:r w:rsidRPr="00C17C23">
        <w:rPr>
          <w:rStyle w:val="Strong"/>
        </w:rPr>
        <w:t>Criteria #6</w:t>
      </w:r>
      <w:r>
        <w:rPr>
          <w:rStyle w:val="Strong"/>
        </w:rPr>
        <w:t xml:space="preserve"> </w:t>
      </w:r>
      <w:r>
        <w:t>Opex and C</w:t>
      </w:r>
      <w:r w:rsidRPr="00CD1135">
        <w:t>apex</w:t>
      </w:r>
    </w:p>
    <w:p w:rsidR="00A86DC4" w:rsidRDefault="00A86DC4" w:rsidP="00A86DC4">
      <w:pPr>
        <w:pStyle w:val="Heading2"/>
      </w:pPr>
      <w:bookmarkStart w:id="336" w:name="_Toc443045359"/>
      <w:bookmarkStart w:id="337" w:name="_Toc445801865"/>
      <w:r>
        <w:lastRenderedPageBreak/>
        <w:t>Capacitor package development</w:t>
      </w:r>
      <w:bookmarkEnd w:id="336"/>
      <w:bookmarkEnd w:id="337"/>
    </w:p>
    <w:p w:rsidR="00A86DC4" w:rsidRPr="003F20E1" w:rsidRDefault="00A86DC4" w:rsidP="00A86DC4">
      <w:pPr>
        <w:pStyle w:val="Heading3"/>
      </w:pPr>
      <w:bookmarkStart w:id="338" w:name="_Toc408238629"/>
      <w:bookmarkStart w:id="339" w:name="_Toc408571702"/>
      <w:bookmarkStart w:id="340" w:name="_Toc409617627"/>
      <w:bookmarkStart w:id="341" w:name="_Toc409702248"/>
      <w:bookmarkStart w:id="342" w:name="_Toc409778967"/>
      <w:bookmarkStart w:id="343" w:name="_Toc411513795"/>
      <w:bookmarkStart w:id="344" w:name="_Toc443045360"/>
      <w:bookmarkStart w:id="345" w:name="_Toc445801866"/>
      <w:r w:rsidRPr="003F20E1">
        <w:t>Project overview</w:t>
      </w:r>
      <w:bookmarkEnd w:id="338"/>
      <w:bookmarkEnd w:id="339"/>
      <w:bookmarkEnd w:id="340"/>
      <w:bookmarkEnd w:id="341"/>
      <w:bookmarkEnd w:id="342"/>
      <w:bookmarkEnd w:id="343"/>
      <w:bookmarkEnd w:id="344"/>
      <w:bookmarkEnd w:id="345"/>
    </w:p>
    <w:p w:rsidR="00A86DC4" w:rsidRPr="0072464F" w:rsidRDefault="00A86DC4" w:rsidP="00A86DC4">
      <w:r w:rsidRPr="0072464F">
        <w:t>This project explores the use of distribution feeder capacitors to help manage demand. They can be used to supplement substation power factor correction, provide an alternative to substation capacitors and manage distribution voltage profiles, increase network capacity and reduce li</w:t>
      </w:r>
      <w:r>
        <w:t>ne losses. Essential Energy has</w:t>
      </w:r>
      <w:r w:rsidRPr="0072464F">
        <w:t xml:space="preserve"> previously trialled capacitor installation in 2011</w:t>
      </w:r>
      <w:r w:rsidRPr="000C417C">
        <w:t>–</w:t>
      </w:r>
      <w:r w:rsidRPr="0072464F">
        <w:t xml:space="preserve">12. This project helps facilitate wider implementation of distribution capacitor banks in Essential Energy’s network by developing maintenance plans, developing manuals and educating end users. </w:t>
      </w:r>
      <w:r w:rsidRPr="000C417C">
        <w:t>Essential Energy claimed DMI</w:t>
      </w:r>
      <w:r>
        <w:t>A expenditure in 2013–14 of $18 529</w:t>
      </w:r>
      <w:r w:rsidRPr="000C417C">
        <w:t xml:space="preserve"> for this project.</w:t>
      </w:r>
    </w:p>
    <w:p w:rsidR="00A86DC4" w:rsidRPr="003F20E1" w:rsidRDefault="00A86DC4" w:rsidP="00A86DC4">
      <w:pPr>
        <w:pStyle w:val="Heading3"/>
      </w:pPr>
      <w:bookmarkStart w:id="346" w:name="_Toc408238630"/>
      <w:bookmarkStart w:id="347" w:name="_Toc408571703"/>
      <w:bookmarkStart w:id="348" w:name="_Toc409617628"/>
      <w:bookmarkStart w:id="349" w:name="_Toc409702249"/>
      <w:bookmarkStart w:id="350" w:name="_Toc409778968"/>
      <w:bookmarkStart w:id="351" w:name="_Toc411513796"/>
      <w:bookmarkStart w:id="352" w:name="_Toc443045361"/>
      <w:bookmarkStart w:id="353" w:name="_Toc445801867"/>
      <w:r w:rsidRPr="003F20E1">
        <w:t>Assessment against DMIA criteria</w:t>
      </w:r>
      <w:bookmarkEnd w:id="346"/>
      <w:bookmarkEnd w:id="347"/>
      <w:bookmarkEnd w:id="348"/>
      <w:bookmarkEnd w:id="349"/>
      <w:bookmarkEnd w:id="350"/>
      <w:bookmarkEnd w:id="351"/>
      <w:bookmarkEnd w:id="352"/>
      <w:bookmarkEnd w:id="353"/>
    </w:p>
    <w:p w:rsidR="00A86DC4" w:rsidRPr="00C17C23" w:rsidRDefault="00A86DC4" w:rsidP="00A86DC4">
      <w:pPr>
        <w:numPr>
          <w:ilvl w:val="0"/>
          <w:numId w:val="24"/>
        </w:numPr>
      </w:pPr>
      <w:r w:rsidRPr="00C17C23">
        <w:rPr>
          <w:rStyle w:val="Strong"/>
        </w:rPr>
        <w:t>Criteria #1</w:t>
      </w:r>
      <w:r>
        <w:rPr>
          <w:rStyle w:val="Strong"/>
        </w:rPr>
        <w:t xml:space="preserve"> </w:t>
      </w:r>
      <w:r w:rsidRPr="00CD1135">
        <w:t xml:space="preserve">Distribution pole top capacitor banks are being used to reduce demand (for example, </w:t>
      </w:r>
      <w:r w:rsidR="00E0219B">
        <w:t>they may</w:t>
      </w:r>
      <w:r w:rsidR="00E0219B" w:rsidRPr="00CD1135">
        <w:t xml:space="preserve"> </w:t>
      </w:r>
      <w:r w:rsidRPr="00CD1135">
        <w:t>increas</w:t>
      </w:r>
      <w:r w:rsidR="00E0219B">
        <w:t>e</w:t>
      </w:r>
      <w:r w:rsidRPr="00CD1135">
        <w:t xml:space="preserve"> network capacity by correcting the power factor of a feeder) and avoid network augmentation. </w:t>
      </w:r>
    </w:p>
    <w:p w:rsidR="00A86DC4" w:rsidRPr="00DC0FC9" w:rsidRDefault="00A86DC4" w:rsidP="00A86DC4">
      <w:r>
        <w:rPr>
          <w:rStyle w:val="Strong"/>
        </w:rPr>
        <w:t>Criteria #</w:t>
      </w:r>
      <w:r w:rsidRPr="00DC0FC9">
        <w:rPr>
          <w:rStyle w:val="Strong"/>
        </w:rPr>
        <w:t xml:space="preserve">2 </w:t>
      </w:r>
      <w:r w:rsidRPr="00DC0FC9">
        <w:t xml:space="preserve">This project targets the use of distribution pole top capacitors in areas where there are specific network constraints at a particular location to help reduce peak demand.  </w:t>
      </w:r>
    </w:p>
    <w:p w:rsidR="00A86DC4" w:rsidRPr="00C17C23" w:rsidRDefault="00A86DC4" w:rsidP="00A86DC4">
      <w:r>
        <w:rPr>
          <w:rStyle w:val="Strong"/>
        </w:rPr>
        <w:t xml:space="preserve">Criteria </w:t>
      </w:r>
      <w:r w:rsidRPr="00C17C23">
        <w:rPr>
          <w:rStyle w:val="Strong"/>
        </w:rPr>
        <w:t>#3</w:t>
      </w:r>
      <w:r>
        <w:rPr>
          <w:rStyle w:val="Strong"/>
        </w:rPr>
        <w:t xml:space="preserve"> </w:t>
      </w:r>
      <w:r w:rsidRPr="00CD1135">
        <w:t>Capacitor banks are highly utilised in the United States and this technology is being transferred for use in Essential Energy’s business to build its demand management capability</w:t>
      </w:r>
      <w:r>
        <w:t>.</w:t>
      </w:r>
    </w:p>
    <w:p w:rsidR="00A86DC4" w:rsidRPr="00CD2645" w:rsidRDefault="00A86DC4" w:rsidP="00A86DC4">
      <w:pPr>
        <w:rPr>
          <w:rStyle w:val="AERbody"/>
        </w:rPr>
      </w:pPr>
      <w:r w:rsidRPr="00C17C23">
        <w:rPr>
          <w:rStyle w:val="Strong"/>
        </w:rPr>
        <w:t>Criteria #4</w:t>
      </w:r>
      <w:r>
        <w:rPr>
          <w:rStyle w:val="Strong"/>
        </w:rPr>
        <w:t xml:space="preserve"> </w:t>
      </w:r>
      <w:r w:rsidRPr="00CD1135">
        <w:t>Non-tariff based</w:t>
      </w:r>
    </w:p>
    <w:p w:rsidR="00A86DC4" w:rsidRPr="00CD2645" w:rsidRDefault="00A86DC4" w:rsidP="00A86DC4">
      <w:pPr>
        <w:rPr>
          <w:rStyle w:val="AERbody"/>
        </w:rPr>
      </w:pPr>
      <w:r w:rsidRPr="00C17C23">
        <w:rPr>
          <w:rStyle w:val="Strong"/>
        </w:rPr>
        <w:t>Criteria #5</w:t>
      </w:r>
      <w:r>
        <w:rPr>
          <w:rStyle w:val="Strong"/>
        </w:rPr>
        <w:t xml:space="preserve"> </w:t>
      </w:r>
      <w:r w:rsidRPr="000C417C">
        <w:rPr>
          <w:rStyle w:val="AERbody"/>
        </w:rPr>
        <w:t xml:space="preserve">This criteria is met because expenditure for this project </w:t>
      </w:r>
      <w:r w:rsidRPr="000C417C">
        <w:t>cannot be recovered through any other jurisdictional, state or Australian Government scheme, nor through any other part of the distribution determination for the current regulatory control period.</w:t>
      </w:r>
    </w:p>
    <w:p w:rsidR="00A86DC4" w:rsidRPr="007E7A38" w:rsidRDefault="00A86DC4" w:rsidP="00A86DC4">
      <w:pPr>
        <w:numPr>
          <w:ilvl w:val="0"/>
          <w:numId w:val="24"/>
        </w:numPr>
      </w:pPr>
      <w:r w:rsidRPr="00C17C23">
        <w:rPr>
          <w:rStyle w:val="Strong"/>
        </w:rPr>
        <w:t>Criteria #6</w:t>
      </w:r>
      <w:r>
        <w:rPr>
          <w:rStyle w:val="Strong"/>
        </w:rPr>
        <w:t xml:space="preserve"> </w:t>
      </w:r>
      <w:r w:rsidRPr="00CD1135">
        <w:t>Opex</w:t>
      </w:r>
    </w:p>
    <w:p w:rsidR="00A86DC4" w:rsidRDefault="00A86DC4" w:rsidP="00A86DC4">
      <w:pPr>
        <w:pStyle w:val="Heading2"/>
      </w:pPr>
      <w:bookmarkStart w:id="354" w:name="_Toc443045362"/>
      <w:bookmarkStart w:id="355" w:name="_Toc445801868"/>
      <w:r>
        <w:t>Energy and demand audits</w:t>
      </w:r>
      <w:bookmarkEnd w:id="354"/>
      <w:bookmarkEnd w:id="355"/>
    </w:p>
    <w:p w:rsidR="00A86DC4" w:rsidRPr="003F20E1" w:rsidRDefault="00A86DC4" w:rsidP="00A86DC4">
      <w:pPr>
        <w:pStyle w:val="Heading3"/>
      </w:pPr>
      <w:bookmarkStart w:id="356" w:name="_Toc408238635"/>
      <w:bookmarkStart w:id="357" w:name="_Toc408571708"/>
      <w:bookmarkStart w:id="358" w:name="_Toc409617633"/>
      <w:bookmarkStart w:id="359" w:name="_Toc409702254"/>
      <w:bookmarkStart w:id="360" w:name="_Toc409778973"/>
      <w:bookmarkStart w:id="361" w:name="_Toc411513801"/>
      <w:bookmarkStart w:id="362" w:name="_Toc443045363"/>
      <w:bookmarkStart w:id="363" w:name="_Toc445801869"/>
      <w:r w:rsidRPr="003F20E1">
        <w:t>Project overview</w:t>
      </w:r>
      <w:bookmarkEnd w:id="356"/>
      <w:bookmarkEnd w:id="357"/>
      <w:bookmarkEnd w:id="358"/>
      <w:bookmarkEnd w:id="359"/>
      <w:bookmarkEnd w:id="360"/>
      <w:bookmarkEnd w:id="361"/>
      <w:bookmarkEnd w:id="362"/>
      <w:bookmarkEnd w:id="363"/>
    </w:p>
    <w:p w:rsidR="00A86DC4" w:rsidRPr="0072464F" w:rsidRDefault="00A86DC4" w:rsidP="00A86DC4">
      <w:r w:rsidRPr="0072464F">
        <w:t>The Energy and Demand Audits project was developed in order to analyse the minor changes consumers can make to processes and equipment which benefit both the consumer and the</w:t>
      </w:r>
      <w:r>
        <w:t xml:space="preserve"> network. By the end of the 2013</w:t>
      </w:r>
      <w:r w:rsidRPr="000C417C">
        <w:t>–</w:t>
      </w:r>
      <w:r>
        <w:t>14</w:t>
      </w:r>
      <w:r w:rsidRPr="0072464F">
        <w:t xml:space="preserve"> financial year</w:t>
      </w:r>
      <w:r>
        <w:t>, a total of 17</w:t>
      </w:r>
      <w:r w:rsidRPr="0072464F">
        <w:t xml:space="preserve"> audits had been </w:t>
      </w:r>
      <w:r>
        <w:t>completed with approximately 171</w:t>
      </w:r>
      <w:r w:rsidRPr="0072464F">
        <w:t xml:space="preserve"> demand management initiatives investigated. </w:t>
      </w:r>
      <w:r>
        <w:t>R</w:t>
      </w:r>
      <w:r w:rsidRPr="0072464F">
        <w:t>esults have been compiled and they show that substantial benefits are available to both the consumers involved and the network.</w:t>
      </w:r>
      <w:r>
        <w:t xml:space="preserve"> </w:t>
      </w:r>
      <w:r w:rsidRPr="000C417C">
        <w:t xml:space="preserve">Essential Energy </w:t>
      </w:r>
      <w:r>
        <w:t>claimed DMIA expenditure in 2013–14</w:t>
      </w:r>
      <w:r w:rsidRPr="000C417C">
        <w:t xml:space="preserve"> of </w:t>
      </w:r>
      <w:r w:rsidRPr="0072464F">
        <w:t>$</w:t>
      </w:r>
      <w:r>
        <w:t xml:space="preserve">23 055 </w:t>
      </w:r>
      <w:r w:rsidRPr="000C417C">
        <w:t>for this project.</w:t>
      </w:r>
    </w:p>
    <w:p w:rsidR="00A86DC4" w:rsidRPr="003F20E1" w:rsidRDefault="00A86DC4" w:rsidP="00A86DC4">
      <w:pPr>
        <w:pStyle w:val="Heading3"/>
      </w:pPr>
      <w:bookmarkStart w:id="364" w:name="_Toc408238636"/>
      <w:bookmarkStart w:id="365" w:name="_Toc408571709"/>
      <w:bookmarkStart w:id="366" w:name="_Toc409617634"/>
      <w:bookmarkStart w:id="367" w:name="_Toc409702255"/>
      <w:bookmarkStart w:id="368" w:name="_Toc409778974"/>
      <w:bookmarkStart w:id="369" w:name="_Toc411513802"/>
      <w:bookmarkStart w:id="370" w:name="_Toc443045364"/>
      <w:bookmarkStart w:id="371" w:name="_Toc445801870"/>
      <w:r w:rsidRPr="003F20E1">
        <w:t>Assessment against DMIA criteria</w:t>
      </w:r>
      <w:bookmarkEnd w:id="364"/>
      <w:bookmarkEnd w:id="365"/>
      <w:bookmarkEnd w:id="366"/>
      <w:bookmarkEnd w:id="367"/>
      <w:bookmarkEnd w:id="368"/>
      <w:bookmarkEnd w:id="369"/>
      <w:bookmarkEnd w:id="370"/>
      <w:bookmarkEnd w:id="371"/>
    </w:p>
    <w:p w:rsidR="00A86DC4" w:rsidRPr="00DC0FC9" w:rsidRDefault="00A86DC4" w:rsidP="00A86DC4">
      <w:r w:rsidRPr="00C17C23">
        <w:rPr>
          <w:rStyle w:val="Strong"/>
        </w:rPr>
        <w:lastRenderedPageBreak/>
        <w:t>Criteria #1</w:t>
      </w:r>
      <w:r w:rsidRPr="00DC0FC9">
        <w:rPr>
          <w:rStyle w:val="Strong"/>
        </w:rPr>
        <w:t xml:space="preserve"> </w:t>
      </w:r>
      <w:r w:rsidRPr="00DC0FC9">
        <w:t xml:space="preserve">Energy and demand audits analyse a customer’s usage and this information can be used to identify suitable demand management initiatives for particular customer classes.  </w:t>
      </w:r>
    </w:p>
    <w:p w:rsidR="00A86DC4" w:rsidRPr="00C17C23" w:rsidRDefault="00A86DC4" w:rsidP="00A86DC4">
      <w:r>
        <w:rPr>
          <w:rStyle w:val="Strong"/>
        </w:rPr>
        <w:t>Criteria #</w:t>
      </w:r>
      <w:r w:rsidRPr="00C17C23">
        <w:rPr>
          <w:rStyle w:val="Strong"/>
        </w:rPr>
        <w:t xml:space="preserve">2 </w:t>
      </w:r>
      <w:r w:rsidRPr="007F69B1">
        <w:t>This project will help identify both broad-based demand management and peak demand management initiatives</w:t>
      </w:r>
      <w:r>
        <w:t>.</w:t>
      </w:r>
    </w:p>
    <w:p w:rsidR="00A86DC4" w:rsidRPr="00C17C23" w:rsidRDefault="00A86DC4" w:rsidP="00A86DC4">
      <w:r>
        <w:rPr>
          <w:rStyle w:val="Strong"/>
        </w:rPr>
        <w:t xml:space="preserve">Criteria </w:t>
      </w:r>
      <w:r w:rsidRPr="00C17C23">
        <w:rPr>
          <w:rStyle w:val="Strong"/>
        </w:rPr>
        <w:t>#3</w:t>
      </w:r>
      <w:r>
        <w:rPr>
          <w:rStyle w:val="Strong"/>
        </w:rPr>
        <w:t xml:space="preserve"> </w:t>
      </w:r>
      <w:r w:rsidRPr="007F69B1">
        <w:t>This project will improve demand management capability and explore potentially efficient demand management mechanisms.</w:t>
      </w:r>
    </w:p>
    <w:p w:rsidR="00A86DC4" w:rsidRPr="00CD2645" w:rsidRDefault="00A86DC4" w:rsidP="00A86DC4">
      <w:pPr>
        <w:rPr>
          <w:rStyle w:val="AERbody"/>
        </w:rPr>
      </w:pPr>
      <w:r w:rsidRPr="00C17C23">
        <w:rPr>
          <w:rStyle w:val="Strong"/>
        </w:rPr>
        <w:t>Criteria #4</w:t>
      </w:r>
      <w:r>
        <w:rPr>
          <w:rStyle w:val="Strong"/>
        </w:rPr>
        <w:t xml:space="preserve"> </w:t>
      </w:r>
      <w:r w:rsidRPr="00CD1135">
        <w:rPr>
          <w:rStyle w:val="AERbody"/>
        </w:rPr>
        <w:t>Non-tariff based</w:t>
      </w:r>
    </w:p>
    <w:p w:rsidR="00A86DC4" w:rsidRPr="00CD2645" w:rsidRDefault="00A86DC4" w:rsidP="00A86DC4">
      <w:pPr>
        <w:rPr>
          <w:rStyle w:val="AERbody"/>
        </w:rPr>
      </w:pPr>
      <w:r w:rsidRPr="00C17C23">
        <w:rPr>
          <w:rStyle w:val="Strong"/>
        </w:rPr>
        <w:t>Criteria #5</w:t>
      </w:r>
      <w:r>
        <w:rPr>
          <w:rStyle w:val="Strong"/>
        </w:rPr>
        <w:t xml:space="preserve"> </w:t>
      </w:r>
      <w:r w:rsidRPr="000C417C">
        <w:rPr>
          <w:rStyle w:val="AERbody"/>
        </w:rPr>
        <w:t xml:space="preserve">This criteria is met because expenditure for this project </w:t>
      </w:r>
      <w:r w:rsidRPr="000C417C">
        <w:t>cannot be recovered through any other jurisdictional, state or Australian Government scheme, nor through any other part of the distribution determination for the current regulatory control period.</w:t>
      </w:r>
    </w:p>
    <w:p w:rsidR="00A86DC4" w:rsidRPr="00C17C23" w:rsidRDefault="00A86DC4" w:rsidP="00A86DC4">
      <w:pPr>
        <w:numPr>
          <w:ilvl w:val="0"/>
          <w:numId w:val="24"/>
        </w:numPr>
        <w:rPr>
          <w:rStyle w:val="Strong"/>
        </w:rPr>
      </w:pPr>
      <w:r w:rsidRPr="00C17C23">
        <w:rPr>
          <w:rStyle w:val="Strong"/>
        </w:rPr>
        <w:t>Criteria #6</w:t>
      </w:r>
      <w:r>
        <w:rPr>
          <w:rStyle w:val="Strong"/>
        </w:rPr>
        <w:t xml:space="preserve"> </w:t>
      </w:r>
      <w:r w:rsidRPr="00CD1135">
        <w:t>Opex</w:t>
      </w:r>
    </w:p>
    <w:p w:rsidR="00A86DC4" w:rsidRDefault="00A86DC4" w:rsidP="00A86DC4">
      <w:pPr>
        <w:pStyle w:val="Heading2"/>
      </w:pPr>
      <w:bookmarkStart w:id="372" w:name="_Toc443045365"/>
      <w:bookmarkStart w:id="373" w:name="_Toc445801871"/>
      <w:r>
        <w:t>Switched reactors</w:t>
      </w:r>
      <w:bookmarkEnd w:id="372"/>
      <w:bookmarkEnd w:id="373"/>
    </w:p>
    <w:p w:rsidR="00A86DC4" w:rsidRPr="0072464F" w:rsidRDefault="00A86DC4" w:rsidP="00A86DC4">
      <w:r>
        <w:t xml:space="preserve">This project aims to develop knowledge and test the viability of using controlled switching to defer expenditure on single wire earth return (SWER) systems. As part of this project, Essential Energy collaborated with a university based research group. It found that using "switched reactors" in combination with specifically developed algorithms can control voltage swings, a key driver of augmentation expenditure on SWER systems. In 2013–14, Essential Energy placed orders for five switched reactors, which will allow for field testing to occur in constrained locations. </w:t>
      </w:r>
      <w:r w:rsidRPr="000C417C">
        <w:t xml:space="preserve">Essential Energy </w:t>
      </w:r>
      <w:r>
        <w:t>claimed DMIA expenditure in 2013–14</w:t>
      </w:r>
      <w:r w:rsidRPr="000C417C">
        <w:t xml:space="preserve"> of </w:t>
      </w:r>
      <w:r w:rsidRPr="0072464F">
        <w:t>$</w:t>
      </w:r>
      <w:r>
        <w:t xml:space="preserve">93 004 </w:t>
      </w:r>
      <w:r w:rsidRPr="000C417C">
        <w:t>for this project.</w:t>
      </w:r>
    </w:p>
    <w:p w:rsidR="00A86DC4" w:rsidRPr="00DC0FC9" w:rsidRDefault="00A86DC4" w:rsidP="00A86DC4">
      <w:r w:rsidRPr="00C17C23">
        <w:rPr>
          <w:rStyle w:val="Strong"/>
        </w:rPr>
        <w:t>Criteria #1</w:t>
      </w:r>
      <w:r w:rsidRPr="00DC0FC9">
        <w:rPr>
          <w:rStyle w:val="Strong"/>
        </w:rPr>
        <w:t xml:space="preserve"> </w:t>
      </w:r>
      <w:r>
        <w:t>The development of switched reactors may allow Essential Energy to better manage voltage swings, which in turn can defer augmentation on SWER lines.</w:t>
      </w:r>
    </w:p>
    <w:p w:rsidR="00A86DC4" w:rsidRPr="00C17C23" w:rsidRDefault="00A86DC4" w:rsidP="00A86DC4">
      <w:r>
        <w:rPr>
          <w:rStyle w:val="Strong"/>
        </w:rPr>
        <w:t>Criteria #</w:t>
      </w:r>
      <w:r w:rsidRPr="00C17C23">
        <w:rPr>
          <w:rStyle w:val="Strong"/>
        </w:rPr>
        <w:t xml:space="preserve">2 </w:t>
      </w:r>
      <w:r w:rsidRPr="00CD1135">
        <w:t>The technology explored in this project can be used in broad-based demand and peak demand management program.</w:t>
      </w:r>
    </w:p>
    <w:p w:rsidR="00A86DC4" w:rsidRPr="00C17C23" w:rsidRDefault="00A86DC4" w:rsidP="00A86DC4">
      <w:r>
        <w:rPr>
          <w:rStyle w:val="Strong"/>
        </w:rPr>
        <w:t xml:space="preserve">Criteria </w:t>
      </w:r>
      <w:r w:rsidRPr="00C17C23">
        <w:rPr>
          <w:rStyle w:val="Strong"/>
        </w:rPr>
        <w:t>#3</w:t>
      </w:r>
      <w:r>
        <w:rPr>
          <w:rStyle w:val="Strong"/>
        </w:rPr>
        <w:t xml:space="preserve"> </w:t>
      </w:r>
      <w:r w:rsidRPr="007F69B1">
        <w:t>This project will improve demand management capability and explore potentially efficient demand management mechanisms.</w:t>
      </w:r>
    </w:p>
    <w:p w:rsidR="00A86DC4" w:rsidRPr="00CD2645" w:rsidRDefault="00A86DC4" w:rsidP="00A86DC4">
      <w:pPr>
        <w:rPr>
          <w:rStyle w:val="AERbody"/>
        </w:rPr>
      </w:pPr>
      <w:r w:rsidRPr="00C17C23">
        <w:rPr>
          <w:rStyle w:val="Strong"/>
        </w:rPr>
        <w:t>Criteria #4</w:t>
      </w:r>
      <w:r>
        <w:rPr>
          <w:rStyle w:val="Strong"/>
        </w:rPr>
        <w:t xml:space="preserve"> </w:t>
      </w:r>
      <w:r w:rsidRPr="003C04FE">
        <w:t>Non–tariff based.</w:t>
      </w:r>
    </w:p>
    <w:p w:rsidR="00A86DC4" w:rsidRPr="00CD2645" w:rsidRDefault="00A86DC4" w:rsidP="00A86DC4">
      <w:pPr>
        <w:rPr>
          <w:rStyle w:val="AERbody"/>
        </w:rPr>
      </w:pPr>
      <w:r w:rsidRPr="00C17C23">
        <w:rPr>
          <w:rStyle w:val="Strong"/>
        </w:rPr>
        <w:t>Criteria #5</w:t>
      </w:r>
      <w:r>
        <w:rPr>
          <w:rStyle w:val="Strong"/>
        </w:rPr>
        <w:t xml:space="preserve"> </w:t>
      </w:r>
      <w:r w:rsidRPr="000C417C">
        <w:rPr>
          <w:rStyle w:val="AERbody"/>
        </w:rPr>
        <w:t xml:space="preserve">This criteria is met because expenditure for this project </w:t>
      </w:r>
      <w:r w:rsidRPr="000C417C">
        <w:t>cannot be recovered through any other jurisdictional, state or Australian Government scheme, nor through any other part of the distribution determination for the current regulatory control period.</w:t>
      </w:r>
    </w:p>
    <w:p w:rsidR="00A86DC4" w:rsidRPr="00C17C23" w:rsidRDefault="00A86DC4" w:rsidP="00A86DC4">
      <w:pPr>
        <w:numPr>
          <w:ilvl w:val="0"/>
          <w:numId w:val="24"/>
        </w:numPr>
        <w:rPr>
          <w:rStyle w:val="Strong"/>
        </w:rPr>
      </w:pPr>
      <w:r w:rsidRPr="00C17C23">
        <w:rPr>
          <w:rStyle w:val="Strong"/>
        </w:rPr>
        <w:t>Criteria #6</w:t>
      </w:r>
      <w:r>
        <w:rPr>
          <w:rStyle w:val="Strong"/>
        </w:rPr>
        <w:t xml:space="preserve"> </w:t>
      </w:r>
      <w:r w:rsidRPr="00CD1135">
        <w:t>Opex</w:t>
      </w:r>
      <w:r>
        <w:t xml:space="preserve"> and Capex.</w:t>
      </w:r>
    </w:p>
    <w:p w:rsidR="00A86DC4" w:rsidRDefault="00A86DC4" w:rsidP="00A86DC4"/>
    <w:p w:rsidR="00A86DC4" w:rsidRPr="00A86DC4" w:rsidRDefault="00A86DC4" w:rsidP="00A86DC4">
      <w:r>
        <w:br w:type="page"/>
      </w:r>
    </w:p>
    <w:p w:rsidR="00A86DC4" w:rsidRDefault="00A86DC4" w:rsidP="003F20E1">
      <w:pPr>
        <w:pStyle w:val="Heading1"/>
      </w:pPr>
      <w:bookmarkStart w:id="374" w:name="_Toc445801872"/>
      <w:r>
        <w:lastRenderedPageBreak/>
        <w:t>Energex</w:t>
      </w:r>
      <w:bookmarkEnd w:id="374"/>
    </w:p>
    <w:p w:rsidR="00B151FA" w:rsidRDefault="00B151FA" w:rsidP="00B151FA">
      <w:pPr>
        <w:pStyle w:val="ListParagraph"/>
        <w:numPr>
          <w:ilvl w:val="0"/>
          <w:numId w:val="24"/>
        </w:numPr>
      </w:pPr>
      <w:r w:rsidRPr="00B151FA">
        <w:t>Energex</w:t>
      </w:r>
      <w:r>
        <w:t xml:space="preserve"> </w:t>
      </w:r>
      <w:r w:rsidRPr="00D61E77">
        <w:t xml:space="preserve">is claiming </w:t>
      </w:r>
      <w:r>
        <w:t xml:space="preserve">2014–15 </w:t>
      </w:r>
      <w:r w:rsidRPr="00D61E77">
        <w:t xml:space="preserve">DMIA expenditure for </w:t>
      </w:r>
      <w:r>
        <w:t>five</w:t>
      </w:r>
      <w:r w:rsidRPr="00D61E77">
        <w:t xml:space="preserve"> demand management projects to</w:t>
      </w:r>
      <w:r>
        <w:t>talling</w:t>
      </w:r>
      <w:r w:rsidRPr="00D61E77">
        <w:t xml:space="preserve"> </w:t>
      </w:r>
      <w:r w:rsidRPr="0006167F">
        <w:t>$</w:t>
      </w:r>
      <w:r>
        <w:t>1 240 858</w:t>
      </w:r>
      <w:r w:rsidRPr="00D61E77">
        <w:t xml:space="preserve">. </w:t>
      </w:r>
      <w:r>
        <w:t>We approve this expenditure as it meets the DMIA criteria.</w:t>
      </w:r>
      <w:r w:rsidRPr="00234841">
        <w:t xml:space="preserve"> </w:t>
      </w:r>
      <w:r>
        <w:t>The following section sets out our assessment of the individual projects. For more detailed information about these projects, please refer to Ergon Energy's 2014–15 DMIA report.</w:t>
      </w:r>
    </w:p>
    <w:p w:rsidR="00BF4FF9" w:rsidRPr="003F20E1" w:rsidRDefault="00BF4FF9" w:rsidP="00BF4FF9">
      <w:pPr>
        <w:pStyle w:val="Heading2"/>
      </w:pPr>
      <w:bookmarkStart w:id="375" w:name="_Toc445801873"/>
      <w:r w:rsidRPr="00BF4FF9">
        <w:t>AFLC/ZigBee Project</w:t>
      </w:r>
      <w:bookmarkEnd w:id="375"/>
    </w:p>
    <w:p w:rsidR="00BF4FF9" w:rsidRPr="003F20E1" w:rsidRDefault="00BF4FF9" w:rsidP="00BF4FF9">
      <w:pPr>
        <w:pStyle w:val="Heading3"/>
      </w:pPr>
      <w:bookmarkStart w:id="376" w:name="_Toc408238574"/>
      <w:bookmarkStart w:id="377" w:name="_Toc408571647"/>
      <w:bookmarkStart w:id="378" w:name="_Toc409617572"/>
      <w:bookmarkStart w:id="379" w:name="_Toc409702193"/>
      <w:bookmarkStart w:id="380" w:name="_Toc409778912"/>
      <w:bookmarkStart w:id="381" w:name="_Toc411513740"/>
      <w:bookmarkStart w:id="382" w:name="_Toc445801874"/>
      <w:r w:rsidRPr="003F20E1">
        <w:t>Project overview</w:t>
      </w:r>
      <w:bookmarkEnd w:id="376"/>
      <w:bookmarkEnd w:id="377"/>
      <w:bookmarkEnd w:id="378"/>
      <w:bookmarkEnd w:id="379"/>
      <w:bookmarkEnd w:id="380"/>
      <w:bookmarkEnd w:id="381"/>
      <w:bookmarkEnd w:id="382"/>
    </w:p>
    <w:p w:rsidR="005912E3" w:rsidRPr="00D61E77" w:rsidRDefault="00941F4A" w:rsidP="005912E3">
      <w:pPr>
        <w:numPr>
          <w:ilvl w:val="0"/>
          <w:numId w:val="24"/>
        </w:numPr>
      </w:pPr>
      <w:r>
        <w:t xml:space="preserve">This project is to </w:t>
      </w:r>
      <w:r w:rsidRPr="00941F4A">
        <w:t>investigate how the existing AFLC (Load Control) platform can be utilised in Demand Management</w:t>
      </w:r>
      <w:r>
        <w:t>.</w:t>
      </w:r>
      <w:r w:rsidRPr="00941F4A">
        <w:t xml:space="preserve"> </w:t>
      </w:r>
      <w:r w:rsidRPr="002254CD">
        <w:t xml:space="preserve">This project was a small scale trial to demonstrate the effectiveness of AFLC (Load Control) to ZigBee </w:t>
      </w:r>
      <w:r w:rsidR="00D56F3E">
        <w:t xml:space="preserve">communication platform </w:t>
      </w:r>
      <w:r w:rsidRPr="002254CD">
        <w:t>capabilities and to explore the capability of meters communicating with Demand Response Enabling Devices (DRED’s).</w:t>
      </w:r>
      <w:r w:rsidR="005912E3" w:rsidRPr="005912E3">
        <w:t xml:space="preserve"> </w:t>
      </w:r>
      <w:r w:rsidR="005912E3">
        <w:t>Energex claimed DMIA expenditure in 2014–15 of</w:t>
      </w:r>
      <w:r w:rsidR="005912E3" w:rsidRPr="00C17C23">
        <w:t xml:space="preserve"> </w:t>
      </w:r>
      <w:r w:rsidR="005912E3">
        <w:t>$36 361 for this project.</w:t>
      </w:r>
    </w:p>
    <w:p w:rsidR="00BF4FF9" w:rsidRPr="003F20E1" w:rsidRDefault="00BF4FF9" w:rsidP="00BF4FF9">
      <w:pPr>
        <w:pStyle w:val="Heading3"/>
      </w:pPr>
      <w:bookmarkStart w:id="383" w:name="_Toc408238575"/>
      <w:bookmarkStart w:id="384" w:name="_Toc408571648"/>
      <w:bookmarkStart w:id="385" w:name="_Toc409617573"/>
      <w:bookmarkStart w:id="386" w:name="_Toc409702194"/>
      <w:bookmarkStart w:id="387" w:name="_Toc409778913"/>
      <w:bookmarkStart w:id="388" w:name="_Toc411513741"/>
      <w:bookmarkStart w:id="389" w:name="_Toc445801875"/>
      <w:r w:rsidRPr="003F20E1">
        <w:t>Assessment against DMIA criteria</w:t>
      </w:r>
      <w:bookmarkEnd w:id="383"/>
      <w:bookmarkEnd w:id="384"/>
      <w:bookmarkEnd w:id="385"/>
      <w:bookmarkEnd w:id="386"/>
      <w:bookmarkEnd w:id="387"/>
      <w:bookmarkEnd w:id="388"/>
      <w:bookmarkEnd w:id="389"/>
    </w:p>
    <w:p w:rsidR="00BF4FF9" w:rsidRDefault="00BF4FF9" w:rsidP="00BF4FF9">
      <w:r w:rsidRPr="00C17C23">
        <w:rPr>
          <w:rStyle w:val="Strong"/>
        </w:rPr>
        <w:t>Criteria #1</w:t>
      </w:r>
      <w:r>
        <w:t xml:space="preserve"> </w:t>
      </w:r>
      <w:r w:rsidR="002254CD">
        <w:t>This</w:t>
      </w:r>
      <w:r w:rsidR="002254CD" w:rsidRPr="002254CD">
        <w:t xml:space="preserve"> project </w:t>
      </w:r>
      <w:r w:rsidR="002254CD">
        <w:t>is</w:t>
      </w:r>
      <w:r w:rsidR="002254CD" w:rsidRPr="002254CD">
        <w:t xml:space="preserve"> to test a proof of concept which demonstrated the effectiveness of AFLC to ZigBee Device capabilities, as well as exploring the capability of Smart Meters to pair ZigBee DREDs.</w:t>
      </w:r>
    </w:p>
    <w:p w:rsidR="00BF4FF9" w:rsidRPr="00C17C23" w:rsidRDefault="00BF4FF9" w:rsidP="00BF4FF9">
      <w:r>
        <w:rPr>
          <w:rStyle w:val="Strong"/>
        </w:rPr>
        <w:t>Criteria #</w:t>
      </w:r>
      <w:r w:rsidRPr="00C17C23">
        <w:rPr>
          <w:rStyle w:val="Strong"/>
        </w:rPr>
        <w:t xml:space="preserve">2 </w:t>
      </w:r>
      <w:r>
        <w:t xml:space="preserve">This is a broad-based demand management program. </w:t>
      </w:r>
    </w:p>
    <w:p w:rsidR="00BF4FF9" w:rsidRDefault="00BF4FF9" w:rsidP="00BF4FF9">
      <w:r>
        <w:rPr>
          <w:rStyle w:val="Strong"/>
        </w:rPr>
        <w:t xml:space="preserve">Criteria </w:t>
      </w:r>
      <w:r w:rsidRPr="00C17C23">
        <w:rPr>
          <w:rStyle w:val="Strong"/>
        </w:rPr>
        <w:t>#3</w:t>
      </w:r>
      <w:r>
        <w:rPr>
          <w:rStyle w:val="Strong"/>
        </w:rPr>
        <w:t xml:space="preserve"> </w:t>
      </w:r>
      <w:r>
        <w:t xml:space="preserve">By </w:t>
      </w:r>
      <w:r w:rsidR="00121D79">
        <w:t xml:space="preserve">testing the </w:t>
      </w:r>
      <w:r w:rsidR="00121D79" w:rsidRPr="00941F4A">
        <w:t xml:space="preserve">existing </w:t>
      </w:r>
      <w:r w:rsidR="00121D79">
        <w:t>load c</w:t>
      </w:r>
      <w:r w:rsidR="00121D79" w:rsidRPr="00941F4A">
        <w:t>ontrol platform</w:t>
      </w:r>
      <w:r w:rsidR="00121D79">
        <w:t xml:space="preserve">, Energex </w:t>
      </w:r>
      <w:r>
        <w:t xml:space="preserve">is </w:t>
      </w:r>
      <w:r w:rsidR="00121D79">
        <w:t>investigating</w:t>
      </w:r>
      <w:r>
        <w:t xml:space="preserve"> </w:t>
      </w:r>
      <w:r w:rsidR="00121D79">
        <w:t xml:space="preserve">demand management effectiveness </w:t>
      </w:r>
      <w:r>
        <w:t xml:space="preserve">that may help avoid network augmentation. </w:t>
      </w:r>
    </w:p>
    <w:p w:rsidR="00BF4FF9" w:rsidRPr="00CD2645" w:rsidRDefault="00BF4FF9" w:rsidP="00BF4FF9">
      <w:pPr>
        <w:rPr>
          <w:rStyle w:val="AERbody"/>
        </w:rPr>
      </w:pPr>
      <w:r w:rsidRPr="00C17C23">
        <w:rPr>
          <w:rStyle w:val="Strong"/>
        </w:rPr>
        <w:t>Criteria #4</w:t>
      </w:r>
      <w:r>
        <w:rPr>
          <w:rStyle w:val="Strong"/>
        </w:rPr>
        <w:t xml:space="preserve"> </w:t>
      </w:r>
      <w:r>
        <w:rPr>
          <w:rStyle w:val="AERbody"/>
        </w:rPr>
        <w:t>Non-tariff based</w:t>
      </w:r>
    </w:p>
    <w:p w:rsidR="00BF4FF9" w:rsidRPr="00CD2645" w:rsidRDefault="00BF4FF9" w:rsidP="00BF4FF9">
      <w:pPr>
        <w:rPr>
          <w:rStyle w:val="AERbody"/>
        </w:rPr>
      </w:pPr>
      <w:r w:rsidRPr="00C17C23">
        <w:rPr>
          <w:rStyle w:val="Strong"/>
        </w:rPr>
        <w:t>Criteria #5</w:t>
      </w:r>
      <w:r>
        <w:rPr>
          <w:rStyle w:val="Strong"/>
        </w:rPr>
        <w:t xml:space="preserve"> </w:t>
      </w:r>
      <w:r>
        <w:rPr>
          <w:rStyle w:val="AERbody"/>
        </w:rPr>
        <w:t xml:space="preserve">This criteria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p>
    <w:p w:rsidR="00BF4FF9" w:rsidRPr="0006167F" w:rsidRDefault="00BF4FF9" w:rsidP="00BF4FF9">
      <w:pPr>
        <w:numPr>
          <w:ilvl w:val="0"/>
          <w:numId w:val="24"/>
        </w:numPr>
        <w:rPr>
          <w:rStyle w:val="AERbody"/>
        </w:rPr>
      </w:pPr>
      <w:r w:rsidRPr="00C17C23">
        <w:rPr>
          <w:rStyle w:val="Strong"/>
        </w:rPr>
        <w:t>Criteria #6</w:t>
      </w:r>
      <w:r>
        <w:rPr>
          <w:rStyle w:val="Strong"/>
        </w:rPr>
        <w:t xml:space="preserve"> </w:t>
      </w:r>
      <w:r>
        <w:rPr>
          <w:rStyle w:val="AERbody"/>
        </w:rPr>
        <w:t xml:space="preserve">Opex </w:t>
      </w:r>
    </w:p>
    <w:p w:rsidR="005912E3" w:rsidRPr="003F20E1" w:rsidRDefault="005912E3" w:rsidP="005912E3">
      <w:pPr>
        <w:pStyle w:val="Heading2"/>
      </w:pPr>
      <w:bookmarkStart w:id="390" w:name="_Toc445801876"/>
      <w:r w:rsidRPr="005912E3">
        <w:t>Customer Load Profile Market Segmentation Project</w:t>
      </w:r>
      <w:bookmarkEnd w:id="390"/>
    </w:p>
    <w:p w:rsidR="005912E3" w:rsidRPr="003F20E1" w:rsidRDefault="005912E3" w:rsidP="005912E3">
      <w:pPr>
        <w:pStyle w:val="Heading3"/>
      </w:pPr>
      <w:bookmarkStart w:id="391" w:name="_Toc445801877"/>
      <w:r w:rsidRPr="003F20E1">
        <w:t>Project overview</w:t>
      </w:r>
      <w:bookmarkEnd w:id="391"/>
    </w:p>
    <w:p w:rsidR="005912E3" w:rsidRDefault="004E4E2E" w:rsidP="004E4E2E">
      <w:pPr>
        <w:numPr>
          <w:ilvl w:val="0"/>
          <w:numId w:val="24"/>
        </w:numPr>
      </w:pPr>
      <w:r>
        <w:t xml:space="preserve">This </w:t>
      </w:r>
      <w:r w:rsidRPr="00393043">
        <w:t>project aimed to inform the development of the demand tariff and Network Pricing Strategy.</w:t>
      </w:r>
      <w:r w:rsidRPr="004E4E2E">
        <w:t xml:space="preserve"> Energex engaged an external service provider to formulate residential customer load profiles, collated into identified low voltage (LV) customer market segments. </w:t>
      </w:r>
      <w:r>
        <w:t>Energex claimed DMIA expenditure in 2014–15 of</w:t>
      </w:r>
      <w:r w:rsidRPr="00C17C23">
        <w:t xml:space="preserve"> </w:t>
      </w:r>
      <w:r>
        <w:t>$</w:t>
      </w:r>
      <w:r w:rsidR="00231B01" w:rsidRPr="00231B01">
        <w:t xml:space="preserve"> </w:t>
      </w:r>
      <w:r w:rsidR="00231B01">
        <w:t xml:space="preserve">445 </w:t>
      </w:r>
      <w:r w:rsidR="00231B01" w:rsidRPr="00231B01">
        <w:t xml:space="preserve">673 </w:t>
      </w:r>
      <w:r>
        <w:t>for this project.</w:t>
      </w:r>
    </w:p>
    <w:p w:rsidR="008D5EF1" w:rsidRPr="00D61E77" w:rsidRDefault="008D5EF1" w:rsidP="004E4E2E">
      <w:pPr>
        <w:numPr>
          <w:ilvl w:val="0"/>
          <w:numId w:val="24"/>
        </w:numPr>
      </w:pPr>
    </w:p>
    <w:p w:rsidR="005912E3" w:rsidRPr="003F20E1" w:rsidRDefault="005912E3" w:rsidP="005912E3">
      <w:pPr>
        <w:pStyle w:val="Heading3"/>
      </w:pPr>
      <w:bookmarkStart w:id="392" w:name="_Toc445801878"/>
      <w:r w:rsidRPr="003F20E1">
        <w:lastRenderedPageBreak/>
        <w:t>Assessment against DMIA criteria</w:t>
      </w:r>
      <w:bookmarkEnd w:id="392"/>
    </w:p>
    <w:p w:rsidR="005912E3" w:rsidRDefault="005912E3" w:rsidP="005912E3">
      <w:r w:rsidRPr="00C17C23">
        <w:rPr>
          <w:rStyle w:val="Strong"/>
        </w:rPr>
        <w:t>Criteria #1</w:t>
      </w:r>
      <w:r>
        <w:t xml:space="preserve"> </w:t>
      </w:r>
      <w:r w:rsidR="00231B01">
        <w:t xml:space="preserve">This </w:t>
      </w:r>
      <w:r w:rsidR="00231B01" w:rsidRPr="00393043">
        <w:t xml:space="preserve">project aimed to inform the development of the demand tariff </w:t>
      </w:r>
      <w:r w:rsidR="00231B01">
        <w:t>via</w:t>
      </w:r>
      <w:r w:rsidR="00231B01" w:rsidRPr="00231B01">
        <w:t xml:space="preserve"> </w:t>
      </w:r>
      <w:r w:rsidR="00231B01">
        <w:t>formulating</w:t>
      </w:r>
      <w:r w:rsidR="00231B01" w:rsidRPr="00231B01">
        <w:t xml:space="preserve"> residential customer load profiles</w:t>
      </w:r>
      <w:r w:rsidR="00231B01">
        <w:t>.</w:t>
      </w:r>
      <w:r w:rsidRPr="002254CD">
        <w:t xml:space="preserve"> </w:t>
      </w:r>
    </w:p>
    <w:p w:rsidR="005912E3" w:rsidRPr="00C17C23" w:rsidRDefault="005912E3" w:rsidP="005912E3">
      <w:r>
        <w:rPr>
          <w:rStyle w:val="Strong"/>
        </w:rPr>
        <w:t>Criteria #</w:t>
      </w:r>
      <w:r w:rsidRPr="00C17C23">
        <w:rPr>
          <w:rStyle w:val="Strong"/>
        </w:rPr>
        <w:t xml:space="preserve">2 </w:t>
      </w:r>
      <w:r>
        <w:t xml:space="preserve">This is a broad-based demand management program. </w:t>
      </w:r>
    </w:p>
    <w:p w:rsidR="005912E3" w:rsidRDefault="005912E3" w:rsidP="005912E3">
      <w:r>
        <w:rPr>
          <w:rStyle w:val="Strong"/>
        </w:rPr>
        <w:t xml:space="preserve">Criteria </w:t>
      </w:r>
      <w:r w:rsidRPr="00C17C23">
        <w:rPr>
          <w:rStyle w:val="Strong"/>
        </w:rPr>
        <w:t>#3</w:t>
      </w:r>
      <w:r>
        <w:rPr>
          <w:rStyle w:val="Strong"/>
        </w:rPr>
        <w:t xml:space="preserve"> </w:t>
      </w:r>
      <w:r w:rsidR="00231B01">
        <w:t xml:space="preserve">This </w:t>
      </w:r>
      <w:r w:rsidR="00231B01" w:rsidRPr="00393043">
        <w:t>project aimed to inform the development of the demand tariff</w:t>
      </w:r>
      <w:r>
        <w:t xml:space="preserve"> that may help avoid network augmentation. </w:t>
      </w:r>
    </w:p>
    <w:p w:rsidR="005912E3" w:rsidRPr="00CD2645" w:rsidRDefault="005912E3" w:rsidP="005912E3">
      <w:pPr>
        <w:rPr>
          <w:rStyle w:val="AERbody"/>
        </w:rPr>
      </w:pPr>
      <w:r w:rsidRPr="00C17C23">
        <w:rPr>
          <w:rStyle w:val="Strong"/>
        </w:rPr>
        <w:t>Criteria #4</w:t>
      </w:r>
      <w:r>
        <w:rPr>
          <w:rStyle w:val="Strong"/>
        </w:rPr>
        <w:t xml:space="preserve"> </w:t>
      </w:r>
      <w:r>
        <w:rPr>
          <w:rStyle w:val="AERbody"/>
        </w:rPr>
        <w:t>Non-tariff based</w:t>
      </w:r>
    </w:p>
    <w:p w:rsidR="005912E3" w:rsidRPr="00CD2645" w:rsidRDefault="005912E3" w:rsidP="005912E3">
      <w:pPr>
        <w:rPr>
          <w:rStyle w:val="AERbody"/>
        </w:rPr>
      </w:pPr>
      <w:r w:rsidRPr="00C17C23">
        <w:rPr>
          <w:rStyle w:val="Strong"/>
        </w:rPr>
        <w:t>Criteria #5</w:t>
      </w:r>
      <w:r>
        <w:rPr>
          <w:rStyle w:val="Strong"/>
        </w:rPr>
        <w:t xml:space="preserve"> </w:t>
      </w:r>
      <w:r>
        <w:rPr>
          <w:rStyle w:val="AERbody"/>
        </w:rPr>
        <w:t xml:space="preserve">This criteria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p>
    <w:p w:rsidR="005912E3" w:rsidRPr="0006167F" w:rsidRDefault="005912E3" w:rsidP="005912E3">
      <w:pPr>
        <w:numPr>
          <w:ilvl w:val="0"/>
          <w:numId w:val="24"/>
        </w:numPr>
        <w:rPr>
          <w:rStyle w:val="AERbody"/>
        </w:rPr>
      </w:pPr>
      <w:r w:rsidRPr="00C17C23">
        <w:rPr>
          <w:rStyle w:val="Strong"/>
        </w:rPr>
        <w:t>Criteria #6</w:t>
      </w:r>
      <w:r>
        <w:rPr>
          <w:rStyle w:val="Strong"/>
        </w:rPr>
        <w:t xml:space="preserve"> </w:t>
      </w:r>
      <w:r>
        <w:rPr>
          <w:rStyle w:val="AERbody"/>
        </w:rPr>
        <w:t xml:space="preserve">Opex </w:t>
      </w:r>
    </w:p>
    <w:p w:rsidR="005A207D" w:rsidRPr="003F20E1" w:rsidRDefault="005A207D" w:rsidP="005A207D">
      <w:pPr>
        <w:pStyle w:val="Heading2"/>
      </w:pPr>
      <w:bookmarkStart w:id="393" w:name="_Toc445801879"/>
      <w:r w:rsidRPr="005A207D">
        <w:t>Energy Efficiency Research Project</w:t>
      </w:r>
      <w:bookmarkEnd w:id="393"/>
    </w:p>
    <w:p w:rsidR="005A207D" w:rsidRPr="003F20E1" w:rsidRDefault="005A207D" w:rsidP="005A207D">
      <w:pPr>
        <w:pStyle w:val="Heading3"/>
      </w:pPr>
      <w:bookmarkStart w:id="394" w:name="_Toc445801880"/>
      <w:r w:rsidRPr="003F20E1">
        <w:t>Project overview</w:t>
      </w:r>
      <w:bookmarkEnd w:id="394"/>
    </w:p>
    <w:p w:rsidR="005A207D" w:rsidRPr="00D61E77" w:rsidRDefault="007E4969" w:rsidP="005A207D">
      <w:pPr>
        <w:numPr>
          <w:ilvl w:val="0"/>
          <w:numId w:val="24"/>
        </w:numPr>
      </w:pPr>
      <w:r>
        <w:t xml:space="preserve">Energex </w:t>
      </w:r>
      <w:r w:rsidRPr="007E4969">
        <w:t xml:space="preserve">engaged an external service provider to research the impact that energy efficiency gains have had on historical demand and the projected future impact on demand. </w:t>
      </w:r>
      <w:r w:rsidR="00462048" w:rsidRPr="00462048">
        <w:t xml:space="preserve">The project </w:t>
      </w:r>
      <w:r>
        <w:t>aimed</w:t>
      </w:r>
      <w:r w:rsidR="00462048" w:rsidRPr="00462048">
        <w:t xml:space="preserve"> to produce a research report and model which would assist with forecasting network peak demand in the future, and inform future residential demand management programs on energy efficient technologies</w:t>
      </w:r>
      <w:r w:rsidR="005A207D" w:rsidRPr="004E4E2E">
        <w:t xml:space="preserve">. </w:t>
      </w:r>
      <w:r w:rsidR="005A207D">
        <w:t>Energex claimed DMIA expenditure in 2014–15 of</w:t>
      </w:r>
      <w:r w:rsidR="005A207D" w:rsidRPr="00C17C23">
        <w:t xml:space="preserve"> </w:t>
      </w:r>
      <w:r w:rsidR="005A207D">
        <w:t>$</w:t>
      </w:r>
      <w:r w:rsidR="005A207D" w:rsidRPr="00231B01">
        <w:t xml:space="preserve"> </w:t>
      </w:r>
      <w:r w:rsidR="00462048">
        <w:t>133 697</w:t>
      </w:r>
      <w:r w:rsidR="005A207D" w:rsidRPr="00231B01">
        <w:t xml:space="preserve"> </w:t>
      </w:r>
      <w:r w:rsidR="005A207D">
        <w:t>for this project.</w:t>
      </w:r>
    </w:p>
    <w:p w:rsidR="005A207D" w:rsidRPr="003F20E1" w:rsidRDefault="005A207D" w:rsidP="005A207D">
      <w:pPr>
        <w:pStyle w:val="Heading3"/>
      </w:pPr>
      <w:bookmarkStart w:id="395" w:name="_Toc445801881"/>
      <w:r w:rsidRPr="003F20E1">
        <w:t>Assessment against DMIA criteria</w:t>
      </w:r>
      <w:bookmarkEnd w:id="395"/>
    </w:p>
    <w:p w:rsidR="005A207D" w:rsidRDefault="005A207D" w:rsidP="005A207D">
      <w:r w:rsidRPr="00C17C23">
        <w:rPr>
          <w:rStyle w:val="Strong"/>
        </w:rPr>
        <w:t>Criteria #1</w:t>
      </w:r>
      <w:r>
        <w:t xml:space="preserve"> </w:t>
      </w:r>
      <w:r w:rsidR="007E4969" w:rsidRPr="00462048">
        <w:t xml:space="preserve">The project </w:t>
      </w:r>
      <w:r w:rsidR="007E4969">
        <w:t>aimed</w:t>
      </w:r>
      <w:r w:rsidR="007E4969" w:rsidRPr="00462048">
        <w:t xml:space="preserve"> to produce a research report and model which would assist with forecasting network peak demand in the future, and inform future residential demand management programs on energy efficient technologies</w:t>
      </w:r>
    </w:p>
    <w:p w:rsidR="005A207D" w:rsidRPr="00C17C23" w:rsidRDefault="005A207D" w:rsidP="005A207D">
      <w:r>
        <w:rPr>
          <w:rStyle w:val="Strong"/>
        </w:rPr>
        <w:t>Criteria #</w:t>
      </w:r>
      <w:r w:rsidRPr="00C17C23">
        <w:rPr>
          <w:rStyle w:val="Strong"/>
        </w:rPr>
        <w:t xml:space="preserve">2 </w:t>
      </w:r>
      <w:r>
        <w:t xml:space="preserve">This is a broad-based demand management program. </w:t>
      </w:r>
    </w:p>
    <w:p w:rsidR="005A207D" w:rsidRDefault="005A207D" w:rsidP="005A207D">
      <w:r>
        <w:rPr>
          <w:rStyle w:val="Strong"/>
        </w:rPr>
        <w:t xml:space="preserve">Criteria </w:t>
      </w:r>
      <w:r w:rsidRPr="00C17C23">
        <w:rPr>
          <w:rStyle w:val="Strong"/>
        </w:rPr>
        <w:t>#3</w:t>
      </w:r>
      <w:r>
        <w:rPr>
          <w:rStyle w:val="Strong"/>
        </w:rPr>
        <w:t xml:space="preserve"> </w:t>
      </w:r>
      <w:r>
        <w:t xml:space="preserve">This </w:t>
      </w:r>
      <w:r w:rsidRPr="00393043">
        <w:t xml:space="preserve">project </w:t>
      </w:r>
      <w:r w:rsidR="007E4969">
        <w:t xml:space="preserve">will </w:t>
      </w:r>
      <w:r w:rsidR="007E4969" w:rsidRPr="00462048">
        <w:t>assist with forecasting network peak demand in the future, and inform future residential demand management programs on energy efficient technologies</w:t>
      </w:r>
      <w:r w:rsidR="007E4969">
        <w:t>,</w:t>
      </w:r>
      <w:r w:rsidR="007E4969" w:rsidRPr="00393043">
        <w:t xml:space="preserve"> </w:t>
      </w:r>
      <w:r>
        <w:t xml:space="preserve">that may help avoid network augmentation. </w:t>
      </w:r>
    </w:p>
    <w:p w:rsidR="005A207D" w:rsidRPr="00CD2645" w:rsidRDefault="005A207D" w:rsidP="005A207D">
      <w:pPr>
        <w:rPr>
          <w:rStyle w:val="AERbody"/>
        </w:rPr>
      </w:pPr>
      <w:r w:rsidRPr="00C17C23">
        <w:rPr>
          <w:rStyle w:val="Strong"/>
        </w:rPr>
        <w:t>Criteria #4</w:t>
      </w:r>
      <w:r>
        <w:rPr>
          <w:rStyle w:val="Strong"/>
        </w:rPr>
        <w:t xml:space="preserve"> </w:t>
      </w:r>
      <w:r>
        <w:rPr>
          <w:rStyle w:val="AERbody"/>
        </w:rPr>
        <w:t>Non-tariff based</w:t>
      </w:r>
    </w:p>
    <w:p w:rsidR="005A207D" w:rsidRPr="00CD2645" w:rsidRDefault="005A207D" w:rsidP="005A207D">
      <w:pPr>
        <w:rPr>
          <w:rStyle w:val="AERbody"/>
        </w:rPr>
      </w:pPr>
      <w:r w:rsidRPr="00C17C23">
        <w:rPr>
          <w:rStyle w:val="Strong"/>
        </w:rPr>
        <w:t>Criteria #5</w:t>
      </w:r>
      <w:r>
        <w:rPr>
          <w:rStyle w:val="Strong"/>
        </w:rPr>
        <w:t xml:space="preserve"> </w:t>
      </w:r>
      <w:r>
        <w:rPr>
          <w:rStyle w:val="AERbody"/>
        </w:rPr>
        <w:t xml:space="preserve">This criteria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p>
    <w:p w:rsidR="005A207D" w:rsidRPr="0006167F" w:rsidRDefault="005A207D" w:rsidP="005A207D">
      <w:pPr>
        <w:numPr>
          <w:ilvl w:val="0"/>
          <w:numId w:val="24"/>
        </w:numPr>
        <w:rPr>
          <w:rStyle w:val="AERbody"/>
        </w:rPr>
      </w:pPr>
      <w:r w:rsidRPr="00C17C23">
        <w:rPr>
          <w:rStyle w:val="Strong"/>
        </w:rPr>
        <w:t>Criteria #6</w:t>
      </w:r>
      <w:r>
        <w:rPr>
          <w:rStyle w:val="Strong"/>
        </w:rPr>
        <w:t xml:space="preserve"> </w:t>
      </w:r>
      <w:r>
        <w:rPr>
          <w:rStyle w:val="AERbody"/>
        </w:rPr>
        <w:t xml:space="preserve">Opex </w:t>
      </w:r>
    </w:p>
    <w:p w:rsidR="00082743" w:rsidRPr="003F20E1" w:rsidRDefault="00082743" w:rsidP="00082743">
      <w:pPr>
        <w:pStyle w:val="Heading2"/>
      </w:pPr>
      <w:bookmarkStart w:id="396" w:name="_Toc445801882"/>
      <w:r w:rsidRPr="00082743">
        <w:lastRenderedPageBreak/>
        <w:t>Residential Distributed Energy Resources Research Project</w:t>
      </w:r>
      <w:bookmarkEnd w:id="396"/>
    </w:p>
    <w:p w:rsidR="00082743" w:rsidRPr="003F20E1" w:rsidRDefault="00082743" w:rsidP="00082743">
      <w:pPr>
        <w:pStyle w:val="Heading3"/>
      </w:pPr>
      <w:bookmarkStart w:id="397" w:name="_Toc445801883"/>
      <w:r w:rsidRPr="003F20E1">
        <w:t>Project overview</w:t>
      </w:r>
      <w:bookmarkEnd w:id="397"/>
    </w:p>
    <w:p w:rsidR="00082743" w:rsidRPr="00D61E77" w:rsidRDefault="004B5872" w:rsidP="007E2C8F">
      <w:pPr>
        <w:numPr>
          <w:ilvl w:val="0"/>
          <w:numId w:val="24"/>
        </w:numPr>
      </w:pPr>
      <w:r>
        <w:t>This project aimed to</w:t>
      </w:r>
      <w:r w:rsidR="007E2C8F" w:rsidRPr="007E2C8F">
        <w:t xml:space="preserve"> produce a detailed forecast, report and model considering how widespread adoption of </w:t>
      </w:r>
      <w:r w:rsidR="00D56F3E">
        <w:t>electrical vehicles</w:t>
      </w:r>
      <w:r w:rsidR="007E2C8F" w:rsidRPr="007E2C8F">
        <w:t xml:space="preserve"> and storage will impact residential demand and consumption across the Energex network to 2030.</w:t>
      </w:r>
      <w:r w:rsidR="00082743">
        <w:t>Energex claimed DMIA expenditure in 2014–15 of</w:t>
      </w:r>
      <w:r w:rsidR="00082743" w:rsidRPr="00C17C23">
        <w:t xml:space="preserve"> </w:t>
      </w:r>
      <w:r w:rsidR="00082743">
        <w:t>$</w:t>
      </w:r>
      <w:r w:rsidR="00082743" w:rsidRPr="00231B01">
        <w:t xml:space="preserve"> </w:t>
      </w:r>
      <w:r>
        <w:t xml:space="preserve">378 687 </w:t>
      </w:r>
      <w:r w:rsidR="00082743">
        <w:t>for this project.</w:t>
      </w:r>
    </w:p>
    <w:p w:rsidR="00082743" w:rsidRPr="003F20E1" w:rsidRDefault="00082743" w:rsidP="00082743">
      <w:pPr>
        <w:pStyle w:val="Heading3"/>
      </w:pPr>
      <w:bookmarkStart w:id="398" w:name="_Toc445801884"/>
      <w:r w:rsidRPr="003F20E1">
        <w:t>Assessment against DMIA criteria</w:t>
      </w:r>
      <w:bookmarkEnd w:id="398"/>
    </w:p>
    <w:p w:rsidR="00082743" w:rsidRDefault="00082743" w:rsidP="00082743">
      <w:r w:rsidRPr="00C17C23">
        <w:rPr>
          <w:rStyle w:val="Strong"/>
        </w:rPr>
        <w:t>Criteria #1</w:t>
      </w:r>
      <w:r>
        <w:t xml:space="preserve"> </w:t>
      </w:r>
      <w:r w:rsidRPr="00462048">
        <w:t xml:space="preserve">The project </w:t>
      </w:r>
      <w:r>
        <w:t>aimed</w:t>
      </w:r>
      <w:r w:rsidRPr="00462048">
        <w:t xml:space="preserve"> to </w:t>
      </w:r>
      <w:r w:rsidR="004B5872" w:rsidRPr="004B5872">
        <w:t>produce a research report and model which would assist forecasting network demand, and inform demand management programs on residential battery storage and electric vehicles in the future.</w:t>
      </w:r>
    </w:p>
    <w:p w:rsidR="00082743" w:rsidRPr="00C17C23" w:rsidRDefault="00082743" w:rsidP="00082743">
      <w:r>
        <w:rPr>
          <w:rStyle w:val="Strong"/>
        </w:rPr>
        <w:t>Criteria #</w:t>
      </w:r>
      <w:r w:rsidRPr="00C17C23">
        <w:rPr>
          <w:rStyle w:val="Strong"/>
        </w:rPr>
        <w:t xml:space="preserve">2 </w:t>
      </w:r>
      <w:r>
        <w:t xml:space="preserve">This is a broad-based demand management program. </w:t>
      </w:r>
    </w:p>
    <w:p w:rsidR="00082743" w:rsidRDefault="00082743" w:rsidP="00082743">
      <w:r>
        <w:rPr>
          <w:rStyle w:val="Strong"/>
        </w:rPr>
        <w:t xml:space="preserve">Criteria </w:t>
      </w:r>
      <w:r w:rsidRPr="00C17C23">
        <w:rPr>
          <w:rStyle w:val="Strong"/>
        </w:rPr>
        <w:t>#3</w:t>
      </w:r>
      <w:r>
        <w:rPr>
          <w:rStyle w:val="Strong"/>
        </w:rPr>
        <w:t xml:space="preserve"> </w:t>
      </w:r>
      <w:r>
        <w:t xml:space="preserve">This </w:t>
      </w:r>
      <w:r w:rsidRPr="00393043">
        <w:t xml:space="preserve">project </w:t>
      </w:r>
      <w:r>
        <w:t xml:space="preserve">will </w:t>
      </w:r>
      <w:r w:rsidRPr="00462048">
        <w:t xml:space="preserve">assist </w:t>
      </w:r>
      <w:r w:rsidR="004B5872" w:rsidRPr="004B5872">
        <w:t>with forecasting network peak demand in the future and inform future residen</w:t>
      </w:r>
      <w:r w:rsidR="004B5872">
        <w:t>tial demand management programs</w:t>
      </w:r>
      <w:r>
        <w:t>,</w:t>
      </w:r>
      <w:r w:rsidRPr="00393043">
        <w:t xml:space="preserve"> </w:t>
      </w:r>
      <w:r>
        <w:t xml:space="preserve">that may help avoid network augmentation. </w:t>
      </w:r>
    </w:p>
    <w:p w:rsidR="00082743" w:rsidRPr="00CD2645" w:rsidRDefault="00082743" w:rsidP="00082743">
      <w:pPr>
        <w:rPr>
          <w:rStyle w:val="AERbody"/>
        </w:rPr>
      </w:pPr>
      <w:r w:rsidRPr="00C17C23">
        <w:rPr>
          <w:rStyle w:val="Strong"/>
        </w:rPr>
        <w:t>Criteria #4</w:t>
      </w:r>
      <w:r>
        <w:rPr>
          <w:rStyle w:val="Strong"/>
        </w:rPr>
        <w:t xml:space="preserve"> </w:t>
      </w:r>
      <w:r>
        <w:rPr>
          <w:rStyle w:val="AERbody"/>
        </w:rPr>
        <w:t>Non-tariff based</w:t>
      </w:r>
    </w:p>
    <w:p w:rsidR="00082743" w:rsidRPr="00CD2645" w:rsidRDefault="00082743" w:rsidP="00082743">
      <w:pPr>
        <w:rPr>
          <w:rStyle w:val="AERbody"/>
        </w:rPr>
      </w:pPr>
      <w:r w:rsidRPr="00C17C23">
        <w:rPr>
          <w:rStyle w:val="Strong"/>
        </w:rPr>
        <w:t>Criteria #5</w:t>
      </w:r>
      <w:r>
        <w:rPr>
          <w:rStyle w:val="Strong"/>
        </w:rPr>
        <w:t xml:space="preserve"> </w:t>
      </w:r>
      <w:r>
        <w:rPr>
          <w:rStyle w:val="AERbody"/>
        </w:rPr>
        <w:t xml:space="preserve">This criteria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p>
    <w:p w:rsidR="00082743" w:rsidRPr="0006167F" w:rsidRDefault="00082743" w:rsidP="00082743">
      <w:pPr>
        <w:numPr>
          <w:ilvl w:val="0"/>
          <w:numId w:val="24"/>
        </w:numPr>
        <w:rPr>
          <w:rStyle w:val="AERbody"/>
        </w:rPr>
      </w:pPr>
      <w:r w:rsidRPr="00C17C23">
        <w:rPr>
          <w:rStyle w:val="Strong"/>
        </w:rPr>
        <w:t>Criteria #6</w:t>
      </w:r>
      <w:r>
        <w:rPr>
          <w:rStyle w:val="Strong"/>
        </w:rPr>
        <w:t xml:space="preserve"> </w:t>
      </w:r>
      <w:r>
        <w:rPr>
          <w:rStyle w:val="AERbody"/>
        </w:rPr>
        <w:t xml:space="preserve">Opex </w:t>
      </w:r>
    </w:p>
    <w:p w:rsidR="008B68AF" w:rsidRPr="003F20E1" w:rsidRDefault="008B68AF" w:rsidP="008B68AF">
      <w:pPr>
        <w:pStyle w:val="Heading2"/>
      </w:pPr>
      <w:bookmarkStart w:id="399" w:name="_Toc445801885"/>
      <w:r w:rsidRPr="008B68AF">
        <w:t>Small to Medium Enterprises (SME) Demand Response Investigation Project</w:t>
      </w:r>
      <w:bookmarkEnd w:id="399"/>
    </w:p>
    <w:p w:rsidR="008B68AF" w:rsidRPr="003F20E1" w:rsidRDefault="008B68AF" w:rsidP="008B68AF">
      <w:pPr>
        <w:pStyle w:val="Heading3"/>
      </w:pPr>
      <w:bookmarkStart w:id="400" w:name="_Toc445801886"/>
      <w:r w:rsidRPr="003F20E1">
        <w:t>Project overview</w:t>
      </w:r>
      <w:bookmarkEnd w:id="400"/>
    </w:p>
    <w:p w:rsidR="008B68AF" w:rsidRDefault="008B68AF" w:rsidP="008B68AF">
      <w:pPr>
        <w:numPr>
          <w:ilvl w:val="0"/>
          <w:numId w:val="24"/>
        </w:numPr>
      </w:pPr>
      <w:r>
        <w:t>This project aimed to</w:t>
      </w:r>
      <w:r w:rsidRPr="007E2C8F">
        <w:t xml:space="preserve"> </w:t>
      </w:r>
      <w:r w:rsidRPr="008B68AF">
        <w:t xml:space="preserve">identify the </w:t>
      </w:r>
      <w:r w:rsidR="000924A9" w:rsidRPr="000924A9">
        <w:t xml:space="preserve">demand response </w:t>
      </w:r>
      <w:r w:rsidRPr="008B68AF">
        <w:t>potential from small to medium businesses (SMEs) in South East Queensland (SEQ) with the results informing the development of methodologies to support non-network assessments undertaken as part of applying the RIT-D.</w:t>
      </w:r>
      <w:r>
        <w:t xml:space="preserve"> </w:t>
      </w:r>
      <w:r w:rsidR="000924A9" w:rsidRPr="000924A9">
        <w:t xml:space="preserve">Energex engaged an external service provider to undertake customer research in the SME market to assess demand opportunities. Over 150 SME customers participated in the research across three target areas: Inner Brisbane, Northern end of the Gold Coast and Ipswich. </w:t>
      </w:r>
      <w:r>
        <w:t>Energex claimed DMIA expenditure in 2014–15 of</w:t>
      </w:r>
      <w:r w:rsidRPr="00C17C23">
        <w:t xml:space="preserve"> </w:t>
      </w:r>
      <w:r>
        <w:t xml:space="preserve">$246 </w:t>
      </w:r>
      <w:r w:rsidRPr="008B68AF">
        <w:t xml:space="preserve">443 </w:t>
      </w:r>
      <w:r>
        <w:t>for this project.</w:t>
      </w:r>
    </w:p>
    <w:p w:rsidR="000924A9" w:rsidRDefault="000924A9" w:rsidP="000924A9"/>
    <w:p w:rsidR="000924A9" w:rsidRPr="00D61E77" w:rsidRDefault="000924A9" w:rsidP="000924A9"/>
    <w:p w:rsidR="008B68AF" w:rsidRPr="003F20E1" w:rsidRDefault="008B68AF" w:rsidP="008B68AF">
      <w:pPr>
        <w:pStyle w:val="Heading3"/>
      </w:pPr>
      <w:bookmarkStart w:id="401" w:name="_Toc445801887"/>
      <w:r w:rsidRPr="003F20E1">
        <w:lastRenderedPageBreak/>
        <w:t>Assessment against DMIA criteria</w:t>
      </w:r>
      <w:bookmarkEnd w:id="401"/>
    </w:p>
    <w:p w:rsidR="008B68AF" w:rsidRDefault="008B68AF" w:rsidP="008B68AF">
      <w:r w:rsidRPr="00C17C23">
        <w:rPr>
          <w:rStyle w:val="Strong"/>
        </w:rPr>
        <w:t>Criteria #1</w:t>
      </w:r>
      <w:r>
        <w:t xml:space="preserve"> </w:t>
      </w:r>
      <w:r w:rsidRPr="00462048">
        <w:t xml:space="preserve">The project </w:t>
      </w:r>
      <w:r>
        <w:t>aimed</w:t>
      </w:r>
      <w:r w:rsidRPr="00462048">
        <w:t xml:space="preserve"> to </w:t>
      </w:r>
      <w:r w:rsidRPr="004B5872">
        <w:t>produce a research report and model which would assist forecasting network demand, and inform demand management programs on residential battery storage and electric vehicles in the future.</w:t>
      </w:r>
    </w:p>
    <w:p w:rsidR="008B68AF" w:rsidRPr="00C17C23" w:rsidRDefault="008B68AF" w:rsidP="008B68AF">
      <w:r>
        <w:rPr>
          <w:rStyle w:val="Strong"/>
        </w:rPr>
        <w:t>Criteria #</w:t>
      </w:r>
      <w:r w:rsidRPr="00C17C23">
        <w:rPr>
          <w:rStyle w:val="Strong"/>
        </w:rPr>
        <w:t xml:space="preserve">2 </w:t>
      </w:r>
      <w:r>
        <w:t xml:space="preserve">This is a broad-based demand management program. </w:t>
      </w:r>
    </w:p>
    <w:p w:rsidR="008B68AF" w:rsidRDefault="008B68AF" w:rsidP="008B68AF">
      <w:r>
        <w:rPr>
          <w:rStyle w:val="Strong"/>
        </w:rPr>
        <w:t xml:space="preserve">Criteria </w:t>
      </w:r>
      <w:r w:rsidRPr="00C17C23">
        <w:rPr>
          <w:rStyle w:val="Strong"/>
        </w:rPr>
        <w:t>#3</w:t>
      </w:r>
      <w:r>
        <w:rPr>
          <w:rStyle w:val="Strong"/>
        </w:rPr>
        <w:t xml:space="preserve"> </w:t>
      </w:r>
      <w:r>
        <w:t xml:space="preserve">This </w:t>
      </w:r>
      <w:r w:rsidRPr="00393043">
        <w:t xml:space="preserve">project </w:t>
      </w:r>
      <w:r w:rsidR="000924A9" w:rsidRPr="000924A9">
        <w:t>results will feed into the development of tools to assist in undertaking future non-network assessments when applying the RIT-D.</w:t>
      </w:r>
      <w:r>
        <w:t>,</w:t>
      </w:r>
      <w:r w:rsidRPr="00393043">
        <w:t xml:space="preserve"> </w:t>
      </w:r>
      <w:r>
        <w:t xml:space="preserve">that may help avoid network augmentation. </w:t>
      </w:r>
    </w:p>
    <w:p w:rsidR="008B68AF" w:rsidRPr="00CD2645" w:rsidRDefault="008B68AF" w:rsidP="008B68AF">
      <w:pPr>
        <w:rPr>
          <w:rStyle w:val="AERbody"/>
        </w:rPr>
      </w:pPr>
      <w:r w:rsidRPr="00C17C23">
        <w:rPr>
          <w:rStyle w:val="Strong"/>
        </w:rPr>
        <w:t>Criteria #4</w:t>
      </w:r>
      <w:r>
        <w:rPr>
          <w:rStyle w:val="Strong"/>
        </w:rPr>
        <w:t xml:space="preserve"> </w:t>
      </w:r>
      <w:r>
        <w:rPr>
          <w:rStyle w:val="AERbody"/>
        </w:rPr>
        <w:t>Non-tariff based</w:t>
      </w:r>
    </w:p>
    <w:p w:rsidR="008B68AF" w:rsidRPr="00CD2645" w:rsidRDefault="008B68AF" w:rsidP="008B68AF">
      <w:pPr>
        <w:rPr>
          <w:rStyle w:val="AERbody"/>
        </w:rPr>
      </w:pPr>
      <w:r w:rsidRPr="00C17C23">
        <w:rPr>
          <w:rStyle w:val="Strong"/>
        </w:rPr>
        <w:t>Criteria #5</w:t>
      </w:r>
      <w:r>
        <w:rPr>
          <w:rStyle w:val="Strong"/>
        </w:rPr>
        <w:t xml:space="preserve"> </w:t>
      </w:r>
      <w:r>
        <w:rPr>
          <w:rStyle w:val="AERbody"/>
        </w:rPr>
        <w:t xml:space="preserve">This criteria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p>
    <w:p w:rsidR="008B68AF" w:rsidRPr="0006167F" w:rsidRDefault="008B68AF" w:rsidP="008B68AF">
      <w:pPr>
        <w:numPr>
          <w:ilvl w:val="0"/>
          <w:numId w:val="24"/>
        </w:numPr>
        <w:rPr>
          <w:rStyle w:val="AERbody"/>
        </w:rPr>
      </w:pPr>
      <w:r w:rsidRPr="00C17C23">
        <w:rPr>
          <w:rStyle w:val="Strong"/>
        </w:rPr>
        <w:t>Criteria #6</w:t>
      </w:r>
      <w:r>
        <w:rPr>
          <w:rStyle w:val="Strong"/>
        </w:rPr>
        <w:t xml:space="preserve"> </w:t>
      </w:r>
      <w:r>
        <w:rPr>
          <w:rStyle w:val="AERbody"/>
        </w:rPr>
        <w:t xml:space="preserve">Opex </w:t>
      </w:r>
    </w:p>
    <w:p w:rsidR="00B151FA" w:rsidRDefault="00B151FA">
      <w:pPr>
        <w:spacing w:line="240" w:lineRule="auto"/>
      </w:pPr>
      <w:r>
        <w:br w:type="page"/>
      </w:r>
    </w:p>
    <w:p w:rsidR="003E5CC1" w:rsidRDefault="003E5CC1" w:rsidP="003F20E1">
      <w:pPr>
        <w:pStyle w:val="Heading1"/>
      </w:pPr>
      <w:bookmarkStart w:id="402" w:name="_Toc445801888"/>
      <w:r w:rsidRPr="003F20E1">
        <w:lastRenderedPageBreak/>
        <w:t>Ergon Energy</w:t>
      </w:r>
      <w:bookmarkEnd w:id="245"/>
      <w:bookmarkEnd w:id="402"/>
    </w:p>
    <w:p w:rsidR="004A47C4" w:rsidRDefault="004A47C4" w:rsidP="004A47C4">
      <w:pPr>
        <w:numPr>
          <w:ilvl w:val="0"/>
          <w:numId w:val="24"/>
        </w:numPr>
      </w:pPr>
      <w:r>
        <w:t>Ergon</w:t>
      </w:r>
      <w:r w:rsidRPr="00D61E77">
        <w:t xml:space="preserve"> Energy is claiming </w:t>
      </w:r>
      <w:r w:rsidR="008B74AE" w:rsidRPr="0006167F">
        <w:t>$</w:t>
      </w:r>
      <w:r w:rsidR="000E3EDB">
        <w:t>850 672 and $747 283</w:t>
      </w:r>
      <w:r w:rsidR="008B74AE">
        <w:t xml:space="preserve"> </w:t>
      </w:r>
      <w:r w:rsidRPr="00D61E77">
        <w:t xml:space="preserve">DMIA expenditure for </w:t>
      </w:r>
      <w:r>
        <w:t>1</w:t>
      </w:r>
      <w:r w:rsidR="004E6922">
        <w:t>0</w:t>
      </w:r>
      <w:r w:rsidR="008B74AE">
        <w:t xml:space="preserve"> and nine demand management projects for 2013–14</w:t>
      </w:r>
      <w:r w:rsidR="004E6922">
        <w:t xml:space="preserve"> and </w:t>
      </w:r>
      <w:r w:rsidR="008B74AE">
        <w:t>2014–15 respectively</w:t>
      </w:r>
      <w:r w:rsidRPr="00D61E77">
        <w:t xml:space="preserve">. </w:t>
      </w:r>
      <w:r w:rsidR="008B74AE">
        <w:t>We approve these</w:t>
      </w:r>
      <w:r>
        <w:t xml:space="preserve"> expenditure</w:t>
      </w:r>
      <w:r w:rsidR="008B74AE">
        <w:t>s as they meet</w:t>
      </w:r>
      <w:r>
        <w:t xml:space="preserve"> the DMIA criteria. </w:t>
      </w:r>
      <w:r w:rsidRPr="00234841">
        <w:t xml:space="preserve">Five of these projects have received co-contributions from partners. Nine projects were continuing and six were new projects. </w:t>
      </w:r>
      <w:r>
        <w:t>The following section sets out our assessment of the individual projects. For more detailed information about these projects, ple</w:t>
      </w:r>
      <w:r w:rsidR="004E6922">
        <w:t>ase refer to Ergon Energy's 2013–14</w:t>
      </w:r>
      <w:r>
        <w:t xml:space="preserve"> </w:t>
      </w:r>
      <w:r w:rsidR="008B74AE">
        <w:t xml:space="preserve">and 2014–15 </w:t>
      </w:r>
      <w:r>
        <w:t>DMIA report</w:t>
      </w:r>
      <w:r w:rsidR="008B74AE">
        <w:t>s</w:t>
      </w:r>
      <w:r>
        <w:t>.</w:t>
      </w:r>
    </w:p>
    <w:p w:rsidR="00DE6D0C" w:rsidRDefault="00DE6D0C" w:rsidP="00DE6D0C">
      <w:pPr>
        <w:pStyle w:val="Caption"/>
      </w:pPr>
      <w:r>
        <w:t xml:space="preserve">Projects undertaken for 2013–14 and 2014–15 </w:t>
      </w:r>
    </w:p>
    <w:p w:rsidR="00C16206" w:rsidRPr="003F20E1" w:rsidRDefault="00C16206" w:rsidP="00C16206">
      <w:pPr>
        <w:pStyle w:val="Heading2"/>
      </w:pPr>
      <w:bookmarkStart w:id="403" w:name="_Toc445801889"/>
      <w:r w:rsidRPr="00C16206">
        <w:t>GUSS Phase 2 (REGUSS)</w:t>
      </w:r>
      <w:bookmarkEnd w:id="403"/>
    </w:p>
    <w:p w:rsidR="00C16206" w:rsidRPr="003F20E1" w:rsidRDefault="00C16206" w:rsidP="00C16206">
      <w:pPr>
        <w:pStyle w:val="Heading3"/>
      </w:pPr>
      <w:bookmarkStart w:id="404" w:name="_Toc445801890"/>
      <w:r w:rsidRPr="003F20E1">
        <w:t>Project overview</w:t>
      </w:r>
      <w:bookmarkEnd w:id="404"/>
    </w:p>
    <w:p w:rsidR="00C16206" w:rsidRPr="00D61E77" w:rsidRDefault="00C16206" w:rsidP="00C16206">
      <w:pPr>
        <w:numPr>
          <w:ilvl w:val="0"/>
          <w:numId w:val="24"/>
        </w:numPr>
      </w:pPr>
      <w:r w:rsidRPr="00C16206">
        <w:t>The goal of the project is to further develop the Grid</w:t>
      </w:r>
      <w:r>
        <w:t xml:space="preserve"> </w:t>
      </w:r>
      <w:r w:rsidRPr="00C16206">
        <w:t>Utility Support System (GUSS) – medium scale</w:t>
      </w:r>
      <w:r>
        <w:t xml:space="preserve"> </w:t>
      </w:r>
      <w:r w:rsidRPr="00C16206">
        <w:t>storage, grid interface inverter, system control and</w:t>
      </w:r>
      <w:r>
        <w:t xml:space="preserve"> </w:t>
      </w:r>
      <w:r w:rsidRPr="00C16206">
        <w:t>monitoring – to allow for the connection of renewable</w:t>
      </w:r>
      <w:r>
        <w:t xml:space="preserve"> </w:t>
      </w:r>
      <w:r w:rsidRPr="00C16206">
        <w:t>energy systems, in particular photovoltaics (PV), in</w:t>
      </w:r>
      <w:r>
        <w:t xml:space="preserve"> </w:t>
      </w:r>
      <w:r w:rsidRPr="00C16206">
        <w:t>such a way as to optimise the value the renewables</w:t>
      </w:r>
      <w:r>
        <w:t xml:space="preserve"> </w:t>
      </w:r>
      <w:r w:rsidRPr="00C16206">
        <w:t>can present, both to the network and to the</w:t>
      </w:r>
      <w:r>
        <w:t xml:space="preserve"> </w:t>
      </w:r>
      <w:r w:rsidRPr="00C16206">
        <w:t>customer.</w:t>
      </w:r>
      <w:r>
        <w:t xml:space="preserve"> Ergon Energy claimed DMIA expenditure of $227 000 and $48 300 in 2013–14 and 2014–15 respectively for this project.</w:t>
      </w:r>
    </w:p>
    <w:p w:rsidR="00C16206" w:rsidRPr="003F20E1" w:rsidRDefault="00C16206" w:rsidP="00C16206">
      <w:pPr>
        <w:pStyle w:val="Heading3"/>
      </w:pPr>
      <w:bookmarkStart w:id="405" w:name="_Toc445801891"/>
      <w:r w:rsidRPr="003F20E1">
        <w:t>Assessment against DMIA criteria</w:t>
      </w:r>
      <w:bookmarkEnd w:id="405"/>
    </w:p>
    <w:p w:rsidR="00C16206" w:rsidRDefault="00C16206" w:rsidP="00C16206">
      <w:r w:rsidRPr="00C17C23">
        <w:rPr>
          <w:rStyle w:val="Strong"/>
        </w:rPr>
        <w:t>Criteria #1</w:t>
      </w:r>
      <w:r w:rsidRPr="00C16206">
        <w:t xml:space="preserve"> The REGUSS</w:t>
      </w:r>
      <w:r>
        <w:t xml:space="preserve"> project specifically addresses </w:t>
      </w:r>
      <w:r w:rsidRPr="00C16206">
        <w:t>integration of PV into Single Wire Earth Return</w:t>
      </w:r>
      <w:r>
        <w:t xml:space="preserve"> (</w:t>
      </w:r>
      <w:r w:rsidRPr="00C16206">
        <w:t>SWER</w:t>
      </w:r>
      <w:r>
        <w:t>)</w:t>
      </w:r>
      <w:r w:rsidRPr="00C16206">
        <w:t xml:space="preserve"> networks and</w:t>
      </w:r>
      <w:r>
        <w:t xml:space="preserve"> </w:t>
      </w:r>
      <w:r w:rsidRPr="00C16206">
        <w:t>enables the generation of PV energy to be stored</w:t>
      </w:r>
      <w:r>
        <w:t xml:space="preserve"> </w:t>
      </w:r>
      <w:r w:rsidRPr="00C16206">
        <w:t>and shifted to peak demand and network need times</w:t>
      </w:r>
      <w:r>
        <w:t>.</w:t>
      </w:r>
    </w:p>
    <w:p w:rsidR="00C16206" w:rsidRPr="00C17C23" w:rsidRDefault="00C16206" w:rsidP="00C16206">
      <w:r>
        <w:rPr>
          <w:rStyle w:val="Strong"/>
        </w:rPr>
        <w:t>Criteria #</w:t>
      </w:r>
      <w:r w:rsidRPr="00C17C23">
        <w:rPr>
          <w:rStyle w:val="Strong"/>
        </w:rPr>
        <w:t xml:space="preserve">2 </w:t>
      </w:r>
      <w:r>
        <w:t xml:space="preserve">This is a broad-based demand management program. </w:t>
      </w:r>
    </w:p>
    <w:p w:rsidR="00C16206" w:rsidRDefault="00C16206" w:rsidP="00C16206">
      <w:r>
        <w:rPr>
          <w:rStyle w:val="Strong"/>
        </w:rPr>
        <w:t xml:space="preserve">Criteria </w:t>
      </w:r>
      <w:r w:rsidRPr="00C17C23">
        <w:rPr>
          <w:rStyle w:val="Strong"/>
        </w:rPr>
        <w:t>#3</w:t>
      </w:r>
      <w:r>
        <w:rPr>
          <w:rStyle w:val="Strong"/>
        </w:rPr>
        <w:t xml:space="preserve"> </w:t>
      </w:r>
      <w:r w:rsidR="000736F7">
        <w:t>This</w:t>
      </w:r>
      <w:r w:rsidRPr="00C16206">
        <w:t xml:space="preserve"> </w:t>
      </w:r>
      <w:r w:rsidR="000736F7">
        <w:t xml:space="preserve">project </w:t>
      </w:r>
      <w:r w:rsidRPr="00C16206">
        <w:t>optimise</w:t>
      </w:r>
      <w:r w:rsidR="000736F7">
        <w:t>s</w:t>
      </w:r>
      <w:r w:rsidRPr="00C16206">
        <w:t xml:space="preserve"> the value the renewables</w:t>
      </w:r>
      <w:r w:rsidR="000736F7">
        <w:t xml:space="preserve"> </w:t>
      </w:r>
      <w:r w:rsidRPr="00C16206">
        <w:t>can present, both to the network and to the</w:t>
      </w:r>
      <w:r w:rsidR="000736F7">
        <w:t xml:space="preserve"> </w:t>
      </w:r>
      <w:r w:rsidRPr="00C16206">
        <w:t>customer</w:t>
      </w:r>
      <w:r>
        <w:t xml:space="preserve"> that may help avoid network augmentation. </w:t>
      </w:r>
    </w:p>
    <w:p w:rsidR="00C16206" w:rsidRPr="00CD2645" w:rsidRDefault="00C16206" w:rsidP="00C16206">
      <w:pPr>
        <w:rPr>
          <w:rStyle w:val="AERbody"/>
        </w:rPr>
      </w:pPr>
      <w:r w:rsidRPr="00C17C23">
        <w:rPr>
          <w:rStyle w:val="Strong"/>
        </w:rPr>
        <w:t>Criteria #4</w:t>
      </w:r>
      <w:r>
        <w:rPr>
          <w:rStyle w:val="Strong"/>
        </w:rPr>
        <w:t xml:space="preserve"> </w:t>
      </w:r>
      <w:r>
        <w:rPr>
          <w:rStyle w:val="AERbody"/>
        </w:rPr>
        <w:t>Non-tariff based</w:t>
      </w:r>
    </w:p>
    <w:p w:rsidR="00C16206" w:rsidRPr="00CD2645" w:rsidRDefault="00C16206" w:rsidP="00C16206">
      <w:pPr>
        <w:rPr>
          <w:rStyle w:val="AERbody"/>
        </w:rPr>
      </w:pPr>
      <w:r w:rsidRPr="00C17C23">
        <w:rPr>
          <w:rStyle w:val="Strong"/>
        </w:rPr>
        <w:t>Criteria #5</w:t>
      </w:r>
      <w:r>
        <w:rPr>
          <w:rStyle w:val="Strong"/>
        </w:rPr>
        <w:t xml:space="preserve"> </w:t>
      </w:r>
      <w:r>
        <w:rPr>
          <w:rStyle w:val="AERbody"/>
        </w:rPr>
        <w:t xml:space="preserve">This criteria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p>
    <w:p w:rsidR="00C16206" w:rsidRPr="0006167F" w:rsidRDefault="00C16206" w:rsidP="00C16206">
      <w:pPr>
        <w:numPr>
          <w:ilvl w:val="0"/>
          <w:numId w:val="24"/>
        </w:numPr>
        <w:rPr>
          <w:rStyle w:val="AERbody"/>
        </w:rPr>
      </w:pPr>
      <w:r w:rsidRPr="00C17C23">
        <w:rPr>
          <w:rStyle w:val="Strong"/>
        </w:rPr>
        <w:t>Criteria #6</w:t>
      </w:r>
      <w:r>
        <w:rPr>
          <w:rStyle w:val="Strong"/>
        </w:rPr>
        <w:t xml:space="preserve"> </w:t>
      </w:r>
      <w:r>
        <w:rPr>
          <w:rStyle w:val="AERbody"/>
        </w:rPr>
        <w:t xml:space="preserve">Opex </w:t>
      </w:r>
    </w:p>
    <w:p w:rsidR="004A2D4E" w:rsidRPr="003F20E1" w:rsidRDefault="00913481" w:rsidP="00913481">
      <w:pPr>
        <w:pStyle w:val="Heading2"/>
      </w:pPr>
      <w:bookmarkStart w:id="406" w:name="_Toc445801892"/>
      <w:r w:rsidRPr="00913481">
        <w:t>Urban Statcom</w:t>
      </w:r>
      <w:bookmarkEnd w:id="406"/>
    </w:p>
    <w:p w:rsidR="004A2D4E" w:rsidRPr="003F20E1" w:rsidRDefault="004A2D4E" w:rsidP="004A2D4E">
      <w:pPr>
        <w:pStyle w:val="Heading3"/>
      </w:pPr>
      <w:bookmarkStart w:id="407" w:name="_Toc445801893"/>
      <w:r w:rsidRPr="003F20E1">
        <w:t>Project overview</w:t>
      </w:r>
      <w:bookmarkEnd w:id="407"/>
    </w:p>
    <w:p w:rsidR="00913481" w:rsidRDefault="00913481" w:rsidP="00913481">
      <w:r w:rsidRPr="00913481">
        <w:t>The increasing prevalence of residential photovoltaic</w:t>
      </w:r>
      <w:r>
        <w:t xml:space="preserve"> </w:t>
      </w:r>
      <w:r w:rsidRPr="00913481">
        <w:t>(PV) systems and non-linear loads is starting to have</w:t>
      </w:r>
      <w:r>
        <w:t xml:space="preserve"> a significant impact on</w:t>
      </w:r>
      <w:r w:rsidRPr="00913481">
        <w:t xml:space="preserve"> network and customer</w:t>
      </w:r>
      <w:r>
        <w:t xml:space="preserve"> </w:t>
      </w:r>
      <w:r w:rsidRPr="00913481">
        <w:t>supply.</w:t>
      </w:r>
      <w:r w:rsidR="004A2D4E">
        <w:t xml:space="preserve"> </w:t>
      </w:r>
      <w:r w:rsidRPr="00913481">
        <w:t xml:space="preserve">These </w:t>
      </w:r>
      <w:r w:rsidRPr="00913481">
        <w:lastRenderedPageBreak/>
        <w:t xml:space="preserve">impacts </w:t>
      </w:r>
      <w:r>
        <w:t xml:space="preserve">include over-voltage and voltage </w:t>
      </w:r>
      <w:r w:rsidRPr="00913481">
        <w:t>swings on the low voltage network, affecting</w:t>
      </w:r>
      <w:r>
        <w:t xml:space="preserve"> </w:t>
      </w:r>
      <w:r w:rsidRPr="00913481">
        <w:t>customer loads, causing PV systems to trip off</w:t>
      </w:r>
      <w:r>
        <w:t xml:space="preserve"> </w:t>
      </w:r>
      <w:r w:rsidRPr="00913481">
        <w:t>(reducing output) and necessitating (partially</w:t>
      </w:r>
      <w:r>
        <w:t xml:space="preserve"> </w:t>
      </w:r>
      <w:r w:rsidRPr="00913481">
        <w:t>effective and expensive) network augmentation and</w:t>
      </w:r>
      <w:r>
        <w:t xml:space="preserve"> </w:t>
      </w:r>
      <w:r w:rsidRPr="00913481">
        <w:t>potential restriction of PV system connection.</w:t>
      </w:r>
      <w:r>
        <w:t xml:space="preserve"> This project</w:t>
      </w:r>
      <w:r w:rsidRPr="00913481">
        <w:t xml:space="preserve"> labora</w:t>
      </w:r>
      <w:r>
        <w:t xml:space="preserve">tory tests and field trials two </w:t>
      </w:r>
      <w:r w:rsidRPr="00913481">
        <w:t>different produc</w:t>
      </w:r>
      <w:r>
        <w:t xml:space="preserve">ts from different manufacturers in order to </w:t>
      </w:r>
      <w:r w:rsidRPr="00913481">
        <w:t>mitigate these</w:t>
      </w:r>
      <w:r>
        <w:t xml:space="preserve"> </w:t>
      </w:r>
      <w:r w:rsidRPr="00913481">
        <w:t>problems including lower cost, more effective</w:t>
      </w:r>
      <w:r>
        <w:t xml:space="preserve"> </w:t>
      </w:r>
      <w:r w:rsidRPr="00913481">
        <w:t>alternatives to network augmentation.</w:t>
      </w:r>
    </w:p>
    <w:p w:rsidR="00913481" w:rsidRPr="00913481" w:rsidRDefault="00913481" w:rsidP="00913481">
      <w:r w:rsidRPr="00913481">
        <w:t>Product 1 is a single phase 10kVAR capacitive only type of unit</w:t>
      </w:r>
      <w:r>
        <w:t>, which can</w:t>
      </w:r>
      <w:r w:rsidRPr="00913481">
        <w:t xml:space="preserve"> </w:t>
      </w:r>
      <w:r>
        <w:t xml:space="preserve">address out </w:t>
      </w:r>
      <w:r w:rsidRPr="00913481">
        <w:t>of</w:t>
      </w:r>
      <w:r>
        <w:t xml:space="preserve"> </w:t>
      </w:r>
      <w:r w:rsidRPr="00913481">
        <w:t>balance</w:t>
      </w:r>
      <w:r>
        <w:t xml:space="preserve"> </w:t>
      </w:r>
      <w:r w:rsidRPr="00913481">
        <w:t>voltages.</w:t>
      </w:r>
      <w:r>
        <w:t xml:space="preserve"> </w:t>
      </w:r>
      <w:r w:rsidRPr="00913481">
        <w:t>Product 2 is a thre</w:t>
      </w:r>
      <w:r>
        <w:t xml:space="preserve">e phase 20kVAR Statcom that can </w:t>
      </w:r>
      <w:r w:rsidRPr="00913481">
        <w:t>act as both a capacitor and inductor.</w:t>
      </w:r>
    </w:p>
    <w:p w:rsidR="004A2D4E" w:rsidRPr="00D61E77" w:rsidRDefault="004A2D4E" w:rsidP="00913481">
      <w:pPr>
        <w:numPr>
          <w:ilvl w:val="0"/>
          <w:numId w:val="24"/>
        </w:numPr>
      </w:pPr>
      <w:r>
        <w:t xml:space="preserve">Ergon Energy claimed DMIA expenditure of </w:t>
      </w:r>
      <w:r w:rsidR="00913481">
        <w:t>$218 000 and $73 8</w:t>
      </w:r>
      <w:r>
        <w:t>00 in 2013–14 and 2014–15 respectively for this project.</w:t>
      </w:r>
    </w:p>
    <w:p w:rsidR="004A2D4E" w:rsidRPr="003F20E1" w:rsidRDefault="004A2D4E" w:rsidP="004A2D4E">
      <w:pPr>
        <w:pStyle w:val="Heading3"/>
      </w:pPr>
      <w:bookmarkStart w:id="408" w:name="_Toc445801894"/>
      <w:r w:rsidRPr="003F20E1">
        <w:t>Assessment against DMIA criteria</w:t>
      </w:r>
      <w:bookmarkEnd w:id="408"/>
    </w:p>
    <w:p w:rsidR="004A2D4E" w:rsidRDefault="004A2D4E" w:rsidP="00014035">
      <w:r w:rsidRPr="00C17C23">
        <w:rPr>
          <w:rStyle w:val="Strong"/>
        </w:rPr>
        <w:t>Criteria #1</w:t>
      </w:r>
      <w:r w:rsidRPr="00C16206">
        <w:t xml:space="preserve"> </w:t>
      </w:r>
      <w:r w:rsidR="00014035">
        <w:t xml:space="preserve">This project provides </w:t>
      </w:r>
      <w:r w:rsidR="00014035" w:rsidRPr="00014035">
        <w:t>solutions and products</w:t>
      </w:r>
      <w:r w:rsidR="00014035">
        <w:t>,</w:t>
      </w:r>
      <w:r w:rsidR="00014035" w:rsidRPr="00014035">
        <w:t xml:space="preserve"> including lower cost, more effective</w:t>
      </w:r>
      <w:r w:rsidR="00014035">
        <w:t xml:space="preserve"> </w:t>
      </w:r>
      <w:r w:rsidR="00014035" w:rsidRPr="00014035">
        <w:t>alter</w:t>
      </w:r>
      <w:r w:rsidR="00014035">
        <w:t xml:space="preserve">natives to network augmentation, </w:t>
      </w:r>
      <w:r w:rsidR="00014035" w:rsidRPr="00014035">
        <w:t xml:space="preserve">to mitigate </w:t>
      </w:r>
      <w:r w:rsidR="00014035">
        <w:t>impacts from residential PV</w:t>
      </w:r>
      <w:r w:rsidR="00014035" w:rsidRPr="00014035">
        <w:t xml:space="preserve"> systems and non-linear loads</w:t>
      </w:r>
      <w:r w:rsidR="00014035">
        <w:t>.</w:t>
      </w:r>
    </w:p>
    <w:p w:rsidR="004A2D4E" w:rsidRPr="00C17C23" w:rsidRDefault="004A2D4E" w:rsidP="004A2D4E">
      <w:r>
        <w:rPr>
          <w:rStyle w:val="Strong"/>
        </w:rPr>
        <w:t>Criteria #</w:t>
      </w:r>
      <w:r w:rsidRPr="00C17C23">
        <w:rPr>
          <w:rStyle w:val="Strong"/>
        </w:rPr>
        <w:t xml:space="preserve">2 </w:t>
      </w:r>
      <w:r>
        <w:t xml:space="preserve">This is a broad-based demand management program. </w:t>
      </w:r>
    </w:p>
    <w:p w:rsidR="004A2D4E" w:rsidRDefault="004A2D4E" w:rsidP="00884F60">
      <w:r>
        <w:rPr>
          <w:rStyle w:val="Strong"/>
        </w:rPr>
        <w:t xml:space="preserve">Criteria </w:t>
      </w:r>
      <w:r w:rsidRPr="00C17C23">
        <w:rPr>
          <w:rStyle w:val="Strong"/>
        </w:rPr>
        <w:t>#3</w:t>
      </w:r>
      <w:r>
        <w:rPr>
          <w:rStyle w:val="Strong"/>
        </w:rPr>
        <w:t xml:space="preserve"> </w:t>
      </w:r>
      <w:r>
        <w:t>This</w:t>
      </w:r>
      <w:r w:rsidRPr="00C16206">
        <w:t xml:space="preserve"> </w:t>
      </w:r>
      <w:r>
        <w:t xml:space="preserve">project </w:t>
      </w:r>
      <w:r w:rsidR="00884F60">
        <w:t>will lead to i</w:t>
      </w:r>
      <w:r w:rsidR="00884F60" w:rsidRPr="00884F60">
        <w:t>mproved low voltage supply quality</w:t>
      </w:r>
      <w:r w:rsidR="00884F60">
        <w:t xml:space="preserve"> and allow</w:t>
      </w:r>
      <w:r w:rsidR="00884F60" w:rsidRPr="00884F60">
        <w:t xml:space="preserve"> for increasing amount of PV without the</w:t>
      </w:r>
      <w:r w:rsidR="00884F60">
        <w:t xml:space="preserve"> </w:t>
      </w:r>
      <w:r w:rsidR="00884F60" w:rsidRPr="00884F60">
        <w:t>need for network augmentation</w:t>
      </w:r>
      <w:r>
        <w:t xml:space="preserve">. </w:t>
      </w:r>
    </w:p>
    <w:p w:rsidR="004A2D4E" w:rsidRPr="00CD2645" w:rsidRDefault="004A2D4E" w:rsidP="004A2D4E">
      <w:pPr>
        <w:rPr>
          <w:rStyle w:val="AERbody"/>
        </w:rPr>
      </w:pPr>
      <w:r w:rsidRPr="00C17C23">
        <w:rPr>
          <w:rStyle w:val="Strong"/>
        </w:rPr>
        <w:t>Criteria #4</w:t>
      </w:r>
      <w:r>
        <w:rPr>
          <w:rStyle w:val="Strong"/>
        </w:rPr>
        <w:t xml:space="preserve"> </w:t>
      </w:r>
      <w:r>
        <w:rPr>
          <w:rStyle w:val="AERbody"/>
        </w:rPr>
        <w:t>Non-tariff based</w:t>
      </w:r>
    </w:p>
    <w:p w:rsidR="004A2D4E" w:rsidRPr="00CD2645" w:rsidRDefault="004A2D4E" w:rsidP="004A2D4E">
      <w:pPr>
        <w:rPr>
          <w:rStyle w:val="AERbody"/>
        </w:rPr>
      </w:pPr>
      <w:r w:rsidRPr="00C17C23">
        <w:rPr>
          <w:rStyle w:val="Strong"/>
        </w:rPr>
        <w:t>Criteria #5</w:t>
      </w:r>
      <w:r>
        <w:rPr>
          <w:rStyle w:val="Strong"/>
        </w:rPr>
        <w:t xml:space="preserve"> </w:t>
      </w:r>
      <w:r>
        <w:rPr>
          <w:rStyle w:val="AERbody"/>
        </w:rPr>
        <w:t xml:space="preserve">This criteria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p>
    <w:p w:rsidR="004A2D4E" w:rsidRPr="0006167F" w:rsidRDefault="004A2D4E" w:rsidP="004A2D4E">
      <w:pPr>
        <w:numPr>
          <w:ilvl w:val="0"/>
          <w:numId w:val="24"/>
        </w:numPr>
        <w:rPr>
          <w:rStyle w:val="AERbody"/>
        </w:rPr>
      </w:pPr>
      <w:r w:rsidRPr="00C17C23">
        <w:rPr>
          <w:rStyle w:val="Strong"/>
        </w:rPr>
        <w:t>Criteria #6</w:t>
      </w:r>
      <w:r>
        <w:rPr>
          <w:rStyle w:val="Strong"/>
        </w:rPr>
        <w:t xml:space="preserve"> </w:t>
      </w:r>
      <w:r>
        <w:rPr>
          <w:rStyle w:val="AERbody"/>
        </w:rPr>
        <w:t xml:space="preserve">Opex </w:t>
      </w:r>
    </w:p>
    <w:p w:rsidR="00F6362B" w:rsidRPr="003F20E1" w:rsidRDefault="00F6362B" w:rsidP="00F6362B">
      <w:pPr>
        <w:pStyle w:val="Heading2"/>
      </w:pPr>
      <w:bookmarkStart w:id="409" w:name="_Toc445801895"/>
      <w:r>
        <w:t xml:space="preserve">Large </w:t>
      </w:r>
      <w:r w:rsidRPr="00913481">
        <w:t>Statcom</w:t>
      </w:r>
      <w:bookmarkEnd w:id="409"/>
    </w:p>
    <w:p w:rsidR="00F6362B" w:rsidRPr="003F20E1" w:rsidRDefault="00F6362B" w:rsidP="00F6362B">
      <w:pPr>
        <w:pStyle w:val="Heading3"/>
      </w:pPr>
      <w:bookmarkStart w:id="410" w:name="_Toc445801896"/>
      <w:r w:rsidRPr="003F20E1">
        <w:t>Project overview</w:t>
      </w:r>
      <w:bookmarkEnd w:id="410"/>
    </w:p>
    <w:p w:rsidR="00F6362B" w:rsidRDefault="00F6362B" w:rsidP="00F6362B">
      <w:r w:rsidRPr="00F6362B">
        <w:t>The Large LV Statcom p</w:t>
      </w:r>
      <w:r>
        <w:t xml:space="preserve">roject will trial a three-phase </w:t>
      </w:r>
      <w:r w:rsidRPr="00F6362B">
        <w:t>300kVAR unit on the Ergon Energy network. The</w:t>
      </w:r>
      <w:r>
        <w:t xml:space="preserve"> </w:t>
      </w:r>
      <w:r w:rsidRPr="00F6362B">
        <w:t>main application is to support the voltage on a long</w:t>
      </w:r>
      <w:r>
        <w:t xml:space="preserve"> </w:t>
      </w:r>
      <w:r w:rsidRPr="00F6362B">
        <w:t>medium voltage rural feeder with voltage regulation</w:t>
      </w:r>
      <w:r>
        <w:t xml:space="preserve"> </w:t>
      </w:r>
      <w:r w:rsidRPr="00F6362B">
        <w:t>issues, partially due to higher penetration of PV, and</w:t>
      </w:r>
      <w:r>
        <w:t xml:space="preserve"> </w:t>
      </w:r>
      <w:r w:rsidRPr="00F6362B">
        <w:t>avoid the conventional network upgrade, which may</w:t>
      </w:r>
      <w:r>
        <w:t xml:space="preserve"> </w:t>
      </w:r>
      <w:r w:rsidRPr="00F6362B">
        <w:t>otherwise be required.</w:t>
      </w:r>
    </w:p>
    <w:p w:rsidR="00F6362B" w:rsidRDefault="00F6362B" w:rsidP="00F6362B">
      <w:pPr>
        <w:numPr>
          <w:ilvl w:val="0"/>
          <w:numId w:val="24"/>
        </w:numPr>
      </w:pPr>
      <w:r>
        <w:t>Ergon Energy claimed DMIA expenditure of $144 600 and $27 800 in 2013–14 and 2014–15 respectively for this project.</w:t>
      </w:r>
    </w:p>
    <w:p w:rsidR="00840AFA" w:rsidRDefault="00840AFA" w:rsidP="00840AFA"/>
    <w:p w:rsidR="00840AFA" w:rsidRDefault="00840AFA" w:rsidP="00840AFA"/>
    <w:p w:rsidR="00840AFA" w:rsidRPr="00D61E77" w:rsidRDefault="00840AFA" w:rsidP="00840AFA"/>
    <w:p w:rsidR="00F6362B" w:rsidRPr="003F20E1" w:rsidRDefault="00F6362B" w:rsidP="00F6362B">
      <w:pPr>
        <w:pStyle w:val="Heading3"/>
      </w:pPr>
      <w:bookmarkStart w:id="411" w:name="_Toc445801897"/>
      <w:r w:rsidRPr="003F20E1">
        <w:lastRenderedPageBreak/>
        <w:t>Assessment against DMIA criteria</w:t>
      </w:r>
      <w:bookmarkEnd w:id="411"/>
    </w:p>
    <w:p w:rsidR="00F6362B" w:rsidRDefault="00F6362B" w:rsidP="007B5E50">
      <w:r w:rsidRPr="00C17C23">
        <w:rPr>
          <w:rStyle w:val="Strong"/>
        </w:rPr>
        <w:t>Criteria #1</w:t>
      </w:r>
      <w:r w:rsidRPr="00C16206">
        <w:t xml:space="preserve"> </w:t>
      </w:r>
      <w:r w:rsidR="007B5E50" w:rsidRPr="007B5E50">
        <w:t>The</w:t>
      </w:r>
      <w:r w:rsidR="007B5E50">
        <w:t xml:space="preserve"> </w:t>
      </w:r>
      <w:r w:rsidR="007B5E50" w:rsidRPr="007B5E50">
        <w:t>main application is to support the voltage on a l</w:t>
      </w:r>
      <w:r w:rsidR="007B5E50">
        <w:t>o</w:t>
      </w:r>
      <w:r w:rsidR="007B5E50" w:rsidRPr="007B5E50">
        <w:t>ng</w:t>
      </w:r>
      <w:r w:rsidR="007B5E50">
        <w:t xml:space="preserve"> </w:t>
      </w:r>
      <w:r w:rsidR="007B5E50" w:rsidRPr="007B5E50">
        <w:t>medium voltage rural feeder with voltage regulation</w:t>
      </w:r>
      <w:r w:rsidR="007B5E50">
        <w:t xml:space="preserve"> </w:t>
      </w:r>
      <w:r w:rsidR="007B5E50" w:rsidRPr="007B5E50">
        <w:t>issues, partially due to higher penetration of PV, and</w:t>
      </w:r>
      <w:r w:rsidR="007B5E50">
        <w:t xml:space="preserve"> </w:t>
      </w:r>
      <w:r w:rsidR="007B5E50" w:rsidRPr="007B5E50">
        <w:t>avoid the conventional network upgrade, which may</w:t>
      </w:r>
      <w:r w:rsidR="007B5E50">
        <w:t xml:space="preserve"> </w:t>
      </w:r>
      <w:r w:rsidR="007B5E50" w:rsidRPr="007B5E50">
        <w:t>otherwise be required.</w:t>
      </w:r>
    </w:p>
    <w:p w:rsidR="00F6362B" w:rsidRPr="00C17C23" w:rsidRDefault="00F6362B" w:rsidP="00F6362B">
      <w:r>
        <w:rPr>
          <w:rStyle w:val="Strong"/>
        </w:rPr>
        <w:t>Criteria #</w:t>
      </w:r>
      <w:r w:rsidRPr="00C17C23">
        <w:rPr>
          <w:rStyle w:val="Strong"/>
        </w:rPr>
        <w:t xml:space="preserve">2 </w:t>
      </w:r>
      <w:r>
        <w:t xml:space="preserve">This is a broad-based demand management program. </w:t>
      </w:r>
    </w:p>
    <w:p w:rsidR="00F6362B" w:rsidRDefault="00F6362B" w:rsidP="00F6362B">
      <w:r>
        <w:rPr>
          <w:rStyle w:val="Strong"/>
        </w:rPr>
        <w:t xml:space="preserve">Criteria </w:t>
      </w:r>
      <w:r w:rsidRPr="00C17C23">
        <w:rPr>
          <w:rStyle w:val="Strong"/>
        </w:rPr>
        <w:t>#3</w:t>
      </w:r>
      <w:r>
        <w:rPr>
          <w:rStyle w:val="Strong"/>
        </w:rPr>
        <w:t xml:space="preserve"> </w:t>
      </w:r>
      <w:r>
        <w:t>This</w:t>
      </w:r>
      <w:r w:rsidRPr="00C16206">
        <w:t xml:space="preserve"> </w:t>
      </w:r>
      <w:r>
        <w:t xml:space="preserve">project </w:t>
      </w:r>
      <w:r w:rsidR="007B5E50">
        <w:t xml:space="preserve">will </w:t>
      </w:r>
      <w:r w:rsidR="007B5E50" w:rsidRPr="007B5E50">
        <w:t>support the voltage on a l</w:t>
      </w:r>
      <w:r w:rsidR="007B5E50">
        <w:t>o</w:t>
      </w:r>
      <w:r w:rsidR="007B5E50" w:rsidRPr="007B5E50">
        <w:t>ng</w:t>
      </w:r>
      <w:r w:rsidR="007B5E50">
        <w:t xml:space="preserve"> </w:t>
      </w:r>
      <w:r w:rsidR="007B5E50" w:rsidRPr="007B5E50">
        <w:t>medium voltage rural feeder with voltage regulation</w:t>
      </w:r>
      <w:r w:rsidR="007B5E50">
        <w:t xml:space="preserve"> </w:t>
      </w:r>
      <w:r w:rsidR="007B5E50" w:rsidRPr="007B5E50">
        <w:t>issues, and</w:t>
      </w:r>
      <w:r w:rsidR="007B5E50">
        <w:t xml:space="preserve"> </w:t>
      </w:r>
      <w:r w:rsidR="007B5E50" w:rsidRPr="007B5E50">
        <w:t>avoid the conventional network upgrade, which may</w:t>
      </w:r>
      <w:r w:rsidR="007B5E50">
        <w:t xml:space="preserve"> </w:t>
      </w:r>
      <w:r w:rsidR="007B5E50" w:rsidRPr="007B5E50">
        <w:t>otherwise be required.</w:t>
      </w:r>
    </w:p>
    <w:p w:rsidR="00F6362B" w:rsidRPr="00CD2645" w:rsidRDefault="00F6362B" w:rsidP="00F6362B">
      <w:pPr>
        <w:rPr>
          <w:rStyle w:val="AERbody"/>
        </w:rPr>
      </w:pPr>
      <w:r w:rsidRPr="00C17C23">
        <w:rPr>
          <w:rStyle w:val="Strong"/>
        </w:rPr>
        <w:t>Criteria #4</w:t>
      </w:r>
      <w:r>
        <w:rPr>
          <w:rStyle w:val="Strong"/>
        </w:rPr>
        <w:t xml:space="preserve"> </w:t>
      </w:r>
      <w:r>
        <w:rPr>
          <w:rStyle w:val="AERbody"/>
        </w:rPr>
        <w:t>Non-tariff based</w:t>
      </w:r>
    </w:p>
    <w:p w:rsidR="00F6362B" w:rsidRPr="00CD2645" w:rsidRDefault="00F6362B" w:rsidP="00F6362B">
      <w:pPr>
        <w:rPr>
          <w:rStyle w:val="AERbody"/>
        </w:rPr>
      </w:pPr>
      <w:r w:rsidRPr="00C17C23">
        <w:rPr>
          <w:rStyle w:val="Strong"/>
        </w:rPr>
        <w:t>Criteria #5</w:t>
      </w:r>
      <w:r>
        <w:rPr>
          <w:rStyle w:val="Strong"/>
        </w:rPr>
        <w:t xml:space="preserve"> </w:t>
      </w:r>
      <w:r>
        <w:rPr>
          <w:rStyle w:val="AERbody"/>
        </w:rPr>
        <w:t xml:space="preserve">This criteria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p>
    <w:p w:rsidR="00F6362B" w:rsidRPr="0006167F" w:rsidRDefault="00F6362B" w:rsidP="00F6362B">
      <w:pPr>
        <w:numPr>
          <w:ilvl w:val="0"/>
          <w:numId w:val="24"/>
        </w:numPr>
        <w:rPr>
          <w:rStyle w:val="AERbody"/>
        </w:rPr>
      </w:pPr>
      <w:r w:rsidRPr="00C17C23">
        <w:rPr>
          <w:rStyle w:val="Strong"/>
        </w:rPr>
        <w:t>Criteria #6</w:t>
      </w:r>
      <w:r>
        <w:rPr>
          <w:rStyle w:val="Strong"/>
        </w:rPr>
        <w:t xml:space="preserve"> </w:t>
      </w:r>
      <w:r>
        <w:rPr>
          <w:rStyle w:val="AERbody"/>
        </w:rPr>
        <w:t xml:space="preserve">Opex </w:t>
      </w:r>
    </w:p>
    <w:p w:rsidR="00B602F4" w:rsidRPr="003F20E1" w:rsidRDefault="00B602F4" w:rsidP="00B602F4">
      <w:pPr>
        <w:pStyle w:val="Heading2"/>
      </w:pPr>
      <w:bookmarkStart w:id="412" w:name="_Toc445801898"/>
      <w:r w:rsidRPr="00B602F4">
        <w:t>Customer PV Voltage Control</w:t>
      </w:r>
      <w:bookmarkEnd w:id="412"/>
    </w:p>
    <w:p w:rsidR="00B602F4" w:rsidRPr="003F20E1" w:rsidRDefault="00B602F4" w:rsidP="00B602F4">
      <w:pPr>
        <w:pStyle w:val="Heading3"/>
      </w:pPr>
      <w:bookmarkStart w:id="413" w:name="_Toc445801899"/>
      <w:r w:rsidRPr="003F20E1">
        <w:t>Project overview</w:t>
      </w:r>
      <w:bookmarkEnd w:id="413"/>
    </w:p>
    <w:p w:rsidR="00B602F4" w:rsidRDefault="00B602F4" w:rsidP="00B602F4">
      <w:r w:rsidRPr="00B602F4">
        <w:t>The project aims to te</w:t>
      </w:r>
      <w:r>
        <w:t xml:space="preserve">st and evaluate the suitability </w:t>
      </w:r>
      <w:r w:rsidRPr="00B602F4">
        <w:t>of using customer-owned inverters to self-manage</w:t>
      </w:r>
      <w:r>
        <w:t xml:space="preserve"> </w:t>
      </w:r>
      <w:r w:rsidRPr="00B602F4">
        <w:t>their voltage levels on the LV network. The project has two main stages of the evaluation:</w:t>
      </w:r>
      <w:r>
        <w:t xml:space="preserve"> f</w:t>
      </w:r>
      <w:r w:rsidRPr="00B602F4">
        <w:t>ixed non unity power factor</w:t>
      </w:r>
      <w:r>
        <w:t xml:space="preserve"> and d</w:t>
      </w:r>
      <w:r w:rsidRPr="00B602F4">
        <w:t>ynamic control functionality</w:t>
      </w:r>
      <w:r>
        <w:t>.</w:t>
      </w:r>
    </w:p>
    <w:p w:rsidR="00B602F4" w:rsidRPr="00D61E77" w:rsidRDefault="00B602F4" w:rsidP="00B602F4">
      <w:pPr>
        <w:numPr>
          <w:ilvl w:val="0"/>
          <w:numId w:val="24"/>
        </w:numPr>
      </w:pPr>
      <w:r>
        <w:t>Ergon Energy claimed DMIA expenditure of $</w:t>
      </w:r>
      <w:r w:rsidR="006D1028">
        <w:t>135</w:t>
      </w:r>
      <w:r>
        <w:t xml:space="preserve"> </w:t>
      </w:r>
      <w:r w:rsidR="00C5022E">
        <w:t>0</w:t>
      </w:r>
      <w:r>
        <w:t>00 and $</w:t>
      </w:r>
      <w:r w:rsidR="006D1028">
        <w:t>63</w:t>
      </w:r>
      <w:r>
        <w:t xml:space="preserve"> </w:t>
      </w:r>
      <w:r w:rsidR="006D1028">
        <w:t>3</w:t>
      </w:r>
      <w:r>
        <w:t>00 in 2013–14 and 2014–15 respectively for this project.</w:t>
      </w:r>
    </w:p>
    <w:p w:rsidR="00B602F4" w:rsidRPr="003F20E1" w:rsidRDefault="00B602F4" w:rsidP="00B602F4">
      <w:pPr>
        <w:pStyle w:val="Heading3"/>
      </w:pPr>
      <w:bookmarkStart w:id="414" w:name="_Toc445801900"/>
      <w:r w:rsidRPr="003F20E1">
        <w:t>Assessment against DMIA criteria</w:t>
      </w:r>
      <w:bookmarkEnd w:id="414"/>
    </w:p>
    <w:p w:rsidR="006D1028" w:rsidRDefault="00B602F4" w:rsidP="006D1028">
      <w:r w:rsidRPr="00C17C23">
        <w:rPr>
          <w:rStyle w:val="Strong"/>
        </w:rPr>
        <w:t>Criteria #1</w:t>
      </w:r>
      <w:r w:rsidRPr="00C16206">
        <w:t xml:space="preserve"> </w:t>
      </w:r>
      <w:r w:rsidR="006D1028" w:rsidRPr="006D1028">
        <w:t>The project aims to te</w:t>
      </w:r>
      <w:r w:rsidR="006D1028">
        <w:t xml:space="preserve">st and evaluate the suitability </w:t>
      </w:r>
      <w:r w:rsidR="006D1028" w:rsidRPr="006D1028">
        <w:t>of using customer-owned inverters to self-manage</w:t>
      </w:r>
      <w:r w:rsidR="006D1028">
        <w:t xml:space="preserve"> </w:t>
      </w:r>
      <w:r w:rsidR="006D1028" w:rsidRPr="006D1028">
        <w:t>their voltage levels on the LV network</w:t>
      </w:r>
      <w:r w:rsidR="006D1028">
        <w:t>.</w:t>
      </w:r>
    </w:p>
    <w:p w:rsidR="00B602F4" w:rsidRPr="00C17C23" w:rsidRDefault="00B602F4" w:rsidP="00B602F4">
      <w:r>
        <w:rPr>
          <w:rStyle w:val="Strong"/>
        </w:rPr>
        <w:t>Criteria #</w:t>
      </w:r>
      <w:r w:rsidRPr="00C17C23">
        <w:rPr>
          <w:rStyle w:val="Strong"/>
        </w:rPr>
        <w:t xml:space="preserve">2 </w:t>
      </w:r>
      <w:r>
        <w:t xml:space="preserve">This is a broad-based demand management program. </w:t>
      </w:r>
    </w:p>
    <w:p w:rsidR="00B602F4" w:rsidRDefault="00B602F4" w:rsidP="006D1028">
      <w:r>
        <w:rPr>
          <w:rStyle w:val="Strong"/>
        </w:rPr>
        <w:t xml:space="preserve">Criteria </w:t>
      </w:r>
      <w:r w:rsidRPr="00C17C23">
        <w:rPr>
          <w:rStyle w:val="Strong"/>
        </w:rPr>
        <w:t>#3</w:t>
      </w:r>
      <w:r>
        <w:rPr>
          <w:rStyle w:val="Strong"/>
        </w:rPr>
        <w:t xml:space="preserve"> </w:t>
      </w:r>
      <w:r w:rsidR="006D1028">
        <w:t>This project aimed to a</w:t>
      </w:r>
      <w:r w:rsidR="006D1028" w:rsidRPr="006D1028">
        <w:t xml:space="preserve">void </w:t>
      </w:r>
      <w:r w:rsidR="006D1028">
        <w:t>v</w:t>
      </w:r>
      <w:r w:rsidR="006D1028" w:rsidRPr="006D1028">
        <w:t xml:space="preserve">oltage </w:t>
      </w:r>
      <w:r w:rsidR="006D1028">
        <w:t>r</w:t>
      </w:r>
      <w:r w:rsidR="006D1028" w:rsidRPr="006D1028">
        <w:t xml:space="preserve">ise issues </w:t>
      </w:r>
      <w:r w:rsidR="006D1028">
        <w:t xml:space="preserve">using </w:t>
      </w:r>
      <w:r w:rsidR="006D1028" w:rsidRPr="006D1028">
        <w:t>customer owned inverters with Reactive Power</w:t>
      </w:r>
      <w:r w:rsidR="006D1028">
        <w:t xml:space="preserve"> </w:t>
      </w:r>
      <w:r w:rsidR="006D1028" w:rsidRPr="006D1028">
        <w:t>functionality to self-manage their voltage levels on</w:t>
      </w:r>
      <w:r w:rsidR="006D1028">
        <w:t xml:space="preserve"> </w:t>
      </w:r>
      <w:r w:rsidR="006D1028" w:rsidRPr="006D1028">
        <w:t>the LV network</w:t>
      </w:r>
      <w:r w:rsidR="006D1028">
        <w:t xml:space="preserve"> and avoid </w:t>
      </w:r>
      <w:r w:rsidR="006D1028" w:rsidRPr="006D1028">
        <w:t>expensive network upgrades</w:t>
      </w:r>
      <w:r w:rsidR="006D1028">
        <w:t>.</w:t>
      </w:r>
    </w:p>
    <w:p w:rsidR="00B602F4" w:rsidRPr="00CD2645" w:rsidRDefault="00B602F4" w:rsidP="00B602F4">
      <w:pPr>
        <w:rPr>
          <w:rStyle w:val="AERbody"/>
        </w:rPr>
      </w:pPr>
      <w:r w:rsidRPr="00C17C23">
        <w:rPr>
          <w:rStyle w:val="Strong"/>
        </w:rPr>
        <w:t>Criteria #4</w:t>
      </w:r>
      <w:r>
        <w:rPr>
          <w:rStyle w:val="Strong"/>
        </w:rPr>
        <w:t xml:space="preserve"> </w:t>
      </w:r>
      <w:r>
        <w:rPr>
          <w:rStyle w:val="AERbody"/>
        </w:rPr>
        <w:t>Non-tariff based</w:t>
      </w:r>
    </w:p>
    <w:p w:rsidR="00B602F4" w:rsidRPr="00CD2645" w:rsidRDefault="00B602F4" w:rsidP="00B602F4">
      <w:pPr>
        <w:rPr>
          <w:rStyle w:val="AERbody"/>
        </w:rPr>
      </w:pPr>
      <w:r w:rsidRPr="00C17C23">
        <w:rPr>
          <w:rStyle w:val="Strong"/>
        </w:rPr>
        <w:t>Criteria #5</w:t>
      </w:r>
      <w:r>
        <w:rPr>
          <w:rStyle w:val="Strong"/>
        </w:rPr>
        <w:t xml:space="preserve"> </w:t>
      </w:r>
      <w:r>
        <w:rPr>
          <w:rStyle w:val="AERbody"/>
        </w:rPr>
        <w:t xml:space="preserve">This criteria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p>
    <w:p w:rsidR="00B602F4" w:rsidRDefault="00B602F4" w:rsidP="00B602F4">
      <w:pPr>
        <w:numPr>
          <w:ilvl w:val="0"/>
          <w:numId w:val="24"/>
        </w:numPr>
        <w:rPr>
          <w:rStyle w:val="AERbody"/>
        </w:rPr>
      </w:pPr>
      <w:r w:rsidRPr="00C17C23">
        <w:rPr>
          <w:rStyle w:val="Strong"/>
        </w:rPr>
        <w:t>Criteria #6</w:t>
      </w:r>
      <w:r>
        <w:rPr>
          <w:rStyle w:val="Strong"/>
        </w:rPr>
        <w:t xml:space="preserve"> </w:t>
      </w:r>
      <w:r>
        <w:rPr>
          <w:rStyle w:val="AERbody"/>
        </w:rPr>
        <w:t xml:space="preserve">Opex </w:t>
      </w:r>
    </w:p>
    <w:p w:rsidR="00BF10AC" w:rsidRPr="003F20E1" w:rsidRDefault="00BF10AC" w:rsidP="00BF10AC">
      <w:pPr>
        <w:pStyle w:val="Heading2"/>
      </w:pPr>
      <w:bookmarkStart w:id="415" w:name="_Toc445801901"/>
      <w:r w:rsidRPr="00B602F4">
        <w:lastRenderedPageBreak/>
        <w:t>Control</w:t>
      </w:r>
      <w:r w:rsidRPr="00BF10AC">
        <w:t xml:space="preserve"> Solar Energy Management system</w:t>
      </w:r>
      <w:bookmarkEnd w:id="415"/>
    </w:p>
    <w:p w:rsidR="00BF10AC" w:rsidRPr="003F20E1" w:rsidRDefault="00BF10AC" w:rsidP="00BF10AC">
      <w:pPr>
        <w:pStyle w:val="Heading3"/>
      </w:pPr>
      <w:bookmarkStart w:id="416" w:name="_Toc445801902"/>
      <w:r w:rsidRPr="003F20E1">
        <w:t>Project overview</w:t>
      </w:r>
      <w:bookmarkEnd w:id="416"/>
    </w:p>
    <w:p w:rsidR="00BF10AC" w:rsidRDefault="00077095" w:rsidP="00077095">
      <w:r w:rsidRPr="00077095">
        <w:t>This project represents development of a solar system with a Solar Energy Management</w:t>
      </w:r>
      <w:r w:rsidR="0073007D">
        <w:t xml:space="preserve"> </w:t>
      </w:r>
      <w:r w:rsidRPr="00077095">
        <w:t>(SEM) controller that is capable of continuous</w:t>
      </w:r>
      <w:r w:rsidR="0073007D">
        <w:t xml:space="preserve"> </w:t>
      </w:r>
      <w:r w:rsidRPr="00077095">
        <w:t>operation, overcoming solar intermittency,</w:t>
      </w:r>
      <w:r w:rsidR="0073007D">
        <w:t xml:space="preserve"> </w:t>
      </w:r>
      <w:r w:rsidRPr="00077095">
        <w:t>displacement of electrical consumption, increasing</w:t>
      </w:r>
      <w:r w:rsidR="0073007D">
        <w:t xml:space="preserve"> </w:t>
      </w:r>
      <w:r w:rsidRPr="00077095">
        <w:t>the penetration of cost-effective renewable energy</w:t>
      </w:r>
      <w:r w:rsidR="0073007D">
        <w:t xml:space="preserve"> </w:t>
      </w:r>
      <w:r w:rsidRPr="00077095">
        <w:t>technology, and providing reliable renewable energy</w:t>
      </w:r>
      <w:r w:rsidR="0073007D">
        <w:t>.</w:t>
      </w:r>
    </w:p>
    <w:p w:rsidR="00BF10AC" w:rsidRPr="00D61E77" w:rsidRDefault="00BF10AC" w:rsidP="00BF10AC">
      <w:pPr>
        <w:numPr>
          <w:ilvl w:val="0"/>
          <w:numId w:val="24"/>
        </w:numPr>
      </w:pPr>
      <w:r>
        <w:t>Ergon Energy claimed DMIA expenditure of $</w:t>
      </w:r>
      <w:r w:rsidR="0073007D">
        <w:t>30</w:t>
      </w:r>
      <w:r>
        <w:t xml:space="preserve"> </w:t>
      </w:r>
      <w:r w:rsidR="0073007D">
        <w:t>5</w:t>
      </w:r>
      <w:r>
        <w:t>00 and $</w:t>
      </w:r>
      <w:r w:rsidR="0073007D">
        <w:t>30</w:t>
      </w:r>
      <w:r>
        <w:t xml:space="preserve"> </w:t>
      </w:r>
      <w:r w:rsidR="0073007D">
        <w:t>2</w:t>
      </w:r>
      <w:r>
        <w:t>00 in 2013–14 and 2014–15 respectively for this project.</w:t>
      </w:r>
    </w:p>
    <w:p w:rsidR="00BF10AC" w:rsidRPr="003F20E1" w:rsidRDefault="00BF10AC" w:rsidP="00BF10AC">
      <w:pPr>
        <w:pStyle w:val="Heading3"/>
      </w:pPr>
      <w:bookmarkStart w:id="417" w:name="_Toc445801903"/>
      <w:r w:rsidRPr="003F20E1">
        <w:t>Assessment against DMIA criteria</w:t>
      </w:r>
      <w:bookmarkEnd w:id="417"/>
    </w:p>
    <w:p w:rsidR="00BF10AC" w:rsidRDefault="00BF10AC" w:rsidP="0073007D">
      <w:r w:rsidRPr="00C17C23">
        <w:rPr>
          <w:rStyle w:val="Strong"/>
        </w:rPr>
        <w:t>Criteria #1</w:t>
      </w:r>
      <w:r w:rsidRPr="00C16206">
        <w:t xml:space="preserve"> </w:t>
      </w:r>
      <w:r w:rsidR="0073007D" w:rsidRPr="0073007D">
        <w:t>As a utility energy management tool the system is</w:t>
      </w:r>
      <w:r w:rsidR="0073007D">
        <w:t xml:space="preserve"> </w:t>
      </w:r>
      <w:r w:rsidR="0073007D" w:rsidRPr="0073007D">
        <w:t>capable of simultaneously satisfying both renewable</w:t>
      </w:r>
      <w:r w:rsidR="0073007D">
        <w:t xml:space="preserve"> e</w:t>
      </w:r>
      <w:r w:rsidR="0073007D" w:rsidRPr="0073007D">
        <w:t>nergy supply and electricity network demand</w:t>
      </w:r>
      <w:r w:rsidR="0073007D">
        <w:t xml:space="preserve"> </w:t>
      </w:r>
      <w:r w:rsidR="0073007D" w:rsidRPr="0073007D">
        <w:t>management objectives.</w:t>
      </w:r>
    </w:p>
    <w:p w:rsidR="00BF10AC" w:rsidRPr="00C17C23" w:rsidRDefault="00BF10AC" w:rsidP="00BF10AC">
      <w:r>
        <w:rPr>
          <w:rStyle w:val="Strong"/>
        </w:rPr>
        <w:t>Criteria #</w:t>
      </w:r>
      <w:r w:rsidRPr="00C17C23">
        <w:rPr>
          <w:rStyle w:val="Strong"/>
        </w:rPr>
        <w:t xml:space="preserve">2 </w:t>
      </w:r>
      <w:r>
        <w:t xml:space="preserve">This is a broad-based demand management program. </w:t>
      </w:r>
    </w:p>
    <w:p w:rsidR="00BF10AC" w:rsidRDefault="00BF10AC" w:rsidP="002D3C14">
      <w:r>
        <w:rPr>
          <w:rStyle w:val="Strong"/>
        </w:rPr>
        <w:t xml:space="preserve">Criteria </w:t>
      </w:r>
      <w:r w:rsidRPr="00C17C23">
        <w:rPr>
          <w:rStyle w:val="Strong"/>
        </w:rPr>
        <w:t>#3</w:t>
      </w:r>
      <w:r>
        <w:rPr>
          <w:rStyle w:val="Strong"/>
        </w:rPr>
        <w:t xml:space="preserve"> </w:t>
      </w:r>
      <w:r>
        <w:t>This project</w:t>
      </w:r>
      <w:r w:rsidR="002D3C14" w:rsidRPr="002D3C14">
        <w:t xml:space="preserve"> will</w:t>
      </w:r>
      <w:r w:rsidR="002D3C14">
        <w:t xml:space="preserve"> </w:t>
      </w:r>
      <w:r w:rsidR="002D3C14" w:rsidRPr="002D3C14">
        <w:t>assist in determining the opportunity to develop a</w:t>
      </w:r>
      <w:r w:rsidR="002D3C14">
        <w:t xml:space="preserve"> </w:t>
      </w:r>
      <w:r w:rsidR="002D3C14" w:rsidRPr="002D3C14">
        <w:t>solution for residential air conditioning that removes</w:t>
      </w:r>
      <w:r w:rsidR="002D3C14">
        <w:t xml:space="preserve"> </w:t>
      </w:r>
      <w:r w:rsidR="002D3C14" w:rsidRPr="002D3C14">
        <w:t>the electrical demand from the distribution network</w:t>
      </w:r>
      <w:r w:rsidR="002D3C14">
        <w:t xml:space="preserve"> </w:t>
      </w:r>
      <w:r w:rsidR="002D3C14" w:rsidRPr="002D3C14">
        <w:t>when needed.</w:t>
      </w:r>
    </w:p>
    <w:p w:rsidR="00BF10AC" w:rsidRPr="00CD2645" w:rsidRDefault="00BF10AC" w:rsidP="00BF10AC">
      <w:pPr>
        <w:rPr>
          <w:rStyle w:val="AERbody"/>
        </w:rPr>
      </w:pPr>
      <w:r w:rsidRPr="00C17C23">
        <w:rPr>
          <w:rStyle w:val="Strong"/>
        </w:rPr>
        <w:t>Criteria #4</w:t>
      </w:r>
      <w:r>
        <w:rPr>
          <w:rStyle w:val="Strong"/>
        </w:rPr>
        <w:t xml:space="preserve"> </w:t>
      </w:r>
      <w:r>
        <w:rPr>
          <w:rStyle w:val="AERbody"/>
        </w:rPr>
        <w:t>Non-tariff based</w:t>
      </w:r>
    </w:p>
    <w:p w:rsidR="00BF10AC" w:rsidRPr="00CD2645" w:rsidRDefault="00BF10AC" w:rsidP="00BF10AC">
      <w:pPr>
        <w:rPr>
          <w:rStyle w:val="AERbody"/>
        </w:rPr>
      </w:pPr>
      <w:r w:rsidRPr="00C17C23">
        <w:rPr>
          <w:rStyle w:val="Strong"/>
        </w:rPr>
        <w:t>Criteria #5</w:t>
      </w:r>
      <w:r>
        <w:rPr>
          <w:rStyle w:val="Strong"/>
        </w:rPr>
        <w:t xml:space="preserve"> </w:t>
      </w:r>
      <w:r>
        <w:rPr>
          <w:rStyle w:val="AERbody"/>
        </w:rPr>
        <w:t xml:space="preserve">This criteria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p>
    <w:p w:rsidR="00BF10AC" w:rsidRPr="0006167F" w:rsidRDefault="00BF10AC" w:rsidP="00BF10AC">
      <w:pPr>
        <w:numPr>
          <w:ilvl w:val="0"/>
          <w:numId w:val="24"/>
        </w:numPr>
        <w:rPr>
          <w:rStyle w:val="AERbody"/>
        </w:rPr>
      </w:pPr>
      <w:r w:rsidRPr="00C17C23">
        <w:rPr>
          <w:rStyle w:val="Strong"/>
        </w:rPr>
        <w:t>Criteria #6</w:t>
      </w:r>
      <w:r>
        <w:rPr>
          <w:rStyle w:val="Strong"/>
        </w:rPr>
        <w:t xml:space="preserve"> </w:t>
      </w:r>
      <w:r>
        <w:rPr>
          <w:rStyle w:val="AERbody"/>
        </w:rPr>
        <w:t xml:space="preserve">Opex </w:t>
      </w:r>
    </w:p>
    <w:p w:rsidR="00443928" w:rsidRPr="003F20E1" w:rsidRDefault="00443928" w:rsidP="00443928">
      <w:pPr>
        <w:pStyle w:val="Heading2"/>
      </w:pPr>
      <w:bookmarkStart w:id="418" w:name="_Toc445801904"/>
      <w:r w:rsidRPr="00443928">
        <w:t>Adaptive LED Streetlight Systems</w:t>
      </w:r>
      <w:bookmarkEnd w:id="418"/>
    </w:p>
    <w:p w:rsidR="00443928" w:rsidRPr="003F20E1" w:rsidRDefault="00443928" w:rsidP="00443928">
      <w:pPr>
        <w:pStyle w:val="Heading3"/>
      </w:pPr>
      <w:bookmarkStart w:id="419" w:name="_Toc445801905"/>
      <w:r w:rsidRPr="003F20E1">
        <w:t>Project overview</w:t>
      </w:r>
      <w:bookmarkEnd w:id="419"/>
    </w:p>
    <w:p w:rsidR="00DF047B" w:rsidRDefault="00DF047B" w:rsidP="001D1770">
      <w:r w:rsidRPr="00DF047B">
        <w:t>The Adaptive LED Streetlight Systems project will validate 'smart' lighting system performance in both laboratory and field conditions. This Adaptive LED Streetlight Systems project will</w:t>
      </w:r>
      <w:r>
        <w:t xml:space="preserve"> </w:t>
      </w:r>
      <w:r w:rsidRPr="00DF047B">
        <w:t>validate their performance and builds off previous</w:t>
      </w:r>
      <w:r>
        <w:t xml:space="preserve"> </w:t>
      </w:r>
      <w:r w:rsidRPr="00DF047B">
        <w:t>and recent trials. Successful completion of the</w:t>
      </w:r>
      <w:r>
        <w:t xml:space="preserve"> </w:t>
      </w:r>
      <w:r w:rsidRPr="00DF047B">
        <w:t>project will lead to a deployable product that provides</w:t>
      </w:r>
      <w:r>
        <w:t xml:space="preserve"> </w:t>
      </w:r>
      <w:r w:rsidRPr="00DF047B">
        <w:t>benefit to public lighting customers and Ergon</w:t>
      </w:r>
      <w:r>
        <w:t xml:space="preserve"> </w:t>
      </w:r>
      <w:r w:rsidRPr="00DF047B">
        <w:t>Energy.</w:t>
      </w:r>
      <w:r w:rsidR="001D1770" w:rsidRPr="001D1770">
        <w:t xml:space="preserve"> </w:t>
      </w:r>
      <w:r w:rsidR="001D1770">
        <w:t xml:space="preserve">This project aims to </w:t>
      </w:r>
      <w:r w:rsidR="001D1770" w:rsidRPr="001D1770">
        <w:t>demonstrate the enhanced LED light control</w:t>
      </w:r>
      <w:r w:rsidR="001D1770">
        <w:t xml:space="preserve"> </w:t>
      </w:r>
      <w:r w:rsidR="001D1770" w:rsidRPr="001D1770">
        <w:t>systems ability to further increase energy and</w:t>
      </w:r>
      <w:r w:rsidR="001D1770">
        <w:t xml:space="preserve"> </w:t>
      </w:r>
      <w:r w:rsidR="001D1770" w:rsidRPr="001D1770">
        <w:t>demand savings, from 60% with its current LED</w:t>
      </w:r>
      <w:r w:rsidR="001D1770">
        <w:t xml:space="preserve"> </w:t>
      </w:r>
      <w:r w:rsidR="001D1770" w:rsidRPr="001D1770">
        <w:t>luminaire to 80% with the adaptive light control</w:t>
      </w:r>
      <w:r w:rsidR="001D1770">
        <w:t xml:space="preserve"> </w:t>
      </w:r>
      <w:r w:rsidR="001D1770" w:rsidRPr="001D1770">
        <w:t>system.</w:t>
      </w:r>
    </w:p>
    <w:p w:rsidR="00443928" w:rsidRPr="00D61E77" w:rsidRDefault="00443928" w:rsidP="00DF047B">
      <w:pPr>
        <w:numPr>
          <w:ilvl w:val="0"/>
          <w:numId w:val="24"/>
        </w:numPr>
      </w:pPr>
      <w:r>
        <w:t>Ergon Energy claimed DMIA expenditure of $</w:t>
      </w:r>
      <w:r w:rsidR="004C5DF5">
        <w:t>17 902</w:t>
      </w:r>
      <w:r>
        <w:t xml:space="preserve"> and $</w:t>
      </w:r>
      <w:r w:rsidR="004C5DF5">
        <w:t>90</w:t>
      </w:r>
      <w:r>
        <w:t xml:space="preserve"> </w:t>
      </w:r>
      <w:r w:rsidR="004C5DF5">
        <w:t>9</w:t>
      </w:r>
      <w:r>
        <w:t>00 in 2013–14 and 2014–15 respectively for this project.</w:t>
      </w:r>
    </w:p>
    <w:p w:rsidR="00443928" w:rsidRPr="003F20E1" w:rsidRDefault="00443928" w:rsidP="00443928">
      <w:pPr>
        <w:pStyle w:val="Heading3"/>
      </w:pPr>
      <w:bookmarkStart w:id="420" w:name="_Toc445801906"/>
      <w:r w:rsidRPr="003F20E1">
        <w:lastRenderedPageBreak/>
        <w:t>Assessment against DMIA criteria</w:t>
      </w:r>
      <w:bookmarkEnd w:id="420"/>
    </w:p>
    <w:p w:rsidR="001D1770" w:rsidRDefault="00443928" w:rsidP="001D1770">
      <w:r w:rsidRPr="00C17C23">
        <w:rPr>
          <w:rStyle w:val="Strong"/>
        </w:rPr>
        <w:t>Criteria #1</w:t>
      </w:r>
      <w:r w:rsidRPr="00C16206">
        <w:t xml:space="preserve"> </w:t>
      </w:r>
      <w:r w:rsidR="001D1770">
        <w:t xml:space="preserve">This </w:t>
      </w:r>
      <w:r w:rsidR="001D1770" w:rsidRPr="00DF047B">
        <w:t>project will lead to a deployable product that provides</w:t>
      </w:r>
      <w:r w:rsidR="001D1770">
        <w:t xml:space="preserve"> </w:t>
      </w:r>
      <w:r w:rsidR="001D1770" w:rsidRPr="00DF047B">
        <w:t>benefit to public lighting customers and Ergon</w:t>
      </w:r>
      <w:r w:rsidR="001D1770">
        <w:t xml:space="preserve"> </w:t>
      </w:r>
      <w:r w:rsidR="001D1770" w:rsidRPr="00DF047B">
        <w:t>Energy.</w:t>
      </w:r>
    </w:p>
    <w:p w:rsidR="00443928" w:rsidRPr="00C17C23" w:rsidRDefault="00443928" w:rsidP="00443928">
      <w:r>
        <w:rPr>
          <w:rStyle w:val="Strong"/>
        </w:rPr>
        <w:t>Criteria #</w:t>
      </w:r>
      <w:r w:rsidRPr="00C17C23">
        <w:rPr>
          <w:rStyle w:val="Strong"/>
        </w:rPr>
        <w:t xml:space="preserve">2 </w:t>
      </w:r>
      <w:r>
        <w:t xml:space="preserve">This is a broad-based demand management program. </w:t>
      </w:r>
    </w:p>
    <w:p w:rsidR="00443928" w:rsidRDefault="00443928" w:rsidP="001D1770">
      <w:r>
        <w:rPr>
          <w:rStyle w:val="Strong"/>
        </w:rPr>
        <w:t xml:space="preserve">Criteria </w:t>
      </w:r>
      <w:r w:rsidRPr="00C17C23">
        <w:rPr>
          <w:rStyle w:val="Strong"/>
        </w:rPr>
        <w:t>#3</w:t>
      </w:r>
      <w:r>
        <w:rPr>
          <w:rStyle w:val="Strong"/>
        </w:rPr>
        <w:t xml:space="preserve"> </w:t>
      </w:r>
      <w:r>
        <w:t>This project</w:t>
      </w:r>
      <w:r w:rsidR="001D1770">
        <w:t xml:space="preserve"> will </w:t>
      </w:r>
      <w:r w:rsidR="001D1770" w:rsidRPr="001D1770">
        <w:t>demonstrate the enhanced LED light control</w:t>
      </w:r>
      <w:r w:rsidR="001D1770">
        <w:t xml:space="preserve"> </w:t>
      </w:r>
      <w:r w:rsidR="001D1770" w:rsidRPr="001D1770">
        <w:t>systems ability to further increase energy and</w:t>
      </w:r>
      <w:r w:rsidR="001D1770">
        <w:t xml:space="preserve"> demand savings.</w:t>
      </w:r>
      <w:r w:rsidR="001D1770" w:rsidRPr="001D1770">
        <w:t xml:space="preserve"> </w:t>
      </w:r>
    </w:p>
    <w:p w:rsidR="00443928" w:rsidRPr="00CD2645" w:rsidRDefault="00443928" w:rsidP="00443928">
      <w:pPr>
        <w:rPr>
          <w:rStyle w:val="AERbody"/>
        </w:rPr>
      </w:pPr>
      <w:r w:rsidRPr="00C17C23">
        <w:rPr>
          <w:rStyle w:val="Strong"/>
        </w:rPr>
        <w:t>Criteria #4</w:t>
      </w:r>
      <w:r>
        <w:rPr>
          <w:rStyle w:val="Strong"/>
        </w:rPr>
        <w:t xml:space="preserve"> </w:t>
      </w:r>
      <w:r>
        <w:rPr>
          <w:rStyle w:val="AERbody"/>
        </w:rPr>
        <w:t>Non-tariff based</w:t>
      </w:r>
    </w:p>
    <w:p w:rsidR="00443928" w:rsidRPr="00CD2645" w:rsidRDefault="00443928" w:rsidP="00443928">
      <w:pPr>
        <w:rPr>
          <w:rStyle w:val="AERbody"/>
        </w:rPr>
      </w:pPr>
      <w:r w:rsidRPr="00C17C23">
        <w:rPr>
          <w:rStyle w:val="Strong"/>
        </w:rPr>
        <w:t>Criteria #5</w:t>
      </w:r>
      <w:r>
        <w:rPr>
          <w:rStyle w:val="Strong"/>
        </w:rPr>
        <w:t xml:space="preserve"> </w:t>
      </w:r>
      <w:r>
        <w:rPr>
          <w:rStyle w:val="AERbody"/>
        </w:rPr>
        <w:t xml:space="preserve">This criteria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p>
    <w:p w:rsidR="00443928" w:rsidRDefault="00443928" w:rsidP="00443928">
      <w:pPr>
        <w:numPr>
          <w:ilvl w:val="0"/>
          <w:numId w:val="24"/>
        </w:numPr>
        <w:rPr>
          <w:rStyle w:val="AERbody"/>
        </w:rPr>
      </w:pPr>
      <w:r w:rsidRPr="00C17C23">
        <w:rPr>
          <w:rStyle w:val="Strong"/>
        </w:rPr>
        <w:t>Criteria #6</w:t>
      </w:r>
      <w:r>
        <w:rPr>
          <w:rStyle w:val="Strong"/>
        </w:rPr>
        <w:t xml:space="preserve"> </w:t>
      </w:r>
      <w:r>
        <w:rPr>
          <w:rStyle w:val="AERbody"/>
        </w:rPr>
        <w:t xml:space="preserve">Opex </w:t>
      </w:r>
    </w:p>
    <w:p w:rsidR="00DE6D0C" w:rsidRDefault="00DE6D0C" w:rsidP="00DE6D0C">
      <w:pPr>
        <w:pStyle w:val="Caption"/>
        <w:numPr>
          <w:ilvl w:val="0"/>
          <w:numId w:val="24"/>
        </w:numPr>
      </w:pPr>
      <w:r>
        <w:t>Projects undertaken for 2013–14</w:t>
      </w:r>
    </w:p>
    <w:p w:rsidR="00EC6EA6" w:rsidRPr="003F20E1" w:rsidRDefault="00EC6EA6" w:rsidP="00EC6EA6">
      <w:pPr>
        <w:pStyle w:val="Heading2"/>
      </w:pPr>
      <w:bookmarkStart w:id="421" w:name="_Toc445801907"/>
      <w:bookmarkStart w:id="422" w:name="_Toc392751233"/>
      <w:r w:rsidRPr="00EC6EA6">
        <w:t>Smart Voltage Regulator Validation</w:t>
      </w:r>
      <w:bookmarkEnd w:id="421"/>
    </w:p>
    <w:p w:rsidR="00EC6EA6" w:rsidRPr="003F20E1" w:rsidRDefault="00EC6EA6" w:rsidP="00EC6EA6">
      <w:pPr>
        <w:pStyle w:val="Heading3"/>
      </w:pPr>
      <w:bookmarkStart w:id="423" w:name="_Toc445801908"/>
      <w:r w:rsidRPr="003F20E1">
        <w:t>Project overview</w:t>
      </w:r>
      <w:bookmarkEnd w:id="423"/>
    </w:p>
    <w:p w:rsidR="00EC6EA6" w:rsidRDefault="00EC6EA6" w:rsidP="00873320">
      <w:r w:rsidRPr="00EC6EA6">
        <w:t>The Smart Voltage Regulator (SVR) Validation</w:t>
      </w:r>
      <w:r>
        <w:t xml:space="preserve">s </w:t>
      </w:r>
      <w:r w:rsidRPr="00EC6EA6">
        <w:t>project will laboratory test the effectiveness of</w:t>
      </w:r>
      <w:r>
        <w:t xml:space="preserve"> </w:t>
      </w:r>
      <w:r w:rsidRPr="00EC6EA6">
        <w:t>three phase SVRs in maintaining distribution</w:t>
      </w:r>
      <w:r>
        <w:t xml:space="preserve"> </w:t>
      </w:r>
      <w:r w:rsidRPr="00EC6EA6">
        <w:t>network power quality in light of increasing</w:t>
      </w:r>
      <w:r>
        <w:t xml:space="preserve"> </w:t>
      </w:r>
      <w:r w:rsidRPr="00EC6EA6">
        <w:t>penetration of renewable generation.</w:t>
      </w:r>
      <w:r w:rsidR="00873320" w:rsidRPr="00873320">
        <w:t xml:space="preserve"> </w:t>
      </w:r>
      <w:r w:rsidR="00873320">
        <w:t xml:space="preserve">A </w:t>
      </w:r>
      <w:r w:rsidR="00873320" w:rsidRPr="00873320">
        <w:t>staged process is proposed to effectively</w:t>
      </w:r>
      <w:r w:rsidR="00873320">
        <w:t xml:space="preserve"> </w:t>
      </w:r>
      <w:r w:rsidR="00873320" w:rsidRPr="00873320">
        <w:t>assess the SVR and enable an informed</w:t>
      </w:r>
      <w:r w:rsidR="00873320">
        <w:t xml:space="preserve"> </w:t>
      </w:r>
      <w:r w:rsidR="00873320" w:rsidRPr="00873320">
        <w:t>commercial decision to be made</w:t>
      </w:r>
      <w:r w:rsidR="00873320">
        <w:t>.</w:t>
      </w:r>
    </w:p>
    <w:p w:rsidR="00EC6EA6" w:rsidRPr="00D61E77" w:rsidRDefault="00EC6EA6" w:rsidP="00EC6EA6">
      <w:pPr>
        <w:numPr>
          <w:ilvl w:val="0"/>
          <w:numId w:val="24"/>
        </w:numPr>
      </w:pPr>
      <w:r>
        <w:t>Ergon Energy claimed DMIA expenditure of $47 000 in 2013–14 for this project.</w:t>
      </w:r>
    </w:p>
    <w:p w:rsidR="00EC6EA6" w:rsidRPr="003F20E1" w:rsidRDefault="00EC6EA6" w:rsidP="00EC6EA6">
      <w:pPr>
        <w:pStyle w:val="Heading3"/>
      </w:pPr>
      <w:bookmarkStart w:id="424" w:name="_Toc445801909"/>
      <w:r w:rsidRPr="003F20E1">
        <w:t>Assessment against DMIA criteria</w:t>
      </w:r>
      <w:bookmarkEnd w:id="424"/>
    </w:p>
    <w:p w:rsidR="00EC6EA6" w:rsidRDefault="00EC6EA6" w:rsidP="00EC6EA6">
      <w:r w:rsidRPr="00C17C23">
        <w:rPr>
          <w:rStyle w:val="Strong"/>
        </w:rPr>
        <w:t>Criteria #1</w:t>
      </w:r>
      <w:r w:rsidRPr="00C16206">
        <w:t xml:space="preserve"> </w:t>
      </w:r>
      <w:r w:rsidR="00BB2C14">
        <w:t xml:space="preserve">This </w:t>
      </w:r>
      <w:r w:rsidR="00BB2C14" w:rsidRPr="00EC6EA6">
        <w:t>project will laboratory test the effectiveness of</w:t>
      </w:r>
      <w:r w:rsidR="00BB2C14">
        <w:t xml:space="preserve"> </w:t>
      </w:r>
      <w:r w:rsidR="00BB2C14" w:rsidRPr="00EC6EA6">
        <w:t>three phase SVRs in maintaining distribution</w:t>
      </w:r>
      <w:r w:rsidR="00BB2C14">
        <w:t xml:space="preserve"> </w:t>
      </w:r>
      <w:r w:rsidR="00BB2C14" w:rsidRPr="00EC6EA6">
        <w:t>network power quality in light of increasing</w:t>
      </w:r>
      <w:r w:rsidR="00BB2C14">
        <w:t xml:space="preserve"> </w:t>
      </w:r>
      <w:r w:rsidR="00BB2C14" w:rsidRPr="00EC6EA6">
        <w:t>penetration of renewable generation</w:t>
      </w:r>
      <w:r w:rsidR="00BB2C14">
        <w:t>.</w:t>
      </w:r>
    </w:p>
    <w:p w:rsidR="00EC6EA6" w:rsidRPr="00C17C23" w:rsidRDefault="00EC6EA6" w:rsidP="00EC6EA6">
      <w:r>
        <w:rPr>
          <w:rStyle w:val="Strong"/>
        </w:rPr>
        <w:t>Criteria #</w:t>
      </w:r>
      <w:r w:rsidRPr="00C17C23">
        <w:rPr>
          <w:rStyle w:val="Strong"/>
        </w:rPr>
        <w:t xml:space="preserve">2 </w:t>
      </w:r>
      <w:r>
        <w:t xml:space="preserve">This is a broad-based demand management program. </w:t>
      </w:r>
    </w:p>
    <w:p w:rsidR="00EC6EA6" w:rsidRDefault="00EC6EA6" w:rsidP="00EC6EA6">
      <w:r>
        <w:rPr>
          <w:rStyle w:val="Strong"/>
        </w:rPr>
        <w:t xml:space="preserve">Criteria </w:t>
      </w:r>
      <w:r w:rsidRPr="00C17C23">
        <w:rPr>
          <w:rStyle w:val="Strong"/>
        </w:rPr>
        <w:t>#3</w:t>
      </w:r>
      <w:r>
        <w:rPr>
          <w:rStyle w:val="Strong"/>
        </w:rPr>
        <w:t xml:space="preserve"> </w:t>
      </w:r>
      <w:r>
        <w:t xml:space="preserve">This project </w:t>
      </w:r>
      <w:r w:rsidR="00F52024">
        <w:t>aimed to maintain</w:t>
      </w:r>
      <w:r w:rsidR="00F52024" w:rsidRPr="00EC6EA6">
        <w:t xml:space="preserve"> distribution</w:t>
      </w:r>
      <w:r w:rsidR="00F52024">
        <w:t xml:space="preserve"> </w:t>
      </w:r>
      <w:r w:rsidR="00F52024" w:rsidRPr="00EC6EA6">
        <w:t>network power quality in light of increasing</w:t>
      </w:r>
      <w:r w:rsidR="00F52024">
        <w:t xml:space="preserve"> </w:t>
      </w:r>
      <w:r w:rsidR="00F52024" w:rsidRPr="00EC6EA6">
        <w:t>penetration of renewable generation</w:t>
      </w:r>
    </w:p>
    <w:p w:rsidR="00EC6EA6" w:rsidRPr="00CD2645" w:rsidRDefault="00EC6EA6" w:rsidP="00EC6EA6">
      <w:pPr>
        <w:rPr>
          <w:rStyle w:val="AERbody"/>
        </w:rPr>
      </w:pPr>
      <w:r w:rsidRPr="00C17C23">
        <w:rPr>
          <w:rStyle w:val="Strong"/>
        </w:rPr>
        <w:t>Criteria #4</w:t>
      </w:r>
      <w:r>
        <w:rPr>
          <w:rStyle w:val="Strong"/>
        </w:rPr>
        <w:t xml:space="preserve"> </w:t>
      </w:r>
      <w:r>
        <w:rPr>
          <w:rStyle w:val="AERbody"/>
        </w:rPr>
        <w:t>Non-tariff based</w:t>
      </w:r>
    </w:p>
    <w:p w:rsidR="00EC6EA6" w:rsidRPr="00CD2645" w:rsidRDefault="00EC6EA6" w:rsidP="00EC6EA6">
      <w:pPr>
        <w:rPr>
          <w:rStyle w:val="AERbody"/>
        </w:rPr>
      </w:pPr>
      <w:r w:rsidRPr="00C17C23">
        <w:rPr>
          <w:rStyle w:val="Strong"/>
        </w:rPr>
        <w:t>Criteria #5</w:t>
      </w:r>
      <w:r>
        <w:rPr>
          <w:rStyle w:val="Strong"/>
        </w:rPr>
        <w:t xml:space="preserve"> </w:t>
      </w:r>
      <w:r>
        <w:rPr>
          <w:rStyle w:val="AERbody"/>
        </w:rPr>
        <w:t xml:space="preserve">This criteria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p>
    <w:p w:rsidR="00EC6EA6" w:rsidRPr="0006167F" w:rsidRDefault="00EC6EA6" w:rsidP="00EC6EA6">
      <w:pPr>
        <w:numPr>
          <w:ilvl w:val="0"/>
          <w:numId w:val="24"/>
        </w:numPr>
        <w:rPr>
          <w:rStyle w:val="AERbody"/>
        </w:rPr>
      </w:pPr>
      <w:r w:rsidRPr="00C17C23">
        <w:rPr>
          <w:rStyle w:val="Strong"/>
        </w:rPr>
        <w:lastRenderedPageBreak/>
        <w:t>Criteria #6</w:t>
      </w:r>
      <w:r>
        <w:rPr>
          <w:rStyle w:val="Strong"/>
        </w:rPr>
        <w:t xml:space="preserve"> </w:t>
      </w:r>
      <w:r>
        <w:rPr>
          <w:rStyle w:val="AERbody"/>
        </w:rPr>
        <w:t xml:space="preserve">Opex </w:t>
      </w:r>
    </w:p>
    <w:p w:rsidR="00F52024" w:rsidRPr="003F20E1" w:rsidRDefault="00F52024" w:rsidP="00F52024">
      <w:pPr>
        <w:pStyle w:val="Heading2"/>
      </w:pPr>
      <w:bookmarkStart w:id="425" w:name="_Toc445801910"/>
      <w:r w:rsidRPr="00F52024">
        <w:t>Network Embedded Solar Thermal</w:t>
      </w:r>
      <w:bookmarkEnd w:id="425"/>
    </w:p>
    <w:p w:rsidR="00F52024" w:rsidRPr="003F20E1" w:rsidRDefault="00F52024" w:rsidP="00F52024">
      <w:pPr>
        <w:pStyle w:val="Heading3"/>
      </w:pPr>
      <w:bookmarkStart w:id="426" w:name="_Toc445801911"/>
      <w:r w:rsidRPr="003F20E1">
        <w:t>Project overview</w:t>
      </w:r>
      <w:bookmarkEnd w:id="426"/>
    </w:p>
    <w:p w:rsidR="00F52024" w:rsidRDefault="00F52024" w:rsidP="00F52024">
      <w:r w:rsidRPr="00F52024">
        <w:t>The Network Embedded Solar Thermal (NEST)</w:t>
      </w:r>
      <w:r>
        <w:t xml:space="preserve"> </w:t>
      </w:r>
      <w:r w:rsidRPr="00F52024">
        <w:t>project quantified the key economic benefits that</w:t>
      </w:r>
      <w:r>
        <w:t xml:space="preserve"> </w:t>
      </w:r>
      <w:r w:rsidRPr="00F52024">
        <w:t>may arise from developing Concentrating Solar</w:t>
      </w:r>
      <w:r>
        <w:t xml:space="preserve"> </w:t>
      </w:r>
      <w:r w:rsidRPr="00F52024">
        <w:t>Thermal (CST) electricity generation in the</w:t>
      </w:r>
      <w:r>
        <w:t xml:space="preserve"> </w:t>
      </w:r>
      <w:r w:rsidRPr="00F52024">
        <w:t>distribution network, namely the potential network</w:t>
      </w:r>
      <w:r>
        <w:t xml:space="preserve"> </w:t>
      </w:r>
      <w:r w:rsidRPr="00F52024">
        <w:t>benefits in grid constrained areas, and the</w:t>
      </w:r>
      <w:r>
        <w:t xml:space="preserve"> </w:t>
      </w:r>
      <w:r w:rsidRPr="00F52024">
        <w:t>employment that could ensue from CST</w:t>
      </w:r>
      <w:r>
        <w:t xml:space="preserve"> </w:t>
      </w:r>
      <w:r w:rsidRPr="00F52024">
        <w:t>development, with the correct policy settings. The project further developed some of the</w:t>
      </w:r>
      <w:r>
        <w:t xml:space="preserve"> </w:t>
      </w:r>
      <w:r w:rsidRPr="00F52024">
        <w:t>specific issues raised in the Australian Solar</w:t>
      </w:r>
      <w:r>
        <w:t xml:space="preserve"> </w:t>
      </w:r>
      <w:r w:rsidRPr="00F52024">
        <w:t>Institute’s (ASI) Review of the Potential for</w:t>
      </w:r>
      <w:r>
        <w:t xml:space="preserve"> </w:t>
      </w:r>
      <w:r w:rsidRPr="00F52024">
        <w:t>Concentrated Solar Power (CSP) in Australia</w:t>
      </w:r>
      <w:r>
        <w:t>.</w:t>
      </w:r>
      <w:r w:rsidRPr="00F52024">
        <w:t xml:space="preserve"> The project also focused on the considerable</w:t>
      </w:r>
      <w:r>
        <w:t xml:space="preserve"> </w:t>
      </w:r>
      <w:r w:rsidRPr="00F52024">
        <w:t>barriers that network connection may pose to</w:t>
      </w:r>
      <w:r>
        <w:t xml:space="preserve"> </w:t>
      </w:r>
      <w:r w:rsidRPr="00F52024">
        <w:t>CST development and potential macro-economic</w:t>
      </w:r>
      <w:r>
        <w:t xml:space="preserve"> </w:t>
      </w:r>
      <w:r w:rsidRPr="00F52024">
        <w:t>benefits of CST development</w:t>
      </w:r>
      <w:r>
        <w:t>.</w:t>
      </w:r>
    </w:p>
    <w:p w:rsidR="00F52024" w:rsidRPr="00D61E77" w:rsidRDefault="00F52024" w:rsidP="00F52024">
      <w:r>
        <w:t>Ergon Energy</w:t>
      </w:r>
      <w:r w:rsidR="005D6301">
        <w:t xml:space="preserve"> claimed DMIA expenditure of $2</w:t>
      </w:r>
      <w:r>
        <w:t xml:space="preserve"> 000 in 2013–14 for this project.</w:t>
      </w:r>
    </w:p>
    <w:p w:rsidR="00F52024" w:rsidRPr="003F20E1" w:rsidRDefault="00F52024" w:rsidP="00F52024">
      <w:pPr>
        <w:pStyle w:val="Heading3"/>
      </w:pPr>
      <w:bookmarkStart w:id="427" w:name="_Toc445801912"/>
      <w:r w:rsidRPr="003F20E1">
        <w:t>Assessment against DMIA criteria</w:t>
      </w:r>
      <w:bookmarkEnd w:id="427"/>
    </w:p>
    <w:p w:rsidR="005D6301" w:rsidRDefault="00F52024" w:rsidP="005D6301">
      <w:r w:rsidRPr="00C17C23">
        <w:rPr>
          <w:rStyle w:val="Strong"/>
        </w:rPr>
        <w:t>Criteria #1</w:t>
      </w:r>
      <w:r w:rsidRPr="00C16206">
        <w:t xml:space="preserve"> </w:t>
      </w:r>
      <w:r>
        <w:t xml:space="preserve">This </w:t>
      </w:r>
      <w:r w:rsidRPr="00EC6EA6">
        <w:t xml:space="preserve">project </w:t>
      </w:r>
      <w:r w:rsidR="005D6301">
        <w:t>identifies</w:t>
      </w:r>
      <w:r w:rsidR="005D6301" w:rsidRPr="005D6301">
        <w:t xml:space="preserve"> network constraints in Ergon Energy</w:t>
      </w:r>
      <w:r w:rsidR="005D6301">
        <w:t xml:space="preserve"> </w:t>
      </w:r>
      <w:r w:rsidR="005D6301" w:rsidRPr="005D6301">
        <w:t>area and other locations across the National</w:t>
      </w:r>
      <w:r w:rsidR="005D6301">
        <w:t xml:space="preserve"> </w:t>
      </w:r>
      <w:r w:rsidR="005D6301" w:rsidRPr="005D6301">
        <w:t>Electricity Market (NEM) capable of</w:t>
      </w:r>
      <w:r w:rsidR="005D6301">
        <w:t xml:space="preserve"> </w:t>
      </w:r>
      <w:r w:rsidR="005D6301" w:rsidRPr="005D6301">
        <w:t>supporting solar thermal solutions</w:t>
      </w:r>
      <w:r w:rsidR="005D6301">
        <w:t xml:space="preserve">. </w:t>
      </w:r>
    </w:p>
    <w:p w:rsidR="00F52024" w:rsidRPr="00C17C23" w:rsidRDefault="00F52024" w:rsidP="005D6301">
      <w:r>
        <w:rPr>
          <w:rStyle w:val="Strong"/>
        </w:rPr>
        <w:t>Criteria #</w:t>
      </w:r>
      <w:r w:rsidRPr="00C17C23">
        <w:rPr>
          <w:rStyle w:val="Strong"/>
        </w:rPr>
        <w:t xml:space="preserve">2 </w:t>
      </w:r>
      <w:r>
        <w:t xml:space="preserve">This is a broad-based demand management program. </w:t>
      </w:r>
    </w:p>
    <w:p w:rsidR="00F52024" w:rsidRDefault="00F52024" w:rsidP="00F52024">
      <w:r>
        <w:rPr>
          <w:rStyle w:val="Strong"/>
        </w:rPr>
        <w:t xml:space="preserve">Criteria </w:t>
      </w:r>
      <w:r w:rsidRPr="00C17C23">
        <w:rPr>
          <w:rStyle w:val="Strong"/>
        </w:rPr>
        <w:t>#3</w:t>
      </w:r>
      <w:r>
        <w:rPr>
          <w:rStyle w:val="Strong"/>
        </w:rPr>
        <w:t xml:space="preserve"> </w:t>
      </w:r>
      <w:r>
        <w:t>This project aimed to</w:t>
      </w:r>
      <w:r w:rsidR="005D6301">
        <w:t xml:space="preserve"> quantify</w:t>
      </w:r>
      <w:r w:rsidR="005D6301" w:rsidRPr="00F52024">
        <w:t xml:space="preserve"> the key economic benefits that</w:t>
      </w:r>
      <w:r w:rsidR="005D6301">
        <w:t xml:space="preserve"> </w:t>
      </w:r>
      <w:r w:rsidR="005D6301" w:rsidRPr="00F52024">
        <w:t>may arise from developing Concentrating Solar</w:t>
      </w:r>
      <w:r w:rsidR="005D6301">
        <w:t xml:space="preserve"> </w:t>
      </w:r>
      <w:r w:rsidR="005D6301" w:rsidRPr="00F52024">
        <w:t>Thermal (CST) electricity generation in the</w:t>
      </w:r>
      <w:r w:rsidR="005D6301">
        <w:t xml:space="preserve"> </w:t>
      </w:r>
      <w:r w:rsidR="005D6301" w:rsidRPr="00F52024">
        <w:t>distribution network, namely the potential network</w:t>
      </w:r>
      <w:r w:rsidR="005D6301">
        <w:t xml:space="preserve"> </w:t>
      </w:r>
      <w:r w:rsidR="005D6301" w:rsidRPr="00F52024">
        <w:t>benefits in grid constrained areas</w:t>
      </w:r>
      <w:r w:rsidR="005D6301">
        <w:t>. This may lead to the delay of network augmentation.</w:t>
      </w:r>
    </w:p>
    <w:p w:rsidR="00F52024" w:rsidRPr="00CD2645" w:rsidRDefault="00F52024" w:rsidP="00F52024">
      <w:pPr>
        <w:rPr>
          <w:rStyle w:val="AERbody"/>
        </w:rPr>
      </w:pPr>
      <w:r w:rsidRPr="00C17C23">
        <w:rPr>
          <w:rStyle w:val="Strong"/>
        </w:rPr>
        <w:t>Criteria #4</w:t>
      </w:r>
      <w:r>
        <w:rPr>
          <w:rStyle w:val="Strong"/>
        </w:rPr>
        <w:t xml:space="preserve"> </w:t>
      </w:r>
      <w:r>
        <w:rPr>
          <w:rStyle w:val="AERbody"/>
        </w:rPr>
        <w:t>Non-tariff based</w:t>
      </w:r>
    </w:p>
    <w:p w:rsidR="00F52024" w:rsidRPr="00CD2645" w:rsidRDefault="00F52024" w:rsidP="00F52024">
      <w:pPr>
        <w:rPr>
          <w:rStyle w:val="AERbody"/>
        </w:rPr>
      </w:pPr>
      <w:r w:rsidRPr="00C17C23">
        <w:rPr>
          <w:rStyle w:val="Strong"/>
        </w:rPr>
        <w:t>Criteria #5</w:t>
      </w:r>
      <w:r>
        <w:rPr>
          <w:rStyle w:val="Strong"/>
        </w:rPr>
        <w:t xml:space="preserve"> </w:t>
      </w:r>
      <w:r>
        <w:rPr>
          <w:rStyle w:val="AERbody"/>
        </w:rPr>
        <w:t xml:space="preserve">This criteria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p>
    <w:p w:rsidR="00F52024" w:rsidRPr="0006167F" w:rsidRDefault="00F52024" w:rsidP="00F52024">
      <w:pPr>
        <w:numPr>
          <w:ilvl w:val="0"/>
          <w:numId w:val="24"/>
        </w:numPr>
        <w:rPr>
          <w:rStyle w:val="AERbody"/>
        </w:rPr>
      </w:pPr>
      <w:r w:rsidRPr="00C17C23">
        <w:rPr>
          <w:rStyle w:val="Strong"/>
        </w:rPr>
        <w:t>Criteria #6</w:t>
      </w:r>
      <w:r>
        <w:rPr>
          <w:rStyle w:val="Strong"/>
        </w:rPr>
        <w:t xml:space="preserve"> </w:t>
      </w:r>
      <w:r>
        <w:rPr>
          <w:rStyle w:val="AERbody"/>
        </w:rPr>
        <w:t xml:space="preserve">Opex </w:t>
      </w:r>
    </w:p>
    <w:p w:rsidR="0082077C" w:rsidRPr="003F20E1" w:rsidRDefault="000A554A" w:rsidP="0082077C">
      <w:pPr>
        <w:pStyle w:val="Heading2"/>
      </w:pPr>
      <w:bookmarkStart w:id="428" w:name="_Toc445801916"/>
      <w:r w:rsidRPr="000A554A">
        <w:t>Cool Roof Trial</w:t>
      </w:r>
      <w:bookmarkEnd w:id="428"/>
    </w:p>
    <w:p w:rsidR="0082077C" w:rsidRPr="003F20E1" w:rsidRDefault="0082077C" w:rsidP="0082077C">
      <w:pPr>
        <w:pStyle w:val="Heading3"/>
      </w:pPr>
      <w:bookmarkStart w:id="429" w:name="_Toc445801917"/>
      <w:r w:rsidRPr="003F20E1">
        <w:t>Project overview</w:t>
      </w:r>
      <w:bookmarkEnd w:id="429"/>
    </w:p>
    <w:p w:rsidR="0082077C" w:rsidRDefault="0082077C" w:rsidP="0082077C">
      <w:r w:rsidRPr="005D6301">
        <w:t>This is a collaborative project with industry</w:t>
      </w:r>
      <w:r>
        <w:t xml:space="preserve"> </w:t>
      </w:r>
      <w:r w:rsidRPr="005D6301">
        <w:t>partners and Queensland University of</w:t>
      </w:r>
      <w:r>
        <w:t xml:space="preserve"> </w:t>
      </w:r>
      <w:r w:rsidRPr="005D6301">
        <w:t>Technology (QUT), bringing together multidisciplinary</w:t>
      </w:r>
      <w:r>
        <w:t xml:space="preserve"> </w:t>
      </w:r>
      <w:r w:rsidRPr="005D6301">
        <w:t>expertise in the electricity sector,</w:t>
      </w:r>
      <w:r>
        <w:t xml:space="preserve"> </w:t>
      </w:r>
      <w:r w:rsidRPr="005D6301">
        <w:t>infrastructure, scientific testing and modelling, in</w:t>
      </w:r>
      <w:r>
        <w:t xml:space="preserve"> </w:t>
      </w:r>
      <w:r w:rsidRPr="005D6301">
        <w:t>developing a roof coating system that maximises</w:t>
      </w:r>
      <w:r>
        <w:t xml:space="preserve"> </w:t>
      </w:r>
      <w:r w:rsidRPr="005D6301">
        <w:t>energy and demand reductions for customers</w:t>
      </w:r>
      <w:r>
        <w:t>.</w:t>
      </w:r>
    </w:p>
    <w:p w:rsidR="0082077C" w:rsidRPr="00D61E77" w:rsidRDefault="0082077C" w:rsidP="0082077C">
      <w:r>
        <w:t>Ergon Energy claimed DMIA expenditure of $23 000 in 2013–14 for this project.</w:t>
      </w:r>
    </w:p>
    <w:p w:rsidR="0082077C" w:rsidRPr="003F20E1" w:rsidRDefault="0082077C" w:rsidP="0082077C">
      <w:pPr>
        <w:pStyle w:val="Heading3"/>
      </w:pPr>
      <w:bookmarkStart w:id="430" w:name="_Toc445801918"/>
      <w:r w:rsidRPr="003F20E1">
        <w:lastRenderedPageBreak/>
        <w:t>Assessment against DMIA criteria</w:t>
      </w:r>
      <w:bookmarkEnd w:id="430"/>
    </w:p>
    <w:p w:rsidR="0082077C" w:rsidRDefault="0082077C" w:rsidP="0082077C">
      <w:r w:rsidRPr="00C17C23">
        <w:rPr>
          <w:rStyle w:val="Strong"/>
        </w:rPr>
        <w:t>Criteria #1</w:t>
      </w:r>
      <w:r w:rsidRPr="00C16206">
        <w:t xml:space="preserve"> </w:t>
      </w:r>
      <w:r w:rsidRPr="005D6301">
        <w:t>The trial aims to</w:t>
      </w:r>
      <w:r>
        <w:t xml:space="preserve"> develop a scientifically valid </w:t>
      </w:r>
      <w:r w:rsidRPr="005D6301">
        <w:t>testing regime that validates the performance of</w:t>
      </w:r>
      <w:r>
        <w:t xml:space="preserve"> </w:t>
      </w:r>
      <w:r w:rsidRPr="005D6301">
        <w:t>cool roof products, and quantifies the energy and</w:t>
      </w:r>
      <w:r>
        <w:t xml:space="preserve"> demand </w:t>
      </w:r>
      <w:r w:rsidRPr="005D6301">
        <w:t>reductions with prescribed confidence</w:t>
      </w:r>
      <w:r>
        <w:t>.</w:t>
      </w:r>
    </w:p>
    <w:p w:rsidR="0082077C" w:rsidRPr="00C17C23" w:rsidRDefault="0082077C" w:rsidP="0082077C">
      <w:r>
        <w:rPr>
          <w:rStyle w:val="Strong"/>
        </w:rPr>
        <w:t>Criteria #</w:t>
      </w:r>
      <w:r w:rsidRPr="00C17C23">
        <w:rPr>
          <w:rStyle w:val="Strong"/>
        </w:rPr>
        <w:t xml:space="preserve">2 </w:t>
      </w:r>
      <w:r>
        <w:t xml:space="preserve">This is a broad-based demand management program. </w:t>
      </w:r>
    </w:p>
    <w:p w:rsidR="0082077C" w:rsidRDefault="0082077C" w:rsidP="0082077C">
      <w:r>
        <w:rPr>
          <w:rStyle w:val="Strong"/>
        </w:rPr>
        <w:t xml:space="preserve">Criteria </w:t>
      </w:r>
      <w:r w:rsidRPr="00C17C23">
        <w:rPr>
          <w:rStyle w:val="Strong"/>
        </w:rPr>
        <w:t>#3</w:t>
      </w:r>
      <w:r>
        <w:rPr>
          <w:rStyle w:val="Strong"/>
        </w:rPr>
        <w:t xml:space="preserve"> </w:t>
      </w:r>
      <w:r>
        <w:t>This project aimed to develop</w:t>
      </w:r>
      <w:r w:rsidRPr="005D6301">
        <w:t xml:space="preserve"> a roof coating system that maximises</w:t>
      </w:r>
      <w:r>
        <w:t xml:space="preserve"> </w:t>
      </w:r>
      <w:r w:rsidRPr="005D6301">
        <w:t xml:space="preserve">energy and </w:t>
      </w:r>
      <w:r>
        <w:t xml:space="preserve">demand reductions for customers, which may lead to the defer of network augmentation. </w:t>
      </w:r>
    </w:p>
    <w:p w:rsidR="0082077C" w:rsidRPr="00CD2645" w:rsidRDefault="0082077C" w:rsidP="0082077C">
      <w:pPr>
        <w:rPr>
          <w:rStyle w:val="AERbody"/>
        </w:rPr>
      </w:pPr>
      <w:r w:rsidRPr="00C17C23">
        <w:rPr>
          <w:rStyle w:val="Strong"/>
        </w:rPr>
        <w:t>Criteria #4</w:t>
      </w:r>
      <w:r>
        <w:rPr>
          <w:rStyle w:val="Strong"/>
        </w:rPr>
        <w:t xml:space="preserve"> </w:t>
      </w:r>
      <w:r>
        <w:rPr>
          <w:rStyle w:val="AERbody"/>
        </w:rPr>
        <w:t>Non-tariff based</w:t>
      </w:r>
    </w:p>
    <w:p w:rsidR="0082077C" w:rsidRPr="00CD2645" w:rsidRDefault="0082077C" w:rsidP="0082077C">
      <w:pPr>
        <w:rPr>
          <w:rStyle w:val="AERbody"/>
        </w:rPr>
      </w:pPr>
      <w:r w:rsidRPr="00C17C23">
        <w:rPr>
          <w:rStyle w:val="Strong"/>
        </w:rPr>
        <w:t>Criteria #5</w:t>
      </w:r>
      <w:r>
        <w:rPr>
          <w:rStyle w:val="Strong"/>
        </w:rPr>
        <w:t xml:space="preserve"> </w:t>
      </w:r>
      <w:r>
        <w:rPr>
          <w:rStyle w:val="AERbody"/>
        </w:rPr>
        <w:t xml:space="preserve">This criteria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p>
    <w:p w:rsidR="0082077C" w:rsidRPr="0006167F" w:rsidRDefault="0082077C" w:rsidP="0082077C">
      <w:pPr>
        <w:numPr>
          <w:ilvl w:val="0"/>
          <w:numId w:val="24"/>
        </w:numPr>
        <w:rPr>
          <w:rStyle w:val="AERbody"/>
        </w:rPr>
      </w:pPr>
      <w:r w:rsidRPr="00C17C23">
        <w:rPr>
          <w:rStyle w:val="Strong"/>
        </w:rPr>
        <w:t>Criteria #6</w:t>
      </w:r>
      <w:r>
        <w:rPr>
          <w:rStyle w:val="Strong"/>
        </w:rPr>
        <w:t xml:space="preserve"> </w:t>
      </w:r>
      <w:r>
        <w:rPr>
          <w:rStyle w:val="AERbody"/>
        </w:rPr>
        <w:t xml:space="preserve">Opex </w:t>
      </w:r>
    </w:p>
    <w:p w:rsidR="000A554A" w:rsidRPr="003F20E1" w:rsidRDefault="005A1EF6" w:rsidP="000A554A">
      <w:pPr>
        <w:pStyle w:val="Heading2"/>
      </w:pPr>
      <w:bookmarkStart w:id="431" w:name="_Toc445801919"/>
      <w:r>
        <w:t xml:space="preserve"> QUT </w:t>
      </w:r>
      <w:r w:rsidR="000A554A" w:rsidRPr="000A554A">
        <w:t>Super Conductor</w:t>
      </w:r>
      <w:bookmarkEnd w:id="431"/>
    </w:p>
    <w:p w:rsidR="000A554A" w:rsidRPr="003F20E1" w:rsidRDefault="000A554A" w:rsidP="000A554A">
      <w:pPr>
        <w:pStyle w:val="Heading3"/>
      </w:pPr>
      <w:bookmarkStart w:id="432" w:name="_Toc445801920"/>
      <w:r w:rsidRPr="003F20E1">
        <w:t>Project overview</w:t>
      </w:r>
      <w:bookmarkEnd w:id="432"/>
    </w:p>
    <w:p w:rsidR="000A554A" w:rsidRPr="00D61E77" w:rsidRDefault="000A554A" w:rsidP="000A554A">
      <w:pPr>
        <w:numPr>
          <w:ilvl w:val="0"/>
          <w:numId w:val="24"/>
        </w:numPr>
      </w:pPr>
      <w:r w:rsidRPr="004E7361">
        <w:t xml:space="preserve">This is a pilot study of </w:t>
      </w:r>
      <w:r>
        <w:t xml:space="preserve">a </w:t>
      </w:r>
      <w:r w:rsidRPr="004E7361">
        <w:t xml:space="preserve">High Temperature Superconducting (HTS) power cable which has the potential to significantly increase network capacity and flexibility by replacing conventional electrical assets with new cryogenic technology. </w:t>
      </w:r>
      <w:r>
        <w:t>Ergon Energy claimed DMIA expenditure of $5 000 in 2013–14 for this project.</w:t>
      </w:r>
    </w:p>
    <w:p w:rsidR="000A554A" w:rsidRPr="003F20E1" w:rsidRDefault="000A554A" w:rsidP="000A554A">
      <w:pPr>
        <w:pStyle w:val="Heading3"/>
      </w:pPr>
      <w:bookmarkStart w:id="433" w:name="_Toc445801921"/>
      <w:r w:rsidRPr="003F20E1">
        <w:t>Assessment against DMIA criteria</w:t>
      </w:r>
      <w:bookmarkEnd w:id="433"/>
    </w:p>
    <w:p w:rsidR="000A554A" w:rsidRDefault="000A554A" w:rsidP="000A554A">
      <w:r w:rsidRPr="00C17C23">
        <w:rPr>
          <w:rStyle w:val="Strong"/>
        </w:rPr>
        <w:t>Criteria #1</w:t>
      </w:r>
      <w:r w:rsidRPr="00C16206">
        <w:t xml:space="preserve"> </w:t>
      </w:r>
      <w:r w:rsidRPr="000A554A">
        <w:t>This technology has the potential to increase network capacity and flexibility and reduce the frequency of network augmentation.</w:t>
      </w:r>
    </w:p>
    <w:p w:rsidR="000A554A" w:rsidRPr="00C17C23" w:rsidRDefault="000A554A" w:rsidP="000A554A">
      <w:r>
        <w:rPr>
          <w:rStyle w:val="Strong"/>
        </w:rPr>
        <w:t>Criteria #</w:t>
      </w:r>
      <w:r w:rsidRPr="00C17C23">
        <w:rPr>
          <w:rStyle w:val="Strong"/>
        </w:rPr>
        <w:t xml:space="preserve">2 </w:t>
      </w:r>
      <w:r>
        <w:t xml:space="preserve">This is a broad-based demand management program. </w:t>
      </w:r>
    </w:p>
    <w:p w:rsidR="000A554A" w:rsidRDefault="000A554A" w:rsidP="000A554A">
      <w:r>
        <w:rPr>
          <w:rStyle w:val="Strong"/>
        </w:rPr>
        <w:t xml:space="preserve">Criteria </w:t>
      </w:r>
      <w:r w:rsidRPr="00C17C23">
        <w:rPr>
          <w:rStyle w:val="Strong"/>
        </w:rPr>
        <w:t>#3</w:t>
      </w:r>
      <w:r>
        <w:rPr>
          <w:rStyle w:val="Strong"/>
        </w:rPr>
        <w:t xml:space="preserve"> </w:t>
      </w:r>
      <w:r w:rsidRPr="000A554A">
        <w:t xml:space="preserve">This is a trial of an innovative technology that has the potential to better manage demand.  </w:t>
      </w:r>
    </w:p>
    <w:p w:rsidR="000A554A" w:rsidRPr="00CD2645" w:rsidRDefault="000A554A" w:rsidP="000A554A">
      <w:pPr>
        <w:rPr>
          <w:rStyle w:val="AERbody"/>
        </w:rPr>
      </w:pPr>
      <w:r w:rsidRPr="00C17C23">
        <w:rPr>
          <w:rStyle w:val="Strong"/>
        </w:rPr>
        <w:t>Criteria #4</w:t>
      </w:r>
      <w:r>
        <w:rPr>
          <w:rStyle w:val="Strong"/>
        </w:rPr>
        <w:t xml:space="preserve"> </w:t>
      </w:r>
      <w:r>
        <w:rPr>
          <w:rStyle w:val="AERbody"/>
        </w:rPr>
        <w:t>Non-tariff based</w:t>
      </w:r>
    </w:p>
    <w:p w:rsidR="000A554A" w:rsidRPr="00CD2645" w:rsidRDefault="000A554A" w:rsidP="000A554A">
      <w:pPr>
        <w:rPr>
          <w:rStyle w:val="AERbody"/>
        </w:rPr>
      </w:pPr>
      <w:r w:rsidRPr="00C17C23">
        <w:rPr>
          <w:rStyle w:val="Strong"/>
        </w:rPr>
        <w:t>Criteria #5</w:t>
      </w:r>
      <w:r>
        <w:rPr>
          <w:rStyle w:val="Strong"/>
        </w:rPr>
        <w:t xml:space="preserve"> </w:t>
      </w:r>
      <w:r>
        <w:rPr>
          <w:rStyle w:val="AERbody"/>
        </w:rPr>
        <w:t xml:space="preserve">This criteria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p>
    <w:p w:rsidR="000A554A" w:rsidRPr="0006167F" w:rsidRDefault="000A554A" w:rsidP="000A554A">
      <w:pPr>
        <w:numPr>
          <w:ilvl w:val="0"/>
          <w:numId w:val="24"/>
        </w:numPr>
        <w:rPr>
          <w:rStyle w:val="AERbody"/>
        </w:rPr>
      </w:pPr>
      <w:r w:rsidRPr="00C17C23">
        <w:rPr>
          <w:rStyle w:val="Strong"/>
        </w:rPr>
        <w:t>Criteria #6</w:t>
      </w:r>
      <w:r>
        <w:rPr>
          <w:rStyle w:val="Strong"/>
        </w:rPr>
        <w:t xml:space="preserve"> </w:t>
      </w:r>
      <w:r>
        <w:rPr>
          <w:rStyle w:val="AERbody"/>
        </w:rPr>
        <w:t xml:space="preserve">Opex </w:t>
      </w:r>
    </w:p>
    <w:p w:rsidR="00DE6D0C" w:rsidRDefault="00DE6D0C" w:rsidP="00DE6D0C">
      <w:pPr>
        <w:pStyle w:val="Caption"/>
        <w:numPr>
          <w:ilvl w:val="0"/>
          <w:numId w:val="24"/>
        </w:numPr>
      </w:pPr>
      <w:r>
        <w:lastRenderedPageBreak/>
        <w:t xml:space="preserve">Projects undertaken for 2014–15 </w:t>
      </w:r>
    </w:p>
    <w:p w:rsidR="00DE6D0C" w:rsidRPr="003F20E1" w:rsidRDefault="00B94C4D" w:rsidP="00B94C4D">
      <w:pPr>
        <w:pStyle w:val="Heading2"/>
      </w:pPr>
      <w:bookmarkStart w:id="434" w:name="_Toc445801925"/>
      <w:r w:rsidRPr="00B94C4D">
        <w:t>LED Streetlight Removing Barriers</w:t>
      </w:r>
      <w:bookmarkEnd w:id="434"/>
    </w:p>
    <w:p w:rsidR="00DE6D0C" w:rsidRPr="003F20E1" w:rsidRDefault="00DE6D0C" w:rsidP="00DE6D0C">
      <w:pPr>
        <w:pStyle w:val="Heading3"/>
      </w:pPr>
      <w:bookmarkStart w:id="435" w:name="_Toc445801926"/>
      <w:r w:rsidRPr="003F20E1">
        <w:t>Project overview</w:t>
      </w:r>
      <w:bookmarkEnd w:id="435"/>
    </w:p>
    <w:p w:rsidR="00B94C4D" w:rsidRDefault="00B94C4D" w:rsidP="00B94C4D">
      <w:pPr>
        <w:numPr>
          <w:ilvl w:val="0"/>
          <w:numId w:val="24"/>
        </w:numPr>
      </w:pPr>
      <w:r w:rsidRPr="00B94C4D">
        <w:t>This project seeks to take an innovative approach by identifying actions focused on mitigating the financial, regulatory and technical barriers to large scale deployment. The project will enable effective markets and efficient services by developing solutions to enable Ergon Energy to significantly reduce cost, peak demand, network constraints, increased infrastructure requirements, energy use and carbon emissions from the provision of street lighting,</w:t>
      </w:r>
    </w:p>
    <w:p w:rsidR="00DE6D0C" w:rsidRPr="00D61E77" w:rsidRDefault="00DE6D0C" w:rsidP="00B94C4D">
      <w:pPr>
        <w:numPr>
          <w:ilvl w:val="0"/>
          <w:numId w:val="24"/>
        </w:numPr>
      </w:pPr>
      <w:r>
        <w:t>Ergon Energy claimed DMIA expenditure of $</w:t>
      </w:r>
      <w:r w:rsidR="00B94C4D">
        <w:t>164 7</w:t>
      </w:r>
      <w:r w:rsidR="005E3E1E">
        <w:t>00 in 2014–15</w:t>
      </w:r>
      <w:r>
        <w:t xml:space="preserve"> for this project.</w:t>
      </w:r>
    </w:p>
    <w:p w:rsidR="00DE6D0C" w:rsidRPr="003F20E1" w:rsidRDefault="00DE6D0C" w:rsidP="00DE6D0C">
      <w:pPr>
        <w:pStyle w:val="Heading3"/>
      </w:pPr>
      <w:bookmarkStart w:id="436" w:name="_Toc445801927"/>
      <w:r w:rsidRPr="003F20E1">
        <w:t>Assessment against DMIA criteria</w:t>
      </w:r>
      <w:bookmarkEnd w:id="436"/>
    </w:p>
    <w:p w:rsidR="00DE6D0C" w:rsidRDefault="00DE6D0C" w:rsidP="00DE6D0C">
      <w:r w:rsidRPr="00C17C23">
        <w:rPr>
          <w:rStyle w:val="Strong"/>
        </w:rPr>
        <w:t>Criteria #1</w:t>
      </w:r>
      <w:r w:rsidRPr="00C16206">
        <w:t xml:space="preserve"> </w:t>
      </w:r>
      <w:r w:rsidR="00B94C4D">
        <w:t>This project e</w:t>
      </w:r>
      <w:r w:rsidR="00B94C4D" w:rsidRPr="00B94C4D">
        <w:t>stablish</w:t>
      </w:r>
      <w:r w:rsidR="00B94C4D">
        <w:t>ed</w:t>
      </w:r>
      <w:r w:rsidR="00B94C4D" w:rsidRPr="00B94C4D">
        <w:t xml:space="preserve"> opportunity for demand reduction through enabling the use of LED streetlights.</w:t>
      </w:r>
    </w:p>
    <w:p w:rsidR="00DE6D0C" w:rsidRPr="00C17C23" w:rsidRDefault="00DE6D0C" w:rsidP="00DE6D0C">
      <w:r>
        <w:rPr>
          <w:rStyle w:val="Strong"/>
        </w:rPr>
        <w:t>Criteria #</w:t>
      </w:r>
      <w:r w:rsidRPr="00C17C23">
        <w:rPr>
          <w:rStyle w:val="Strong"/>
        </w:rPr>
        <w:t xml:space="preserve">2 </w:t>
      </w:r>
      <w:r>
        <w:t xml:space="preserve">This is a broad-based demand management program. </w:t>
      </w:r>
    </w:p>
    <w:p w:rsidR="00DE6D0C" w:rsidRDefault="00DE6D0C" w:rsidP="00DE6D0C">
      <w:r>
        <w:rPr>
          <w:rStyle w:val="Strong"/>
        </w:rPr>
        <w:t xml:space="preserve">Criteria </w:t>
      </w:r>
      <w:r w:rsidRPr="00C17C23">
        <w:rPr>
          <w:rStyle w:val="Strong"/>
        </w:rPr>
        <w:t>#3</w:t>
      </w:r>
      <w:r>
        <w:rPr>
          <w:rStyle w:val="Strong"/>
        </w:rPr>
        <w:t xml:space="preserve"> </w:t>
      </w:r>
      <w:r w:rsidRPr="000A554A">
        <w:t xml:space="preserve">This is </w:t>
      </w:r>
      <w:r w:rsidR="00B94C4D">
        <w:t>an approach</w:t>
      </w:r>
      <w:r w:rsidRPr="000A554A">
        <w:t xml:space="preserve"> that has the potential to better manage demand.  </w:t>
      </w:r>
    </w:p>
    <w:p w:rsidR="00DE6D0C" w:rsidRPr="00CD2645" w:rsidRDefault="00DE6D0C" w:rsidP="00DE6D0C">
      <w:pPr>
        <w:rPr>
          <w:rStyle w:val="AERbody"/>
        </w:rPr>
      </w:pPr>
      <w:r w:rsidRPr="00C17C23">
        <w:rPr>
          <w:rStyle w:val="Strong"/>
        </w:rPr>
        <w:t>Criteria #4</w:t>
      </w:r>
      <w:r>
        <w:rPr>
          <w:rStyle w:val="Strong"/>
        </w:rPr>
        <w:t xml:space="preserve"> </w:t>
      </w:r>
      <w:r>
        <w:rPr>
          <w:rStyle w:val="AERbody"/>
        </w:rPr>
        <w:t>Non-tariff based</w:t>
      </w:r>
    </w:p>
    <w:p w:rsidR="00DE6D0C" w:rsidRPr="00CD2645" w:rsidRDefault="00DE6D0C" w:rsidP="00DE6D0C">
      <w:pPr>
        <w:rPr>
          <w:rStyle w:val="AERbody"/>
        </w:rPr>
      </w:pPr>
      <w:r w:rsidRPr="00C17C23">
        <w:rPr>
          <w:rStyle w:val="Strong"/>
        </w:rPr>
        <w:t>Criteria #5</w:t>
      </w:r>
      <w:r>
        <w:rPr>
          <w:rStyle w:val="Strong"/>
        </w:rPr>
        <w:t xml:space="preserve"> </w:t>
      </w:r>
      <w:r>
        <w:rPr>
          <w:rStyle w:val="AERbody"/>
        </w:rPr>
        <w:t xml:space="preserve">This criteria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p>
    <w:p w:rsidR="00DE6D0C" w:rsidRPr="0006167F" w:rsidRDefault="00DE6D0C" w:rsidP="00DE6D0C">
      <w:pPr>
        <w:numPr>
          <w:ilvl w:val="0"/>
          <w:numId w:val="24"/>
        </w:numPr>
        <w:rPr>
          <w:rStyle w:val="AERbody"/>
        </w:rPr>
      </w:pPr>
      <w:r w:rsidRPr="00C17C23">
        <w:rPr>
          <w:rStyle w:val="Strong"/>
        </w:rPr>
        <w:t>Criteria #6</w:t>
      </w:r>
      <w:r>
        <w:rPr>
          <w:rStyle w:val="Strong"/>
        </w:rPr>
        <w:t xml:space="preserve"> </w:t>
      </w:r>
      <w:r>
        <w:rPr>
          <w:rStyle w:val="AERbody"/>
        </w:rPr>
        <w:t xml:space="preserve">Opex </w:t>
      </w:r>
    </w:p>
    <w:p w:rsidR="0075532E" w:rsidRPr="003F20E1" w:rsidRDefault="0075532E" w:rsidP="0075532E">
      <w:pPr>
        <w:pStyle w:val="Heading2"/>
      </w:pPr>
      <w:bookmarkStart w:id="437" w:name="_Toc445801928"/>
      <w:r w:rsidRPr="0075532E">
        <w:t>Centralised Energy Storage System</w:t>
      </w:r>
      <w:bookmarkEnd w:id="437"/>
    </w:p>
    <w:p w:rsidR="0075532E" w:rsidRPr="003F20E1" w:rsidRDefault="0075532E" w:rsidP="0075532E">
      <w:pPr>
        <w:pStyle w:val="Heading3"/>
      </w:pPr>
      <w:bookmarkStart w:id="438" w:name="_Toc445801929"/>
      <w:r w:rsidRPr="003F20E1">
        <w:t>Project overview</w:t>
      </w:r>
      <w:bookmarkEnd w:id="438"/>
    </w:p>
    <w:p w:rsidR="0075532E" w:rsidRPr="00D61E77" w:rsidRDefault="00D9245D" w:rsidP="00D9245D">
      <w:pPr>
        <w:pStyle w:val="ListParagraph"/>
        <w:numPr>
          <w:ilvl w:val="0"/>
          <w:numId w:val="24"/>
        </w:numPr>
      </w:pPr>
      <w:r w:rsidRPr="00D9245D">
        <w:t>This project will initially develop and evaluate a 100kW/200kWh Centralised Energy Storage System</w:t>
      </w:r>
      <w:r>
        <w:t xml:space="preserve"> (</w:t>
      </w:r>
      <w:r w:rsidRPr="00D9245D">
        <w:t>CESS</w:t>
      </w:r>
      <w:r>
        <w:t>)</w:t>
      </w:r>
      <w:r w:rsidRPr="00D9245D">
        <w:t>. The system will be tested, trialled and integrated in a controlled, generation test environment in the workshops to develop functionality and verify its effectiveness and reliability.</w:t>
      </w:r>
      <w:r>
        <w:t xml:space="preserve"> </w:t>
      </w:r>
      <w:r w:rsidR="0075532E">
        <w:t>Ergon Energy claimed DMIA expenditure of $</w:t>
      </w:r>
      <w:r>
        <w:t>207</w:t>
      </w:r>
      <w:r w:rsidR="0075532E">
        <w:t xml:space="preserve"> </w:t>
      </w:r>
      <w:r>
        <w:t>3</w:t>
      </w:r>
      <w:r w:rsidR="005E3E1E">
        <w:t>00 in 2014–15</w:t>
      </w:r>
      <w:r w:rsidR="0075532E">
        <w:t xml:space="preserve"> for this project.</w:t>
      </w:r>
    </w:p>
    <w:p w:rsidR="0075532E" w:rsidRPr="003F20E1" w:rsidRDefault="0075532E" w:rsidP="0075532E">
      <w:pPr>
        <w:pStyle w:val="Heading3"/>
      </w:pPr>
      <w:bookmarkStart w:id="439" w:name="_Toc445801930"/>
      <w:r w:rsidRPr="003F20E1">
        <w:t>Assessment against DMIA criteria</w:t>
      </w:r>
      <w:bookmarkEnd w:id="439"/>
    </w:p>
    <w:p w:rsidR="0075532E" w:rsidRDefault="0075532E" w:rsidP="0075532E">
      <w:r w:rsidRPr="00C17C23">
        <w:rPr>
          <w:rStyle w:val="Strong"/>
        </w:rPr>
        <w:t>Criteria #1</w:t>
      </w:r>
      <w:r w:rsidRPr="00C16206">
        <w:t xml:space="preserve"> </w:t>
      </w:r>
      <w:r>
        <w:t>This project</w:t>
      </w:r>
      <w:r w:rsidR="007428D6">
        <w:t xml:space="preserve"> </w:t>
      </w:r>
      <w:r w:rsidR="007428D6" w:rsidRPr="007428D6">
        <w:t>enable</w:t>
      </w:r>
      <w:r w:rsidR="007428D6">
        <w:t>s</w:t>
      </w:r>
      <w:r w:rsidR="007428D6" w:rsidRPr="007428D6">
        <w:t xml:space="preserve"> higher penetrations of customer-owned renewable generation and also develop micro-gridding functionality.</w:t>
      </w:r>
    </w:p>
    <w:p w:rsidR="0075532E" w:rsidRPr="00C17C23" w:rsidRDefault="0075532E" w:rsidP="0075532E">
      <w:r>
        <w:rPr>
          <w:rStyle w:val="Strong"/>
        </w:rPr>
        <w:t>Criteria #</w:t>
      </w:r>
      <w:r w:rsidRPr="00C17C23">
        <w:rPr>
          <w:rStyle w:val="Strong"/>
        </w:rPr>
        <w:t xml:space="preserve">2 </w:t>
      </w:r>
      <w:r>
        <w:t xml:space="preserve">This is a broad-based demand management program. </w:t>
      </w:r>
    </w:p>
    <w:p w:rsidR="007428D6" w:rsidRPr="007428D6" w:rsidRDefault="0075532E" w:rsidP="007428D6">
      <w:r>
        <w:rPr>
          <w:rStyle w:val="Strong"/>
        </w:rPr>
        <w:lastRenderedPageBreak/>
        <w:t xml:space="preserve">Criteria </w:t>
      </w:r>
      <w:r w:rsidRPr="00C17C23">
        <w:rPr>
          <w:rStyle w:val="Strong"/>
        </w:rPr>
        <w:t>#3</w:t>
      </w:r>
      <w:r>
        <w:rPr>
          <w:rStyle w:val="Strong"/>
        </w:rPr>
        <w:t xml:space="preserve"> </w:t>
      </w:r>
      <w:r w:rsidR="007428D6">
        <w:t>This project e</w:t>
      </w:r>
      <w:r w:rsidR="007428D6" w:rsidRPr="007428D6">
        <w:t>nable</w:t>
      </w:r>
      <w:r w:rsidR="007428D6">
        <w:t>s</w:t>
      </w:r>
      <w:r w:rsidR="007428D6" w:rsidRPr="007428D6">
        <w:t xml:space="preserve"> higher penetrations of PV on the network using centralised energy storage</w:t>
      </w:r>
      <w:r w:rsidR="007428D6">
        <w:t xml:space="preserve">. </w:t>
      </w:r>
      <w:r w:rsidR="007428D6" w:rsidRPr="007428D6">
        <w:t xml:space="preserve"> </w:t>
      </w:r>
    </w:p>
    <w:p w:rsidR="0075532E" w:rsidRPr="00CD2645" w:rsidRDefault="0075532E" w:rsidP="0075532E">
      <w:pPr>
        <w:rPr>
          <w:rStyle w:val="AERbody"/>
        </w:rPr>
      </w:pPr>
      <w:r w:rsidRPr="00C17C23">
        <w:rPr>
          <w:rStyle w:val="Strong"/>
        </w:rPr>
        <w:t>Criteria #4</w:t>
      </w:r>
      <w:r>
        <w:rPr>
          <w:rStyle w:val="Strong"/>
        </w:rPr>
        <w:t xml:space="preserve"> </w:t>
      </w:r>
      <w:r>
        <w:rPr>
          <w:rStyle w:val="AERbody"/>
        </w:rPr>
        <w:t>Non-tariff based</w:t>
      </w:r>
    </w:p>
    <w:p w:rsidR="0075532E" w:rsidRPr="00CD2645" w:rsidRDefault="0075532E" w:rsidP="0075532E">
      <w:pPr>
        <w:rPr>
          <w:rStyle w:val="AERbody"/>
        </w:rPr>
      </w:pPr>
      <w:r w:rsidRPr="00C17C23">
        <w:rPr>
          <w:rStyle w:val="Strong"/>
        </w:rPr>
        <w:t>Criteria #5</w:t>
      </w:r>
      <w:r>
        <w:rPr>
          <w:rStyle w:val="Strong"/>
        </w:rPr>
        <w:t xml:space="preserve"> </w:t>
      </w:r>
      <w:r>
        <w:rPr>
          <w:rStyle w:val="AERbody"/>
        </w:rPr>
        <w:t xml:space="preserve">This criteria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p>
    <w:p w:rsidR="0075532E" w:rsidRPr="0006167F" w:rsidRDefault="0075532E" w:rsidP="0075532E">
      <w:pPr>
        <w:numPr>
          <w:ilvl w:val="0"/>
          <w:numId w:val="24"/>
        </w:numPr>
        <w:rPr>
          <w:rStyle w:val="AERbody"/>
        </w:rPr>
      </w:pPr>
      <w:r w:rsidRPr="00C17C23">
        <w:rPr>
          <w:rStyle w:val="Strong"/>
        </w:rPr>
        <w:t>Criteria #6</w:t>
      </w:r>
      <w:r>
        <w:rPr>
          <w:rStyle w:val="Strong"/>
        </w:rPr>
        <w:t xml:space="preserve"> </w:t>
      </w:r>
      <w:r>
        <w:rPr>
          <w:rStyle w:val="AERbody"/>
        </w:rPr>
        <w:t xml:space="preserve">Opex </w:t>
      </w:r>
    </w:p>
    <w:p w:rsidR="00624640" w:rsidRPr="003F20E1" w:rsidRDefault="00624640" w:rsidP="00624640">
      <w:pPr>
        <w:pStyle w:val="Heading2"/>
      </w:pPr>
      <w:bookmarkStart w:id="440" w:name="_Toc445801931"/>
      <w:r w:rsidRPr="00624640">
        <w:t>Demand Response System</w:t>
      </w:r>
      <w:bookmarkEnd w:id="440"/>
    </w:p>
    <w:p w:rsidR="00624640" w:rsidRPr="003F20E1" w:rsidRDefault="00624640" w:rsidP="00624640">
      <w:pPr>
        <w:pStyle w:val="Heading3"/>
      </w:pPr>
      <w:bookmarkStart w:id="441" w:name="_Toc445801932"/>
      <w:r w:rsidRPr="003F20E1">
        <w:t>Project overview</w:t>
      </w:r>
      <w:bookmarkEnd w:id="441"/>
    </w:p>
    <w:p w:rsidR="00624640" w:rsidRDefault="00624640" w:rsidP="00624640">
      <w:pPr>
        <w:pStyle w:val="ListParagraph"/>
        <w:numPr>
          <w:ilvl w:val="0"/>
          <w:numId w:val="24"/>
        </w:numPr>
      </w:pPr>
      <w:r w:rsidRPr="00624640">
        <w:t>This was a capability enablement project to take the findings from previous Automated Demand Response project and develop the business as usual approach for applying the learnings. The project sought to establish, at a minimum the tendering and purchasing of a demand response system and was funded via DIMA under the category of capability enablement.</w:t>
      </w:r>
    </w:p>
    <w:p w:rsidR="00624640" w:rsidRPr="00D61E77" w:rsidRDefault="00624640" w:rsidP="00624640">
      <w:pPr>
        <w:pStyle w:val="ListParagraph"/>
        <w:numPr>
          <w:ilvl w:val="0"/>
          <w:numId w:val="24"/>
        </w:numPr>
      </w:pPr>
      <w:r>
        <w:t>Ergon Energy claimed DMIA expenditure of $41 1</w:t>
      </w:r>
      <w:r w:rsidR="00525C97">
        <w:t>00 in 2014–15</w:t>
      </w:r>
      <w:r>
        <w:t xml:space="preserve"> for this project.</w:t>
      </w:r>
    </w:p>
    <w:p w:rsidR="00624640" w:rsidRPr="003F20E1" w:rsidRDefault="00624640" w:rsidP="00624640">
      <w:pPr>
        <w:pStyle w:val="Heading3"/>
      </w:pPr>
      <w:bookmarkStart w:id="442" w:name="_Toc445801933"/>
      <w:r w:rsidRPr="003F20E1">
        <w:t>Assessment against DMIA criteria</w:t>
      </w:r>
      <w:bookmarkEnd w:id="442"/>
    </w:p>
    <w:p w:rsidR="00624640" w:rsidRDefault="00624640" w:rsidP="00624640">
      <w:r w:rsidRPr="00C17C23">
        <w:rPr>
          <w:rStyle w:val="Strong"/>
        </w:rPr>
        <w:t>Criteria #1</w:t>
      </w:r>
      <w:r w:rsidRPr="00C16206">
        <w:t xml:space="preserve"> </w:t>
      </w:r>
      <w:r>
        <w:t xml:space="preserve">Automatic load control reduces demand at peak times and helps avoid the need for network augmentation. </w:t>
      </w:r>
      <w:r w:rsidRPr="00C529EB">
        <w:t xml:space="preserve"> </w:t>
      </w:r>
    </w:p>
    <w:p w:rsidR="00624640" w:rsidRPr="00C17C23" w:rsidRDefault="00624640" w:rsidP="00624640">
      <w:r>
        <w:rPr>
          <w:rStyle w:val="Strong"/>
        </w:rPr>
        <w:t>Criteria #</w:t>
      </w:r>
      <w:r w:rsidRPr="00C17C23">
        <w:rPr>
          <w:rStyle w:val="Strong"/>
        </w:rPr>
        <w:t xml:space="preserve">2 </w:t>
      </w:r>
      <w:r>
        <w:t xml:space="preserve">This is a broad-based demand management program. </w:t>
      </w:r>
    </w:p>
    <w:p w:rsidR="00624640" w:rsidRPr="007428D6" w:rsidRDefault="00624640" w:rsidP="00624640">
      <w:r>
        <w:rPr>
          <w:rStyle w:val="Strong"/>
        </w:rPr>
        <w:t xml:space="preserve">Criteria </w:t>
      </w:r>
      <w:r w:rsidRPr="00C17C23">
        <w:rPr>
          <w:rStyle w:val="Strong"/>
        </w:rPr>
        <w:t>#3</w:t>
      </w:r>
      <w:r>
        <w:rPr>
          <w:rStyle w:val="Strong"/>
        </w:rPr>
        <w:t xml:space="preserve"> </w:t>
      </w:r>
      <w:r>
        <w:t>This project increases Ergon Energy's demand management capacity.</w:t>
      </w:r>
    </w:p>
    <w:p w:rsidR="00624640" w:rsidRPr="00CD2645" w:rsidRDefault="00624640" w:rsidP="00624640">
      <w:pPr>
        <w:rPr>
          <w:rStyle w:val="AERbody"/>
        </w:rPr>
      </w:pPr>
      <w:r w:rsidRPr="00C17C23">
        <w:rPr>
          <w:rStyle w:val="Strong"/>
        </w:rPr>
        <w:t>Criteria #4</w:t>
      </w:r>
      <w:r>
        <w:rPr>
          <w:rStyle w:val="Strong"/>
        </w:rPr>
        <w:t xml:space="preserve"> </w:t>
      </w:r>
      <w:r>
        <w:rPr>
          <w:rStyle w:val="AERbody"/>
        </w:rPr>
        <w:t>Non-tariff based</w:t>
      </w:r>
    </w:p>
    <w:p w:rsidR="00624640" w:rsidRPr="00CD2645" w:rsidRDefault="00624640" w:rsidP="00624640">
      <w:pPr>
        <w:rPr>
          <w:rStyle w:val="AERbody"/>
        </w:rPr>
      </w:pPr>
      <w:r w:rsidRPr="00C17C23">
        <w:rPr>
          <w:rStyle w:val="Strong"/>
        </w:rPr>
        <w:t>Criteria #5</w:t>
      </w:r>
      <w:r>
        <w:rPr>
          <w:rStyle w:val="Strong"/>
        </w:rPr>
        <w:t xml:space="preserve"> </w:t>
      </w:r>
      <w:r>
        <w:rPr>
          <w:rStyle w:val="AERbody"/>
        </w:rPr>
        <w:t xml:space="preserve">This criteria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p>
    <w:p w:rsidR="00624640" w:rsidRPr="0006167F" w:rsidRDefault="00624640" w:rsidP="00624640">
      <w:pPr>
        <w:numPr>
          <w:ilvl w:val="0"/>
          <w:numId w:val="24"/>
        </w:numPr>
        <w:rPr>
          <w:rStyle w:val="AERbody"/>
        </w:rPr>
      </w:pPr>
      <w:r w:rsidRPr="00C17C23">
        <w:rPr>
          <w:rStyle w:val="Strong"/>
        </w:rPr>
        <w:t>Criteria #6</w:t>
      </w:r>
      <w:r>
        <w:rPr>
          <w:rStyle w:val="Strong"/>
        </w:rPr>
        <w:t xml:space="preserve"> </w:t>
      </w:r>
      <w:r>
        <w:rPr>
          <w:rStyle w:val="AERbody"/>
        </w:rPr>
        <w:t xml:space="preserve">Opex </w:t>
      </w:r>
    </w:p>
    <w:p w:rsidR="00DE6D0C" w:rsidRDefault="00DE6D0C" w:rsidP="00DE6D0C"/>
    <w:p w:rsidR="00EB4FFC" w:rsidRDefault="00EB4FFC">
      <w:pPr>
        <w:spacing w:line="240" w:lineRule="auto"/>
      </w:pPr>
      <w:r>
        <w:br w:type="page"/>
      </w:r>
    </w:p>
    <w:p w:rsidR="00A86DC4" w:rsidRDefault="005A1EF6" w:rsidP="003F20E1">
      <w:pPr>
        <w:pStyle w:val="Heading1"/>
      </w:pPr>
      <w:bookmarkStart w:id="443" w:name="_Toc445801934"/>
      <w:bookmarkStart w:id="444" w:name="_Toc392751242"/>
      <w:bookmarkEnd w:id="422"/>
      <w:r>
        <w:lastRenderedPageBreak/>
        <w:t xml:space="preserve"> </w:t>
      </w:r>
      <w:r w:rsidR="00A86DC4">
        <w:t>SA Power Networks</w:t>
      </w:r>
      <w:bookmarkEnd w:id="443"/>
    </w:p>
    <w:p w:rsidR="008A127B" w:rsidRPr="00077BA1" w:rsidRDefault="008A127B" w:rsidP="008A127B">
      <w:pPr>
        <w:numPr>
          <w:ilvl w:val="0"/>
          <w:numId w:val="24"/>
        </w:numPr>
      </w:pPr>
      <w:r>
        <w:t>We approve DMIA expenditure of $1</w:t>
      </w:r>
      <w:r w:rsidR="009F7A17">
        <w:t xml:space="preserve"> </w:t>
      </w:r>
      <w:r>
        <w:t>433 000</w:t>
      </w:r>
      <w:r w:rsidRPr="00077BA1">
        <w:t xml:space="preserve"> for three projects </w:t>
      </w:r>
      <w:r>
        <w:t>in 2013–14 and</w:t>
      </w:r>
      <w:r w:rsidR="009F7A17">
        <w:t xml:space="preserve"> $1</w:t>
      </w:r>
      <w:r w:rsidR="00F3552A">
        <w:t> </w:t>
      </w:r>
      <w:r w:rsidR="009F7A17">
        <w:t>777</w:t>
      </w:r>
      <w:r w:rsidR="00F3552A">
        <w:t> </w:t>
      </w:r>
      <w:r w:rsidR="009F7A17">
        <w:t>000</w:t>
      </w:r>
      <w:r w:rsidR="009F7A17" w:rsidRPr="00077BA1">
        <w:t xml:space="preserve"> for </w:t>
      </w:r>
      <w:r w:rsidR="00B40F3A">
        <w:t>four</w:t>
      </w:r>
      <w:r w:rsidR="009F7A17" w:rsidRPr="00077BA1">
        <w:t xml:space="preserve"> projects </w:t>
      </w:r>
      <w:r w:rsidR="009F7A17">
        <w:t xml:space="preserve">in 2014–15 </w:t>
      </w:r>
      <w:r w:rsidRPr="00077BA1">
        <w:t xml:space="preserve">because they meet the DMIA criteria. The following section sets out our assessment of the individual projects. For more detailed information about these projects, please refer to </w:t>
      </w:r>
      <w:r w:rsidR="009F7A17">
        <w:t xml:space="preserve">SA Power </w:t>
      </w:r>
      <w:r w:rsidR="007E0568">
        <w:t>Network</w:t>
      </w:r>
      <w:r w:rsidRPr="00077BA1">
        <w:t>s</w:t>
      </w:r>
      <w:r w:rsidR="007E0568">
        <w:t>'</w:t>
      </w:r>
      <w:r w:rsidR="009F7A17">
        <w:t xml:space="preserve"> 2013–14 and 2014–15</w:t>
      </w:r>
      <w:r w:rsidRPr="00077BA1">
        <w:t xml:space="preserve"> DMIA report</w:t>
      </w:r>
      <w:r w:rsidR="009F7A17">
        <w:t>s</w:t>
      </w:r>
      <w:r w:rsidRPr="00077BA1">
        <w:t xml:space="preserve">. </w:t>
      </w:r>
    </w:p>
    <w:p w:rsidR="007E0568" w:rsidRPr="003F20E1" w:rsidRDefault="007E0568" w:rsidP="007E0568">
      <w:pPr>
        <w:pStyle w:val="Heading2"/>
      </w:pPr>
      <w:bookmarkStart w:id="445" w:name="_Toc445801935"/>
      <w:r w:rsidRPr="007E0568">
        <w:t>DM - Smart Grid Tariff Trial</w:t>
      </w:r>
      <w:bookmarkEnd w:id="445"/>
    </w:p>
    <w:p w:rsidR="007E0568" w:rsidRPr="003F20E1" w:rsidRDefault="007E0568" w:rsidP="007E0568">
      <w:pPr>
        <w:pStyle w:val="Heading3"/>
      </w:pPr>
      <w:bookmarkStart w:id="446" w:name="_Toc445801936"/>
      <w:r w:rsidRPr="003F20E1">
        <w:t>Project overview</w:t>
      </w:r>
      <w:bookmarkEnd w:id="446"/>
    </w:p>
    <w:p w:rsidR="007E0568" w:rsidRPr="007E0568" w:rsidRDefault="007E0568" w:rsidP="007E0568">
      <w:r>
        <w:t xml:space="preserve">This trial was undertaken </w:t>
      </w:r>
      <w:r w:rsidRPr="007E0568">
        <w:t>in order to investigate customer reaction to the application of a capacity based tariff, how customers might respond to this form of charge and what role in home displays (IHD) might play.</w:t>
      </w:r>
    </w:p>
    <w:p w:rsidR="007E0568" w:rsidRPr="00D61E77" w:rsidRDefault="007E0568" w:rsidP="007E0568">
      <w:pPr>
        <w:pStyle w:val="ListParagraph"/>
        <w:numPr>
          <w:ilvl w:val="0"/>
          <w:numId w:val="24"/>
        </w:numPr>
      </w:pPr>
      <w:r>
        <w:t>SA Power Network</w:t>
      </w:r>
      <w:r w:rsidRPr="00077BA1">
        <w:t>s</w:t>
      </w:r>
      <w:r>
        <w:t xml:space="preserve"> claimed DMIA expenditure of $92 000 in 2013–14 for this project.</w:t>
      </w:r>
    </w:p>
    <w:p w:rsidR="007E0568" w:rsidRPr="003F20E1" w:rsidRDefault="007E0568" w:rsidP="007E0568">
      <w:pPr>
        <w:pStyle w:val="Heading3"/>
      </w:pPr>
      <w:bookmarkStart w:id="447" w:name="_Toc445801937"/>
      <w:r w:rsidRPr="003F20E1">
        <w:t>Assessment against DMIA criteria</w:t>
      </w:r>
      <w:bookmarkEnd w:id="447"/>
    </w:p>
    <w:p w:rsidR="00214524" w:rsidRPr="00214524" w:rsidRDefault="007E0568" w:rsidP="00214524">
      <w:r w:rsidRPr="00C17C23">
        <w:rPr>
          <w:rStyle w:val="Strong"/>
        </w:rPr>
        <w:t>Criteria #1</w:t>
      </w:r>
      <w:r w:rsidRPr="00C16206">
        <w:t xml:space="preserve"> </w:t>
      </w:r>
      <w:r w:rsidR="00214524">
        <w:t>T</w:t>
      </w:r>
      <w:r w:rsidR="00214524" w:rsidRPr="00214524">
        <w:t>he trial provided valuable customer response and demand profiles that further informed the capacity tariff design and refined the timing and duration of the peak demand period for the tariff.  Evaluation of customer behavioural responses also resulted in changes to the implementation plan for the tariff.</w:t>
      </w:r>
    </w:p>
    <w:p w:rsidR="007E0568" w:rsidRPr="00C17C23" w:rsidRDefault="007E0568" w:rsidP="007E0568">
      <w:r>
        <w:rPr>
          <w:rStyle w:val="Strong"/>
        </w:rPr>
        <w:t>Criteria #</w:t>
      </w:r>
      <w:r w:rsidRPr="00C17C23">
        <w:rPr>
          <w:rStyle w:val="Strong"/>
        </w:rPr>
        <w:t xml:space="preserve">2 </w:t>
      </w:r>
      <w:r>
        <w:t xml:space="preserve">This is a broad-based demand management program. </w:t>
      </w:r>
    </w:p>
    <w:p w:rsidR="007E0568" w:rsidRPr="007428D6" w:rsidRDefault="007E0568" w:rsidP="007E0568">
      <w:r>
        <w:rPr>
          <w:rStyle w:val="Strong"/>
        </w:rPr>
        <w:t xml:space="preserve">Criteria </w:t>
      </w:r>
      <w:r w:rsidRPr="00C17C23">
        <w:rPr>
          <w:rStyle w:val="Strong"/>
        </w:rPr>
        <w:t>#3</w:t>
      </w:r>
      <w:r>
        <w:rPr>
          <w:rStyle w:val="Strong"/>
        </w:rPr>
        <w:t xml:space="preserve"> </w:t>
      </w:r>
      <w:r>
        <w:t>This project increases demand management capacity.</w:t>
      </w:r>
    </w:p>
    <w:p w:rsidR="007E0568" w:rsidRPr="00CD2645" w:rsidRDefault="007E0568" w:rsidP="007E0568">
      <w:pPr>
        <w:rPr>
          <w:rStyle w:val="AERbody"/>
        </w:rPr>
      </w:pPr>
      <w:r w:rsidRPr="00C17C23">
        <w:rPr>
          <w:rStyle w:val="Strong"/>
        </w:rPr>
        <w:t>Criteria #4</w:t>
      </w:r>
      <w:r>
        <w:rPr>
          <w:rStyle w:val="Strong"/>
        </w:rPr>
        <w:t xml:space="preserve"> </w:t>
      </w:r>
      <w:r w:rsidR="0023647C">
        <w:rPr>
          <w:rStyle w:val="AERbody"/>
        </w:rPr>
        <w:t>T</w:t>
      </w:r>
      <w:r>
        <w:rPr>
          <w:rStyle w:val="AERbody"/>
        </w:rPr>
        <w:t>ariff based</w:t>
      </w:r>
    </w:p>
    <w:p w:rsidR="007E0568" w:rsidRPr="00CD2645" w:rsidRDefault="007E0568" w:rsidP="007E0568">
      <w:pPr>
        <w:rPr>
          <w:rStyle w:val="AERbody"/>
        </w:rPr>
      </w:pPr>
      <w:r w:rsidRPr="00C17C23">
        <w:rPr>
          <w:rStyle w:val="Strong"/>
        </w:rPr>
        <w:t>Criteria #5</w:t>
      </w:r>
      <w:r>
        <w:rPr>
          <w:rStyle w:val="Strong"/>
        </w:rPr>
        <w:t xml:space="preserve"> </w:t>
      </w:r>
      <w:r>
        <w:rPr>
          <w:rStyle w:val="AERbody"/>
        </w:rPr>
        <w:t xml:space="preserve">This criteria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p>
    <w:p w:rsidR="007E0568" w:rsidRPr="0006167F" w:rsidRDefault="007E0568" w:rsidP="007E0568">
      <w:pPr>
        <w:numPr>
          <w:ilvl w:val="0"/>
          <w:numId w:val="24"/>
        </w:numPr>
        <w:rPr>
          <w:rStyle w:val="AERbody"/>
        </w:rPr>
      </w:pPr>
      <w:r w:rsidRPr="00C17C23">
        <w:rPr>
          <w:rStyle w:val="Strong"/>
        </w:rPr>
        <w:t>Criteria #6</w:t>
      </w:r>
      <w:r>
        <w:rPr>
          <w:rStyle w:val="Strong"/>
        </w:rPr>
        <w:t xml:space="preserve"> </w:t>
      </w:r>
      <w:r>
        <w:rPr>
          <w:rStyle w:val="AERbody"/>
        </w:rPr>
        <w:t xml:space="preserve">Opex </w:t>
      </w:r>
    </w:p>
    <w:p w:rsidR="00214524" w:rsidRPr="003F20E1" w:rsidRDefault="00214524" w:rsidP="00214524">
      <w:pPr>
        <w:pStyle w:val="Heading2"/>
      </w:pPr>
      <w:bookmarkStart w:id="448" w:name="_Toc445801938"/>
      <w:r w:rsidRPr="00214524">
        <w:t>DSP Trial 2</w:t>
      </w:r>
      <w:bookmarkEnd w:id="448"/>
    </w:p>
    <w:p w:rsidR="00214524" w:rsidRPr="003F20E1" w:rsidRDefault="00214524" w:rsidP="00214524">
      <w:pPr>
        <w:pStyle w:val="Heading3"/>
      </w:pPr>
      <w:bookmarkStart w:id="449" w:name="_Toc445801939"/>
      <w:r w:rsidRPr="003F20E1">
        <w:t>Project overview</w:t>
      </w:r>
      <w:bookmarkEnd w:id="449"/>
    </w:p>
    <w:p w:rsidR="00214524" w:rsidRPr="00214524" w:rsidRDefault="00214524" w:rsidP="00214524">
      <w:r>
        <w:t xml:space="preserve">This trial built on the DM </w:t>
      </w:r>
      <w:r w:rsidRPr="00214524">
        <w:t>- Smart Grid Tariff Trial discussed in section 1, and was required in order to be able to understand, with a statistically valid sample, how many customers may be prepared to take up a capacity tariff, if the tariff were voluntary, and the likelihood of those customers being able to respond in ways that reduced their electricity bills.</w:t>
      </w:r>
    </w:p>
    <w:p w:rsidR="00214524" w:rsidRPr="00D61E77" w:rsidRDefault="00214524" w:rsidP="00214524">
      <w:pPr>
        <w:pStyle w:val="ListParagraph"/>
        <w:numPr>
          <w:ilvl w:val="0"/>
          <w:numId w:val="24"/>
        </w:numPr>
      </w:pPr>
      <w:r>
        <w:t>SA Power Network</w:t>
      </w:r>
      <w:r w:rsidRPr="00077BA1">
        <w:t>s</w:t>
      </w:r>
      <w:r>
        <w:t xml:space="preserve"> claimed DMIA expenditure of $449 000 in 2013–14 for this project.</w:t>
      </w:r>
    </w:p>
    <w:p w:rsidR="00214524" w:rsidRPr="003F20E1" w:rsidRDefault="00214524" w:rsidP="00214524">
      <w:pPr>
        <w:pStyle w:val="Heading3"/>
      </w:pPr>
      <w:bookmarkStart w:id="450" w:name="_Toc445801940"/>
      <w:r w:rsidRPr="003F20E1">
        <w:lastRenderedPageBreak/>
        <w:t>Assessment against DMIA criteria</w:t>
      </w:r>
      <w:bookmarkEnd w:id="450"/>
    </w:p>
    <w:p w:rsidR="00214524" w:rsidRPr="00214524" w:rsidRDefault="00214524" w:rsidP="00214524">
      <w:r w:rsidRPr="00C17C23">
        <w:rPr>
          <w:rStyle w:val="Strong"/>
        </w:rPr>
        <w:t>Criteria #1</w:t>
      </w:r>
      <w:r w:rsidRPr="00C16206">
        <w:t xml:space="preserve"> </w:t>
      </w:r>
      <w:r>
        <w:t xml:space="preserve">This </w:t>
      </w:r>
      <w:r w:rsidRPr="00214524">
        <w:t xml:space="preserve">trial </w:t>
      </w:r>
      <w:r>
        <w:t>aimed</w:t>
      </w:r>
      <w:r w:rsidRPr="00214524">
        <w:t xml:space="preserve"> to determine the proportion of customers willing to take up the tariff voluntarily and how (and if) their energy demand patterns might change should they wish to take up the offer.</w:t>
      </w:r>
    </w:p>
    <w:p w:rsidR="00214524" w:rsidRPr="00C17C23" w:rsidRDefault="00214524" w:rsidP="00214524">
      <w:r>
        <w:rPr>
          <w:rStyle w:val="Strong"/>
        </w:rPr>
        <w:t>Criteria #</w:t>
      </w:r>
      <w:r w:rsidRPr="00C17C23">
        <w:rPr>
          <w:rStyle w:val="Strong"/>
        </w:rPr>
        <w:t xml:space="preserve">2 </w:t>
      </w:r>
      <w:r>
        <w:t xml:space="preserve">This is a broad-based demand management program. </w:t>
      </w:r>
    </w:p>
    <w:p w:rsidR="00214524" w:rsidRPr="007428D6" w:rsidRDefault="00214524" w:rsidP="00214524">
      <w:r>
        <w:rPr>
          <w:rStyle w:val="Strong"/>
        </w:rPr>
        <w:t xml:space="preserve">Criteria </w:t>
      </w:r>
      <w:r w:rsidRPr="00C17C23">
        <w:rPr>
          <w:rStyle w:val="Strong"/>
        </w:rPr>
        <w:t>#3</w:t>
      </w:r>
      <w:r>
        <w:rPr>
          <w:rStyle w:val="Strong"/>
        </w:rPr>
        <w:t xml:space="preserve"> </w:t>
      </w:r>
      <w:r>
        <w:t>This project increases demand management capacity.</w:t>
      </w:r>
    </w:p>
    <w:p w:rsidR="00214524" w:rsidRPr="00CD2645" w:rsidRDefault="00214524" w:rsidP="00214524">
      <w:pPr>
        <w:rPr>
          <w:rStyle w:val="AERbody"/>
        </w:rPr>
      </w:pPr>
      <w:r w:rsidRPr="00C17C23">
        <w:rPr>
          <w:rStyle w:val="Strong"/>
        </w:rPr>
        <w:t>Criteria #4</w:t>
      </w:r>
      <w:r>
        <w:rPr>
          <w:rStyle w:val="Strong"/>
        </w:rPr>
        <w:t xml:space="preserve"> </w:t>
      </w:r>
      <w:r w:rsidR="00B40F3A">
        <w:rPr>
          <w:rStyle w:val="AERbody"/>
        </w:rPr>
        <w:t>T</w:t>
      </w:r>
      <w:r>
        <w:rPr>
          <w:rStyle w:val="AERbody"/>
        </w:rPr>
        <w:t>ariff based</w:t>
      </w:r>
    </w:p>
    <w:p w:rsidR="00214524" w:rsidRPr="00CD2645" w:rsidRDefault="00214524" w:rsidP="00214524">
      <w:pPr>
        <w:rPr>
          <w:rStyle w:val="AERbody"/>
        </w:rPr>
      </w:pPr>
      <w:r w:rsidRPr="00C17C23">
        <w:rPr>
          <w:rStyle w:val="Strong"/>
        </w:rPr>
        <w:t>Criteria #5</w:t>
      </w:r>
      <w:r>
        <w:rPr>
          <w:rStyle w:val="Strong"/>
        </w:rPr>
        <w:t xml:space="preserve"> </w:t>
      </w:r>
      <w:r>
        <w:rPr>
          <w:rStyle w:val="AERbody"/>
        </w:rPr>
        <w:t xml:space="preserve">This criteria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p>
    <w:p w:rsidR="00214524" w:rsidRPr="0006167F" w:rsidRDefault="00214524" w:rsidP="00214524">
      <w:pPr>
        <w:numPr>
          <w:ilvl w:val="0"/>
          <w:numId w:val="24"/>
        </w:numPr>
        <w:rPr>
          <w:rStyle w:val="AERbody"/>
        </w:rPr>
      </w:pPr>
      <w:r w:rsidRPr="00C17C23">
        <w:rPr>
          <w:rStyle w:val="Strong"/>
        </w:rPr>
        <w:t>Criteria #6</w:t>
      </w:r>
      <w:r>
        <w:rPr>
          <w:rStyle w:val="Strong"/>
        </w:rPr>
        <w:t xml:space="preserve"> </w:t>
      </w:r>
      <w:r>
        <w:rPr>
          <w:rStyle w:val="AERbody"/>
        </w:rPr>
        <w:t xml:space="preserve">Opex </w:t>
      </w:r>
    </w:p>
    <w:p w:rsidR="00253DB0" w:rsidRPr="003F20E1" w:rsidRDefault="00253DB0" w:rsidP="00253DB0">
      <w:pPr>
        <w:pStyle w:val="Heading2"/>
      </w:pPr>
      <w:bookmarkStart w:id="451" w:name="_Toc445801941"/>
      <w:r w:rsidRPr="00253DB0">
        <w:t>DSP Trial 3 - Residential Load Profiles</w:t>
      </w:r>
      <w:bookmarkEnd w:id="451"/>
    </w:p>
    <w:p w:rsidR="00253DB0" w:rsidRPr="003F20E1" w:rsidRDefault="00253DB0" w:rsidP="00253DB0">
      <w:pPr>
        <w:pStyle w:val="Heading3"/>
      </w:pPr>
      <w:bookmarkStart w:id="452" w:name="_Toc445801942"/>
      <w:r w:rsidRPr="003F20E1">
        <w:t>Project overview</w:t>
      </w:r>
      <w:bookmarkEnd w:id="452"/>
    </w:p>
    <w:p w:rsidR="001B4813" w:rsidRDefault="001B4813" w:rsidP="00253DB0">
      <w:pPr>
        <w:pStyle w:val="ListParagraph"/>
        <w:numPr>
          <w:ilvl w:val="0"/>
          <w:numId w:val="24"/>
        </w:numPr>
      </w:pPr>
      <w:r>
        <w:t>This project installed interval metering at selected sites within a representative metropolitan area which were identified as sites falling within the five customer tranches designated for tariff investigation. The aim of the trial was to collect interval data that would allow further tariff development and load profiling for the designated customer tranches.</w:t>
      </w:r>
    </w:p>
    <w:p w:rsidR="00253DB0" w:rsidRPr="00D61E77" w:rsidRDefault="00253DB0" w:rsidP="00253DB0">
      <w:pPr>
        <w:pStyle w:val="ListParagraph"/>
        <w:numPr>
          <w:ilvl w:val="0"/>
          <w:numId w:val="24"/>
        </w:numPr>
      </w:pPr>
      <w:r>
        <w:t>SA Power Network</w:t>
      </w:r>
      <w:r w:rsidRPr="00077BA1">
        <w:t>s</w:t>
      </w:r>
      <w:r>
        <w:t xml:space="preserve"> claimed DMIA expenditure of $</w:t>
      </w:r>
      <w:r w:rsidR="001B4813">
        <w:t>892</w:t>
      </w:r>
      <w:r>
        <w:t xml:space="preserve"> 000 in 2013–14 </w:t>
      </w:r>
      <w:r w:rsidR="001B4813">
        <w:t xml:space="preserve">and $262 000 in 2014–15 </w:t>
      </w:r>
      <w:r>
        <w:t>for this project.</w:t>
      </w:r>
    </w:p>
    <w:p w:rsidR="00253DB0" w:rsidRPr="003F20E1" w:rsidRDefault="00253DB0" w:rsidP="00253DB0">
      <w:pPr>
        <w:pStyle w:val="Heading3"/>
      </w:pPr>
      <w:bookmarkStart w:id="453" w:name="_Toc445801943"/>
      <w:r w:rsidRPr="003F20E1">
        <w:t>Assessment against DMIA criteria</w:t>
      </w:r>
      <w:bookmarkEnd w:id="453"/>
    </w:p>
    <w:p w:rsidR="001B4813" w:rsidRPr="001B4813" w:rsidRDefault="00253DB0" w:rsidP="001B4813">
      <w:r w:rsidRPr="00C17C23">
        <w:rPr>
          <w:rStyle w:val="Strong"/>
        </w:rPr>
        <w:t>Criteria #1</w:t>
      </w:r>
      <w:r w:rsidRPr="00C16206">
        <w:t xml:space="preserve"> </w:t>
      </w:r>
      <w:r w:rsidR="001B4813">
        <w:t xml:space="preserve">The data collected enables analysis of tariff impacts on the designated customer tranches </w:t>
      </w:r>
      <w:r w:rsidR="001B4813" w:rsidRPr="001B4813">
        <w:t>so as to further inform on the capacity tariff design and its application. Further analysis remains to be undertaken and may assist in targeting customers that would be best suited to the tariff.</w:t>
      </w:r>
    </w:p>
    <w:p w:rsidR="00253DB0" w:rsidRPr="00C17C23" w:rsidRDefault="00253DB0" w:rsidP="00253DB0">
      <w:r>
        <w:rPr>
          <w:rStyle w:val="Strong"/>
        </w:rPr>
        <w:t>Criteria #</w:t>
      </w:r>
      <w:r w:rsidRPr="00C17C23">
        <w:rPr>
          <w:rStyle w:val="Strong"/>
        </w:rPr>
        <w:t xml:space="preserve">2 </w:t>
      </w:r>
      <w:r>
        <w:t xml:space="preserve">This is a broad-based demand management program. </w:t>
      </w:r>
    </w:p>
    <w:p w:rsidR="00253DB0" w:rsidRPr="007428D6" w:rsidRDefault="00253DB0" w:rsidP="00253DB0">
      <w:r>
        <w:rPr>
          <w:rStyle w:val="Strong"/>
        </w:rPr>
        <w:t xml:space="preserve">Criteria </w:t>
      </w:r>
      <w:r w:rsidRPr="00C17C23">
        <w:rPr>
          <w:rStyle w:val="Strong"/>
        </w:rPr>
        <w:t>#3</w:t>
      </w:r>
      <w:r>
        <w:rPr>
          <w:rStyle w:val="Strong"/>
        </w:rPr>
        <w:t xml:space="preserve"> </w:t>
      </w:r>
      <w:r>
        <w:t>This project increases demand management capacity.</w:t>
      </w:r>
    </w:p>
    <w:p w:rsidR="00253DB0" w:rsidRPr="00CD2645" w:rsidRDefault="00253DB0" w:rsidP="00253DB0">
      <w:pPr>
        <w:rPr>
          <w:rStyle w:val="AERbody"/>
        </w:rPr>
      </w:pPr>
      <w:r w:rsidRPr="00C17C23">
        <w:rPr>
          <w:rStyle w:val="Strong"/>
        </w:rPr>
        <w:t>Criteria #4</w:t>
      </w:r>
      <w:r>
        <w:rPr>
          <w:rStyle w:val="Strong"/>
        </w:rPr>
        <w:t xml:space="preserve"> </w:t>
      </w:r>
      <w:r>
        <w:rPr>
          <w:rStyle w:val="AERbody"/>
        </w:rPr>
        <w:t>Non-tariff based</w:t>
      </w:r>
    </w:p>
    <w:p w:rsidR="00253DB0" w:rsidRPr="00CD2645" w:rsidRDefault="00253DB0" w:rsidP="00253DB0">
      <w:pPr>
        <w:rPr>
          <w:rStyle w:val="AERbody"/>
        </w:rPr>
      </w:pPr>
      <w:r w:rsidRPr="00C17C23">
        <w:rPr>
          <w:rStyle w:val="Strong"/>
        </w:rPr>
        <w:t>Criteria #5</w:t>
      </w:r>
      <w:r>
        <w:rPr>
          <w:rStyle w:val="Strong"/>
        </w:rPr>
        <w:t xml:space="preserve"> </w:t>
      </w:r>
      <w:r>
        <w:rPr>
          <w:rStyle w:val="AERbody"/>
        </w:rPr>
        <w:t xml:space="preserve">This criteria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p>
    <w:p w:rsidR="00253DB0" w:rsidRPr="0006167F" w:rsidRDefault="00253DB0" w:rsidP="00253DB0">
      <w:pPr>
        <w:numPr>
          <w:ilvl w:val="0"/>
          <w:numId w:val="24"/>
        </w:numPr>
        <w:rPr>
          <w:rStyle w:val="AERbody"/>
        </w:rPr>
      </w:pPr>
      <w:r w:rsidRPr="00C17C23">
        <w:rPr>
          <w:rStyle w:val="Strong"/>
        </w:rPr>
        <w:t>Criteria #6</w:t>
      </w:r>
      <w:r>
        <w:rPr>
          <w:rStyle w:val="Strong"/>
        </w:rPr>
        <w:t xml:space="preserve"> </w:t>
      </w:r>
      <w:r>
        <w:rPr>
          <w:rStyle w:val="AERbody"/>
        </w:rPr>
        <w:t xml:space="preserve">Opex </w:t>
      </w:r>
    </w:p>
    <w:p w:rsidR="00FD6AE5" w:rsidRPr="003F20E1" w:rsidRDefault="00FD6AE5" w:rsidP="00FD6AE5">
      <w:pPr>
        <w:pStyle w:val="Heading2"/>
      </w:pPr>
      <w:bookmarkStart w:id="454" w:name="_Toc445801944"/>
      <w:r w:rsidRPr="00FD6AE5">
        <w:lastRenderedPageBreak/>
        <w:t>DM – Bordertown Demand Management</w:t>
      </w:r>
      <w:bookmarkEnd w:id="454"/>
    </w:p>
    <w:p w:rsidR="00FD6AE5" w:rsidRPr="003F20E1" w:rsidRDefault="00FD6AE5" w:rsidP="00FD6AE5">
      <w:pPr>
        <w:pStyle w:val="Heading3"/>
      </w:pPr>
      <w:bookmarkStart w:id="455" w:name="_Toc445801945"/>
      <w:r w:rsidRPr="003F20E1">
        <w:t>Project overview</w:t>
      </w:r>
      <w:bookmarkEnd w:id="455"/>
    </w:p>
    <w:p w:rsidR="00FD6AE5" w:rsidRPr="00FD6AE5" w:rsidRDefault="00FD6AE5" w:rsidP="00FD6AE5">
      <w:r>
        <w:t>This project was undertaken in order to address the forecast network capacity constraint at the Bordertown 33/11kV substation and Keith-Bordertown 33kV sub-transmission line. The project involved the connection and on-going payment (for network support) of a 3</w:t>
      </w:r>
      <w:r w:rsidRPr="00FD6AE5">
        <w:t>rd party generator installed by Vibe Energy at Bordertown. This generator provides peak-lopping to defer the capital works to upgrade the network in the region.</w:t>
      </w:r>
    </w:p>
    <w:p w:rsidR="00FD6AE5" w:rsidRPr="00D61E77" w:rsidRDefault="00FD6AE5" w:rsidP="00FD6AE5">
      <w:pPr>
        <w:pStyle w:val="ListParagraph"/>
        <w:numPr>
          <w:ilvl w:val="0"/>
          <w:numId w:val="24"/>
        </w:numPr>
      </w:pPr>
      <w:r>
        <w:t>SA Power Network</w:t>
      </w:r>
      <w:r w:rsidRPr="00077BA1">
        <w:t>s</w:t>
      </w:r>
      <w:r>
        <w:t xml:space="preserve"> claimed DMIA expenditure of $990 000 in 2014–15 for this project.</w:t>
      </w:r>
    </w:p>
    <w:p w:rsidR="00FD6AE5" w:rsidRPr="003F20E1" w:rsidRDefault="00FD6AE5" w:rsidP="00FD6AE5">
      <w:pPr>
        <w:pStyle w:val="Heading3"/>
      </w:pPr>
      <w:bookmarkStart w:id="456" w:name="_Toc445801946"/>
      <w:r w:rsidRPr="003F20E1">
        <w:t>Assessment against DMIA criteria</w:t>
      </w:r>
      <w:bookmarkEnd w:id="456"/>
    </w:p>
    <w:p w:rsidR="00FD6AE5" w:rsidRPr="00214524" w:rsidRDefault="00FD6AE5" w:rsidP="00FD6AE5">
      <w:r w:rsidRPr="00C17C23">
        <w:rPr>
          <w:rStyle w:val="Strong"/>
        </w:rPr>
        <w:t>Criteria #1</w:t>
      </w:r>
      <w:r w:rsidRPr="00C16206">
        <w:t xml:space="preserve"> </w:t>
      </w:r>
      <w:r w:rsidR="00C90FAF">
        <w:t>This project aimed to defer the implementation of a network solution</w:t>
      </w:r>
      <w:r w:rsidRPr="00214524">
        <w:t>.</w:t>
      </w:r>
      <w:r w:rsidR="00C90FAF" w:rsidRPr="00C90FAF">
        <w:t xml:space="preserve"> </w:t>
      </w:r>
      <w:r w:rsidR="00C90FAF">
        <w:t>The project also aimed to provide learnings by undertaking a practical implementation of a non-network third-party solution to a network constraint.</w:t>
      </w:r>
    </w:p>
    <w:p w:rsidR="00FD6AE5" w:rsidRPr="00C17C23" w:rsidRDefault="00FD6AE5" w:rsidP="00FD6AE5">
      <w:r>
        <w:rPr>
          <w:rStyle w:val="Strong"/>
        </w:rPr>
        <w:t>Criteria #</w:t>
      </w:r>
      <w:r w:rsidRPr="00C17C23">
        <w:rPr>
          <w:rStyle w:val="Strong"/>
        </w:rPr>
        <w:t xml:space="preserve">2 </w:t>
      </w:r>
      <w:r>
        <w:t xml:space="preserve">This is a broad-based demand management program. </w:t>
      </w:r>
    </w:p>
    <w:p w:rsidR="00FD6AE5" w:rsidRPr="007428D6" w:rsidRDefault="00FD6AE5" w:rsidP="00FD6AE5">
      <w:r>
        <w:rPr>
          <w:rStyle w:val="Strong"/>
        </w:rPr>
        <w:t xml:space="preserve">Criteria </w:t>
      </w:r>
      <w:r w:rsidRPr="00C17C23">
        <w:rPr>
          <w:rStyle w:val="Strong"/>
        </w:rPr>
        <w:t>#3</w:t>
      </w:r>
      <w:r>
        <w:rPr>
          <w:rStyle w:val="Strong"/>
        </w:rPr>
        <w:t xml:space="preserve"> </w:t>
      </w:r>
      <w:r>
        <w:t xml:space="preserve">This project </w:t>
      </w:r>
      <w:r w:rsidR="00C90FAF">
        <w:t>defers the implementation of a network solution.</w:t>
      </w:r>
    </w:p>
    <w:p w:rsidR="00FD6AE5" w:rsidRPr="00CD2645" w:rsidRDefault="00FD6AE5" w:rsidP="00FD6AE5">
      <w:pPr>
        <w:rPr>
          <w:rStyle w:val="AERbody"/>
        </w:rPr>
      </w:pPr>
      <w:r w:rsidRPr="00C17C23">
        <w:rPr>
          <w:rStyle w:val="Strong"/>
        </w:rPr>
        <w:t>Criteria #4</w:t>
      </w:r>
      <w:r>
        <w:rPr>
          <w:rStyle w:val="Strong"/>
        </w:rPr>
        <w:t xml:space="preserve"> </w:t>
      </w:r>
      <w:r>
        <w:rPr>
          <w:rStyle w:val="AERbody"/>
        </w:rPr>
        <w:t>Non-tariff based</w:t>
      </w:r>
    </w:p>
    <w:p w:rsidR="00FD6AE5" w:rsidRPr="00CD2645" w:rsidRDefault="00FD6AE5" w:rsidP="00FD6AE5">
      <w:pPr>
        <w:rPr>
          <w:rStyle w:val="AERbody"/>
        </w:rPr>
      </w:pPr>
      <w:r w:rsidRPr="00C17C23">
        <w:rPr>
          <w:rStyle w:val="Strong"/>
        </w:rPr>
        <w:t>Criteria #5</w:t>
      </w:r>
      <w:r>
        <w:rPr>
          <w:rStyle w:val="Strong"/>
        </w:rPr>
        <w:t xml:space="preserve"> </w:t>
      </w:r>
      <w:r>
        <w:rPr>
          <w:rStyle w:val="AERbody"/>
        </w:rPr>
        <w:t xml:space="preserve">This criteria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p>
    <w:p w:rsidR="00FD6AE5" w:rsidRPr="0006167F" w:rsidRDefault="00FD6AE5" w:rsidP="00FD6AE5">
      <w:pPr>
        <w:numPr>
          <w:ilvl w:val="0"/>
          <w:numId w:val="24"/>
        </w:numPr>
        <w:rPr>
          <w:rStyle w:val="AERbody"/>
        </w:rPr>
      </w:pPr>
      <w:r w:rsidRPr="00C17C23">
        <w:rPr>
          <w:rStyle w:val="Strong"/>
        </w:rPr>
        <w:t>Criteria #6</w:t>
      </w:r>
      <w:r>
        <w:rPr>
          <w:rStyle w:val="Strong"/>
        </w:rPr>
        <w:t xml:space="preserve"> </w:t>
      </w:r>
      <w:r>
        <w:rPr>
          <w:rStyle w:val="AERbody"/>
        </w:rPr>
        <w:t xml:space="preserve">Opex </w:t>
      </w:r>
    </w:p>
    <w:p w:rsidR="00C90FAF" w:rsidRPr="003F20E1" w:rsidRDefault="00C90FAF" w:rsidP="00C90FAF">
      <w:pPr>
        <w:pStyle w:val="Heading2"/>
      </w:pPr>
      <w:bookmarkStart w:id="457" w:name="_Toc445801947"/>
      <w:r w:rsidRPr="00C90FAF">
        <w:t>Grid Side Storage</w:t>
      </w:r>
      <w:bookmarkEnd w:id="457"/>
    </w:p>
    <w:p w:rsidR="00C90FAF" w:rsidRPr="003F20E1" w:rsidRDefault="00C90FAF" w:rsidP="00C90FAF">
      <w:pPr>
        <w:pStyle w:val="Heading3"/>
      </w:pPr>
      <w:bookmarkStart w:id="458" w:name="_Toc445801948"/>
      <w:r w:rsidRPr="003F20E1">
        <w:t>Project overview</w:t>
      </w:r>
      <w:bookmarkEnd w:id="458"/>
    </w:p>
    <w:p w:rsidR="00C90FAF" w:rsidRPr="00C90FAF" w:rsidRDefault="00C90FAF" w:rsidP="00C90FAF">
      <w:r>
        <w:t>This is</w:t>
      </w:r>
      <w:r w:rsidRPr="0089245A">
        <w:t xml:space="preserve"> a practical research study into the performance of energy storage systems across the likely applications within the distribution network.</w:t>
      </w:r>
      <w:r>
        <w:t xml:space="preserve"> With the increasing amount of Energy Storage System technologies and their applications this project will produce a mobile testing environment to further develop these technologies and to understand their use in Australian conditions. The project will create a knowledge base for industry and system developers whilst also providing for advanced training facilities on an operational system.</w:t>
      </w:r>
    </w:p>
    <w:p w:rsidR="00C90FAF" w:rsidRDefault="00C90FAF" w:rsidP="00C90FAF">
      <w:pPr>
        <w:pStyle w:val="ListParagraph"/>
        <w:numPr>
          <w:ilvl w:val="0"/>
          <w:numId w:val="24"/>
        </w:numPr>
      </w:pPr>
      <w:r>
        <w:t>SA Power Network</w:t>
      </w:r>
      <w:r w:rsidRPr="00077BA1">
        <w:t>s</w:t>
      </w:r>
      <w:r>
        <w:t xml:space="preserve"> claimed DMIA expenditure of $287 000 in 2014–15 for this project.</w:t>
      </w:r>
    </w:p>
    <w:p w:rsidR="008D5EF1" w:rsidRDefault="008D5EF1" w:rsidP="008D5EF1"/>
    <w:p w:rsidR="008D5EF1" w:rsidRDefault="008D5EF1" w:rsidP="008D5EF1"/>
    <w:p w:rsidR="008D5EF1" w:rsidRPr="00D61E77" w:rsidRDefault="008D5EF1" w:rsidP="008D5EF1"/>
    <w:p w:rsidR="00C90FAF" w:rsidRPr="003F20E1" w:rsidRDefault="00C90FAF" w:rsidP="00C90FAF">
      <w:pPr>
        <w:pStyle w:val="Heading3"/>
      </w:pPr>
      <w:bookmarkStart w:id="459" w:name="_Toc445801949"/>
      <w:r w:rsidRPr="003F20E1">
        <w:lastRenderedPageBreak/>
        <w:t>Assessment against DMIA criteria</w:t>
      </w:r>
      <w:bookmarkEnd w:id="459"/>
    </w:p>
    <w:p w:rsidR="00C90FAF" w:rsidRPr="00214524" w:rsidRDefault="00C90FAF" w:rsidP="00C90FAF">
      <w:r w:rsidRPr="00C17C23">
        <w:rPr>
          <w:rStyle w:val="Strong"/>
        </w:rPr>
        <w:t>Criteria #1</w:t>
      </w:r>
      <w:r w:rsidRPr="00C16206">
        <w:t xml:space="preserve"> </w:t>
      </w:r>
      <w:r>
        <w:t>This project will provide insight into the suitability and performance of different technologies when utilised in the most likely scenarios for distribution network management and operation.</w:t>
      </w:r>
    </w:p>
    <w:p w:rsidR="00C90FAF" w:rsidRPr="00C17C23" w:rsidRDefault="00C90FAF" w:rsidP="00C90FAF">
      <w:r>
        <w:rPr>
          <w:rStyle w:val="Strong"/>
        </w:rPr>
        <w:t>Criteria #</w:t>
      </w:r>
      <w:r w:rsidRPr="00C17C23">
        <w:rPr>
          <w:rStyle w:val="Strong"/>
        </w:rPr>
        <w:t xml:space="preserve">2 </w:t>
      </w:r>
      <w:r>
        <w:t xml:space="preserve">This is a broad-based demand management program. </w:t>
      </w:r>
    </w:p>
    <w:p w:rsidR="00C90FAF" w:rsidRPr="007428D6" w:rsidRDefault="00C90FAF" w:rsidP="00C90FAF">
      <w:r>
        <w:rPr>
          <w:rStyle w:val="Strong"/>
        </w:rPr>
        <w:t xml:space="preserve">Criteria </w:t>
      </w:r>
      <w:r w:rsidRPr="00C17C23">
        <w:rPr>
          <w:rStyle w:val="Strong"/>
        </w:rPr>
        <w:t>#3</w:t>
      </w:r>
      <w:r>
        <w:rPr>
          <w:rStyle w:val="Strong"/>
        </w:rPr>
        <w:t xml:space="preserve"> </w:t>
      </w:r>
      <w:r>
        <w:t xml:space="preserve">This project provides </w:t>
      </w:r>
      <w:r w:rsidRPr="0089245A">
        <w:t>study into the performance of energy storage systems</w:t>
      </w:r>
      <w:r>
        <w:t>.</w:t>
      </w:r>
    </w:p>
    <w:p w:rsidR="00C90FAF" w:rsidRPr="00CD2645" w:rsidRDefault="00C90FAF" w:rsidP="00C90FAF">
      <w:pPr>
        <w:rPr>
          <w:rStyle w:val="AERbody"/>
        </w:rPr>
      </w:pPr>
      <w:r w:rsidRPr="00C17C23">
        <w:rPr>
          <w:rStyle w:val="Strong"/>
        </w:rPr>
        <w:t>Criteria #4</w:t>
      </w:r>
      <w:r>
        <w:rPr>
          <w:rStyle w:val="Strong"/>
        </w:rPr>
        <w:t xml:space="preserve"> </w:t>
      </w:r>
      <w:r>
        <w:rPr>
          <w:rStyle w:val="AERbody"/>
        </w:rPr>
        <w:t>Non-tariff based</w:t>
      </w:r>
    </w:p>
    <w:p w:rsidR="00C90FAF" w:rsidRPr="00CD2645" w:rsidRDefault="00C90FAF" w:rsidP="00C90FAF">
      <w:pPr>
        <w:rPr>
          <w:rStyle w:val="AERbody"/>
        </w:rPr>
      </w:pPr>
      <w:r w:rsidRPr="00C17C23">
        <w:rPr>
          <w:rStyle w:val="Strong"/>
        </w:rPr>
        <w:t>Criteria #5</w:t>
      </w:r>
      <w:r>
        <w:rPr>
          <w:rStyle w:val="Strong"/>
        </w:rPr>
        <w:t xml:space="preserve"> </w:t>
      </w:r>
      <w:r>
        <w:rPr>
          <w:rStyle w:val="AERbody"/>
        </w:rPr>
        <w:t xml:space="preserve">This criteria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p>
    <w:p w:rsidR="00C90FAF" w:rsidRPr="0006167F" w:rsidRDefault="00C90FAF" w:rsidP="00C90FAF">
      <w:pPr>
        <w:numPr>
          <w:ilvl w:val="0"/>
          <w:numId w:val="24"/>
        </w:numPr>
        <w:rPr>
          <w:rStyle w:val="AERbody"/>
        </w:rPr>
      </w:pPr>
      <w:r w:rsidRPr="00C17C23">
        <w:rPr>
          <w:rStyle w:val="Strong"/>
        </w:rPr>
        <w:t>Criteria #6</w:t>
      </w:r>
      <w:r>
        <w:rPr>
          <w:rStyle w:val="Strong"/>
        </w:rPr>
        <w:t xml:space="preserve"> </w:t>
      </w:r>
      <w:r>
        <w:rPr>
          <w:rStyle w:val="AERbody"/>
        </w:rPr>
        <w:t xml:space="preserve">Opex </w:t>
      </w:r>
    </w:p>
    <w:p w:rsidR="00C90FAF" w:rsidRPr="003F20E1" w:rsidRDefault="00C90FAF" w:rsidP="00C90FAF">
      <w:pPr>
        <w:pStyle w:val="Heading2"/>
      </w:pPr>
      <w:bookmarkStart w:id="460" w:name="_Toc445801950"/>
      <w:r w:rsidRPr="00C90FAF">
        <w:t>Future Network Modelling</w:t>
      </w:r>
      <w:bookmarkEnd w:id="460"/>
    </w:p>
    <w:p w:rsidR="00C90FAF" w:rsidRPr="003F20E1" w:rsidRDefault="00C90FAF" w:rsidP="00C90FAF">
      <w:pPr>
        <w:pStyle w:val="Heading3"/>
      </w:pPr>
      <w:bookmarkStart w:id="461" w:name="_Toc445801951"/>
      <w:r w:rsidRPr="003F20E1">
        <w:t>Project overview</w:t>
      </w:r>
      <w:bookmarkEnd w:id="461"/>
    </w:p>
    <w:p w:rsidR="00C90FAF" w:rsidRPr="00C90FAF" w:rsidRDefault="00C90FAF" w:rsidP="00C90FAF">
      <w:r>
        <w:t xml:space="preserve">To further understand energy storage impacts on the distribution network so as to allow network operations and design to accommodate these systems SA Power Networks has undertaken a comprehensive modelling project. </w:t>
      </w:r>
    </w:p>
    <w:p w:rsidR="00C90FAF" w:rsidRPr="00D61E77" w:rsidRDefault="00C90FAF" w:rsidP="00C90FAF">
      <w:pPr>
        <w:pStyle w:val="ListParagraph"/>
        <w:numPr>
          <w:ilvl w:val="0"/>
          <w:numId w:val="24"/>
        </w:numPr>
      </w:pPr>
      <w:r>
        <w:t>SA Power Network</w:t>
      </w:r>
      <w:r w:rsidRPr="00077BA1">
        <w:t>s</w:t>
      </w:r>
      <w:r>
        <w:t xml:space="preserve"> claimed DMIA expenditure of $287 000 in 2014–15 for this project.</w:t>
      </w:r>
    </w:p>
    <w:p w:rsidR="00C90FAF" w:rsidRPr="003F20E1" w:rsidRDefault="00C90FAF" w:rsidP="00C90FAF">
      <w:pPr>
        <w:pStyle w:val="Heading3"/>
      </w:pPr>
      <w:bookmarkStart w:id="462" w:name="_Toc445801952"/>
      <w:r w:rsidRPr="003F20E1">
        <w:t>Assessment against DMIA criteria</w:t>
      </w:r>
      <w:bookmarkEnd w:id="462"/>
    </w:p>
    <w:p w:rsidR="00C90FAF" w:rsidRPr="00214524" w:rsidRDefault="00C90FAF" w:rsidP="00C90FAF">
      <w:r w:rsidRPr="00C17C23">
        <w:rPr>
          <w:rStyle w:val="Strong"/>
        </w:rPr>
        <w:t>Criteria #1</w:t>
      </w:r>
      <w:r>
        <w:t xml:space="preserve"> This modelling will provide insights into the rate of take up of distributed energy resources based on the costs of those resources and the economic returns to the customer.  It will also enable insights into the likely impacts on network load profiles</w:t>
      </w:r>
    </w:p>
    <w:p w:rsidR="00C90FAF" w:rsidRPr="00C17C23" w:rsidRDefault="00C90FAF" w:rsidP="00C90FAF">
      <w:r>
        <w:rPr>
          <w:rStyle w:val="Strong"/>
        </w:rPr>
        <w:t>Criteria #</w:t>
      </w:r>
      <w:r w:rsidRPr="00C17C23">
        <w:rPr>
          <w:rStyle w:val="Strong"/>
        </w:rPr>
        <w:t xml:space="preserve">2 </w:t>
      </w:r>
      <w:r>
        <w:t xml:space="preserve">This is a broad-based demand management program. </w:t>
      </w:r>
    </w:p>
    <w:p w:rsidR="00C90FAF" w:rsidRPr="007428D6" w:rsidRDefault="00C90FAF" w:rsidP="00C90FAF">
      <w:r>
        <w:rPr>
          <w:rStyle w:val="Strong"/>
        </w:rPr>
        <w:t xml:space="preserve">Criteria </w:t>
      </w:r>
      <w:r w:rsidRPr="00C17C23">
        <w:rPr>
          <w:rStyle w:val="Strong"/>
        </w:rPr>
        <w:t>#3</w:t>
      </w:r>
      <w:r>
        <w:rPr>
          <w:rStyle w:val="Strong"/>
        </w:rPr>
        <w:t xml:space="preserve"> </w:t>
      </w:r>
      <w:r>
        <w:t xml:space="preserve">This project provides </w:t>
      </w:r>
      <w:r w:rsidRPr="0089245A">
        <w:t xml:space="preserve">study into the </w:t>
      </w:r>
      <w:r>
        <w:t>impacts</w:t>
      </w:r>
      <w:r w:rsidRPr="0089245A">
        <w:t xml:space="preserve"> of energy storage systems</w:t>
      </w:r>
      <w:r>
        <w:t xml:space="preserve">, which will assist SA Power Networks  in demand management.  </w:t>
      </w:r>
    </w:p>
    <w:p w:rsidR="00C90FAF" w:rsidRPr="00CD2645" w:rsidRDefault="00C90FAF" w:rsidP="00C90FAF">
      <w:pPr>
        <w:rPr>
          <w:rStyle w:val="AERbody"/>
        </w:rPr>
      </w:pPr>
      <w:r w:rsidRPr="00C17C23">
        <w:rPr>
          <w:rStyle w:val="Strong"/>
        </w:rPr>
        <w:t>Criteria #4</w:t>
      </w:r>
      <w:r>
        <w:rPr>
          <w:rStyle w:val="Strong"/>
        </w:rPr>
        <w:t xml:space="preserve"> </w:t>
      </w:r>
      <w:r>
        <w:rPr>
          <w:rStyle w:val="AERbody"/>
        </w:rPr>
        <w:t>Non-tariff based</w:t>
      </w:r>
    </w:p>
    <w:p w:rsidR="00C90FAF" w:rsidRPr="00CD2645" w:rsidRDefault="00C90FAF" w:rsidP="00C90FAF">
      <w:pPr>
        <w:rPr>
          <w:rStyle w:val="AERbody"/>
        </w:rPr>
      </w:pPr>
      <w:r w:rsidRPr="00C17C23">
        <w:rPr>
          <w:rStyle w:val="Strong"/>
        </w:rPr>
        <w:t>Criteria #5</w:t>
      </w:r>
      <w:r>
        <w:rPr>
          <w:rStyle w:val="Strong"/>
        </w:rPr>
        <w:t xml:space="preserve"> </w:t>
      </w:r>
      <w:r>
        <w:rPr>
          <w:rStyle w:val="AERbody"/>
        </w:rPr>
        <w:t xml:space="preserve">This criteria is met because expenditure for this project </w:t>
      </w:r>
      <w:r w:rsidRPr="00CD2645">
        <w:t xml:space="preserve">cannot be recovered </w:t>
      </w:r>
      <w:r>
        <w:t>through</w:t>
      </w:r>
      <w:r w:rsidRPr="00CD2645">
        <w:t xml:space="preserve"> any other jurisdictional, state or Australian Government scheme</w:t>
      </w:r>
      <w:r>
        <w:t xml:space="preserve">, nor </w:t>
      </w:r>
      <w:r w:rsidRPr="00CD2645">
        <w:t>through any other part of the distribution determination for the current regulatory control period.</w:t>
      </w:r>
    </w:p>
    <w:p w:rsidR="00C90FAF" w:rsidRPr="0006167F" w:rsidRDefault="00C90FAF" w:rsidP="00C90FAF">
      <w:pPr>
        <w:numPr>
          <w:ilvl w:val="0"/>
          <w:numId w:val="24"/>
        </w:numPr>
        <w:rPr>
          <w:rStyle w:val="AERbody"/>
        </w:rPr>
      </w:pPr>
      <w:r w:rsidRPr="00C17C23">
        <w:rPr>
          <w:rStyle w:val="Strong"/>
        </w:rPr>
        <w:t>Criteria #6</w:t>
      </w:r>
      <w:r>
        <w:rPr>
          <w:rStyle w:val="Strong"/>
        </w:rPr>
        <w:t xml:space="preserve"> </w:t>
      </w:r>
      <w:r>
        <w:rPr>
          <w:rStyle w:val="AERbody"/>
        </w:rPr>
        <w:t xml:space="preserve">Opex </w:t>
      </w:r>
    </w:p>
    <w:p w:rsidR="00A86DC4" w:rsidRDefault="00A86DC4">
      <w:pPr>
        <w:spacing w:line="240" w:lineRule="auto"/>
        <w:rPr>
          <w:rFonts w:eastAsiaTheme="majorEastAsia" w:cstheme="majorBidi"/>
          <w:b/>
          <w:bCs/>
          <w:color w:val="70635A"/>
          <w:sz w:val="36"/>
          <w:szCs w:val="28"/>
        </w:rPr>
      </w:pPr>
      <w:r>
        <w:br w:type="page"/>
      </w:r>
    </w:p>
    <w:p w:rsidR="00F9421A" w:rsidRDefault="002D146E" w:rsidP="003F20E1">
      <w:pPr>
        <w:pStyle w:val="Heading1"/>
      </w:pPr>
      <w:bookmarkStart w:id="463" w:name="_Toc445801953"/>
      <w:r>
        <w:lastRenderedPageBreak/>
        <w:t xml:space="preserve"> </w:t>
      </w:r>
      <w:r w:rsidR="00F9421A">
        <w:t>CitiPower</w:t>
      </w:r>
      <w:bookmarkEnd w:id="463"/>
    </w:p>
    <w:p w:rsidR="00A30F8F" w:rsidRDefault="00A30F8F" w:rsidP="00A30F8F">
      <w:pPr>
        <w:numPr>
          <w:ilvl w:val="0"/>
          <w:numId w:val="24"/>
        </w:numPr>
      </w:pPr>
      <w:r>
        <w:t>CitiPower</w:t>
      </w:r>
      <w:r w:rsidRPr="00D61E77">
        <w:t xml:space="preserve"> is claiming </w:t>
      </w:r>
      <w:r>
        <w:t xml:space="preserve">2014 </w:t>
      </w:r>
      <w:r w:rsidRPr="00D61E77">
        <w:t xml:space="preserve">DMIA expenditure for </w:t>
      </w:r>
      <w:r>
        <w:t>five demand management projects</w:t>
      </w:r>
      <w:r w:rsidRPr="00D61E77">
        <w:t xml:space="preserve"> to</w:t>
      </w:r>
      <w:r>
        <w:t>talling</w:t>
      </w:r>
      <w:r w:rsidRPr="00D61E77">
        <w:t xml:space="preserve"> </w:t>
      </w:r>
      <w:r w:rsidRPr="00E80E6A">
        <w:t>$</w:t>
      </w:r>
      <w:r w:rsidRPr="00A30F8F">
        <w:t xml:space="preserve"> 403</w:t>
      </w:r>
      <w:r>
        <w:t xml:space="preserve"> </w:t>
      </w:r>
      <w:r w:rsidRPr="00A30F8F">
        <w:t>930</w:t>
      </w:r>
      <w:r w:rsidRPr="00D61E77">
        <w:t xml:space="preserve">. </w:t>
      </w:r>
      <w:r>
        <w:t>We approve this expenditure as it meets the DMIA criteria. The following section sets out our assessment of the individual projects. For more detailed information about these projects, please refer to CitiPower's 2014 DMIA report.</w:t>
      </w:r>
    </w:p>
    <w:p w:rsidR="00B60AA0" w:rsidRPr="00B60AA0" w:rsidRDefault="004F0779" w:rsidP="004F0779">
      <w:pPr>
        <w:pStyle w:val="Heading2"/>
      </w:pPr>
      <w:bookmarkStart w:id="464" w:name="_Toc443045367"/>
      <w:bookmarkStart w:id="465" w:name="_Toc445801954"/>
      <w:r w:rsidRPr="004F0779">
        <w:t>Network Support WMTS 2013/14 Summer</w:t>
      </w:r>
      <w:bookmarkEnd w:id="464"/>
      <w:bookmarkEnd w:id="465"/>
    </w:p>
    <w:p w:rsidR="00B60AA0" w:rsidRDefault="00B60AA0" w:rsidP="00B60AA0">
      <w:pPr>
        <w:pStyle w:val="Heading3"/>
      </w:pPr>
      <w:bookmarkStart w:id="466" w:name="_Toc443045368"/>
      <w:bookmarkStart w:id="467" w:name="_Toc445801955"/>
      <w:r w:rsidRPr="00B60AA0">
        <w:t>Project Overview</w:t>
      </w:r>
      <w:bookmarkEnd w:id="466"/>
      <w:bookmarkEnd w:id="467"/>
    </w:p>
    <w:p w:rsidR="004F0779" w:rsidRPr="004F0779" w:rsidRDefault="004F0779" w:rsidP="004F0779">
      <w:r w:rsidRPr="004F0779">
        <w:t>The project was a trial of an inner urban location demand side initiative,</w:t>
      </w:r>
      <w:r>
        <w:t xml:space="preserve"> </w:t>
      </w:r>
      <w:r w:rsidRPr="004F0779">
        <w:t>which had the effect of deferring capital expenditure</w:t>
      </w:r>
      <w:r>
        <w:t>.</w:t>
      </w:r>
      <w:r w:rsidRPr="004F0779">
        <w:t xml:space="preserve"> This was a network support project which involved an existing embedded</w:t>
      </w:r>
      <w:r>
        <w:t xml:space="preserve"> </w:t>
      </w:r>
      <w:r w:rsidRPr="004F0779">
        <w:t>generator operating 2 x 6MW gas fired generators. A network support agreement</w:t>
      </w:r>
      <w:r>
        <w:t xml:space="preserve"> </w:t>
      </w:r>
      <w:r w:rsidRPr="004F0779">
        <w:t>was established to enable these generators to provide coincidental capacity</w:t>
      </w:r>
      <w:r>
        <w:t xml:space="preserve"> </w:t>
      </w:r>
      <w:r w:rsidRPr="004F0779">
        <w:t>support to the Bouverie St zone substation which supplies Carlton, parts of</w:t>
      </w:r>
      <w:r>
        <w:t xml:space="preserve"> </w:t>
      </w:r>
      <w:r w:rsidRPr="004F0779">
        <w:t>North Melbourne and the northern fringe of the Melbourne CBD.</w:t>
      </w:r>
      <w:r w:rsidR="00A84CC1">
        <w:t xml:space="preserve"> CitiPower </w:t>
      </w:r>
      <w:r w:rsidR="00A84CC1" w:rsidRPr="005A7678">
        <w:t xml:space="preserve">claimed DMIA expenditure in 2014 of $ </w:t>
      </w:r>
      <w:r w:rsidR="00A84CC1">
        <w:t xml:space="preserve">105 000 </w:t>
      </w:r>
      <w:r w:rsidR="00A84CC1" w:rsidRPr="005A7678">
        <w:t>for this project</w:t>
      </w:r>
      <w:r w:rsidR="00A84CC1">
        <w:t>.</w:t>
      </w:r>
    </w:p>
    <w:p w:rsidR="00B60AA0" w:rsidRDefault="00B60AA0" w:rsidP="00B60AA0">
      <w:pPr>
        <w:pStyle w:val="Heading3"/>
      </w:pPr>
      <w:bookmarkStart w:id="468" w:name="_Toc443045369"/>
      <w:bookmarkStart w:id="469" w:name="_Toc445801956"/>
      <w:r w:rsidRPr="00B60AA0">
        <w:t>Assessment against DMIA criteria</w:t>
      </w:r>
      <w:bookmarkEnd w:id="468"/>
      <w:bookmarkEnd w:id="469"/>
    </w:p>
    <w:p w:rsidR="003804F6" w:rsidRDefault="0072366C" w:rsidP="003804F6">
      <w:r w:rsidRPr="00C17C23">
        <w:rPr>
          <w:rStyle w:val="Strong"/>
        </w:rPr>
        <w:t>Criteria #1</w:t>
      </w:r>
      <w:r w:rsidR="00CF5A44">
        <w:t>This</w:t>
      </w:r>
      <w:r w:rsidR="00CF5A44" w:rsidRPr="00CF5A44">
        <w:t xml:space="preserve"> is </w:t>
      </w:r>
      <w:r w:rsidR="003230E9">
        <w:t xml:space="preserve">met because it's </w:t>
      </w:r>
      <w:r w:rsidR="003804F6">
        <w:t xml:space="preserve">a network support measure undertaken by CitiPower </w:t>
      </w:r>
      <w:r w:rsidR="003804F6" w:rsidRPr="003804F6">
        <w:t xml:space="preserve">to </w:t>
      </w:r>
      <w:r w:rsidR="003804F6">
        <w:t>meet customer demand via enabling</w:t>
      </w:r>
      <w:r w:rsidR="003804F6" w:rsidRPr="003804F6">
        <w:t xml:space="preserve"> </w:t>
      </w:r>
      <w:r w:rsidR="003804F6">
        <w:t xml:space="preserve">an existing embedded </w:t>
      </w:r>
      <w:r w:rsidR="003804F6" w:rsidRPr="003804F6">
        <w:t>generator</w:t>
      </w:r>
      <w:r w:rsidR="003804F6">
        <w:t xml:space="preserve"> </w:t>
      </w:r>
      <w:r w:rsidR="003804F6" w:rsidRPr="003804F6">
        <w:t>to provide coincidental capacity</w:t>
      </w:r>
      <w:r w:rsidR="003804F6">
        <w:t xml:space="preserve"> </w:t>
      </w:r>
      <w:r w:rsidR="003804F6" w:rsidRPr="003804F6">
        <w:t>support</w:t>
      </w:r>
      <w:r w:rsidR="003804F6">
        <w:t xml:space="preserve">. </w:t>
      </w:r>
      <w:r w:rsidR="003804F6" w:rsidRPr="003804F6">
        <w:t>The project enable</w:t>
      </w:r>
      <w:r w:rsidR="003804F6">
        <w:t>s</w:t>
      </w:r>
      <w:r w:rsidR="003804F6" w:rsidRPr="003804F6">
        <w:t xml:space="preserve"> de</w:t>
      </w:r>
      <w:r w:rsidR="003804F6">
        <w:t xml:space="preserve">ferment of the requirement of a network </w:t>
      </w:r>
      <w:r w:rsidR="003804F6" w:rsidRPr="003804F6">
        <w:t>augmentation</w:t>
      </w:r>
      <w:r w:rsidR="003804F6">
        <w:t>.</w:t>
      </w:r>
    </w:p>
    <w:p w:rsidR="0072366C" w:rsidRDefault="0072366C" w:rsidP="00945425">
      <w:pPr>
        <w:rPr>
          <w:rStyle w:val="Strong"/>
        </w:rPr>
      </w:pPr>
      <w:r>
        <w:rPr>
          <w:rStyle w:val="Strong"/>
        </w:rPr>
        <w:t>Criteria #</w:t>
      </w:r>
      <w:r w:rsidRPr="00C17C23">
        <w:rPr>
          <w:rStyle w:val="Strong"/>
        </w:rPr>
        <w:t>2</w:t>
      </w:r>
      <w:r w:rsidR="003804F6">
        <w:rPr>
          <w:rStyle w:val="Strong"/>
        </w:rPr>
        <w:t xml:space="preserve"> </w:t>
      </w:r>
      <w:r w:rsidR="00945425">
        <w:t>This</w:t>
      </w:r>
      <w:r w:rsidR="003230E9">
        <w:t xml:space="preserve"> is met because</w:t>
      </w:r>
      <w:r w:rsidR="00945425">
        <w:t xml:space="preserve"> </w:t>
      </w:r>
      <w:r w:rsidR="003230E9">
        <w:t xml:space="preserve">this </w:t>
      </w:r>
      <w:r w:rsidR="00945425">
        <w:t>n</w:t>
      </w:r>
      <w:r w:rsidR="00945425" w:rsidRPr="00945425">
        <w:t>etwork support agreement</w:t>
      </w:r>
      <w:r w:rsidR="00945425">
        <w:t xml:space="preserve"> </w:t>
      </w:r>
      <w:r w:rsidR="00945425" w:rsidRPr="00945425">
        <w:t>enable</w:t>
      </w:r>
      <w:r w:rsidR="00945425">
        <w:t>s</w:t>
      </w:r>
      <w:r w:rsidR="00945425" w:rsidRPr="00945425">
        <w:t xml:space="preserve"> these generators to provide coincidental capacity</w:t>
      </w:r>
      <w:r w:rsidR="00945425">
        <w:t xml:space="preserve"> </w:t>
      </w:r>
      <w:r w:rsidR="00945425" w:rsidRPr="00945425">
        <w:t>support to the Bouverie St zone substation which supplies Carlton, parts of</w:t>
      </w:r>
      <w:r w:rsidR="00945425">
        <w:t xml:space="preserve"> </w:t>
      </w:r>
      <w:r w:rsidR="00945425" w:rsidRPr="00945425">
        <w:t>North Melbourne and the northern fringe of the Melbourne CBD.</w:t>
      </w:r>
    </w:p>
    <w:p w:rsidR="0072366C" w:rsidRDefault="0072366C" w:rsidP="00AE6249">
      <w:pPr>
        <w:rPr>
          <w:rStyle w:val="Strong"/>
        </w:rPr>
      </w:pPr>
      <w:r>
        <w:rPr>
          <w:rStyle w:val="Strong"/>
        </w:rPr>
        <w:t xml:space="preserve">Criteria </w:t>
      </w:r>
      <w:r w:rsidRPr="00C17C23">
        <w:rPr>
          <w:rStyle w:val="Strong"/>
        </w:rPr>
        <w:t>#3</w:t>
      </w:r>
      <w:r w:rsidR="00945425">
        <w:rPr>
          <w:rStyle w:val="Strong"/>
        </w:rPr>
        <w:t xml:space="preserve"> </w:t>
      </w:r>
      <w:r w:rsidR="00AE6249">
        <w:t xml:space="preserve">This </w:t>
      </w:r>
      <w:r w:rsidR="003230E9">
        <w:t xml:space="preserve">is met because this </w:t>
      </w:r>
      <w:r w:rsidR="00AE6249">
        <w:t>project provides e</w:t>
      </w:r>
      <w:r w:rsidR="00AE6249" w:rsidRPr="00AE6249">
        <w:t>xperience of engaging with an</w:t>
      </w:r>
      <w:r w:rsidR="00AE6249">
        <w:t xml:space="preserve"> </w:t>
      </w:r>
      <w:r w:rsidR="00AE6249" w:rsidRPr="00AE6249">
        <w:t>embedded generator for network support including the performance of the local</w:t>
      </w:r>
      <w:r w:rsidR="00AE6249">
        <w:t xml:space="preserve"> </w:t>
      </w:r>
      <w:r w:rsidR="00AE6249" w:rsidRPr="00AE6249">
        <w:t>generator from an operational perspective, the time taken to establish an</w:t>
      </w:r>
      <w:r w:rsidR="00AE6249">
        <w:t xml:space="preserve"> </w:t>
      </w:r>
      <w:r w:rsidR="00AE6249" w:rsidRPr="00AE6249">
        <w:t>agreement contract as well as the terms and conditions and expected</w:t>
      </w:r>
      <w:r w:rsidR="00AE6249">
        <w:t xml:space="preserve"> </w:t>
      </w:r>
      <w:r w:rsidR="00AE6249" w:rsidRPr="00AE6249">
        <w:t>approximate cost for future support;</w:t>
      </w:r>
    </w:p>
    <w:p w:rsidR="0072366C" w:rsidRDefault="0072366C" w:rsidP="0072366C">
      <w:pPr>
        <w:rPr>
          <w:rStyle w:val="Strong"/>
        </w:rPr>
      </w:pPr>
      <w:r w:rsidRPr="00C17C23">
        <w:rPr>
          <w:rStyle w:val="Strong"/>
        </w:rPr>
        <w:t>Criteria #4</w:t>
      </w:r>
      <w:r w:rsidR="003230E9">
        <w:rPr>
          <w:rStyle w:val="Strong"/>
        </w:rPr>
        <w:t xml:space="preserve"> </w:t>
      </w:r>
      <w:r w:rsidR="00EA4B1A">
        <w:t>N</w:t>
      </w:r>
      <w:r w:rsidR="00EA4B1A" w:rsidRPr="004E4E39">
        <w:t>on-tariff based</w:t>
      </w:r>
      <w:r w:rsidR="00EA4B1A">
        <w:t>.</w:t>
      </w:r>
    </w:p>
    <w:p w:rsidR="00B2337E" w:rsidRPr="00D61E77" w:rsidRDefault="0072366C" w:rsidP="00B2337E">
      <w:pPr>
        <w:rPr>
          <w:rStyle w:val="AERbody"/>
        </w:rPr>
      </w:pPr>
      <w:r w:rsidRPr="00C17C23">
        <w:rPr>
          <w:rStyle w:val="Strong"/>
        </w:rPr>
        <w:t>Criteria #5</w:t>
      </w:r>
      <w:r w:rsidR="00EA4B1A">
        <w:rPr>
          <w:rStyle w:val="Strong"/>
        </w:rPr>
        <w:t xml:space="preserve"> </w:t>
      </w:r>
      <w:r w:rsidR="00B2337E">
        <w:rPr>
          <w:rStyle w:val="AERbody"/>
        </w:rPr>
        <w:t xml:space="preserve">This criteria is met because expenditure for this project </w:t>
      </w:r>
      <w:r w:rsidR="00B2337E" w:rsidRPr="00CD2645">
        <w:t xml:space="preserve">cannot be recovered </w:t>
      </w:r>
      <w:r w:rsidR="00B2337E">
        <w:t>through</w:t>
      </w:r>
      <w:r w:rsidR="00B2337E" w:rsidRPr="00CD2645">
        <w:t xml:space="preserve"> any other jurisdictional, state or Australian Government scheme</w:t>
      </w:r>
      <w:r w:rsidR="00B2337E">
        <w:t xml:space="preserve">, nor </w:t>
      </w:r>
      <w:r w:rsidR="00B2337E" w:rsidRPr="00CD2645">
        <w:t>through any other part of the distribution determination for the current regulatory control period.</w:t>
      </w:r>
    </w:p>
    <w:p w:rsidR="0072366C" w:rsidRDefault="0072366C" w:rsidP="003230E9">
      <w:pPr>
        <w:rPr>
          <w:rStyle w:val="AERbody"/>
        </w:rPr>
      </w:pPr>
      <w:r w:rsidRPr="00C17C23">
        <w:rPr>
          <w:rStyle w:val="Strong"/>
        </w:rPr>
        <w:t>Criteria #6</w:t>
      </w:r>
      <w:r w:rsidR="003230E9">
        <w:rPr>
          <w:rStyle w:val="Strong"/>
        </w:rPr>
        <w:t xml:space="preserve"> </w:t>
      </w:r>
      <w:r w:rsidR="003230E9" w:rsidRPr="003230E9">
        <w:rPr>
          <w:rStyle w:val="AERbody"/>
        </w:rPr>
        <w:t>Opex</w:t>
      </w:r>
      <w:r w:rsidR="00EA4B1A">
        <w:rPr>
          <w:rStyle w:val="AERbody"/>
        </w:rPr>
        <w:t>.</w:t>
      </w:r>
    </w:p>
    <w:p w:rsidR="008D5EF1" w:rsidRDefault="008D5EF1" w:rsidP="003230E9">
      <w:pPr>
        <w:rPr>
          <w:rStyle w:val="AERbody"/>
        </w:rPr>
      </w:pPr>
    </w:p>
    <w:p w:rsidR="008D5EF1" w:rsidRPr="0072366C" w:rsidRDefault="008D5EF1" w:rsidP="003230E9"/>
    <w:p w:rsidR="00111EF3" w:rsidRPr="00111EF3" w:rsidRDefault="00F10F39" w:rsidP="00111EF3">
      <w:pPr>
        <w:pStyle w:val="Heading2"/>
      </w:pPr>
      <w:bookmarkStart w:id="470" w:name="_Toc443045370"/>
      <w:bookmarkStart w:id="471" w:name="_Toc445801957"/>
      <w:r w:rsidRPr="00F10F39">
        <w:lastRenderedPageBreak/>
        <w:t>Jacobs Fault Level Mitigation Study Scope #1</w:t>
      </w:r>
      <w:bookmarkEnd w:id="470"/>
      <w:bookmarkEnd w:id="471"/>
    </w:p>
    <w:p w:rsidR="00111EF3" w:rsidRDefault="00111EF3" w:rsidP="00111EF3">
      <w:pPr>
        <w:pStyle w:val="Heading3"/>
      </w:pPr>
      <w:bookmarkStart w:id="472" w:name="_Toc443045371"/>
      <w:bookmarkStart w:id="473" w:name="_Toc445801958"/>
      <w:r w:rsidRPr="00111EF3">
        <w:t>Project Overview</w:t>
      </w:r>
      <w:bookmarkEnd w:id="472"/>
      <w:bookmarkEnd w:id="473"/>
    </w:p>
    <w:p w:rsidR="00DE6BC9" w:rsidRPr="00DE6BC9" w:rsidRDefault="00DE6BC9" w:rsidP="001A7061">
      <w:r w:rsidRPr="00DE6BC9">
        <w:t>The project was to explore opportunities within the CitiPower network to</w:t>
      </w:r>
      <w:r>
        <w:t xml:space="preserve"> </w:t>
      </w:r>
      <w:r w:rsidRPr="00DE6BC9">
        <w:t>examine wider network and transmission solutions to resolve inherent fault level</w:t>
      </w:r>
      <w:r>
        <w:t xml:space="preserve"> </w:t>
      </w:r>
      <w:r w:rsidRPr="00DE6BC9">
        <w:t>issues within the CBD and permit additional embedded generation connections</w:t>
      </w:r>
      <w:r>
        <w:t xml:space="preserve"> </w:t>
      </w:r>
      <w:r w:rsidRPr="00DE6BC9">
        <w:t>as potential non-network solutions to existing and forecast capacity constraints.</w:t>
      </w:r>
      <w:r w:rsidR="001A7061">
        <w:t xml:space="preserve"> </w:t>
      </w:r>
      <w:r w:rsidR="001A7061" w:rsidRPr="001A7061">
        <w:t>The project assessed the indicative fault level headroom across the CitiPower</w:t>
      </w:r>
      <w:r w:rsidR="001A7061">
        <w:t xml:space="preserve"> </w:t>
      </w:r>
      <w:r w:rsidR="001A7061" w:rsidRPr="001A7061">
        <w:t>distribution network within the Melbourne CBD originating from four terminal</w:t>
      </w:r>
      <w:r w:rsidR="001A7061">
        <w:t xml:space="preserve"> </w:t>
      </w:r>
      <w:r w:rsidR="001A7061" w:rsidRPr="001A7061">
        <w:t>stations</w:t>
      </w:r>
      <w:r w:rsidR="001A7061">
        <w:t>.</w:t>
      </w:r>
      <w:r w:rsidR="00A84CC1" w:rsidRPr="00A84CC1">
        <w:t xml:space="preserve"> </w:t>
      </w:r>
      <w:r w:rsidR="00A84CC1">
        <w:t xml:space="preserve">CitiPower </w:t>
      </w:r>
      <w:r w:rsidR="00A84CC1" w:rsidRPr="005A7678">
        <w:t xml:space="preserve">claimed DMIA expenditure in 2014 of $ </w:t>
      </w:r>
      <w:r w:rsidR="00A84CC1">
        <w:t xml:space="preserve">95 804 </w:t>
      </w:r>
      <w:r w:rsidR="00A84CC1" w:rsidRPr="005A7678">
        <w:t>for this project</w:t>
      </w:r>
      <w:r w:rsidR="00A84CC1">
        <w:t>.</w:t>
      </w:r>
    </w:p>
    <w:p w:rsidR="00111EF3" w:rsidRDefault="00111EF3" w:rsidP="00111EF3">
      <w:pPr>
        <w:pStyle w:val="Heading3"/>
      </w:pPr>
      <w:bookmarkStart w:id="474" w:name="_Toc443045372"/>
      <w:bookmarkStart w:id="475" w:name="_Toc445801959"/>
      <w:r w:rsidRPr="00111EF3">
        <w:t>Assessment against DMIA criteria</w:t>
      </w:r>
      <w:bookmarkEnd w:id="474"/>
      <w:bookmarkEnd w:id="475"/>
    </w:p>
    <w:p w:rsidR="0072366C" w:rsidRDefault="0072366C" w:rsidP="009F5E6E">
      <w:pPr>
        <w:rPr>
          <w:rStyle w:val="Strong"/>
        </w:rPr>
      </w:pPr>
      <w:r w:rsidRPr="00C17C23">
        <w:rPr>
          <w:rStyle w:val="Strong"/>
        </w:rPr>
        <w:t>Criteria #1</w:t>
      </w:r>
      <w:r w:rsidR="001A7061" w:rsidRPr="001A7061">
        <w:t xml:space="preserve"> </w:t>
      </w:r>
      <w:r w:rsidR="001A7061">
        <w:t>This</w:t>
      </w:r>
      <w:r w:rsidR="001A7061" w:rsidRPr="00CF5A44">
        <w:t xml:space="preserve"> is </w:t>
      </w:r>
      <w:r w:rsidR="001A7061">
        <w:t>met because</w:t>
      </w:r>
      <w:r w:rsidR="009F5E6E">
        <w:t xml:space="preserve"> the project facilitates </w:t>
      </w:r>
      <w:r w:rsidR="009F5E6E" w:rsidRPr="009F5E6E">
        <w:t>additional embedded generation connections</w:t>
      </w:r>
      <w:r w:rsidR="009F5E6E">
        <w:t xml:space="preserve"> </w:t>
      </w:r>
      <w:r w:rsidR="009F5E6E" w:rsidRPr="009F5E6E">
        <w:t>as potential non-network solutions to existing and forecast capacity constraints.</w:t>
      </w:r>
    </w:p>
    <w:p w:rsidR="0072366C" w:rsidRDefault="0072366C" w:rsidP="009F5E6E">
      <w:pPr>
        <w:rPr>
          <w:rStyle w:val="Strong"/>
        </w:rPr>
      </w:pPr>
      <w:r>
        <w:rPr>
          <w:rStyle w:val="Strong"/>
        </w:rPr>
        <w:t>Criteria #</w:t>
      </w:r>
      <w:r w:rsidRPr="00C17C23">
        <w:rPr>
          <w:rStyle w:val="Strong"/>
        </w:rPr>
        <w:t>2</w:t>
      </w:r>
      <w:r w:rsidR="009F5E6E">
        <w:rPr>
          <w:rStyle w:val="Strong"/>
        </w:rPr>
        <w:t xml:space="preserve"> </w:t>
      </w:r>
      <w:r w:rsidR="008D3C3C" w:rsidRPr="00DC0FC9">
        <w:t xml:space="preserve">This is </w:t>
      </w:r>
      <w:r w:rsidR="008D3C3C">
        <w:t>broad-based</w:t>
      </w:r>
      <w:r w:rsidR="008D3C3C" w:rsidRPr="00DC0FC9">
        <w:t xml:space="preserve"> demand management program</w:t>
      </w:r>
      <w:r w:rsidR="009F5E6E">
        <w:t>.</w:t>
      </w:r>
    </w:p>
    <w:p w:rsidR="0072366C" w:rsidRDefault="0072366C" w:rsidP="009F5E6E">
      <w:pPr>
        <w:rPr>
          <w:rStyle w:val="Strong"/>
        </w:rPr>
      </w:pPr>
      <w:r>
        <w:rPr>
          <w:rStyle w:val="Strong"/>
        </w:rPr>
        <w:t xml:space="preserve">Criteria </w:t>
      </w:r>
      <w:r w:rsidRPr="00C17C23">
        <w:rPr>
          <w:rStyle w:val="Strong"/>
        </w:rPr>
        <w:t>#3</w:t>
      </w:r>
      <w:r w:rsidR="009F5E6E">
        <w:rPr>
          <w:rStyle w:val="Strong"/>
        </w:rPr>
        <w:t xml:space="preserve"> </w:t>
      </w:r>
      <w:r w:rsidR="009F5E6E">
        <w:t xml:space="preserve">This is met because it </w:t>
      </w:r>
      <w:r w:rsidR="007822FC">
        <w:t>enables Cit</w:t>
      </w:r>
      <w:r w:rsidR="00455AE8">
        <w:t>i</w:t>
      </w:r>
      <w:r w:rsidR="007822FC">
        <w:t>Power</w:t>
      </w:r>
      <w:r w:rsidR="00455AE8">
        <w:t xml:space="preserve"> </w:t>
      </w:r>
      <w:r w:rsidR="009F5E6E">
        <w:t xml:space="preserve">to </w:t>
      </w:r>
      <w:r w:rsidR="009F5E6E" w:rsidRPr="009F5E6E">
        <w:t>gain a better understanding of the existing</w:t>
      </w:r>
      <w:r w:rsidR="009F5E6E">
        <w:t xml:space="preserve"> </w:t>
      </w:r>
      <w:r w:rsidR="009F5E6E" w:rsidRPr="009F5E6E">
        <w:t>transmission imposed network constraints and possible solutions to</w:t>
      </w:r>
      <w:r w:rsidR="009F5E6E">
        <w:t xml:space="preserve"> </w:t>
      </w:r>
      <w:r w:rsidR="009F5E6E" w:rsidRPr="009F5E6E">
        <w:t>accommodate future additional embedded generators onto the network</w:t>
      </w:r>
      <w:r w:rsidR="00455AE8">
        <w:t xml:space="preserve">. This could </w:t>
      </w:r>
      <w:r w:rsidR="009F5E6E" w:rsidRPr="009F5E6E">
        <w:t>offer non-network solutions to existing and forecast fault level</w:t>
      </w:r>
      <w:r w:rsidR="009F5E6E">
        <w:t xml:space="preserve"> </w:t>
      </w:r>
      <w:r w:rsidR="009F5E6E" w:rsidRPr="009F5E6E">
        <w:t>constraints</w:t>
      </w:r>
      <w:r w:rsidR="009F5E6E">
        <w:t>.</w:t>
      </w:r>
    </w:p>
    <w:p w:rsidR="0072366C" w:rsidRDefault="0072366C" w:rsidP="0072366C">
      <w:pPr>
        <w:rPr>
          <w:rStyle w:val="Strong"/>
        </w:rPr>
      </w:pPr>
      <w:r w:rsidRPr="00C17C23">
        <w:rPr>
          <w:rStyle w:val="Strong"/>
        </w:rPr>
        <w:t>Criteria #4</w:t>
      </w:r>
      <w:r w:rsidR="009F5E6E">
        <w:rPr>
          <w:rStyle w:val="Strong"/>
        </w:rPr>
        <w:t xml:space="preserve"> </w:t>
      </w:r>
      <w:r w:rsidR="009F5E6E">
        <w:t>N</w:t>
      </w:r>
      <w:r w:rsidR="009F5E6E" w:rsidRPr="004E4E39">
        <w:t>on-tariff based</w:t>
      </w:r>
      <w:r w:rsidR="009F5E6E">
        <w:t>.</w:t>
      </w:r>
    </w:p>
    <w:p w:rsidR="00B2337E" w:rsidRPr="00D61E77" w:rsidRDefault="0072366C" w:rsidP="00B2337E">
      <w:pPr>
        <w:rPr>
          <w:rStyle w:val="AERbody"/>
        </w:rPr>
      </w:pPr>
      <w:r w:rsidRPr="00C17C23">
        <w:rPr>
          <w:rStyle w:val="Strong"/>
        </w:rPr>
        <w:t>Criteria #5</w:t>
      </w:r>
      <w:r w:rsidR="009F5E6E">
        <w:rPr>
          <w:rStyle w:val="Strong"/>
        </w:rPr>
        <w:t xml:space="preserve"> </w:t>
      </w:r>
      <w:r w:rsidR="00B2337E">
        <w:rPr>
          <w:rStyle w:val="AERbody"/>
        </w:rPr>
        <w:t xml:space="preserve">This criteria is met because expenditure for this project </w:t>
      </w:r>
      <w:r w:rsidR="00B2337E" w:rsidRPr="00CD2645">
        <w:t xml:space="preserve">cannot be recovered </w:t>
      </w:r>
      <w:r w:rsidR="00B2337E">
        <w:t>through</w:t>
      </w:r>
      <w:r w:rsidR="00B2337E" w:rsidRPr="00CD2645">
        <w:t xml:space="preserve"> any other jurisdictional, state or Australian Government scheme</w:t>
      </w:r>
      <w:r w:rsidR="00B2337E">
        <w:t xml:space="preserve">, nor </w:t>
      </w:r>
      <w:r w:rsidR="00B2337E" w:rsidRPr="00CD2645">
        <w:t>through any other part of the distribution determination for the current regulatory control period.</w:t>
      </w:r>
    </w:p>
    <w:p w:rsidR="0072366C" w:rsidRPr="0072366C" w:rsidRDefault="0072366C" w:rsidP="0072366C">
      <w:r w:rsidRPr="00C17C23">
        <w:rPr>
          <w:rStyle w:val="Strong"/>
        </w:rPr>
        <w:t>Criteria #6</w:t>
      </w:r>
      <w:r w:rsidR="009F5E6E">
        <w:rPr>
          <w:rStyle w:val="Strong"/>
        </w:rPr>
        <w:t xml:space="preserve">  </w:t>
      </w:r>
      <w:r w:rsidR="009F5E6E" w:rsidRPr="003230E9">
        <w:rPr>
          <w:rStyle w:val="AERbody"/>
        </w:rPr>
        <w:t>Opex</w:t>
      </w:r>
      <w:r w:rsidR="009F5E6E">
        <w:rPr>
          <w:rStyle w:val="AERbody"/>
        </w:rPr>
        <w:t>.</w:t>
      </w:r>
    </w:p>
    <w:p w:rsidR="00111EF3" w:rsidRPr="00111EF3" w:rsidRDefault="00F10F39" w:rsidP="00111EF3">
      <w:pPr>
        <w:pStyle w:val="Heading2"/>
      </w:pPr>
      <w:bookmarkStart w:id="476" w:name="_Toc443045373"/>
      <w:bookmarkStart w:id="477" w:name="_Toc445801960"/>
      <w:r w:rsidRPr="00F10F39">
        <w:t>Jacobs Fault Level Mitigation Study Scope #2</w:t>
      </w:r>
      <w:bookmarkEnd w:id="476"/>
      <w:bookmarkEnd w:id="477"/>
    </w:p>
    <w:p w:rsidR="00111EF3" w:rsidRDefault="00111EF3" w:rsidP="00111EF3">
      <w:pPr>
        <w:pStyle w:val="Heading3"/>
      </w:pPr>
      <w:bookmarkStart w:id="478" w:name="_Toc443045374"/>
      <w:bookmarkStart w:id="479" w:name="_Toc445801961"/>
      <w:r w:rsidRPr="00111EF3">
        <w:t>Project Overview</w:t>
      </w:r>
      <w:bookmarkEnd w:id="478"/>
      <w:bookmarkEnd w:id="479"/>
    </w:p>
    <w:p w:rsidR="009F5E6E" w:rsidRDefault="00456092" w:rsidP="00456092">
      <w:r w:rsidRPr="00456092">
        <w:t>The project was to develop a strategy to mitig</w:t>
      </w:r>
      <w:r>
        <w:t xml:space="preserve">ate fault levels at constrained </w:t>
      </w:r>
      <w:r w:rsidRPr="00456092">
        <w:t>network locations. The aim was to develop a generic strategy that could be</w:t>
      </w:r>
      <w:r>
        <w:t xml:space="preserve"> </w:t>
      </w:r>
      <w:r w:rsidRPr="00456092">
        <w:t>applied to resolve any future fault level constraints on the network to facilitate</w:t>
      </w:r>
      <w:r>
        <w:t xml:space="preserve"> </w:t>
      </w:r>
      <w:r w:rsidRPr="00456092">
        <w:t>future additional embedded generation connections as potential non-network</w:t>
      </w:r>
      <w:r>
        <w:t xml:space="preserve"> </w:t>
      </w:r>
      <w:r w:rsidRPr="00456092">
        <w:t>solutions to existing and forecast capacity constraints.</w:t>
      </w:r>
      <w:r w:rsidR="00A84CC1">
        <w:t xml:space="preserve"> CitiPower </w:t>
      </w:r>
      <w:r w:rsidR="00A84CC1" w:rsidRPr="005A7678">
        <w:t>claimed DMIA expenditure in 2014 of $</w:t>
      </w:r>
      <w:r w:rsidR="00A84CC1">
        <w:t xml:space="preserve">138 900 </w:t>
      </w:r>
      <w:r w:rsidR="00A84CC1" w:rsidRPr="005A7678">
        <w:t>for this project</w:t>
      </w:r>
      <w:r w:rsidR="00A84CC1">
        <w:t>.</w:t>
      </w:r>
    </w:p>
    <w:p w:rsidR="008D5EF1" w:rsidRDefault="008D5EF1" w:rsidP="00456092"/>
    <w:p w:rsidR="008D5EF1" w:rsidRDefault="008D5EF1" w:rsidP="00456092"/>
    <w:p w:rsidR="008D5EF1" w:rsidRDefault="008D5EF1" w:rsidP="00456092"/>
    <w:p w:rsidR="00111EF3" w:rsidRDefault="00111EF3" w:rsidP="00111EF3">
      <w:pPr>
        <w:pStyle w:val="Heading3"/>
      </w:pPr>
      <w:bookmarkStart w:id="480" w:name="_Toc443045375"/>
      <w:bookmarkStart w:id="481" w:name="_Toc445801962"/>
      <w:r w:rsidRPr="00111EF3">
        <w:lastRenderedPageBreak/>
        <w:t>Assessment against DMIA criteria</w:t>
      </w:r>
      <w:bookmarkEnd w:id="480"/>
      <w:bookmarkEnd w:id="481"/>
    </w:p>
    <w:p w:rsidR="00456092" w:rsidRDefault="0072366C" w:rsidP="00456092">
      <w:pPr>
        <w:rPr>
          <w:rStyle w:val="Strong"/>
        </w:rPr>
      </w:pPr>
      <w:r w:rsidRPr="00C17C23">
        <w:rPr>
          <w:rStyle w:val="Strong"/>
        </w:rPr>
        <w:t>Criteria #1</w:t>
      </w:r>
      <w:r w:rsidR="00456092" w:rsidRPr="00456092">
        <w:t xml:space="preserve"> </w:t>
      </w:r>
      <w:r w:rsidR="00456092">
        <w:t>This</w:t>
      </w:r>
      <w:r w:rsidR="00456092" w:rsidRPr="00CF5A44">
        <w:t xml:space="preserve"> is </w:t>
      </w:r>
      <w:r w:rsidR="00456092">
        <w:t>met because</w:t>
      </w:r>
      <w:r w:rsidR="00456092" w:rsidRPr="00456092">
        <w:t xml:space="preserve"> </w:t>
      </w:r>
      <w:r w:rsidR="00456092">
        <w:t xml:space="preserve">the project facilitates </w:t>
      </w:r>
      <w:r w:rsidR="00456092" w:rsidRPr="009F5E6E">
        <w:t>additional embedded generation connections</w:t>
      </w:r>
      <w:r w:rsidR="00456092">
        <w:t xml:space="preserve"> </w:t>
      </w:r>
      <w:r w:rsidR="00456092" w:rsidRPr="009F5E6E">
        <w:t>as potential non-network solutions to existing and forecast capacity constraints.</w:t>
      </w:r>
    </w:p>
    <w:p w:rsidR="0072366C" w:rsidRDefault="0072366C" w:rsidP="0072366C">
      <w:pPr>
        <w:rPr>
          <w:rStyle w:val="Strong"/>
        </w:rPr>
      </w:pPr>
      <w:r>
        <w:rPr>
          <w:rStyle w:val="Strong"/>
        </w:rPr>
        <w:t>Criteria #</w:t>
      </w:r>
      <w:r w:rsidRPr="00C17C23">
        <w:rPr>
          <w:rStyle w:val="Strong"/>
        </w:rPr>
        <w:t>2</w:t>
      </w:r>
      <w:r w:rsidR="00456092">
        <w:rPr>
          <w:rStyle w:val="Strong"/>
        </w:rPr>
        <w:t xml:space="preserve"> </w:t>
      </w:r>
      <w:r w:rsidR="008D3C3C" w:rsidRPr="00DC0FC9">
        <w:t xml:space="preserve">This is </w:t>
      </w:r>
      <w:r w:rsidR="008D3C3C">
        <w:t>broad-based</w:t>
      </w:r>
      <w:r w:rsidR="008D3C3C" w:rsidRPr="00DC0FC9">
        <w:t xml:space="preserve"> demand management program</w:t>
      </w:r>
      <w:r w:rsidR="008D3C3C">
        <w:t>.</w:t>
      </w:r>
    </w:p>
    <w:p w:rsidR="0072366C" w:rsidRPr="007822FC" w:rsidRDefault="0072366C" w:rsidP="007822FC">
      <w:pPr>
        <w:rPr>
          <w:rStyle w:val="Strong"/>
          <w:b w:val="0"/>
          <w:bCs w:val="0"/>
        </w:rPr>
      </w:pPr>
      <w:r>
        <w:rPr>
          <w:rStyle w:val="Strong"/>
        </w:rPr>
        <w:t xml:space="preserve">Criteria </w:t>
      </w:r>
      <w:r w:rsidRPr="00C17C23">
        <w:rPr>
          <w:rStyle w:val="Strong"/>
        </w:rPr>
        <w:t>#3</w:t>
      </w:r>
      <w:r w:rsidR="007822FC">
        <w:rPr>
          <w:rStyle w:val="Strong"/>
        </w:rPr>
        <w:t xml:space="preserve"> </w:t>
      </w:r>
      <w:r w:rsidR="007822FC">
        <w:t>This is met because</w:t>
      </w:r>
      <w:r w:rsidR="007822FC" w:rsidRPr="007822FC">
        <w:t xml:space="preserve"> </w:t>
      </w:r>
      <w:r w:rsidR="007822FC">
        <w:t xml:space="preserve">it enables CitiPower to </w:t>
      </w:r>
      <w:r w:rsidR="007822FC" w:rsidRPr="007822FC">
        <w:t>gain a better understanding of future network</w:t>
      </w:r>
      <w:r w:rsidR="007822FC">
        <w:t xml:space="preserve"> </w:t>
      </w:r>
      <w:r w:rsidR="007822FC" w:rsidRPr="007822FC">
        <w:t>availability and establish a strategy which recommends preferred distribution network solutions to accommodate future additional embedded generators onto</w:t>
      </w:r>
      <w:r w:rsidR="007822FC">
        <w:t xml:space="preserve"> </w:t>
      </w:r>
      <w:r w:rsidR="007822FC" w:rsidRPr="007822FC">
        <w:t>the network to potentially offer non-network solutions to existing and forecast</w:t>
      </w:r>
      <w:r w:rsidR="007822FC">
        <w:t xml:space="preserve"> </w:t>
      </w:r>
      <w:r w:rsidR="007822FC" w:rsidRPr="007822FC">
        <w:t>capacity constraints.</w:t>
      </w:r>
    </w:p>
    <w:p w:rsidR="0072366C" w:rsidRDefault="0072366C" w:rsidP="0072366C">
      <w:pPr>
        <w:rPr>
          <w:rStyle w:val="Strong"/>
        </w:rPr>
      </w:pPr>
      <w:r w:rsidRPr="00C17C23">
        <w:rPr>
          <w:rStyle w:val="Strong"/>
        </w:rPr>
        <w:t>Criteria #4</w:t>
      </w:r>
      <w:r w:rsidR="007822FC">
        <w:rPr>
          <w:rStyle w:val="Strong"/>
        </w:rPr>
        <w:t xml:space="preserve"> </w:t>
      </w:r>
      <w:r w:rsidR="007822FC">
        <w:t>N</w:t>
      </w:r>
      <w:r w:rsidR="007822FC" w:rsidRPr="004E4E39">
        <w:t>on-tariff based</w:t>
      </w:r>
      <w:r w:rsidR="007822FC">
        <w:t>.</w:t>
      </w:r>
    </w:p>
    <w:p w:rsidR="00B2337E" w:rsidRPr="00D61E77" w:rsidRDefault="0072366C" w:rsidP="00B2337E">
      <w:pPr>
        <w:rPr>
          <w:rStyle w:val="AERbody"/>
        </w:rPr>
      </w:pPr>
      <w:r w:rsidRPr="00C17C23">
        <w:rPr>
          <w:rStyle w:val="Strong"/>
        </w:rPr>
        <w:t>Criteria #5</w:t>
      </w:r>
      <w:r w:rsidR="007822FC">
        <w:rPr>
          <w:rStyle w:val="Strong"/>
        </w:rPr>
        <w:t xml:space="preserve"> </w:t>
      </w:r>
      <w:r w:rsidR="00B2337E">
        <w:rPr>
          <w:rStyle w:val="AERbody"/>
        </w:rPr>
        <w:t xml:space="preserve">This criteria is met because expenditure for this project </w:t>
      </w:r>
      <w:r w:rsidR="00B2337E" w:rsidRPr="00CD2645">
        <w:t xml:space="preserve">cannot be recovered </w:t>
      </w:r>
      <w:r w:rsidR="00B2337E">
        <w:t>through</w:t>
      </w:r>
      <w:r w:rsidR="00B2337E" w:rsidRPr="00CD2645">
        <w:t xml:space="preserve"> any other jurisdictional, state or Australian Government scheme</w:t>
      </w:r>
      <w:r w:rsidR="00B2337E">
        <w:t xml:space="preserve">, nor </w:t>
      </w:r>
      <w:r w:rsidR="00B2337E" w:rsidRPr="00CD2645">
        <w:t>through any other part of the distribution determination for the current regulatory control period.</w:t>
      </w:r>
    </w:p>
    <w:p w:rsidR="007822FC" w:rsidRPr="0072366C" w:rsidRDefault="0072366C" w:rsidP="007822FC">
      <w:r w:rsidRPr="00C17C23">
        <w:rPr>
          <w:rStyle w:val="Strong"/>
        </w:rPr>
        <w:t>Criteria #6</w:t>
      </w:r>
      <w:r w:rsidR="007822FC">
        <w:rPr>
          <w:rStyle w:val="Strong"/>
        </w:rPr>
        <w:t xml:space="preserve"> </w:t>
      </w:r>
      <w:r w:rsidR="007822FC" w:rsidRPr="003230E9">
        <w:rPr>
          <w:rStyle w:val="AERbody"/>
        </w:rPr>
        <w:t>Opex</w:t>
      </w:r>
      <w:r w:rsidR="007822FC">
        <w:rPr>
          <w:rStyle w:val="AERbody"/>
        </w:rPr>
        <w:t>.</w:t>
      </w:r>
    </w:p>
    <w:p w:rsidR="00111EF3" w:rsidRPr="00111EF3" w:rsidRDefault="00EA4B1A" w:rsidP="00EA4B1A">
      <w:pPr>
        <w:pStyle w:val="Heading2"/>
      </w:pPr>
      <w:bookmarkStart w:id="482" w:name="_Toc443045376"/>
      <w:bookmarkStart w:id="483" w:name="_Toc445801963"/>
      <w:r w:rsidRPr="00EA4B1A">
        <w:t>AEMO Data provision (Supports Jacobs Fault Level Mitigation Study)</w:t>
      </w:r>
      <w:bookmarkEnd w:id="482"/>
      <w:bookmarkEnd w:id="483"/>
    </w:p>
    <w:p w:rsidR="00111EF3" w:rsidRDefault="00111EF3" w:rsidP="00111EF3">
      <w:pPr>
        <w:pStyle w:val="Heading3"/>
      </w:pPr>
      <w:bookmarkStart w:id="484" w:name="_Toc443045377"/>
      <w:bookmarkStart w:id="485" w:name="_Toc445801964"/>
      <w:r w:rsidRPr="00111EF3">
        <w:t>Project Overview</w:t>
      </w:r>
      <w:bookmarkEnd w:id="484"/>
      <w:bookmarkEnd w:id="485"/>
    </w:p>
    <w:p w:rsidR="007822FC" w:rsidRPr="007822FC" w:rsidRDefault="00F10F39" w:rsidP="00F10F39">
      <w:r w:rsidRPr="00F10F39">
        <w:t>The transmission system data provision to Jacobs Consulting enabled</w:t>
      </w:r>
      <w:r>
        <w:t xml:space="preserve"> </w:t>
      </w:r>
      <w:r w:rsidRPr="00F10F39">
        <w:t>commencement of scope #1 of their CitiPower Fault Level Mitigation Study.</w:t>
      </w:r>
      <w:r w:rsidR="00307CEF">
        <w:t xml:space="preserve"> CitiPower </w:t>
      </w:r>
      <w:r w:rsidR="00307CEF" w:rsidRPr="005A7678">
        <w:t xml:space="preserve">claimed DMIA expenditure in 2014 of $ </w:t>
      </w:r>
      <w:r w:rsidR="00307CEF">
        <w:t xml:space="preserve">1 900 </w:t>
      </w:r>
      <w:r w:rsidR="00307CEF" w:rsidRPr="005A7678">
        <w:t>for this project</w:t>
      </w:r>
      <w:r w:rsidR="00307CEF">
        <w:t>.</w:t>
      </w:r>
    </w:p>
    <w:p w:rsidR="00111EF3" w:rsidRDefault="00111EF3" w:rsidP="00111EF3">
      <w:pPr>
        <w:pStyle w:val="Heading3"/>
      </w:pPr>
      <w:bookmarkStart w:id="486" w:name="_Toc443045378"/>
      <w:bookmarkStart w:id="487" w:name="_Toc445801965"/>
      <w:r w:rsidRPr="00111EF3">
        <w:t>Assessment against DMIA criteria</w:t>
      </w:r>
      <w:bookmarkEnd w:id="486"/>
      <w:bookmarkEnd w:id="487"/>
    </w:p>
    <w:p w:rsidR="00F10F39" w:rsidRDefault="0072366C" w:rsidP="00F10F39">
      <w:pPr>
        <w:rPr>
          <w:rStyle w:val="Strong"/>
        </w:rPr>
      </w:pPr>
      <w:r w:rsidRPr="00C17C23">
        <w:rPr>
          <w:rStyle w:val="Strong"/>
        </w:rPr>
        <w:t>Criteria #1</w:t>
      </w:r>
      <w:r w:rsidR="00F10F39">
        <w:rPr>
          <w:rStyle w:val="Strong"/>
        </w:rPr>
        <w:t xml:space="preserve"> </w:t>
      </w:r>
      <w:r w:rsidR="00F10F39">
        <w:t>This</w:t>
      </w:r>
      <w:r w:rsidR="00F10F39" w:rsidRPr="00CF5A44">
        <w:t xml:space="preserve"> is </w:t>
      </w:r>
      <w:r w:rsidR="00F10F39">
        <w:t>met because</w:t>
      </w:r>
      <w:r w:rsidR="00F10F39" w:rsidRPr="00456092">
        <w:t xml:space="preserve"> </w:t>
      </w:r>
      <w:r w:rsidR="00F10F39">
        <w:t xml:space="preserve">the project enables commencement of the </w:t>
      </w:r>
      <w:r w:rsidR="00F10F39" w:rsidRPr="00F10F39">
        <w:t>scope #1 of their CitiPower Fault Level Mitigation Study</w:t>
      </w:r>
      <w:r w:rsidR="00F10F39">
        <w:t xml:space="preserve">, which facilitates </w:t>
      </w:r>
      <w:r w:rsidR="00F10F39" w:rsidRPr="009F5E6E">
        <w:t>additional embedded generation connections</w:t>
      </w:r>
      <w:r w:rsidR="00F10F39">
        <w:t xml:space="preserve"> </w:t>
      </w:r>
      <w:r w:rsidR="00F10F39" w:rsidRPr="009F5E6E">
        <w:t>as potential non-network solutions to existing and forecast capacity constraints.</w:t>
      </w:r>
    </w:p>
    <w:p w:rsidR="0072366C" w:rsidRDefault="0072366C" w:rsidP="0072366C">
      <w:pPr>
        <w:rPr>
          <w:rStyle w:val="Strong"/>
        </w:rPr>
      </w:pPr>
      <w:r>
        <w:rPr>
          <w:rStyle w:val="Strong"/>
        </w:rPr>
        <w:t>Criteria #</w:t>
      </w:r>
      <w:r w:rsidRPr="00C17C23">
        <w:rPr>
          <w:rStyle w:val="Strong"/>
        </w:rPr>
        <w:t>2</w:t>
      </w:r>
      <w:r w:rsidR="00F10F39">
        <w:rPr>
          <w:rStyle w:val="Strong"/>
        </w:rPr>
        <w:t xml:space="preserve"> </w:t>
      </w:r>
      <w:r w:rsidR="00F10F39" w:rsidRPr="00DC0FC9">
        <w:t xml:space="preserve">This is </w:t>
      </w:r>
      <w:r w:rsidR="00F10F39">
        <w:t>broad-based</w:t>
      </w:r>
      <w:r w:rsidR="00F10F39" w:rsidRPr="00DC0FC9">
        <w:t xml:space="preserve"> demand management program</w:t>
      </w:r>
      <w:r w:rsidR="00F10F39">
        <w:t>.</w:t>
      </w:r>
    </w:p>
    <w:p w:rsidR="0072366C" w:rsidRDefault="0072366C" w:rsidP="0072366C">
      <w:pPr>
        <w:rPr>
          <w:rStyle w:val="Strong"/>
        </w:rPr>
      </w:pPr>
      <w:r>
        <w:rPr>
          <w:rStyle w:val="Strong"/>
        </w:rPr>
        <w:t xml:space="preserve">Criteria </w:t>
      </w:r>
      <w:r w:rsidRPr="00C17C23">
        <w:rPr>
          <w:rStyle w:val="Strong"/>
        </w:rPr>
        <w:t>#3</w:t>
      </w:r>
      <w:r w:rsidR="00F10F39">
        <w:rPr>
          <w:rStyle w:val="Strong"/>
        </w:rPr>
        <w:t xml:space="preserve"> </w:t>
      </w:r>
      <w:r w:rsidR="00F10F39">
        <w:t>This</w:t>
      </w:r>
      <w:r w:rsidR="00F10F39" w:rsidRPr="00CF5A44">
        <w:t xml:space="preserve"> is </w:t>
      </w:r>
      <w:r w:rsidR="00F10F39">
        <w:t>met because</w:t>
      </w:r>
      <w:r w:rsidR="00F10F39" w:rsidRPr="00456092">
        <w:t xml:space="preserve"> </w:t>
      </w:r>
      <w:r w:rsidR="00F10F39">
        <w:t xml:space="preserve">the project enables commencement of the </w:t>
      </w:r>
      <w:r w:rsidR="00F10F39" w:rsidRPr="00F10F39">
        <w:t>scope #1 of their CitiPower Fault Level Mitigation Study</w:t>
      </w:r>
      <w:r w:rsidR="00F10F39">
        <w:t>.</w:t>
      </w:r>
    </w:p>
    <w:p w:rsidR="00F10F39" w:rsidRDefault="0072366C" w:rsidP="00F10F39">
      <w:pPr>
        <w:rPr>
          <w:rStyle w:val="Strong"/>
        </w:rPr>
      </w:pPr>
      <w:r w:rsidRPr="00C17C23">
        <w:rPr>
          <w:rStyle w:val="Strong"/>
        </w:rPr>
        <w:t>Criteria #4</w:t>
      </w:r>
      <w:r w:rsidR="00F10F39">
        <w:rPr>
          <w:rStyle w:val="Strong"/>
        </w:rPr>
        <w:t xml:space="preserve"> </w:t>
      </w:r>
      <w:r w:rsidR="00F10F39">
        <w:t>N</w:t>
      </w:r>
      <w:r w:rsidR="00F10F39" w:rsidRPr="004E4E39">
        <w:t>on-tariff based</w:t>
      </w:r>
      <w:r w:rsidR="00F10F39">
        <w:t>.</w:t>
      </w:r>
    </w:p>
    <w:p w:rsidR="00B2337E" w:rsidRPr="00D61E77" w:rsidRDefault="0072366C" w:rsidP="00B2337E">
      <w:pPr>
        <w:rPr>
          <w:rStyle w:val="AERbody"/>
        </w:rPr>
      </w:pPr>
      <w:r w:rsidRPr="00C17C23">
        <w:rPr>
          <w:rStyle w:val="Strong"/>
        </w:rPr>
        <w:t>Criteria #5</w:t>
      </w:r>
      <w:r w:rsidR="00F10F39">
        <w:rPr>
          <w:rStyle w:val="Strong"/>
        </w:rPr>
        <w:t xml:space="preserve"> </w:t>
      </w:r>
      <w:r w:rsidR="00B2337E">
        <w:rPr>
          <w:rStyle w:val="AERbody"/>
        </w:rPr>
        <w:t xml:space="preserve">This criteria is met because expenditure for this project </w:t>
      </w:r>
      <w:r w:rsidR="00B2337E" w:rsidRPr="00CD2645">
        <w:t xml:space="preserve">cannot be recovered </w:t>
      </w:r>
      <w:r w:rsidR="00B2337E">
        <w:t>through</w:t>
      </w:r>
      <w:r w:rsidR="00B2337E" w:rsidRPr="00CD2645">
        <w:t xml:space="preserve"> any other jurisdictional, state or Australian Government scheme</w:t>
      </w:r>
      <w:r w:rsidR="00B2337E">
        <w:t xml:space="preserve">, nor </w:t>
      </w:r>
      <w:r w:rsidR="00B2337E" w:rsidRPr="00CD2645">
        <w:t>through any other part of the distribution determination for the current regulatory control period.</w:t>
      </w:r>
    </w:p>
    <w:p w:rsidR="0072366C" w:rsidRDefault="0072366C" w:rsidP="0072366C">
      <w:pPr>
        <w:rPr>
          <w:rStyle w:val="AERbody"/>
        </w:rPr>
      </w:pPr>
      <w:r w:rsidRPr="00C17C23">
        <w:rPr>
          <w:rStyle w:val="Strong"/>
        </w:rPr>
        <w:lastRenderedPageBreak/>
        <w:t>Criteria #6</w:t>
      </w:r>
      <w:r w:rsidR="00F10F39">
        <w:rPr>
          <w:rStyle w:val="Strong"/>
        </w:rPr>
        <w:t xml:space="preserve"> </w:t>
      </w:r>
      <w:r w:rsidR="00F10F39" w:rsidRPr="003230E9">
        <w:rPr>
          <w:rStyle w:val="AERbody"/>
        </w:rPr>
        <w:t>Opex</w:t>
      </w:r>
    </w:p>
    <w:p w:rsidR="00111EF3" w:rsidRPr="00111EF3" w:rsidRDefault="00EA4B1A" w:rsidP="00EA4B1A">
      <w:pPr>
        <w:pStyle w:val="Heading2"/>
      </w:pPr>
      <w:bookmarkStart w:id="488" w:name="_Toc443045379"/>
      <w:bookmarkStart w:id="489" w:name="_Toc445801966"/>
      <w:r w:rsidRPr="00EA4B1A">
        <w:t>Storage Investment Framework Design and Analysis</w:t>
      </w:r>
      <w:bookmarkEnd w:id="488"/>
      <w:bookmarkEnd w:id="489"/>
    </w:p>
    <w:p w:rsidR="00111EF3" w:rsidRDefault="00111EF3" w:rsidP="00111EF3">
      <w:pPr>
        <w:pStyle w:val="Heading3"/>
      </w:pPr>
      <w:bookmarkStart w:id="490" w:name="_Toc443045380"/>
      <w:bookmarkStart w:id="491" w:name="_Toc445801967"/>
      <w:r w:rsidRPr="00111EF3">
        <w:t>Project Overview</w:t>
      </w:r>
      <w:bookmarkEnd w:id="490"/>
      <w:bookmarkEnd w:id="491"/>
    </w:p>
    <w:p w:rsidR="00C232C7" w:rsidRPr="00C232C7" w:rsidRDefault="00C232C7" w:rsidP="00C232C7">
      <w:r>
        <w:t>This project</w:t>
      </w:r>
      <w:r w:rsidRPr="00C232C7">
        <w:t xml:space="preserve"> involved three main</w:t>
      </w:r>
      <w:r>
        <w:t xml:space="preserve"> </w:t>
      </w:r>
      <w:r w:rsidRPr="00C232C7">
        <w:t>development areas for application of energy storage for demand management:</w:t>
      </w:r>
    </w:p>
    <w:p w:rsidR="00C232C7" w:rsidRPr="00C232C7" w:rsidRDefault="00C232C7" w:rsidP="00C232C7">
      <w:pPr>
        <w:pStyle w:val="AERbulletlistsecondstyle"/>
      </w:pPr>
      <w:r w:rsidRPr="00C232C7">
        <w:t>End-user off gridding</w:t>
      </w:r>
    </w:p>
    <w:p w:rsidR="00C232C7" w:rsidRPr="00C232C7" w:rsidRDefault="00C232C7" w:rsidP="00C232C7">
      <w:pPr>
        <w:pStyle w:val="AERbulletlistsecondstyle"/>
      </w:pPr>
      <w:r w:rsidRPr="00C232C7">
        <w:t>Cold thermal energy storage</w:t>
      </w:r>
    </w:p>
    <w:p w:rsidR="00F10F39" w:rsidRDefault="00C232C7" w:rsidP="00C232C7">
      <w:pPr>
        <w:pStyle w:val="AERbulletlistsecondstyle"/>
      </w:pPr>
      <w:r w:rsidRPr="00C232C7">
        <w:t>Grid Level energy storage on the grid</w:t>
      </w:r>
    </w:p>
    <w:p w:rsidR="00307CEF" w:rsidRPr="00F10F39" w:rsidRDefault="00307CEF" w:rsidP="00F04DBD">
      <w:r>
        <w:t>CitiPower</w:t>
      </w:r>
      <w:r w:rsidRPr="00307CEF">
        <w:t xml:space="preserve"> claimed DMIA expenditure in 2014 of $ </w:t>
      </w:r>
      <w:r>
        <w:t>1</w:t>
      </w:r>
      <w:r w:rsidRPr="00307CEF">
        <w:t xml:space="preserve"> </w:t>
      </w:r>
      <w:r>
        <w:t>9</w:t>
      </w:r>
      <w:r w:rsidRPr="00307CEF">
        <w:t>00 for this project.</w:t>
      </w:r>
    </w:p>
    <w:p w:rsidR="00111EF3" w:rsidRDefault="00111EF3" w:rsidP="00111EF3">
      <w:pPr>
        <w:pStyle w:val="Heading3"/>
      </w:pPr>
      <w:bookmarkStart w:id="492" w:name="_Toc443045381"/>
      <w:bookmarkStart w:id="493" w:name="_Toc445801968"/>
      <w:r w:rsidRPr="00111EF3">
        <w:t>Assessment against DMIA criteria</w:t>
      </w:r>
      <w:bookmarkEnd w:id="492"/>
      <w:bookmarkEnd w:id="493"/>
    </w:p>
    <w:p w:rsidR="0072366C" w:rsidRPr="00C232C7" w:rsidRDefault="0072366C" w:rsidP="00C232C7">
      <w:pPr>
        <w:rPr>
          <w:rStyle w:val="Strong"/>
          <w:b w:val="0"/>
          <w:bCs w:val="0"/>
        </w:rPr>
      </w:pPr>
      <w:r w:rsidRPr="00C17C23">
        <w:rPr>
          <w:rStyle w:val="Strong"/>
        </w:rPr>
        <w:t>Criteria #1</w:t>
      </w:r>
      <w:r w:rsidR="00C232C7">
        <w:rPr>
          <w:rStyle w:val="Strong"/>
        </w:rPr>
        <w:t xml:space="preserve"> </w:t>
      </w:r>
      <w:r w:rsidR="00C232C7" w:rsidRPr="00C232C7">
        <w:t>Non-network in nature through investigating alternative supply options for</w:t>
      </w:r>
      <w:r w:rsidR="00C232C7">
        <w:t xml:space="preserve"> </w:t>
      </w:r>
      <w:r w:rsidR="00C232C7" w:rsidRPr="00C232C7">
        <w:t>suitable customers, load shifting and peak curtailment providing alternative</w:t>
      </w:r>
      <w:r w:rsidR="00C232C7">
        <w:t xml:space="preserve"> </w:t>
      </w:r>
      <w:r w:rsidR="00C232C7" w:rsidRPr="00C232C7">
        <w:t>means of meeting demand.</w:t>
      </w:r>
    </w:p>
    <w:p w:rsidR="0072366C" w:rsidRPr="00C232C7" w:rsidRDefault="0072366C" w:rsidP="00C232C7">
      <w:pPr>
        <w:rPr>
          <w:rStyle w:val="Strong"/>
          <w:b w:val="0"/>
          <w:bCs w:val="0"/>
        </w:rPr>
      </w:pPr>
      <w:r>
        <w:rPr>
          <w:rStyle w:val="Strong"/>
        </w:rPr>
        <w:t>Criteria #</w:t>
      </w:r>
      <w:r w:rsidRPr="00C17C23">
        <w:rPr>
          <w:rStyle w:val="Strong"/>
        </w:rPr>
        <w:t>2</w:t>
      </w:r>
      <w:r w:rsidR="00C232C7">
        <w:rPr>
          <w:rStyle w:val="Strong"/>
        </w:rPr>
        <w:t xml:space="preserve"> </w:t>
      </w:r>
      <w:r w:rsidR="00C232C7" w:rsidRPr="00C232C7">
        <w:t>Program addresses peak demand management and broad-based demand</w:t>
      </w:r>
      <w:r w:rsidR="00C232C7">
        <w:t xml:space="preserve"> </w:t>
      </w:r>
      <w:r w:rsidR="00C232C7" w:rsidRPr="00C232C7">
        <w:t>management through identifying best cases for the application of thermal</w:t>
      </w:r>
      <w:r w:rsidR="00C232C7">
        <w:t xml:space="preserve"> </w:t>
      </w:r>
      <w:r w:rsidR="00C232C7" w:rsidRPr="00C232C7">
        <w:t>storage, off gridding and network based storage.</w:t>
      </w:r>
    </w:p>
    <w:p w:rsidR="0072366C" w:rsidRPr="00F717E5" w:rsidRDefault="0072366C" w:rsidP="00F717E5">
      <w:pPr>
        <w:rPr>
          <w:rStyle w:val="Strong"/>
          <w:b w:val="0"/>
          <w:bCs w:val="0"/>
        </w:rPr>
      </w:pPr>
      <w:r>
        <w:rPr>
          <w:rStyle w:val="Strong"/>
        </w:rPr>
        <w:t xml:space="preserve">Criteria </w:t>
      </w:r>
      <w:r w:rsidRPr="00C17C23">
        <w:rPr>
          <w:rStyle w:val="Strong"/>
        </w:rPr>
        <w:t>#3</w:t>
      </w:r>
      <w:r w:rsidR="00F717E5">
        <w:rPr>
          <w:rStyle w:val="Strong"/>
        </w:rPr>
        <w:t xml:space="preserve"> </w:t>
      </w:r>
      <w:r w:rsidR="00455AE8">
        <w:t xml:space="preserve">The project </w:t>
      </w:r>
      <w:r w:rsidR="00F717E5">
        <w:t>bu</w:t>
      </w:r>
      <w:r w:rsidR="00F717E5" w:rsidRPr="00F717E5">
        <w:t>ilds knowledge and capability to effic</w:t>
      </w:r>
      <w:r w:rsidR="00F717E5">
        <w:t xml:space="preserve">iently deploy demand management </w:t>
      </w:r>
      <w:r w:rsidR="00F717E5" w:rsidRPr="00F717E5">
        <w:t>solutions relevant to the network.</w:t>
      </w:r>
    </w:p>
    <w:p w:rsidR="0072366C" w:rsidRDefault="0072366C" w:rsidP="0072366C">
      <w:pPr>
        <w:rPr>
          <w:rStyle w:val="Strong"/>
        </w:rPr>
      </w:pPr>
      <w:r w:rsidRPr="00C17C23">
        <w:rPr>
          <w:rStyle w:val="Strong"/>
        </w:rPr>
        <w:t>Criteria #4</w:t>
      </w:r>
      <w:r w:rsidR="00F717E5">
        <w:rPr>
          <w:rStyle w:val="Strong"/>
        </w:rPr>
        <w:t xml:space="preserve"> </w:t>
      </w:r>
      <w:r w:rsidR="00F717E5" w:rsidRPr="00F717E5">
        <w:t>Program is non-tariff based.</w:t>
      </w:r>
    </w:p>
    <w:p w:rsidR="00B2337E" w:rsidRPr="00D61E77" w:rsidRDefault="0072366C" w:rsidP="00B2337E">
      <w:pPr>
        <w:rPr>
          <w:rStyle w:val="AERbody"/>
        </w:rPr>
      </w:pPr>
      <w:r w:rsidRPr="00C17C23">
        <w:rPr>
          <w:rStyle w:val="Strong"/>
        </w:rPr>
        <w:t>Criteria #5</w:t>
      </w:r>
      <w:r w:rsidR="00F717E5">
        <w:rPr>
          <w:rStyle w:val="Strong"/>
        </w:rPr>
        <w:t xml:space="preserve"> </w:t>
      </w:r>
      <w:r w:rsidR="00B2337E">
        <w:rPr>
          <w:rStyle w:val="AERbody"/>
        </w:rPr>
        <w:t xml:space="preserve">This criteria is met because expenditure for this project </w:t>
      </w:r>
      <w:r w:rsidR="00B2337E" w:rsidRPr="00CD2645">
        <w:t xml:space="preserve">cannot be recovered </w:t>
      </w:r>
      <w:r w:rsidR="00B2337E">
        <w:t>through</w:t>
      </w:r>
      <w:r w:rsidR="00B2337E" w:rsidRPr="00CD2645">
        <w:t xml:space="preserve"> any other jurisdictional, state or Australian Government scheme</w:t>
      </w:r>
      <w:r w:rsidR="00B2337E">
        <w:t xml:space="preserve">, nor </w:t>
      </w:r>
      <w:r w:rsidR="00B2337E" w:rsidRPr="00CD2645">
        <w:t>through any other part of the distribution determination for the current regulatory control period.</w:t>
      </w:r>
    </w:p>
    <w:p w:rsidR="00F717E5" w:rsidRPr="0072366C" w:rsidRDefault="0072366C" w:rsidP="00F717E5">
      <w:r w:rsidRPr="00C17C23">
        <w:rPr>
          <w:rStyle w:val="Strong"/>
        </w:rPr>
        <w:t>Criteria #6</w:t>
      </w:r>
      <w:r w:rsidR="00F717E5">
        <w:rPr>
          <w:rStyle w:val="Strong"/>
        </w:rPr>
        <w:t xml:space="preserve"> </w:t>
      </w:r>
      <w:r w:rsidR="00F717E5" w:rsidRPr="003230E9">
        <w:rPr>
          <w:rStyle w:val="AERbody"/>
        </w:rPr>
        <w:t>Opex</w:t>
      </w:r>
    </w:p>
    <w:p w:rsidR="0072366C" w:rsidRPr="0072366C" w:rsidRDefault="0072366C" w:rsidP="0072366C"/>
    <w:p w:rsidR="0072366C" w:rsidRPr="0072366C" w:rsidRDefault="0072366C" w:rsidP="0072366C"/>
    <w:p w:rsidR="00F9421A" w:rsidRPr="00F9421A" w:rsidRDefault="00F9421A" w:rsidP="00F9421A"/>
    <w:p w:rsidR="00F9421A" w:rsidRDefault="00F9421A">
      <w:pPr>
        <w:spacing w:line="240" w:lineRule="auto"/>
        <w:rPr>
          <w:rFonts w:eastAsiaTheme="majorEastAsia" w:cstheme="majorBidi"/>
          <w:b/>
          <w:bCs/>
          <w:color w:val="70635A"/>
          <w:sz w:val="36"/>
          <w:szCs w:val="28"/>
        </w:rPr>
      </w:pPr>
      <w:r>
        <w:br w:type="page"/>
      </w:r>
    </w:p>
    <w:p w:rsidR="003E5CC1" w:rsidRDefault="002D146E" w:rsidP="003F20E1">
      <w:pPr>
        <w:pStyle w:val="Heading1"/>
      </w:pPr>
      <w:bookmarkStart w:id="494" w:name="_Toc445801969"/>
      <w:r>
        <w:lastRenderedPageBreak/>
        <w:t xml:space="preserve"> </w:t>
      </w:r>
      <w:r w:rsidR="003E5CC1" w:rsidRPr="003F20E1">
        <w:t>Jemena Electricity Networks</w:t>
      </w:r>
      <w:bookmarkEnd w:id="444"/>
      <w:bookmarkEnd w:id="494"/>
    </w:p>
    <w:p w:rsidR="004E4E39" w:rsidRDefault="004E4E39" w:rsidP="004E4E39">
      <w:pPr>
        <w:numPr>
          <w:ilvl w:val="0"/>
          <w:numId w:val="24"/>
        </w:numPr>
      </w:pPr>
      <w:r>
        <w:t>Jemena</w:t>
      </w:r>
      <w:r w:rsidRPr="00D61E77">
        <w:t xml:space="preserve"> is claiming </w:t>
      </w:r>
      <w:r>
        <w:t xml:space="preserve">2014 </w:t>
      </w:r>
      <w:r w:rsidRPr="00D61E77">
        <w:t xml:space="preserve">DMIA expenditure for </w:t>
      </w:r>
      <w:r>
        <w:t>two demand management project</w:t>
      </w:r>
      <w:r w:rsidR="00A30F8F">
        <w:t>s</w:t>
      </w:r>
      <w:r w:rsidRPr="00D61E77">
        <w:t xml:space="preserve"> to</w:t>
      </w:r>
      <w:r>
        <w:t>talling</w:t>
      </w:r>
      <w:r w:rsidRPr="00D61E77">
        <w:t xml:space="preserve"> </w:t>
      </w:r>
      <w:r w:rsidRPr="00E80E6A">
        <w:t>$</w:t>
      </w:r>
      <w:r w:rsidRPr="00997AC4">
        <w:t>63</w:t>
      </w:r>
      <w:r>
        <w:t xml:space="preserve"> </w:t>
      </w:r>
      <w:r w:rsidRPr="00997AC4">
        <w:t>864</w:t>
      </w:r>
      <w:r w:rsidRPr="00D61E77">
        <w:t xml:space="preserve">. </w:t>
      </w:r>
      <w:r>
        <w:t>We approve this expenditure as it meets the DMIA criteria. The following section sets out our assessment of the individual projects. For more detailed information about these projects, please refer to Jemena's 2014 DMIA report.</w:t>
      </w:r>
    </w:p>
    <w:p w:rsidR="004E4E39" w:rsidRDefault="004E4E39" w:rsidP="004E4E39">
      <w:pPr>
        <w:pStyle w:val="Heading2"/>
      </w:pPr>
      <w:bookmarkStart w:id="495" w:name="_Toc443045383"/>
      <w:bookmarkStart w:id="496" w:name="_Toc445801970"/>
      <w:bookmarkStart w:id="497" w:name="_Toc408238643"/>
      <w:bookmarkStart w:id="498" w:name="_Toc408571715"/>
      <w:bookmarkStart w:id="499" w:name="_Toc409617640"/>
      <w:bookmarkStart w:id="500" w:name="_Toc409702257"/>
      <w:bookmarkStart w:id="501" w:name="_Toc409778976"/>
      <w:bookmarkStart w:id="502" w:name="_Toc411513804"/>
      <w:r>
        <w:t>Demand Response Field Trial _ Phase 1</w:t>
      </w:r>
      <w:bookmarkEnd w:id="495"/>
      <w:bookmarkEnd w:id="496"/>
    </w:p>
    <w:p w:rsidR="004E4E39" w:rsidRDefault="004E4E39" w:rsidP="004E4E39">
      <w:pPr>
        <w:pStyle w:val="Heading3"/>
      </w:pPr>
      <w:bookmarkStart w:id="503" w:name="_Toc443045384"/>
      <w:bookmarkStart w:id="504" w:name="_Toc445801971"/>
      <w:r w:rsidRPr="003F20E1">
        <w:t>Project Overview</w:t>
      </w:r>
      <w:bookmarkEnd w:id="503"/>
      <w:bookmarkEnd w:id="504"/>
    </w:p>
    <w:p w:rsidR="005A7678" w:rsidRPr="005A7678" w:rsidRDefault="00455AE8" w:rsidP="005A7678">
      <w:r>
        <w:t>Jemena</w:t>
      </w:r>
      <w:r w:rsidRPr="00997AC4">
        <w:t xml:space="preserve"> </w:t>
      </w:r>
      <w:r w:rsidR="004E4E39" w:rsidRPr="00997AC4">
        <w:t xml:space="preserve">has initiated a Demand Response Field Trial (DRFT) project to develop </w:t>
      </w:r>
      <w:r w:rsidR="00BF1001">
        <w:t>its</w:t>
      </w:r>
      <w:r w:rsidR="00BF1001" w:rsidRPr="00997AC4">
        <w:t xml:space="preserve"> </w:t>
      </w:r>
      <w:r w:rsidR="004E4E39" w:rsidRPr="00997AC4">
        <w:t>understanding of the benefits,</w:t>
      </w:r>
      <w:r w:rsidR="004E4E39">
        <w:t xml:space="preserve"> </w:t>
      </w:r>
      <w:r w:rsidR="004E4E39" w:rsidRPr="00997AC4">
        <w:t>costs, pricing / commercial arrangements and operational structures of customer controlled demand response</w:t>
      </w:r>
      <w:r w:rsidR="004E4E39">
        <w:t xml:space="preserve"> </w:t>
      </w:r>
      <w:r w:rsidR="004E4E39" w:rsidRPr="00997AC4">
        <w:t>(DR) programs. Phase 1 of the trial includes model development and desktop analysis and was completed in</w:t>
      </w:r>
      <w:r w:rsidR="004E4E39">
        <w:t xml:space="preserve"> </w:t>
      </w:r>
      <w:r w:rsidR="004E4E39" w:rsidRPr="00997AC4">
        <w:t>January 2015</w:t>
      </w:r>
      <w:r w:rsidR="004E4E39">
        <w:t>.</w:t>
      </w:r>
      <w:r w:rsidR="005A7678">
        <w:t xml:space="preserve"> </w:t>
      </w:r>
      <w:r>
        <w:t xml:space="preserve">Jemena </w:t>
      </w:r>
      <w:r w:rsidR="005A7678" w:rsidRPr="005A7678">
        <w:t>claimed DMIA expenditure in 2014 of $26</w:t>
      </w:r>
      <w:r w:rsidR="005A7678">
        <w:t xml:space="preserve"> </w:t>
      </w:r>
      <w:r w:rsidR="005A7678" w:rsidRPr="005A7678">
        <w:t>325</w:t>
      </w:r>
      <w:r w:rsidR="005A7678">
        <w:t xml:space="preserve"> </w:t>
      </w:r>
      <w:r w:rsidR="005A7678" w:rsidRPr="005A7678">
        <w:t>for this project.</w:t>
      </w:r>
    </w:p>
    <w:p w:rsidR="004E4E39" w:rsidRPr="003F20E1" w:rsidRDefault="004E4E39" w:rsidP="004E4E39">
      <w:pPr>
        <w:pStyle w:val="Heading3"/>
      </w:pPr>
      <w:bookmarkStart w:id="505" w:name="_Toc443045385"/>
      <w:bookmarkStart w:id="506" w:name="_Toc445801972"/>
      <w:r w:rsidRPr="003F20E1">
        <w:t>Assessment against DMIA criteria</w:t>
      </w:r>
      <w:bookmarkEnd w:id="505"/>
      <w:bookmarkEnd w:id="506"/>
    </w:p>
    <w:p w:rsidR="004E4E39" w:rsidRDefault="004E4E39" w:rsidP="004E4E39">
      <w:r w:rsidRPr="00E80E6A">
        <w:rPr>
          <w:rStyle w:val="Strong"/>
        </w:rPr>
        <w:t>Criteria #1</w:t>
      </w:r>
      <w:r w:rsidRPr="004E4E39">
        <w:t xml:space="preserve"> The project is aimed at developing Jemena’s capabilities to reduce peak demand through</w:t>
      </w:r>
      <w:r>
        <w:t xml:space="preserve"> </w:t>
      </w:r>
      <w:r w:rsidRPr="004E4E39">
        <w:t>customer controlled demand response projects, rather than increasing supply capacity through network</w:t>
      </w:r>
      <w:r>
        <w:t xml:space="preserve"> </w:t>
      </w:r>
      <w:r w:rsidRPr="004E4E39">
        <w:t>augmentation.</w:t>
      </w:r>
    </w:p>
    <w:p w:rsidR="004E4E39" w:rsidRDefault="004E4E39" w:rsidP="004E4E39">
      <w:r w:rsidRPr="00E80E6A">
        <w:rPr>
          <w:rStyle w:val="Strong"/>
        </w:rPr>
        <w:t>Criteria #2</w:t>
      </w:r>
      <w:r>
        <w:rPr>
          <w:rStyle w:val="Strong"/>
        </w:rPr>
        <w:t xml:space="preserve"> </w:t>
      </w:r>
      <w:r w:rsidRPr="004E4E39">
        <w:t>The project is a peak demand management initiative which aims to address specific</w:t>
      </w:r>
      <w:r>
        <w:t xml:space="preserve"> </w:t>
      </w:r>
      <w:r w:rsidRPr="004E4E39">
        <w:t>network constraints by reducing demand on the network at the location and time of the constraint.</w:t>
      </w:r>
    </w:p>
    <w:p w:rsidR="004E4E39" w:rsidRDefault="004E4E39" w:rsidP="004E4E39">
      <w:r w:rsidRPr="00E80E6A">
        <w:rPr>
          <w:rStyle w:val="Strong"/>
        </w:rPr>
        <w:t>Criteria #3</w:t>
      </w:r>
      <w:r>
        <w:rPr>
          <w:rStyle w:val="Strong"/>
        </w:rPr>
        <w:t xml:space="preserve"> </w:t>
      </w:r>
      <w:r w:rsidRPr="004E4E39">
        <w:t>The project deliverables are to prepare Jemena for various elements of customer</w:t>
      </w:r>
      <w:r>
        <w:t xml:space="preserve"> </w:t>
      </w:r>
      <w:r w:rsidRPr="004E4E39">
        <w:t>controlled demand response programs as an effective and efficient demand management solution.</w:t>
      </w:r>
    </w:p>
    <w:p w:rsidR="004E4E39" w:rsidRDefault="004E4E39" w:rsidP="004E4E39">
      <w:r w:rsidRPr="00E80E6A">
        <w:rPr>
          <w:rStyle w:val="Strong"/>
        </w:rPr>
        <w:t>Criteria #4</w:t>
      </w:r>
      <w:r>
        <w:rPr>
          <w:rStyle w:val="Strong"/>
        </w:rPr>
        <w:t xml:space="preserve"> </w:t>
      </w:r>
      <w:r>
        <w:t>N</w:t>
      </w:r>
      <w:r w:rsidRPr="004E4E39">
        <w:t>on-tariff based</w:t>
      </w:r>
    </w:p>
    <w:p w:rsidR="00B2337E" w:rsidRPr="00D61E77" w:rsidRDefault="004E4E39" w:rsidP="00B2337E">
      <w:pPr>
        <w:rPr>
          <w:rStyle w:val="AERbody"/>
        </w:rPr>
      </w:pPr>
      <w:r w:rsidRPr="00E80E6A">
        <w:rPr>
          <w:rStyle w:val="Strong"/>
        </w:rPr>
        <w:t>Criteria #5</w:t>
      </w:r>
      <w:r>
        <w:rPr>
          <w:rStyle w:val="Strong"/>
        </w:rPr>
        <w:t xml:space="preserve"> </w:t>
      </w:r>
      <w:r w:rsidR="00B2337E">
        <w:rPr>
          <w:rStyle w:val="AERbody"/>
        </w:rPr>
        <w:t xml:space="preserve">This criteria is met because expenditure for this project </w:t>
      </w:r>
      <w:r w:rsidR="00B2337E" w:rsidRPr="00CD2645">
        <w:t xml:space="preserve">cannot be recovered </w:t>
      </w:r>
      <w:r w:rsidR="00B2337E">
        <w:t>through</w:t>
      </w:r>
      <w:r w:rsidR="00B2337E" w:rsidRPr="00CD2645">
        <w:t xml:space="preserve"> any other jurisdictional, state or Australian Government scheme</w:t>
      </w:r>
      <w:r w:rsidR="00B2337E">
        <w:t xml:space="preserve">, nor </w:t>
      </w:r>
      <w:r w:rsidR="00B2337E" w:rsidRPr="00CD2645">
        <w:t>through any other part of the distribution determination for the current regulatory control period.</w:t>
      </w:r>
    </w:p>
    <w:p w:rsidR="004E4E39" w:rsidRPr="00997AC4" w:rsidRDefault="004E4E39" w:rsidP="004E4E39">
      <w:r w:rsidRPr="00E80E6A">
        <w:rPr>
          <w:rStyle w:val="Strong"/>
        </w:rPr>
        <w:t>Criteria #6</w:t>
      </w:r>
      <w:r>
        <w:rPr>
          <w:rStyle w:val="Strong"/>
        </w:rPr>
        <w:t xml:space="preserve"> </w:t>
      </w:r>
      <w:r>
        <w:t>Opex</w:t>
      </w:r>
    </w:p>
    <w:p w:rsidR="004E4E39" w:rsidRPr="003F20E1" w:rsidRDefault="004E4E39" w:rsidP="004E4E39">
      <w:pPr>
        <w:pStyle w:val="Heading2"/>
      </w:pPr>
      <w:bookmarkStart w:id="507" w:name="_Toc443045386"/>
      <w:bookmarkStart w:id="508" w:name="_Toc445801973"/>
      <w:r w:rsidRPr="003F20E1">
        <w:t>Impact of the Energy Portal</w:t>
      </w:r>
      <w:bookmarkEnd w:id="497"/>
      <w:bookmarkEnd w:id="498"/>
      <w:bookmarkEnd w:id="499"/>
      <w:bookmarkEnd w:id="500"/>
      <w:bookmarkEnd w:id="501"/>
      <w:bookmarkEnd w:id="502"/>
      <w:bookmarkEnd w:id="507"/>
      <w:bookmarkEnd w:id="508"/>
    </w:p>
    <w:p w:rsidR="004E4E39" w:rsidRPr="003F20E1" w:rsidRDefault="004E4E39" w:rsidP="004E4E39">
      <w:pPr>
        <w:pStyle w:val="Heading3"/>
      </w:pPr>
      <w:bookmarkStart w:id="509" w:name="_Toc408238644"/>
      <w:bookmarkStart w:id="510" w:name="_Toc408571716"/>
      <w:bookmarkStart w:id="511" w:name="_Toc409617641"/>
      <w:bookmarkStart w:id="512" w:name="_Toc409702258"/>
      <w:bookmarkStart w:id="513" w:name="_Toc409778977"/>
      <w:bookmarkStart w:id="514" w:name="_Toc411513805"/>
      <w:bookmarkStart w:id="515" w:name="_Toc443045387"/>
      <w:bookmarkStart w:id="516" w:name="_Toc445801974"/>
      <w:r w:rsidRPr="003F20E1">
        <w:t>Project Overview</w:t>
      </w:r>
      <w:bookmarkEnd w:id="509"/>
      <w:bookmarkEnd w:id="510"/>
      <w:bookmarkEnd w:id="511"/>
      <w:bookmarkEnd w:id="512"/>
      <w:bookmarkEnd w:id="513"/>
      <w:bookmarkEnd w:id="514"/>
      <w:bookmarkEnd w:id="515"/>
      <w:bookmarkEnd w:id="516"/>
    </w:p>
    <w:p w:rsidR="004E4E39" w:rsidRPr="004E4E39" w:rsidRDefault="004E4E39" w:rsidP="004E4E39">
      <w:r w:rsidRPr="004E4E39">
        <w:t>Following on from the release of the Energy Portal to Jemena customers in June 2012, Jemena undertook an</w:t>
      </w:r>
      <w:r>
        <w:t xml:space="preserve"> </w:t>
      </w:r>
      <w:r w:rsidRPr="004E4E39">
        <w:t>initiative in 2013 and 2014 to understand the impact of the Energy Portal on customers’ electricity consumption.</w:t>
      </w:r>
    </w:p>
    <w:p w:rsidR="004E4E39" w:rsidRDefault="00455AE8" w:rsidP="004E4E39">
      <w:r>
        <w:lastRenderedPageBreak/>
        <w:t xml:space="preserve">Jemena </w:t>
      </w:r>
      <w:r w:rsidR="004E4E39">
        <w:t>seeks</w:t>
      </w:r>
      <w:r w:rsidR="004E4E39" w:rsidRPr="004E4E39">
        <w:t xml:space="preserve"> approval for costs associated with the continued engagement of a contract analyst in the 2014</w:t>
      </w:r>
      <w:r w:rsidR="004E4E39">
        <w:t xml:space="preserve"> </w:t>
      </w:r>
      <w:r w:rsidR="004E4E39" w:rsidRPr="004E4E39">
        <w:t>Regulatory Year to assess the capabilities of the Energy Portal as a demand management tool and to promote</w:t>
      </w:r>
      <w:r w:rsidR="004E4E39">
        <w:t xml:space="preserve"> </w:t>
      </w:r>
      <w:r w:rsidR="004E4E39" w:rsidRPr="004E4E39">
        <w:t xml:space="preserve">the portal to </w:t>
      </w:r>
      <w:r>
        <w:t xml:space="preserve">its </w:t>
      </w:r>
      <w:r w:rsidR="004E4E39" w:rsidRPr="004E4E39">
        <w:t>customers.</w:t>
      </w:r>
      <w:r w:rsidR="004E4E39" w:rsidRPr="001B6D87">
        <w:t xml:space="preserve"> </w:t>
      </w:r>
      <w:r>
        <w:t xml:space="preserve">Jemena </w:t>
      </w:r>
      <w:r w:rsidR="005A7678" w:rsidRPr="005A7678">
        <w:t xml:space="preserve">claimed DMIA expenditure in 2014 of $ </w:t>
      </w:r>
      <w:r w:rsidR="005A7678">
        <w:t xml:space="preserve">37 </w:t>
      </w:r>
      <w:r w:rsidR="005A7678" w:rsidRPr="005A7678">
        <w:t>539 for this project</w:t>
      </w:r>
    </w:p>
    <w:p w:rsidR="004E4E39" w:rsidRPr="003F20E1" w:rsidRDefault="004E4E39" w:rsidP="004E4E39">
      <w:pPr>
        <w:pStyle w:val="Heading3"/>
      </w:pPr>
      <w:bookmarkStart w:id="517" w:name="_Toc408238645"/>
      <w:bookmarkStart w:id="518" w:name="_Toc408571717"/>
      <w:bookmarkStart w:id="519" w:name="_Toc409617642"/>
      <w:bookmarkStart w:id="520" w:name="_Toc409702259"/>
      <w:bookmarkStart w:id="521" w:name="_Toc409778978"/>
      <w:bookmarkStart w:id="522" w:name="_Toc411513806"/>
      <w:bookmarkStart w:id="523" w:name="_Toc443045388"/>
      <w:bookmarkStart w:id="524" w:name="_Toc445801975"/>
      <w:r w:rsidRPr="003F20E1">
        <w:t>Assessment against DMIA criteria</w:t>
      </w:r>
      <w:bookmarkEnd w:id="517"/>
      <w:bookmarkEnd w:id="518"/>
      <w:bookmarkEnd w:id="519"/>
      <w:bookmarkEnd w:id="520"/>
      <w:bookmarkEnd w:id="521"/>
      <w:bookmarkEnd w:id="522"/>
      <w:bookmarkEnd w:id="523"/>
      <w:bookmarkEnd w:id="524"/>
    </w:p>
    <w:p w:rsidR="004E4E39" w:rsidRPr="00E80E6A" w:rsidRDefault="004E4E39" w:rsidP="004E4E39">
      <w:r w:rsidRPr="00E80E6A">
        <w:rPr>
          <w:rStyle w:val="Strong"/>
        </w:rPr>
        <w:t xml:space="preserve">Criteria #1 </w:t>
      </w:r>
      <w:r w:rsidRPr="00817FF4">
        <w:t xml:space="preserve">The project has the potential to provide </w:t>
      </w:r>
      <w:r>
        <w:t>d</w:t>
      </w:r>
      <w:r w:rsidRPr="00817FF4">
        <w:t xml:space="preserve">emand </w:t>
      </w:r>
      <w:r>
        <w:t>m</w:t>
      </w:r>
      <w:r w:rsidRPr="00817FF4">
        <w:t>anagement capabilities through</w:t>
      </w:r>
      <w:r>
        <w:t xml:space="preserve"> </w:t>
      </w:r>
      <w:r w:rsidRPr="00817FF4">
        <w:t>promoting portal use among J</w:t>
      </w:r>
      <w:r>
        <w:t>emena</w:t>
      </w:r>
      <w:r w:rsidRPr="00817FF4">
        <w:t>’s customers and giving them the tools to manage their demand.</w:t>
      </w:r>
    </w:p>
    <w:p w:rsidR="004E4E39" w:rsidRPr="00E80E6A" w:rsidRDefault="004E4E39" w:rsidP="004E4E39">
      <w:r w:rsidRPr="00E80E6A">
        <w:rPr>
          <w:rStyle w:val="Strong"/>
        </w:rPr>
        <w:t xml:space="preserve">Criteria #2 </w:t>
      </w:r>
      <w:r w:rsidRPr="00817FF4">
        <w:t xml:space="preserve">The project is a broad based </w:t>
      </w:r>
      <w:r>
        <w:t>d</w:t>
      </w:r>
      <w:r w:rsidRPr="00817FF4">
        <w:t xml:space="preserve">emand </w:t>
      </w:r>
      <w:r>
        <w:t>m</w:t>
      </w:r>
      <w:r w:rsidRPr="00817FF4">
        <w:t>anagement initiative targeted at consumers with</w:t>
      </w:r>
      <w:r>
        <w:t xml:space="preserve"> </w:t>
      </w:r>
      <w:r w:rsidRPr="00817FF4">
        <w:t>smart meters, and is not aimed at a specific location on the network.</w:t>
      </w:r>
    </w:p>
    <w:p w:rsidR="004E4E39" w:rsidRPr="00E80E6A" w:rsidRDefault="004E4E39" w:rsidP="004E4E39">
      <w:r w:rsidRPr="00E80E6A">
        <w:rPr>
          <w:rStyle w:val="Strong"/>
        </w:rPr>
        <w:t xml:space="preserve">Criteria #3 </w:t>
      </w:r>
      <w:r w:rsidRPr="00817FF4">
        <w:t>The project is an initiative designed to explore customers’ response to smart metering</w:t>
      </w:r>
      <w:r>
        <w:t xml:space="preserve"> </w:t>
      </w:r>
      <w:r w:rsidRPr="00817FF4">
        <w:t>information and price signals.</w:t>
      </w:r>
    </w:p>
    <w:p w:rsidR="004E4E39" w:rsidRPr="00E80E6A" w:rsidRDefault="004E4E39" w:rsidP="004E4E39">
      <w:pPr>
        <w:rPr>
          <w:rStyle w:val="AERbody"/>
        </w:rPr>
      </w:pPr>
      <w:r w:rsidRPr="00E80E6A">
        <w:rPr>
          <w:rStyle w:val="Strong"/>
        </w:rPr>
        <w:t xml:space="preserve">Criteria #4 </w:t>
      </w:r>
      <w:r>
        <w:t>Non-tariff based</w:t>
      </w:r>
    </w:p>
    <w:p w:rsidR="004E4E39" w:rsidRDefault="004E4E39" w:rsidP="004E4E39">
      <w:pPr>
        <w:rPr>
          <w:rStyle w:val="Strong"/>
        </w:rPr>
      </w:pPr>
      <w:r w:rsidRPr="00E80E6A">
        <w:rPr>
          <w:rStyle w:val="Strong"/>
        </w:rPr>
        <w:t xml:space="preserve">Criteria #5 </w:t>
      </w:r>
      <w:r w:rsidRPr="000C417C">
        <w:rPr>
          <w:rStyle w:val="AERbody"/>
        </w:rPr>
        <w:t xml:space="preserve">This criteria is met because expenditure for this project </w:t>
      </w:r>
      <w:r w:rsidRPr="000C417C">
        <w:t>cannot be recovered through any other jurisdictional, state or Australian Government scheme, nor through any other part of the distribution determination for the current regulatory control period.</w:t>
      </w:r>
    </w:p>
    <w:p w:rsidR="004E4E39" w:rsidRDefault="004E4E39" w:rsidP="004E4E39">
      <w:r w:rsidRPr="00E80E6A">
        <w:rPr>
          <w:rStyle w:val="Strong"/>
        </w:rPr>
        <w:t xml:space="preserve">Criteria #6 </w:t>
      </w:r>
      <w:r>
        <w:t>Opex</w:t>
      </w:r>
    </w:p>
    <w:p w:rsidR="004E4E39" w:rsidRPr="004E4E39" w:rsidRDefault="004E4E39" w:rsidP="004E4E39"/>
    <w:p w:rsidR="000A2B46" w:rsidRDefault="000A2B46">
      <w:pPr>
        <w:spacing w:line="240" w:lineRule="auto"/>
      </w:pPr>
    </w:p>
    <w:p w:rsidR="00077BA1" w:rsidRDefault="00077BA1">
      <w:pPr>
        <w:spacing w:line="240" w:lineRule="auto"/>
      </w:pPr>
      <w:r>
        <w:br w:type="page"/>
      </w:r>
    </w:p>
    <w:p w:rsidR="00077BA1" w:rsidRPr="003F20E1" w:rsidRDefault="002D146E" w:rsidP="003F20E1">
      <w:pPr>
        <w:pStyle w:val="Heading1"/>
      </w:pPr>
      <w:bookmarkStart w:id="525" w:name="_Toc445801976"/>
      <w:bookmarkStart w:id="526" w:name="_Toc392751244"/>
      <w:r>
        <w:lastRenderedPageBreak/>
        <w:t xml:space="preserve"> </w:t>
      </w:r>
      <w:r w:rsidR="00077BA1" w:rsidRPr="003F20E1">
        <w:t>Powercor</w:t>
      </w:r>
      <w:bookmarkEnd w:id="525"/>
    </w:p>
    <w:p w:rsidR="000A2B46" w:rsidRDefault="00CD5116" w:rsidP="00077BA1">
      <w:r>
        <w:t>Powercor</w:t>
      </w:r>
      <w:r w:rsidRPr="00D61E77">
        <w:t xml:space="preserve"> is claiming </w:t>
      </w:r>
      <w:r>
        <w:t xml:space="preserve">2014 </w:t>
      </w:r>
      <w:r w:rsidRPr="00D61E77">
        <w:t xml:space="preserve">DMIA expenditure for </w:t>
      </w:r>
      <w:r>
        <w:t>five demand management projects</w:t>
      </w:r>
      <w:r w:rsidRPr="00D61E77">
        <w:t xml:space="preserve"> to</w:t>
      </w:r>
      <w:r>
        <w:t>talling</w:t>
      </w:r>
      <w:r w:rsidRPr="00D61E77">
        <w:t xml:space="preserve"> </w:t>
      </w:r>
      <w:r w:rsidRPr="00E80E6A">
        <w:t>$</w:t>
      </w:r>
      <w:r>
        <w:t xml:space="preserve">230 </w:t>
      </w:r>
      <w:r w:rsidRPr="00CD5116">
        <w:t>614</w:t>
      </w:r>
      <w:r w:rsidRPr="00D61E77">
        <w:t xml:space="preserve">. </w:t>
      </w:r>
      <w:r>
        <w:t>We approve this expenditure as it meets the DMIA criteria. The following section sets out our assessment of the individual projects. For more detailed information about these projects, please refer to Powercor's 2014 DMIA report</w:t>
      </w:r>
    </w:p>
    <w:p w:rsidR="00CD5116" w:rsidRPr="00B60AA0" w:rsidRDefault="00CD5116" w:rsidP="00CD5116">
      <w:pPr>
        <w:pStyle w:val="Heading2"/>
      </w:pPr>
      <w:bookmarkStart w:id="527" w:name="_Toc443045390"/>
      <w:bookmarkStart w:id="528" w:name="_Toc445801977"/>
      <w:r w:rsidRPr="00CD5116">
        <w:t>Network Support CTN</w:t>
      </w:r>
      <w:r>
        <w:t xml:space="preserve"> and </w:t>
      </w:r>
      <w:r w:rsidRPr="00CD5116">
        <w:t>Network Support BMH.</w:t>
      </w:r>
      <w:bookmarkEnd w:id="527"/>
      <w:bookmarkEnd w:id="528"/>
    </w:p>
    <w:p w:rsidR="00CD5116" w:rsidRDefault="00CD5116" w:rsidP="00CD5116">
      <w:pPr>
        <w:pStyle w:val="Heading3"/>
      </w:pPr>
      <w:bookmarkStart w:id="529" w:name="_Toc443045391"/>
      <w:bookmarkStart w:id="530" w:name="_Toc445801978"/>
      <w:r w:rsidRPr="00B60AA0">
        <w:t>Project Overview</w:t>
      </w:r>
      <w:bookmarkEnd w:id="529"/>
      <w:bookmarkEnd w:id="530"/>
    </w:p>
    <w:p w:rsidR="003A0432" w:rsidRDefault="00376B10" w:rsidP="00CD5116">
      <w:r>
        <w:t>These</w:t>
      </w:r>
      <w:r w:rsidR="00CD5116">
        <w:t xml:space="preserve"> are </w:t>
      </w:r>
      <w:r w:rsidR="00CD5116" w:rsidRPr="00CD5116">
        <w:t>network support projects which were deployed to inject</w:t>
      </w:r>
      <w:r w:rsidR="00CD5116">
        <w:t xml:space="preserve"> </w:t>
      </w:r>
      <w:r w:rsidR="00CD5116" w:rsidRPr="00CD5116">
        <w:t>electrical power into the CTN and BMH 22kV feeder networks in Western</w:t>
      </w:r>
      <w:r w:rsidR="00CD5116">
        <w:t xml:space="preserve"> </w:t>
      </w:r>
      <w:r w:rsidR="00CD5116" w:rsidRPr="00CD5116">
        <w:t>Victoria. The projects included 1250kVA and 350kVa</w:t>
      </w:r>
      <w:r w:rsidR="00CD5116">
        <w:t xml:space="preserve"> </w:t>
      </w:r>
      <w:r w:rsidR="00CD5116" w:rsidRPr="00CD5116">
        <w:t>portable generators and included supply and lease of equipment, labour and fuel.</w:t>
      </w:r>
      <w:r w:rsidR="003A0432">
        <w:t xml:space="preserve"> </w:t>
      </w:r>
      <w:r w:rsidR="003A0432" w:rsidRPr="003A0432">
        <w:t xml:space="preserve">The purpose of the projects was to trial embedded generator support to areas where </w:t>
      </w:r>
      <w:r w:rsidR="003A0432">
        <w:t>Powercor</w:t>
      </w:r>
      <w:r w:rsidR="003A0432" w:rsidRPr="003A0432">
        <w:t xml:space="preserve"> expect</w:t>
      </w:r>
      <w:r w:rsidR="003A0432">
        <w:t>s</w:t>
      </w:r>
      <w:r w:rsidR="003A0432" w:rsidRPr="003A0432">
        <w:t xml:space="preserve"> future supply constraints. </w:t>
      </w:r>
    </w:p>
    <w:p w:rsidR="003A0432" w:rsidRDefault="003A0432" w:rsidP="00CD5116">
      <w:r>
        <w:t>Powercor advised that t</w:t>
      </w:r>
      <w:r w:rsidRPr="003A0432">
        <w:t xml:space="preserve">he project </w:t>
      </w:r>
      <w:r>
        <w:t>has been</w:t>
      </w:r>
      <w:r w:rsidRPr="003A0432">
        <w:t xml:space="preserve"> proven to be successful in terms of construction and control</w:t>
      </w:r>
      <w:r>
        <w:t>. It</w:t>
      </w:r>
      <w:r w:rsidRPr="003A0432">
        <w:t xml:space="preserve"> can now implement the solution in a short period of time</w:t>
      </w:r>
      <w:r>
        <w:t>,</w:t>
      </w:r>
      <w:r w:rsidRPr="003A0432">
        <w:t xml:space="preserve"> if </w:t>
      </w:r>
      <w:r>
        <w:t>such</w:t>
      </w:r>
      <w:r w:rsidRPr="003A0432">
        <w:t xml:space="preserve"> need arose quickly</w:t>
      </w:r>
      <w:r>
        <w:t xml:space="preserve"> due to rapid load growth.</w:t>
      </w:r>
      <w:r w:rsidR="00414465">
        <w:t xml:space="preserve"> Powercor </w:t>
      </w:r>
      <w:r w:rsidR="00414465" w:rsidRPr="005A7678">
        <w:t xml:space="preserve">claimed DMIA expenditure in 2014 of $ </w:t>
      </w:r>
      <w:r w:rsidR="00414465">
        <w:t xml:space="preserve">43 439 </w:t>
      </w:r>
      <w:r w:rsidR="00414465" w:rsidRPr="005A7678">
        <w:t>for this project</w:t>
      </w:r>
      <w:r w:rsidR="00414465">
        <w:t>.</w:t>
      </w:r>
    </w:p>
    <w:p w:rsidR="00CD5116" w:rsidRDefault="00CD5116" w:rsidP="00CD5116">
      <w:pPr>
        <w:pStyle w:val="Heading3"/>
      </w:pPr>
      <w:bookmarkStart w:id="531" w:name="_Toc443045392"/>
      <w:bookmarkStart w:id="532" w:name="_Toc445801979"/>
      <w:r w:rsidRPr="00B60AA0">
        <w:t>Assessment against DMIA criteria</w:t>
      </w:r>
      <w:bookmarkEnd w:id="531"/>
      <w:bookmarkEnd w:id="532"/>
    </w:p>
    <w:p w:rsidR="00CD5116" w:rsidRDefault="00CD5116" w:rsidP="00CD5116">
      <w:r w:rsidRPr="00C17C23">
        <w:rPr>
          <w:rStyle w:val="Strong"/>
        </w:rPr>
        <w:t>Criteria #1</w:t>
      </w:r>
      <w:r w:rsidRPr="00CD5116">
        <w:t xml:space="preserve"> </w:t>
      </w:r>
      <w:r>
        <w:t xml:space="preserve">These are </w:t>
      </w:r>
      <w:r w:rsidRPr="00CD5116">
        <w:t xml:space="preserve">network support projects </w:t>
      </w:r>
      <w:r>
        <w:t xml:space="preserve">which </w:t>
      </w:r>
      <w:r w:rsidRPr="003804F6">
        <w:t>enable de</w:t>
      </w:r>
      <w:r>
        <w:t xml:space="preserve">ferment of a network </w:t>
      </w:r>
      <w:r w:rsidRPr="003804F6">
        <w:t>augmentation</w:t>
      </w:r>
      <w:r w:rsidR="00EF742F">
        <w:t xml:space="preserve"> when unpredictable loading materialises</w:t>
      </w:r>
      <w:r>
        <w:t>.</w:t>
      </w:r>
    </w:p>
    <w:p w:rsidR="00CD5116" w:rsidRDefault="00CD5116" w:rsidP="00EF742F">
      <w:pPr>
        <w:rPr>
          <w:rStyle w:val="Strong"/>
        </w:rPr>
      </w:pPr>
      <w:r>
        <w:rPr>
          <w:rStyle w:val="Strong"/>
        </w:rPr>
        <w:t>Criteria #</w:t>
      </w:r>
      <w:r w:rsidRPr="00C17C23">
        <w:rPr>
          <w:rStyle w:val="Strong"/>
        </w:rPr>
        <w:t>2</w:t>
      </w:r>
      <w:r>
        <w:rPr>
          <w:rStyle w:val="Strong"/>
        </w:rPr>
        <w:t xml:space="preserve"> </w:t>
      </w:r>
      <w:r w:rsidR="00760485">
        <w:t>Th</w:t>
      </w:r>
      <w:r w:rsidR="00EF742F">
        <w:t>ese</w:t>
      </w:r>
      <w:r>
        <w:t xml:space="preserve"> </w:t>
      </w:r>
      <w:r w:rsidR="00EF742F" w:rsidRPr="00EF742F">
        <w:t xml:space="preserve">network support projects </w:t>
      </w:r>
      <w:r w:rsidR="00386B4C" w:rsidRPr="00386B4C">
        <w:t>can be used in broad-based demand and peak demand management program.</w:t>
      </w:r>
    </w:p>
    <w:p w:rsidR="00CD5116" w:rsidRDefault="00CD5116" w:rsidP="00920A5C">
      <w:pPr>
        <w:rPr>
          <w:rStyle w:val="Strong"/>
        </w:rPr>
      </w:pPr>
      <w:r>
        <w:rPr>
          <w:rStyle w:val="Strong"/>
        </w:rPr>
        <w:t xml:space="preserve">Criteria </w:t>
      </w:r>
      <w:r w:rsidRPr="00C17C23">
        <w:rPr>
          <w:rStyle w:val="Strong"/>
        </w:rPr>
        <w:t>#3</w:t>
      </w:r>
      <w:r>
        <w:rPr>
          <w:rStyle w:val="Strong"/>
        </w:rPr>
        <w:t xml:space="preserve"> </w:t>
      </w:r>
      <w:r w:rsidR="00EF742F">
        <w:t>These</w:t>
      </w:r>
      <w:r>
        <w:t xml:space="preserve"> project</w:t>
      </w:r>
      <w:r w:rsidR="00EF742F">
        <w:t>s</w:t>
      </w:r>
      <w:r>
        <w:t xml:space="preserve"> provides e</w:t>
      </w:r>
      <w:r w:rsidRPr="00AE6249">
        <w:t>xperience</w:t>
      </w:r>
      <w:r w:rsidR="00EF742F">
        <w:t xml:space="preserve"> and operational capability f</w:t>
      </w:r>
      <w:r w:rsidRPr="00AE6249">
        <w:t>or network support</w:t>
      </w:r>
      <w:r w:rsidR="00EF742F">
        <w:t>.</w:t>
      </w:r>
      <w:r w:rsidR="00920A5C">
        <w:t xml:space="preserve"> </w:t>
      </w:r>
      <w:r w:rsidR="00920A5C" w:rsidRPr="00920A5C">
        <w:t>Remote control techniques and</w:t>
      </w:r>
      <w:r w:rsidR="00920A5C">
        <w:t xml:space="preserve"> </w:t>
      </w:r>
      <w:r w:rsidR="00920A5C" w:rsidRPr="00920A5C">
        <w:t>remote monitoring were tested to reduce fuel and labour costs while improving</w:t>
      </w:r>
      <w:r w:rsidR="00920A5C">
        <w:t xml:space="preserve"> </w:t>
      </w:r>
      <w:r w:rsidR="00920A5C" w:rsidRPr="00920A5C">
        <w:t>response.</w:t>
      </w:r>
    </w:p>
    <w:p w:rsidR="00CD5116" w:rsidRDefault="00CD5116" w:rsidP="00CD5116">
      <w:pPr>
        <w:rPr>
          <w:rStyle w:val="Strong"/>
        </w:rPr>
      </w:pPr>
      <w:r w:rsidRPr="00C17C23">
        <w:rPr>
          <w:rStyle w:val="Strong"/>
        </w:rPr>
        <w:t>Criteria #4</w:t>
      </w:r>
      <w:r>
        <w:rPr>
          <w:rStyle w:val="Strong"/>
        </w:rPr>
        <w:t xml:space="preserve"> </w:t>
      </w:r>
      <w:r>
        <w:t>N</w:t>
      </w:r>
      <w:r w:rsidRPr="004E4E39">
        <w:t>on-tariff based</w:t>
      </w:r>
      <w:r>
        <w:t>.</w:t>
      </w:r>
    </w:p>
    <w:p w:rsidR="00B2337E" w:rsidRPr="00D61E77" w:rsidRDefault="00CD5116" w:rsidP="00B2337E">
      <w:pPr>
        <w:rPr>
          <w:rStyle w:val="AERbody"/>
        </w:rPr>
      </w:pPr>
      <w:r w:rsidRPr="00C17C23">
        <w:rPr>
          <w:rStyle w:val="Strong"/>
        </w:rPr>
        <w:t>Criteria #5</w:t>
      </w:r>
      <w:r>
        <w:rPr>
          <w:rStyle w:val="Strong"/>
        </w:rPr>
        <w:t xml:space="preserve"> </w:t>
      </w:r>
      <w:r w:rsidR="00B2337E">
        <w:rPr>
          <w:rStyle w:val="AERbody"/>
        </w:rPr>
        <w:t xml:space="preserve">This criteria is met because expenditure for this project </w:t>
      </w:r>
      <w:r w:rsidR="00B2337E" w:rsidRPr="00CD2645">
        <w:t xml:space="preserve">cannot be recovered </w:t>
      </w:r>
      <w:r w:rsidR="00B2337E">
        <w:t>through</w:t>
      </w:r>
      <w:r w:rsidR="00B2337E" w:rsidRPr="00CD2645">
        <w:t xml:space="preserve"> any other jurisdictional, state or Australian Government scheme</w:t>
      </w:r>
      <w:r w:rsidR="00B2337E">
        <w:t xml:space="preserve">, nor </w:t>
      </w:r>
      <w:r w:rsidR="00B2337E" w:rsidRPr="00CD2645">
        <w:t>through any other part of the distribution determination for the current regulatory control period.</w:t>
      </w:r>
    </w:p>
    <w:p w:rsidR="00CD5116" w:rsidRDefault="00CD5116" w:rsidP="00CD5116">
      <w:pPr>
        <w:rPr>
          <w:rStyle w:val="AERbody"/>
        </w:rPr>
      </w:pPr>
      <w:r w:rsidRPr="00C17C23">
        <w:rPr>
          <w:rStyle w:val="Strong"/>
        </w:rPr>
        <w:t>Criteria #6</w:t>
      </w:r>
      <w:r>
        <w:rPr>
          <w:rStyle w:val="Strong"/>
        </w:rPr>
        <w:t xml:space="preserve"> </w:t>
      </w:r>
      <w:r w:rsidRPr="003230E9">
        <w:rPr>
          <w:rStyle w:val="AERbody"/>
        </w:rPr>
        <w:t>Opex</w:t>
      </w:r>
    </w:p>
    <w:p w:rsidR="00840AFA" w:rsidRDefault="00840AFA" w:rsidP="00CD5116">
      <w:pPr>
        <w:rPr>
          <w:rStyle w:val="AERbody"/>
        </w:rPr>
      </w:pPr>
    </w:p>
    <w:p w:rsidR="00840AFA" w:rsidRDefault="00840AFA" w:rsidP="00CD5116">
      <w:pPr>
        <w:rPr>
          <w:rStyle w:val="AERbody"/>
        </w:rPr>
      </w:pPr>
    </w:p>
    <w:p w:rsidR="00840AFA" w:rsidRPr="0072366C" w:rsidRDefault="00840AFA" w:rsidP="00CD5116"/>
    <w:p w:rsidR="00A70F78" w:rsidRPr="00B60AA0" w:rsidRDefault="00A70F78" w:rsidP="00A70F78">
      <w:pPr>
        <w:pStyle w:val="Heading2"/>
      </w:pPr>
      <w:r>
        <w:lastRenderedPageBreak/>
        <w:t xml:space="preserve"> </w:t>
      </w:r>
      <w:bookmarkStart w:id="533" w:name="_Toc443045393"/>
      <w:bookmarkStart w:id="534" w:name="_Toc445801980"/>
      <w:r w:rsidRPr="00A70F78">
        <w:t>Greensync pilot of resi</w:t>
      </w:r>
      <w:r>
        <w:t>dential DM in the Werribee area</w:t>
      </w:r>
      <w:bookmarkEnd w:id="533"/>
      <w:bookmarkEnd w:id="534"/>
    </w:p>
    <w:p w:rsidR="00A70F78" w:rsidRDefault="00A70F78" w:rsidP="00A70F78">
      <w:pPr>
        <w:pStyle w:val="Heading3"/>
      </w:pPr>
      <w:bookmarkStart w:id="535" w:name="_Toc443045394"/>
      <w:bookmarkStart w:id="536" w:name="_Toc445801981"/>
      <w:r w:rsidRPr="00B60AA0">
        <w:t>Project Overview</w:t>
      </w:r>
      <w:bookmarkEnd w:id="535"/>
      <w:bookmarkEnd w:id="536"/>
    </w:p>
    <w:p w:rsidR="00EF742F" w:rsidRDefault="00920A5C" w:rsidP="00920A5C">
      <w:r>
        <w:t xml:space="preserve">This project </w:t>
      </w:r>
      <w:r w:rsidRPr="00920A5C">
        <w:t>involved collecting load and customer information to identify areas for</w:t>
      </w:r>
      <w:r>
        <w:t xml:space="preserve"> </w:t>
      </w:r>
      <w:r w:rsidRPr="00920A5C">
        <w:t xml:space="preserve">possible deployment of DM and analysing the data to </w:t>
      </w:r>
      <w:r w:rsidR="00DD21F8">
        <w:t>identify the justification process to enable future use of DM to defer capital expenditure</w:t>
      </w:r>
      <w:r w:rsidRPr="00920A5C">
        <w:t>.</w:t>
      </w:r>
      <w:r w:rsidR="00414465">
        <w:t xml:space="preserve"> Powercor </w:t>
      </w:r>
      <w:r w:rsidR="00414465" w:rsidRPr="005A7678">
        <w:t xml:space="preserve">claimed DMIA expenditure in 2014 of $ </w:t>
      </w:r>
      <w:r w:rsidR="00414465">
        <w:t xml:space="preserve">18 500 </w:t>
      </w:r>
      <w:r w:rsidR="00414465" w:rsidRPr="005A7678">
        <w:t>for this project</w:t>
      </w:r>
      <w:r w:rsidR="00414465">
        <w:t>.</w:t>
      </w:r>
    </w:p>
    <w:p w:rsidR="00A70F78" w:rsidRDefault="00A70F78" w:rsidP="00A70F78">
      <w:pPr>
        <w:pStyle w:val="Heading3"/>
      </w:pPr>
      <w:bookmarkStart w:id="537" w:name="_Toc445801982"/>
      <w:bookmarkStart w:id="538" w:name="_Toc443045395"/>
      <w:bookmarkStart w:id="539" w:name="_Toc445801983"/>
      <w:bookmarkEnd w:id="537"/>
      <w:r w:rsidRPr="00B60AA0">
        <w:t>Assessment against DMIA criteria</w:t>
      </w:r>
      <w:bookmarkEnd w:id="538"/>
      <w:bookmarkEnd w:id="539"/>
    </w:p>
    <w:p w:rsidR="00A70F78" w:rsidRDefault="00A70F78" w:rsidP="00386B4C">
      <w:r w:rsidRPr="00C17C23">
        <w:rPr>
          <w:rStyle w:val="Strong"/>
        </w:rPr>
        <w:t>Criteria #1</w:t>
      </w:r>
      <w:r w:rsidR="00386B4C">
        <w:rPr>
          <w:rStyle w:val="Strong"/>
        </w:rPr>
        <w:t xml:space="preserve"> </w:t>
      </w:r>
      <w:r w:rsidR="00386B4C">
        <w:t>This is project a</w:t>
      </w:r>
      <w:r w:rsidR="00386B4C" w:rsidRPr="00386B4C">
        <w:t>im</w:t>
      </w:r>
      <w:r w:rsidR="00386B4C">
        <w:t>s</w:t>
      </w:r>
      <w:r w:rsidR="00386B4C" w:rsidRPr="00386B4C">
        <w:t xml:space="preserve"> to identify the justification process to enable future</w:t>
      </w:r>
      <w:r w:rsidR="00386B4C">
        <w:t xml:space="preserve"> </w:t>
      </w:r>
      <w:r w:rsidR="00386B4C" w:rsidRPr="00386B4C">
        <w:t>use of DM to defer capital expenditure</w:t>
      </w:r>
      <w:r w:rsidR="00386B4C">
        <w:t>.</w:t>
      </w:r>
      <w:r w:rsidR="00920A5C">
        <w:rPr>
          <w:rStyle w:val="Strong"/>
        </w:rPr>
        <w:t xml:space="preserve"> </w:t>
      </w:r>
    </w:p>
    <w:p w:rsidR="00760485" w:rsidRDefault="00A70F78" w:rsidP="00760485">
      <w:pPr>
        <w:rPr>
          <w:rStyle w:val="Strong"/>
        </w:rPr>
      </w:pPr>
      <w:r>
        <w:rPr>
          <w:rStyle w:val="Strong"/>
        </w:rPr>
        <w:t>Criteria #</w:t>
      </w:r>
      <w:r w:rsidRPr="00C17C23">
        <w:rPr>
          <w:rStyle w:val="Strong"/>
        </w:rPr>
        <w:t>2</w:t>
      </w:r>
      <w:r>
        <w:rPr>
          <w:rStyle w:val="Strong"/>
        </w:rPr>
        <w:t xml:space="preserve"> </w:t>
      </w:r>
      <w:r w:rsidR="00760485">
        <w:t>This project</w:t>
      </w:r>
      <w:r w:rsidR="00760485" w:rsidRPr="00EF742F">
        <w:t xml:space="preserve"> </w:t>
      </w:r>
      <w:r w:rsidR="00760485" w:rsidRPr="00386B4C">
        <w:t>can be used in broad-based demand and peak demand management program.</w:t>
      </w:r>
    </w:p>
    <w:p w:rsidR="00A70F78" w:rsidRDefault="00A70F78" w:rsidP="00491FFE">
      <w:pPr>
        <w:rPr>
          <w:rStyle w:val="Strong"/>
        </w:rPr>
      </w:pPr>
      <w:r>
        <w:rPr>
          <w:rStyle w:val="Strong"/>
        </w:rPr>
        <w:t xml:space="preserve">Criteria </w:t>
      </w:r>
      <w:r w:rsidRPr="00C17C23">
        <w:rPr>
          <w:rStyle w:val="Strong"/>
        </w:rPr>
        <w:t>#3</w:t>
      </w:r>
      <w:r>
        <w:rPr>
          <w:rStyle w:val="Strong"/>
        </w:rPr>
        <w:t xml:space="preserve"> </w:t>
      </w:r>
      <w:r w:rsidR="00491FFE">
        <w:rPr>
          <w:rStyle w:val="AERbody"/>
        </w:rPr>
        <w:t xml:space="preserve">This project </w:t>
      </w:r>
      <w:r w:rsidR="00491FFE">
        <w:t>provides</w:t>
      </w:r>
      <w:r w:rsidR="00491FFE" w:rsidRPr="00491FFE">
        <w:t xml:space="preserve"> benefits in the form of a possible future </w:t>
      </w:r>
      <w:r w:rsidR="00491FFE">
        <w:t xml:space="preserve">DM </w:t>
      </w:r>
      <w:r w:rsidR="00491FFE" w:rsidRPr="00491FFE">
        <w:t>project to defer capital</w:t>
      </w:r>
      <w:r w:rsidR="00491FFE">
        <w:t xml:space="preserve"> </w:t>
      </w:r>
      <w:r w:rsidR="00491FFE" w:rsidRPr="00491FFE">
        <w:t>expenditure.</w:t>
      </w:r>
    </w:p>
    <w:p w:rsidR="00A70F78" w:rsidRDefault="00A70F78" w:rsidP="00A70F78">
      <w:pPr>
        <w:rPr>
          <w:rStyle w:val="Strong"/>
        </w:rPr>
      </w:pPr>
      <w:r w:rsidRPr="00C17C23">
        <w:rPr>
          <w:rStyle w:val="Strong"/>
        </w:rPr>
        <w:t>Criteria #4</w:t>
      </w:r>
      <w:r>
        <w:rPr>
          <w:rStyle w:val="Strong"/>
        </w:rPr>
        <w:t xml:space="preserve"> </w:t>
      </w:r>
      <w:r>
        <w:t>N</w:t>
      </w:r>
      <w:r w:rsidRPr="004E4E39">
        <w:t>on-tariff based</w:t>
      </w:r>
      <w:r>
        <w:t>.</w:t>
      </w:r>
    </w:p>
    <w:p w:rsidR="00B2337E" w:rsidRPr="00D61E77" w:rsidRDefault="00A70F78" w:rsidP="00B2337E">
      <w:pPr>
        <w:rPr>
          <w:rStyle w:val="AERbody"/>
        </w:rPr>
      </w:pPr>
      <w:r w:rsidRPr="00C17C23">
        <w:rPr>
          <w:rStyle w:val="Strong"/>
        </w:rPr>
        <w:t>Criteria #5</w:t>
      </w:r>
      <w:r>
        <w:rPr>
          <w:rStyle w:val="Strong"/>
        </w:rPr>
        <w:t xml:space="preserve"> </w:t>
      </w:r>
      <w:r w:rsidR="00B2337E">
        <w:rPr>
          <w:rStyle w:val="AERbody"/>
        </w:rPr>
        <w:t xml:space="preserve">This criteria is met because expenditure for this project </w:t>
      </w:r>
      <w:r w:rsidR="00B2337E" w:rsidRPr="00CD2645">
        <w:t xml:space="preserve">cannot be recovered </w:t>
      </w:r>
      <w:r w:rsidR="00B2337E">
        <w:t>through</w:t>
      </w:r>
      <w:r w:rsidR="00B2337E" w:rsidRPr="00CD2645">
        <w:t xml:space="preserve"> any other jurisdictional, state or Australian Government scheme</w:t>
      </w:r>
      <w:r w:rsidR="00B2337E">
        <w:t xml:space="preserve">, nor </w:t>
      </w:r>
      <w:r w:rsidR="00B2337E" w:rsidRPr="00CD2645">
        <w:t>through any other part of the distribution determination for the current regulatory control period.</w:t>
      </w:r>
    </w:p>
    <w:p w:rsidR="00A70F78" w:rsidRPr="0072366C" w:rsidRDefault="00A70F78" w:rsidP="00A70F78">
      <w:r w:rsidRPr="00C17C23">
        <w:rPr>
          <w:rStyle w:val="Strong"/>
        </w:rPr>
        <w:t>Criteria #6</w:t>
      </w:r>
      <w:r>
        <w:rPr>
          <w:rStyle w:val="Strong"/>
        </w:rPr>
        <w:t xml:space="preserve"> </w:t>
      </w:r>
      <w:r w:rsidRPr="003230E9">
        <w:rPr>
          <w:rStyle w:val="AERbody"/>
        </w:rPr>
        <w:t>Opex</w:t>
      </w:r>
    </w:p>
    <w:p w:rsidR="00A70F78" w:rsidRPr="00B60AA0" w:rsidRDefault="00A70F78" w:rsidP="00A70F78">
      <w:pPr>
        <w:pStyle w:val="Heading2"/>
      </w:pPr>
      <w:bookmarkStart w:id="540" w:name="_Toc443045396"/>
      <w:bookmarkStart w:id="541" w:name="_Toc445801984"/>
      <w:r w:rsidRPr="00A70F78">
        <w:t>Demand Management Storage Project</w:t>
      </w:r>
      <w:bookmarkEnd w:id="540"/>
      <w:bookmarkEnd w:id="541"/>
    </w:p>
    <w:p w:rsidR="00A70F78" w:rsidRDefault="00A70F78" w:rsidP="00A70F78">
      <w:pPr>
        <w:pStyle w:val="Heading3"/>
      </w:pPr>
      <w:bookmarkStart w:id="542" w:name="_Toc443045397"/>
      <w:bookmarkStart w:id="543" w:name="_Toc445801985"/>
      <w:r w:rsidRPr="00B60AA0">
        <w:t>Project Overview</w:t>
      </w:r>
      <w:bookmarkEnd w:id="542"/>
      <w:bookmarkEnd w:id="543"/>
    </w:p>
    <w:p w:rsidR="00414465" w:rsidRDefault="00587270" w:rsidP="00414465">
      <w:r w:rsidRPr="00587270">
        <w:t xml:space="preserve">The purpose of the project is to trial </w:t>
      </w:r>
      <w:r w:rsidR="0040752C">
        <w:t xml:space="preserve">and evaluate </w:t>
      </w:r>
      <w:r w:rsidRPr="00587270">
        <w:t>the capability of an embedded grid</w:t>
      </w:r>
      <w:r>
        <w:t xml:space="preserve"> </w:t>
      </w:r>
      <w:r w:rsidRPr="00587270">
        <w:t>scale energy storage system (GESS).</w:t>
      </w:r>
      <w:r w:rsidR="00414465">
        <w:t xml:space="preserve"> Powercor </w:t>
      </w:r>
      <w:r w:rsidR="00414465" w:rsidRPr="005A7678">
        <w:t xml:space="preserve">claimed DMIA expenditure in 2014 of $ </w:t>
      </w:r>
      <w:r w:rsidR="00414465">
        <w:t xml:space="preserve">106 349 </w:t>
      </w:r>
      <w:r w:rsidR="00414465" w:rsidRPr="005A7678">
        <w:t>for this project</w:t>
      </w:r>
      <w:r w:rsidR="00414465">
        <w:t>.</w:t>
      </w:r>
    </w:p>
    <w:p w:rsidR="00A70F78" w:rsidRDefault="00A70F78" w:rsidP="00A70F78">
      <w:pPr>
        <w:pStyle w:val="Heading3"/>
      </w:pPr>
      <w:bookmarkStart w:id="544" w:name="_Toc443045398"/>
      <w:bookmarkStart w:id="545" w:name="_Toc445801986"/>
      <w:r w:rsidRPr="00B60AA0">
        <w:t>Assessment against DMIA criteria</w:t>
      </w:r>
      <w:bookmarkEnd w:id="544"/>
      <w:bookmarkEnd w:id="545"/>
    </w:p>
    <w:p w:rsidR="00A70F78" w:rsidRDefault="00A70F78" w:rsidP="00587270">
      <w:r w:rsidRPr="00C17C23">
        <w:rPr>
          <w:rStyle w:val="Strong"/>
        </w:rPr>
        <w:t>Criteria #1</w:t>
      </w:r>
      <w:r w:rsidR="00587270">
        <w:rPr>
          <w:rStyle w:val="Strong"/>
        </w:rPr>
        <w:t xml:space="preserve"> </w:t>
      </w:r>
      <w:r w:rsidR="00587270">
        <w:rPr>
          <w:rStyle w:val="AERbody"/>
        </w:rPr>
        <w:t>This project is n</w:t>
      </w:r>
      <w:r w:rsidR="00587270" w:rsidRPr="00587270">
        <w:t>on-network in nature, load shifting and peak curtailment providing</w:t>
      </w:r>
      <w:r w:rsidR="00587270">
        <w:t xml:space="preserve"> </w:t>
      </w:r>
      <w:r w:rsidR="00587270" w:rsidRPr="00587270">
        <w:t>alternative means of meeting demand.</w:t>
      </w:r>
    </w:p>
    <w:p w:rsidR="00A70F78" w:rsidRDefault="00A70F78" w:rsidP="00A70F78">
      <w:pPr>
        <w:rPr>
          <w:rStyle w:val="Strong"/>
        </w:rPr>
      </w:pPr>
      <w:r>
        <w:rPr>
          <w:rStyle w:val="Strong"/>
        </w:rPr>
        <w:t>Criteria #</w:t>
      </w:r>
      <w:r w:rsidRPr="00C17C23">
        <w:rPr>
          <w:rStyle w:val="Strong"/>
        </w:rPr>
        <w:t>2</w:t>
      </w:r>
      <w:r>
        <w:rPr>
          <w:rStyle w:val="Strong"/>
        </w:rPr>
        <w:t xml:space="preserve"> </w:t>
      </w:r>
      <w:r w:rsidR="00587270">
        <w:rPr>
          <w:rStyle w:val="AERbody"/>
        </w:rPr>
        <w:t>This p</w:t>
      </w:r>
      <w:r w:rsidR="00587270" w:rsidRPr="00587270">
        <w:t>rogram addresses peak demand management</w:t>
      </w:r>
      <w:r w:rsidR="00587270">
        <w:t>.</w:t>
      </w:r>
    </w:p>
    <w:p w:rsidR="00A70F78" w:rsidRDefault="00A70F78" w:rsidP="00587270">
      <w:pPr>
        <w:rPr>
          <w:rStyle w:val="Strong"/>
        </w:rPr>
      </w:pPr>
      <w:r>
        <w:rPr>
          <w:rStyle w:val="Strong"/>
        </w:rPr>
        <w:t xml:space="preserve">Criteria </w:t>
      </w:r>
      <w:r w:rsidRPr="00C17C23">
        <w:rPr>
          <w:rStyle w:val="Strong"/>
        </w:rPr>
        <w:t>#3</w:t>
      </w:r>
      <w:r>
        <w:rPr>
          <w:rStyle w:val="Strong"/>
        </w:rPr>
        <w:t xml:space="preserve"> </w:t>
      </w:r>
      <w:r w:rsidR="00587270">
        <w:t>This project</w:t>
      </w:r>
      <w:r w:rsidR="00587270" w:rsidRPr="00587270">
        <w:t xml:space="preserve"> aims to build CP&amp;PAL capability to build a</w:t>
      </w:r>
      <w:r w:rsidR="00587270">
        <w:t xml:space="preserve"> </w:t>
      </w:r>
      <w:r w:rsidR="00587270" w:rsidRPr="00587270">
        <w:t>business case, procure and operate grid energy storage.</w:t>
      </w:r>
    </w:p>
    <w:p w:rsidR="00A70F78" w:rsidRDefault="00A70F78" w:rsidP="00A70F78">
      <w:pPr>
        <w:rPr>
          <w:rStyle w:val="Strong"/>
        </w:rPr>
      </w:pPr>
      <w:r w:rsidRPr="00C17C23">
        <w:rPr>
          <w:rStyle w:val="Strong"/>
        </w:rPr>
        <w:t>Criteria #4</w:t>
      </w:r>
      <w:r>
        <w:rPr>
          <w:rStyle w:val="Strong"/>
        </w:rPr>
        <w:t xml:space="preserve"> </w:t>
      </w:r>
      <w:r>
        <w:t>N</w:t>
      </w:r>
      <w:r w:rsidRPr="004E4E39">
        <w:t>on-tariff based</w:t>
      </w:r>
      <w:r>
        <w:t>.</w:t>
      </w:r>
    </w:p>
    <w:p w:rsidR="00B2337E" w:rsidRPr="00D61E77" w:rsidRDefault="00A70F78" w:rsidP="00B2337E">
      <w:pPr>
        <w:rPr>
          <w:rStyle w:val="AERbody"/>
        </w:rPr>
      </w:pPr>
      <w:r w:rsidRPr="00C17C23">
        <w:rPr>
          <w:rStyle w:val="Strong"/>
        </w:rPr>
        <w:lastRenderedPageBreak/>
        <w:t>Criteria #5</w:t>
      </w:r>
      <w:r>
        <w:rPr>
          <w:rStyle w:val="Strong"/>
        </w:rPr>
        <w:t xml:space="preserve"> </w:t>
      </w:r>
      <w:r w:rsidR="00B2337E">
        <w:rPr>
          <w:rStyle w:val="AERbody"/>
        </w:rPr>
        <w:t xml:space="preserve">This criteria is met because expenditure for this project </w:t>
      </w:r>
      <w:r w:rsidR="00B2337E" w:rsidRPr="00CD2645">
        <w:t xml:space="preserve">cannot be recovered </w:t>
      </w:r>
      <w:r w:rsidR="00B2337E">
        <w:t>through</w:t>
      </w:r>
      <w:r w:rsidR="00B2337E" w:rsidRPr="00CD2645">
        <w:t xml:space="preserve"> any other jurisdictional, state or Australian Government scheme</w:t>
      </w:r>
      <w:r w:rsidR="00B2337E">
        <w:t xml:space="preserve">, nor </w:t>
      </w:r>
      <w:r w:rsidR="00B2337E" w:rsidRPr="00CD2645">
        <w:t>through any other part of the distribution determination for the current regulatory control period.</w:t>
      </w:r>
    </w:p>
    <w:p w:rsidR="00A70F78" w:rsidRPr="0072366C" w:rsidRDefault="00A70F78" w:rsidP="00A70F78">
      <w:r w:rsidRPr="00C17C23">
        <w:rPr>
          <w:rStyle w:val="Strong"/>
        </w:rPr>
        <w:t>Criteria #6</w:t>
      </w:r>
      <w:r>
        <w:rPr>
          <w:rStyle w:val="Strong"/>
        </w:rPr>
        <w:t xml:space="preserve"> </w:t>
      </w:r>
      <w:r w:rsidRPr="00587270">
        <w:rPr>
          <w:rStyle w:val="AERbody"/>
        </w:rPr>
        <w:t>Opex</w:t>
      </w:r>
    </w:p>
    <w:p w:rsidR="00A70F78" w:rsidRPr="00B60AA0" w:rsidRDefault="00A70F78" w:rsidP="00A70F78">
      <w:pPr>
        <w:pStyle w:val="Heading2"/>
      </w:pPr>
      <w:bookmarkStart w:id="546" w:name="_Toc443045399"/>
      <w:bookmarkStart w:id="547" w:name="_Toc445801987"/>
      <w:r w:rsidRPr="00A70F78">
        <w:t>Storage Investment Framework Design and Analysis</w:t>
      </w:r>
      <w:bookmarkEnd w:id="546"/>
      <w:bookmarkEnd w:id="547"/>
    </w:p>
    <w:p w:rsidR="00A70F78" w:rsidRDefault="00A70F78" w:rsidP="00A70F78">
      <w:pPr>
        <w:pStyle w:val="Heading3"/>
      </w:pPr>
      <w:bookmarkStart w:id="548" w:name="_Toc443045400"/>
      <w:bookmarkStart w:id="549" w:name="_Toc445801988"/>
      <w:r w:rsidRPr="00B60AA0">
        <w:t>Project Overview</w:t>
      </w:r>
      <w:bookmarkEnd w:id="548"/>
      <w:bookmarkEnd w:id="549"/>
    </w:p>
    <w:p w:rsidR="00587270" w:rsidRPr="00C232C7" w:rsidRDefault="00587270" w:rsidP="00587270">
      <w:r>
        <w:t>This project</w:t>
      </w:r>
      <w:r w:rsidRPr="00C232C7">
        <w:t xml:space="preserve"> involved three main</w:t>
      </w:r>
      <w:r>
        <w:t xml:space="preserve"> </w:t>
      </w:r>
      <w:r w:rsidRPr="00C232C7">
        <w:t>development areas for application of energy storage for demand management:</w:t>
      </w:r>
    </w:p>
    <w:p w:rsidR="00587270" w:rsidRPr="00C232C7" w:rsidRDefault="00587270" w:rsidP="00587270">
      <w:pPr>
        <w:pStyle w:val="AERbulletlistsecondstyle"/>
      </w:pPr>
      <w:r w:rsidRPr="00C232C7">
        <w:t>End-user off gridding</w:t>
      </w:r>
    </w:p>
    <w:p w:rsidR="00587270" w:rsidRPr="00C232C7" w:rsidRDefault="00587270" w:rsidP="00587270">
      <w:pPr>
        <w:pStyle w:val="AERbulletlistsecondstyle"/>
      </w:pPr>
      <w:r w:rsidRPr="00C232C7">
        <w:t>Cold thermal energy storage</w:t>
      </w:r>
    </w:p>
    <w:p w:rsidR="00587270" w:rsidRDefault="00587270" w:rsidP="00587270">
      <w:pPr>
        <w:pStyle w:val="AERbulletlistsecondstyle"/>
      </w:pPr>
      <w:r w:rsidRPr="00C232C7">
        <w:t>Grid Level energy storage on the grid</w:t>
      </w:r>
    </w:p>
    <w:p w:rsidR="00414465" w:rsidRPr="00414465" w:rsidRDefault="00414465" w:rsidP="00F04DBD">
      <w:r w:rsidRPr="00414465">
        <w:t xml:space="preserve">Powercor claimed DMIA expenditure in 2014 of $ </w:t>
      </w:r>
      <w:r>
        <w:t>62 326</w:t>
      </w:r>
      <w:r w:rsidRPr="00414465">
        <w:t xml:space="preserve"> for this project.</w:t>
      </w:r>
    </w:p>
    <w:p w:rsidR="00A70F78" w:rsidRDefault="00A70F78" w:rsidP="00A70F78">
      <w:pPr>
        <w:pStyle w:val="Heading3"/>
      </w:pPr>
      <w:bookmarkStart w:id="550" w:name="_Toc443045401"/>
      <w:bookmarkStart w:id="551" w:name="_Toc445801989"/>
      <w:r w:rsidRPr="00B60AA0">
        <w:t>Assessment against DMIA criteria</w:t>
      </w:r>
      <w:bookmarkEnd w:id="550"/>
      <w:bookmarkEnd w:id="551"/>
    </w:p>
    <w:p w:rsidR="00A70F78" w:rsidRDefault="00A70F78" w:rsidP="00A70F78">
      <w:r w:rsidRPr="00C17C23">
        <w:rPr>
          <w:rStyle w:val="Strong"/>
        </w:rPr>
        <w:t>Criteria #1</w:t>
      </w:r>
      <w:r w:rsidR="00587270" w:rsidRPr="00587270">
        <w:t xml:space="preserve"> </w:t>
      </w:r>
      <w:r w:rsidR="00587270" w:rsidRPr="00C232C7">
        <w:t>Non-network in nature through investigating alternative supply options for</w:t>
      </w:r>
      <w:r w:rsidR="00587270">
        <w:t xml:space="preserve"> </w:t>
      </w:r>
      <w:r w:rsidR="00587270" w:rsidRPr="00C232C7">
        <w:t>suitable customers, load shifting and peak curtailment providing alternative</w:t>
      </w:r>
      <w:r w:rsidR="00587270">
        <w:t xml:space="preserve"> </w:t>
      </w:r>
      <w:r w:rsidR="00587270" w:rsidRPr="00C232C7">
        <w:t>means of meeting demand.</w:t>
      </w:r>
    </w:p>
    <w:p w:rsidR="00587270" w:rsidRPr="00587270" w:rsidRDefault="00A70F78" w:rsidP="00587270">
      <w:pPr>
        <w:rPr>
          <w:rStyle w:val="Strong"/>
        </w:rPr>
      </w:pPr>
      <w:r>
        <w:rPr>
          <w:rStyle w:val="Strong"/>
        </w:rPr>
        <w:t>Criteria #</w:t>
      </w:r>
      <w:r w:rsidRPr="00C17C23">
        <w:rPr>
          <w:rStyle w:val="Strong"/>
        </w:rPr>
        <w:t>2</w:t>
      </w:r>
      <w:r>
        <w:rPr>
          <w:rStyle w:val="Strong"/>
        </w:rPr>
        <w:t xml:space="preserve"> </w:t>
      </w:r>
      <w:r w:rsidR="00587270" w:rsidRPr="00C232C7">
        <w:t>Program addresses peak demand management and broad-based demand</w:t>
      </w:r>
      <w:r w:rsidR="00587270">
        <w:t xml:space="preserve"> </w:t>
      </w:r>
      <w:r w:rsidR="00587270" w:rsidRPr="00C232C7">
        <w:t>management through identifying best cases for the application of thermal</w:t>
      </w:r>
      <w:r w:rsidR="00587270">
        <w:t xml:space="preserve"> </w:t>
      </w:r>
      <w:r w:rsidR="00587270" w:rsidRPr="00C232C7">
        <w:t>storage, off gridding and network based storage.</w:t>
      </w:r>
    </w:p>
    <w:p w:rsidR="00A70F78" w:rsidRDefault="00A70F78" w:rsidP="00A70F78">
      <w:pPr>
        <w:rPr>
          <w:rStyle w:val="Strong"/>
        </w:rPr>
      </w:pPr>
      <w:r>
        <w:rPr>
          <w:rStyle w:val="Strong"/>
        </w:rPr>
        <w:t xml:space="preserve">Criteria </w:t>
      </w:r>
      <w:r w:rsidRPr="00C17C23">
        <w:rPr>
          <w:rStyle w:val="Strong"/>
        </w:rPr>
        <w:t>#3</w:t>
      </w:r>
      <w:r>
        <w:rPr>
          <w:rStyle w:val="Strong"/>
        </w:rPr>
        <w:t xml:space="preserve"> </w:t>
      </w:r>
      <w:r w:rsidR="00AA20AA">
        <w:t xml:space="preserve">The project </w:t>
      </w:r>
      <w:r w:rsidR="00587270">
        <w:t>bu</w:t>
      </w:r>
      <w:r w:rsidR="00587270" w:rsidRPr="00F717E5">
        <w:t>ilds knowledge and capability to effic</w:t>
      </w:r>
      <w:r w:rsidR="00587270">
        <w:t xml:space="preserve">iently deploy demand management </w:t>
      </w:r>
      <w:r w:rsidR="00587270" w:rsidRPr="00F717E5">
        <w:t>solutions relevant to the network.</w:t>
      </w:r>
    </w:p>
    <w:p w:rsidR="00A70F78" w:rsidRDefault="00A70F78" w:rsidP="00A70F78">
      <w:pPr>
        <w:rPr>
          <w:rStyle w:val="Strong"/>
        </w:rPr>
      </w:pPr>
      <w:r w:rsidRPr="00C17C23">
        <w:rPr>
          <w:rStyle w:val="Strong"/>
        </w:rPr>
        <w:t>Criteria #4</w:t>
      </w:r>
      <w:r>
        <w:rPr>
          <w:rStyle w:val="Strong"/>
        </w:rPr>
        <w:t xml:space="preserve"> </w:t>
      </w:r>
      <w:r>
        <w:t>N</w:t>
      </w:r>
      <w:r w:rsidRPr="004E4E39">
        <w:t>on-tariff based</w:t>
      </w:r>
      <w:r>
        <w:t>.</w:t>
      </w:r>
    </w:p>
    <w:p w:rsidR="00B2337E" w:rsidRPr="00D61E77" w:rsidRDefault="00A70F78" w:rsidP="00B2337E">
      <w:pPr>
        <w:rPr>
          <w:rStyle w:val="AERbody"/>
        </w:rPr>
      </w:pPr>
      <w:r w:rsidRPr="00C17C23">
        <w:rPr>
          <w:rStyle w:val="Strong"/>
        </w:rPr>
        <w:t>Criteria #5</w:t>
      </w:r>
      <w:r>
        <w:rPr>
          <w:rStyle w:val="Strong"/>
        </w:rPr>
        <w:t xml:space="preserve"> </w:t>
      </w:r>
      <w:r w:rsidR="00B2337E">
        <w:rPr>
          <w:rStyle w:val="AERbody"/>
        </w:rPr>
        <w:t xml:space="preserve">This criteria is met because expenditure for this project </w:t>
      </w:r>
      <w:r w:rsidR="00B2337E" w:rsidRPr="00CD2645">
        <w:t xml:space="preserve">cannot be recovered </w:t>
      </w:r>
      <w:r w:rsidR="00B2337E">
        <w:t>through</w:t>
      </w:r>
      <w:r w:rsidR="00B2337E" w:rsidRPr="00CD2645">
        <w:t xml:space="preserve"> any other jurisdictional, state or Australian Government scheme</w:t>
      </w:r>
      <w:r w:rsidR="00B2337E">
        <w:t xml:space="preserve">, nor </w:t>
      </w:r>
      <w:r w:rsidR="00B2337E" w:rsidRPr="00CD2645">
        <w:t>through any other part of the distribution determination for the current regulatory control period.</w:t>
      </w:r>
    </w:p>
    <w:p w:rsidR="00A70F78" w:rsidRPr="0072366C" w:rsidRDefault="00A70F78" w:rsidP="00A70F78">
      <w:r w:rsidRPr="00C17C23">
        <w:rPr>
          <w:rStyle w:val="Strong"/>
        </w:rPr>
        <w:t>Criteria #6</w:t>
      </w:r>
      <w:r>
        <w:rPr>
          <w:rStyle w:val="Strong"/>
        </w:rPr>
        <w:t xml:space="preserve"> </w:t>
      </w:r>
      <w:r w:rsidRPr="003230E9">
        <w:rPr>
          <w:rStyle w:val="AERbody"/>
        </w:rPr>
        <w:t>Opex</w:t>
      </w:r>
    </w:p>
    <w:p w:rsidR="00A70F78" w:rsidRPr="00077BA1" w:rsidRDefault="00A70F78" w:rsidP="00A70F78"/>
    <w:p w:rsidR="00077BA1" w:rsidRDefault="00077BA1" w:rsidP="00077BA1">
      <w:r>
        <w:br w:type="page"/>
      </w:r>
    </w:p>
    <w:p w:rsidR="00F9421A" w:rsidRDefault="0060365C" w:rsidP="00F9421A">
      <w:pPr>
        <w:pStyle w:val="Heading1"/>
      </w:pPr>
      <w:r>
        <w:lastRenderedPageBreak/>
        <w:t xml:space="preserve"> </w:t>
      </w:r>
      <w:bookmarkStart w:id="552" w:name="_Toc445801990"/>
      <w:r w:rsidR="00F9421A" w:rsidRPr="003F20E1">
        <w:t>AusNet Services</w:t>
      </w:r>
      <w:bookmarkEnd w:id="552"/>
    </w:p>
    <w:p w:rsidR="00C0368C" w:rsidRPr="00077BA1" w:rsidRDefault="00C0368C" w:rsidP="002F2F3A">
      <w:r>
        <w:t>AusNet Services is claiming 2014</w:t>
      </w:r>
      <w:r w:rsidRPr="00077BA1">
        <w:t xml:space="preserve"> DMIA expenditure for four demand manage</w:t>
      </w:r>
      <w:r w:rsidR="002F2F3A">
        <w:t>ment projects totalling $</w:t>
      </w:r>
      <w:r w:rsidR="002F2F3A" w:rsidRPr="002F2F3A">
        <w:rPr>
          <w:lang w:eastAsia="en-AU"/>
        </w:rPr>
        <w:t>2</w:t>
      </w:r>
      <w:r w:rsidR="002F2F3A">
        <w:t xml:space="preserve"> </w:t>
      </w:r>
      <w:r w:rsidR="002F2F3A" w:rsidRPr="002F2F3A">
        <w:rPr>
          <w:lang w:eastAsia="en-AU"/>
        </w:rPr>
        <w:t>633</w:t>
      </w:r>
      <w:r w:rsidR="002F2F3A">
        <w:t xml:space="preserve"> </w:t>
      </w:r>
      <w:r w:rsidR="002F2F3A" w:rsidRPr="002F2F3A">
        <w:rPr>
          <w:lang w:eastAsia="en-AU"/>
        </w:rPr>
        <w:t>921</w:t>
      </w:r>
      <w:r w:rsidR="002F2F3A">
        <w:t>.</w:t>
      </w:r>
      <w:r w:rsidRPr="00077BA1">
        <w:t xml:space="preserve"> We approve this expenditure as it meets the DMIA criteria. The following section sets out our assessment of the individual projects. For more detailed information about these projects, pleas</w:t>
      </w:r>
      <w:r w:rsidR="002F2F3A">
        <w:t>e refer to AusNet Services' 2014</w:t>
      </w:r>
      <w:r w:rsidRPr="00077BA1">
        <w:t xml:space="preserve"> DMIA report.</w:t>
      </w:r>
    </w:p>
    <w:p w:rsidR="002F2F3A" w:rsidRPr="002F2F3A" w:rsidRDefault="002F2F3A" w:rsidP="002F2F3A">
      <w:pPr>
        <w:pStyle w:val="Heading2"/>
      </w:pPr>
      <w:bookmarkStart w:id="553" w:name="_Toc409702167"/>
      <w:bookmarkStart w:id="554" w:name="_Toc409778886"/>
      <w:bookmarkStart w:id="555" w:name="_Toc411513715"/>
      <w:bookmarkStart w:id="556" w:name="_Toc443045403"/>
      <w:bookmarkStart w:id="557" w:name="_Toc445801991"/>
      <w:r w:rsidRPr="002F2F3A">
        <w:t>Residential Battery Storage Trial</w:t>
      </w:r>
      <w:bookmarkEnd w:id="553"/>
      <w:bookmarkEnd w:id="554"/>
      <w:bookmarkEnd w:id="555"/>
      <w:bookmarkEnd w:id="556"/>
      <w:bookmarkEnd w:id="557"/>
    </w:p>
    <w:p w:rsidR="002F2F3A" w:rsidRPr="002F2F3A" w:rsidRDefault="002F2F3A" w:rsidP="002F2F3A">
      <w:pPr>
        <w:pStyle w:val="Heading3"/>
      </w:pPr>
      <w:bookmarkStart w:id="558" w:name="_Toc409702168"/>
      <w:bookmarkStart w:id="559" w:name="_Toc409778887"/>
      <w:bookmarkStart w:id="560" w:name="_Toc411513716"/>
      <w:bookmarkStart w:id="561" w:name="_Toc443045404"/>
      <w:bookmarkStart w:id="562" w:name="_Toc445801992"/>
      <w:r w:rsidRPr="002F2F3A">
        <w:t>Project Overview</w:t>
      </w:r>
      <w:bookmarkEnd w:id="558"/>
      <w:bookmarkEnd w:id="559"/>
      <w:bookmarkEnd w:id="560"/>
      <w:bookmarkEnd w:id="561"/>
      <w:bookmarkEnd w:id="562"/>
    </w:p>
    <w:p w:rsidR="002F2F3A" w:rsidRPr="002F2F3A" w:rsidRDefault="002F2F3A" w:rsidP="002F2F3A">
      <w:r w:rsidRPr="002F2F3A">
        <w:t>AusNet Services’ Residential Battery Storage Trial investigates the capability of battery and inverter</w:t>
      </w:r>
      <w:r>
        <w:t xml:space="preserve"> </w:t>
      </w:r>
      <w:r w:rsidRPr="002F2F3A">
        <w:t>systems connected to consumer homes to reduce residential peak demand. The systems are fully</w:t>
      </w:r>
      <w:r>
        <w:t xml:space="preserve"> </w:t>
      </w:r>
      <w:r w:rsidRPr="002F2F3A">
        <w:t>programmable and can be remotely controlled by AusNet Services.</w:t>
      </w:r>
    </w:p>
    <w:p w:rsidR="002F2F3A" w:rsidRPr="002F2F3A" w:rsidRDefault="002F2F3A" w:rsidP="002F2F3A">
      <w:r w:rsidRPr="002F2F3A">
        <w:t>The battery systems are capable of shifting customer demand from peak to off-peak times by</w:t>
      </w:r>
      <w:r>
        <w:t xml:space="preserve"> </w:t>
      </w:r>
      <w:r w:rsidRPr="002F2F3A">
        <w:t>discharging whenever the customer’s instantaneous demand is high, and by re-charging overnight</w:t>
      </w:r>
      <w:r>
        <w:t xml:space="preserve"> </w:t>
      </w:r>
      <w:r w:rsidRPr="002F2F3A">
        <w:t>when the customer’s demand is low, or recharging using excess solar generation. The flexibility</w:t>
      </w:r>
      <w:r>
        <w:t xml:space="preserve"> </w:t>
      </w:r>
      <w:r w:rsidRPr="002F2F3A">
        <w:t>provided by the programmable inverter makes this type of system capable of both addressing</w:t>
      </w:r>
      <w:r>
        <w:t xml:space="preserve"> </w:t>
      </w:r>
      <w:r w:rsidRPr="002F2F3A">
        <w:t>specific network constraints and providing broad-based demand management across the network if</w:t>
      </w:r>
      <w:r>
        <w:t xml:space="preserve"> </w:t>
      </w:r>
      <w:r w:rsidRPr="002F2F3A">
        <w:t>rolled-out in sufficiently large numbers.</w:t>
      </w:r>
      <w:r>
        <w:t xml:space="preserve"> </w:t>
      </w:r>
      <w:r w:rsidRPr="002F2F3A">
        <w:t xml:space="preserve">AusNet Services </w:t>
      </w:r>
      <w:r>
        <w:t xml:space="preserve">claimed DMIA expenditure in 2014 of $174 </w:t>
      </w:r>
      <w:r w:rsidRPr="002F2F3A">
        <w:t>416 for this project.</w:t>
      </w:r>
    </w:p>
    <w:p w:rsidR="002F2F3A" w:rsidRPr="002F2F3A" w:rsidRDefault="002F2F3A" w:rsidP="002F2F3A">
      <w:pPr>
        <w:pStyle w:val="Heading3"/>
      </w:pPr>
      <w:bookmarkStart w:id="563" w:name="_Toc409702169"/>
      <w:bookmarkStart w:id="564" w:name="_Toc409778888"/>
      <w:bookmarkStart w:id="565" w:name="_Toc411513717"/>
      <w:bookmarkStart w:id="566" w:name="_Toc443045405"/>
      <w:bookmarkStart w:id="567" w:name="_Toc445801993"/>
      <w:r w:rsidRPr="002F2F3A">
        <w:t>Assessment against DMIA criteria</w:t>
      </w:r>
      <w:bookmarkEnd w:id="563"/>
      <w:bookmarkEnd w:id="564"/>
      <w:bookmarkEnd w:id="565"/>
      <w:bookmarkEnd w:id="566"/>
      <w:bookmarkEnd w:id="567"/>
    </w:p>
    <w:p w:rsidR="002F2F3A" w:rsidRPr="002F2F3A" w:rsidRDefault="002F2F3A" w:rsidP="002F2F3A">
      <w:r w:rsidRPr="002F2F3A">
        <w:rPr>
          <w:rStyle w:val="Strong"/>
        </w:rPr>
        <w:t xml:space="preserve">Criteria #1 </w:t>
      </w:r>
      <w:r w:rsidRPr="002F2F3A">
        <w:t xml:space="preserve">The battery systems are intended to shift customer demand from peak to off-peak times by discharging whenever the customer’s instantaneous demand is high, and by re-charging overnight when the customer’s demand is low. </w:t>
      </w:r>
    </w:p>
    <w:p w:rsidR="002F2F3A" w:rsidRPr="002F2F3A" w:rsidRDefault="002F2F3A" w:rsidP="002F2F3A">
      <w:r w:rsidRPr="002F2F3A">
        <w:rPr>
          <w:rStyle w:val="Strong"/>
        </w:rPr>
        <w:t xml:space="preserve">Criteria #2 </w:t>
      </w:r>
      <w:r w:rsidRPr="002F2F3A">
        <w:t>This is a peak demand management program.</w:t>
      </w:r>
    </w:p>
    <w:p w:rsidR="002F2F3A" w:rsidRPr="002F2F3A" w:rsidRDefault="002F2F3A" w:rsidP="002F2F3A">
      <w:pPr>
        <w:rPr>
          <w:rStyle w:val="Strong"/>
        </w:rPr>
      </w:pPr>
      <w:r w:rsidRPr="002F2F3A">
        <w:rPr>
          <w:rStyle w:val="Strong"/>
        </w:rPr>
        <w:t xml:space="preserve">Criteria #3 </w:t>
      </w:r>
      <w:r w:rsidRPr="002F2F3A">
        <w:t xml:space="preserve">This trial will explore how battery storage at the residential level can be used for peak demand management to defer network augmentation as well as developing key insights into how electric vehicles may interact with the network in the future. </w:t>
      </w:r>
    </w:p>
    <w:p w:rsidR="002F2F3A" w:rsidRPr="002F2F3A" w:rsidRDefault="002F2F3A" w:rsidP="002F2F3A">
      <w:pPr>
        <w:rPr>
          <w:rStyle w:val="AERbody"/>
        </w:rPr>
      </w:pPr>
      <w:r w:rsidRPr="002F2F3A">
        <w:rPr>
          <w:rStyle w:val="Strong"/>
        </w:rPr>
        <w:t xml:space="preserve">Criteria #4 </w:t>
      </w:r>
      <w:r w:rsidRPr="002F2F3A">
        <w:t>Non-tariff based</w:t>
      </w:r>
    </w:p>
    <w:p w:rsidR="002F2F3A" w:rsidRPr="002F2F3A" w:rsidRDefault="002F2F3A" w:rsidP="002F2F3A">
      <w:pPr>
        <w:rPr>
          <w:rStyle w:val="Strong"/>
        </w:rPr>
      </w:pPr>
      <w:r w:rsidRPr="002F2F3A">
        <w:rPr>
          <w:rStyle w:val="Strong"/>
        </w:rPr>
        <w:t xml:space="preserve">Criteria #5 </w:t>
      </w:r>
      <w:r w:rsidRPr="002F2F3A">
        <w:rPr>
          <w:rStyle w:val="AERbody"/>
        </w:rPr>
        <w:t xml:space="preserve">This criteria is met because expenditure for this project </w:t>
      </w:r>
      <w:r w:rsidRPr="002F2F3A">
        <w:t>cannot be recovered through any other jurisdictional, state or Australian Government scheme, nor through any other part of the distribution determination for the current regulatory control period.</w:t>
      </w:r>
    </w:p>
    <w:p w:rsidR="002F2F3A" w:rsidRDefault="002F2F3A" w:rsidP="002F2F3A">
      <w:pPr>
        <w:rPr>
          <w:rStyle w:val="AERbody"/>
        </w:rPr>
      </w:pPr>
      <w:r w:rsidRPr="002F2F3A">
        <w:rPr>
          <w:rStyle w:val="Strong"/>
        </w:rPr>
        <w:t xml:space="preserve">Criteria #6 </w:t>
      </w:r>
      <w:r w:rsidRPr="002F2F3A">
        <w:rPr>
          <w:rStyle w:val="AERbody"/>
        </w:rPr>
        <w:t>Opex and Capex</w:t>
      </w:r>
    </w:p>
    <w:p w:rsidR="00840AFA" w:rsidRPr="002F2F3A" w:rsidRDefault="00840AFA" w:rsidP="002F2F3A"/>
    <w:p w:rsidR="002F2F3A" w:rsidRPr="002F2F3A" w:rsidRDefault="002F2F3A" w:rsidP="002F2F3A">
      <w:pPr>
        <w:pStyle w:val="Heading2"/>
      </w:pPr>
      <w:bookmarkStart w:id="568" w:name="_Toc409702170"/>
      <w:bookmarkStart w:id="569" w:name="_Toc409778889"/>
      <w:bookmarkStart w:id="570" w:name="_Toc411513718"/>
      <w:bookmarkStart w:id="571" w:name="_Toc443045406"/>
      <w:bookmarkStart w:id="572" w:name="_Toc445801994"/>
      <w:r w:rsidRPr="002F2F3A">
        <w:lastRenderedPageBreak/>
        <w:t>Grid Energy Storage System (GESS) Trial</w:t>
      </w:r>
      <w:bookmarkEnd w:id="568"/>
      <w:bookmarkEnd w:id="569"/>
      <w:bookmarkEnd w:id="570"/>
      <w:bookmarkEnd w:id="571"/>
      <w:bookmarkEnd w:id="572"/>
    </w:p>
    <w:p w:rsidR="002F2F3A" w:rsidRPr="002F2F3A" w:rsidRDefault="002F2F3A" w:rsidP="002F2F3A">
      <w:pPr>
        <w:pStyle w:val="Heading3"/>
      </w:pPr>
      <w:bookmarkStart w:id="573" w:name="_Toc409702171"/>
      <w:bookmarkStart w:id="574" w:name="_Toc409778890"/>
      <w:bookmarkStart w:id="575" w:name="_Toc411513719"/>
      <w:bookmarkStart w:id="576" w:name="_Toc443045407"/>
      <w:bookmarkStart w:id="577" w:name="_Toc445801995"/>
      <w:r w:rsidRPr="002F2F3A">
        <w:t>Project Overview</w:t>
      </w:r>
      <w:bookmarkEnd w:id="573"/>
      <w:bookmarkEnd w:id="574"/>
      <w:bookmarkEnd w:id="575"/>
      <w:bookmarkEnd w:id="576"/>
      <w:bookmarkEnd w:id="577"/>
    </w:p>
    <w:p w:rsidR="002F2F3A" w:rsidRPr="002F2F3A" w:rsidRDefault="002F2F3A" w:rsidP="002F2F3A">
      <w:r w:rsidRPr="002F2F3A">
        <w:t xml:space="preserve">In 2012, AusNet Services initiated a Grid-scale Energy Storage System (GESS) project to trial the use of a large battery storage system to defer asset augmentation by managing peak demand and explore other benefits of storage systems to network management. The GESS will shift demand on a particular feeder from peak to off-peak times by discharging during feeder peaks and re-charging overnight when the feeder demand is low. In practice, the GESS is suited to addressing a specific network constraint and is containerised to allow portability to different locations as required. AusNet Services </w:t>
      </w:r>
      <w:r>
        <w:t>claimed DMIA expenditure in 2014</w:t>
      </w:r>
      <w:r w:rsidRPr="002F2F3A">
        <w:t xml:space="preserve"> of $2</w:t>
      </w:r>
      <w:r>
        <w:t xml:space="preserve"> 437 </w:t>
      </w:r>
      <w:r w:rsidRPr="002F2F3A">
        <w:t>495 for this project.</w:t>
      </w:r>
    </w:p>
    <w:p w:rsidR="002F2F3A" w:rsidRPr="002F2F3A" w:rsidRDefault="002F2F3A" w:rsidP="002F2F3A">
      <w:r w:rsidRPr="002F2F3A">
        <w:rPr>
          <w:rStyle w:val="Strong"/>
        </w:rPr>
        <w:t xml:space="preserve">Criteria #1 </w:t>
      </w:r>
      <w:r w:rsidRPr="002F2F3A">
        <w:t>AusNet Services is exploring grid connected storage to manage network demand and to defer augmentation works until a clear demand growth trend emerges guaranteeing higher level of asset utilisation.</w:t>
      </w:r>
    </w:p>
    <w:p w:rsidR="002F2F3A" w:rsidRPr="002F2F3A" w:rsidRDefault="002F2F3A" w:rsidP="002F2F3A">
      <w:r w:rsidRPr="002F2F3A">
        <w:rPr>
          <w:rStyle w:val="Strong"/>
        </w:rPr>
        <w:t xml:space="preserve">Criteria #2 </w:t>
      </w:r>
      <w:r w:rsidRPr="002F2F3A">
        <w:t>This is a peak demand management program.</w:t>
      </w:r>
    </w:p>
    <w:p w:rsidR="002F2F3A" w:rsidRPr="002F2F3A" w:rsidRDefault="002F2F3A" w:rsidP="001B6989">
      <w:r w:rsidRPr="002F2F3A">
        <w:rPr>
          <w:rStyle w:val="Strong"/>
        </w:rPr>
        <w:t xml:space="preserve">Criteria #3 </w:t>
      </w:r>
      <w:r w:rsidR="001B6989">
        <w:t>T</w:t>
      </w:r>
      <w:r w:rsidR="001B6989" w:rsidRPr="001B6989">
        <w:t>he trial will provide AusNet Services practical experience to better understand and</w:t>
      </w:r>
      <w:r w:rsidR="001B6989">
        <w:t xml:space="preserve"> </w:t>
      </w:r>
      <w:r w:rsidR="001B6989" w:rsidRPr="001B6989">
        <w:t>assess</w:t>
      </w:r>
      <w:r w:rsidR="001B6989">
        <w:t xml:space="preserve"> the level of network value of</w:t>
      </w:r>
      <w:r w:rsidR="001B6989" w:rsidRPr="001B6989">
        <w:t xml:space="preserve"> grid-scale energy storage</w:t>
      </w:r>
      <w:r w:rsidR="001B6989">
        <w:t>.</w:t>
      </w:r>
      <w:r w:rsidR="001B6989" w:rsidRPr="001B6989">
        <w:t xml:space="preserve"> This trial will help to establish whether battery storage is a credible non</w:t>
      </w:r>
      <w:r w:rsidR="001B6989">
        <w:t xml:space="preserve"> </w:t>
      </w:r>
      <w:r w:rsidR="001B6989" w:rsidRPr="001B6989">
        <w:t>network</w:t>
      </w:r>
      <w:r w:rsidR="001B6989">
        <w:t xml:space="preserve"> </w:t>
      </w:r>
      <w:r w:rsidR="001B6989" w:rsidRPr="001B6989">
        <w:t>solution to managing demand and set the parameters around when it can be economically</w:t>
      </w:r>
      <w:r w:rsidR="001B6989">
        <w:t xml:space="preserve"> </w:t>
      </w:r>
      <w:r w:rsidR="001B6989" w:rsidRPr="001B6989">
        <w:t>deployed for the benefit of energy consumers.</w:t>
      </w:r>
    </w:p>
    <w:p w:rsidR="002F2F3A" w:rsidRPr="002F2F3A" w:rsidRDefault="002F2F3A" w:rsidP="002F2F3A">
      <w:r w:rsidRPr="002F2F3A">
        <w:rPr>
          <w:rStyle w:val="Strong"/>
        </w:rPr>
        <w:t xml:space="preserve">Criteria #4 </w:t>
      </w:r>
      <w:r w:rsidRPr="002F2F3A">
        <w:t xml:space="preserve">Non-tariff based </w:t>
      </w:r>
    </w:p>
    <w:p w:rsidR="002F2F3A" w:rsidRPr="002F2F3A" w:rsidRDefault="002F2F3A" w:rsidP="002F2F3A">
      <w:pPr>
        <w:rPr>
          <w:rStyle w:val="Strong"/>
        </w:rPr>
      </w:pPr>
      <w:r w:rsidRPr="002F2F3A">
        <w:rPr>
          <w:rStyle w:val="Strong"/>
        </w:rPr>
        <w:t xml:space="preserve">Criteria #5 </w:t>
      </w:r>
      <w:r w:rsidRPr="002F2F3A">
        <w:rPr>
          <w:rStyle w:val="AERbody"/>
        </w:rPr>
        <w:t xml:space="preserve">This criteria is met because expenditure for this project </w:t>
      </w:r>
      <w:r w:rsidRPr="002F2F3A">
        <w:t>cannot be recovered through any other jurisdictional, state or Australian Government scheme, nor through any other part of the distribution determination for the current regulatory control period.</w:t>
      </w:r>
    </w:p>
    <w:p w:rsidR="002F2F3A" w:rsidRPr="002F2F3A" w:rsidRDefault="002F2F3A" w:rsidP="002F2F3A">
      <w:r w:rsidRPr="002F2F3A">
        <w:rPr>
          <w:rStyle w:val="Strong"/>
        </w:rPr>
        <w:t xml:space="preserve">Criteria #6 </w:t>
      </w:r>
      <w:r w:rsidRPr="002F2F3A">
        <w:rPr>
          <w:rStyle w:val="AERbody"/>
        </w:rPr>
        <w:t>Opex and Capex</w:t>
      </w:r>
    </w:p>
    <w:p w:rsidR="002F2F3A" w:rsidRPr="002F2F3A" w:rsidRDefault="002F2F3A" w:rsidP="002F2F3A">
      <w:pPr>
        <w:pStyle w:val="Heading2"/>
      </w:pPr>
      <w:bookmarkStart w:id="578" w:name="_Toc409702172"/>
      <w:bookmarkStart w:id="579" w:name="_Toc409778891"/>
      <w:bookmarkStart w:id="580" w:name="_Toc411513720"/>
      <w:bookmarkStart w:id="581" w:name="_Toc443045408"/>
      <w:bookmarkStart w:id="582" w:name="_Toc445801996"/>
      <w:r w:rsidRPr="002F2F3A">
        <w:t>Mallacoota Sustainable Energy Study</w:t>
      </w:r>
      <w:bookmarkEnd w:id="578"/>
      <w:bookmarkEnd w:id="579"/>
      <w:bookmarkEnd w:id="580"/>
      <w:bookmarkEnd w:id="581"/>
      <w:bookmarkEnd w:id="582"/>
    </w:p>
    <w:p w:rsidR="002F2F3A" w:rsidRPr="002F2F3A" w:rsidRDefault="002F2F3A" w:rsidP="002F2F3A">
      <w:pPr>
        <w:pStyle w:val="Heading3"/>
      </w:pPr>
      <w:bookmarkStart w:id="583" w:name="_Toc409702173"/>
      <w:bookmarkStart w:id="584" w:name="_Toc409778892"/>
      <w:bookmarkStart w:id="585" w:name="_Toc411513721"/>
      <w:bookmarkStart w:id="586" w:name="_Toc443045409"/>
      <w:bookmarkStart w:id="587" w:name="_Toc445801997"/>
      <w:r w:rsidRPr="002F2F3A">
        <w:t>Project Overview</w:t>
      </w:r>
      <w:bookmarkEnd w:id="583"/>
      <w:bookmarkEnd w:id="584"/>
      <w:bookmarkEnd w:id="585"/>
      <w:bookmarkEnd w:id="586"/>
      <w:bookmarkEnd w:id="587"/>
    </w:p>
    <w:p w:rsidR="0063669E" w:rsidRDefault="002F2F3A" w:rsidP="002F2F3A">
      <w:r w:rsidRPr="002F2F3A">
        <w:t>AusNet Services has partnered with the Mallacoota community through the Mallacoota Sustainable Energy Group (MSEG) and the East Gippsland Shire Council (EGSC) to investigate non-network alternative electricity supplies to the M</w:t>
      </w:r>
      <w:r w:rsidR="0063669E">
        <w:t>allacoota community.</w:t>
      </w:r>
    </w:p>
    <w:p w:rsidR="002F2F3A" w:rsidRDefault="0063669E" w:rsidP="002F2F3A">
      <w:r w:rsidRPr="0063669E">
        <w:t>During 2014, AusNet Services contributed to funding a consultancy to prepare a feasibility study into</w:t>
      </w:r>
      <w:r>
        <w:t xml:space="preserve"> </w:t>
      </w:r>
      <w:r w:rsidRPr="0063669E">
        <w:t>distributed electricity supply options that provide improved reliability of supply to customers and</w:t>
      </w:r>
      <w:r>
        <w:t xml:space="preserve"> </w:t>
      </w:r>
      <w:r w:rsidRPr="0063669E">
        <w:t>incorporate sustainable generation technologies.</w:t>
      </w:r>
      <w:r>
        <w:t xml:space="preserve"> </w:t>
      </w:r>
      <w:r w:rsidR="002F2F3A" w:rsidRPr="002F2F3A">
        <w:t xml:space="preserve">AusNet Services' </w:t>
      </w:r>
      <w:r>
        <w:t>claimed DMIA expenditure in 2014</w:t>
      </w:r>
      <w:r w:rsidR="002F2F3A" w:rsidRPr="002F2F3A">
        <w:t xml:space="preserve"> of $</w:t>
      </w:r>
      <w:r>
        <w:t xml:space="preserve">22 </w:t>
      </w:r>
      <w:r w:rsidRPr="0063669E">
        <w:t>010</w:t>
      </w:r>
      <w:r w:rsidR="002F2F3A" w:rsidRPr="002F2F3A">
        <w:t xml:space="preserve"> for this project.</w:t>
      </w:r>
    </w:p>
    <w:p w:rsidR="00840AFA" w:rsidRDefault="00840AFA" w:rsidP="002F2F3A"/>
    <w:p w:rsidR="00840AFA" w:rsidRPr="002F2F3A" w:rsidRDefault="00840AFA" w:rsidP="002F2F3A"/>
    <w:p w:rsidR="002F2F3A" w:rsidRPr="002F2F3A" w:rsidRDefault="002F2F3A" w:rsidP="002F2F3A">
      <w:pPr>
        <w:pStyle w:val="Heading3"/>
      </w:pPr>
      <w:bookmarkStart w:id="588" w:name="_Toc409702174"/>
      <w:bookmarkStart w:id="589" w:name="_Toc409778893"/>
      <w:bookmarkStart w:id="590" w:name="_Toc411513722"/>
      <w:bookmarkStart w:id="591" w:name="_Toc443045410"/>
      <w:bookmarkStart w:id="592" w:name="_Toc445801998"/>
      <w:r w:rsidRPr="002F2F3A">
        <w:lastRenderedPageBreak/>
        <w:t>Assessment against DMIA criteria</w:t>
      </w:r>
      <w:bookmarkEnd w:id="588"/>
      <w:bookmarkEnd w:id="589"/>
      <w:bookmarkEnd w:id="590"/>
      <w:bookmarkEnd w:id="591"/>
      <w:bookmarkEnd w:id="592"/>
    </w:p>
    <w:p w:rsidR="002F2F3A" w:rsidRPr="002F2F3A" w:rsidRDefault="002F2F3A" w:rsidP="002F2F3A">
      <w:r w:rsidRPr="002F2F3A">
        <w:rPr>
          <w:rStyle w:val="Strong"/>
        </w:rPr>
        <w:t xml:space="preserve">Criteria #1 </w:t>
      </w:r>
      <w:r w:rsidRPr="002F2F3A">
        <w:t>By meeting customer demand via a mini-grid, reliance on bulk network supply is reduced.</w:t>
      </w:r>
    </w:p>
    <w:p w:rsidR="002F2F3A" w:rsidRPr="002F2F3A" w:rsidRDefault="002F2F3A" w:rsidP="002F2F3A">
      <w:r w:rsidRPr="002F2F3A">
        <w:rPr>
          <w:rStyle w:val="Strong"/>
        </w:rPr>
        <w:t xml:space="preserve">Criteria #2 </w:t>
      </w:r>
      <w:r w:rsidRPr="002F2F3A">
        <w:t>This is a broad-based demand management program.</w:t>
      </w:r>
    </w:p>
    <w:p w:rsidR="002F2F3A" w:rsidRPr="002F2F3A" w:rsidRDefault="002F2F3A" w:rsidP="002F2F3A">
      <w:pPr>
        <w:rPr>
          <w:rStyle w:val="Strong"/>
        </w:rPr>
      </w:pPr>
      <w:r w:rsidRPr="002F2F3A">
        <w:rPr>
          <w:rStyle w:val="Strong"/>
        </w:rPr>
        <w:t>Criteria #3</w:t>
      </w:r>
      <w:r w:rsidRPr="002F2F3A">
        <w:t xml:space="preserve"> This innovative technology is being trialled in anticipation of lower battery prices in future. Large battery systems offer demand levelling and voltage support services which can defer asset investment as well as improve the quality of supply to customers.</w:t>
      </w:r>
    </w:p>
    <w:p w:rsidR="002F2F3A" w:rsidRPr="002F2F3A" w:rsidRDefault="002F2F3A" w:rsidP="002F2F3A">
      <w:pPr>
        <w:rPr>
          <w:rStyle w:val="AERbody"/>
        </w:rPr>
      </w:pPr>
      <w:r w:rsidRPr="002F2F3A">
        <w:rPr>
          <w:rStyle w:val="Strong"/>
        </w:rPr>
        <w:t xml:space="preserve">Criteria #4 </w:t>
      </w:r>
      <w:r w:rsidRPr="002F2F3A">
        <w:t>Non-tariff based</w:t>
      </w:r>
    </w:p>
    <w:p w:rsidR="00B2337E" w:rsidRPr="00D61E77" w:rsidRDefault="002F2F3A" w:rsidP="00B2337E">
      <w:pPr>
        <w:rPr>
          <w:rStyle w:val="AERbody"/>
        </w:rPr>
      </w:pPr>
      <w:r w:rsidRPr="002F2F3A">
        <w:rPr>
          <w:rStyle w:val="Strong"/>
        </w:rPr>
        <w:t xml:space="preserve">Criteria #5 </w:t>
      </w:r>
      <w:r w:rsidR="00B2337E">
        <w:rPr>
          <w:rStyle w:val="AERbody"/>
        </w:rPr>
        <w:t xml:space="preserve">This criteria is met because expenditure for this project </w:t>
      </w:r>
      <w:r w:rsidR="00B2337E" w:rsidRPr="00CD2645">
        <w:t xml:space="preserve">cannot be recovered </w:t>
      </w:r>
      <w:r w:rsidR="00B2337E">
        <w:t>through</w:t>
      </w:r>
      <w:r w:rsidR="00B2337E" w:rsidRPr="00CD2645">
        <w:t xml:space="preserve"> any other jurisdictional, state or Australian Government scheme</w:t>
      </w:r>
      <w:r w:rsidR="00B2337E">
        <w:t xml:space="preserve">, nor </w:t>
      </w:r>
      <w:r w:rsidR="00B2337E" w:rsidRPr="00CD2645">
        <w:t>through any other part of the distribution determination for the current regulatory control period.</w:t>
      </w:r>
    </w:p>
    <w:p w:rsidR="002F2F3A" w:rsidRPr="002F2F3A" w:rsidRDefault="002F2F3A" w:rsidP="00B2337E">
      <w:r w:rsidRPr="002F2F3A">
        <w:rPr>
          <w:rStyle w:val="Strong"/>
        </w:rPr>
        <w:t xml:space="preserve">Criteria #6 </w:t>
      </w:r>
      <w:r w:rsidRPr="002F2F3A">
        <w:rPr>
          <w:rStyle w:val="AERbody"/>
        </w:rPr>
        <w:t>Opex</w:t>
      </w:r>
    </w:p>
    <w:p w:rsidR="00EE3E55" w:rsidRPr="00EE3E55" w:rsidRDefault="00EE3E55" w:rsidP="00EE3E55"/>
    <w:p w:rsidR="00F9421A" w:rsidRDefault="00F9421A" w:rsidP="00F9421A"/>
    <w:p w:rsidR="00F9421A" w:rsidRPr="00776C11" w:rsidRDefault="00F9421A" w:rsidP="00F9421A">
      <w:r>
        <w:br w:type="page"/>
      </w:r>
    </w:p>
    <w:p w:rsidR="003E5CC1" w:rsidRDefault="002D146E" w:rsidP="003F20E1">
      <w:pPr>
        <w:pStyle w:val="Heading1"/>
      </w:pPr>
      <w:bookmarkStart w:id="593" w:name="_Toc445801999"/>
      <w:r>
        <w:lastRenderedPageBreak/>
        <w:t xml:space="preserve"> </w:t>
      </w:r>
      <w:r w:rsidR="003E5CC1" w:rsidRPr="003F20E1">
        <w:t>United Energy</w:t>
      </w:r>
      <w:bookmarkEnd w:id="526"/>
      <w:bookmarkEnd w:id="593"/>
    </w:p>
    <w:p w:rsidR="00C01212" w:rsidRDefault="00C01212" w:rsidP="00C01212">
      <w:pPr>
        <w:numPr>
          <w:ilvl w:val="0"/>
          <w:numId w:val="24"/>
        </w:numPr>
      </w:pPr>
      <w:r>
        <w:t>United Energy</w:t>
      </w:r>
      <w:r w:rsidRPr="00D61E77">
        <w:t xml:space="preserve"> is claiming </w:t>
      </w:r>
      <w:r>
        <w:t xml:space="preserve">2014 </w:t>
      </w:r>
      <w:r w:rsidRPr="00D61E77">
        <w:t xml:space="preserve">DMIA expenditure for </w:t>
      </w:r>
      <w:r w:rsidR="008D49FF">
        <w:t>three</w:t>
      </w:r>
      <w:r>
        <w:t xml:space="preserve"> demand management projects</w:t>
      </w:r>
      <w:r w:rsidRPr="00D61E77">
        <w:t xml:space="preserve"> to</w:t>
      </w:r>
      <w:r>
        <w:t>talling</w:t>
      </w:r>
      <w:r w:rsidRPr="00D61E77">
        <w:t xml:space="preserve"> </w:t>
      </w:r>
      <w:r w:rsidRPr="00E80E6A">
        <w:t>$</w:t>
      </w:r>
      <w:r w:rsidRPr="00A30F8F">
        <w:t xml:space="preserve"> </w:t>
      </w:r>
      <w:r>
        <w:t xml:space="preserve">661 </w:t>
      </w:r>
      <w:r w:rsidRPr="00C01212">
        <w:t>715</w:t>
      </w:r>
      <w:r w:rsidRPr="00D61E77">
        <w:t xml:space="preserve">. </w:t>
      </w:r>
      <w:r>
        <w:t>We approve this expenditure as it meets the DMIA criteria. The following section sets out our assessment of the individual projects. For more detailed information about these projects, please refer to United Energy's 2014 DMIA report.</w:t>
      </w:r>
    </w:p>
    <w:p w:rsidR="00C01212" w:rsidRPr="00C01212" w:rsidRDefault="00D462A2" w:rsidP="00D462A2">
      <w:pPr>
        <w:pStyle w:val="Heading2"/>
      </w:pPr>
      <w:bookmarkStart w:id="594" w:name="_Toc443045412"/>
      <w:bookmarkStart w:id="595" w:name="_Toc445802000"/>
      <w:r w:rsidRPr="00D462A2">
        <w:t>District Energy Services Scheme (DESS) Project</w:t>
      </w:r>
      <w:bookmarkEnd w:id="594"/>
      <w:bookmarkEnd w:id="595"/>
    </w:p>
    <w:p w:rsidR="00C01212" w:rsidRDefault="00C01212" w:rsidP="00C01212">
      <w:pPr>
        <w:pStyle w:val="Heading3"/>
      </w:pPr>
      <w:bookmarkStart w:id="596" w:name="_Toc443045413"/>
      <w:bookmarkStart w:id="597" w:name="_Toc445802001"/>
      <w:r w:rsidRPr="00C01212">
        <w:t>Project Overview</w:t>
      </w:r>
      <w:bookmarkEnd w:id="596"/>
      <w:bookmarkEnd w:id="597"/>
    </w:p>
    <w:p w:rsidR="00D462A2" w:rsidRDefault="00D462A2" w:rsidP="008D49FF">
      <w:pPr>
        <w:pStyle w:val="ListParagraph"/>
        <w:numPr>
          <w:ilvl w:val="0"/>
          <w:numId w:val="23"/>
        </w:numPr>
      </w:pPr>
      <w:r w:rsidRPr="00005462">
        <w:t>In August 2011, United Energy (UE) formalise</w:t>
      </w:r>
      <w:r>
        <w:t xml:space="preserve">d a Memorandum of Understanding (MoU) </w:t>
      </w:r>
      <w:r w:rsidRPr="00005462">
        <w:t>with Manningham City Council to work with the Council in providing support for jointly planned initiatives</w:t>
      </w:r>
      <w:r>
        <w:t xml:space="preserve"> </w:t>
      </w:r>
      <w:r w:rsidRPr="00005462">
        <w:t xml:space="preserve">within the Doncaster Hill Smart Energy Zone. </w:t>
      </w:r>
      <w:r>
        <w:t>T</w:t>
      </w:r>
      <w:r w:rsidRPr="00005462">
        <w:t>he MoU has allowed U</w:t>
      </w:r>
      <w:r>
        <w:t xml:space="preserve">nited </w:t>
      </w:r>
      <w:r w:rsidRPr="00005462">
        <w:t>E</w:t>
      </w:r>
      <w:r>
        <w:t>nergy</w:t>
      </w:r>
      <w:r w:rsidRPr="00005462">
        <w:t xml:space="preserve"> to provide its</w:t>
      </w:r>
      <w:r>
        <w:t xml:space="preserve"> </w:t>
      </w:r>
      <w:r w:rsidRPr="00005462">
        <w:t>expertise in electricity distribution to assist the Council to explore and facilitate projects which promote</w:t>
      </w:r>
      <w:r>
        <w:t xml:space="preserve"> </w:t>
      </w:r>
      <w:r w:rsidRPr="00005462">
        <w:t xml:space="preserve">sustainable energy development and demand management opportunities within the precinct. </w:t>
      </w:r>
      <w:r w:rsidR="008D49FF" w:rsidRPr="008D49FF">
        <w:t>The MoU expired in 2014 and as such UE and Council have renewed the MoU for another five year</w:t>
      </w:r>
      <w:r w:rsidR="008D49FF">
        <w:t xml:space="preserve"> </w:t>
      </w:r>
      <w:r w:rsidR="008D49FF" w:rsidRPr="008D49FF">
        <w:t>term.</w:t>
      </w:r>
    </w:p>
    <w:p w:rsidR="00D462A2" w:rsidRPr="00B6697C" w:rsidRDefault="00D462A2" w:rsidP="005121FF">
      <w:pPr>
        <w:pStyle w:val="ListParagraph"/>
        <w:numPr>
          <w:ilvl w:val="0"/>
          <w:numId w:val="23"/>
        </w:numPr>
      </w:pPr>
      <w:r w:rsidRPr="00005462">
        <w:t>U</w:t>
      </w:r>
      <w:r>
        <w:t xml:space="preserve">nited </w:t>
      </w:r>
      <w:r w:rsidRPr="00005462">
        <w:t>E</w:t>
      </w:r>
      <w:r>
        <w:t>nergy</w:t>
      </w:r>
      <w:r w:rsidRPr="00005462">
        <w:t xml:space="preserve"> is</w:t>
      </w:r>
      <w:r>
        <w:t xml:space="preserve"> </w:t>
      </w:r>
      <w:r w:rsidRPr="00005462">
        <w:t>supportive of and is actively engaged with the Council in its District Energy Services Scheme (DESS)</w:t>
      </w:r>
      <w:r>
        <w:t xml:space="preserve"> </w:t>
      </w:r>
      <w:r w:rsidRPr="00005462">
        <w:t>project, predominantly through in-kind labour support, but also in cash support in instances when external consulting resources were</w:t>
      </w:r>
      <w:r>
        <w:t xml:space="preserve"> </w:t>
      </w:r>
      <w:r w:rsidRPr="00005462">
        <w:t>required for the</w:t>
      </w:r>
      <w:r>
        <w:t xml:space="preserve"> </w:t>
      </w:r>
      <w:r w:rsidRPr="00005462">
        <w:t>development of the project.</w:t>
      </w:r>
      <w:r>
        <w:t xml:space="preserve"> United Energy</w:t>
      </w:r>
      <w:r w:rsidRPr="000C417C">
        <w:t xml:space="preserve"> </w:t>
      </w:r>
      <w:r w:rsidR="005121FF">
        <w:t>claimed DMIA expenditure in 2014</w:t>
      </w:r>
      <w:r w:rsidRPr="000C417C">
        <w:t xml:space="preserve"> of </w:t>
      </w:r>
      <w:r w:rsidR="005121FF">
        <w:t xml:space="preserve">$12 </w:t>
      </w:r>
      <w:r w:rsidR="005121FF" w:rsidRPr="005121FF">
        <w:t xml:space="preserve">975 </w:t>
      </w:r>
      <w:r w:rsidRPr="000C417C">
        <w:t>for this project.</w:t>
      </w:r>
    </w:p>
    <w:p w:rsidR="00C01212" w:rsidRPr="00C01212" w:rsidRDefault="00C01212" w:rsidP="00C01212">
      <w:pPr>
        <w:pStyle w:val="Heading3"/>
      </w:pPr>
      <w:bookmarkStart w:id="598" w:name="_Toc443045414"/>
      <w:bookmarkStart w:id="599" w:name="_Toc445802002"/>
      <w:r w:rsidRPr="00C01212">
        <w:t>Assessment against DMIA criteria</w:t>
      </w:r>
      <w:bookmarkEnd w:id="598"/>
      <w:bookmarkEnd w:id="599"/>
    </w:p>
    <w:p w:rsidR="0023309B" w:rsidRPr="0023309B" w:rsidRDefault="00C01212" w:rsidP="0023309B">
      <w:r w:rsidRPr="00C01212">
        <w:rPr>
          <w:rStyle w:val="Strong"/>
        </w:rPr>
        <w:t>Criteria #1</w:t>
      </w:r>
      <w:r w:rsidR="0023309B" w:rsidRPr="0023309B">
        <w:t xml:space="preserve"> </w:t>
      </w:r>
      <w:r w:rsidR="0023309B">
        <w:t xml:space="preserve">One of the objectives of </w:t>
      </w:r>
      <w:r w:rsidR="00600FF1">
        <w:t xml:space="preserve">the DESS </w:t>
      </w:r>
      <w:r w:rsidR="0023309B" w:rsidRPr="0023309B">
        <w:t>is to defer the proposed network augmentation of establishing Templestowe Zone Substation.</w:t>
      </w:r>
    </w:p>
    <w:p w:rsidR="00C01212" w:rsidRPr="00C01212" w:rsidRDefault="00C01212" w:rsidP="00C01212">
      <w:pPr>
        <w:rPr>
          <w:rStyle w:val="Strong"/>
        </w:rPr>
      </w:pPr>
      <w:r w:rsidRPr="00C01212">
        <w:rPr>
          <w:rStyle w:val="Strong"/>
        </w:rPr>
        <w:t xml:space="preserve">Criteria #2 </w:t>
      </w:r>
      <w:r w:rsidR="00600FF1" w:rsidRPr="00600FF1">
        <w:t>The DESS aims to address specific network constraints by reducing demand on the network at the location and time of the constraint. UE’s Doncaster Zone Substation supplies much of this developing area around Doncaster Hill.</w:t>
      </w:r>
    </w:p>
    <w:p w:rsidR="00600FF1" w:rsidRPr="00600FF1" w:rsidRDefault="00C01212" w:rsidP="00600FF1">
      <w:pPr>
        <w:rPr>
          <w:rStyle w:val="Strong"/>
        </w:rPr>
      </w:pPr>
      <w:r w:rsidRPr="00C01212">
        <w:rPr>
          <w:rStyle w:val="Strong"/>
        </w:rPr>
        <w:t xml:space="preserve">Criteria #3 </w:t>
      </w:r>
      <w:r w:rsidR="00600FF1" w:rsidRPr="00600FF1">
        <w:t>The COFELY Australia commercial feasibility report identifies commercially viable demand management</w:t>
      </w:r>
      <w:r w:rsidR="00600FF1">
        <w:t xml:space="preserve"> </w:t>
      </w:r>
      <w:r w:rsidR="00600FF1" w:rsidRPr="00600FF1">
        <w:t>opportunities within the precinct which can be developed within the existing regulatory and planning</w:t>
      </w:r>
      <w:r w:rsidR="00600FF1">
        <w:t xml:space="preserve"> </w:t>
      </w:r>
      <w:r w:rsidR="00600FF1" w:rsidRPr="00600FF1">
        <w:t>frameworks.</w:t>
      </w:r>
    </w:p>
    <w:p w:rsidR="00C01212" w:rsidRPr="00C01212" w:rsidRDefault="00C01212" w:rsidP="00C01212">
      <w:pPr>
        <w:rPr>
          <w:rStyle w:val="Strong"/>
        </w:rPr>
      </w:pPr>
      <w:r w:rsidRPr="00C01212">
        <w:rPr>
          <w:rStyle w:val="Strong"/>
        </w:rPr>
        <w:t xml:space="preserve">Criteria #4 </w:t>
      </w:r>
      <w:r w:rsidRPr="00C01212">
        <w:t>Non-tariff based.</w:t>
      </w:r>
    </w:p>
    <w:p w:rsidR="00B2337E" w:rsidRPr="00D61E77" w:rsidRDefault="00C01212" w:rsidP="00B2337E">
      <w:pPr>
        <w:rPr>
          <w:rStyle w:val="AERbody"/>
        </w:rPr>
      </w:pPr>
      <w:r w:rsidRPr="00C01212">
        <w:rPr>
          <w:rStyle w:val="Strong"/>
        </w:rPr>
        <w:t xml:space="preserve">Criteria #5 </w:t>
      </w:r>
      <w:r w:rsidR="00B2337E">
        <w:rPr>
          <w:rStyle w:val="AERbody"/>
        </w:rPr>
        <w:t xml:space="preserve">This criteria is met because expenditure for this project </w:t>
      </w:r>
      <w:r w:rsidR="00B2337E" w:rsidRPr="00CD2645">
        <w:t xml:space="preserve">cannot be recovered </w:t>
      </w:r>
      <w:r w:rsidR="00B2337E">
        <w:t>through</w:t>
      </w:r>
      <w:r w:rsidR="00B2337E" w:rsidRPr="00CD2645">
        <w:t xml:space="preserve"> any other jurisdictional, state or Australian Government scheme</w:t>
      </w:r>
      <w:r w:rsidR="00B2337E">
        <w:t xml:space="preserve">, nor </w:t>
      </w:r>
      <w:r w:rsidR="00B2337E" w:rsidRPr="00CD2645">
        <w:t>through any other part of the distribution determination for the current regulatory control period.</w:t>
      </w:r>
    </w:p>
    <w:p w:rsidR="00C01212" w:rsidRPr="00C01212" w:rsidRDefault="00C01212" w:rsidP="00C01212">
      <w:r w:rsidRPr="00C01212">
        <w:rPr>
          <w:rStyle w:val="Strong"/>
        </w:rPr>
        <w:t xml:space="preserve">Criteria #6 </w:t>
      </w:r>
      <w:r w:rsidRPr="00C01212">
        <w:rPr>
          <w:rStyle w:val="AERbody"/>
        </w:rPr>
        <w:t>Opex</w:t>
      </w:r>
    </w:p>
    <w:p w:rsidR="00C01212" w:rsidRDefault="00C01212" w:rsidP="00C01212"/>
    <w:p w:rsidR="00C01212" w:rsidRPr="00C01212" w:rsidRDefault="00D462A2" w:rsidP="00D462A2">
      <w:pPr>
        <w:pStyle w:val="Heading2"/>
      </w:pPr>
      <w:r>
        <w:lastRenderedPageBreak/>
        <w:t xml:space="preserve"> </w:t>
      </w:r>
      <w:bookmarkStart w:id="600" w:name="_Toc443045415"/>
      <w:bookmarkStart w:id="601" w:name="_Toc445802003"/>
      <w:r w:rsidRPr="00D462A2">
        <w:t>Virtual Power Plant (VPP) Project</w:t>
      </w:r>
      <w:bookmarkEnd w:id="600"/>
      <w:bookmarkEnd w:id="601"/>
    </w:p>
    <w:p w:rsidR="00C01212" w:rsidRDefault="00C01212" w:rsidP="00C01212">
      <w:pPr>
        <w:pStyle w:val="Heading3"/>
      </w:pPr>
      <w:bookmarkStart w:id="602" w:name="_Toc443045416"/>
      <w:bookmarkStart w:id="603" w:name="_Toc445802004"/>
      <w:r w:rsidRPr="00C01212">
        <w:t>Project Overview</w:t>
      </w:r>
      <w:bookmarkEnd w:id="602"/>
      <w:bookmarkEnd w:id="603"/>
    </w:p>
    <w:p w:rsidR="00E32CA1" w:rsidRDefault="00E32CA1" w:rsidP="00E32CA1">
      <w:r w:rsidRPr="00E32CA1">
        <w:t>The aim of the project is to validate or otherwise, the use of a VPP to manage embedded generation and</w:t>
      </w:r>
      <w:r>
        <w:t xml:space="preserve"> </w:t>
      </w:r>
      <w:r w:rsidRPr="00E32CA1">
        <w:t>storage in a residential setting for the provision of efficient and prudent non-network augmentation.</w:t>
      </w:r>
    </w:p>
    <w:p w:rsidR="00F13EE6" w:rsidRPr="00005462" w:rsidRDefault="00F13EE6" w:rsidP="00F13EE6">
      <w:r w:rsidRPr="00F13EE6">
        <w:t>The VPP integrates the operation of both supply and demand-side assets to meet customer demand for</w:t>
      </w:r>
      <w:r>
        <w:t xml:space="preserve"> </w:t>
      </w:r>
      <w:r w:rsidRPr="00F13EE6">
        <w:t>energy services in both the short and long-term. To match short-interval load fluctuations, the VPP is</w:t>
      </w:r>
      <w:r>
        <w:t xml:space="preserve"> </w:t>
      </w:r>
      <w:r w:rsidRPr="00F13EE6">
        <w:t>intended to make extensive and sophisticated use of information technology, advanced metering, automated</w:t>
      </w:r>
      <w:r>
        <w:t xml:space="preserve"> </w:t>
      </w:r>
      <w:r w:rsidRPr="00F13EE6">
        <w:t>control capabilities, and electricity storage. The VPP concept also treats long-term load reduction achieved</w:t>
      </w:r>
      <w:r>
        <w:t xml:space="preserve"> </w:t>
      </w:r>
      <w:r w:rsidRPr="00F13EE6">
        <w:t>through energy efficiency investments, distributed generation, and verified demand response on an equal</w:t>
      </w:r>
      <w:r>
        <w:t xml:space="preserve"> </w:t>
      </w:r>
      <w:r w:rsidRPr="00F13EE6">
        <w:t>footing with supply expansion. Thus, this approach extends the boundary of utility capacity investments</w:t>
      </w:r>
      <w:r>
        <w:t xml:space="preserve"> </w:t>
      </w:r>
      <w:r w:rsidRPr="00F13EE6">
        <w:t>through the meter, with its expanding communication and control capabilities, all the way to customer-side</w:t>
      </w:r>
      <w:r>
        <w:t xml:space="preserve"> </w:t>
      </w:r>
      <w:r w:rsidRPr="00F13EE6">
        <w:t xml:space="preserve">equipment. </w:t>
      </w:r>
      <w:r>
        <w:t>United Energy</w:t>
      </w:r>
      <w:r w:rsidRPr="000C417C">
        <w:t xml:space="preserve"> claimed DMIA expenditure in 201</w:t>
      </w:r>
      <w:r>
        <w:t>4</w:t>
      </w:r>
      <w:r w:rsidRPr="000C417C">
        <w:t xml:space="preserve"> of </w:t>
      </w:r>
      <w:r>
        <w:t>$</w:t>
      </w:r>
      <w:r w:rsidRPr="00F13EE6">
        <w:rPr>
          <w:lang w:eastAsia="en-AU"/>
        </w:rPr>
        <w:t>597,270</w:t>
      </w:r>
      <w:r>
        <w:t xml:space="preserve"> </w:t>
      </w:r>
      <w:r w:rsidRPr="000C417C">
        <w:t>for this project.</w:t>
      </w:r>
    </w:p>
    <w:p w:rsidR="00C01212" w:rsidRPr="00C01212" w:rsidRDefault="00C01212" w:rsidP="00C01212">
      <w:pPr>
        <w:pStyle w:val="Heading3"/>
      </w:pPr>
      <w:bookmarkStart w:id="604" w:name="_Toc443045417"/>
      <w:bookmarkStart w:id="605" w:name="_Toc445802005"/>
      <w:r w:rsidRPr="00C01212">
        <w:t>Assessment against DMIA criteria</w:t>
      </w:r>
      <w:bookmarkEnd w:id="604"/>
      <w:bookmarkEnd w:id="605"/>
    </w:p>
    <w:p w:rsidR="00C01212" w:rsidRPr="00C01212" w:rsidRDefault="00C01212" w:rsidP="00255FBC">
      <w:r w:rsidRPr="00C01212">
        <w:rPr>
          <w:rStyle w:val="Strong"/>
        </w:rPr>
        <w:t>Criteria #1</w:t>
      </w:r>
      <w:r w:rsidR="00255FBC" w:rsidRPr="00255FBC">
        <w:t xml:space="preserve"> The VPP project attempts to combine the capabilities of solar PV generation and battery storage to flatten</w:t>
      </w:r>
      <w:r w:rsidR="00255FBC">
        <w:t xml:space="preserve"> </w:t>
      </w:r>
      <w:r w:rsidR="00255FBC" w:rsidRPr="00255FBC">
        <w:t>out the demand profile by charging the battery during the middle of the day when solar PV generation is at</w:t>
      </w:r>
      <w:r w:rsidR="00255FBC">
        <w:t xml:space="preserve"> </w:t>
      </w:r>
      <w:r w:rsidR="00255FBC" w:rsidRPr="00255FBC">
        <w:t>its maximum and discharging the battery during the early evening when residential demand is at its</w:t>
      </w:r>
      <w:r w:rsidR="00255FBC">
        <w:t xml:space="preserve"> </w:t>
      </w:r>
      <w:r w:rsidR="00255FBC" w:rsidRPr="00255FBC">
        <w:t>maximum. Aggregating VPP units will provide a system that can be dispatched to manage network capacity</w:t>
      </w:r>
      <w:r w:rsidR="00255FBC">
        <w:t xml:space="preserve"> </w:t>
      </w:r>
      <w:r w:rsidR="00255FBC" w:rsidRPr="00255FBC">
        <w:t>constraints.</w:t>
      </w:r>
    </w:p>
    <w:p w:rsidR="00C01212" w:rsidRPr="00C01212" w:rsidRDefault="00C01212" w:rsidP="00255FBC">
      <w:pPr>
        <w:rPr>
          <w:rStyle w:val="Strong"/>
        </w:rPr>
      </w:pPr>
      <w:r w:rsidRPr="00C01212">
        <w:rPr>
          <w:rStyle w:val="Strong"/>
        </w:rPr>
        <w:t xml:space="preserve">Criteria #2 </w:t>
      </w:r>
      <w:r w:rsidR="00255FBC" w:rsidRPr="00255FBC">
        <w:t>The VPP aims to address specific network constraints by reducing demand on the network at the location</w:t>
      </w:r>
      <w:r w:rsidR="00255FBC">
        <w:t xml:space="preserve"> </w:t>
      </w:r>
      <w:r w:rsidR="00255FBC" w:rsidRPr="00255FBC">
        <w:t>and time of the constraint. If the VPP concept is proven, it is intended to locate such units in areas where</w:t>
      </w:r>
      <w:r w:rsidR="00255FBC">
        <w:t xml:space="preserve"> </w:t>
      </w:r>
      <w:r w:rsidR="00255FBC" w:rsidRPr="00255FBC">
        <w:t>there are identified network constraints. In the first instance, this is likely to be in areas where there are</w:t>
      </w:r>
      <w:r w:rsidR="00255FBC">
        <w:t xml:space="preserve"> </w:t>
      </w:r>
      <w:r w:rsidR="00255FBC" w:rsidRPr="00255FBC">
        <w:t>significant distribution transformer constraints by clustering the VPP units in localised areas.</w:t>
      </w:r>
      <w:r w:rsidR="00255FBC">
        <w:t xml:space="preserve"> </w:t>
      </w:r>
      <w:r w:rsidR="00255FBC" w:rsidRPr="00255FBC">
        <w:t>Ultimately the</w:t>
      </w:r>
      <w:r w:rsidR="00255FBC">
        <w:t xml:space="preserve"> </w:t>
      </w:r>
      <w:r w:rsidR="00255FBC" w:rsidRPr="00255FBC">
        <w:t>goal is to alleviate constraints higher up in the network such as at the distribution feeder or zone substation</w:t>
      </w:r>
      <w:r w:rsidR="00255FBC">
        <w:t xml:space="preserve"> </w:t>
      </w:r>
      <w:r w:rsidR="00255FBC" w:rsidRPr="00255FBC">
        <w:t>level.</w:t>
      </w:r>
    </w:p>
    <w:p w:rsidR="00C01212" w:rsidRPr="00C01212" w:rsidRDefault="00C01212" w:rsidP="00255FBC">
      <w:pPr>
        <w:rPr>
          <w:rStyle w:val="Strong"/>
        </w:rPr>
      </w:pPr>
      <w:r w:rsidRPr="00C01212">
        <w:rPr>
          <w:rStyle w:val="Strong"/>
        </w:rPr>
        <w:t xml:space="preserve">Criteria #3 </w:t>
      </w:r>
      <w:r w:rsidR="00255FBC" w:rsidRPr="00255FBC">
        <w:t>The VPP offers a new solution for a constrained network area, particularly where load growth is low,</w:t>
      </w:r>
      <w:r w:rsidR="00255FBC">
        <w:t xml:space="preserve"> </w:t>
      </w:r>
      <w:r w:rsidR="00255FBC" w:rsidRPr="00255FBC">
        <w:t>uncertain or is expected to plateau in future. The ability to provide incremental amounts of capacity through</w:t>
      </w:r>
      <w:r w:rsidR="00255FBC">
        <w:t xml:space="preserve"> </w:t>
      </w:r>
      <w:r w:rsidR="00255FBC" w:rsidRPr="00255FBC">
        <w:t>combining renewable generation and storage to meet the demand as it materialises could be economic</w:t>
      </w:r>
      <w:r w:rsidR="00255FBC">
        <w:t xml:space="preserve"> </w:t>
      </w:r>
      <w:r w:rsidR="00255FBC" w:rsidRPr="00255FBC">
        <w:t>against a more traditional network solution that provides significant step increases in capacity at higher cost.</w:t>
      </w:r>
      <w:r w:rsidR="00255FBC">
        <w:t xml:space="preserve"> </w:t>
      </w:r>
      <w:r w:rsidR="00255FBC" w:rsidRPr="00255FBC">
        <w:t>The VPP is intended to test this concept.</w:t>
      </w:r>
    </w:p>
    <w:p w:rsidR="00C01212" w:rsidRPr="00C01212" w:rsidRDefault="00C01212" w:rsidP="00C01212">
      <w:pPr>
        <w:rPr>
          <w:rStyle w:val="Strong"/>
        </w:rPr>
      </w:pPr>
      <w:r w:rsidRPr="00C01212">
        <w:rPr>
          <w:rStyle w:val="Strong"/>
        </w:rPr>
        <w:t xml:space="preserve">Criteria #4 </w:t>
      </w:r>
      <w:r w:rsidRPr="00C01212">
        <w:t>Non-tariff based.</w:t>
      </w:r>
    </w:p>
    <w:p w:rsidR="00B2337E" w:rsidRPr="00D61E77" w:rsidRDefault="00C01212" w:rsidP="00B2337E">
      <w:pPr>
        <w:rPr>
          <w:rStyle w:val="AERbody"/>
        </w:rPr>
      </w:pPr>
      <w:r w:rsidRPr="00C01212">
        <w:rPr>
          <w:rStyle w:val="Strong"/>
        </w:rPr>
        <w:t xml:space="preserve">Criteria #5 </w:t>
      </w:r>
      <w:r w:rsidR="00B2337E">
        <w:rPr>
          <w:rStyle w:val="AERbody"/>
        </w:rPr>
        <w:t xml:space="preserve">This criteria is met because expenditure for this project </w:t>
      </w:r>
      <w:r w:rsidR="00B2337E" w:rsidRPr="00CD2645">
        <w:t xml:space="preserve">cannot be recovered </w:t>
      </w:r>
      <w:r w:rsidR="00B2337E">
        <w:t>through</w:t>
      </w:r>
      <w:r w:rsidR="00B2337E" w:rsidRPr="00CD2645">
        <w:t xml:space="preserve"> any other jurisdictional, state or Australian Government scheme</w:t>
      </w:r>
      <w:r w:rsidR="00B2337E">
        <w:t xml:space="preserve">, nor </w:t>
      </w:r>
      <w:r w:rsidR="00B2337E" w:rsidRPr="00CD2645">
        <w:t>through any other part of the distribution determination for the current regulatory control period.</w:t>
      </w:r>
    </w:p>
    <w:p w:rsidR="00C01212" w:rsidRPr="00C01212" w:rsidRDefault="00C01212" w:rsidP="00C01212">
      <w:r w:rsidRPr="00C01212">
        <w:rPr>
          <w:rStyle w:val="Strong"/>
        </w:rPr>
        <w:lastRenderedPageBreak/>
        <w:t xml:space="preserve">Criteria #6 </w:t>
      </w:r>
      <w:r w:rsidRPr="00C01212">
        <w:rPr>
          <w:rStyle w:val="AERbody"/>
        </w:rPr>
        <w:t>Opex</w:t>
      </w:r>
    </w:p>
    <w:p w:rsidR="00C01212" w:rsidRPr="00C01212" w:rsidRDefault="00D462A2" w:rsidP="00C01212">
      <w:pPr>
        <w:pStyle w:val="Heading2"/>
      </w:pPr>
      <w:bookmarkStart w:id="606" w:name="_Toc443045418"/>
      <w:bookmarkStart w:id="607" w:name="_Toc445802006"/>
      <w:r w:rsidRPr="00D462A2">
        <w:t>Summer Saver (Demand Response) Trial</w:t>
      </w:r>
      <w:bookmarkEnd w:id="606"/>
      <w:bookmarkEnd w:id="607"/>
    </w:p>
    <w:p w:rsidR="00C01212" w:rsidRDefault="00C01212" w:rsidP="00C01212">
      <w:pPr>
        <w:pStyle w:val="Heading3"/>
      </w:pPr>
      <w:bookmarkStart w:id="608" w:name="_Toc443045419"/>
      <w:bookmarkStart w:id="609" w:name="_Toc445802007"/>
      <w:r w:rsidRPr="00C01212">
        <w:t>Project Overview</w:t>
      </w:r>
      <w:bookmarkEnd w:id="608"/>
      <w:bookmarkEnd w:id="609"/>
    </w:p>
    <w:p w:rsidR="0087004E" w:rsidRPr="0087004E" w:rsidRDefault="0087004E" w:rsidP="0087004E">
      <w:r w:rsidRPr="0087004E">
        <w:t>The Summer Saver Trial is an investigation of how effective and efficient customer demand response is as</w:t>
      </w:r>
      <w:r>
        <w:t xml:space="preserve"> </w:t>
      </w:r>
      <w:r w:rsidRPr="0087004E">
        <w:t>a non-network alternative at addressing demand at peak times. The trial investigates demand management</w:t>
      </w:r>
      <w:r>
        <w:t xml:space="preserve"> </w:t>
      </w:r>
      <w:r w:rsidRPr="0087004E">
        <w:t>options. The outcomes of this trial will enable UE to develop a demand management model that describes</w:t>
      </w:r>
      <w:r>
        <w:t xml:space="preserve"> </w:t>
      </w:r>
      <w:r w:rsidRPr="0087004E">
        <w:t>the best combination of mechanisms that will result in the biggest peak demand reduction at specific</w:t>
      </w:r>
      <w:r>
        <w:t xml:space="preserve"> </w:t>
      </w:r>
      <w:r w:rsidRPr="0087004E">
        <w:t>locations based on customer demographics and load profiles.</w:t>
      </w:r>
    </w:p>
    <w:p w:rsidR="0087004E" w:rsidRPr="0087004E" w:rsidRDefault="0087004E" w:rsidP="0087004E">
      <w:r w:rsidRPr="0087004E">
        <w:t>UE launched the trial in February 2014 targeting 6,500 customers on four Bulleen zone substation feeders.</w:t>
      </w:r>
      <w:r>
        <w:t xml:space="preserve"> </w:t>
      </w:r>
      <w:r w:rsidRPr="0087004E">
        <w:t>Customers were offered $25 if they reduced their load during the UE nominated three hour event period. UE</w:t>
      </w:r>
      <w:r>
        <w:t xml:space="preserve"> </w:t>
      </w:r>
      <w:r w:rsidRPr="0087004E">
        <w:t>anticipated calling on average four events per summer with the customer having the opportunity to earn</w:t>
      </w:r>
      <w:r>
        <w:t xml:space="preserve"> </w:t>
      </w:r>
      <w:r w:rsidRPr="0087004E">
        <w:t>$100 for the summer if they participated in all events.</w:t>
      </w:r>
    </w:p>
    <w:p w:rsidR="0087004E" w:rsidRPr="00005462" w:rsidRDefault="0087004E" w:rsidP="0087004E">
      <w:r w:rsidRPr="0087004E">
        <w:t>UE expanded the trial this summer to include 4,000 more customers in areas of the network that are likely to</w:t>
      </w:r>
      <w:r>
        <w:t xml:space="preserve"> </w:t>
      </w:r>
      <w:r w:rsidRPr="0087004E">
        <w:t>experience an interruption. Also, trial introduced new demand management options to existing trial</w:t>
      </w:r>
      <w:r>
        <w:t xml:space="preserve"> </w:t>
      </w:r>
      <w:r w:rsidRPr="0087004E">
        <w:t>members: direct load control of pool pumps and supply capacity limiting</w:t>
      </w:r>
      <w:r>
        <w:t>.</w:t>
      </w:r>
      <w:r w:rsidRPr="0087004E">
        <w:t xml:space="preserve"> </w:t>
      </w:r>
      <w:r>
        <w:t>United Energy</w:t>
      </w:r>
      <w:r w:rsidRPr="000C417C">
        <w:t xml:space="preserve"> claimed DMIA expenditure in 201</w:t>
      </w:r>
      <w:r>
        <w:t>4</w:t>
      </w:r>
      <w:r w:rsidRPr="000C417C">
        <w:t xml:space="preserve"> of </w:t>
      </w:r>
      <w:r>
        <w:t>$</w:t>
      </w:r>
      <w:r>
        <w:rPr>
          <w:lang w:eastAsia="en-AU"/>
        </w:rPr>
        <w:t xml:space="preserve">51,470 </w:t>
      </w:r>
      <w:r w:rsidRPr="000C417C">
        <w:t>for this project.</w:t>
      </w:r>
    </w:p>
    <w:p w:rsidR="00C01212" w:rsidRPr="00C01212" w:rsidRDefault="00C01212" w:rsidP="00C01212">
      <w:pPr>
        <w:pStyle w:val="Heading3"/>
      </w:pPr>
      <w:bookmarkStart w:id="610" w:name="_Toc443045420"/>
      <w:bookmarkStart w:id="611" w:name="_Toc445802008"/>
      <w:r w:rsidRPr="00C01212">
        <w:t>Assessment against DMIA criteria</w:t>
      </w:r>
      <w:bookmarkEnd w:id="610"/>
      <w:bookmarkEnd w:id="611"/>
    </w:p>
    <w:p w:rsidR="00C01212" w:rsidRPr="00C01212" w:rsidRDefault="00C01212" w:rsidP="00EF3F0D">
      <w:r w:rsidRPr="00C01212">
        <w:rPr>
          <w:rStyle w:val="Strong"/>
        </w:rPr>
        <w:t>Criteria #1</w:t>
      </w:r>
      <w:r w:rsidR="00EF3F0D" w:rsidRPr="00EF3F0D">
        <w:t xml:space="preserve"> The Summer Saver Trial seeks to incentivise customers to reduce their load during peak times. Customers</w:t>
      </w:r>
      <w:r w:rsidR="00EF3F0D">
        <w:t xml:space="preserve"> </w:t>
      </w:r>
      <w:r w:rsidR="00EF3F0D" w:rsidRPr="00EF3F0D">
        <w:t>are rewarded $25 per event for reducing their load during the UE nominated three hour event period.</w:t>
      </w:r>
    </w:p>
    <w:p w:rsidR="00C01212" w:rsidRPr="00C01212" w:rsidRDefault="00C01212" w:rsidP="00EF3F0D">
      <w:pPr>
        <w:rPr>
          <w:rStyle w:val="Strong"/>
        </w:rPr>
      </w:pPr>
      <w:r w:rsidRPr="00C01212">
        <w:rPr>
          <w:rStyle w:val="Strong"/>
        </w:rPr>
        <w:t xml:space="preserve">Criteria #2 </w:t>
      </w:r>
      <w:r w:rsidR="00EF3F0D" w:rsidRPr="00EF3F0D">
        <w:t>The Summer Saver Trial seeks to address specific network constraints and is therefore targeted at</w:t>
      </w:r>
      <w:r w:rsidR="00EF3F0D">
        <w:t xml:space="preserve"> </w:t>
      </w:r>
      <w:r w:rsidR="00EF3F0D" w:rsidRPr="00EF3F0D">
        <w:t>customers directly impacted by those constraints. The trial targets approximately 6,500 customers on four</w:t>
      </w:r>
      <w:r w:rsidR="00EF3F0D">
        <w:t xml:space="preserve"> </w:t>
      </w:r>
      <w:r w:rsidR="00EF3F0D" w:rsidRPr="00EF3F0D">
        <w:t>Bulleen feeders that were close to capacity as well as about 4,000 customers in areas of the network which</w:t>
      </w:r>
      <w:r w:rsidR="00EF3F0D">
        <w:t xml:space="preserve"> </w:t>
      </w:r>
      <w:r w:rsidR="00EF3F0D" w:rsidRPr="00EF3F0D">
        <w:t>are likely to suffer an interruption this summer.</w:t>
      </w:r>
    </w:p>
    <w:p w:rsidR="00C01212" w:rsidRPr="00C01212" w:rsidRDefault="00C01212" w:rsidP="00EF3F0D">
      <w:pPr>
        <w:rPr>
          <w:rStyle w:val="Strong"/>
        </w:rPr>
      </w:pPr>
      <w:r w:rsidRPr="00C01212">
        <w:rPr>
          <w:rStyle w:val="Strong"/>
        </w:rPr>
        <w:t xml:space="preserve">Criteria #3 </w:t>
      </w:r>
      <w:r w:rsidR="00EF3F0D" w:rsidRPr="00EF3F0D">
        <w:t>Since UE’s network is predominantly</w:t>
      </w:r>
      <w:r w:rsidR="00EF3F0D">
        <w:t xml:space="preserve"> metropolitan</w:t>
      </w:r>
      <w:r w:rsidR="00EF3F0D" w:rsidRPr="00EF3F0D">
        <w:t xml:space="preserve"> demand management such as demonstrated by this trial is a crucial option to be explored.</w:t>
      </w:r>
    </w:p>
    <w:p w:rsidR="00C01212" w:rsidRPr="00C01212" w:rsidRDefault="00C01212" w:rsidP="00C01212">
      <w:pPr>
        <w:rPr>
          <w:rStyle w:val="Strong"/>
        </w:rPr>
      </w:pPr>
      <w:r w:rsidRPr="00C01212">
        <w:rPr>
          <w:rStyle w:val="Strong"/>
        </w:rPr>
        <w:t xml:space="preserve">Criteria #4 </w:t>
      </w:r>
      <w:r w:rsidRPr="00C01212">
        <w:t>Non-tariff based.</w:t>
      </w:r>
    </w:p>
    <w:p w:rsidR="00B2337E" w:rsidRPr="00D61E77" w:rsidRDefault="00C01212" w:rsidP="00B2337E">
      <w:pPr>
        <w:rPr>
          <w:rStyle w:val="AERbody"/>
        </w:rPr>
      </w:pPr>
      <w:r w:rsidRPr="00C01212">
        <w:rPr>
          <w:rStyle w:val="Strong"/>
        </w:rPr>
        <w:t xml:space="preserve">Criteria #5 </w:t>
      </w:r>
      <w:r w:rsidR="00B2337E">
        <w:rPr>
          <w:rStyle w:val="AERbody"/>
        </w:rPr>
        <w:t xml:space="preserve">This criteria is met because expenditure for this project </w:t>
      </w:r>
      <w:r w:rsidR="00B2337E" w:rsidRPr="00CD2645">
        <w:t xml:space="preserve">cannot be recovered </w:t>
      </w:r>
      <w:r w:rsidR="00B2337E">
        <w:t>through</w:t>
      </w:r>
      <w:r w:rsidR="00B2337E" w:rsidRPr="00CD2645">
        <w:t xml:space="preserve"> any other jurisdictional, state or Australian Government scheme</w:t>
      </w:r>
      <w:r w:rsidR="00B2337E">
        <w:t xml:space="preserve">, nor </w:t>
      </w:r>
      <w:r w:rsidR="00B2337E" w:rsidRPr="00CD2645">
        <w:t>through any other part of the distribution determination for the current regulatory control period.</w:t>
      </w:r>
    </w:p>
    <w:p w:rsidR="00C01212" w:rsidRPr="00C01212" w:rsidRDefault="00C01212" w:rsidP="00C01212">
      <w:r w:rsidRPr="00C01212">
        <w:rPr>
          <w:rStyle w:val="Strong"/>
        </w:rPr>
        <w:t xml:space="preserve">Criteria #6 </w:t>
      </w:r>
      <w:r w:rsidRPr="00C01212">
        <w:rPr>
          <w:rStyle w:val="AERbody"/>
        </w:rPr>
        <w:t>Opex</w:t>
      </w:r>
    </w:p>
    <w:p w:rsidR="00997945" w:rsidRDefault="00997945">
      <w:pPr>
        <w:spacing w:line="240" w:lineRule="auto"/>
      </w:pPr>
      <w:r>
        <w:br w:type="page"/>
      </w:r>
    </w:p>
    <w:p w:rsidR="00F9421A" w:rsidRDefault="0060365C" w:rsidP="00F9421A">
      <w:pPr>
        <w:pStyle w:val="Heading1"/>
      </w:pPr>
      <w:r>
        <w:lastRenderedPageBreak/>
        <w:t xml:space="preserve"> </w:t>
      </w:r>
      <w:bookmarkStart w:id="612" w:name="_Toc445802009"/>
      <w:r w:rsidR="00F9421A" w:rsidRPr="003F20E1">
        <w:t>TasNetworks</w:t>
      </w:r>
      <w:bookmarkEnd w:id="612"/>
    </w:p>
    <w:p w:rsidR="00FD1507" w:rsidRDefault="00FD1507" w:rsidP="00FD1507">
      <w:r>
        <w:t>TasNetworks</w:t>
      </w:r>
      <w:r w:rsidRPr="00D61E77">
        <w:t xml:space="preserve"> is claiming </w:t>
      </w:r>
      <w:r>
        <w:t xml:space="preserve">2014 </w:t>
      </w:r>
      <w:r w:rsidRPr="00D61E77">
        <w:t xml:space="preserve">DMIA expenditure for </w:t>
      </w:r>
      <w:r>
        <w:t>three demand management projects</w:t>
      </w:r>
      <w:r w:rsidRPr="00D61E77">
        <w:t xml:space="preserve"> to</w:t>
      </w:r>
      <w:r>
        <w:t>talling</w:t>
      </w:r>
      <w:r w:rsidRPr="00D61E77">
        <w:t xml:space="preserve"> </w:t>
      </w:r>
      <w:r w:rsidRPr="00E80E6A">
        <w:t>$</w:t>
      </w:r>
      <w:r w:rsidRPr="00A30F8F">
        <w:t xml:space="preserve"> </w:t>
      </w:r>
      <w:r>
        <w:rPr>
          <w:lang w:eastAsia="en-AU"/>
        </w:rPr>
        <w:t>49</w:t>
      </w:r>
      <w:r>
        <w:t xml:space="preserve"> </w:t>
      </w:r>
      <w:r w:rsidRPr="00FD1507">
        <w:rPr>
          <w:lang w:eastAsia="en-AU"/>
        </w:rPr>
        <w:t>717</w:t>
      </w:r>
      <w:r w:rsidRPr="00D61E77">
        <w:t xml:space="preserve">. </w:t>
      </w:r>
      <w:r>
        <w:t xml:space="preserve">We approve this expenditure as it meets the DMIA criteria. The following section sets out our assessment of the individual projects. For more detailed information about these projects, please refer to </w:t>
      </w:r>
      <w:r w:rsidRPr="00FD1507">
        <w:t>TasNetworks</w:t>
      </w:r>
      <w:r>
        <w:t>' 2014 DMIA report.</w:t>
      </w:r>
    </w:p>
    <w:p w:rsidR="00FD1507" w:rsidRPr="00FD1507" w:rsidRDefault="00FD1507" w:rsidP="00FD1507">
      <w:pPr>
        <w:pStyle w:val="Heading2"/>
      </w:pPr>
      <w:bookmarkStart w:id="613" w:name="_Toc443045422"/>
      <w:bookmarkStart w:id="614" w:name="_Toc445802010"/>
      <w:r w:rsidRPr="00FD1507">
        <w:t>Direct load control of uncontrolled hot water heating</w:t>
      </w:r>
      <w:bookmarkEnd w:id="613"/>
      <w:bookmarkEnd w:id="614"/>
    </w:p>
    <w:p w:rsidR="00FD1507" w:rsidRPr="00FD1507" w:rsidRDefault="00FD1507" w:rsidP="00FD1507">
      <w:pPr>
        <w:pStyle w:val="Heading3"/>
      </w:pPr>
      <w:bookmarkStart w:id="615" w:name="_Toc409702266"/>
      <w:bookmarkStart w:id="616" w:name="_Toc409778985"/>
      <w:bookmarkStart w:id="617" w:name="_Toc411513813"/>
      <w:bookmarkStart w:id="618" w:name="_Toc443045423"/>
      <w:bookmarkStart w:id="619" w:name="_Toc445802011"/>
      <w:r w:rsidRPr="00FD1507">
        <w:t>Project overview</w:t>
      </w:r>
      <w:bookmarkEnd w:id="615"/>
      <w:bookmarkEnd w:id="616"/>
      <w:bookmarkEnd w:id="617"/>
      <w:bookmarkEnd w:id="618"/>
      <w:bookmarkEnd w:id="619"/>
    </w:p>
    <w:p w:rsidR="00FD1507" w:rsidRPr="00FD1507" w:rsidRDefault="00FD1507" w:rsidP="00FD1507">
      <w:pPr>
        <w:numPr>
          <w:ilvl w:val="0"/>
          <w:numId w:val="24"/>
        </w:numPr>
      </w:pPr>
      <w:r w:rsidRPr="00FD1507">
        <w:t>The purpose of this project is the development of a Hot Water Demand Evaluation Tool in order to provide the capability to accurately model and predict the extent of demand reduction (both by location and demographics) that may be achieved through the control of residential ele</w:t>
      </w:r>
      <w:r>
        <w:t>ctric storage hot water systems</w:t>
      </w:r>
      <w:r w:rsidRPr="00FD1507">
        <w:t xml:space="preserve">. TasNetworks </w:t>
      </w:r>
      <w:r>
        <w:t>claimed DMIA expenditure in 2013–14 of $20 000</w:t>
      </w:r>
      <w:r w:rsidRPr="00FD1507">
        <w:t xml:space="preserve"> for this project.</w:t>
      </w:r>
    </w:p>
    <w:p w:rsidR="00FD1507" w:rsidRPr="00FD1507" w:rsidRDefault="00FD1507" w:rsidP="00FD1507">
      <w:pPr>
        <w:pStyle w:val="Heading3"/>
      </w:pPr>
      <w:bookmarkStart w:id="620" w:name="_Toc409702267"/>
      <w:bookmarkStart w:id="621" w:name="_Toc409778986"/>
      <w:bookmarkStart w:id="622" w:name="_Toc411513814"/>
      <w:bookmarkStart w:id="623" w:name="_Toc443045424"/>
      <w:bookmarkStart w:id="624" w:name="_Toc445802012"/>
      <w:r w:rsidRPr="00FD1507">
        <w:t>Assessment against DMIA criteria</w:t>
      </w:r>
      <w:bookmarkEnd w:id="620"/>
      <w:bookmarkEnd w:id="621"/>
      <w:bookmarkEnd w:id="622"/>
      <w:bookmarkEnd w:id="623"/>
      <w:bookmarkEnd w:id="624"/>
    </w:p>
    <w:p w:rsidR="00FD1507" w:rsidRPr="00FD1507" w:rsidRDefault="00FD1507" w:rsidP="00FD1507">
      <w:r w:rsidRPr="00FD1507">
        <w:rPr>
          <w:rStyle w:val="Strong"/>
        </w:rPr>
        <w:t xml:space="preserve">Criteria #1 </w:t>
      </w:r>
      <w:r w:rsidRPr="00FD1507">
        <w:t xml:space="preserve">This project meets this requirement as it is part of a wider initiative to help manage load issues due to domestic hot water heating which in turn will lower peak demand in Tasmania and thus, reduce the need for network augmentation.  </w:t>
      </w:r>
    </w:p>
    <w:p w:rsidR="00FD1507" w:rsidRPr="00FD1507" w:rsidRDefault="00FD1507" w:rsidP="00FD1507">
      <w:r w:rsidRPr="00FD1507">
        <w:rPr>
          <w:rStyle w:val="Strong"/>
        </w:rPr>
        <w:t xml:space="preserve">Criteria #2 </w:t>
      </w:r>
      <w:r w:rsidRPr="00FD1507">
        <w:t xml:space="preserve">This is a peak demand management project. </w:t>
      </w:r>
    </w:p>
    <w:p w:rsidR="00FD1507" w:rsidRPr="00FD1507" w:rsidRDefault="00FD1507" w:rsidP="00FD1507">
      <w:r w:rsidRPr="00FD1507">
        <w:rPr>
          <w:rStyle w:val="Strong"/>
        </w:rPr>
        <w:t xml:space="preserve">Criteria #3 </w:t>
      </w:r>
      <w:r w:rsidRPr="00FD1507">
        <w:t>This project satisfies this condition as it explores a potentially efficient demand management mechanism (reducing the impact of hot water systems at times of peak demand through load control).</w:t>
      </w:r>
    </w:p>
    <w:p w:rsidR="00FD1507" w:rsidRPr="00FD1507" w:rsidRDefault="00FD1507" w:rsidP="00FD1507">
      <w:pPr>
        <w:rPr>
          <w:rStyle w:val="AERbody"/>
        </w:rPr>
      </w:pPr>
      <w:r w:rsidRPr="00FD1507">
        <w:rPr>
          <w:rStyle w:val="Strong"/>
        </w:rPr>
        <w:t xml:space="preserve">Criteria #4 </w:t>
      </w:r>
      <w:r w:rsidRPr="00FD1507">
        <w:rPr>
          <w:rStyle w:val="AERbody"/>
        </w:rPr>
        <w:t>Non-tariff based</w:t>
      </w:r>
    </w:p>
    <w:p w:rsidR="00FD1507" w:rsidRPr="00FD1507" w:rsidRDefault="00FD1507" w:rsidP="00FD1507">
      <w:pPr>
        <w:rPr>
          <w:rStyle w:val="AERbody"/>
        </w:rPr>
      </w:pPr>
      <w:r w:rsidRPr="00FD1507">
        <w:rPr>
          <w:rStyle w:val="Strong"/>
        </w:rPr>
        <w:t xml:space="preserve">Criteria #5 </w:t>
      </w:r>
      <w:r w:rsidRPr="00FD1507">
        <w:rPr>
          <w:rStyle w:val="AERbody"/>
        </w:rPr>
        <w:t xml:space="preserve">This criterion is met because expenditure for this project </w:t>
      </w:r>
      <w:r w:rsidRPr="00FD1507">
        <w:t>cannot be recovered through any other jurisdictional, state or Australian Government scheme, nor through any other part of the distribution determination for the current regulatory control period.</w:t>
      </w:r>
    </w:p>
    <w:p w:rsidR="00FD1507" w:rsidRPr="00FD1507" w:rsidRDefault="00FD1507" w:rsidP="00FD1507">
      <w:pPr>
        <w:numPr>
          <w:ilvl w:val="0"/>
          <w:numId w:val="24"/>
        </w:numPr>
        <w:rPr>
          <w:rStyle w:val="AERbody"/>
        </w:rPr>
      </w:pPr>
      <w:r w:rsidRPr="00FD1507">
        <w:rPr>
          <w:rStyle w:val="Strong"/>
        </w:rPr>
        <w:t xml:space="preserve">Criteria #6 </w:t>
      </w:r>
      <w:r w:rsidRPr="00FD1507">
        <w:rPr>
          <w:rStyle w:val="AERbody"/>
        </w:rPr>
        <w:t>Opex</w:t>
      </w:r>
    </w:p>
    <w:p w:rsidR="00FD1507" w:rsidRPr="00FD1507" w:rsidRDefault="00D5613F" w:rsidP="00FD1507">
      <w:pPr>
        <w:pStyle w:val="Heading2"/>
      </w:pPr>
      <w:bookmarkStart w:id="625" w:name="_Toc443045425"/>
      <w:bookmarkStart w:id="626" w:name="_Toc445802013"/>
      <w:r w:rsidRPr="00D5613F">
        <w:t>Battery storage and embedded generation on Bruny Island</w:t>
      </w:r>
      <w:bookmarkEnd w:id="625"/>
      <w:bookmarkEnd w:id="626"/>
    </w:p>
    <w:p w:rsidR="00FD1507" w:rsidRPr="00FD1507" w:rsidRDefault="00FD1507" w:rsidP="00FD1507">
      <w:pPr>
        <w:pStyle w:val="Heading3"/>
      </w:pPr>
      <w:bookmarkStart w:id="627" w:name="_Toc409702269"/>
      <w:bookmarkStart w:id="628" w:name="_Toc409778988"/>
      <w:bookmarkStart w:id="629" w:name="_Toc411513816"/>
      <w:bookmarkStart w:id="630" w:name="_Toc443045426"/>
      <w:bookmarkStart w:id="631" w:name="_Toc445802014"/>
      <w:r w:rsidRPr="00FD1507">
        <w:t>Project overview</w:t>
      </w:r>
      <w:bookmarkEnd w:id="627"/>
      <w:bookmarkEnd w:id="628"/>
      <w:bookmarkEnd w:id="629"/>
      <w:bookmarkEnd w:id="630"/>
      <w:bookmarkEnd w:id="631"/>
    </w:p>
    <w:p w:rsidR="00FD1507" w:rsidRPr="00FD1507" w:rsidRDefault="00D5613F" w:rsidP="00FD1507">
      <w:pPr>
        <w:numPr>
          <w:ilvl w:val="0"/>
          <w:numId w:val="24"/>
        </w:numPr>
      </w:pPr>
      <w:r w:rsidRPr="00D5613F">
        <w:t xml:space="preserve">The purpose of this project was to research and model an integrated solution of load management, energy storage, static voltage control and backup diesel generation, to address a specific area of the distribution network (Bruny Island) that has limited </w:t>
      </w:r>
      <w:r w:rsidRPr="00D5613F">
        <w:lastRenderedPageBreak/>
        <w:t xml:space="preserve">capability to meet required service levels. The integrated solution provides capability to allow modelling the connection of renewable energy resources, such as wind and solar, to determine impacts on system performance. </w:t>
      </w:r>
      <w:r w:rsidR="00FD1507" w:rsidRPr="00FD1507">
        <w:t>TasNetworks clai</w:t>
      </w:r>
      <w:r>
        <w:t>med DMIA expenditure in 2013–14 of $2</w:t>
      </w:r>
      <w:r w:rsidR="00FD1507" w:rsidRPr="00FD1507">
        <w:t>0 000 for this project.</w:t>
      </w:r>
    </w:p>
    <w:p w:rsidR="00FD1507" w:rsidRPr="00FD1507" w:rsidRDefault="00FD1507" w:rsidP="00FD1507">
      <w:pPr>
        <w:pStyle w:val="Heading3"/>
      </w:pPr>
      <w:bookmarkStart w:id="632" w:name="_Toc409702270"/>
      <w:bookmarkStart w:id="633" w:name="_Toc409778989"/>
      <w:bookmarkStart w:id="634" w:name="_Toc411513817"/>
      <w:bookmarkStart w:id="635" w:name="_Toc443045427"/>
      <w:bookmarkStart w:id="636" w:name="_Toc445802015"/>
      <w:r w:rsidRPr="00FD1507">
        <w:t>Assessment against DMIA criteria</w:t>
      </w:r>
      <w:bookmarkEnd w:id="632"/>
      <w:bookmarkEnd w:id="633"/>
      <w:bookmarkEnd w:id="634"/>
      <w:bookmarkEnd w:id="635"/>
      <w:bookmarkEnd w:id="636"/>
    </w:p>
    <w:p w:rsidR="00FD1507" w:rsidRPr="00FD1507" w:rsidRDefault="00FD1507" w:rsidP="00FD1507">
      <w:r w:rsidRPr="00FD1507">
        <w:rPr>
          <w:rStyle w:val="Strong"/>
        </w:rPr>
        <w:t xml:space="preserve">Criteria #1 </w:t>
      </w:r>
      <w:r w:rsidRPr="00FD1507">
        <w:t xml:space="preserve">This project meets the criteria because it seeks to better integrate non-network solutions to help address capacity constraints in the distribution network (rather than relying on network augmentation).  </w:t>
      </w:r>
    </w:p>
    <w:p w:rsidR="00FD1507" w:rsidRPr="00FD1507" w:rsidRDefault="00FD1507" w:rsidP="00FD1507">
      <w:r w:rsidRPr="00FD1507">
        <w:rPr>
          <w:rStyle w:val="Strong"/>
        </w:rPr>
        <w:t xml:space="preserve">Criteria #2 </w:t>
      </w:r>
      <w:r w:rsidRPr="00FD1507">
        <w:t xml:space="preserve">This is a peak demand management project. </w:t>
      </w:r>
    </w:p>
    <w:p w:rsidR="00FD1507" w:rsidRPr="00FD1507" w:rsidRDefault="00FD1507" w:rsidP="00FD1507">
      <w:r w:rsidRPr="00FD1507">
        <w:rPr>
          <w:rStyle w:val="Strong"/>
        </w:rPr>
        <w:t xml:space="preserve">Criteria #3 </w:t>
      </w:r>
      <w:r w:rsidRPr="00FD1507">
        <w:t xml:space="preserve">This project meets the criteria as it explores the use of newer technologies such as battery storage and embedded generation in order to manage network demand.  </w:t>
      </w:r>
    </w:p>
    <w:p w:rsidR="00FD1507" w:rsidRPr="00FD1507" w:rsidRDefault="00FD1507" w:rsidP="00FD1507">
      <w:pPr>
        <w:rPr>
          <w:rStyle w:val="AERbody"/>
        </w:rPr>
      </w:pPr>
      <w:r w:rsidRPr="00FD1507">
        <w:rPr>
          <w:rStyle w:val="Strong"/>
        </w:rPr>
        <w:t xml:space="preserve">Criteria #4 </w:t>
      </w:r>
      <w:r w:rsidRPr="00FD1507">
        <w:rPr>
          <w:rStyle w:val="AERbody"/>
        </w:rPr>
        <w:t>Non-tariff based</w:t>
      </w:r>
    </w:p>
    <w:p w:rsidR="00FD1507" w:rsidRPr="00FD1507" w:rsidRDefault="00FD1507" w:rsidP="00FD1507">
      <w:pPr>
        <w:rPr>
          <w:rStyle w:val="AERbody"/>
        </w:rPr>
      </w:pPr>
      <w:r w:rsidRPr="00FD1507">
        <w:rPr>
          <w:rStyle w:val="Strong"/>
        </w:rPr>
        <w:t xml:space="preserve">Criteria #5 </w:t>
      </w:r>
      <w:r w:rsidRPr="00FD1507">
        <w:rPr>
          <w:rStyle w:val="AERbody"/>
        </w:rPr>
        <w:t xml:space="preserve">This criterion is met because expenditure for this project </w:t>
      </w:r>
      <w:r w:rsidRPr="00FD1507">
        <w:t>cannot be recovered through any other jurisdictional, state or Australian Government scheme, nor through any other part of the distribution determination for the current regulatory control period.</w:t>
      </w:r>
    </w:p>
    <w:p w:rsidR="00FD1507" w:rsidRPr="00FD1507" w:rsidRDefault="00FD1507" w:rsidP="00FD1507">
      <w:pPr>
        <w:numPr>
          <w:ilvl w:val="0"/>
          <w:numId w:val="24"/>
        </w:numPr>
        <w:rPr>
          <w:rStyle w:val="Strong"/>
        </w:rPr>
      </w:pPr>
      <w:r w:rsidRPr="00FD1507">
        <w:rPr>
          <w:rStyle w:val="Strong"/>
        </w:rPr>
        <w:t xml:space="preserve">Criteria #6 </w:t>
      </w:r>
      <w:r w:rsidRPr="00FD1507">
        <w:rPr>
          <w:rStyle w:val="AERbody"/>
        </w:rPr>
        <w:t>Opex</w:t>
      </w:r>
    </w:p>
    <w:p w:rsidR="00FD1507" w:rsidRPr="00FD1507" w:rsidRDefault="00D5613F" w:rsidP="00FD1507">
      <w:pPr>
        <w:pStyle w:val="Heading2"/>
      </w:pPr>
      <w:bookmarkStart w:id="637" w:name="_Toc443045428"/>
      <w:bookmarkStart w:id="638" w:name="_Toc445802016"/>
      <w:r w:rsidRPr="00D5613F">
        <w:t>Commercial and industrial peak demand reduction</w:t>
      </w:r>
      <w:bookmarkEnd w:id="637"/>
      <w:bookmarkEnd w:id="638"/>
    </w:p>
    <w:p w:rsidR="00FD1507" w:rsidRPr="00FD1507" w:rsidRDefault="00FD1507" w:rsidP="00FD1507">
      <w:pPr>
        <w:pStyle w:val="Heading3"/>
      </w:pPr>
      <w:bookmarkStart w:id="639" w:name="_Toc409702272"/>
      <w:bookmarkStart w:id="640" w:name="_Toc409778991"/>
      <w:bookmarkStart w:id="641" w:name="_Toc411513819"/>
      <w:bookmarkStart w:id="642" w:name="_Toc443045429"/>
      <w:bookmarkStart w:id="643" w:name="_Toc445802017"/>
      <w:r w:rsidRPr="00FD1507">
        <w:t>Project overview</w:t>
      </w:r>
      <w:bookmarkEnd w:id="639"/>
      <w:bookmarkEnd w:id="640"/>
      <w:bookmarkEnd w:id="641"/>
      <w:bookmarkEnd w:id="642"/>
      <w:bookmarkEnd w:id="643"/>
    </w:p>
    <w:p w:rsidR="00FD1507" w:rsidRPr="00FD1507" w:rsidRDefault="00D5613F" w:rsidP="00FD1507">
      <w:pPr>
        <w:numPr>
          <w:ilvl w:val="0"/>
          <w:numId w:val="24"/>
        </w:numPr>
      </w:pPr>
      <w:r w:rsidRPr="00D5613F">
        <w:t xml:space="preserve">This project entails the execution of a state-wide Commercial and Industrial (C&amp;I) load survey to identify the characteristics of the principal C&amp;I customers (and customer groups) connected to the distribution network. The survey will also identify the demand management potential which may be realised by C&amp;I customers. This survey will be used to determine the ultimate scope of the C&amp;I demand management program and the benefits which could be realised from the program. </w:t>
      </w:r>
      <w:r w:rsidR="00FD1507" w:rsidRPr="00FD1507">
        <w:t>TasNetworks claimed DMIA expenditur</w:t>
      </w:r>
      <w:r>
        <w:t>e in 2013–14 of $9 717</w:t>
      </w:r>
      <w:r w:rsidR="00FD1507" w:rsidRPr="00FD1507">
        <w:t xml:space="preserve"> for this project.</w:t>
      </w:r>
    </w:p>
    <w:p w:rsidR="00FD1507" w:rsidRPr="00FD1507" w:rsidRDefault="00FD1507" w:rsidP="00FD1507">
      <w:pPr>
        <w:pStyle w:val="Heading3"/>
      </w:pPr>
      <w:bookmarkStart w:id="644" w:name="_Toc409702273"/>
      <w:bookmarkStart w:id="645" w:name="_Toc409778992"/>
      <w:bookmarkStart w:id="646" w:name="_Toc411513820"/>
      <w:bookmarkStart w:id="647" w:name="_Toc443045430"/>
      <w:bookmarkStart w:id="648" w:name="_Toc445802018"/>
      <w:r w:rsidRPr="00FD1507">
        <w:t>Assessment against DMIA criteria</w:t>
      </w:r>
      <w:bookmarkEnd w:id="644"/>
      <w:bookmarkEnd w:id="645"/>
      <w:bookmarkEnd w:id="646"/>
      <w:bookmarkEnd w:id="647"/>
      <w:bookmarkEnd w:id="648"/>
    </w:p>
    <w:p w:rsidR="00FD1507" w:rsidRPr="00FD1507" w:rsidRDefault="00FD1507" w:rsidP="00FD1507">
      <w:r w:rsidRPr="00FD1507">
        <w:rPr>
          <w:rStyle w:val="Strong"/>
        </w:rPr>
        <w:t xml:space="preserve">Criteria #1 </w:t>
      </w:r>
      <w:r w:rsidRPr="00FD1507">
        <w:t xml:space="preserve">This project meets this requirement because it investigates the scope of reducing peak demand for standard control services from commercial and industrial customers.  </w:t>
      </w:r>
    </w:p>
    <w:p w:rsidR="00FD1507" w:rsidRPr="00FD1507" w:rsidRDefault="00FD1507" w:rsidP="00FD1507">
      <w:r w:rsidRPr="00FD1507">
        <w:rPr>
          <w:rStyle w:val="Strong"/>
        </w:rPr>
        <w:t xml:space="preserve">Criteria #2 </w:t>
      </w:r>
      <w:r w:rsidRPr="00FD1507">
        <w:t xml:space="preserve">This is a peak demand management project. </w:t>
      </w:r>
    </w:p>
    <w:p w:rsidR="00FD1507" w:rsidRPr="00FD1507" w:rsidRDefault="00FD1507" w:rsidP="00FD1507">
      <w:r w:rsidRPr="00FD1507">
        <w:rPr>
          <w:rStyle w:val="Strong"/>
        </w:rPr>
        <w:t xml:space="preserve">Criteria #3 </w:t>
      </w:r>
      <w:r w:rsidRPr="00FD1507">
        <w:t xml:space="preserve">This project meets this requirement as it is designed to build demand management capability and capacity through understanding the scope for peak demand reduction of commercial and industrial customers. </w:t>
      </w:r>
    </w:p>
    <w:p w:rsidR="00FD1507" w:rsidRPr="00FD1507" w:rsidRDefault="00FD1507" w:rsidP="00FD1507">
      <w:pPr>
        <w:rPr>
          <w:rStyle w:val="AERbody"/>
        </w:rPr>
      </w:pPr>
      <w:r w:rsidRPr="00FD1507">
        <w:rPr>
          <w:rStyle w:val="Strong"/>
        </w:rPr>
        <w:lastRenderedPageBreak/>
        <w:t xml:space="preserve">Criteria #4 </w:t>
      </w:r>
      <w:r w:rsidRPr="00FD1507">
        <w:rPr>
          <w:rStyle w:val="AERbody"/>
        </w:rPr>
        <w:t>Non-tariff based</w:t>
      </w:r>
    </w:p>
    <w:p w:rsidR="00FD1507" w:rsidRPr="00FD1507" w:rsidRDefault="00FD1507" w:rsidP="00FD1507">
      <w:r w:rsidRPr="00FD1507">
        <w:rPr>
          <w:rStyle w:val="Strong"/>
        </w:rPr>
        <w:t xml:space="preserve">Criteria #5 </w:t>
      </w:r>
      <w:r w:rsidRPr="00FD1507">
        <w:rPr>
          <w:rStyle w:val="AERbody"/>
        </w:rPr>
        <w:t xml:space="preserve">This criterion is met because expenditure for this project </w:t>
      </w:r>
      <w:r w:rsidRPr="00FD1507">
        <w:t>cannot be recovered through any other jurisdictional, state or Australian Government scheme, nor through any other part of the distribution determination for the current regulatory control period.</w:t>
      </w:r>
    </w:p>
    <w:p w:rsidR="00FD1507" w:rsidRPr="00FD1507" w:rsidRDefault="00FD1507" w:rsidP="00FD1507">
      <w:pPr>
        <w:rPr>
          <w:rStyle w:val="AERbody"/>
        </w:rPr>
      </w:pPr>
      <w:r w:rsidRPr="00FD1507">
        <w:rPr>
          <w:rStyle w:val="Strong"/>
        </w:rPr>
        <w:t xml:space="preserve">Criteria #6 </w:t>
      </w:r>
      <w:r w:rsidRPr="00FD1507">
        <w:rPr>
          <w:rStyle w:val="AERbody"/>
        </w:rPr>
        <w:t>Opex</w:t>
      </w:r>
    </w:p>
    <w:p w:rsidR="00FD1507" w:rsidRDefault="00FD1507" w:rsidP="00FD1507"/>
    <w:p w:rsidR="00CB0279" w:rsidRPr="00290C63" w:rsidRDefault="00CB0279" w:rsidP="000A2B46"/>
    <w:sectPr w:rsidR="00CB0279" w:rsidRPr="00290C63" w:rsidSect="0091178C">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0" w:gutter="0"/>
      <w:pgNumType w:start="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D1E" w:rsidRPr="00290C63" w:rsidRDefault="00045D1E" w:rsidP="00290C63">
      <w:r>
        <w:separator/>
      </w:r>
    </w:p>
    <w:p w:rsidR="00045D1E" w:rsidRDefault="00045D1E"/>
  </w:endnote>
  <w:endnote w:type="continuationSeparator" w:id="0">
    <w:p w:rsidR="00045D1E" w:rsidRPr="00290C63" w:rsidRDefault="00045D1E" w:rsidP="00290C63">
      <w:r>
        <w:continuationSeparator/>
      </w:r>
    </w:p>
    <w:p w:rsidR="00045D1E" w:rsidRDefault="00045D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D1E" w:rsidRPr="00290C63" w:rsidRDefault="00045D1E"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5D1E" w:rsidRDefault="00045D1E"/>
  <w:p w:rsidR="00045D1E" w:rsidRDefault="00045D1E"/>
  <w:p w:rsidR="00045D1E" w:rsidRDefault="00045D1E"/>
  <w:p w:rsidR="00045D1E" w:rsidRDefault="00045D1E"/>
  <w:p w:rsidR="00045D1E" w:rsidRDefault="00045D1E"/>
  <w:p w:rsidR="00045D1E" w:rsidRDefault="00045D1E"/>
  <w:p w:rsidR="00045D1E" w:rsidRDefault="00045D1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D1E" w:rsidRDefault="00045D1E" w:rsidP="00290C63">
    <w:pPr>
      <w:pStyle w:val="Footer"/>
    </w:pPr>
  </w:p>
  <w:p w:rsidR="00045D1E" w:rsidRPr="00290C63" w:rsidRDefault="00045D1E" w:rsidP="00290C63">
    <w:pPr>
      <w:pStyle w:val="Footer"/>
    </w:pPr>
    <w:r>
      <w:t xml:space="preserve">Demand Management Innovation Allowance Assessment 2013-14, 2014-15 and 2014, and carryover amounts adjustments. </w:t>
    </w:r>
    <w:r>
      <w:tab/>
    </w:r>
    <w:r>
      <w:tab/>
    </w:r>
    <w:r>
      <w:fldChar w:fldCharType="begin"/>
    </w:r>
    <w:r>
      <w:instrText xml:space="preserve"> PAGE  \* Arabic  \* MERGEFORMAT </w:instrText>
    </w:r>
    <w:r>
      <w:fldChar w:fldCharType="separate"/>
    </w:r>
    <w:r w:rsidR="00BF480E">
      <w:rPr>
        <w:noProof/>
      </w:rPr>
      <w:t>66</w:t>
    </w:r>
    <w:r>
      <w:fldChar w:fldCharType="end"/>
    </w:r>
  </w:p>
  <w:p w:rsidR="00045D1E" w:rsidRDefault="00045D1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D1E" w:rsidRPr="00290C63" w:rsidRDefault="00045D1E"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5D1E" w:rsidRDefault="00045D1E">
    <w:pPr>
      <w:pStyle w:val="Footer"/>
    </w:pPr>
  </w:p>
  <w:p w:rsidR="00045D1E" w:rsidRDefault="00045D1E"/>
  <w:p w:rsidR="00045D1E" w:rsidRDefault="00045D1E"/>
  <w:p w:rsidR="00045D1E" w:rsidRDefault="00045D1E"/>
  <w:p w:rsidR="00045D1E" w:rsidRDefault="00045D1E"/>
  <w:p w:rsidR="00045D1E" w:rsidRDefault="00045D1E"/>
  <w:p w:rsidR="00045D1E" w:rsidRDefault="00045D1E"/>
  <w:p w:rsidR="00045D1E" w:rsidRDefault="00045D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D1E" w:rsidRPr="00290C63" w:rsidRDefault="00045D1E" w:rsidP="00290C63">
      <w:r>
        <w:separator/>
      </w:r>
    </w:p>
    <w:p w:rsidR="00045D1E" w:rsidRDefault="00045D1E"/>
  </w:footnote>
  <w:footnote w:type="continuationSeparator" w:id="0">
    <w:p w:rsidR="00045D1E" w:rsidRPr="00290C63" w:rsidRDefault="00045D1E" w:rsidP="00290C63">
      <w:r>
        <w:continuationSeparator/>
      </w:r>
    </w:p>
    <w:p w:rsidR="00045D1E" w:rsidRDefault="00045D1E"/>
  </w:footnote>
  <w:footnote w:id="1">
    <w:p w:rsidR="00045D1E" w:rsidRDefault="00045D1E" w:rsidP="0004110B">
      <w:pPr>
        <w:pStyle w:val="FootnoteText"/>
      </w:pPr>
      <w:r>
        <w:rPr>
          <w:rStyle w:val="FootnoteReference"/>
        </w:rPr>
        <w:footnoteRef/>
      </w:r>
      <w:r>
        <w:t xml:space="preserve">  </w:t>
      </w:r>
      <w:r w:rsidRPr="00347E8F">
        <w:t>The DMIS reports from each of the DNSPs are available on our website at</w:t>
      </w:r>
      <w:r>
        <w:t xml:space="preserve"> </w:t>
      </w:r>
      <w:hyperlink r:id="rId1" w:history="1">
        <w:r w:rsidRPr="00BE5B9B">
          <w:rPr>
            <w:rStyle w:val="Hyperlink"/>
            <w:color w:val="auto"/>
            <w:sz w:val="16"/>
            <w:u w:val="none"/>
          </w:rPr>
          <w:t>www.aer.gov.au</w:t>
        </w:r>
      </w:hyperlink>
      <w:r w:rsidRPr="00BE5B9B">
        <w:t>.</w:t>
      </w:r>
      <w:r>
        <w:t xml:space="preserve"> </w:t>
      </w:r>
    </w:p>
  </w:footnote>
  <w:footnote w:id="2">
    <w:p w:rsidR="00045D1E" w:rsidRDefault="00045D1E" w:rsidP="0004110B">
      <w:pPr>
        <w:pStyle w:val="FootnoteText"/>
        <w:tabs>
          <w:tab w:val="left" w:pos="142"/>
        </w:tabs>
        <w:ind w:left="142" w:hanging="142"/>
      </w:pPr>
      <w:r>
        <w:rPr>
          <w:rStyle w:val="FootnoteReference"/>
        </w:rPr>
        <w:footnoteRef/>
      </w:r>
      <w:r>
        <w:t xml:space="preserve"> </w:t>
      </w:r>
      <w:r>
        <w:tab/>
        <w:t>Non-Victorian DNSPs’ regulatory years align with financial years, whereas Victorian DNSPs regulatory years align with calendar years.</w:t>
      </w:r>
    </w:p>
  </w:footnote>
  <w:footnote w:id="3">
    <w:p w:rsidR="00045D1E" w:rsidRDefault="00045D1E">
      <w:pPr>
        <w:pStyle w:val="FootnoteText"/>
      </w:pPr>
      <w:r>
        <w:rPr>
          <w:rStyle w:val="FootnoteReference"/>
        </w:rPr>
        <w:footnoteRef/>
      </w:r>
      <w:r>
        <w:t xml:space="preserve"> </w:t>
      </w:r>
      <w:r>
        <w:tab/>
        <w:t xml:space="preserve">AER, </w:t>
      </w:r>
      <w:r w:rsidRPr="00C45CBC">
        <w:rPr>
          <w:rStyle w:val="AERtextitalic"/>
        </w:rPr>
        <w:t>Demand management incentive scheme for the ACT and NSW 2009 distribution determinations: Demand management innovation allowance scheme</w:t>
      </w:r>
      <w:r>
        <w:t>, November 2008, p. 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80E" w:rsidRDefault="00BF48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80E" w:rsidRDefault="00BF48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80E" w:rsidRDefault="00BF48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70B2CAD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EF67FF"/>
    <w:multiLevelType w:val="multilevel"/>
    <w:tmpl w:val="E1F4D8C6"/>
    <w:lvl w:ilvl="0">
      <w:start w:val="1"/>
      <w:numFmt w:val="bullet"/>
      <w:lvlText w:val=""/>
      <w:lvlJc w:val="left"/>
      <w:pPr>
        <w:tabs>
          <w:tab w:val="num" w:pos="1071"/>
        </w:tabs>
        <w:ind w:left="1071" w:hanging="357"/>
      </w:pPr>
      <w:rPr>
        <w:rFonts w:ascii="Wingdings" w:hAnsi="Wingdings" w:hint="default"/>
        <w:sz w:val="28"/>
      </w:rPr>
    </w:lvl>
    <w:lvl w:ilvl="1">
      <w:start w:val="1"/>
      <w:numFmt w:val="bullet"/>
      <w:lvlText w:val=""/>
      <w:lvlJc w:val="left"/>
      <w:pPr>
        <w:tabs>
          <w:tab w:val="num" w:pos="2154"/>
        </w:tabs>
        <w:ind w:left="2154" w:hanging="360"/>
      </w:pPr>
      <w:rPr>
        <w:rFonts w:ascii="Wingdings" w:hAnsi="Wingdings" w:hint="default"/>
      </w:rPr>
    </w:lvl>
    <w:lvl w:ilvl="2">
      <w:start w:val="1"/>
      <w:numFmt w:val="bullet"/>
      <w:lvlText w:val="—"/>
      <w:lvlJc w:val="left"/>
      <w:pPr>
        <w:tabs>
          <w:tab w:val="num" w:pos="2874"/>
        </w:tabs>
        <w:ind w:left="2874" w:hanging="360"/>
      </w:pPr>
      <w:rPr>
        <w:rFonts w:ascii="Times New Roman" w:hAnsi="Times New Roman" w:cs="Times New Roman"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hint="default"/>
      </w:rPr>
    </w:lvl>
  </w:abstractNum>
  <w:abstractNum w:abstractNumId="2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6"/>
  </w:num>
  <w:num w:numId="29">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8hbAvs/+lEqEZhc5D4KhXV8+SCqw28Ukn4Xzc/SIS5s=" w:saltValue="cbZmz4PUDYRXxc6QHIX7LQ==" w:algorithmName="SHA-256"/>
  <w:defaultTabStop w:val="34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AER\DMIA Assessment 2013-14, 2014-15 and 2014\Web uploads\AER Decision - Demand management innovation allowance assessment report 2013-14, 2014-15 and 2014, and carryover adjustments.docx"/>
  </w:docVars>
  <w:rsids>
    <w:rsidRoot w:val="00C74D59"/>
    <w:rsid w:val="00005462"/>
    <w:rsid w:val="00014035"/>
    <w:rsid w:val="00021202"/>
    <w:rsid w:val="0002517F"/>
    <w:rsid w:val="0003349C"/>
    <w:rsid w:val="0003578C"/>
    <w:rsid w:val="0004110B"/>
    <w:rsid w:val="00045109"/>
    <w:rsid w:val="00045D1E"/>
    <w:rsid w:val="00051D7C"/>
    <w:rsid w:val="0005256F"/>
    <w:rsid w:val="00063247"/>
    <w:rsid w:val="00070F9F"/>
    <w:rsid w:val="0007137B"/>
    <w:rsid w:val="00072472"/>
    <w:rsid w:val="00072E05"/>
    <w:rsid w:val="000736F7"/>
    <w:rsid w:val="00077095"/>
    <w:rsid w:val="00077BA1"/>
    <w:rsid w:val="00082743"/>
    <w:rsid w:val="00085663"/>
    <w:rsid w:val="00085EBF"/>
    <w:rsid w:val="000924A9"/>
    <w:rsid w:val="00092DF4"/>
    <w:rsid w:val="0009590D"/>
    <w:rsid w:val="00096681"/>
    <w:rsid w:val="000A0070"/>
    <w:rsid w:val="000A2B46"/>
    <w:rsid w:val="000A554A"/>
    <w:rsid w:val="000A6C7B"/>
    <w:rsid w:val="000B0EE3"/>
    <w:rsid w:val="000B6815"/>
    <w:rsid w:val="000C417C"/>
    <w:rsid w:val="000D122C"/>
    <w:rsid w:val="000E1819"/>
    <w:rsid w:val="000E3EDB"/>
    <w:rsid w:val="000E4821"/>
    <w:rsid w:val="000E6C72"/>
    <w:rsid w:val="000F024E"/>
    <w:rsid w:val="00111EF3"/>
    <w:rsid w:val="00115EA6"/>
    <w:rsid w:val="00116EB2"/>
    <w:rsid w:val="00121D79"/>
    <w:rsid w:val="00121DEB"/>
    <w:rsid w:val="00124609"/>
    <w:rsid w:val="00126A4C"/>
    <w:rsid w:val="00143A58"/>
    <w:rsid w:val="0014573B"/>
    <w:rsid w:val="00146245"/>
    <w:rsid w:val="00153F81"/>
    <w:rsid w:val="001573E4"/>
    <w:rsid w:val="00160756"/>
    <w:rsid w:val="00161429"/>
    <w:rsid w:val="0017232E"/>
    <w:rsid w:val="00174102"/>
    <w:rsid w:val="00180157"/>
    <w:rsid w:val="00182BFC"/>
    <w:rsid w:val="00185CB9"/>
    <w:rsid w:val="00186F77"/>
    <w:rsid w:val="001910B4"/>
    <w:rsid w:val="001926A4"/>
    <w:rsid w:val="00192AD5"/>
    <w:rsid w:val="00192DE7"/>
    <w:rsid w:val="001A7061"/>
    <w:rsid w:val="001B45A0"/>
    <w:rsid w:val="001B4813"/>
    <w:rsid w:val="001B6989"/>
    <w:rsid w:val="001C0070"/>
    <w:rsid w:val="001C45BD"/>
    <w:rsid w:val="001C5299"/>
    <w:rsid w:val="001D055E"/>
    <w:rsid w:val="001D1770"/>
    <w:rsid w:val="001D19F3"/>
    <w:rsid w:val="001D6549"/>
    <w:rsid w:val="001E36DC"/>
    <w:rsid w:val="001F270F"/>
    <w:rsid w:val="001F492E"/>
    <w:rsid w:val="001F58B7"/>
    <w:rsid w:val="001F6DA3"/>
    <w:rsid w:val="002010BC"/>
    <w:rsid w:val="00202E03"/>
    <w:rsid w:val="0020492C"/>
    <w:rsid w:val="0021281C"/>
    <w:rsid w:val="00214524"/>
    <w:rsid w:val="00224DB9"/>
    <w:rsid w:val="002254CD"/>
    <w:rsid w:val="00227E94"/>
    <w:rsid w:val="002306B9"/>
    <w:rsid w:val="00231B01"/>
    <w:rsid w:val="0023309B"/>
    <w:rsid w:val="00233775"/>
    <w:rsid w:val="0023647C"/>
    <w:rsid w:val="00251745"/>
    <w:rsid w:val="00251875"/>
    <w:rsid w:val="00251DD2"/>
    <w:rsid w:val="002538D8"/>
    <w:rsid w:val="00253DB0"/>
    <w:rsid w:val="00255FBC"/>
    <w:rsid w:val="00261262"/>
    <w:rsid w:val="00263AC0"/>
    <w:rsid w:val="00264264"/>
    <w:rsid w:val="00264A30"/>
    <w:rsid w:val="00264F41"/>
    <w:rsid w:val="0026772D"/>
    <w:rsid w:val="00286874"/>
    <w:rsid w:val="002903DC"/>
    <w:rsid w:val="00290C63"/>
    <w:rsid w:val="00296B65"/>
    <w:rsid w:val="00296B8F"/>
    <w:rsid w:val="002A7DEF"/>
    <w:rsid w:val="002C124F"/>
    <w:rsid w:val="002D1097"/>
    <w:rsid w:val="002D146E"/>
    <w:rsid w:val="002D24AD"/>
    <w:rsid w:val="002D3C14"/>
    <w:rsid w:val="002D67CF"/>
    <w:rsid w:val="002F2F3A"/>
    <w:rsid w:val="002F446E"/>
    <w:rsid w:val="002F7986"/>
    <w:rsid w:val="00301B40"/>
    <w:rsid w:val="003029EE"/>
    <w:rsid w:val="00305CC8"/>
    <w:rsid w:val="00307CEF"/>
    <w:rsid w:val="00307F6D"/>
    <w:rsid w:val="00316D19"/>
    <w:rsid w:val="003177A2"/>
    <w:rsid w:val="003230E9"/>
    <w:rsid w:val="003271B5"/>
    <w:rsid w:val="00327A1E"/>
    <w:rsid w:val="003308B1"/>
    <w:rsid w:val="00331264"/>
    <w:rsid w:val="00332FA6"/>
    <w:rsid w:val="00334C8D"/>
    <w:rsid w:val="00342B01"/>
    <w:rsid w:val="00343A18"/>
    <w:rsid w:val="003518B3"/>
    <w:rsid w:val="00351BF8"/>
    <w:rsid w:val="0036735E"/>
    <w:rsid w:val="003728C3"/>
    <w:rsid w:val="00376B10"/>
    <w:rsid w:val="003804F6"/>
    <w:rsid w:val="003846F1"/>
    <w:rsid w:val="00386B4C"/>
    <w:rsid w:val="00391EE7"/>
    <w:rsid w:val="003926B7"/>
    <w:rsid w:val="00393043"/>
    <w:rsid w:val="003A0432"/>
    <w:rsid w:val="003A3C63"/>
    <w:rsid w:val="003B40CC"/>
    <w:rsid w:val="003B484F"/>
    <w:rsid w:val="003B72C3"/>
    <w:rsid w:val="003B7D1E"/>
    <w:rsid w:val="003C1FE9"/>
    <w:rsid w:val="003C248F"/>
    <w:rsid w:val="003D7F1F"/>
    <w:rsid w:val="003E5CC1"/>
    <w:rsid w:val="003E7298"/>
    <w:rsid w:val="003E774C"/>
    <w:rsid w:val="003F174D"/>
    <w:rsid w:val="003F20E1"/>
    <w:rsid w:val="00403368"/>
    <w:rsid w:val="004043DC"/>
    <w:rsid w:val="00404FC4"/>
    <w:rsid w:val="00405931"/>
    <w:rsid w:val="0040752C"/>
    <w:rsid w:val="004127B0"/>
    <w:rsid w:val="00414465"/>
    <w:rsid w:val="00430D83"/>
    <w:rsid w:val="00443928"/>
    <w:rsid w:val="00450A93"/>
    <w:rsid w:val="00455AE8"/>
    <w:rsid w:val="00456092"/>
    <w:rsid w:val="0045777E"/>
    <w:rsid w:val="00462048"/>
    <w:rsid w:val="00476A1E"/>
    <w:rsid w:val="00477F3A"/>
    <w:rsid w:val="00480B4B"/>
    <w:rsid w:val="00485DC4"/>
    <w:rsid w:val="00491FFE"/>
    <w:rsid w:val="004977DF"/>
    <w:rsid w:val="004A2D4E"/>
    <w:rsid w:val="004A43D1"/>
    <w:rsid w:val="004A47C4"/>
    <w:rsid w:val="004B4412"/>
    <w:rsid w:val="004B5872"/>
    <w:rsid w:val="004C17FF"/>
    <w:rsid w:val="004C348C"/>
    <w:rsid w:val="004C5DF5"/>
    <w:rsid w:val="004D472E"/>
    <w:rsid w:val="004D55BA"/>
    <w:rsid w:val="004E22EC"/>
    <w:rsid w:val="004E4E2E"/>
    <w:rsid w:val="004E4E39"/>
    <w:rsid w:val="004E51E0"/>
    <w:rsid w:val="004E6922"/>
    <w:rsid w:val="004F0779"/>
    <w:rsid w:val="0050249A"/>
    <w:rsid w:val="005121FF"/>
    <w:rsid w:val="0052073D"/>
    <w:rsid w:val="00520EE8"/>
    <w:rsid w:val="00523F69"/>
    <w:rsid w:val="00525C97"/>
    <w:rsid w:val="00530128"/>
    <w:rsid w:val="00532467"/>
    <w:rsid w:val="00533A56"/>
    <w:rsid w:val="00541E41"/>
    <w:rsid w:val="005428B8"/>
    <w:rsid w:val="00546380"/>
    <w:rsid w:val="0055068C"/>
    <w:rsid w:val="005512EE"/>
    <w:rsid w:val="00554DFB"/>
    <w:rsid w:val="00564A4D"/>
    <w:rsid w:val="00567BA5"/>
    <w:rsid w:val="0057039C"/>
    <w:rsid w:val="00571B35"/>
    <w:rsid w:val="00571D57"/>
    <w:rsid w:val="005725EA"/>
    <w:rsid w:val="0057464C"/>
    <w:rsid w:val="00576420"/>
    <w:rsid w:val="00577A09"/>
    <w:rsid w:val="005800C4"/>
    <w:rsid w:val="005829C2"/>
    <w:rsid w:val="00584D8F"/>
    <w:rsid w:val="00587270"/>
    <w:rsid w:val="005912E3"/>
    <w:rsid w:val="005A1EF6"/>
    <w:rsid w:val="005A207D"/>
    <w:rsid w:val="005A210A"/>
    <w:rsid w:val="005A404D"/>
    <w:rsid w:val="005A7678"/>
    <w:rsid w:val="005B0581"/>
    <w:rsid w:val="005B1E3C"/>
    <w:rsid w:val="005C26CC"/>
    <w:rsid w:val="005C3FBD"/>
    <w:rsid w:val="005D6301"/>
    <w:rsid w:val="005E36C2"/>
    <w:rsid w:val="005E3E1E"/>
    <w:rsid w:val="005F1843"/>
    <w:rsid w:val="00600FF1"/>
    <w:rsid w:val="0060365C"/>
    <w:rsid w:val="00615C6B"/>
    <w:rsid w:val="00621DCE"/>
    <w:rsid w:val="00622860"/>
    <w:rsid w:val="00624640"/>
    <w:rsid w:val="006261A8"/>
    <w:rsid w:val="00632D6D"/>
    <w:rsid w:val="0063669E"/>
    <w:rsid w:val="00642C3E"/>
    <w:rsid w:val="00647BA5"/>
    <w:rsid w:val="00647D3A"/>
    <w:rsid w:val="0066104A"/>
    <w:rsid w:val="00661ED5"/>
    <w:rsid w:val="00663DAD"/>
    <w:rsid w:val="00675B4F"/>
    <w:rsid w:val="00676679"/>
    <w:rsid w:val="00694F6F"/>
    <w:rsid w:val="006A612A"/>
    <w:rsid w:val="006B1A1A"/>
    <w:rsid w:val="006B4844"/>
    <w:rsid w:val="006B4CF9"/>
    <w:rsid w:val="006B7AC8"/>
    <w:rsid w:val="006C115C"/>
    <w:rsid w:val="006D1028"/>
    <w:rsid w:val="006D44D2"/>
    <w:rsid w:val="006D550F"/>
    <w:rsid w:val="006E4645"/>
    <w:rsid w:val="006E67E7"/>
    <w:rsid w:val="00701CAB"/>
    <w:rsid w:val="00707563"/>
    <w:rsid w:val="0072348C"/>
    <w:rsid w:val="0072366C"/>
    <w:rsid w:val="00724A37"/>
    <w:rsid w:val="007268C6"/>
    <w:rsid w:val="0073007D"/>
    <w:rsid w:val="007303C3"/>
    <w:rsid w:val="00741BB5"/>
    <w:rsid w:val="007428D6"/>
    <w:rsid w:val="00743223"/>
    <w:rsid w:val="00746E01"/>
    <w:rsid w:val="0075532E"/>
    <w:rsid w:val="007559F8"/>
    <w:rsid w:val="00757BDF"/>
    <w:rsid w:val="00760485"/>
    <w:rsid w:val="00763E5D"/>
    <w:rsid w:val="00764119"/>
    <w:rsid w:val="00765337"/>
    <w:rsid w:val="00767740"/>
    <w:rsid w:val="0077054C"/>
    <w:rsid w:val="00776C11"/>
    <w:rsid w:val="007771A2"/>
    <w:rsid w:val="00777EE6"/>
    <w:rsid w:val="007822FC"/>
    <w:rsid w:val="00782EEA"/>
    <w:rsid w:val="00783255"/>
    <w:rsid w:val="00786F06"/>
    <w:rsid w:val="007942A8"/>
    <w:rsid w:val="007B2C72"/>
    <w:rsid w:val="007B5E50"/>
    <w:rsid w:val="007B6E6E"/>
    <w:rsid w:val="007C1C53"/>
    <w:rsid w:val="007C344B"/>
    <w:rsid w:val="007C428D"/>
    <w:rsid w:val="007C48B6"/>
    <w:rsid w:val="007C74BB"/>
    <w:rsid w:val="007D085A"/>
    <w:rsid w:val="007D3989"/>
    <w:rsid w:val="007D7F39"/>
    <w:rsid w:val="007E0568"/>
    <w:rsid w:val="007E2C8F"/>
    <w:rsid w:val="007E4904"/>
    <w:rsid w:val="007E4969"/>
    <w:rsid w:val="007E4CB5"/>
    <w:rsid w:val="007F066B"/>
    <w:rsid w:val="008033C4"/>
    <w:rsid w:val="00806C88"/>
    <w:rsid w:val="0081034E"/>
    <w:rsid w:val="00815B7F"/>
    <w:rsid w:val="00815D8D"/>
    <w:rsid w:val="0082077C"/>
    <w:rsid w:val="00831377"/>
    <w:rsid w:val="008344F6"/>
    <w:rsid w:val="0083510F"/>
    <w:rsid w:val="00840AFA"/>
    <w:rsid w:val="00841E7B"/>
    <w:rsid w:val="0084465D"/>
    <w:rsid w:val="00845128"/>
    <w:rsid w:val="008507D4"/>
    <w:rsid w:val="00851209"/>
    <w:rsid w:val="008544D6"/>
    <w:rsid w:val="00857A12"/>
    <w:rsid w:val="0087004E"/>
    <w:rsid w:val="00873320"/>
    <w:rsid w:val="00876F2B"/>
    <w:rsid w:val="008837AC"/>
    <w:rsid w:val="0088440D"/>
    <w:rsid w:val="00884F60"/>
    <w:rsid w:val="00887916"/>
    <w:rsid w:val="008A127B"/>
    <w:rsid w:val="008A587D"/>
    <w:rsid w:val="008A70B5"/>
    <w:rsid w:val="008B35CD"/>
    <w:rsid w:val="008B5877"/>
    <w:rsid w:val="008B5FCC"/>
    <w:rsid w:val="008B68AF"/>
    <w:rsid w:val="008B74AE"/>
    <w:rsid w:val="008C5486"/>
    <w:rsid w:val="008D1584"/>
    <w:rsid w:val="008D1661"/>
    <w:rsid w:val="008D25A5"/>
    <w:rsid w:val="008D3140"/>
    <w:rsid w:val="008D3C3C"/>
    <w:rsid w:val="008D49FF"/>
    <w:rsid w:val="008D5EF1"/>
    <w:rsid w:val="008E0ED1"/>
    <w:rsid w:val="008E2AB0"/>
    <w:rsid w:val="008E7031"/>
    <w:rsid w:val="008E77DE"/>
    <w:rsid w:val="008E7E63"/>
    <w:rsid w:val="008F4FB0"/>
    <w:rsid w:val="00900E1B"/>
    <w:rsid w:val="00902AE1"/>
    <w:rsid w:val="00904F37"/>
    <w:rsid w:val="0091178C"/>
    <w:rsid w:val="00912F8B"/>
    <w:rsid w:val="00913481"/>
    <w:rsid w:val="00920A5C"/>
    <w:rsid w:val="009233EE"/>
    <w:rsid w:val="00923B82"/>
    <w:rsid w:val="00926CF2"/>
    <w:rsid w:val="00941F4A"/>
    <w:rsid w:val="00945425"/>
    <w:rsid w:val="009460AA"/>
    <w:rsid w:val="00951978"/>
    <w:rsid w:val="0095484A"/>
    <w:rsid w:val="00960789"/>
    <w:rsid w:val="009661DE"/>
    <w:rsid w:val="00972019"/>
    <w:rsid w:val="00974C64"/>
    <w:rsid w:val="009856B7"/>
    <w:rsid w:val="00985C86"/>
    <w:rsid w:val="00987A17"/>
    <w:rsid w:val="00993085"/>
    <w:rsid w:val="009950E9"/>
    <w:rsid w:val="00997945"/>
    <w:rsid w:val="009A37CF"/>
    <w:rsid w:val="009A4AC8"/>
    <w:rsid w:val="009A5FC3"/>
    <w:rsid w:val="009A6D01"/>
    <w:rsid w:val="009B0BB6"/>
    <w:rsid w:val="009B2E7C"/>
    <w:rsid w:val="009B52A1"/>
    <w:rsid w:val="009B74B0"/>
    <w:rsid w:val="009C754E"/>
    <w:rsid w:val="009C7BC2"/>
    <w:rsid w:val="009C7CB6"/>
    <w:rsid w:val="009D6B46"/>
    <w:rsid w:val="009E373C"/>
    <w:rsid w:val="009F2CD4"/>
    <w:rsid w:val="009F3EC0"/>
    <w:rsid w:val="009F4529"/>
    <w:rsid w:val="009F4940"/>
    <w:rsid w:val="009F5BA1"/>
    <w:rsid w:val="009F5E6E"/>
    <w:rsid w:val="009F7A17"/>
    <w:rsid w:val="00A0182E"/>
    <w:rsid w:val="00A02A88"/>
    <w:rsid w:val="00A0562E"/>
    <w:rsid w:val="00A0726D"/>
    <w:rsid w:val="00A079B6"/>
    <w:rsid w:val="00A12F3F"/>
    <w:rsid w:val="00A23780"/>
    <w:rsid w:val="00A30F01"/>
    <w:rsid w:val="00A30F8F"/>
    <w:rsid w:val="00A32FBB"/>
    <w:rsid w:val="00A338E0"/>
    <w:rsid w:val="00A37657"/>
    <w:rsid w:val="00A4478A"/>
    <w:rsid w:val="00A44852"/>
    <w:rsid w:val="00A547C3"/>
    <w:rsid w:val="00A5483A"/>
    <w:rsid w:val="00A57AA4"/>
    <w:rsid w:val="00A57D04"/>
    <w:rsid w:val="00A60A26"/>
    <w:rsid w:val="00A61598"/>
    <w:rsid w:val="00A64FCB"/>
    <w:rsid w:val="00A70F78"/>
    <w:rsid w:val="00A71A87"/>
    <w:rsid w:val="00A77E34"/>
    <w:rsid w:val="00A84A99"/>
    <w:rsid w:val="00A84CC1"/>
    <w:rsid w:val="00A84F46"/>
    <w:rsid w:val="00A86DC4"/>
    <w:rsid w:val="00A871F4"/>
    <w:rsid w:val="00A926DE"/>
    <w:rsid w:val="00AA0E8D"/>
    <w:rsid w:val="00AA20AA"/>
    <w:rsid w:val="00AA21A2"/>
    <w:rsid w:val="00AA7744"/>
    <w:rsid w:val="00AB3974"/>
    <w:rsid w:val="00AB6CF0"/>
    <w:rsid w:val="00AC1B2C"/>
    <w:rsid w:val="00AC31EA"/>
    <w:rsid w:val="00AC3264"/>
    <w:rsid w:val="00AE1BF1"/>
    <w:rsid w:val="00AE6249"/>
    <w:rsid w:val="00AF0DD2"/>
    <w:rsid w:val="00AF2756"/>
    <w:rsid w:val="00B13048"/>
    <w:rsid w:val="00B151FA"/>
    <w:rsid w:val="00B1716D"/>
    <w:rsid w:val="00B17A1D"/>
    <w:rsid w:val="00B20707"/>
    <w:rsid w:val="00B207A0"/>
    <w:rsid w:val="00B2337E"/>
    <w:rsid w:val="00B26E3A"/>
    <w:rsid w:val="00B40F3A"/>
    <w:rsid w:val="00B414BA"/>
    <w:rsid w:val="00B4720E"/>
    <w:rsid w:val="00B514DD"/>
    <w:rsid w:val="00B52AF0"/>
    <w:rsid w:val="00B561BD"/>
    <w:rsid w:val="00B56E03"/>
    <w:rsid w:val="00B602F4"/>
    <w:rsid w:val="00B60AA0"/>
    <w:rsid w:val="00B6697C"/>
    <w:rsid w:val="00B76CF9"/>
    <w:rsid w:val="00B8080B"/>
    <w:rsid w:val="00B81657"/>
    <w:rsid w:val="00B86376"/>
    <w:rsid w:val="00B87BA5"/>
    <w:rsid w:val="00B87C39"/>
    <w:rsid w:val="00B9192B"/>
    <w:rsid w:val="00B94C4D"/>
    <w:rsid w:val="00BA4665"/>
    <w:rsid w:val="00BA5156"/>
    <w:rsid w:val="00BB2C14"/>
    <w:rsid w:val="00BB2FB2"/>
    <w:rsid w:val="00BB3304"/>
    <w:rsid w:val="00BB6971"/>
    <w:rsid w:val="00BC1729"/>
    <w:rsid w:val="00BD3446"/>
    <w:rsid w:val="00BE1F1B"/>
    <w:rsid w:val="00BE47B5"/>
    <w:rsid w:val="00BE5B9B"/>
    <w:rsid w:val="00BF1001"/>
    <w:rsid w:val="00BF10AC"/>
    <w:rsid w:val="00BF480E"/>
    <w:rsid w:val="00BF4FF9"/>
    <w:rsid w:val="00BF6EBC"/>
    <w:rsid w:val="00C01212"/>
    <w:rsid w:val="00C0368C"/>
    <w:rsid w:val="00C04777"/>
    <w:rsid w:val="00C16206"/>
    <w:rsid w:val="00C22030"/>
    <w:rsid w:val="00C232C7"/>
    <w:rsid w:val="00C24913"/>
    <w:rsid w:val="00C25FA6"/>
    <w:rsid w:val="00C27812"/>
    <w:rsid w:val="00C30D54"/>
    <w:rsid w:val="00C330AE"/>
    <w:rsid w:val="00C429B4"/>
    <w:rsid w:val="00C45CBC"/>
    <w:rsid w:val="00C470E3"/>
    <w:rsid w:val="00C5022E"/>
    <w:rsid w:val="00C538A9"/>
    <w:rsid w:val="00C53B5A"/>
    <w:rsid w:val="00C54F5A"/>
    <w:rsid w:val="00C569B4"/>
    <w:rsid w:val="00C61840"/>
    <w:rsid w:val="00C67A92"/>
    <w:rsid w:val="00C74D59"/>
    <w:rsid w:val="00C8071E"/>
    <w:rsid w:val="00C86679"/>
    <w:rsid w:val="00C86C82"/>
    <w:rsid w:val="00C87A19"/>
    <w:rsid w:val="00C90FAF"/>
    <w:rsid w:val="00CA203A"/>
    <w:rsid w:val="00CA489E"/>
    <w:rsid w:val="00CA4FBD"/>
    <w:rsid w:val="00CA52B0"/>
    <w:rsid w:val="00CB0279"/>
    <w:rsid w:val="00CB666B"/>
    <w:rsid w:val="00CC2CBD"/>
    <w:rsid w:val="00CC7F1D"/>
    <w:rsid w:val="00CD2567"/>
    <w:rsid w:val="00CD5116"/>
    <w:rsid w:val="00CD7C0D"/>
    <w:rsid w:val="00CE587A"/>
    <w:rsid w:val="00CE5F1D"/>
    <w:rsid w:val="00CF2270"/>
    <w:rsid w:val="00CF5A44"/>
    <w:rsid w:val="00D01CF0"/>
    <w:rsid w:val="00D0442A"/>
    <w:rsid w:val="00D0699E"/>
    <w:rsid w:val="00D109DC"/>
    <w:rsid w:val="00D13E57"/>
    <w:rsid w:val="00D17CCF"/>
    <w:rsid w:val="00D22968"/>
    <w:rsid w:val="00D462A2"/>
    <w:rsid w:val="00D5070C"/>
    <w:rsid w:val="00D50961"/>
    <w:rsid w:val="00D53C0D"/>
    <w:rsid w:val="00D5613F"/>
    <w:rsid w:val="00D56F3E"/>
    <w:rsid w:val="00D60712"/>
    <w:rsid w:val="00D61388"/>
    <w:rsid w:val="00D61A54"/>
    <w:rsid w:val="00D64DEA"/>
    <w:rsid w:val="00D65146"/>
    <w:rsid w:val="00D7168E"/>
    <w:rsid w:val="00D71E57"/>
    <w:rsid w:val="00D7548F"/>
    <w:rsid w:val="00D758B3"/>
    <w:rsid w:val="00D80893"/>
    <w:rsid w:val="00D81AA9"/>
    <w:rsid w:val="00D82E5D"/>
    <w:rsid w:val="00D84854"/>
    <w:rsid w:val="00D853B9"/>
    <w:rsid w:val="00D8551A"/>
    <w:rsid w:val="00D9245D"/>
    <w:rsid w:val="00D92CF1"/>
    <w:rsid w:val="00D92D38"/>
    <w:rsid w:val="00D950F5"/>
    <w:rsid w:val="00DA35C8"/>
    <w:rsid w:val="00DA4BD8"/>
    <w:rsid w:val="00DA4E0A"/>
    <w:rsid w:val="00DB0F93"/>
    <w:rsid w:val="00DB1A67"/>
    <w:rsid w:val="00DB5074"/>
    <w:rsid w:val="00DC269E"/>
    <w:rsid w:val="00DC4D5F"/>
    <w:rsid w:val="00DC7981"/>
    <w:rsid w:val="00DD21F8"/>
    <w:rsid w:val="00DE4EFA"/>
    <w:rsid w:val="00DE5520"/>
    <w:rsid w:val="00DE6BC9"/>
    <w:rsid w:val="00DE6D0C"/>
    <w:rsid w:val="00DF047B"/>
    <w:rsid w:val="00E0219B"/>
    <w:rsid w:val="00E02E43"/>
    <w:rsid w:val="00E04818"/>
    <w:rsid w:val="00E0633C"/>
    <w:rsid w:val="00E06442"/>
    <w:rsid w:val="00E17DE7"/>
    <w:rsid w:val="00E23993"/>
    <w:rsid w:val="00E246E4"/>
    <w:rsid w:val="00E25B8C"/>
    <w:rsid w:val="00E32CA1"/>
    <w:rsid w:val="00E472F5"/>
    <w:rsid w:val="00E51801"/>
    <w:rsid w:val="00E531D2"/>
    <w:rsid w:val="00E53609"/>
    <w:rsid w:val="00E65C85"/>
    <w:rsid w:val="00E66199"/>
    <w:rsid w:val="00E755EC"/>
    <w:rsid w:val="00E7624D"/>
    <w:rsid w:val="00E84C7D"/>
    <w:rsid w:val="00E93096"/>
    <w:rsid w:val="00EA09AA"/>
    <w:rsid w:val="00EA3D42"/>
    <w:rsid w:val="00EA4B1A"/>
    <w:rsid w:val="00EA6B1B"/>
    <w:rsid w:val="00EB4FFC"/>
    <w:rsid w:val="00EC5036"/>
    <w:rsid w:val="00EC6EA6"/>
    <w:rsid w:val="00ED1B62"/>
    <w:rsid w:val="00ED7323"/>
    <w:rsid w:val="00EE1C73"/>
    <w:rsid w:val="00EE28F3"/>
    <w:rsid w:val="00EE3E55"/>
    <w:rsid w:val="00EE581D"/>
    <w:rsid w:val="00EE5B6F"/>
    <w:rsid w:val="00EF3F0D"/>
    <w:rsid w:val="00EF5110"/>
    <w:rsid w:val="00EF742F"/>
    <w:rsid w:val="00F03724"/>
    <w:rsid w:val="00F04DBD"/>
    <w:rsid w:val="00F10411"/>
    <w:rsid w:val="00F10F39"/>
    <w:rsid w:val="00F12B30"/>
    <w:rsid w:val="00F13EE6"/>
    <w:rsid w:val="00F15882"/>
    <w:rsid w:val="00F171E0"/>
    <w:rsid w:val="00F20BD3"/>
    <w:rsid w:val="00F21F48"/>
    <w:rsid w:val="00F3552A"/>
    <w:rsid w:val="00F373A5"/>
    <w:rsid w:val="00F41BCF"/>
    <w:rsid w:val="00F47559"/>
    <w:rsid w:val="00F52024"/>
    <w:rsid w:val="00F5374A"/>
    <w:rsid w:val="00F54B77"/>
    <w:rsid w:val="00F6148F"/>
    <w:rsid w:val="00F62C8B"/>
    <w:rsid w:val="00F6362B"/>
    <w:rsid w:val="00F64C7B"/>
    <w:rsid w:val="00F676DD"/>
    <w:rsid w:val="00F717E5"/>
    <w:rsid w:val="00F71E3D"/>
    <w:rsid w:val="00F75A26"/>
    <w:rsid w:val="00F76706"/>
    <w:rsid w:val="00F821EF"/>
    <w:rsid w:val="00F823C7"/>
    <w:rsid w:val="00F83464"/>
    <w:rsid w:val="00F83FAD"/>
    <w:rsid w:val="00F913BE"/>
    <w:rsid w:val="00F9421A"/>
    <w:rsid w:val="00F952A0"/>
    <w:rsid w:val="00F9782B"/>
    <w:rsid w:val="00FA3C7F"/>
    <w:rsid w:val="00FA7DFC"/>
    <w:rsid w:val="00FB2929"/>
    <w:rsid w:val="00FB74E2"/>
    <w:rsid w:val="00FD1507"/>
    <w:rsid w:val="00FD5614"/>
    <w:rsid w:val="00FD6AE5"/>
    <w:rsid w:val="00FE0BE1"/>
    <w:rsid w:val="00FE1DE9"/>
    <w:rsid w:val="00FE39C2"/>
    <w:rsid w:val="00FE3C32"/>
    <w:rsid w:val="00FE64AE"/>
    <w:rsid w:val="00FF07E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annotation text" w:uiPriority="0"/>
    <w:lsdException w:name="header" w:qFormat="1"/>
    <w:lsdException w:name="footer" w:qFormat="1"/>
    <w:lsdException w:name="caption" w:uiPriority="35" w:qFormat="1"/>
    <w:lsdException w:name="annotation reference" w:uiPriority="0"/>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4A43D1"/>
    <w:pPr>
      <w:spacing w:line="276" w:lineRule="auto"/>
    </w:pPr>
    <w:rPr>
      <w:rFonts w:ascii="Arial" w:hAnsi="Arial"/>
    </w:rPr>
  </w:style>
  <w:style w:type="paragraph" w:styleId="Heading1">
    <w:name w:val="heading 1"/>
    <w:basedOn w:val="Normal"/>
    <w:next w:val="Normal"/>
    <w:link w:val="Heading1Char"/>
    <w:uiPriority w:val="9"/>
    <w:qFormat/>
    <w:rsid w:val="00126A4C"/>
    <w:pPr>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A4C"/>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327A1E"/>
    <w:pPr>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327A1E"/>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2F002F" w:themeColor="accent1"/>
      <w:sz w:val="18"/>
    </w:rPr>
  </w:style>
  <w:style w:type="character" w:customStyle="1" w:styleId="FooterChar">
    <w:name w:val="Footer Char"/>
    <w:basedOn w:val="DefaultParagraphFont"/>
    <w:link w:val="Footer"/>
    <w:uiPriority w:val="99"/>
    <w:rsid w:val="00A57D04"/>
    <w:rPr>
      <w:rFonts w:ascii="Arial" w:hAnsi="Arial"/>
      <w:color w:val="2F002F" w:themeColor="accen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327A1E"/>
    <w:pPr>
      <w:tabs>
        <w:tab w:val="left" w:pos="880"/>
        <w:tab w:val="right" w:leader="dot" w:pos="9016"/>
      </w:tabs>
      <w:spacing w:after="100"/>
      <w:ind w:left="425"/>
    </w:pPr>
    <w:rPr>
      <w:b/>
      <w:noProof/>
      <w:color w:val="70635A" w:themeColor="text2"/>
      <w:sz w:val="24"/>
    </w:rPr>
  </w:style>
  <w:style w:type="paragraph" w:styleId="TOC3">
    <w:name w:val="toc 3"/>
    <w:basedOn w:val="Normal"/>
    <w:next w:val="Normal"/>
    <w:uiPriority w:val="39"/>
    <w:qFormat/>
    <w:rsid w:val="00327A1E"/>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F171E0"/>
    <w:pPr>
      <w:spacing w:before="0" w:line="240" w:lineRule="auto"/>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F171E0"/>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8E77DE"/>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8E77DE"/>
    <w:pPr>
      <w:tabs>
        <w:tab w:val="left" w:pos="680"/>
      </w:tabs>
      <w:spacing w:before="120" w:after="12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8E77DE"/>
    <w:pPr>
      <w:ind w:left="1360"/>
    </w:pPr>
  </w:style>
  <w:style w:type="paragraph" w:customStyle="1" w:styleId="AERquotebullet1">
    <w:name w:val="AER quote bullet 1"/>
    <w:basedOn w:val="AERquoteindent1"/>
    <w:qFormat/>
    <w:rsid w:val="008E77DE"/>
    <w:pPr>
      <w:numPr>
        <w:numId w:val="22"/>
      </w:numPr>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126A4C"/>
    <w:pPr>
      <w:tabs>
        <w:tab w:val="num" w:pos="0"/>
      </w:tabs>
      <w:spacing w:before="0" w:line="288" w:lineRule="auto"/>
      <w:jc w:val="both"/>
    </w:pPr>
    <w:rPr>
      <w:rFonts w:ascii="Gautami" w:eastAsia="Times New Roman" w:hAnsi="Gautami" w:cs="Times New Roman"/>
      <w:sz w:val="20"/>
      <w:szCs w:val="24"/>
    </w:rPr>
  </w:style>
  <w:style w:type="paragraph" w:customStyle="1" w:styleId="AERnumberedlist2first">
    <w:name w:val="AER numbered list 2 first"/>
    <w:basedOn w:val="Normal"/>
    <w:qFormat/>
    <w:rsid w:val="00126A4C"/>
    <w:pPr>
      <w:tabs>
        <w:tab w:val="num" w:pos="454"/>
      </w:tabs>
      <w:spacing w:before="0" w:after="240" w:line="288" w:lineRule="auto"/>
      <w:ind w:left="454" w:hanging="454"/>
      <w:jc w:val="both"/>
    </w:pPr>
    <w:rPr>
      <w:rFonts w:ascii="Gautami" w:eastAsia="Times New Roman" w:hAnsi="Gautam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126A4C"/>
    <w:pPr>
      <w:spacing w:before="120" w:after="80"/>
    </w:pPr>
    <w:rPr>
      <w:rFonts w:ascii="Gautami" w:eastAsia="Calibri" w:hAnsi="Gautam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A84A99"/>
    <w:pPr>
      <w:tabs>
        <w:tab w:val="num" w:pos="709"/>
      </w:tabs>
      <w:spacing w:before="0"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0E4821"/>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0E4821"/>
    <w:pPr>
      <w:spacing w:before="0" w:after="240" w:line="288" w:lineRule="auto"/>
      <w:jc w:val="center"/>
    </w:pPr>
    <w:rPr>
      <w:rFonts w:ascii="Gautami" w:eastAsia="Times New Roman" w:hAnsi="Gautami" w:cs="Times New Roman"/>
      <w:b/>
      <w:sz w:val="40"/>
      <w:szCs w:val="24"/>
      <w:lang w:eastAsia="en-AU"/>
    </w:rPr>
  </w:style>
  <w:style w:type="paragraph" w:customStyle="1" w:styleId="AERtitle2">
    <w:name w:val="AER title 2"/>
    <w:qFormat/>
    <w:rsid w:val="000E4821"/>
    <w:pPr>
      <w:spacing w:before="0" w:after="240" w:line="288" w:lineRule="auto"/>
      <w:jc w:val="center"/>
    </w:pPr>
    <w:rPr>
      <w:rFonts w:ascii="Gautami" w:eastAsia="Times New Roman" w:hAnsi="Gautam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0E4821"/>
    <w:pPr>
      <w:spacing w:before="120" w:after="80"/>
      <w:jc w:val="right"/>
    </w:pPr>
    <w:rPr>
      <w:rFonts w:ascii="Gautami" w:eastAsia="Calibri" w:hAnsi="Gautam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0E4821"/>
    <w:pPr>
      <w:spacing w:before="0"/>
    </w:pPr>
    <w:rPr>
      <w:rFonts w:ascii="Gautami" w:eastAsia="Calibri" w:hAnsi="Gautam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semiHidden/>
    <w:unhideWhenUsed/>
    <w:rsid w:val="000E4821"/>
    <w:pPr>
      <w:spacing w:before="0" w:after="240" w:line="240" w:lineRule="auto"/>
      <w:jc w:val="both"/>
    </w:pPr>
    <w:rPr>
      <w:rFonts w:ascii="Gautami" w:eastAsia="Calibri" w:hAnsi="Gautami" w:cs="Times New Roman"/>
      <w:sz w:val="20"/>
      <w:szCs w:val="20"/>
    </w:rPr>
  </w:style>
  <w:style w:type="character" w:customStyle="1" w:styleId="CommentTextChar">
    <w:name w:val="Comment Text Char"/>
    <w:basedOn w:val="DefaultParagraphFont"/>
    <w:link w:val="CommentText"/>
    <w:uiPriority w:val="99"/>
    <w:semiHidden/>
    <w:rsid w:val="000E4821"/>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0E4821"/>
    <w:rPr>
      <w:b/>
      <w:bCs/>
    </w:rPr>
  </w:style>
  <w:style w:type="character" w:customStyle="1" w:styleId="CommentSubjectChar">
    <w:name w:val="Comment Subject Char"/>
    <w:basedOn w:val="CommentTextChar"/>
    <w:link w:val="CommentSubject"/>
    <w:uiPriority w:val="99"/>
    <w:semiHidden/>
    <w:rsid w:val="000E4821"/>
    <w:rPr>
      <w:rFonts w:ascii="Gautami" w:eastAsia="Calibri" w:hAnsi="Gautam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0E4821"/>
    <w:pPr>
      <w:tabs>
        <w:tab w:val="num" w:pos="1492"/>
      </w:tabs>
      <w:spacing w:before="0" w:after="240" w:line="288" w:lineRule="auto"/>
      <w:ind w:left="1492" w:hanging="360"/>
    </w:pPr>
    <w:rPr>
      <w:rFonts w:ascii="Gautami" w:eastAsia="Times New Roman" w:hAnsi="Gautami" w:cs="Times New Roman"/>
      <w:sz w:val="20"/>
      <w:szCs w:val="24"/>
    </w:rPr>
  </w:style>
  <w:style w:type="paragraph" w:customStyle="1" w:styleId="AERbodytextcentre">
    <w:name w:val="AER body text centre"/>
    <w:basedOn w:val="Normal"/>
    <w:qFormat/>
    <w:rsid w:val="000E4821"/>
    <w:pPr>
      <w:tabs>
        <w:tab w:val="num" w:pos="1492"/>
      </w:tabs>
      <w:spacing w:before="0" w:after="240" w:line="288" w:lineRule="auto"/>
      <w:ind w:left="1492" w:hanging="360"/>
      <w:jc w:val="center"/>
    </w:pPr>
    <w:rPr>
      <w:rFonts w:ascii="Gautami" w:eastAsia="Times New Roman" w:hAnsi="Gautam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paragraph" w:styleId="NormalWeb">
    <w:name w:val="Normal (Web)"/>
    <w:basedOn w:val="Normal"/>
    <w:uiPriority w:val="99"/>
    <w:semiHidden/>
    <w:unhideWhenUsed/>
    <w:rsid w:val="003E5CC1"/>
    <w:pPr>
      <w:spacing w:before="0" w:after="240" w:line="288" w:lineRule="auto"/>
      <w:jc w:val="both"/>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annotation text" w:uiPriority="0"/>
    <w:lsdException w:name="header" w:qFormat="1"/>
    <w:lsdException w:name="footer" w:qFormat="1"/>
    <w:lsdException w:name="caption" w:uiPriority="35" w:qFormat="1"/>
    <w:lsdException w:name="annotation reference" w:uiPriority="0"/>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4A43D1"/>
    <w:pPr>
      <w:spacing w:line="276" w:lineRule="auto"/>
    </w:pPr>
    <w:rPr>
      <w:rFonts w:ascii="Arial" w:hAnsi="Arial"/>
    </w:rPr>
  </w:style>
  <w:style w:type="paragraph" w:styleId="Heading1">
    <w:name w:val="heading 1"/>
    <w:basedOn w:val="Normal"/>
    <w:next w:val="Normal"/>
    <w:link w:val="Heading1Char"/>
    <w:uiPriority w:val="9"/>
    <w:qFormat/>
    <w:rsid w:val="00126A4C"/>
    <w:pPr>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A4C"/>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327A1E"/>
    <w:pPr>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327A1E"/>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2F002F" w:themeColor="accent1"/>
      <w:sz w:val="18"/>
    </w:rPr>
  </w:style>
  <w:style w:type="character" w:customStyle="1" w:styleId="FooterChar">
    <w:name w:val="Footer Char"/>
    <w:basedOn w:val="DefaultParagraphFont"/>
    <w:link w:val="Footer"/>
    <w:uiPriority w:val="99"/>
    <w:rsid w:val="00A57D04"/>
    <w:rPr>
      <w:rFonts w:ascii="Arial" w:hAnsi="Arial"/>
      <w:color w:val="2F002F" w:themeColor="accen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327A1E"/>
    <w:pPr>
      <w:tabs>
        <w:tab w:val="left" w:pos="880"/>
        <w:tab w:val="right" w:leader="dot" w:pos="9016"/>
      </w:tabs>
      <w:spacing w:after="100"/>
      <w:ind w:left="425"/>
    </w:pPr>
    <w:rPr>
      <w:b/>
      <w:noProof/>
      <w:color w:val="70635A" w:themeColor="text2"/>
      <w:sz w:val="24"/>
    </w:rPr>
  </w:style>
  <w:style w:type="paragraph" w:styleId="TOC3">
    <w:name w:val="toc 3"/>
    <w:basedOn w:val="Normal"/>
    <w:next w:val="Normal"/>
    <w:uiPriority w:val="39"/>
    <w:qFormat/>
    <w:rsid w:val="00327A1E"/>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F171E0"/>
    <w:pPr>
      <w:spacing w:before="0" w:line="240" w:lineRule="auto"/>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F171E0"/>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8E77DE"/>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8E77DE"/>
    <w:pPr>
      <w:tabs>
        <w:tab w:val="left" w:pos="680"/>
      </w:tabs>
      <w:spacing w:before="120" w:after="12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8E77DE"/>
    <w:pPr>
      <w:ind w:left="1360"/>
    </w:pPr>
  </w:style>
  <w:style w:type="paragraph" w:customStyle="1" w:styleId="AERquotebullet1">
    <w:name w:val="AER quote bullet 1"/>
    <w:basedOn w:val="AERquoteindent1"/>
    <w:qFormat/>
    <w:rsid w:val="008E77DE"/>
    <w:pPr>
      <w:numPr>
        <w:numId w:val="22"/>
      </w:numPr>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126A4C"/>
    <w:pPr>
      <w:tabs>
        <w:tab w:val="num" w:pos="0"/>
      </w:tabs>
      <w:spacing w:before="0" w:line="288" w:lineRule="auto"/>
      <w:jc w:val="both"/>
    </w:pPr>
    <w:rPr>
      <w:rFonts w:ascii="Gautami" w:eastAsia="Times New Roman" w:hAnsi="Gautami" w:cs="Times New Roman"/>
      <w:sz w:val="20"/>
      <w:szCs w:val="24"/>
    </w:rPr>
  </w:style>
  <w:style w:type="paragraph" w:customStyle="1" w:styleId="AERnumberedlist2first">
    <w:name w:val="AER numbered list 2 first"/>
    <w:basedOn w:val="Normal"/>
    <w:qFormat/>
    <w:rsid w:val="00126A4C"/>
    <w:pPr>
      <w:tabs>
        <w:tab w:val="num" w:pos="454"/>
      </w:tabs>
      <w:spacing w:before="0" w:after="240" w:line="288" w:lineRule="auto"/>
      <w:ind w:left="454" w:hanging="454"/>
      <w:jc w:val="both"/>
    </w:pPr>
    <w:rPr>
      <w:rFonts w:ascii="Gautami" w:eastAsia="Times New Roman" w:hAnsi="Gautam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126A4C"/>
    <w:pPr>
      <w:spacing w:before="120" w:after="80"/>
    </w:pPr>
    <w:rPr>
      <w:rFonts w:ascii="Gautami" w:eastAsia="Calibri" w:hAnsi="Gautam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A84A99"/>
    <w:pPr>
      <w:tabs>
        <w:tab w:val="num" w:pos="709"/>
      </w:tabs>
      <w:spacing w:before="0"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0E4821"/>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0E4821"/>
    <w:pPr>
      <w:spacing w:before="0" w:after="240" w:line="288" w:lineRule="auto"/>
      <w:jc w:val="center"/>
    </w:pPr>
    <w:rPr>
      <w:rFonts w:ascii="Gautami" w:eastAsia="Times New Roman" w:hAnsi="Gautami" w:cs="Times New Roman"/>
      <w:b/>
      <w:sz w:val="40"/>
      <w:szCs w:val="24"/>
      <w:lang w:eastAsia="en-AU"/>
    </w:rPr>
  </w:style>
  <w:style w:type="paragraph" w:customStyle="1" w:styleId="AERtitle2">
    <w:name w:val="AER title 2"/>
    <w:qFormat/>
    <w:rsid w:val="000E4821"/>
    <w:pPr>
      <w:spacing w:before="0" w:after="240" w:line="288" w:lineRule="auto"/>
      <w:jc w:val="center"/>
    </w:pPr>
    <w:rPr>
      <w:rFonts w:ascii="Gautami" w:eastAsia="Times New Roman" w:hAnsi="Gautam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0E4821"/>
    <w:pPr>
      <w:spacing w:before="120" w:after="80"/>
      <w:jc w:val="right"/>
    </w:pPr>
    <w:rPr>
      <w:rFonts w:ascii="Gautami" w:eastAsia="Calibri" w:hAnsi="Gautam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0E4821"/>
    <w:pPr>
      <w:spacing w:before="0"/>
    </w:pPr>
    <w:rPr>
      <w:rFonts w:ascii="Gautami" w:eastAsia="Calibri" w:hAnsi="Gautam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semiHidden/>
    <w:unhideWhenUsed/>
    <w:rsid w:val="000E4821"/>
    <w:pPr>
      <w:spacing w:before="0" w:after="240" w:line="240" w:lineRule="auto"/>
      <w:jc w:val="both"/>
    </w:pPr>
    <w:rPr>
      <w:rFonts w:ascii="Gautami" w:eastAsia="Calibri" w:hAnsi="Gautami" w:cs="Times New Roman"/>
      <w:sz w:val="20"/>
      <w:szCs w:val="20"/>
    </w:rPr>
  </w:style>
  <w:style w:type="character" w:customStyle="1" w:styleId="CommentTextChar">
    <w:name w:val="Comment Text Char"/>
    <w:basedOn w:val="DefaultParagraphFont"/>
    <w:link w:val="CommentText"/>
    <w:uiPriority w:val="99"/>
    <w:semiHidden/>
    <w:rsid w:val="000E4821"/>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0E4821"/>
    <w:rPr>
      <w:b/>
      <w:bCs/>
    </w:rPr>
  </w:style>
  <w:style w:type="character" w:customStyle="1" w:styleId="CommentSubjectChar">
    <w:name w:val="Comment Subject Char"/>
    <w:basedOn w:val="CommentTextChar"/>
    <w:link w:val="CommentSubject"/>
    <w:uiPriority w:val="99"/>
    <w:semiHidden/>
    <w:rsid w:val="000E4821"/>
    <w:rPr>
      <w:rFonts w:ascii="Gautami" w:eastAsia="Calibri" w:hAnsi="Gautam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0E4821"/>
    <w:pPr>
      <w:tabs>
        <w:tab w:val="num" w:pos="1492"/>
      </w:tabs>
      <w:spacing w:before="0" w:after="240" w:line="288" w:lineRule="auto"/>
      <w:ind w:left="1492" w:hanging="360"/>
    </w:pPr>
    <w:rPr>
      <w:rFonts w:ascii="Gautami" w:eastAsia="Times New Roman" w:hAnsi="Gautami" w:cs="Times New Roman"/>
      <w:sz w:val="20"/>
      <w:szCs w:val="24"/>
    </w:rPr>
  </w:style>
  <w:style w:type="paragraph" w:customStyle="1" w:styleId="AERbodytextcentre">
    <w:name w:val="AER body text centre"/>
    <w:basedOn w:val="Normal"/>
    <w:qFormat/>
    <w:rsid w:val="000E4821"/>
    <w:pPr>
      <w:tabs>
        <w:tab w:val="num" w:pos="1492"/>
      </w:tabs>
      <w:spacing w:before="0" w:after="240" w:line="288" w:lineRule="auto"/>
      <w:ind w:left="1492" w:hanging="360"/>
      <w:jc w:val="center"/>
    </w:pPr>
    <w:rPr>
      <w:rFonts w:ascii="Gautami" w:eastAsia="Times New Roman" w:hAnsi="Gautam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paragraph" w:styleId="NormalWeb">
    <w:name w:val="Normal (Web)"/>
    <w:basedOn w:val="Normal"/>
    <w:uiPriority w:val="99"/>
    <w:semiHidden/>
    <w:unhideWhenUsed/>
    <w:rsid w:val="003E5CC1"/>
    <w:pPr>
      <w:spacing w:before="0" w:after="240" w:line="288" w:lineRule="auto"/>
      <w:jc w:val="both"/>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0397">
      <w:bodyDiv w:val="1"/>
      <w:marLeft w:val="0"/>
      <w:marRight w:val="0"/>
      <w:marTop w:val="0"/>
      <w:marBottom w:val="0"/>
      <w:divBdr>
        <w:top w:val="none" w:sz="0" w:space="0" w:color="auto"/>
        <w:left w:val="none" w:sz="0" w:space="0" w:color="auto"/>
        <w:bottom w:val="none" w:sz="0" w:space="0" w:color="auto"/>
        <w:right w:val="none" w:sz="0" w:space="0" w:color="auto"/>
      </w:divBdr>
    </w:div>
    <w:div w:id="119424637">
      <w:bodyDiv w:val="1"/>
      <w:marLeft w:val="0"/>
      <w:marRight w:val="0"/>
      <w:marTop w:val="0"/>
      <w:marBottom w:val="0"/>
      <w:divBdr>
        <w:top w:val="none" w:sz="0" w:space="0" w:color="auto"/>
        <w:left w:val="none" w:sz="0" w:space="0" w:color="auto"/>
        <w:bottom w:val="none" w:sz="0" w:space="0" w:color="auto"/>
        <w:right w:val="none" w:sz="0" w:space="0" w:color="auto"/>
      </w:divBdr>
    </w:div>
    <w:div w:id="199587214">
      <w:bodyDiv w:val="1"/>
      <w:marLeft w:val="0"/>
      <w:marRight w:val="0"/>
      <w:marTop w:val="0"/>
      <w:marBottom w:val="0"/>
      <w:divBdr>
        <w:top w:val="none" w:sz="0" w:space="0" w:color="auto"/>
        <w:left w:val="none" w:sz="0" w:space="0" w:color="auto"/>
        <w:bottom w:val="none" w:sz="0" w:space="0" w:color="auto"/>
        <w:right w:val="none" w:sz="0" w:space="0" w:color="auto"/>
      </w:divBdr>
    </w:div>
    <w:div w:id="261911731">
      <w:bodyDiv w:val="1"/>
      <w:marLeft w:val="0"/>
      <w:marRight w:val="0"/>
      <w:marTop w:val="0"/>
      <w:marBottom w:val="0"/>
      <w:divBdr>
        <w:top w:val="none" w:sz="0" w:space="0" w:color="auto"/>
        <w:left w:val="none" w:sz="0" w:space="0" w:color="auto"/>
        <w:bottom w:val="none" w:sz="0" w:space="0" w:color="auto"/>
        <w:right w:val="none" w:sz="0" w:space="0" w:color="auto"/>
      </w:divBdr>
    </w:div>
    <w:div w:id="316038918">
      <w:bodyDiv w:val="1"/>
      <w:marLeft w:val="0"/>
      <w:marRight w:val="0"/>
      <w:marTop w:val="0"/>
      <w:marBottom w:val="0"/>
      <w:divBdr>
        <w:top w:val="none" w:sz="0" w:space="0" w:color="auto"/>
        <w:left w:val="none" w:sz="0" w:space="0" w:color="auto"/>
        <w:bottom w:val="none" w:sz="0" w:space="0" w:color="auto"/>
        <w:right w:val="none" w:sz="0" w:space="0" w:color="auto"/>
      </w:divBdr>
    </w:div>
    <w:div w:id="367994374">
      <w:bodyDiv w:val="1"/>
      <w:marLeft w:val="0"/>
      <w:marRight w:val="0"/>
      <w:marTop w:val="0"/>
      <w:marBottom w:val="0"/>
      <w:divBdr>
        <w:top w:val="none" w:sz="0" w:space="0" w:color="auto"/>
        <w:left w:val="none" w:sz="0" w:space="0" w:color="auto"/>
        <w:bottom w:val="none" w:sz="0" w:space="0" w:color="auto"/>
        <w:right w:val="none" w:sz="0" w:space="0" w:color="auto"/>
      </w:divBdr>
    </w:div>
    <w:div w:id="438646407">
      <w:bodyDiv w:val="1"/>
      <w:marLeft w:val="0"/>
      <w:marRight w:val="0"/>
      <w:marTop w:val="0"/>
      <w:marBottom w:val="0"/>
      <w:divBdr>
        <w:top w:val="none" w:sz="0" w:space="0" w:color="auto"/>
        <w:left w:val="none" w:sz="0" w:space="0" w:color="auto"/>
        <w:bottom w:val="none" w:sz="0" w:space="0" w:color="auto"/>
        <w:right w:val="none" w:sz="0" w:space="0" w:color="auto"/>
      </w:divBdr>
    </w:div>
    <w:div w:id="440534548">
      <w:bodyDiv w:val="1"/>
      <w:marLeft w:val="0"/>
      <w:marRight w:val="0"/>
      <w:marTop w:val="0"/>
      <w:marBottom w:val="0"/>
      <w:divBdr>
        <w:top w:val="none" w:sz="0" w:space="0" w:color="auto"/>
        <w:left w:val="none" w:sz="0" w:space="0" w:color="auto"/>
        <w:bottom w:val="none" w:sz="0" w:space="0" w:color="auto"/>
        <w:right w:val="none" w:sz="0" w:space="0" w:color="auto"/>
      </w:divBdr>
    </w:div>
    <w:div w:id="505560149">
      <w:bodyDiv w:val="1"/>
      <w:marLeft w:val="0"/>
      <w:marRight w:val="0"/>
      <w:marTop w:val="0"/>
      <w:marBottom w:val="0"/>
      <w:divBdr>
        <w:top w:val="none" w:sz="0" w:space="0" w:color="auto"/>
        <w:left w:val="none" w:sz="0" w:space="0" w:color="auto"/>
        <w:bottom w:val="none" w:sz="0" w:space="0" w:color="auto"/>
        <w:right w:val="none" w:sz="0" w:space="0" w:color="auto"/>
      </w:divBdr>
    </w:div>
    <w:div w:id="582034477">
      <w:bodyDiv w:val="1"/>
      <w:marLeft w:val="0"/>
      <w:marRight w:val="0"/>
      <w:marTop w:val="0"/>
      <w:marBottom w:val="0"/>
      <w:divBdr>
        <w:top w:val="none" w:sz="0" w:space="0" w:color="auto"/>
        <w:left w:val="none" w:sz="0" w:space="0" w:color="auto"/>
        <w:bottom w:val="none" w:sz="0" w:space="0" w:color="auto"/>
        <w:right w:val="none" w:sz="0" w:space="0" w:color="auto"/>
      </w:divBdr>
    </w:div>
    <w:div w:id="748423920">
      <w:bodyDiv w:val="1"/>
      <w:marLeft w:val="0"/>
      <w:marRight w:val="0"/>
      <w:marTop w:val="0"/>
      <w:marBottom w:val="0"/>
      <w:divBdr>
        <w:top w:val="none" w:sz="0" w:space="0" w:color="auto"/>
        <w:left w:val="none" w:sz="0" w:space="0" w:color="auto"/>
        <w:bottom w:val="none" w:sz="0" w:space="0" w:color="auto"/>
        <w:right w:val="none" w:sz="0" w:space="0" w:color="auto"/>
      </w:divBdr>
    </w:div>
    <w:div w:id="812648329">
      <w:bodyDiv w:val="1"/>
      <w:marLeft w:val="0"/>
      <w:marRight w:val="0"/>
      <w:marTop w:val="0"/>
      <w:marBottom w:val="0"/>
      <w:divBdr>
        <w:top w:val="none" w:sz="0" w:space="0" w:color="auto"/>
        <w:left w:val="none" w:sz="0" w:space="0" w:color="auto"/>
        <w:bottom w:val="none" w:sz="0" w:space="0" w:color="auto"/>
        <w:right w:val="none" w:sz="0" w:space="0" w:color="auto"/>
      </w:divBdr>
    </w:div>
    <w:div w:id="844784782">
      <w:bodyDiv w:val="1"/>
      <w:marLeft w:val="0"/>
      <w:marRight w:val="0"/>
      <w:marTop w:val="0"/>
      <w:marBottom w:val="0"/>
      <w:divBdr>
        <w:top w:val="none" w:sz="0" w:space="0" w:color="auto"/>
        <w:left w:val="none" w:sz="0" w:space="0" w:color="auto"/>
        <w:bottom w:val="none" w:sz="0" w:space="0" w:color="auto"/>
        <w:right w:val="none" w:sz="0" w:space="0" w:color="auto"/>
      </w:divBdr>
    </w:div>
    <w:div w:id="867911852">
      <w:bodyDiv w:val="1"/>
      <w:marLeft w:val="0"/>
      <w:marRight w:val="0"/>
      <w:marTop w:val="0"/>
      <w:marBottom w:val="0"/>
      <w:divBdr>
        <w:top w:val="none" w:sz="0" w:space="0" w:color="auto"/>
        <w:left w:val="none" w:sz="0" w:space="0" w:color="auto"/>
        <w:bottom w:val="none" w:sz="0" w:space="0" w:color="auto"/>
        <w:right w:val="none" w:sz="0" w:space="0" w:color="auto"/>
      </w:divBdr>
    </w:div>
    <w:div w:id="885604402">
      <w:bodyDiv w:val="1"/>
      <w:marLeft w:val="0"/>
      <w:marRight w:val="0"/>
      <w:marTop w:val="0"/>
      <w:marBottom w:val="0"/>
      <w:divBdr>
        <w:top w:val="none" w:sz="0" w:space="0" w:color="auto"/>
        <w:left w:val="none" w:sz="0" w:space="0" w:color="auto"/>
        <w:bottom w:val="none" w:sz="0" w:space="0" w:color="auto"/>
        <w:right w:val="none" w:sz="0" w:space="0" w:color="auto"/>
      </w:divBdr>
    </w:div>
    <w:div w:id="900098789">
      <w:bodyDiv w:val="1"/>
      <w:marLeft w:val="0"/>
      <w:marRight w:val="0"/>
      <w:marTop w:val="0"/>
      <w:marBottom w:val="0"/>
      <w:divBdr>
        <w:top w:val="none" w:sz="0" w:space="0" w:color="auto"/>
        <w:left w:val="none" w:sz="0" w:space="0" w:color="auto"/>
        <w:bottom w:val="none" w:sz="0" w:space="0" w:color="auto"/>
        <w:right w:val="none" w:sz="0" w:space="0" w:color="auto"/>
      </w:divBdr>
    </w:div>
    <w:div w:id="931470397">
      <w:bodyDiv w:val="1"/>
      <w:marLeft w:val="0"/>
      <w:marRight w:val="0"/>
      <w:marTop w:val="0"/>
      <w:marBottom w:val="0"/>
      <w:divBdr>
        <w:top w:val="none" w:sz="0" w:space="0" w:color="auto"/>
        <w:left w:val="none" w:sz="0" w:space="0" w:color="auto"/>
        <w:bottom w:val="none" w:sz="0" w:space="0" w:color="auto"/>
        <w:right w:val="none" w:sz="0" w:space="0" w:color="auto"/>
      </w:divBdr>
    </w:div>
    <w:div w:id="987127072">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433012399">
      <w:bodyDiv w:val="1"/>
      <w:marLeft w:val="0"/>
      <w:marRight w:val="0"/>
      <w:marTop w:val="0"/>
      <w:marBottom w:val="0"/>
      <w:divBdr>
        <w:top w:val="none" w:sz="0" w:space="0" w:color="auto"/>
        <w:left w:val="none" w:sz="0" w:space="0" w:color="auto"/>
        <w:bottom w:val="none" w:sz="0" w:space="0" w:color="auto"/>
        <w:right w:val="none" w:sz="0" w:space="0" w:color="auto"/>
      </w:divBdr>
    </w:div>
    <w:div w:id="1529219657">
      <w:bodyDiv w:val="1"/>
      <w:marLeft w:val="0"/>
      <w:marRight w:val="0"/>
      <w:marTop w:val="0"/>
      <w:marBottom w:val="0"/>
      <w:divBdr>
        <w:top w:val="none" w:sz="0" w:space="0" w:color="auto"/>
        <w:left w:val="none" w:sz="0" w:space="0" w:color="auto"/>
        <w:bottom w:val="none" w:sz="0" w:space="0" w:color="auto"/>
        <w:right w:val="none" w:sz="0" w:space="0" w:color="auto"/>
      </w:divBdr>
    </w:div>
    <w:div w:id="1563173635">
      <w:bodyDiv w:val="1"/>
      <w:marLeft w:val="0"/>
      <w:marRight w:val="0"/>
      <w:marTop w:val="0"/>
      <w:marBottom w:val="0"/>
      <w:divBdr>
        <w:top w:val="none" w:sz="0" w:space="0" w:color="auto"/>
        <w:left w:val="none" w:sz="0" w:space="0" w:color="auto"/>
        <w:bottom w:val="none" w:sz="0" w:space="0" w:color="auto"/>
        <w:right w:val="none" w:sz="0" w:space="0" w:color="auto"/>
      </w:divBdr>
    </w:div>
    <w:div w:id="1694375427">
      <w:bodyDiv w:val="1"/>
      <w:marLeft w:val="0"/>
      <w:marRight w:val="0"/>
      <w:marTop w:val="0"/>
      <w:marBottom w:val="0"/>
      <w:divBdr>
        <w:top w:val="none" w:sz="0" w:space="0" w:color="auto"/>
        <w:left w:val="none" w:sz="0" w:space="0" w:color="auto"/>
        <w:bottom w:val="none" w:sz="0" w:space="0" w:color="auto"/>
        <w:right w:val="none" w:sz="0" w:space="0" w:color="auto"/>
      </w:divBdr>
    </w:div>
    <w:div w:id="1694962413">
      <w:bodyDiv w:val="1"/>
      <w:marLeft w:val="0"/>
      <w:marRight w:val="0"/>
      <w:marTop w:val="0"/>
      <w:marBottom w:val="0"/>
      <w:divBdr>
        <w:top w:val="none" w:sz="0" w:space="0" w:color="auto"/>
        <w:left w:val="none" w:sz="0" w:space="0" w:color="auto"/>
        <w:bottom w:val="none" w:sz="0" w:space="0" w:color="auto"/>
        <w:right w:val="none" w:sz="0" w:space="0" w:color="auto"/>
      </w:divBdr>
    </w:div>
    <w:div w:id="1793087772">
      <w:bodyDiv w:val="1"/>
      <w:marLeft w:val="0"/>
      <w:marRight w:val="0"/>
      <w:marTop w:val="0"/>
      <w:marBottom w:val="0"/>
      <w:divBdr>
        <w:top w:val="none" w:sz="0" w:space="0" w:color="auto"/>
        <w:left w:val="none" w:sz="0" w:space="0" w:color="auto"/>
        <w:bottom w:val="none" w:sz="0" w:space="0" w:color="auto"/>
        <w:right w:val="none" w:sz="0" w:space="0" w:color="auto"/>
      </w:divBdr>
    </w:div>
    <w:div w:id="1941716452">
      <w:bodyDiv w:val="1"/>
      <w:marLeft w:val="0"/>
      <w:marRight w:val="0"/>
      <w:marTop w:val="0"/>
      <w:marBottom w:val="0"/>
      <w:divBdr>
        <w:top w:val="none" w:sz="0" w:space="0" w:color="auto"/>
        <w:left w:val="none" w:sz="0" w:space="0" w:color="auto"/>
        <w:bottom w:val="none" w:sz="0" w:space="0" w:color="auto"/>
        <w:right w:val="none" w:sz="0" w:space="0" w:color="auto"/>
      </w:divBdr>
    </w:div>
    <w:div w:id="1949120010">
      <w:bodyDiv w:val="1"/>
      <w:marLeft w:val="0"/>
      <w:marRight w:val="0"/>
      <w:marTop w:val="0"/>
      <w:marBottom w:val="0"/>
      <w:divBdr>
        <w:top w:val="none" w:sz="0" w:space="0" w:color="auto"/>
        <w:left w:val="none" w:sz="0" w:space="0" w:color="auto"/>
        <w:bottom w:val="none" w:sz="0" w:space="0" w:color="auto"/>
        <w:right w:val="none" w:sz="0" w:space="0" w:color="auto"/>
      </w:divBdr>
    </w:div>
    <w:div w:id="204644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aer.gov.au"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2DE47D-EBB3-48FD-87BD-B373FA2B4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35A7A85B</Template>
  <TotalTime>0</TotalTime>
  <Pages>67</Pages>
  <Words>17967</Words>
  <Characters>102416</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Decision - Demand management innovation allowance assessment</dc:title>
  <dc:creator/>
  <cp:lastModifiedBy/>
  <cp:revision>1</cp:revision>
  <dcterms:created xsi:type="dcterms:W3CDTF">2016-04-20T01:30:00Z</dcterms:created>
  <dcterms:modified xsi:type="dcterms:W3CDTF">2016-04-20T01:30:00Z</dcterms:modified>
</cp:coreProperties>
</file>