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7B" w:rsidRDefault="00D4227B" w:rsidP="00D4227B">
      <w:pPr>
        <w:pStyle w:val="AERtitle1"/>
      </w:pPr>
      <w:bookmarkStart w:id="0" w:name="_GoBack"/>
      <w:bookmarkEnd w:id="0"/>
      <w:r>
        <w:rPr>
          <w:noProof/>
        </w:rPr>
        <w:drawing>
          <wp:anchor distT="0" distB="0" distL="114300" distR="114300" simplePos="0" relativeHeight="251664384" behindDoc="1" locked="0" layoutInCell="1" allowOverlap="1">
            <wp:simplePos x="0" y="0"/>
            <wp:positionH relativeFrom="column">
              <wp:posOffset>-916305</wp:posOffset>
            </wp:positionH>
            <wp:positionV relativeFrom="paragraph">
              <wp:posOffset>-935355</wp:posOffset>
            </wp:positionV>
            <wp:extent cx="7678420" cy="10781030"/>
            <wp:effectExtent l="1905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78420" cy="10781030"/>
                    </a:xfrm>
                    <a:prstGeom prst="rect">
                      <a:avLst/>
                    </a:prstGeom>
                    <a:noFill/>
                    <a:ln w="9525">
                      <a:noFill/>
                      <a:miter lim="800000"/>
                      <a:headEnd/>
                      <a:tailEnd/>
                    </a:ln>
                  </pic:spPr>
                </pic:pic>
              </a:graphicData>
            </a:graphic>
          </wp:anchor>
        </w:drawing>
      </w:r>
    </w:p>
    <w:p w:rsidR="00D4227B" w:rsidRDefault="00D4227B" w:rsidP="00D4227B">
      <w:pPr>
        <w:pStyle w:val="AERtitle1"/>
      </w:pPr>
    </w:p>
    <w:p w:rsidR="00D4227B" w:rsidRDefault="00D4227B" w:rsidP="00D4227B">
      <w:pPr>
        <w:pStyle w:val="AERtitle1"/>
      </w:pPr>
    </w:p>
    <w:p w:rsidR="00D4227B" w:rsidRDefault="00D4227B" w:rsidP="00D4227B">
      <w:pPr>
        <w:pStyle w:val="AERtitle1"/>
      </w:pPr>
    </w:p>
    <w:p w:rsidR="00D4227B" w:rsidRDefault="00D4227B" w:rsidP="00D4227B">
      <w:pPr>
        <w:pStyle w:val="AERtitle1"/>
      </w:pPr>
    </w:p>
    <w:p w:rsidR="00D4227B" w:rsidRDefault="00CC49D4" w:rsidP="0084352D">
      <w:pPr>
        <w:pStyle w:val="AERtitle1"/>
      </w:pPr>
      <w:r>
        <w:rPr>
          <w:noProof/>
        </w:rPr>
        <w:drawing>
          <wp:anchor distT="0" distB="0" distL="114300" distR="114300" simplePos="0" relativeHeight="251661312" behindDoc="1" locked="0" layoutInCell="1" allowOverlap="1" wp14:anchorId="114C3F0B" wp14:editId="351B3F9F">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00D4227B">
        <w:t>Better Regulation</w:t>
      </w:r>
    </w:p>
    <w:p w:rsidR="00D4227B" w:rsidRDefault="00D4227B" w:rsidP="0084352D">
      <w:pPr>
        <w:pStyle w:val="AERtitle1"/>
      </w:pPr>
    </w:p>
    <w:p w:rsidR="00D4227B" w:rsidRPr="0084352D" w:rsidRDefault="00D4227B" w:rsidP="0084352D">
      <w:pPr>
        <w:pStyle w:val="AERtitle1"/>
      </w:pPr>
      <w:r w:rsidRPr="0084352D">
        <w:t>Draft</w:t>
      </w:r>
      <w:r w:rsidR="004A0C9D" w:rsidRPr="0084352D">
        <w:t xml:space="preserve"> </w:t>
      </w:r>
      <w:r w:rsidR="0084352D" w:rsidRPr="0084352D">
        <w:t>Capital</w:t>
      </w:r>
      <w:r w:rsidR="001C14B0">
        <w:t xml:space="preserve"> Expenditure Incentive</w:t>
      </w:r>
      <w:r w:rsidR="0084352D">
        <w:t xml:space="preserve"> Guidelines</w:t>
      </w:r>
    </w:p>
    <w:p w:rsidR="00D4227B" w:rsidRDefault="00D4227B" w:rsidP="00D4227B"/>
    <w:p w:rsidR="00D4227B" w:rsidRDefault="00D4227B" w:rsidP="00D4227B"/>
    <w:p w:rsidR="00D4227B" w:rsidRPr="00F6235D" w:rsidRDefault="00D4227B" w:rsidP="00D4227B"/>
    <w:p w:rsidR="00D4227B" w:rsidRPr="00F6235D" w:rsidRDefault="00D4227B" w:rsidP="00D4227B">
      <w:pPr>
        <w:pStyle w:val="AERtitle2"/>
      </w:pPr>
      <w:r>
        <w:t>August 2013</w:t>
      </w:r>
    </w:p>
    <w:p w:rsidR="00D4227B" w:rsidRPr="00F6235D" w:rsidRDefault="00D4227B" w:rsidP="00D4227B">
      <w:r w:rsidRPr="00F6235D">
        <w:t xml:space="preserve"> </w:t>
      </w:r>
    </w:p>
    <w:p w:rsidR="00D4227B" w:rsidRPr="00EF0E19" w:rsidRDefault="00D4227B" w:rsidP="00D4227B">
      <w:pPr>
        <w:rPr>
          <w:rStyle w:val="AERtextbold"/>
        </w:rPr>
      </w:pPr>
      <w:r>
        <w:rPr>
          <w:rStyle w:val="AERtextbold"/>
        </w:rPr>
        <w:br w:type="page"/>
      </w:r>
    </w:p>
    <w:p w:rsidR="00D4227B" w:rsidRPr="00020884" w:rsidRDefault="00D4227B" w:rsidP="00020884">
      <w:pPr>
        <w:pStyle w:val="AERbodytext"/>
        <w:rPr>
          <w:rStyle w:val="AERtextbold"/>
        </w:rPr>
      </w:pPr>
      <w:r w:rsidRPr="00020884">
        <w:rPr>
          <w:rStyle w:val="AERtextbold"/>
        </w:rPr>
        <w:lastRenderedPageBreak/>
        <w:t xml:space="preserve">© </w:t>
      </w:r>
      <w:r w:rsidR="00B300CC">
        <w:rPr>
          <w:rStyle w:val="AERtextbold"/>
        </w:rPr>
        <w:t>Commonwealth of Australia 2013</w:t>
      </w:r>
    </w:p>
    <w:p w:rsidR="00D4227B" w:rsidRPr="00020884" w:rsidRDefault="00D4227B" w:rsidP="00020884">
      <w:pPr>
        <w:pStyle w:val="AERbodytext"/>
      </w:pPr>
      <w:r w:rsidRPr="00020884">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D4227B" w:rsidRPr="00020884" w:rsidRDefault="00D4227B" w:rsidP="00020884">
      <w:pPr>
        <w:pStyle w:val="AERbodytext"/>
      </w:pPr>
      <w:r w:rsidRPr="00020884">
        <w:t>Inquiries about this document should be addressed to:</w:t>
      </w:r>
    </w:p>
    <w:p w:rsidR="00D4227B" w:rsidRDefault="00D4227B" w:rsidP="00D4227B">
      <w:pPr>
        <w:pStyle w:val="AERbodytextnospace"/>
        <w:numPr>
          <w:ilvl w:val="0"/>
          <w:numId w:val="13"/>
        </w:numPr>
      </w:pPr>
      <w:r>
        <w:t>Australian Energy Regulator</w:t>
      </w:r>
    </w:p>
    <w:p w:rsidR="00D4227B" w:rsidRDefault="00D4227B" w:rsidP="00D4227B">
      <w:pPr>
        <w:pStyle w:val="AERbodytextnospace"/>
        <w:numPr>
          <w:ilvl w:val="0"/>
          <w:numId w:val="13"/>
        </w:numPr>
      </w:pPr>
      <w:r>
        <w:t>GPO Box 520</w:t>
      </w:r>
    </w:p>
    <w:p w:rsidR="00D4227B" w:rsidRDefault="00D4227B" w:rsidP="00D4227B">
      <w:pPr>
        <w:pStyle w:val="AERbodytextnospace"/>
        <w:numPr>
          <w:ilvl w:val="0"/>
          <w:numId w:val="13"/>
        </w:numPr>
      </w:pPr>
      <w:r>
        <w:t>Melbourne  Vic  3001</w:t>
      </w:r>
    </w:p>
    <w:p w:rsidR="00D4227B" w:rsidRDefault="00D4227B" w:rsidP="00D4227B">
      <w:pPr>
        <w:pStyle w:val="AERbodytextnospace"/>
        <w:numPr>
          <w:ilvl w:val="0"/>
          <w:numId w:val="13"/>
        </w:numPr>
      </w:pPr>
      <w:r>
        <w:t>Tel: (03) 9290 1444</w:t>
      </w:r>
    </w:p>
    <w:p w:rsidR="00D4227B" w:rsidRDefault="00D4227B" w:rsidP="00D4227B">
      <w:pPr>
        <w:pStyle w:val="AERbodytextnospace"/>
        <w:numPr>
          <w:ilvl w:val="0"/>
          <w:numId w:val="13"/>
        </w:numPr>
      </w:pPr>
      <w:r>
        <w:t>Fax: (03) 9290 1457</w:t>
      </w:r>
    </w:p>
    <w:p w:rsidR="00D4227B" w:rsidRDefault="00D4227B" w:rsidP="00D4227B">
      <w:pPr>
        <w:pStyle w:val="AERbodytextnospace"/>
        <w:numPr>
          <w:ilvl w:val="0"/>
          <w:numId w:val="13"/>
        </w:numPr>
      </w:pPr>
      <w:r>
        <w:t xml:space="preserve">Email: </w:t>
      </w:r>
      <w:hyperlink r:id="rId10" w:history="1">
        <w:r w:rsidRPr="003E184A">
          <w:rPr>
            <w:rStyle w:val="Hyperlink"/>
          </w:rPr>
          <w:t>AERInquiry@aer.gov.au</w:t>
        </w:r>
      </w:hyperlink>
    </w:p>
    <w:p w:rsidR="00020884" w:rsidRDefault="00020884" w:rsidP="00020884">
      <w:pPr>
        <w:pStyle w:val="AERbodytext"/>
      </w:pPr>
    </w:p>
    <w:p w:rsidR="00D4227B" w:rsidRPr="00F66980" w:rsidRDefault="00D4227B" w:rsidP="00020884">
      <w:pPr>
        <w:pStyle w:val="AERbodytext"/>
        <w:rPr>
          <w:rStyle w:val="AERtexthighlight"/>
        </w:rPr>
      </w:pPr>
      <w:r w:rsidRPr="00020884">
        <w:t xml:space="preserve">AER reference:   </w:t>
      </w:r>
      <w:r w:rsidR="00120F9A" w:rsidRPr="00120F9A">
        <w:t>50390</w:t>
      </w:r>
    </w:p>
    <w:p w:rsidR="00D4227B" w:rsidRPr="008F1A4A" w:rsidRDefault="00D4227B" w:rsidP="00D4227B">
      <w:pPr>
        <w:pStyle w:val="AERbodytextnospace"/>
        <w:numPr>
          <w:ilvl w:val="0"/>
          <w:numId w:val="13"/>
        </w:numPr>
        <w:rPr>
          <w:rStyle w:val="AERtextbold"/>
        </w:rPr>
      </w:pPr>
      <w:r w:rsidRPr="008F1A4A">
        <w:rPr>
          <w:rStyle w:val="AERtextbold"/>
        </w:rPr>
        <w:t xml:space="preserve">Amendment record </w:t>
      </w:r>
    </w:p>
    <w:tbl>
      <w:tblPr>
        <w:tblStyle w:val="AERtable-text"/>
        <w:tblW w:w="5000" w:type="pct"/>
        <w:tblLook w:val="01E0" w:firstRow="1" w:lastRow="1" w:firstColumn="1" w:lastColumn="1" w:noHBand="0" w:noVBand="0"/>
      </w:tblPr>
      <w:tblGrid>
        <w:gridCol w:w="3080"/>
        <w:gridCol w:w="3081"/>
        <w:gridCol w:w="3081"/>
      </w:tblGrid>
      <w:tr w:rsidR="00D4227B" w:rsidTr="00D4227B">
        <w:trPr>
          <w:cnfStyle w:val="100000000000" w:firstRow="1" w:lastRow="0" w:firstColumn="0" w:lastColumn="0" w:oddVBand="0" w:evenVBand="0" w:oddHBand="0" w:evenHBand="0" w:firstRowFirstColumn="0" w:firstRowLastColumn="0" w:lastRowFirstColumn="0" w:lastRowLastColumn="0"/>
        </w:trPr>
        <w:tc>
          <w:tcPr>
            <w:tcW w:w="1666" w:type="pct"/>
          </w:tcPr>
          <w:p w:rsidR="00D4227B" w:rsidRPr="00D4227B" w:rsidRDefault="00D4227B" w:rsidP="00D4227B">
            <w:pPr>
              <w:pStyle w:val="AERtabletextleft"/>
            </w:pPr>
            <w:r w:rsidRPr="008F1A4A">
              <w:t>Version</w:t>
            </w:r>
          </w:p>
        </w:tc>
        <w:tc>
          <w:tcPr>
            <w:tcW w:w="1667" w:type="pct"/>
          </w:tcPr>
          <w:p w:rsidR="00D4227B" w:rsidRPr="00D4227B" w:rsidRDefault="00D4227B" w:rsidP="00D4227B">
            <w:pPr>
              <w:pStyle w:val="AERtabletextleft"/>
            </w:pPr>
            <w:r w:rsidRPr="008F1A4A">
              <w:t>Date</w:t>
            </w:r>
          </w:p>
        </w:tc>
        <w:tc>
          <w:tcPr>
            <w:tcW w:w="1667" w:type="pct"/>
          </w:tcPr>
          <w:p w:rsidR="00D4227B" w:rsidRPr="00D4227B" w:rsidRDefault="00D4227B" w:rsidP="00D4227B">
            <w:pPr>
              <w:pStyle w:val="AERtabletextleft"/>
            </w:pPr>
            <w:r w:rsidRPr="008F1A4A">
              <w:t>Pages</w:t>
            </w:r>
          </w:p>
        </w:tc>
      </w:tr>
      <w:tr w:rsidR="00D4227B" w:rsidTr="00D4227B">
        <w:tc>
          <w:tcPr>
            <w:tcW w:w="1666" w:type="pct"/>
          </w:tcPr>
          <w:p w:rsidR="00D4227B" w:rsidRPr="00D67BDB" w:rsidRDefault="001B1E7F" w:rsidP="00D67BDB">
            <w:pPr>
              <w:pStyle w:val="AERtabletextleft"/>
            </w:pPr>
            <w:r w:rsidRPr="00D67BDB">
              <w:t>01</w:t>
            </w:r>
          </w:p>
        </w:tc>
        <w:tc>
          <w:tcPr>
            <w:tcW w:w="1667" w:type="pct"/>
          </w:tcPr>
          <w:p w:rsidR="00D4227B" w:rsidRPr="008548EA" w:rsidRDefault="00D67BDB" w:rsidP="008548EA">
            <w:pPr>
              <w:pStyle w:val="AERtabletextleft"/>
            </w:pPr>
            <w:r w:rsidRPr="008548EA">
              <w:t>9 August 2013</w:t>
            </w:r>
          </w:p>
        </w:tc>
        <w:tc>
          <w:tcPr>
            <w:tcW w:w="1667" w:type="pct"/>
          </w:tcPr>
          <w:p w:rsidR="00D4227B" w:rsidRPr="008548EA" w:rsidRDefault="00530A7D" w:rsidP="008548EA">
            <w:pPr>
              <w:pStyle w:val="AERtabletextleft"/>
            </w:pPr>
            <w:r>
              <w:t>2</w:t>
            </w:r>
            <w:r w:rsidR="00437354">
              <w:t>5</w:t>
            </w:r>
          </w:p>
        </w:tc>
      </w:tr>
    </w:tbl>
    <w:p w:rsidR="00D4227B" w:rsidRPr="003324F7" w:rsidRDefault="00D4227B" w:rsidP="00D4227B">
      <w:pPr>
        <w:pStyle w:val="AERbodytext"/>
        <w:numPr>
          <w:ilvl w:val="0"/>
          <w:numId w:val="13"/>
        </w:numPr>
      </w:pPr>
    </w:p>
    <w:p w:rsidR="00D4227B" w:rsidRDefault="00D4227B">
      <w:pPr>
        <w:spacing w:after="0" w:line="240" w:lineRule="auto"/>
        <w:jc w:val="left"/>
        <w:rPr>
          <w:rFonts w:eastAsia="Times New Roman"/>
          <w:b/>
          <w:sz w:val="40"/>
          <w:szCs w:val="24"/>
          <w:lang w:eastAsia="en-AU"/>
        </w:rPr>
      </w:pPr>
      <w:r>
        <w:br w:type="page"/>
      </w:r>
    </w:p>
    <w:p w:rsidR="00FC7509" w:rsidRDefault="00AF3E95" w:rsidP="00FC7509">
      <w:pPr>
        <w:pStyle w:val="UnnumberedHeading"/>
        <w:numPr>
          <w:ilvl w:val="0"/>
          <w:numId w:val="2"/>
        </w:numPr>
        <w:tabs>
          <w:tab w:val="right" w:leader="dot" w:pos="9016"/>
        </w:tabs>
        <w:rPr>
          <w:noProof/>
        </w:rPr>
      </w:pPr>
      <w:bookmarkStart w:id="1" w:name="_Toc363719282"/>
      <w:bookmarkStart w:id="2" w:name="_Toc363719390"/>
      <w:bookmarkStart w:id="3" w:name="_Toc363719514"/>
      <w:r>
        <w:lastRenderedPageBreak/>
        <w:t>Contents</w:t>
      </w:r>
      <w:bookmarkEnd w:id="1"/>
      <w:bookmarkEnd w:id="2"/>
      <w:bookmarkEnd w:id="3"/>
      <w:r w:rsidR="00EB3C1E">
        <w:rPr>
          <w:rFonts w:eastAsia="Calibri"/>
          <w:szCs w:val="20"/>
        </w:rPr>
        <w:fldChar w:fldCharType="begin"/>
      </w:r>
      <w:r>
        <w:instrText xml:space="preserve"> TOC \o "1-2" \h \z \u \t "Heading 7,1,Heading 8,2" </w:instrText>
      </w:r>
      <w:r w:rsidR="00EB3C1E">
        <w:rPr>
          <w:rFonts w:eastAsia="Calibri"/>
          <w:szCs w:val="20"/>
        </w:rPr>
        <w:fldChar w:fldCharType="separate"/>
      </w:r>
    </w:p>
    <w:p w:rsidR="00FC7509" w:rsidRDefault="00F5044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19515" w:history="1">
        <w:r w:rsidR="00FC7509" w:rsidRPr="001F03CC">
          <w:rPr>
            <w:rStyle w:val="Hyperlink"/>
            <w:noProof/>
          </w:rPr>
          <w:t>1</w:t>
        </w:r>
        <w:r w:rsidR="00FC7509">
          <w:rPr>
            <w:rFonts w:asciiTheme="minorHAnsi" w:eastAsiaTheme="minorEastAsia" w:hAnsiTheme="minorHAnsi" w:cstheme="minorBidi"/>
            <w:b w:val="0"/>
            <w:bCs w:val="0"/>
            <w:noProof/>
            <w:sz w:val="22"/>
            <w:szCs w:val="22"/>
            <w:lang w:eastAsia="en-AU"/>
          </w:rPr>
          <w:tab/>
        </w:r>
        <w:r w:rsidR="00FC7509" w:rsidRPr="001F03CC">
          <w:rPr>
            <w:rStyle w:val="Hyperlink"/>
            <w:noProof/>
          </w:rPr>
          <w:t>Nature and authority</w:t>
        </w:r>
        <w:r w:rsidR="00FC7509">
          <w:rPr>
            <w:noProof/>
            <w:webHidden/>
          </w:rPr>
          <w:tab/>
        </w:r>
        <w:r w:rsidR="00FC7509">
          <w:rPr>
            <w:noProof/>
            <w:webHidden/>
          </w:rPr>
          <w:fldChar w:fldCharType="begin"/>
        </w:r>
        <w:r w:rsidR="00FC7509">
          <w:rPr>
            <w:noProof/>
            <w:webHidden/>
          </w:rPr>
          <w:instrText xml:space="preserve"> PAGEREF _Toc363719515 \h </w:instrText>
        </w:r>
        <w:r w:rsidR="00FC7509">
          <w:rPr>
            <w:noProof/>
            <w:webHidden/>
          </w:rPr>
        </w:r>
        <w:r w:rsidR="00FC7509">
          <w:rPr>
            <w:noProof/>
            <w:webHidden/>
          </w:rPr>
          <w:fldChar w:fldCharType="separate"/>
        </w:r>
        <w:r w:rsidR="00C4384B">
          <w:rPr>
            <w:noProof/>
            <w:webHidden/>
          </w:rPr>
          <w:t>5</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16" w:history="1">
        <w:r w:rsidR="00FC7509" w:rsidRPr="001F03CC">
          <w:rPr>
            <w:rStyle w:val="Hyperlink"/>
            <w:noProof/>
          </w:rPr>
          <w:t>1.1</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Introduction</w:t>
        </w:r>
        <w:r w:rsidR="00FC7509">
          <w:rPr>
            <w:noProof/>
            <w:webHidden/>
          </w:rPr>
          <w:tab/>
        </w:r>
        <w:r w:rsidR="00FC7509">
          <w:rPr>
            <w:noProof/>
            <w:webHidden/>
          </w:rPr>
          <w:fldChar w:fldCharType="begin"/>
        </w:r>
        <w:r w:rsidR="00FC7509">
          <w:rPr>
            <w:noProof/>
            <w:webHidden/>
          </w:rPr>
          <w:instrText xml:space="preserve"> PAGEREF _Toc363719516 \h </w:instrText>
        </w:r>
        <w:r w:rsidR="00FC7509">
          <w:rPr>
            <w:noProof/>
            <w:webHidden/>
          </w:rPr>
        </w:r>
        <w:r w:rsidR="00FC7509">
          <w:rPr>
            <w:noProof/>
            <w:webHidden/>
          </w:rPr>
          <w:fldChar w:fldCharType="separate"/>
        </w:r>
        <w:r w:rsidR="00C4384B">
          <w:rPr>
            <w:noProof/>
            <w:webHidden/>
          </w:rPr>
          <w:t>5</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17" w:history="1">
        <w:r w:rsidR="00FC7509" w:rsidRPr="001F03CC">
          <w:rPr>
            <w:rStyle w:val="Hyperlink"/>
            <w:noProof/>
          </w:rPr>
          <w:t>1.2</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Authority</w:t>
        </w:r>
        <w:r w:rsidR="00FC7509">
          <w:rPr>
            <w:noProof/>
            <w:webHidden/>
          </w:rPr>
          <w:tab/>
        </w:r>
        <w:r w:rsidR="00FC7509">
          <w:rPr>
            <w:noProof/>
            <w:webHidden/>
          </w:rPr>
          <w:fldChar w:fldCharType="begin"/>
        </w:r>
        <w:r w:rsidR="00FC7509">
          <w:rPr>
            <w:noProof/>
            <w:webHidden/>
          </w:rPr>
          <w:instrText xml:space="preserve"> PAGEREF _Toc363719517 \h </w:instrText>
        </w:r>
        <w:r w:rsidR="00FC7509">
          <w:rPr>
            <w:noProof/>
            <w:webHidden/>
          </w:rPr>
        </w:r>
        <w:r w:rsidR="00FC7509">
          <w:rPr>
            <w:noProof/>
            <w:webHidden/>
          </w:rPr>
          <w:fldChar w:fldCharType="separate"/>
        </w:r>
        <w:r w:rsidR="00C4384B">
          <w:rPr>
            <w:noProof/>
            <w:webHidden/>
          </w:rPr>
          <w:t>5</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18" w:history="1">
        <w:r w:rsidR="00FC7509" w:rsidRPr="001F03CC">
          <w:rPr>
            <w:rStyle w:val="Hyperlink"/>
            <w:noProof/>
          </w:rPr>
          <w:t>1.3</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Role of the guidelines</w:t>
        </w:r>
        <w:r w:rsidR="00FC7509">
          <w:rPr>
            <w:noProof/>
            <w:webHidden/>
          </w:rPr>
          <w:tab/>
        </w:r>
        <w:r w:rsidR="00FC7509">
          <w:rPr>
            <w:noProof/>
            <w:webHidden/>
          </w:rPr>
          <w:fldChar w:fldCharType="begin"/>
        </w:r>
        <w:r w:rsidR="00FC7509">
          <w:rPr>
            <w:noProof/>
            <w:webHidden/>
          </w:rPr>
          <w:instrText xml:space="preserve"> PAGEREF _Toc363719518 \h </w:instrText>
        </w:r>
        <w:r w:rsidR="00FC7509">
          <w:rPr>
            <w:noProof/>
            <w:webHidden/>
          </w:rPr>
        </w:r>
        <w:r w:rsidR="00FC7509">
          <w:rPr>
            <w:noProof/>
            <w:webHidden/>
          </w:rPr>
          <w:fldChar w:fldCharType="separate"/>
        </w:r>
        <w:r w:rsidR="00C4384B">
          <w:rPr>
            <w:noProof/>
            <w:webHidden/>
          </w:rPr>
          <w:t>5</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19" w:history="1">
        <w:r w:rsidR="00FC7509" w:rsidRPr="001F03CC">
          <w:rPr>
            <w:rStyle w:val="Hyperlink"/>
            <w:noProof/>
          </w:rPr>
          <w:t>1.4</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Definitions and interpretation</w:t>
        </w:r>
        <w:r w:rsidR="00FC7509">
          <w:rPr>
            <w:noProof/>
            <w:webHidden/>
          </w:rPr>
          <w:tab/>
        </w:r>
        <w:r w:rsidR="00FC7509">
          <w:rPr>
            <w:noProof/>
            <w:webHidden/>
          </w:rPr>
          <w:fldChar w:fldCharType="begin"/>
        </w:r>
        <w:r w:rsidR="00FC7509">
          <w:rPr>
            <w:noProof/>
            <w:webHidden/>
          </w:rPr>
          <w:instrText xml:space="preserve"> PAGEREF _Toc363719519 \h </w:instrText>
        </w:r>
        <w:r w:rsidR="00FC7509">
          <w:rPr>
            <w:noProof/>
            <w:webHidden/>
          </w:rPr>
        </w:r>
        <w:r w:rsidR="00FC7509">
          <w:rPr>
            <w:noProof/>
            <w:webHidden/>
          </w:rPr>
          <w:fldChar w:fldCharType="separate"/>
        </w:r>
        <w:r w:rsidR="00C4384B">
          <w:rPr>
            <w:noProof/>
            <w:webHidden/>
          </w:rPr>
          <w:t>5</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20" w:history="1">
        <w:r w:rsidR="00FC7509" w:rsidRPr="001F03CC">
          <w:rPr>
            <w:rStyle w:val="Hyperlink"/>
            <w:noProof/>
          </w:rPr>
          <w:t>1.5</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Process for revision</w:t>
        </w:r>
        <w:r w:rsidR="00FC7509">
          <w:rPr>
            <w:noProof/>
            <w:webHidden/>
          </w:rPr>
          <w:tab/>
        </w:r>
        <w:r w:rsidR="00FC7509">
          <w:rPr>
            <w:noProof/>
            <w:webHidden/>
          </w:rPr>
          <w:fldChar w:fldCharType="begin"/>
        </w:r>
        <w:r w:rsidR="00FC7509">
          <w:rPr>
            <w:noProof/>
            <w:webHidden/>
          </w:rPr>
          <w:instrText xml:space="preserve"> PAGEREF _Toc363719520 \h </w:instrText>
        </w:r>
        <w:r w:rsidR="00FC7509">
          <w:rPr>
            <w:noProof/>
            <w:webHidden/>
          </w:rPr>
        </w:r>
        <w:r w:rsidR="00FC7509">
          <w:rPr>
            <w:noProof/>
            <w:webHidden/>
          </w:rPr>
          <w:fldChar w:fldCharType="separate"/>
        </w:r>
        <w:r w:rsidR="00C4384B">
          <w:rPr>
            <w:noProof/>
            <w:webHidden/>
          </w:rPr>
          <w:t>5</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21" w:history="1">
        <w:r w:rsidR="00FC7509" w:rsidRPr="001F03CC">
          <w:rPr>
            <w:rStyle w:val="Hyperlink"/>
            <w:noProof/>
          </w:rPr>
          <w:t>1.6</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Version history and effective date</w:t>
        </w:r>
        <w:r w:rsidR="00FC7509">
          <w:rPr>
            <w:noProof/>
            <w:webHidden/>
          </w:rPr>
          <w:tab/>
        </w:r>
        <w:r w:rsidR="00FC7509">
          <w:rPr>
            <w:noProof/>
            <w:webHidden/>
          </w:rPr>
          <w:fldChar w:fldCharType="begin"/>
        </w:r>
        <w:r w:rsidR="00FC7509">
          <w:rPr>
            <w:noProof/>
            <w:webHidden/>
          </w:rPr>
          <w:instrText xml:space="preserve"> PAGEREF _Toc363719521 \h </w:instrText>
        </w:r>
        <w:r w:rsidR="00FC7509">
          <w:rPr>
            <w:noProof/>
            <w:webHidden/>
          </w:rPr>
        </w:r>
        <w:r w:rsidR="00FC7509">
          <w:rPr>
            <w:noProof/>
            <w:webHidden/>
          </w:rPr>
          <w:fldChar w:fldCharType="separate"/>
        </w:r>
        <w:r w:rsidR="00C4384B">
          <w:rPr>
            <w:noProof/>
            <w:webHidden/>
          </w:rPr>
          <w:t>5</w:t>
        </w:r>
        <w:r w:rsidR="00FC7509">
          <w:rPr>
            <w:noProof/>
            <w:webHidden/>
          </w:rPr>
          <w:fldChar w:fldCharType="end"/>
        </w:r>
      </w:hyperlink>
    </w:p>
    <w:p w:rsidR="00FC7509" w:rsidRDefault="00F5044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19522" w:history="1">
        <w:r w:rsidR="00FC7509" w:rsidRPr="001F03CC">
          <w:rPr>
            <w:rStyle w:val="Hyperlink"/>
            <w:noProof/>
          </w:rPr>
          <w:t>2</w:t>
        </w:r>
        <w:r w:rsidR="00FC7509">
          <w:rPr>
            <w:rFonts w:asciiTheme="minorHAnsi" w:eastAsiaTheme="minorEastAsia" w:hAnsiTheme="minorHAnsi" w:cstheme="minorBidi"/>
            <w:b w:val="0"/>
            <w:bCs w:val="0"/>
            <w:noProof/>
            <w:sz w:val="22"/>
            <w:szCs w:val="22"/>
            <w:lang w:eastAsia="en-AU"/>
          </w:rPr>
          <w:tab/>
        </w:r>
        <w:r w:rsidR="00FC7509" w:rsidRPr="001F03CC">
          <w:rPr>
            <w:rStyle w:val="Hyperlink"/>
            <w:noProof/>
          </w:rPr>
          <w:t>Overview</w:t>
        </w:r>
        <w:r w:rsidR="00FC7509">
          <w:rPr>
            <w:noProof/>
            <w:webHidden/>
          </w:rPr>
          <w:tab/>
        </w:r>
        <w:r w:rsidR="00FC7509">
          <w:rPr>
            <w:noProof/>
            <w:webHidden/>
          </w:rPr>
          <w:fldChar w:fldCharType="begin"/>
        </w:r>
        <w:r w:rsidR="00FC7509">
          <w:rPr>
            <w:noProof/>
            <w:webHidden/>
          </w:rPr>
          <w:instrText xml:space="preserve"> PAGEREF _Toc363719522 \h </w:instrText>
        </w:r>
        <w:r w:rsidR="00FC7509">
          <w:rPr>
            <w:noProof/>
            <w:webHidden/>
          </w:rPr>
        </w:r>
        <w:r w:rsidR="00FC7509">
          <w:rPr>
            <w:noProof/>
            <w:webHidden/>
          </w:rPr>
          <w:fldChar w:fldCharType="separate"/>
        </w:r>
        <w:r w:rsidR="00C4384B">
          <w:rPr>
            <w:noProof/>
            <w:webHidden/>
          </w:rPr>
          <w:t>6</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23" w:history="1">
        <w:r w:rsidR="00FC7509" w:rsidRPr="001F03CC">
          <w:rPr>
            <w:rStyle w:val="Hyperlink"/>
            <w:noProof/>
          </w:rPr>
          <w:t>2.1</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Structure</w:t>
        </w:r>
        <w:r w:rsidR="00FC7509">
          <w:rPr>
            <w:noProof/>
            <w:webHidden/>
          </w:rPr>
          <w:tab/>
        </w:r>
        <w:r w:rsidR="00FC7509">
          <w:rPr>
            <w:noProof/>
            <w:webHidden/>
          </w:rPr>
          <w:fldChar w:fldCharType="begin"/>
        </w:r>
        <w:r w:rsidR="00FC7509">
          <w:rPr>
            <w:noProof/>
            <w:webHidden/>
          </w:rPr>
          <w:instrText xml:space="preserve"> PAGEREF _Toc363719523 \h </w:instrText>
        </w:r>
        <w:r w:rsidR="00FC7509">
          <w:rPr>
            <w:noProof/>
            <w:webHidden/>
          </w:rPr>
        </w:r>
        <w:r w:rsidR="00FC7509">
          <w:rPr>
            <w:noProof/>
            <w:webHidden/>
          </w:rPr>
          <w:fldChar w:fldCharType="separate"/>
        </w:r>
        <w:r w:rsidR="00C4384B">
          <w:rPr>
            <w:noProof/>
            <w:webHidden/>
          </w:rPr>
          <w:t>6</w:t>
        </w:r>
        <w:r w:rsidR="00FC7509">
          <w:rPr>
            <w:noProof/>
            <w:webHidden/>
          </w:rPr>
          <w:fldChar w:fldCharType="end"/>
        </w:r>
      </w:hyperlink>
    </w:p>
    <w:p w:rsidR="00FC7509" w:rsidRDefault="00F5044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19524" w:history="1">
        <w:r w:rsidR="00FC7509" w:rsidRPr="001F03CC">
          <w:rPr>
            <w:rStyle w:val="Hyperlink"/>
            <w:noProof/>
          </w:rPr>
          <w:t>3</w:t>
        </w:r>
        <w:r w:rsidR="00FC7509">
          <w:rPr>
            <w:rFonts w:asciiTheme="minorHAnsi" w:eastAsiaTheme="minorEastAsia" w:hAnsiTheme="minorHAnsi" w:cstheme="minorBidi"/>
            <w:b w:val="0"/>
            <w:bCs w:val="0"/>
            <w:noProof/>
            <w:sz w:val="22"/>
            <w:szCs w:val="22"/>
            <w:lang w:eastAsia="en-AU"/>
          </w:rPr>
          <w:tab/>
        </w:r>
        <w:r w:rsidR="00FC7509" w:rsidRPr="001F03CC">
          <w:rPr>
            <w:rStyle w:val="Hyperlink"/>
            <w:noProof/>
          </w:rPr>
          <w:t>The capital expenditure sharing scheme</w:t>
        </w:r>
        <w:r w:rsidR="00FC7509">
          <w:rPr>
            <w:noProof/>
            <w:webHidden/>
          </w:rPr>
          <w:tab/>
        </w:r>
        <w:r w:rsidR="00FC7509">
          <w:rPr>
            <w:noProof/>
            <w:webHidden/>
          </w:rPr>
          <w:fldChar w:fldCharType="begin"/>
        </w:r>
        <w:r w:rsidR="00FC7509">
          <w:rPr>
            <w:noProof/>
            <w:webHidden/>
          </w:rPr>
          <w:instrText xml:space="preserve"> PAGEREF _Toc363719524 \h </w:instrText>
        </w:r>
        <w:r w:rsidR="00FC7509">
          <w:rPr>
            <w:noProof/>
            <w:webHidden/>
          </w:rPr>
        </w:r>
        <w:r w:rsidR="00FC7509">
          <w:rPr>
            <w:noProof/>
            <w:webHidden/>
          </w:rPr>
          <w:fldChar w:fldCharType="separate"/>
        </w:r>
        <w:r w:rsidR="00C4384B">
          <w:rPr>
            <w:noProof/>
            <w:webHidden/>
          </w:rPr>
          <w:t>8</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25" w:history="1">
        <w:r w:rsidR="00FC7509" w:rsidRPr="001F03CC">
          <w:rPr>
            <w:rStyle w:val="Hyperlink"/>
            <w:noProof/>
          </w:rPr>
          <w:t>3.1</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Objective</w:t>
        </w:r>
        <w:r w:rsidR="00FC7509">
          <w:rPr>
            <w:noProof/>
            <w:webHidden/>
          </w:rPr>
          <w:tab/>
        </w:r>
        <w:r w:rsidR="00FC7509">
          <w:rPr>
            <w:noProof/>
            <w:webHidden/>
          </w:rPr>
          <w:fldChar w:fldCharType="begin"/>
        </w:r>
        <w:r w:rsidR="00FC7509">
          <w:rPr>
            <w:noProof/>
            <w:webHidden/>
          </w:rPr>
          <w:instrText xml:space="preserve"> PAGEREF _Toc363719525 \h </w:instrText>
        </w:r>
        <w:r w:rsidR="00FC7509">
          <w:rPr>
            <w:noProof/>
            <w:webHidden/>
          </w:rPr>
        </w:r>
        <w:r w:rsidR="00FC7509">
          <w:rPr>
            <w:noProof/>
            <w:webHidden/>
          </w:rPr>
          <w:fldChar w:fldCharType="separate"/>
        </w:r>
        <w:r w:rsidR="00C4384B">
          <w:rPr>
            <w:noProof/>
            <w:webHidden/>
          </w:rPr>
          <w:t>8</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26" w:history="1">
        <w:r w:rsidR="00FC7509" w:rsidRPr="001F03CC">
          <w:rPr>
            <w:rStyle w:val="Hyperlink"/>
            <w:noProof/>
          </w:rPr>
          <w:t>3.2</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Rule requirements</w:t>
        </w:r>
        <w:r w:rsidR="00FC7509">
          <w:rPr>
            <w:noProof/>
            <w:webHidden/>
          </w:rPr>
          <w:tab/>
        </w:r>
        <w:r w:rsidR="00FC7509">
          <w:rPr>
            <w:noProof/>
            <w:webHidden/>
          </w:rPr>
          <w:fldChar w:fldCharType="begin"/>
        </w:r>
        <w:r w:rsidR="00FC7509">
          <w:rPr>
            <w:noProof/>
            <w:webHidden/>
          </w:rPr>
          <w:instrText xml:space="preserve"> PAGEREF _Toc363719526 \h </w:instrText>
        </w:r>
        <w:r w:rsidR="00FC7509">
          <w:rPr>
            <w:noProof/>
            <w:webHidden/>
          </w:rPr>
        </w:r>
        <w:r w:rsidR="00FC7509">
          <w:rPr>
            <w:noProof/>
            <w:webHidden/>
          </w:rPr>
          <w:fldChar w:fldCharType="separate"/>
        </w:r>
        <w:r w:rsidR="00C4384B">
          <w:rPr>
            <w:noProof/>
            <w:webHidden/>
          </w:rPr>
          <w:t>8</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27" w:history="1">
        <w:r w:rsidR="00FC7509" w:rsidRPr="001F03CC">
          <w:rPr>
            <w:rStyle w:val="Hyperlink"/>
            <w:noProof/>
          </w:rPr>
          <w:t>3.3</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General application of the scheme</w:t>
        </w:r>
        <w:r w:rsidR="00FC7509">
          <w:rPr>
            <w:noProof/>
            <w:webHidden/>
          </w:rPr>
          <w:tab/>
        </w:r>
        <w:r w:rsidR="00FC7509">
          <w:rPr>
            <w:noProof/>
            <w:webHidden/>
          </w:rPr>
          <w:fldChar w:fldCharType="begin"/>
        </w:r>
        <w:r w:rsidR="00FC7509">
          <w:rPr>
            <w:noProof/>
            <w:webHidden/>
          </w:rPr>
          <w:instrText xml:space="preserve"> PAGEREF _Toc363719527 \h </w:instrText>
        </w:r>
        <w:r w:rsidR="00FC7509">
          <w:rPr>
            <w:noProof/>
            <w:webHidden/>
          </w:rPr>
        </w:r>
        <w:r w:rsidR="00FC7509">
          <w:rPr>
            <w:noProof/>
            <w:webHidden/>
          </w:rPr>
          <w:fldChar w:fldCharType="separate"/>
        </w:r>
        <w:r w:rsidR="00C4384B">
          <w:rPr>
            <w:noProof/>
            <w:webHidden/>
          </w:rPr>
          <w:t>9</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28" w:history="1">
        <w:r w:rsidR="00FC7509" w:rsidRPr="001F03CC">
          <w:rPr>
            <w:rStyle w:val="Hyperlink"/>
            <w:noProof/>
          </w:rPr>
          <w:t>3.4</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Final year adjustment</w:t>
        </w:r>
        <w:r w:rsidR="00FC7509">
          <w:rPr>
            <w:noProof/>
            <w:webHidden/>
          </w:rPr>
          <w:tab/>
        </w:r>
        <w:r w:rsidR="00FC7509">
          <w:rPr>
            <w:noProof/>
            <w:webHidden/>
          </w:rPr>
          <w:fldChar w:fldCharType="begin"/>
        </w:r>
        <w:r w:rsidR="00FC7509">
          <w:rPr>
            <w:noProof/>
            <w:webHidden/>
          </w:rPr>
          <w:instrText xml:space="preserve"> PAGEREF _Toc363719528 \h </w:instrText>
        </w:r>
        <w:r w:rsidR="00FC7509">
          <w:rPr>
            <w:noProof/>
            <w:webHidden/>
          </w:rPr>
        </w:r>
        <w:r w:rsidR="00FC7509">
          <w:rPr>
            <w:noProof/>
            <w:webHidden/>
          </w:rPr>
          <w:fldChar w:fldCharType="separate"/>
        </w:r>
        <w:r w:rsidR="00C4384B">
          <w:rPr>
            <w:noProof/>
            <w:webHidden/>
          </w:rPr>
          <w:t>11</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29" w:history="1">
        <w:r w:rsidR="00FC7509" w:rsidRPr="001F03CC">
          <w:rPr>
            <w:rStyle w:val="Hyperlink"/>
            <w:noProof/>
          </w:rPr>
          <w:t>3.5</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Adjusting for an ex post exclusion from the regulatory asset base</w:t>
        </w:r>
        <w:r w:rsidR="00FC7509">
          <w:rPr>
            <w:noProof/>
            <w:webHidden/>
          </w:rPr>
          <w:tab/>
        </w:r>
        <w:r w:rsidR="00FC7509">
          <w:rPr>
            <w:noProof/>
            <w:webHidden/>
          </w:rPr>
          <w:fldChar w:fldCharType="begin"/>
        </w:r>
        <w:r w:rsidR="00FC7509">
          <w:rPr>
            <w:noProof/>
            <w:webHidden/>
          </w:rPr>
          <w:instrText xml:space="preserve"> PAGEREF _Toc363719529 \h </w:instrText>
        </w:r>
        <w:r w:rsidR="00FC7509">
          <w:rPr>
            <w:noProof/>
            <w:webHidden/>
          </w:rPr>
        </w:r>
        <w:r w:rsidR="00FC7509">
          <w:rPr>
            <w:noProof/>
            <w:webHidden/>
          </w:rPr>
          <w:fldChar w:fldCharType="separate"/>
        </w:r>
        <w:r w:rsidR="00C4384B">
          <w:rPr>
            <w:noProof/>
            <w:webHidden/>
          </w:rPr>
          <w:t>11</w:t>
        </w:r>
        <w:r w:rsidR="00FC7509">
          <w:rPr>
            <w:noProof/>
            <w:webHidden/>
          </w:rPr>
          <w:fldChar w:fldCharType="end"/>
        </w:r>
      </w:hyperlink>
    </w:p>
    <w:p w:rsidR="00FC7509" w:rsidRDefault="00F5044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19530" w:history="1">
        <w:r w:rsidR="00FC7509" w:rsidRPr="001F03CC">
          <w:rPr>
            <w:rStyle w:val="Hyperlink"/>
            <w:noProof/>
          </w:rPr>
          <w:t>4</w:t>
        </w:r>
        <w:r w:rsidR="00FC7509">
          <w:rPr>
            <w:rFonts w:asciiTheme="minorHAnsi" w:eastAsiaTheme="minorEastAsia" w:hAnsiTheme="minorHAnsi" w:cstheme="minorBidi"/>
            <w:b w:val="0"/>
            <w:bCs w:val="0"/>
            <w:noProof/>
            <w:sz w:val="22"/>
            <w:szCs w:val="22"/>
            <w:lang w:eastAsia="en-AU"/>
          </w:rPr>
          <w:tab/>
        </w:r>
        <w:r w:rsidR="00FC7509" w:rsidRPr="001F03CC">
          <w:rPr>
            <w:rStyle w:val="Hyperlink"/>
            <w:noProof/>
          </w:rPr>
          <w:t>Use of actual or forecast depreciation</w:t>
        </w:r>
        <w:r w:rsidR="00FC7509">
          <w:rPr>
            <w:noProof/>
            <w:webHidden/>
          </w:rPr>
          <w:tab/>
        </w:r>
        <w:r w:rsidR="00FC7509">
          <w:rPr>
            <w:noProof/>
            <w:webHidden/>
          </w:rPr>
          <w:fldChar w:fldCharType="begin"/>
        </w:r>
        <w:r w:rsidR="00FC7509">
          <w:rPr>
            <w:noProof/>
            <w:webHidden/>
          </w:rPr>
          <w:instrText xml:space="preserve"> PAGEREF _Toc363719530 \h </w:instrText>
        </w:r>
        <w:r w:rsidR="00FC7509">
          <w:rPr>
            <w:noProof/>
            <w:webHidden/>
          </w:rPr>
        </w:r>
        <w:r w:rsidR="00FC7509">
          <w:rPr>
            <w:noProof/>
            <w:webHidden/>
          </w:rPr>
          <w:fldChar w:fldCharType="separate"/>
        </w:r>
        <w:r w:rsidR="00C4384B">
          <w:rPr>
            <w:noProof/>
            <w:webHidden/>
          </w:rPr>
          <w:t>13</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31" w:history="1">
        <w:r w:rsidR="00FC7509" w:rsidRPr="001F03CC">
          <w:rPr>
            <w:rStyle w:val="Hyperlink"/>
            <w:noProof/>
          </w:rPr>
          <w:t>4.1</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Objective</w:t>
        </w:r>
        <w:r w:rsidR="00FC7509">
          <w:rPr>
            <w:noProof/>
            <w:webHidden/>
          </w:rPr>
          <w:tab/>
        </w:r>
        <w:r w:rsidR="00FC7509">
          <w:rPr>
            <w:noProof/>
            <w:webHidden/>
          </w:rPr>
          <w:fldChar w:fldCharType="begin"/>
        </w:r>
        <w:r w:rsidR="00FC7509">
          <w:rPr>
            <w:noProof/>
            <w:webHidden/>
          </w:rPr>
          <w:instrText xml:space="preserve"> PAGEREF _Toc363719531 \h </w:instrText>
        </w:r>
        <w:r w:rsidR="00FC7509">
          <w:rPr>
            <w:noProof/>
            <w:webHidden/>
          </w:rPr>
        </w:r>
        <w:r w:rsidR="00FC7509">
          <w:rPr>
            <w:noProof/>
            <w:webHidden/>
          </w:rPr>
          <w:fldChar w:fldCharType="separate"/>
        </w:r>
        <w:r w:rsidR="00C4384B">
          <w:rPr>
            <w:noProof/>
            <w:webHidden/>
          </w:rPr>
          <w:t>13</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32" w:history="1">
        <w:r w:rsidR="00FC7509" w:rsidRPr="001F03CC">
          <w:rPr>
            <w:rStyle w:val="Hyperlink"/>
            <w:noProof/>
          </w:rPr>
          <w:t>4.2</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Rule requirements</w:t>
        </w:r>
        <w:r w:rsidR="00FC7509">
          <w:rPr>
            <w:noProof/>
            <w:webHidden/>
          </w:rPr>
          <w:tab/>
        </w:r>
        <w:r w:rsidR="00FC7509">
          <w:rPr>
            <w:noProof/>
            <w:webHidden/>
          </w:rPr>
          <w:fldChar w:fldCharType="begin"/>
        </w:r>
        <w:r w:rsidR="00FC7509">
          <w:rPr>
            <w:noProof/>
            <w:webHidden/>
          </w:rPr>
          <w:instrText xml:space="preserve"> PAGEREF _Toc363719532 \h </w:instrText>
        </w:r>
        <w:r w:rsidR="00FC7509">
          <w:rPr>
            <w:noProof/>
            <w:webHidden/>
          </w:rPr>
        </w:r>
        <w:r w:rsidR="00FC7509">
          <w:rPr>
            <w:noProof/>
            <w:webHidden/>
          </w:rPr>
          <w:fldChar w:fldCharType="separate"/>
        </w:r>
        <w:r w:rsidR="00C4384B">
          <w:rPr>
            <w:noProof/>
            <w:webHidden/>
          </w:rPr>
          <w:t>13</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33" w:history="1">
        <w:r w:rsidR="00FC7509" w:rsidRPr="001F03CC">
          <w:rPr>
            <w:rStyle w:val="Hyperlink"/>
            <w:noProof/>
          </w:rPr>
          <w:t>4.3</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Approach</w:t>
        </w:r>
        <w:r w:rsidR="00FC7509">
          <w:rPr>
            <w:noProof/>
            <w:webHidden/>
          </w:rPr>
          <w:tab/>
        </w:r>
        <w:r w:rsidR="00FC7509">
          <w:rPr>
            <w:noProof/>
            <w:webHidden/>
          </w:rPr>
          <w:fldChar w:fldCharType="begin"/>
        </w:r>
        <w:r w:rsidR="00FC7509">
          <w:rPr>
            <w:noProof/>
            <w:webHidden/>
          </w:rPr>
          <w:instrText xml:space="preserve"> PAGEREF _Toc363719533 \h </w:instrText>
        </w:r>
        <w:r w:rsidR="00FC7509">
          <w:rPr>
            <w:noProof/>
            <w:webHidden/>
          </w:rPr>
        </w:r>
        <w:r w:rsidR="00FC7509">
          <w:rPr>
            <w:noProof/>
            <w:webHidden/>
          </w:rPr>
          <w:fldChar w:fldCharType="separate"/>
        </w:r>
        <w:r w:rsidR="00C4384B">
          <w:rPr>
            <w:noProof/>
            <w:webHidden/>
          </w:rPr>
          <w:t>13</w:t>
        </w:r>
        <w:r w:rsidR="00FC7509">
          <w:rPr>
            <w:noProof/>
            <w:webHidden/>
          </w:rPr>
          <w:fldChar w:fldCharType="end"/>
        </w:r>
      </w:hyperlink>
    </w:p>
    <w:p w:rsidR="00FC7509" w:rsidRDefault="00F5044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19534" w:history="1">
        <w:r w:rsidR="00FC7509" w:rsidRPr="001F03CC">
          <w:rPr>
            <w:rStyle w:val="Hyperlink"/>
            <w:noProof/>
          </w:rPr>
          <w:t>5</w:t>
        </w:r>
        <w:r w:rsidR="00FC7509">
          <w:rPr>
            <w:rFonts w:asciiTheme="minorHAnsi" w:eastAsiaTheme="minorEastAsia" w:hAnsiTheme="minorHAnsi" w:cstheme="minorBidi"/>
            <w:b w:val="0"/>
            <w:bCs w:val="0"/>
            <w:noProof/>
            <w:sz w:val="22"/>
            <w:szCs w:val="22"/>
            <w:lang w:eastAsia="en-AU"/>
          </w:rPr>
          <w:tab/>
        </w:r>
        <w:r w:rsidR="00FC7509" w:rsidRPr="001F03CC">
          <w:rPr>
            <w:rStyle w:val="Hyperlink"/>
            <w:noProof/>
          </w:rPr>
          <w:t>Ex post measures for efficient capital expenditure</w:t>
        </w:r>
        <w:r w:rsidR="00FC7509">
          <w:rPr>
            <w:noProof/>
            <w:webHidden/>
          </w:rPr>
          <w:tab/>
        </w:r>
        <w:r w:rsidR="00FC7509">
          <w:rPr>
            <w:noProof/>
            <w:webHidden/>
          </w:rPr>
          <w:fldChar w:fldCharType="begin"/>
        </w:r>
        <w:r w:rsidR="00FC7509">
          <w:rPr>
            <w:noProof/>
            <w:webHidden/>
          </w:rPr>
          <w:instrText xml:space="preserve"> PAGEREF _Toc363719534 \h </w:instrText>
        </w:r>
        <w:r w:rsidR="00FC7509">
          <w:rPr>
            <w:noProof/>
            <w:webHidden/>
          </w:rPr>
        </w:r>
        <w:r w:rsidR="00FC7509">
          <w:rPr>
            <w:noProof/>
            <w:webHidden/>
          </w:rPr>
          <w:fldChar w:fldCharType="separate"/>
        </w:r>
        <w:r w:rsidR="00C4384B">
          <w:rPr>
            <w:noProof/>
            <w:webHidden/>
          </w:rPr>
          <w:t>15</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35" w:history="1">
        <w:r w:rsidR="00FC7509" w:rsidRPr="001F03CC">
          <w:rPr>
            <w:rStyle w:val="Hyperlink"/>
            <w:noProof/>
          </w:rPr>
          <w:t>5.1</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Objectives</w:t>
        </w:r>
        <w:r w:rsidR="00FC7509">
          <w:rPr>
            <w:noProof/>
            <w:webHidden/>
          </w:rPr>
          <w:tab/>
        </w:r>
        <w:r w:rsidR="00FC7509">
          <w:rPr>
            <w:noProof/>
            <w:webHidden/>
          </w:rPr>
          <w:fldChar w:fldCharType="begin"/>
        </w:r>
        <w:r w:rsidR="00FC7509">
          <w:rPr>
            <w:noProof/>
            <w:webHidden/>
          </w:rPr>
          <w:instrText xml:space="preserve"> PAGEREF _Toc363719535 \h </w:instrText>
        </w:r>
        <w:r w:rsidR="00FC7509">
          <w:rPr>
            <w:noProof/>
            <w:webHidden/>
          </w:rPr>
        </w:r>
        <w:r w:rsidR="00FC7509">
          <w:rPr>
            <w:noProof/>
            <w:webHidden/>
          </w:rPr>
          <w:fldChar w:fldCharType="separate"/>
        </w:r>
        <w:r w:rsidR="00C4384B">
          <w:rPr>
            <w:noProof/>
            <w:webHidden/>
          </w:rPr>
          <w:t>15</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36" w:history="1">
        <w:r w:rsidR="00FC7509" w:rsidRPr="001F03CC">
          <w:rPr>
            <w:rStyle w:val="Hyperlink"/>
            <w:noProof/>
          </w:rPr>
          <w:t>5.2</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Rule requirements</w:t>
        </w:r>
        <w:r w:rsidR="00FC7509">
          <w:rPr>
            <w:noProof/>
            <w:webHidden/>
          </w:rPr>
          <w:tab/>
        </w:r>
        <w:r w:rsidR="00FC7509">
          <w:rPr>
            <w:noProof/>
            <w:webHidden/>
          </w:rPr>
          <w:fldChar w:fldCharType="begin"/>
        </w:r>
        <w:r w:rsidR="00FC7509">
          <w:rPr>
            <w:noProof/>
            <w:webHidden/>
          </w:rPr>
          <w:instrText xml:space="preserve"> PAGEREF _Toc363719536 \h </w:instrText>
        </w:r>
        <w:r w:rsidR="00FC7509">
          <w:rPr>
            <w:noProof/>
            <w:webHidden/>
          </w:rPr>
        </w:r>
        <w:r w:rsidR="00FC7509">
          <w:rPr>
            <w:noProof/>
            <w:webHidden/>
          </w:rPr>
          <w:fldChar w:fldCharType="separate"/>
        </w:r>
        <w:r w:rsidR="00C4384B">
          <w:rPr>
            <w:noProof/>
            <w:webHidden/>
          </w:rPr>
          <w:t>15</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37" w:history="1">
        <w:r w:rsidR="00FC7509" w:rsidRPr="001F03CC">
          <w:rPr>
            <w:rStyle w:val="Hyperlink"/>
            <w:noProof/>
          </w:rPr>
          <w:t>5.3</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Ex post review process</w:t>
        </w:r>
        <w:r w:rsidR="00FC7509">
          <w:rPr>
            <w:noProof/>
            <w:webHidden/>
          </w:rPr>
          <w:tab/>
        </w:r>
        <w:r w:rsidR="00FC7509">
          <w:rPr>
            <w:noProof/>
            <w:webHidden/>
          </w:rPr>
          <w:fldChar w:fldCharType="begin"/>
        </w:r>
        <w:r w:rsidR="00FC7509">
          <w:rPr>
            <w:noProof/>
            <w:webHidden/>
          </w:rPr>
          <w:instrText xml:space="preserve"> PAGEREF _Toc363719537 \h </w:instrText>
        </w:r>
        <w:r w:rsidR="00FC7509">
          <w:rPr>
            <w:noProof/>
            <w:webHidden/>
          </w:rPr>
        </w:r>
        <w:r w:rsidR="00FC7509">
          <w:rPr>
            <w:noProof/>
            <w:webHidden/>
          </w:rPr>
          <w:fldChar w:fldCharType="separate"/>
        </w:r>
        <w:r w:rsidR="00C4384B">
          <w:rPr>
            <w:noProof/>
            <w:webHidden/>
          </w:rPr>
          <w:t>15</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38" w:history="1">
        <w:r w:rsidR="00FC7509" w:rsidRPr="001F03CC">
          <w:rPr>
            <w:rStyle w:val="Hyperlink"/>
            <w:noProof/>
          </w:rPr>
          <w:t>5.4</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Exclusion of capex from the RAB</w:t>
        </w:r>
        <w:r w:rsidR="00FC7509">
          <w:rPr>
            <w:noProof/>
            <w:webHidden/>
          </w:rPr>
          <w:tab/>
        </w:r>
        <w:r w:rsidR="00FC7509">
          <w:rPr>
            <w:noProof/>
            <w:webHidden/>
          </w:rPr>
          <w:fldChar w:fldCharType="begin"/>
        </w:r>
        <w:r w:rsidR="00FC7509">
          <w:rPr>
            <w:noProof/>
            <w:webHidden/>
          </w:rPr>
          <w:instrText xml:space="preserve"> PAGEREF _Toc363719538 \h </w:instrText>
        </w:r>
        <w:r w:rsidR="00FC7509">
          <w:rPr>
            <w:noProof/>
            <w:webHidden/>
          </w:rPr>
        </w:r>
        <w:r w:rsidR="00FC7509">
          <w:rPr>
            <w:noProof/>
            <w:webHidden/>
          </w:rPr>
          <w:fldChar w:fldCharType="separate"/>
        </w:r>
        <w:r w:rsidR="00C4384B">
          <w:rPr>
            <w:noProof/>
            <w:webHidden/>
          </w:rPr>
          <w:t>18</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39" w:history="1">
        <w:r w:rsidR="00FC7509" w:rsidRPr="001F03CC">
          <w:rPr>
            <w:rStyle w:val="Hyperlink"/>
            <w:noProof/>
          </w:rPr>
          <w:t>5.5</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Ex post statement</w:t>
        </w:r>
        <w:r w:rsidR="00FC7509">
          <w:rPr>
            <w:noProof/>
            <w:webHidden/>
          </w:rPr>
          <w:tab/>
        </w:r>
        <w:r w:rsidR="00FC7509">
          <w:rPr>
            <w:noProof/>
            <w:webHidden/>
          </w:rPr>
          <w:fldChar w:fldCharType="begin"/>
        </w:r>
        <w:r w:rsidR="00FC7509">
          <w:rPr>
            <w:noProof/>
            <w:webHidden/>
          </w:rPr>
          <w:instrText xml:space="preserve"> PAGEREF _Toc363719539 \h </w:instrText>
        </w:r>
        <w:r w:rsidR="00FC7509">
          <w:rPr>
            <w:noProof/>
            <w:webHidden/>
          </w:rPr>
        </w:r>
        <w:r w:rsidR="00FC7509">
          <w:rPr>
            <w:noProof/>
            <w:webHidden/>
          </w:rPr>
          <w:fldChar w:fldCharType="separate"/>
        </w:r>
        <w:r w:rsidR="00C4384B">
          <w:rPr>
            <w:noProof/>
            <w:webHidden/>
          </w:rPr>
          <w:t>21</w:t>
        </w:r>
        <w:r w:rsidR="00FC7509">
          <w:rPr>
            <w:noProof/>
            <w:webHidden/>
          </w:rPr>
          <w:fldChar w:fldCharType="end"/>
        </w:r>
      </w:hyperlink>
    </w:p>
    <w:p w:rsidR="00FC7509" w:rsidRDefault="00F5044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3719540" w:history="1">
        <w:r w:rsidR="00FC7509" w:rsidRPr="001F03CC">
          <w:rPr>
            <w:rStyle w:val="Hyperlink"/>
            <w:noProof/>
          </w:rPr>
          <w:t>6</w:t>
        </w:r>
        <w:r w:rsidR="00FC7509">
          <w:rPr>
            <w:rFonts w:asciiTheme="minorHAnsi" w:eastAsiaTheme="minorEastAsia" w:hAnsiTheme="minorHAnsi" w:cstheme="minorBidi"/>
            <w:b w:val="0"/>
            <w:bCs w:val="0"/>
            <w:noProof/>
            <w:sz w:val="22"/>
            <w:szCs w:val="22"/>
            <w:lang w:eastAsia="en-AU"/>
          </w:rPr>
          <w:tab/>
        </w:r>
        <w:r w:rsidR="00FC7509" w:rsidRPr="001F03CC">
          <w:rPr>
            <w:rStyle w:val="Hyperlink"/>
            <w:noProof/>
          </w:rPr>
          <w:t>How these measures are consistent with the capital expenditure incentive objective</w:t>
        </w:r>
        <w:r w:rsidR="00FC7509">
          <w:rPr>
            <w:noProof/>
            <w:webHidden/>
          </w:rPr>
          <w:tab/>
        </w:r>
        <w:r w:rsidR="00FC7509">
          <w:rPr>
            <w:noProof/>
            <w:webHidden/>
          </w:rPr>
          <w:fldChar w:fldCharType="begin"/>
        </w:r>
        <w:r w:rsidR="00FC7509">
          <w:rPr>
            <w:noProof/>
            <w:webHidden/>
          </w:rPr>
          <w:instrText xml:space="preserve"> PAGEREF _Toc363719540 \h </w:instrText>
        </w:r>
        <w:r w:rsidR="00FC7509">
          <w:rPr>
            <w:noProof/>
            <w:webHidden/>
          </w:rPr>
        </w:r>
        <w:r w:rsidR="00FC7509">
          <w:rPr>
            <w:noProof/>
            <w:webHidden/>
          </w:rPr>
          <w:fldChar w:fldCharType="separate"/>
        </w:r>
        <w:r w:rsidR="00C4384B">
          <w:rPr>
            <w:noProof/>
            <w:webHidden/>
          </w:rPr>
          <w:t>22</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41" w:history="1">
        <w:r w:rsidR="00FC7509" w:rsidRPr="001F03CC">
          <w:rPr>
            <w:rStyle w:val="Hyperlink"/>
            <w:noProof/>
          </w:rPr>
          <w:t>6.1</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The capital expenditure sharing scheme</w:t>
        </w:r>
        <w:r w:rsidR="00FC7509">
          <w:rPr>
            <w:noProof/>
            <w:webHidden/>
          </w:rPr>
          <w:tab/>
        </w:r>
        <w:r w:rsidR="00FC7509">
          <w:rPr>
            <w:noProof/>
            <w:webHidden/>
          </w:rPr>
          <w:fldChar w:fldCharType="begin"/>
        </w:r>
        <w:r w:rsidR="00FC7509">
          <w:rPr>
            <w:noProof/>
            <w:webHidden/>
          </w:rPr>
          <w:instrText xml:space="preserve"> PAGEREF _Toc363719541 \h </w:instrText>
        </w:r>
        <w:r w:rsidR="00FC7509">
          <w:rPr>
            <w:noProof/>
            <w:webHidden/>
          </w:rPr>
        </w:r>
        <w:r w:rsidR="00FC7509">
          <w:rPr>
            <w:noProof/>
            <w:webHidden/>
          </w:rPr>
          <w:fldChar w:fldCharType="separate"/>
        </w:r>
        <w:r w:rsidR="00C4384B">
          <w:rPr>
            <w:noProof/>
            <w:webHidden/>
          </w:rPr>
          <w:t>22</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42" w:history="1">
        <w:r w:rsidR="00FC7509" w:rsidRPr="001F03CC">
          <w:rPr>
            <w:rStyle w:val="Hyperlink"/>
            <w:noProof/>
          </w:rPr>
          <w:t>6.2</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Use of actual or forecast depreciation</w:t>
        </w:r>
        <w:r w:rsidR="00FC7509">
          <w:rPr>
            <w:noProof/>
            <w:webHidden/>
          </w:rPr>
          <w:tab/>
        </w:r>
        <w:r w:rsidR="00FC7509">
          <w:rPr>
            <w:noProof/>
            <w:webHidden/>
          </w:rPr>
          <w:fldChar w:fldCharType="begin"/>
        </w:r>
        <w:r w:rsidR="00FC7509">
          <w:rPr>
            <w:noProof/>
            <w:webHidden/>
          </w:rPr>
          <w:instrText xml:space="preserve"> PAGEREF _Toc363719542 \h </w:instrText>
        </w:r>
        <w:r w:rsidR="00FC7509">
          <w:rPr>
            <w:noProof/>
            <w:webHidden/>
          </w:rPr>
        </w:r>
        <w:r w:rsidR="00FC7509">
          <w:rPr>
            <w:noProof/>
            <w:webHidden/>
          </w:rPr>
          <w:fldChar w:fldCharType="separate"/>
        </w:r>
        <w:r w:rsidR="00C4384B">
          <w:rPr>
            <w:noProof/>
            <w:webHidden/>
          </w:rPr>
          <w:t>22</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43" w:history="1">
        <w:r w:rsidR="00FC7509" w:rsidRPr="001F03CC">
          <w:rPr>
            <w:rStyle w:val="Hyperlink"/>
            <w:noProof/>
          </w:rPr>
          <w:t>6.3</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Ex post statement and exclusions from the regulatory asset base</w:t>
        </w:r>
        <w:r w:rsidR="00FC7509">
          <w:rPr>
            <w:noProof/>
            <w:webHidden/>
          </w:rPr>
          <w:tab/>
        </w:r>
        <w:r w:rsidR="00FC7509">
          <w:rPr>
            <w:noProof/>
            <w:webHidden/>
          </w:rPr>
          <w:fldChar w:fldCharType="begin"/>
        </w:r>
        <w:r w:rsidR="00FC7509">
          <w:rPr>
            <w:noProof/>
            <w:webHidden/>
          </w:rPr>
          <w:instrText xml:space="preserve"> PAGEREF _Toc363719543 \h </w:instrText>
        </w:r>
        <w:r w:rsidR="00FC7509">
          <w:rPr>
            <w:noProof/>
            <w:webHidden/>
          </w:rPr>
        </w:r>
        <w:r w:rsidR="00FC7509">
          <w:rPr>
            <w:noProof/>
            <w:webHidden/>
          </w:rPr>
          <w:fldChar w:fldCharType="separate"/>
        </w:r>
        <w:r w:rsidR="00C4384B">
          <w:rPr>
            <w:noProof/>
            <w:webHidden/>
          </w:rPr>
          <w:t>23</w:t>
        </w:r>
        <w:r w:rsidR="00FC7509">
          <w:rPr>
            <w:noProof/>
            <w:webHidden/>
          </w:rPr>
          <w:fldChar w:fldCharType="end"/>
        </w:r>
      </w:hyperlink>
    </w:p>
    <w:p w:rsidR="00FC7509" w:rsidRDefault="00F50447">
      <w:pPr>
        <w:pStyle w:val="TOC2"/>
        <w:rPr>
          <w:rFonts w:asciiTheme="minorHAnsi" w:eastAsiaTheme="minorEastAsia" w:hAnsiTheme="minorHAnsi" w:cstheme="minorBidi"/>
          <w:iCs w:val="0"/>
          <w:noProof/>
          <w:sz w:val="22"/>
          <w:szCs w:val="22"/>
          <w:lang w:eastAsia="en-AU"/>
        </w:rPr>
      </w:pPr>
      <w:hyperlink w:anchor="_Toc363719544" w:history="1">
        <w:r w:rsidR="00FC7509" w:rsidRPr="001F03CC">
          <w:rPr>
            <w:rStyle w:val="Hyperlink"/>
            <w:noProof/>
          </w:rPr>
          <w:t>6.4</w:t>
        </w:r>
        <w:r w:rsidR="00FC7509">
          <w:rPr>
            <w:rFonts w:asciiTheme="minorHAnsi" w:eastAsiaTheme="minorEastAsia" w:hAnsiTheme="minorHAnsi" w:cstheme="minorBidi"/>
            <w:iCs w:val="0"/>
            <w:noProof/>
            <w:sz w:val="22"/>
            <w:szCs w:val="22"/>
            <w:lang w:eastAsia="en-AU"/>
          </w:rPr>
          <w:tab/>
        </w:r>
        <w:r w:rsidR="00FC7509" w:rsidRPr="001F03CC">
          <w:rPr>
            <w:rStyle w:val="Hyperlink"/>
            <w:noProof/>
          </w:rPr>
          <w:t>How the measures together are consistent with the objective</w:t>
        </w:r>
        <w:r w:rsidR="00FC7509">
          <w:rPr>
            <w:noProof/>
            <w:webHidden/>
          </w:rPr>
          <w:tab/>
        </w:r>
        <w:r w:rsidR="00FC7509">
          <w:rPr>
            <w:noProof/>
            <w:webHidden/>
          </w:rPr>
          <w:fldChar w:fldCharType="begin"/>
        </w:r>
        <w:r w:rsidR="00FC7509">
          <w:rPr>
            <w:noProof/>
            <w:webHidden/>
          </w:rPr>
          <w:instrText xml:space="preserve"> PAGEREF _Toc363719544 \h </w:instrText>
        </w:r>
        <w:r w:rsidR="00FC7509">
          <w:rPr>
            <w:noProof/>
            <w:webHidden/>
          </w:rPr>
        </w:r>
        <w:r w:rsidR="00FC7509">
          <w:rPr>
            <w:noProof/>
            <w:webHidden/>
          </w:rPr>
          <w:fldChar w:fldCharType="separate"/>
        </w:r>
        <w:r w:rsidR="00C4384B">
          <w:rPr>
            <w:noProof/>
            <w:webHidden/>
          </w:rPr>
          <w:t>23</w:t>
        </w:r>
        <w:r w:rsidR="00FC7509">
          <w:rPr>
            <w:noProof/>
            <w:webHidden/>
          </w:rPr>
          <w:fldChar w:fldCharType="end"/>
        </w:r>
      </w:hyperlink>
    </w:p>
    <w:p w:rsidR="00744D40" w:rsidRDefault="00744D40">
      <w:pPr>
        <w:spacing w:after="0" w:line="240" w:lineRule="auto"/>
        <w:jc w:val="left"/>
        <w:rPr>
          <w:rStyle w:val="Hyperlink"/>
          <w:b/>
          <w:bCs/>
          <w:noProof/>
        </w:rPr>
      </w:pPr>
      <w:r>
        <w:rPr>
          <w:rStyle w:val="Hyperlink"/>
          <w:noProof/>
        </w:rPr>
        <w:br w:type="page"/>
      </w:r>
    </w:p>
    <w:p w:rsidR="00FC7509" w:rsidRDefault="00FC7509">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3719545" w:history="1">
        <w:r w:rsidRPr="001F03CC">
          <w:rPr>
            <w:rStyle w:val="Hyperlink"/>
            <w:noProof/>
          </w:rPr>
          <w:t>Glossary</w:t>
        </w:r>
        <w:r>
          <w:rPr>
            <w:noProof/>
            <w:webHidden/>
          </w:rPr>
          <w:tab/>
        </w:r>
        <w:r>
          <w:rPr>
            <w:noProof/>
            <w:webHidden/>
          </w:rPr>
          <w:fldChar w:fldCharType="begin"/>
        </w:r>
        <w:r>
          <w:rPr>
            <w:noProof/>
            <w:webHidden/>
          </w:rPr>
          <w:instrText xml:space="preserve"> PAGEREF _Toc363719545 \h </w:instrText>
        </w:r>
        <w:r>
          <w:rPr>
            <w:noProof/>
            <w:webHidden/>
          </w:rPr>
        </w:r>
        <w:r>
          <w:rPr>
            <w:noProof/>
            <w:webHidden/>
          </w:rPr>
          <w:fldChar w:fldCharType="separate"/>
        </w:r>
        <w:r w:rsidR="00C4384B">
          <w:rPr>
            <w:noProof/>
            <w:webHidden/>
          </w:rPr>
          <w:t>24</w:t>
        </w:r>
        <w:r>
          <w:rPr>
            <w:noProof/>
            <w:webHidden/>
          </w:rPr>
          <w:fldChar w:fldCharType="end"/>
        </w:r>
      </w:hyperlink>
    </w:p>
    <w:p w:rsidR="009F7CE4" w:rsidRDefault="00F50447" w:rsidP="00FC7509">
      <w:pPr>
        <w:pStyle w:val="TOC1"/>
        <w:tabs>
          <w:tab w:val="left" w:pos="400"/>
          <w:tab w:val="right" w:leader="dot" w:pos="9016"/>
        </w:tabs>
      </w:pPr>
      <w:hyperlink w:anchor="_Toc363719546" w:history="1">
        <w:r w:rsidR="00FC7509" w:rsidRPr="001F03CC">
          <w:rPr>
            <w:rStyle w:val="Hyperlink"/>
            <w:noProof/>
          </w:rPr>
          <w:t>A</w:t>
        </w:r>
        <w:r w:rsidR="00FC7509">
          <w:rPr>
            <w:rFonts w:asciiTheme="minorHAnsi" w:eastAsiaTheme="minorEastAsia" w:hAnsiTheme="minorHAnsi" w:cstheme="minorBidi"/>
            <w:b w:val="0"/>
            <w:bCs w:val="0"/>
            <w:noProof/>
            <w:sz w:val="22"/>
            <w:szCs w:val="22"/>
            <w:lang w:eastAsia="en-AU"/>
          </w:rPr>
          <w:tab/>
        </w:r>
        <w:r w:rsidR="00FC7509" w:rsidRPr="001F03CC">
          <w:rPr>
            <w:rStyle w:val="Hyperlink"/>
            <w:noProof/>
          </w:rPr>
          <w:t>Capital expenditure sharing scheme example</w:t>
        </w:r>
        <w:r w:rsidR="00FC7509">
          <w:rPr>
            <w:noProof/>
            <w:webHidden/>
          </w:rPr>
          <w:tab/>
        </w:r>
        <w:r w:rsidR="00FC7509">
          <w:rPr>
            <w:noProof/>
            <w:webHidden/>
          </w:rPr>
          <w:fldChar w:fldCharType="begin"/>
        </w:r>
        <w:r w:rsidR="00FC7509">
          <w:rPr>
            <w:noProof/>
            <w:webHidden/>
          </w:rPr>
          <w:instrText xml:space="preserve"> PAGEREF _Toc363719546 \h </w:instrText>
        </w:r>
        <w:r w:rsidR="00FC7509">
          <w:rPr>
            <w:noProof/>
            <w:webHidden/>
          </w:rPr>
        </w:r>
        <w:r w:rsidR="00FC7509">
          <w:rPr>
            <w:noProof/>
            <w:webHidden/>
          </w:rPr>
          <w:fldChar w:fldCharType="separate"/>
        </w:r>
        <w:r w:rsidR="00C4384B">
          <w:rPr>
            <w:noProof/>
            <w:webHidden/>
          </w:rPr>
          <w:t>25</w:t>
        </w:r>
        <w:r w:rsidR="00FC7509">
          <w:rPr>
            <w:noProof/>
            <w:webHidden/>
          </w:rPr>
          <w:fldChar w:fldCharType="end"/>
        </w:r>
      </w:hyperlink>
      <w:r w:rsidR="00EB3C1E">
        <w:fldChar w:fldCharType="end"/>
      </w:r>
    </w:p>
    <w:p w:rsidR="00E807DA" w:rsidRDefault="00E17058" w:rsidP="0037652C">
      <w:pPr>
        <w:pStyle w:val="Heading1"/>
        <w:numPr>
          <w:ilvl w:val="1"/>
          <w:numId w:val="2"/>
        </w:numPr>
      </w:pPr>
      <w:bookmarkStart w:id="4" w:name="_Toc363719515"/>
      <w:r>
        <w:lastRenderedPageBreak/>
        <w:t>Nature and authority</w:t>
      </w:r>
      <w:bookmarkEnd w:id="4"/>
    </w:p>
    <w:p w:rsidR="00DD0B5F" w:rsidRDefault="00DD0B5F" w:rsidP="00DD0B5F">
      <w:pPr>
        <w:pStyle w:val="Heading2"/>
      </w:pPr>
      <w:bookmarkStart w:id="5" w:name="_Toc363719516"/>
      <w:r w:rsidRPr="00DD0B5F">
        <w:t>Introduction</w:t>
      </w:r>
      <w:bookmarkEnd w:id="5"/>
    </w:p>
    <w:p w:rsidR="00BE1D00" w:rsidRPr="001D3CDC" w:rsidRDefault="00FB5450" w:rsidP="001D3CDC">
      <w:pPr>
        <w:pStyle w:val="AERbodytext"/>
      </w:pPr>
      <w:r>
        <w:t xml:space="preserve">Consistent with clauses 6.2.8, 6.4A, 6A.2.3 and 6A.5A </w:t>
      </w:r>
      <w:r w:rsidR="00034DEC" w:rsidRPr="001D3CDC">
        <w:t xml:space="preserve">of the </w:t>
      </w:r>
      <w:r w:rsidR="00034DEC" w:rsidRPr="001D3CDC">
        <w:rPr>
          <w:rStyle w:val="AERtextitalic"/>
          <w:i w:val="0"/>
        </w:rPr>
        <w:t>National Electricity Rules</w:t>
      </w:r>
      <w:r w:rsidR="00034DEC" w:rsidRPr="001D3CDC">
        <w:t xml:space="preserve"> (NER) this publication sets out the Australian Energy Regulator's (AER) </w:t>
      </w:r>
      <w:r w:rsidR="00CE6F91" w:rsidRPr="001D3CDC">
        <w:t>capital expenditure incentive g</w:t>
      </w:r>
      <w:r w:rsidRPr="001D3CDC">
        <w:t>uideline</w:t>
      </w:r>
      <w:r w:rsidR="00CE6F91" w:rsidRPr="001D3CDC">
        <w:t>s</w:t>
      </w:r>
      <w:r w:rsidRPr="001D3CDC">
        <w:t xml:space="preserve"> </w:t>
      </w:r>
      <w:r w:rsidR="00CE6F91" w:rsidRPr="001D3CDC">
        <w:t>(</w:t>
      </w:r>
      <w:r w:rsidR="006F254C" w:rsidRPr="001D3CDC">
        <w:t>guidelines</w:t>
      </w:r>
      <w:r w:rsidR="00CE6F91" w:rsidRPr="001D3CDC">
        <w:t xml:space="preserve">) </w:t>
      </w:r>
      <w:r w:rsidRPr="001D3CDC">
        <w:t xml:space="preserve">for electricity </w:t>
      </w:r>
      <w:r w:rsidR="00E5310E" w:rsidRPr="001D3CDC">
        <w:t>network service providers (</w:t>
      </w:r>
      <w:r w:rsidRPr="001D3CDC">
        <w:t>NSPs)</w:t>
      </w:r>
      <w:r w:rsidR="00034DEC" w:rsidRPr="001D3CDC">
        <w:t>.</w:t>
      </w:r>
      <w:r w:rsidRPr="001D3CDC">
        <w:t xml:space="preserve"> This includes </w:t>
      </w:r>
      <w:r w:rsidR="006F7E8D" w:rsidRPr="001D3CDC">
        <w:t xml:space="preserve">the AER's </w:t>
      </w:r>
      <w:r w:rsidR="00CE6F91" w:rsidRPr="001D3CDC">
        <w:t>c</w:t>
      </w:r>
      <w:r w:rsidR="00CE6F91" w:rsidRPr="001D3CDC">
        <w:rPr>
          <w:rStyle w:val="AERtextitalic"/>
          <w:i w:val="0"/>
        </w:rPr>
        <w:t>apital expenditure sharing s</w:t>
      </w:r>
      <w:r w:rsidR="00BE1D00" w:rsidRPr="001D3CDC">
        <w:rPr>
          <w:rStyle w:val="AERtextitalic"/>
          <w:i w:val="0"/>
        </w:rPr>
        <w:t>cheme</w:t>
      </w:r>
      <w:r w:rsidR="00BE1D00" w:rsidRPr="001D3CDC">
        <w:t xml:space="preserve"> (CESS) for </w:t>
      </w:r>
      <w:r w:rsidR="00E5310E" w:rsidRPr="001D3CDC">
        <w:t>NSPs</w:t>
      </w:r>
      <w:r w:rsidR="00BE1D00" w:rsidRPr="001D3CDC">
        <w:t>.</w:t>
      </w:r>
      <w:r w:rsidRPr="001D3CDC">
        <w:t xml:space="preserve"> </w:t>
      </w:r>
    </w:p>
    <w:p w:rsidR="00561F7F" w:rsidRDefault="00DD0B5F" w:rsidP="00DD0B5F">
      <w:pPr>
        <w:pStyle w:val="Heading2"/>
      </w:pPr>
      <w:bookmarkStart w:id="6" w:name="_Toc352688443"/>
      <w:bookmarkStart w:id="7" w:name="_Toc352688444"/>
      <w:bookmarkStart w:id="8" w:name="_Toc352688445"/>
      <w:bookmarkStart w:id="9" w:name="_Toc352688466"/>
      <w:bookmarkStart w:id="10" w:name="_Toc352688467"/>
      <w:bookmarkStart w:id="11" w:name="_Toc352688468"/>
      <w:bookmarkStart w:id="12" w:name="_Toc352688469"/>
      <w:bookmarkStart w:id="13" w:name="_Toc352688482"/>
      <w:bookmarkStart w:id="14" w:name="_Toc352688483"/>
      <w:bookmarkStart w:id="15" w:name="_Toc352688484"/>
      <w:bookmarkStart w:id="16" w:name="_Toc352688485"/>
      <w:bookmarkStart w:id="17" w:name="_Toc352688486"/>
      <w:bookmarkStart w:id="18" w:name="_Toc352688487"/>
      <w:bookmarkStart w:id="19" w:name="_Toc363719517"/>
      <w:bookmarkEnd w:id="6"/>
      <w:bookmarkEnd w:id="7"/>
      <w:bookmarkEnd w:id="8"/>
      <w:bookmarkEnd w:id="9"/>
      <w:bookmarkEnd w:id="10"/>
      <w:bookmarkEnd w:id="11"/>
      <w:bookmarkEnd w:id="12"/>
      <w:bookmarkEnd w:id="13"/>
      <w:bookmarkEnd w:id="14"/>
      <w:bookmarkEnd w:id="15"/>
      <w:bookmarkEnd w:id="16"/>
      <w:bookmarkEnd w:id="17"/>
      <w:bookmarkEnd w:id="18"/>
      <w:r>
        <w:t>Authority</w:t>
      </w:r>
      <w:bookmarkEnd w:id="19"/>
    </w:p>
    <w:p w:rsidR="00FB5450" w:rsidRPr="00FB5450" w:rsidRDefault="00034DEC" w:rsidP="005D02E4">
      <w:pPr>
        <w:pStyle w:val="AERbodytext"/>
      </w:pPr>
      <w:r w:rsidRPr="00FB5450">
        <w:t>Clause</w:t>
      </w:r>
      <w:r w:rsidR="00FB5450">
        <w:t>s</w:t>
      </w:r>
      <w:r w:rsidRPr="00FB5450">
        <w:t xml:space="preserve"> </w:t>
      </w:r>
      <w:r w:rsidR="00FB5450" w:rsidRPr="00FB5450">
        <w:t xml:space="preserve">6.2.8 and </w:t>
      </w:r>
      <w:r w:rsidR="00313D58">
        <w:t>6A.2.3</w:t>
      </w:r>
      <w:r w:rsidR="00FB5450" w:rsidRPr="00FB5450">
        <w:t xml:space="preserve"> </w:t>
      </w:r>
      <w:r w:rsidRPr="00FB5450">
        <w:t>of the NER</w:t>
      </w:r>
      <w:r w:rsidR="00FB5450">
        <w:t xml:space="preserve"> require</w:t>
      </w:r>
      <w:r w:rsidRPr="00FB5450">
        <w:t xml:space="preserve"> the AER to develop, in accordance with the </w:t>
      </w:r>
      <w:r w:rsidRPr="00E4204B">
        <w:t>consultation procedures</w:t>
      </w:r>
      <w:r w:rsidR="00FB5450" w:rsidRPr="00E4204B">
        <w:t xml:space="preserve"> </w:t>
      </w:r>
      <w:r w:rsidR="00FB5450">
        <w:t>under clauses 6.16 and 6A.20 of the NER</w:t>
      </w:r>
      <w:r w:rsidR="00F73DAF" w:rsidRPr="00FB5450">
        <w:t xml:space="preserve">, </w:t>
      </w:r>
      <w:r w:rsidRPr="005D02E4">
        <w:t>the</w:t>
      </w:r>
      <w:r w:rsidR="001D3CDC">
        <w:t>se</w:t>
      </w:r>
      <w:r w:rsidRPr="005D02E4">
        <w:t xml:space="preserve"> </w:t>
      </w:r>
      <w:r w:rsidR="006F254C" w:rsidRPr="005D02E4">
        <w:t>guidelines</w:t>
      </w:r>
      <w:r w:rsidRPr="005D02E4">
        <w:t>.</w:t>
      </w:r>
      <w:r w:rsidR="00313D58" w:rsidRPr="005D02E4">
        <w:t xml:space="preserve"> C</w:t>
      </w:r>
      <w:r w:rsidR="00FB5450" w:rsidRPr="005D02E4">
        <w:t>lause</w:t>
      </w:r>
      <w:r w:rsidR="006F7E8D" w:rsidRPr="005D02E4">
        <w:t>s</w:t>
      </w:r>
      <w:r w:rsidR="00FB5450" w:rsidRPr="005D02E4">
        <w:t xml:space="preserve"> 6.4A(b)</w:t>
      </w:r>
      <w:r w:rsidR="006F7E8D" w:rsidRPr="005D02E4">
        <w:t xml:space="preserve"> and 6A.5A(b) </w:t>
      </w:r>
      <w:r w:rsidR="00FB5450" w:rsidRPr="005D02E4">
        <w:t>of the NER</w:t>
      </w:r>
      <w:r w:rsidR="00313D58" w:rsidRPr="005D02E4">
        <w:t xml:space="preserve"> outline the issues that must be included in the </w:t>
      </w:r>
      <w:r w:rsidR="006F254C" w:rsidRPr="005D02E4">
        <w:t>guidelines</w:t>
      </w:r>
      <w:r w:rsidR="00313D58" w:rsidRPr="005D02E4">
        <w:t>.</w:t>
      </w:r>
      <w:r w:rsidR="00313D58">
        <w:t xml:space="preserve"> </w:t>
      </w:r>
    </w:p>
    <w:p w:rsidR="00D4227B" w:rsidRPr="00D4227B" w:rsidRDefault="00D4227B" w:rsidP="00D4227B">
      <w:pPr>
        <w:pStyle w:val="Heading2"/>
      </w:pPr>
      <w:bookmarkStart w:id="20" w:name="_Toc363719518"/>
      <w:r>
        <w:t>Role of the guideline</w:t>
      </w:r>
      <w:r w:rsidR="001D3CDC">
        <w:t>s</w:t>
      </w:r>
      <w:bookmarkEnd w:id="20"/>
    </w:p>
    <w:p w:rsidR="006F7E8D" w:rsidRDefault="006F7E8D" w:rsidP="005D02E4">
      <w:pPr>
        <w:pStyle w:val="AERbodytext"/>
      </w:pPr>
      <w:r w:rsidRPr="006F7E8D">
        <w:t xml:space="preserve">Under </w:t>
      </w:r>
      <w:r>
        <w:t xml:space="preserve">clauses 6.4A(b) and 6A.5A(b) </w:t>
      </w:r>
      <w:r w:rsidR="001D3CDC">
        <w:t xml:space="preserve">of </w:t>
      </w:r>
      <w:r>
        <w:t xml:space="preserve">the </w:t>
      </w:r>
      <w:r w:rsidR="0061595A">
        <w:t>N</w:t>
      </w:r>
      <w:r w:rsidR="001D3CDC">
        <w:t>ER,</w:t>
      </w:r>
      <w:r w:rsidR="0086041E">
        <w:t xml:space="preserve"> </w:t>
      </w:r>
      <w:r w:rsidR="0086041E" w:rsidRPr="005D02E4">
        <w:t xml:space="preserve">the </w:t>
      </w:r>
      <w:r w:rsidR="006F254C" w:rsidRPr="005D02E4">
        <w:t>guidelines</w:t>
      </w:r>
      <w:r>
        <w:t xml:space="preserve"> must set out:</w:t>
      </w:r>
    </w:p>
    <w:p w:rsidR="00B41D96" w:rsidRPr="005D02E4" w:rsidRDefault="00B41D96" w:rsidP="005D02E4">
      <w:pPr>
        <w:pStyle w:val="AERbulletlistfirststyle"/>
      </w:pPr>
      <w:r w:rsidRPr="00B41D96">
        <w:t xml:space="preserve">the details of any </w:t>
      </w:r>
      <w:r>
        <w:t>CESS</w:t>
      </w:r>
      <w:r w:rsidR="001D3CDC">
        <w:t>, and how the AER</w:t>
      </w:r>
      <w:r w:rsidR="002F70D2">
        <w:t xml:space="preserve"> has </w:t>
      </w:r>
      <w:r w:rsidR="002F70D2" w:rsidRPr="005D02E4">
        <w:t>considered the capital expenditure sharing scheme principles in developing the CESS</w:t>
      </w:r>
    </w:p>
    <w:p w:rsidR="002F70D2" w:rsidRPr="005D02E4" w:rsidRDefault="001D3CDC" w:rsidP="005D02E4">
      <w:pPr>
        <w:pStyle w:val="AERbulletlistfirststyle"/>
      </w:pPr>
      <w:r>
        <w:t>how the AER</w:t>
      </w:r>
      <w:r w:rsidR="002F70D2" w:rsidRPr="005D02E4">
        <w:t xml:space="preserve"> proposes to determine whether to use depreciation based on actual or forecast cap</w:t>
      </w:r>
      <w:r>
        <w:t>ital expenditure (cap</w:t>
      </w:r>
      <w:r w:rsidR="002F70D2" w:rsidRPr="005D02E4">
        <w:t>ex</w:t>
      </w:r>
      <w:r>
        <w:t>)</w:t>
      </w:r>
      <w:r w:rsidR="002F70D2" w:rsidRPr="005D02E4">
        <w:t xml:space="preserve"> to roll forward the </w:t>
      </w:r>
      <w:r>
        <w:t>regulatory asset base (</w:t>
      </w:r>
      <w:r w:rsidR="002F70D2" w:rsidRPr="005D02E4">
        <w:t>RAB</w:t>
      </w:r>
      <w:r>
        <w:t>)</w:t>
      </w:r>
      <w:r w:rsidR="002F70D2" w:rsidRPr="005D02E4">
        <w:t xml:space="preserve"> at the commencement of a regulatory control period</w:t>
      </w:r>
    </w:p>
    <w:p w:rsidR="00B41D96" w:rsidRPr="005D02E4" w:rsidRDefault="001D3CDC" w:rsidP="005D02E4">
      <w:pPr>
        <w:pStyle w:val="AERbulletlistfirststyle"/>
      </w:pPr>
      <w:r>
        <w:t>how the AER</w:t>
      </w:r>
      <w:r w:rsidR="00B41D96" w:rsidRPr="005D02E4">
        <w:t xml:space="preserve"> will assess whether </w:t>
      </w:r>
      <w:r w:rsidR="002F70D2" w:rsidRPr="005D02E4">
        <w:t xml:space="preserve">to </w:t>
      </w:r>
      <w:r w:rsidR="00B41D96" w:rsidRPr="005D02E4">
        <w:t>e</w:t>
      </w:r>
      <w:r w:rsidR="002F70D2" w:rsidRPr="005D02E4">
        <w:t>xclude</w:t>
      </w:r>
      <w:r w:rsidR="00B41D96" w:rsidRPr="005D02E4">
        <w:t xml:space="preserve"> inefficient capex </w:t>
      </w:r>
      <w:r w:rsidR="002F70D2" w:rsidRPr="005D02E4">
        <w:t xml:space="preserve">overspends </w:t>
      </w:r>
      <w:r w:rsidR="00B41D96" w:rsidRPr="005D02E4">
        <w:t xml:space="preserve">from </w:t>
      </w:r>
      <w:r w:rsidR="002F70D2" w:rsidRPr="005D02E4">
        <w:t>the RAB, under clauses S6.2.2A(a) and S6A.2.2A(a)</w:t>
      </w:r>
    </w:p>
    <w:p w:rsidR="00B41D96" w:rsidRPr="005D02E4" w:rsidRDefault="001D3CDC" w:rsidP="005D02E4">
      <w:pPr>
        <w:pStyle w:val="AERbulletlistfirststyle"/>
      </w:pPr>
      <w:r>
        <w:t>how the AER</w:t>
      </w:r>
      <w:r w:rsidR="00B41D96" w:rsidRPr="005D02E4">
        <w:t xml:space="preserve"> will assess whether third party margins are efficient and whether these should be included in the RAB</w:t>
      </w:r>
      <w:r w:rsidR="002F70D2" w:rsidRPr="005D02E4">
        <w:t xml:space="preserve">, under clauses S6.2.2A(i) and S6A.2.2A(i) </w:t>
      </w:r>
      <w:r w:rsidR="00B41D96" w:rsidRPr="005D02E4">
        <w:t xml:space="preserve"> </w:t>
      </w:r>
    </w:p>
    <w:p w:rsidR="00B41D96" w:rsidRPr="005D02E4" w:rsidRDefault="00B41D96" w:rsidP="005D02E4">
      <w:pPr>
        <w:pStyle w:val="AERbulletlistfirststyle"/>
      </w:pPr>
      <w:r w:rsidRPr="005D02E4">
        <w:t>how</w:t>
      </w:r>
      <w:r w:rsidR="001D3CDC">
        <w:t xml:space="preserve"> the AER</w:t>
      </w:r>
      <w:r w:rsidRPr="005D02E4">
        <w:t xml:space="preserve"> will assess whether a NSP's capex includes expenditure that was treated as opex at the time of the AER's determination</w:t>
      </w:r>
      <w:r w:rsidR="002F70D2" w:rsidRPr="005D02E4">
        <w:t xml:space="preserve">, under clauses S6.2.2A(j) and S6A.2.2A(j) </w:t>
      </w:r>
      <w:r w:rsidRPr="005D02E4">
        <w:t xml:space="preserve"> </w:t>
      </w:r>
    </w:p>
    <w:p w:rsidR="00DD0B5F" w:rsidRPr="006F7E8D" w:rsidRDefault="00B41D96" w:rsidP="005D02E4">
      <w:pPr>
        <w:pStyle w:val="AERbulletlistfirststyle"/>
      </w:pPr>
      <w:r w:rsidRPr="00B41D96">
        <w:t xml:space="preserve">how the above schemes and proposals, both individually and taken together, are consistent with </w:t>
      </w:r>
      <w:r w:rsidRPr="005D02E4">
        <w:t>the capital expenditure incentive objective.</w:t>
      </w:r>
    </w:p>
    <w:p w:rsidR="00DD0B5F" w:rsidRDefault="00DD0B5F" w:rsidP="00DD0B5F">
      <w:pPr>
        <w:pStyle w:val="Heading2"/>
      </w:pPr>
      <w:bookmarkStart w:id="21" w:name="_Toc352688490"/>
      <w:bookmarkStart w:id="22" w:name="_Toc363719519"/>
      <w:bookmarkEnd w:id="21"/>
      <w:r>
        <w:t>Definitions and interpretation</w:t>
      </w:r>
      <w:bookmarkEnd w:id="22"/>
    </w:p>
    <w:p w:rsidR="00DD0B5F" w:rsidRPr="00DD0B5F" w:rsidRDefault="00DD0B5F" w:rsidP="00DD0B5F">
      <w:pPr>
        <w:pStyle w:val="AERbodytext"/>
        <w:numPr>
          <w:ilvl w:val="0"/>
          <w:numId w:val="13"/>
        </w:numPr>
      </w:pPr>
      <w:r w:rsidRPr="00DD0B5F">
        <w:t>In th</w:t>
      </w:r>
      <w:r w:rsidR="00FC7509">
        <w:t>e</w:t>
      </w:r>
      <w:r>
        <w:t>s</w:t>
      </w:r>
      <w:r w:rsidR="00FC7509">
        <w:t>e</w:t>
      </w:r>
      <w:r>
        <w:t xml:space="preserve"> g</w:t>
      </w:r>
      <w:r w:rsidRPr="00DD0B5F">
        <w:t>uideline</w:t>
      </w:r>
      <w:r w:rsidR="00FC7509">
        <w:t>s</w:t>
      </w:r>
      <w:r w:rsidRPr="00DD0B5F">
        <w:t xml:space="preserve"> </w:t>
      </w:r>
      <w:r w:rsidR="005D02E4">
        <w:t>certain</w:t>
      </w:r>
      <w:r w:rsidRPr="00DD0B5F">
        <w:t xml:space="preserve"> words and phrases have the meaning given to them:</w:t>
      </w:r>
    </w:p>
    <w:p w:rsidR="00DD0B5F" w:rsidRPr="00DD0B5F" w:rsidRDefault="001D3CDC" w:rsidP="00DD0B5F">
      <w:pPr>
        <w:pStyle w:val="AERbulletlistfirststyle"/>
      </w:pPr>
      <w:r w:rsidRPr="00DD0B5F">
        <w:t xml:space="preserve">in </w:t>
      </w:r>
      <w:r w:rsidR="00DD0B5F" w:rsidRPr="00DD0B5F">
        <w:t>the glossary, or</w:t>
      </w:r>
    </w:p>
    <w:p w:rsidR="00DD0B5F" w:rsidRPr="00DD0B5F" w:rsidRDefault="00DD0B5F" w:rsidP="00DD0B5F">
      <w:pPr>
        <w:pStyle w:val="AERbulletlistfirststyle"/>
      </w:pPr>
      <w:r w:rsidRPr="00DD0B5F">
        <w:t xml:space="preserve">if not defined in the glossary, </w:t>
      </w:r>
      <w:r w:rsidR="001D3CDC">
        <w:t xml:space="preserve">in </w:t>
      </w:r>
      <w:r w:rsidRPr="00DD0B5F">
        <w:t>the</w:t>
      </w:r>
      <w:r w:rsidR="00F73DAF">
        <w:t xml:space="preserve"> NER</w:t>
      </w:r>
      <w:r w:rsidRPr="00DD0B5F">
        <w:t>.</w:t>
      </w:r>
    </w:p>
    <w:p w:rsidR="00DD0B5F" w:rsidRDefault="00DD0B5F" w:rsidP="00DD0B5F">
      <w:pPr>
        <w:pStyle w:val="Heading2"/>
      </w:pPr>
      <w:bookmarkStart w:id="23" w:name="_Toc363719520"/>
      <w:r>
        <w:t>Process for revision</w:t>
      </w:r>
      <w:bookmarkEnd w:id="23"/>
    </w:p>
    <w:p w:rsidR="00DD0B5F" w:rsidRPr="00333133" w:rsidRDefault="00DD0B5F" w:rsidP="00333133">
      <w:pPr>
        <w:pStyle w:val="AERbodytext"/>
      </w:pPr>
      <w:r w:rsidRPr="00DD0B5F">
        <w:t xml:space="preserve">The AER may amend or replace </w:t>
      </w:r>
      <w:r w:rsidRPr="00333133">
        <w:t xml:space="preserve">these guidelines from time to time in accordance with the </w:t>
      </w:r>
      <w:r w:rsidR="00CE6F91" w:rsidRPr="00333133">
        <w:t xml:space="preserve">consultation procedures </w:t>
      </w:r>
      <w:r w:rsidR="0086041E" w:rsidRPr="00333133">
        <w:t>under clauses 6.16 and 6A.20 of the NER</w:t>
      </w:r>
      <w:r w:rsidRPr="00333133">
        <w:t>.</w:t>
      </w:r>
    </w:p>
    <w:p w:rsidR="00DD0B5F" w:rsidRPr="00DD0B5F" w:rsidRDefault="00DD0B5F" w:rsidP="00DD0B5F">
      <w:pPr>
        <w:pStyle w:val="Heading2"/>
      </w:pPr>
      <w:bookmarkStart w:id="24" w:name="_Toc363719521"/>
      <w:r w:rsidRPr="00DD0B5F">
        <w:t>Version history and effective date</w:t>
      </w:r>
      <w:bookmarkEnd w:id="24"/>
    </w:p>
    <w:p w:rsidR="00DD0B5F" w:rsidRPr="00333133" w:rsidRDefault="00DD0B5F" w:rsidP="00333133">
      <w:pPr>
        <w:pStyle w:val="AERbodytext"/>
      </w:pPr>
      <w:r w:rsidRPr="00DD0B5F">
        <w:t xml:space="preserve">A version number and an effective date of issue will identify every </w:t>
      </w:r>
      <w:r w:rsidRPr="00333133">
        <w:t>version of th</w:t>
      </w:r>
      <w:r w:rsidR="00FC7509">
        <w:t>e</w:t>
      </w:r>
      <w:r w:rsidRPr="00333133">
        <w:t>s</w:t>
      </w:r>
      <w:r w:rsidR="00FC7509">
        <w:t>e</w:t>
      </w:r>
      <w:r w:rsidRPr="00333133">
        <w:t xml:space="preserve"> guideline</w:t>
      </w:r>
      <w:r w:rsidR="00FC7509">
        <w:t>s</w:t>
      </w:r>
      <w:r w:rsidRPr="00333133">
        <w:t>.</w:t>
      </w:r>
    </w:p>
    <w:p w:rsidR="00DD0B5F" w:rsidRPr="00F66980" w:rsidRDefault="00DD0B5F" w:rsidP="00DD0B5F">
      <w:pPr>
        <w:pStyle w:val="Heading1"/>
        <w:rPr>
          <w:rStyle w:val="AERtexthighlight"/>
        </w:rPr>
      </w:pPr>
      <w:bookmarkStart w:id="25" w:name="_Toc363719522"/>
      <w:r>
        <w:lastRenderedPageBreak/>
        <w:t>Overview</w:t>
      </w:r>
      <w:bookmarkEnd w:id="25"/>
    </w:p>
    <w:p w:rsidR="006F254C" w:rsidRDefault="006F254C" w:rsidP="006F254C">
      <w:pPr>
        <w:pStyle w:val="AERbodytext"/>
        <w:numPr>
          <w:ilvl w:val="0"/>
          <w:numId w:val="13"/>
        </w:numPr>
      </w:pPr>
      <w:r w:rsidRPr="00FB64E1">
        <w:t>Ce</w:t>
      </w:r>
      <w:r>
        <w:t>ntral to the AER's approach to regulating electricity networks is the idea of incentive based regulation. Incentive based regulation</w:t>
      </w:r>
      <w:r w:rsidRPr="00FB64E1">
        <w:t xml:space="preserve"> provides NSPs with incentive</w:t>
      </w:r>
      <w:r w:rsidR="002849EF">
        <w:t>s</w:t>
      </w:r>
      <w:r w:rsidRPr="00FB64E1">
        <w:t xml:space="preserve"> to </w:t>
      </w:r>
      <w:r w:rsidR="002849EF">
        <w:t>pursue efficiency improvements to the benefit of both the NSP and network users. I</w:t>
      </w:r>
      <w:r w:rsidRPr="00FB64E1">
        <w:t xml:space="preserve">f a NSP </w:t>
      </w:r>
      <w:r w:rsidR="002849EF">
        <w:t xml:space="preserve">spends less than </w:t>
      </w:r>
      <w:r w:rsidRPr="00FB64E1">
        <w:t xml:space="preserve">its </w:t>
      </w:r>
      <w:r>
        <w:t xml:space="preserve">capex </w:t>
      </w:r>
      <w:r w:rsidR="00E4204B">
        <w:t>allowance, it can keep the underspend</w:t>
      </w:r>
      <w:r w:rsidRPr="00FB64E1">
        <w:t xml:space="preserve"> </w:t>
      </w:r>
      <w:r w:rsidR="001D3CDC">
        <w:t xml:space="preserve">in the form of retained return on capital </w:t>
      </w:r>
      <w:r w:rsidRPr="00FB64E1">
        <w:t>until the end of the regulatory control period</w:t>
      </w:r>
      <w:r w:rsidR="002849EF">
        <w:t xml:space="preserve">. At the end of the </w:t>
      </w:r>
      <w:r w:rsidR="001D3CDC">
        <w:t xml:space="preserve">regulatory control </w:t>
      </w:r>
      <w:r w:rsidR="002849EF">
        <w:t>period the</w:t>
      </w:r>
      <w:r>
        <w:t xml:space="preserve"> RAB is updated for actual capex</w:t>
      </w:r>
      <w:r w:rsidR="002849EF">
        <w:t>. Consumers benefit into the future as the RAB is lower than it would have been if the NSP had spent its full allowance</w:t>
      </w:r>
      <w:r w:rsidR="00E4204B">
        <w:t xml:space="preserve"> in delivering the service</w:t>
      </w:r>
      <w:r w:rsidRPr="00FB64E1">
        <w:t xml:space="preserve">. </w:t>
      </w:r>
    </w:p>
    <w:p w:rsidR="006F254C" w:rsidRDefault="001D3CDC" w:rsidP="006F254C">
      <w:pPr>
        <w:pStyle w:val="AERbodytext"/>
        <w:numPr>
          <w:ilvl w:val="0"/>
          <w:numId w:val="13"/>
        </w:numPr>
      </w:pPr>
      <w:r>
        <w:t>The</w:t>
      </w:r>
      <w:r w:rsidR="006F254C">
        <w:t>s</w:t>
      </w:r>
      <w:r>
        <w:t>e</w:t>
      </w:r>
      <w:r w:rsidR="006F254C">
        <w:t xml:space="preserve"> guideline</w:t>
      </w:r>
      <w:r>
        <w:t>s aim</w:t>
      </w:r>
      <w:r w:rsidR="006F254C">
        <w:t xml:space="preserve"> to complement the incentives already provided through </w:t>
      </w:r>
      <w:r w:rsidR="002849EF">
        <w:t>incentive based regulation</w:t>
      </w:r>
      <w:r>
        <w:t>. They introduce</w:t>
      </w:r>
      <w:r w:rsidR="006F254C">
        <w:t xml:space="preserve"> new ex ante and ex post measures to </w:t>
      </w:r>
      <w:r w:rsidR="002849EF">
        <w:t xml:space="preserve">further </w:t>
      </w:r>
      <w:r w:rsidR="006F254C">
        <w:t>incentivise efficient capex.</w:t>
      </w:r>
    </w:p>
    <w:p w:rsidR="002849EF" w:rsidRPr="00333133" w:rsidRDefault="004C4043" w:rsidP="00333133">
      <w:pPr>
        <w:pStyle w:val="AERbodytext"/>
      </w:pPr>
      <w:r w:rsidRPr="00333133">
        <w:t xml:space="preserve">These </w:t>
      </w:r>
      <w:r w:rsidR="006F254C" w:rsidRPr="00333133">
        <w:t>guidelines</w:t>
      </w:r>
      <w:r w:rsidRPr="00333133">
        <w:t xml:space="preserve"> outline the AER's approach to incentivising NSPs to undertake efficient capex during the regulatory control period. There are t</w:t>
      </w:r>
      <w:r w:rsidR="009E61C2" w:rsidRPr="00333133">
        <w:t>hree</w:t>
      </w:r>
      <w:r w:rsidR="002849EF" w:rsidRPr="00333133">
        <w:t xml:space="preserve"> main aspects to this:</w:t>
      </w:r>
    </w:p>
    <w:p w:rsidR="002849EF" w:rsidRDefault="00E4204B" w:rsidP="002849EF">
      <w:pPr>
        <w:pStyle w:val="AERnumberedlistfirststyle"/>
      </w:pPr>
      <w:r>
        <w:t>T</w:t>
      </w:r>
      <w:r w:rsidR="004C4043">
        <w:t xml:space="preserve">he AER has developed a CESS to share efficiency </w:t>
      </w:r>
      <w:r w:rsidR="00921C4A">
        <w:t>gain</w:t>
      </w:r>
      <w:r w:rsidR="004C4043">
        <w:t xml:space="preserve">s and losses between NSPs and network users. </w:t>
      </w:r>
    </w:p>
    <w:p w:rsidR="002849EF" w:rsidRDefault="00E4204B" w:rsidP="002849EF">
      <w:pPr>
        <w:pStyle w:val="AERnumberedlistfirststyle"/>
      </w:pPr>
      <w:r>
        <w:t>T</w:t>
      </w:r>
      <w:r w:rsidR="009E61C2">
        <w:t xml:space="preserve">he AER has developed criteria for deciding whether to roll forward the regulatory asset base (RAB) using </w:t>
      </w:r>
      <w:r w:rsidR="002F70D2">
        <w:t xml:space="preserve">depreciation based on </w:t>
      </w:r>
      <w:r w:rsidR="009E61C2">
        <w:t xml:space="preserve">forecast or actual </w:t>
      </w:r>
      <w:r w:rsidR="002F70D2">
        <w:t>capex</w:t>
      </w:r>
      <w:r w:rsidR="009E61C2">
        <w:t xml:space="preserve">. </w:t>
      </w:r>
    </w:p>
    <w:p w:rsidR="00DD0B5F" w:rsidRPr="004C4043" w:rsidRDefault="00E4204B" w:rsidP="002849EF">
      <w:pPr>
        <w:pStyle w:val="AERnumberedlistfirststyle"/>
      </w:pPr>
      <w:r>
        <w:t>T</w:t>
      </w:r>
      <w:r w:rsidR="004C4043">
        <w:t xml:space="preserve">here are </w:t>
      </w:r>
      <w:r w:rsidR="002849EF">
        <w:t>new</w:t>
      </w:r>
      <w:r w:rsidR="004C4043">
        <w:t xml:space="preserve"> ex post measures to ensure that network customers do not bear the costs </w:t>
      </w:r>
      <w:r w:rsidR="002F70D2">
        <w:t>of</w:t>
      </w:r>
      <w:r w:rsidR="004C4043">
        <w:t xml:space="preserve"> inefficient overspend</w:t>
      </w:r>
      <w:r w:rsidR="002F70D2">
        <w:t>s</w:t>
      </w:r>
      <w:r w:rsidR="004C4043">
        <w:t>, capitalise</w:t>
      </w:r>
      <w:r w:rsidR="002F70D2">
        <w:t>d</w:t>
      </w:r>
      <w:r w:rsidR="004C4043">
        <w:t xml:space="preserve"> opex </w:t>
      </w:r>
      <w:r w:rsidR="002F70D2">
        <w:t>or</w:t>
      </w:r>
      <w:r w:rsidR="004C4043">
        <w:t xml:space="preserve"> inflated related party margins.</w:t>
      </w:r>
    </w:p>
    <w:p w:rsidR="00FB64E1" w:rsidRDefault="00FB64E1" w:rsidP="00FB64E1">
      <w:pPr>
        <w:pStyle w:val="AERbodytext"/>
      </w:pPr>
      <w:r>
        <w:t xml:space="preserve">Ex ante measures generally allow for an expenditure target to </w:t>
      </w:r>
      <w:r w:rsidR="002F70D2">
        <w:t>be set up front and incentivise</w:t>
      </w:r>
      <w:r>
        <w:t xml:space="preserve"> </w:t>
      </w:r>
      <w:r w:rsidR="001D3CDC">
        <w:t xml:space="preserve">a </w:t>
      </w:r>
      <w:r>
        <w:t>NSP to beat the target by allowing it to keep some of the benefit of the underspend. The CESS outlined in th</w:t>
      </w:r>
      <w:r w:rsidR="001D3CDC">
        <w:t>e</w:t>
      </w:r>
      <w:r>
        <w:t>s</w:t>
      </w:r>
      <w:r w:rsidR="001D3CDC">
        <w:t>e</w:t>
      </w:r>
      <w:r>
        <w:t xml:space="preserve"> guideline</w:t>
      </w:r>
      <w:r w:rsidR="001D3CDC">
        <w:t>s provide</w:t>
      </w:r>
      <w:r>
        <w:t xml:space="preserve"> this incentive by allowing NSPs to retain 30 per cent of any underspend during the regulatory control period. Conversely, it provides a disincentive to overspend by making NSPs bear 30 per cent of any overspend. Alongside the CESS, the decision on whether to use </w:t>
      </w:r>
      <w:r w:rsidR="002F70D2">
        <w:t xml:space="preserve">depreciation based on </w:t>
      </w:r>
      <w:r>
        <w:t xml:space="preserve">actual </w:t>
      </w:r>
      <w:r w:rsidR="00E4204B">
        <w:t xml:space="preserve">capex </w:t>
      </w:r>
      <w:r>
        <w:t xml:space="preserve">or forecast </w:t>
      </w:r>
      <w:r w:rsidR="002F70D2">
        <w:t>capex</w:t>
      </w:r>
      <w:r>
        <w:t xml:space="preserve"> to roll forward the RAB determin</w:t>
      </w:r>
      <w:r w:rsidR="002F70D2">
        <w:t>es the ultimate power of the ex </w:t>
      </w:r>
      <w:r>
        <w:t>ante incentive to pursue efficient capex.</w:t>
      </w:r>
    </w:p>
    <w:p w:rsidR="00FB64E1" w:rsidRDefault="00FC7509" w:rsidP="00FB64E1">
      <w:pPr>
        <w:pStyle w:val="AERbodytext"/>
      </w:pPr>
      <w:r>
        <w:t>The</w:t>
      </w:r>
      <w:r w:rsidR="00FB64E1">
        <w:t>s</w:t>
      </w:r>
      <w:r>
        <w:t>e</w:t>
      </w:r>
      <w:r w:rsidR="00FB64E1">
        <w:t xml:space="preserve"> guideline</w:t>
      </w:r>
      <w:r>
        <w:t>s</w:t>
      </w:r>
      <w:r w:rsidR="00FB64E1">
        <w:t xml:space="preserve"> also outlines </w:t>
      </w:r>
      <w:r w:rsidR="002F70D2">
        <w:t>a number of</w:t>
      </w:r>
      <w:r w:rsidR="00FB64E1">
        <w:t xml:space="preserve"> ex post measures to promote efficient capex. </w:t>
      </w:r>
      <w:r w:rsidR="000A4B2A">
        <w:t xml:space="preserve">The AER is required to make a statement on the efficiency of capex being rolled into the RAB. The AER also has the ability to exclude certain types of capex from being included in the RAB. These ex post measures act </w:t>
      </w:r>
      <w:r w:rsidR="00E4204B">
        <w:t>as a disincentive for</w:t>
      </w:r>
      <w:r w:rsidR="000A4B2A">
        <w:t xml:space="preserve"> NSPs </w:t>
      </w:r>
      <w:r w:rsidR="00E4204B">
        <w:t>against</w:t>
      </w:r>
      <w:r w:rsidR="000A4B2A">
        <w:t xml:space="preserve"> inefficient overspend</w:t>
      </w:r>
      <w:r w:rsidR="00E4204B">
        <w:t>ing</w:t>
      </w:r>
      <w:r w:rsidR="000A4B2A">
        <w:t>. Th</w:t>
      </w:r>
      <w:r w:rsidR="001D3CDC">
        <w:t>e</w:t>
      </w:r>
      <w:r w:rsidR="000A4B2A">
        <w:t>s</w:t>
      </w:r>
      <w:r w:rsidR="001D3CDC">
        <w:t>e</w:t>
      </w:r>
      <w:r w:rsidR="000A4B2A">
        <w:t xml:space="preserve"> guideline</w:t>
      </w:r>
      <w:r w:rsidR="001D3CDC">
        <w:t>s outline</w:t>
      </w:r>
      <w:r w:rsidR="000A4B2A">
        <w:t xml:space="preserve"> the AER's proposed approach to these measures.</w:t>
      </w:r>
    </w:p>
    <w:p w:rsidR="000A4B2A" w:rsidRPr="00FB64E1" w:rsidRDefault="000A4B2A" w:rsidP="00FB64E1">
      <w:pPr>
        <w:pStyle w:val="AERbodytext"/>
      </w:pPr>
      <w:r>
        <w:t xml:space="preserve">The ex ante and ex post measures together provide the </w:t>
      </w:r>
      <w:r w:rsidR="002F70D2">
        <w:t>'</w:t>
      </w:r>
      <w:r>
        <w:t>carrots and sticks</w:t>
      </w:r>
      <w:r w:rsidR="002F70D2">
        <w:t>'</w:t>
      </w:r>
      <w:r>
        <w:t xml:space="preserve"> to incentivise NSPs to undertake only efficient capex.</w:t>
      </w:r>
    </w:p>
    <w:p w:rsidR="00D4227B" w:rsidRDefault="00D4227B" w:rsidP="00034DEC">
      <w:pPr>
        <w:pStyle w:val="Heading2"/>
      </w:pPr>
      <w:bookmarkStart w:id="26" w:name="_Toc363719523"/>
      <w:r>
        <w:t>Structure</w:t>
      </w:r>
      <w:bookmarkEnd w:id="26"/>
    </w:p>
    <w:p w:rsidR="004C4043" w:rsidRDefault="004C4043" w:rsidP="004C4043">
      <w:pPr>
        <w:pStyle w:val="AERbodytext"/>
      </w:pPr>
      <w:r>
        <w:t>There are t</w:t>
      </w:r>
      <w:r w:rsidR="009E61C2">
        <w:t>hree</w:t>
      </w:r>
      <w:r w:rsidR="00FC7509">
        <w:t xml:space="preserve"> main parts to the</w:t>
      </w:r>
      <w:r>
        <w:t>s</w:t>
      </w:r>
      <w:r w:rsidR="00FC7509">
        <w:t>e</w:t>
      </w:r>
      <w:r>
        <w:t xml:space="preserve"> guideline</w:t>
      </w:r>
      <w:r w:rsidR="00FC7509">
        <w:t>s</w:t>
      </w:r>
      <w:r>
        <w:t>:</w:t>
      </w:r>
    </w:p>
    <w:p w:rsidR="004C4043" w:rsidRDefault="004C4043" w:rsidP="002849EF">
      <w:pPr>
        <w:pStyle w:val="AERbulletlistfirststyle"/>
      </w:pPr>
      <w:r>
        <w:t>Chapter 3 outlines</w:t>
      </w:r>
      <w:r w:rsidR="00C91ECB">
        <w:t xml:space="preserve"> the AER's </w:t>
      </w:r>
      <w:r>
        <w:t xml:space="preserve">approach to the CESS. An example of how the CESS works is provided </w:t>
      </w:r>
      <w:r w:rsidR="00E4204B">
        <w:t>at</w:t>
      </w:r>
      <w:r>
        <w:t xml:space="preserve"> appendix A.</w:t>
      </w:r>
    </w:p>
    <w:p w:rsidR="009E61C2" w:rsidRDefault="009E61C2" w:rsidP="002849EF">
      <w:pPr>
        <w:pStyle w:val="AERbulletlistfirststyle"/>
      </w:pPr>
      <w:r>
        <w:t xml:space="preserve">Chapter 4 outlines </w:t>
      </w:r>
      <w:r w:rsidR="00C91ECB">
        <w:t xml:space="preserve">the AER's </w:t>
      </w:r>
      <w:r>
        <w:t xml:space="preserve">approach </w:t>
      </w:r>
      <w:r w:rsidR="00E4204B">
        <w:t>to</w:t>
      </w:r>
      <w:r>
        <w:t xml:space="preserve"> deciding whether to use forecast or actual depreciation when rolling forward the RAB.</w:t>
      </w:r>
    </w:p>
    <w:p w:rsidR="004C4043" w:rsidRDefault="009E61C2" w:rsidP="002849EF">
      <w:pPr>
        <w:pStyle w:val="AERbulletlistfirststyle"/>
      </w:pPr>
      <w:r>
        <w:lastRenderedPageBreak/>
        <w:t>Chapter 5</w:t>
      </w:r>
      <w:r w:rsidR="004C4043">
        <w:t xml:space="preserve"> outlines </w:t>
      </w:r>
      <w:r w:rsidR="00C91ECB">
        <w:t>the AER's</w:t>
      </w:r>
      <w:r w:rsidR="004C4043">
        <w:t xml:space="preserve"> approach to ex post measures to incentivise efficient capex. Th</w:t>
      </w:r>
      <w:r w:rsidR="00E4204B">
        <w:t>i</w:t>
      </w:r>
      <w:r w:rsidR="004C4043">
        <w:t>s include</w:t>
      </w:r>
      <w:r w:rsidR="00E4204B">
        <w:t>s</w:t>
      </w:r>
      <w:r w:rsidR="004C4043">
        <w:t xml:space="preserve"> </w:t>
      </w:r>
      <w:r w:rsidR="00C91ECB">
        <w:t xml:space="preserve">the </w:t>
      </w:r>
      <w:r w:rsidR="004C4043">
        <w:t xml:space="preserve">process for assessing whether capex has been prudent and efficient and the factors </w:t>
      </w:r>
      <w:r w:rsidR="00C91ECB">
        <w:t>the AER</w:t>
      </w:r>
      <w:r w:rsidR="004C4043">
        <w:t xml:space="preserve"> will consider in deciding whether to exclude certain categories of capex from the </w:t>
      </w:r>
      <w:r w:rsidR="002F70D2">
        <w:t>RAB</w:t>
      </w:r>
      <w:r w:rsidR="004C4043">
        <w:t>.</w:t>
      </w:r>
    </w:p>
    <w:p w:rsidR="004C4043" w:rsidRPr="004C4043" w:rsidRDefault="004C4043" w:rsidP="004C4043">
      <w:pPr>
        <w:pStyle w:val="AERbodytext"/>
      </w:pPr>
    </w:p>
    <w:p w:rsidR="00EF0E19" w:rsidRDefault="00D85F53" w:rsidP="00D85F53">
      <w:pPr>
        <w:pStyle w:val="Heading1"/>
      </w:pPr>
      <w:bookmarkStart w:id="27" w:name="_Toc363719524"/>
      <w:r w:rsidRPr="00D85F53">
        <w:lastRenderedPageBreak/>
        <w:t xml:space="preserve">The </w:t>
      </w:r>
      <w:r>
        <w:t>capital expenditure sharing scheme</w:t>
      </w:r>
      <w:bookmarkEnd w:id="27"/>
    </w:p>
    <w:p w:rsidR="00B667CF" w:rsidRDefault="00B667CF" w:rsidP="00B667CF">
      <w:pPr>
        <w:pStyle w:val="AERbodytext"/>
      </w:pPr>
      <w:r>
        <w:t xml:space="preserve">This chapter sets out the </w:t>
      </w:r>
      <w:r w:rsidRPr="00B667CF">
        <w:t xml:space="preserve">AER’s approach to providing </w:t>
      </w:r>
      <w:r w:rsidR="002F70D2">
        <w:t xml:space="preserve">ex ante </w:t>
      </w:r>
      <w:r w:rsidRPr="00B667CF">
        <w:t xml:space="preserve">incentives for NSPs to undertake efficient capital expenditure </w:t>
      </w:r>
      <w:r w:rsidR="00313D58">
        <w:t xml:space="preserve">during a regulatory control period. This is achieved </w:t>
      </w:r>
      <w:r>
        <w:t xml:space="preserve">through </w:t>
      </w:r>
      <w:r w:rsidR="00313D58">
        <w:t xml:space="preserve">the operation of </w:t>
      </w:r>
      <w:r>
        <w:t xml:space="preserve">a </w:t>
      </w:r>
      <w:r w:rsidR="002849EF">
        <w:t>CESS</w:t>
      </w:r>
      <w:r w:rsidRPr="00B667CF">
        <w:t>.</w:t>
      </w:r>
      <w:r w:rsidR="00313D58">
        <w:t xml:space="preserve"> </w:t>
      </w:r>
    </w:p>
    <w:p w:rsidR="00B667CF" w:rsidRDefault="00381642" w:rsidP="00B667CF">
      <w:pPr>
        <w:pStyle w:val="Heading2"/>
      </w:pPr>
      <w:bookmarkStart w:id="28" w:name="_Toc363719525"/>
      <w:r>
        <w:t>Objective</w:t>
      </w:r>
      <w:bookmarkEnd w:id="28"/>
    </w:p>
    <w:p w:rsidR="00E5310E" w:rsidRDefault="00E5310E" w:rsidP="00313D58">
      <w:pPr>
        <w:pStyle w:val="AERbodytext"/>
        <w:numPr>
          <w:ilvl w:val="0"/>
          <w:numId w:val="13"/>
        </w:numPr>
      </w:pPr>
      <w:r>
        <w:t xml:space="preserve">The overarching objective </w:t>
      </w:r>
      <w:r w:rsidR="00D62AE7">
        <w:t>of</w:t>
      </w:r>
      <w:r>
        <w:t xml:space="preserve"> the CESS is to provide NSPs with an incentive to undertake efficient capex during the regulatory control period. This </w:t>
      </w:r>
      <w:r w:rsidR="00381642">
        <w:t>is</w:t>
      </w:r>
      <w:r>
        <w:t xml:space="preserve"> achieved by rewarding NSPs that outperform their capex allowance and penalising NSPs that spend more than their capex allowance.</w:t>
      </w:r>
      <w:r w:rsidR="00381642">
        <w:t xml:space="preserve"> The scheme also provides a mechanism for </w:t>
      </w:r>
      <w:r w:rsidR="0052126D">
        <w:t>overspends and underspends to be shared between NSPs and network users.</w:t>
      </w:r>
    </w:p>
    <w:p w:rsidR="00B07D23" w:rsidRDefault="00B07D23" w:rsidP="00B07D23">
      <w:pPr>
        <w:pStyle w:val="AERbodytext"/>
        <w:numPr>
          <w:ilvl w:val="0"/>
          <w:numId w:val="13"/>
        </w:numPr>
      </w:pPr>
      <w:r>
        <w:t xml:space="preserve">The </w:t>
      </w:r>
      <w:r w:rsidR="001D3CDC">
        <w:t xml:space="preserve">proposed </w:t>
      </w:r>
      <w:r>
        <w:t xml:space="preserve">CESS is symmetric in that for the same </w:t>
      </w:r>
      <w:r w:rsidR="00E4204B">
        <w:t xml:space="preserve">quantum of </w:t>
      </w:r>
      <w:r>
        <w:t xml:space="preserve">efficiency gain or loss, the reward and penalty will be equal. The CESS also provides equal incentives in every year of the regulatory control period by accounting for any efficiency </w:t>
      </w:r>
      <w:r w:rsidR="00EF59A6">
        <w:t>benefits</w:t>
      </w:r>
      <w:r>
        <w:t xml:space="preserve"> or </w:t>
      </w:r>
      <w:r w:rsidR="00EF59A6">
        <w:t>cost</w:t>
      </w:r>
      <w:r>
        <w:t>s that have already been held by the NSP during the regulatory control period.</w:t>
      </w:r>
    </w:p>
    <w:p w:rsidR="00381642" w:rsidRDefault="00381642" w:rsidP="00381642">
      <w:pPr>
        <w:pStyle w:val="Heading2"/>
      </w:pPr>
      <w:bookmarkStart w:id="29" w:name="_Toc363719526"/>
      <w:r>
        <w:t>Rule requirements</w:t>
      </w:r>
      <w:bookmarkEnd w:id="29"/>
    </w:p>
    <w:p w:rsidR="00B667CF" w:rsidRPr="00333133" w:rsidRDefault="00313D58" w:rsidP="00333133">
      <w:pPr>
        <w:pStyle w:val="AERbodytext"/>
      </w:pPr>
      <w:r w:rsidRPr="00313D58">
        <w:t xml:space="preserve">Clauses 6.5.8A and 6A.6.5A of the NER set out the factors that the </w:t>
      </w:r>
      <w:r w:rsidRPr="00333133">
        <w:t>AER must take into account in developing any CESS. Firstly, a</w:t>
      </w:r>
      <w:r w:rsidR="00B667CF" w:rsidRPr="00333133">
        <w:t xml:space="preserve">ny CESS must be consistent with the capital expenditure incentive </w:t>
      </w:r>
      <w:r w:rsidR="00031AA0" w:rsidRPr="00333133">
        <w:t>objective under clauses 6.4A and 6A.5A:</w:t>
      </w:r>
    </w:p>
    <w:p w:rsidR="00031AA0" w:rsidRPr="00333133" w:rsidRDefault="00031AA0" w:rsidP="00333133">
      <w:pPr>
        <w:pStyle w:val="AERquote"/>
      </w:pPr>
      <w:r w:rsidRPr="00333133">
        <w:t>The capital expenditure incentive objective is to ensure that, where the value of a regulatory asset base is subject to adjustment in accordance with the Rules, then the only capital expenditure that is included in an adjustment that increases the value of that regulatory asset base is capital expenditure that reasonably reflects the capital expenditure criteria.</w:t>
      </w:r>
    </w:p>
    <w:p w:rsidR="00CE6F91" w:rsidRPr="00333133" w:rsidRDefault="00CE6F91" w:rsidP="00333133">
      <w:pPr>
        <w:pStyle w:val="AERbodytext"/>
      </w:pPr>
      <w:r w:rsidRPr="00333133">
        <w:t>The capital expenditure criteria are contained in clauses 6.5.7(c) and 6A.6.7(c)</w:t>
      </w:r>
      <w:r w:rsidR="00313D58" w:rsidRPr="00333133">
        <w:t xml:space="preserve"> and</w:t>
      </w:r>
      <w:r w:rsidRPr="00333133">
        <w:t xml:space="preserve"> require the AER to be satisfied that capex is prudent and efficient and based on realistic demand forecasts. In deciding whether </w:t>
      </w:r>
      <w:r w:rsidR="00E4204B" w:rsidRPr="00333133">
        <w:t>it is</w:t>
      </w:r>
      <w:r w:rsidRPr="00333133">
        <w:t xml:space="preserve"> satisfied </w:t>
      </w:r>
      <w:r w:rsidR="00E4204B" w:rsidRPr="00333133">
        <w:t>that the capex criteria are met</w:t>
      </w:r>
      <w:r w:rsidR="0051359D" w:rsidRPr="00333133">
        <w:t xml:space="preserve">, </w:t>
      </w:r>
      <w:r w:rsidR="00E4204B" w:rsidRPr="00333133">
        <w:t>the AER</w:t>
      </w:r>
      <w:r w:rsidRPr="00333133">
        <w:t xml:space="preserve"> must consider the capital expenditure factors</w:t>
      </w:r>
      <w:r w:rsidR="0051359D" w:rsidRPr="00333133">
        <w:t xml:space="preserve"> in clauses 6.5.7(e) and 6A.6.7(e). </w:t>
      </w:r>
      <w:r w:rsidRPr="00333133">
        <w:t xml:space="preserve"> </w:t>
      </w:r>
    </w:p>
    <w:p w:rsidR="00313D58" w:rsidRPr="00333133" w:rsidRDefault="00313D58" w:rsidP="00333133">
      <w:pPr>
        <w:pStyle w:val="AERbodytext"/>
      </w:pPr>
      <w:r w:rsidRPr="00333133">
        <w:t>In addition, in developing any CESS, the AER must take into account the capital expenditure sharing scheme principles, outlined in clauses 6.5.8A(c) and 6A.6.5A(c)</w:t>
      </w:r>
      <w:r w:rsidR="001D3CDC">
        <w:t>;</w:t>
      </w:r>
      <w:r w:rsidR="002F70D2" w:rsidRPr="00333133">
        <w:t xml:space="preserve"> these include:</w:t>
      </w:r>
    </w:p>
    <w:p w:rsidR="00313D58" w:rsidRDefault="002F70D2" w:rsidP="00313D58">
      <w:pPr>
        <w:pStyle w:val="AERbulletlistfirststyle"/>
        <w:rPr>
          <w:rStyle w:val="AERbody"/>
        </w:rPr>
      </w:pPr>
      <w:r>
        <w:rPr>
          <w:rStyle w:val="AERbody"/>
        </w:rPr>
        <w:t>NSPs</w:t>
      </w:r>
      <w:r w:rsidR="00313D58">
        <w:rPr>
          <w:rStyle w:val="AERbody"/>
        </w:rPr>
        <w:t xml:space="preserve"> should be rewarded or penalised for improvements or declines in </w:t>
      </w:r>
      <w:r w:rsidR="001D3CDC">
        <w:rPr>
          <w:rStyle w:val="AERbody"/>
        </w:rPr>
        <w:t xml:space="preserve">the </w:t>
      </w:r>
      <w:r w:rsidR="00313D58">
        <w:rPr>
          <w:rStyle w:val="AERbody"/>
        </w:rPr>
        <w:t>efficiency of capex</w:t>
      </w:r>
    </w:p>
    <w:p w:rsidR="00313D58" w:rsidRDefault="00313D58" w:rsidP="00313D58">
      <w:pPr>
        <w:pStyle w:val="AERbulletlistfirststyle"/>
        <w:rPr>
          <w:rStyle w:val="AERbody"/>
        </w:rPr>
      </w:pPr>
      <w:r>
        <w:rPr>
          <w:rStyle w:val="AERbody"/>
        </w:rPr>
        <w:t>the</w:t>
      </w:r>
      <w:r w:rsidR="002F70D2">
        <w:rPr>
          <w:rStyle w:val="AERbody"/>
        </w:rPr>
        <w:t>se</w:t>
      </w:r>
      <w:r>
        <w:rPr>
          <w:rStyle w:val="AERbody"/>
        </w:rPr>
        <w:t xml:space="preserve"> rewards and penalties should be commensurate with the efficiencies o</w:t>
      </w:r>
      <w:r w:rsidR="004546E6">
        <w:rPr>
          <w:rStyle w:val="AERbody"/>
        </w:rPr>
        <w:t>r inefficiencies in capex, but</w:t>
      </w:r>
      <w:r>
        <w:rPr>
          <w:rStyle w:val="AERbody"/>
        </w:rPr>
        <w:t xml:space="preserve"> reward</w:t>
      </w:r>
      <w:r w:rsidR="004546E6">
        <w:rPr>
          <w:rStyle w:val="AERbody"/>
        </w:rPr>
        <w:t>s and penalties d</w:t>
      </w:r>
      <w:r>
        <w:rPr>
          <w:rStyle w:val="AERbody"/>
        </w:rPr>
        <w:t xml:space="preserve">o not need to </w:t>
      </w:r>
      <w:r w:rsidR="004546E6">
        <w:rPr>
          <w:rStyle w:val="AERbody"/>
        </w:rPr>
        <w:t>be the same.</w:t>
      </w:r>
    </w:p>
    <w:p w:rsidR="004546E6" w:rsidRDefault="004546E6" w:rsidP="004546E6">
      <w:pPr>
        <w:pStyle w:val="AERbodytext"/>
        <w:rPr>
          <w:rStyle w:val="AERbody"/>
        </w:rPr>
      </w:pPr>
      <w:r>
        <w:rPr>
          <w:rStyle w:val="AERbody"/>
        </w:rPr>
        <w:t xml:space="preserve">In developing any CESS, </w:t>
      </w:r>
      <w:r w:rsidR="00C91ECB">
        <w:t>the AER</w:t>
      </w:r>
      <w:r>
        <w:rPr>
          <w:rStyle w:val="AERbody"/>
        </w:rPr>
        <w:t xml:space="preserve"> must </w:t>
      </w:r>
      <w:r w:rsidR="002F70D2">
        <w:rPr>
          <w:rStyle w:val="AERbody"/>
        </w:rPr>
        <w:t xml:space="preserve">also </w:t>
      </w:r>
      <w:r>
        <w:rPr>
          <w:rStyle w:val="AERbody"/>
        </w:rPr>
        <w:t>take into account:</w:t>
      </w:r>
    </w:p>
    <w:p w:rsidR="004546E6" w:rsidRPr="00333133" w:rsidRDefault="004546E6" w:rsidP="00333133">
      <w:pPr>
        <w:pStyle w:val="AERbulletlistfirststyle"/>
      </w:pPr>
      <w:r>
        <w:rPr>
          <w:rStyle w:val="AERbody"/>
        </w:rPr>
        <w:t xml:space="preserve">the interaction of the CESS with any other incentives the NSP has to undertake efficient capex or </w:t>
      </w:r>
      <w:r w:rsidRPr="00333133">
        <w:t>operating expenditure (opex)</w:t>
      </w:r>
    </w:p>
    <w:p w:rsidR="004546E6" w:rsidRPr="00333133" w:rsidRDefault="004546E6" w:rsidP="00333133">
      <w:pPr>
        <w:pStyle w:val="AERbulletlistfirststyle"/>
      </w:pPr>
      <w:r w:rsidRPr="00333133">
        <w:t>the capital expenditure objectives (outlined in clauses 6.5.7(a) and 6A.6.7(a)) and, if relevant, the operating expenditure incentives (outlined in clauses 6.5.6(a) and 6A.6.a(a)).</w:t>
      </w:r>
    </w:p>
    <w:p w:rsidR="004546E6" w:rsidRDefault="004546E6" w:rsidP="004546E6">
      <w:pPr>
        <w:pStyle w:val="AERbodytext"/>
        <w:rPr>
          <w:rStyle w:val="AERbody"/>
        </w:rPr>
      </w:pPr>
      <w:r>
        <w:rPr>
          <w:rStyle w:val="AERbody"/>
        </w:rPr>
        <w:t xml:space="preserve">In deciding whether to apply a CESS to a NSP, </w:t>
      </w:r>
      <w:r w:rsidR="00E4204B">
        <w:rPr>
          <w:rStyle w:val="AERbody"/>
        </w:rPr>
        <w:t>and</w:t>
      </w:r>
      <w:r>
        <w:rPr>
          <w:rStyle w:val="AERbody"/>
        </w:rPr>
        <w:t xml:space="preserve"> the nature and details of any CESS to apply to a NSP, </w:t>
      </w:r>
      <w:r w:rsidR="00C91ECB">
        <w:t>the AER</w:t>
      </w:r>
      <w:r>
        <w:rPr>
          <w:rStyle w:val="AERbody"/>
        </w:rPr>
        <w:t xml:space="preserve"> must:</w:t>
      </w:r>
    </w:p>
    <w:p w:rsidR="004546E6" w:rsidRPr="00333133" w:rsidRDefault="004546E6" w:rsidP="00333133">
      <w:pPr>
        <w:pStyle w:val="AERbulletlistfirststyle"/>
      </w:pPr>
      <w:r>
        <w:rPr>
          <w:rStyle w:val="AERbody"/>
        </w:rPr>
        <w:lastRenderedPageBreak/>
        <w:t xml:space="preserve">make that decision in a manner </w:t>
      </w:r>
      <w:r w:rsidRPr="00333133">
        <w:t>that contributes to the capital expenditure incentive objective</w:t>
      </w:r>
    </w:p>
    <w:p w:rsidR="00902BCB" w:rsidRDefault="004546E6" w:rsidP="00530A7D">
      <w:pPr>
        <w:pStyle w:val="AERbulletlistfirststyle"/>
        <w:rPr>
          <w:rStyle w:val="AERbody"/>
        </w:rPr>
      </w:pPr>
      <w:r w:rsidRPr="00333133">
        <w:t xml:space="preserve">take into account the </w:t>
      </w:r>
      <w:r w:rsidR="00E5310E" w:rsidRPr="00333133">
        <w:t>capital expenditure sharing scheme principles</w:t>
      </w:r>
      <w:r w:rsidR="00E4204B" w:rsidRPr="00333133">
        <w:t xml:space="preserve">, any other incentives that apply to the NSP, </w:t>
      </w:r>
      <w:r w:rsidR="00E5310E" w:rsidRPr="00333133">
        <w:t>and the circumstances of the NSP.</w:t>
      </w:r>
    </w:p>
    <w:p w:rsidR="00E5310E" w:rsidRDefault="00381642" w:rsidP="00381642">
      <w:pPr>
        <w:pStyle w:val="Heading2"/>
      </w:pPr>
      <w:bookmarkStart w:id="30" w:name="_Toc363719527"/>
      <w:r>
        <w:t>General application of the scheme</w:t>
      </w:r>
      <w:bookmarkEnd w:id="30"/>
    </w:p>
    <w:p w:rsidR="00D62AE7" w:rsidRDefault="00D62AE7" w:rsidP="00D62AE7">
      <w:pPr>
        <w:pStyle w:val="AERbodytext"/>
        <w:numPr>
          <w:ilvl w:val="0"/>
          <w:numId w:val="13"/>
        </w:numPr>
      </w:pPr>
      <w:r w:rsidRPr="00D62AE7">
        <w:t xml:space="preserve">This section describes how the </w:t>
      </w:r>
      <w:r>
        <w:t>CE</w:t>
      </w:r>
      <w:r w:rsidRPr="00D62AE7">
        <w:t>SS calculates efficiency gains or efficiency losses,</w:t>
      </w:r>
      <w:r>
        <w:t xml:space="preserve"> </w:t>
      </w:r>
      <w:r w:rsidRPr="00D62AE7">
        <w:t>and the method by which gains or losses are shared between</w:t>
      </w:r>
      <w:r>
        <w:t xml:space="preserve"> </w:t>
      </w:r>
      <w:r w:rsidRPr="00D62AE7">
        <w:t>NSPs and network users.</w:t>
      </w:r>
      <w:r w:rsidR="002849EF">
        <w:t xml:space="preserve"> This involves four steps:</w:t>
      </w:r>
    </w:p>
    <w:p w:rsidR="002849EF" w:rsidRDefault="002849EF" w:rsidP="002849EF">
      <w:pPr>
        <w:pStyle w:val="AERnumberedlistfirststyle"/>
      </w:pPr>
      <w:r>
        <w:t>The efficiency gains and losses are calculated</w:t>
      </w:r>
      <w:r w:rsidR="00D278BC">
        <w:t xml:space="preserve"> in net present value (NPV) terms</w:t>
      </w:r>
      <w:r>
        <w:t xml:space="preserve">. This is done for each year of the regulatory period and then the </w:t>
      </w:r>
      <w:r w:rsidR="00DB0A3F">
        <w:t>total efficiency gain</w:t>
      </w:r>
      <w:r>
        <w:t>/</w:t>
      </w:r>
      <w:r w:rsidR="00DB0A3F">
        <w:t>loss</w:t>
      </w:r>
      <w:r>
        <w:t xml:space="preserve"> is calculated for the regulatory control period.</w:t>
      </w:r>
    </w:p>
    <w:p w:rsidR="002849EF" w:rsidRDefault="002849EF" w:rsidP="002849EF">
      <w:pPr>
        <w:pStyle w:val="AERnumberedlistfirststyle"/>
      </w:pPr>
      <w:r>
        <w:t xml:space="preserve">The sharing factor is applied to the </w:t>
      </w:r>
      <w:r w:rsidR="00DB0A3F">
        <w:t xml:space="preserve">total efficiency gain/loss </w:t>
      </w:r>
      <w:r>
        <w:t>to calculate the NSP's share</w:t>
      </w:r>
      <w:r w:rsidR="00751EA0">
        <w:t xml:space="preserve"> of the </w:t>
      </w:r>
      <w:r w:rsidR="00DB0A3F">
        <w:t>gain/loss</w:t>
      </w:r>
      <w:r>
        <w:t>.</w:t>
      </w:r>
    </w:p>
    <w:p w:rsidR="002849EF" w:rsidRDefault="00EF59A6" w:rsidP="002849EF">
      <w:pPr>
        <w:pStyle w:val="AERnumberedlistfirststyle"/>
      </w:pPr>
      <w:r>
        <w:t>Benefits/cost</w:t>
      </w:r>
      <w:r w:rsidR="002849EF">
        <w:t xml:space="preserve">s already accrued/borne through the period </w:t>
      </w:r>
      <w:r>
        <w:t xml:space="preserve">in the form of increased/decreased return on capex </w:t>
      </w:r>
      <w:r w:rsidR="002849EF">
        <w:t>are calculated.</w:t>
      </w:r>
    </w:p>
    <w:p w:rsidR="002849EF" w:rsidRDefault="002849EF" w:rsidP="002849EF">
      <w:pPr>
        <w:pStyle w:val="AERnumberedlistfirststyle"/>
      </w:pPr>
      <w:r>
        <w:t>The net reward/penalty is c</w:t>
      </w:r>
      <w:r w:rsidR="00E4204B">
        <w:t>alculated by subtracting the ne</w:t>
      </w:r>
      <w:r>
        <w:t xml:space="preserve">t </w:t>
      </w:r>
      <w:r w:rsidR="00EF59A6">
        <w:t>benefit</w:t>
      </w:r>
      <w:r>
        <w:t>/</w:t>
      </w:r>
      <w:r w:rsidR="00EF59A6">
        <w:t>cost</w:t>
      </w:r>
      <w:r>
        <w:t xml:space="preserve"> already accrued/borne </w:t>
      </w:r>
      <w:r w:rsidR="00EF59A6">
        <w:t xml:space="preserve">by the NSP </w:t>
      </w:r>
      <w:r>
        <w:t xml:space="preserve">from the </w:t>
      </w:r>
      <w:r w:rsidR="00751EA0">
        <w:t xml:space="preserve">NSP's share of the </w:t>
      </w:r>
      <w:r w:rsidR="00DB0A3F">
        <w:t>total efficiency gain/loss</w:t>
      </w:r>
      <w:r w:rsidR="00751EA0">
        <w:t>.</w:t>
      </w:r>
    </w:p>
    <w:p w:rsidR="00751EA0" w:rsidRDefault="00751EA0" w:rsidP="00751EA0">
      <w:pPr>
        <w:pStyle w:val="AERbodytext"/>
      </w:pPr>
      <w:r>
        <w:t>These steps are discussed in more detail below.</w:t>
      </w:r>
      <w:r w:rsidR="00FB6AAD">
        <w:t xml:space="preserve"> The CESS penalty or reward will form a separate building block for the NSP's revenue allowance in the following regulatory control period.</w:t>
      </w:r>
    </w:p>
    <w:p w:rsidR="00B07D23" w:rsidRDefault="00B07D23" w:rsidP="00B07D23">
      <w:pPr>
        <w:pStyle w:val="Heading3"/>
      </w:pPr>
      <w:r>
        <w:t>Calculating efficiency gains and losses</w:t>
      </w:r>
    </w:p>
    <w:p w:rsidR="00B07D23" w:rsidRDefault="00B07D23" w:rsidP="00D62AE7">
      <w:pPr>
        <w:pStyle w:val="AERbodytext"/>
        <w:numPr>
          <w:ilvl w:val="0"/>
          <w:numId w:val="13"/>
        </w:numPr>
      </w:pPr>
      <w:r>
        <w:t xml:space="preserve">To calculate efficiency gains or losses, a NSP's allowance is used as the best estimate of efficient capex. In this way, if the NSP spends less than its capex allowance, this is considered to be an efficiency </w:t>
      </w:r>
      <w:r w:rsidR="00F16E12">
        <w:t xml:space="preserve">gain </w:t>
      </w:r>
      <w:r>
        <w:t>for the purpose of applying the CESS. Conversely, if a NSP spends more than its allowance, this counts as an efficiency loss when applying the CESS.</w:t>
      </w:r>
    </w:p>
    <w:p w:rsidR="00E131B3" w:rsidRDefault="00D62AE7" w:rsidP="00D62AE7">
      <w:pPr>
        <w:pStyle w:val="AERbodytext"/>
        <w:numPr>
          <w:ilvl w:val="0"/>
          <w:numId w:val="13"/>
        </w:numPr>
      </w:pPr>
      <w:r>
        <w:t xml:space="preserve">To </w:t>
      </w:r>
      <w:r w:rsidR="00B07D23">
        <w:t>calculate</w:t>
      </w:r>
      <w:r>
        <w:t xml:space="preserve"> th</w:t>
      </w:r>
      <w:r w:rsidR="00D278BC">
        <w:t xml:space="preserve">e annual efficiency </w:t>
      </w:r>
      <w:r w:rsidR="00921C4A">
        <w:t>gain</w:t>
      </w:r>
      <w:r w:rsidR="00D278BC">
        <w:t>/loss</w:t>
      </w:r>
      <w:r w:rsidR="00B07D23">
        <w:t>,</w:t>
      </w:r>
      <w:r>
        <w:t xml:space="preserve"> </w:t>
      </w:r>
      <w:r w:rsidR="00E131B3">
        <w:t>the NSP's actual capex is subtracted from its capex allowance in each year of the regulatory control period.</w:t>
      </w:r>
      <w:r w:rsidR="00CF2286">
        <w:t xml:space="preserve"> </w:t>
      </w:r>
      <w:r w:rsidR="000A4B2A">
        <w:t xml:space="preserve">The capex allowance is calculated as the AER approved allowance </w:t>
      </w:r>
      <w:r w:rsidR="00D278BC">
        <w:t>(</w:t>
      </w:r>
      <w:r w:rsidR="000A4B2A">
        <w:t>as determined at the start of the regulatory control period</w:t>
      </w:r>
      <w:r w:rsidR="00D278BC">
        <w:t>)</w:t>
      </w:r>
      <w:r w:rsidR="000A4B2A">
        <w:t xml:space="preserve">, plus any </w:t>
      </w:r>
      <w:r w:rsidR="001D3CDC">
        <w:t xml:space="preserve">AER </w:t>
      </w:r>
      <w:r w:rsidR="000A4B2A">
        <w:t xml:space="preserve">approved adjustments from </w:t>
      </w:r>
      <w:r w:rsidR="000A4B2A" w:rsidRPr="000A4B2A">
        <w:t>pass</w:t>
      </w:r>
      <w:r w:rsidR="000A4B2A">
        <w:noBreakHyphen/>
      </w:r>
      <w:r w:rsidR="000A4B2A" w:rsidRPr="000A4B2A">
        <w:t>throughs, reopening of capex or contingent projects</w:t>
      </w:r>
      <w:r w:rsidR="000A4B2A">
        <w:t xml:space="preserve">. </w:t>
      </w:r>
      <w:r w:rsidR="00D278BC">
        <w:t xml:space="preserve">Further adjustments are required where an ex post review has resulted in capex being excluded from the RAB (discussed in section 3.5). </w:t>
      </w:r>
      <w:r w:rsidR="00CF2286">
        <w:t xml:space="preserve">In the case of the final year </w:t>
      </w:r>
      <w:r w:rsidR="00D278BC">
        <w:t xml:space="preserve">(and potentially the penultimate year) </w:t>
      </w:r>
      <w:r w:rsidR="00CF2286">
        <w:t xml:space="preserve">of the regulatory control period, an estimate of actual capex will be used (see </w:t>
      </w:r>
      <w:r w:rsidR="00D278BC">
        <w:t>s</w:t>
      </w:r>
      <w:r w:rsidR="00CF2286">
        <w:t xml:space="preserve">ection </w:t>
      </w:r>
      <w:r w:rsidR="00D278BC">
        <w:t>3.4)</w:t>
      </w:r>
      <w:r w:rsidR="00CF2286">
        <w:t>.</w:t>
      </w:r>
      <w:r w:rsidR="000A4B2A">
        <w:t xml:space="preserve"> The </w:t>
      </w:r>
      <w:r w:rsidR="00D278BC">
        <w:t xml:space="preserve">usual </w:t>
      </w:r>
      <w:r w:rsidR="000A4B2A">
        <w:t xml:space="preserve">calculation for year one </w:t>
      </w:r>
      <w:r w:rsidR="00012584">
        <w:t xml:space="preserve">of the regulatory control period </w:t>
      </w:r>
      <w:r w:rsidR="000A4B2A">
        <w:t>is provided below.</w:t>
      </w:r>
    </w:p>
    <w:p w:rsidR="00E131B3" w:rsidRDefault="00C36CD8" w:rsidP="002F70D2">
      <w:pPr>
        <w:pStyle w:val="AERbodytextindent2"/>
        <w:rPr>
          <w:rStyle w:val="AERtextitalic"/>
        </w:rPr>
      </w:pPr>
      <w:r>
        <w:rPr>
          <w:rStyle w:val="AERtextitalic"/>
        </w:rPr>
        <w:t xml:space="preserve">Year 1 </w:t>
      </w:r>
      <w:r w:rsidR="00444AC6">
        <w:rPr>
          <w:rStyle w:val="AERtextitalic"/>
        </w:rPr>
        <w:t>efficiency gain</w:t>
      </w:r>
      <w:r>
        <w:rPr>
          <w:rStyle w:val="AERtextitalic"/>
        </w:rPr>
        <w:t xml:space="preserve"> = </w:t>
      </w:r>
      <w:r w:rsidR="00E4204B" w:rsidRPr="00E131B3">
        <w:rPr>
          <w:rStyle w:val="AERtextitalic"/>
        </w:rPr>
        <w:t>capex allowance</w:t>
      </w:r>
      <w:r w:rsidR="00E4204B">
        <w:rPr>
          <w:rStyle w:val="AERtextitalic"/>
        </w:rPr>
        <w:t xml:space="preserve"> for year 1</w:t>
      </w:r>
      <w:r w:rsidR="00E4204B" w:rsidRPr="00E131B3">
        <w:rPr>
          <w:rStyle w:val="AERtextitalic"/>
        </w:rPr>
        <w:t xml:space="preserve"> – </w:t>
      </w:r>
      <w:r>
        <w:rPr>
          <w:rStyle w:val="AERtextitalic"/>
        </w:rPr>
        <w:t>a</w:t>
      </w:r>
      <w:r w:rsidR="00E131B3" w:rsidRPr="00E131B3">
        <w:rPr>
          <w:rStyle w:val="AERtextitalic"/>
        </w:rPr>
        <w:t>ctual capex</w:t>
      </w:r>
      <w:r>
        <w:rPr>
          <w:rStyle w:val="AERtextitalic"/>
        </w:rPr>
        <w:t xml:space="preserve"> in year 1</w:t>
      </w:r>
    </w:p>
    <w:p w:rsidR="00E131B3" w:rsidRDefault="00E131B3" w:rsidP="00E131B3">
      <w:pPr>
        <w:pStyle w:val="AERbodytext"/>
        <w:numPr>
          <w:ilvl w:val="0"/>
          <w:numId w:val="13"/>
        </w:numPr>
      </w:pPr>
      <w:r>
        <w:t xml:space="preserve">To get the </w:t>
      </w:r>
      <w:r w:rsidR="00444AC6">
        <w:t>efficiency gain</w:t>
      </w:r>
      <w:r>
        <w:t xml:space="preserve"> from each year into </w:t>
      </w:r>
      <w:r w:rsidR="00012584">
        <w:t>its</w:t>
      </w:r>
      <w:r w:rsidR="00D278BC">
        <w:t xml:space="preserve"> NPV at the end of the regulatory control period</w:t>
      </w:r>
      <w:r>
        <w:t xml:space="preserve">, a discount rate is applied. </w:t>
      </w:r>
      <w:r w:rsidR="001D3CDC">
        <w:t xml:space="preserve">This discount rate is calculated to account for the fact that capex is assumed to </w:t>
      </w:r>
      <w:r w:rsidR="00012584">
        <w:t>occur</w:t>
      </w:r>
      <w:r w:rsidR="001D3CDC">
        <w:t xml:space="preserve"> in the middle of the year. </w:t>
      </w:r>
      <w:r>
        <w:t xml:space="preserve">To get the </w:t>
      </w:r>
      <w:r w:rsidR="00444AC6">
        <w:t>total efficiency gain</w:t>
      </w:r>
      <w:r>
        <w:t xml:space="preserve">, the </w:t>
      </w:r>
      <w:r w:rsidR="00D278BC">
        <w:t>annual</w:t>
      </w:r>
      <w:r>
        <w:t xml:space="preserve"> </w:t>
      </w:r>
      <w:r w:rsidR="00444AC6">
        <w:t>efficiency gains</w:t>
      </w:r>
      <w:r>
        <w:t xml:space="preserve"> </w:t>
      </w:r>
      <w:r w:rsidR="00D278BC">
        <w:t>in NPV terms</w:t>
      </w:r>
      <w:r w:rsidR="00E4204B">
        <w:t xml:space="preserve"> are add</w:t>
      </w:r>
      <w:r>
        <w:t>ed together.</w:t>
      </w:r>
    </w:p>
    <w:p w:rsidR="00C36CD8" w:rsidRPr="00C36CD8" w:rsidRDefault="00444AC6" w:rsidP="002F70D2">
      <w:pPr>
        <w:pStyle w:val="AERbodytextindent2"/>
        <w:rPr>
          <w:rStyle w:val="AERtextitalic"/>
        </w:rPr>
      </w:pPr>
      <w:r>
        <w:rPr>
          <w:rStyle w:val="AERtextitalic"/>
        </w:rPr>
        <w:t>Total efficiency gain</w:t>
      </w:r>
      <w:r w:rsidR="00D278BC">
        <w:rPr>
          <w:rStyle w:val="AERtextitalic"/>
        </w:rPr>
        <w:t xml:space="preserve"> = NPV</w:t>
      </w:r>
      <w:r w:rsidR="00C36CD8">
        <w:rPr>
          <w:rStyle w:val="AERtextitalic"/>
        </w:rPr>
        <w:t xml:space="preserve"> year 1</w:t>
      </w:r>
      <w:r>
        <w:rPr>
          <w:rStyle w:val="AERtextitalic"/>
        </w:rPr>
        <w:t xml:space="preserve"> efficiency gain</w:t>
      </w:r>
      <w:r w:rsidR="00C36CD8">
        <w:rPr>
          <w:rStyle w:val="AERtextitalic"/>
        </w:rPr>
        <w:t xml:space="preserve"> + </w:t>
      </w:r>
      <w:r w:rsidR="00D278BC">
        <w:rPr>
          <w:rStyle w:val="AERtextitalic"/>
        </w:rPr>
        <w:t>NPV</w:t>
      </w:r>
      <w:r w:rsidR="00C36CD8">
        <w:rPr>
          <w:rStyle w:val="AERtextitalic"/>
        </w:rPr>
        <w:t xml:space="preserve"> year 2 </w:t>
      </w:r>
      <w:r>
        <w:rPr>
          <w:rStyle w:val="AERtextitalic"/>
        </w:rPr>
        <w:t>efficiency gain</w:t>
      </w:r>
      <w:r w:rsidR="00C36CD8">
        <w:rPr>
          <w:rStyle w:val="AERtextitalic"/>
        </w:rPr>
        <w:t xml:space="preserve"> + </w:t>
      </w:r>
      <w:r w:rsidR="00D278BC">
        <w:rPr>
          <w:rStyle w:val="AERtextitalic"/>
        </w:rPr>
        <w:t>NPV</w:t>
      </w:r>
      <w:r w:rsidR="00C36CD8">
        <w:rPr>
          <w:rStyle w:val="AERtextitalic"/>
        </w:rPr>
        <w:t xml:space="preserve"> year 3 </w:t>
      </w:r>
      <w:r>
        <w:rPr>
          <w:rStyle w:val="AERtextitalic"/>
        </w:rPr>
        <w:t>efficiency gain</w:t>
      </w:r>
      <w:r w:rsidR="00C36CD8">
        <w:rPr>
          <w:rStyle w:val="AERtextitalic"/>
        </w:rPr>
        <w:t xml:space="preserve"> + </w:t>
      </w:r>
      <w:r w:rsidR="00D278BC">
        <w:rPr>
          <w:rStyle w:val="AERtextitalic"/>
        </w:rPr>
        <w:t>NPV</w:t>
      </w:r>
      <w:r w:rsidR="00C36CD8">
        <w:rPr>
          <w:rStyle w:val="AERtextitalic"/>
        </w:rPr>
        <w:t xml:space="preserve"> year 4 </w:t>
      </w:r>
      <w:r>
        <w:rPr>
          <w:rStyle w:val="AERtextitalic"/>
        </w:rPr>
        <w:t xml:space="preserve">efficiency gain </w:t>
      </w:r>
      <w:r w:rsidR="00C36CD8">
        <w:rPr>
          <w:rStyle w:val="AERtextitalic"/>
        </w:rPr>
        <w:t xml:space="preserve">+ </w:t>
      </w:r>
      <w:r w:rsidR="00D278BC">
        <w:rPr>
          <w:rStyle w:val="AERtextitalic"/>
        </w:rPr>
        <w:t>NPV year</w:t>
      </w:r>
      <w:r w:rsidR="00C36CD8">
        <w:rPr>
          <w:rStyle w:val="AERtextitalic"/>
        </w:rPr>
        <w:t xml:space="preserve"> 5 </w:t>
      </w:r>
      <w:r>
        <w:rPr>
          <w:rStyle w:val="AERtextitalic"/>
        </w:rPr>
        <w:t>efficiency gain</w:t>
      </w:r>
    </w:p>
    <w:p w:rsidR="00444AC6" w:rsidRDefault="00444AC6" w:rsidP="00F2195F">
      <w:pPr>
        <w:pStyle w:val="AERbodytext"/>
        <w:numPr>
          <w:ilvl w:val="0"/>
          <w:numId w:val="13"/>
        </w:numPr>
      </w:pPr>
      <w:r>
        <w:t>The above calculations can be represented by the following equation:</w:t>
      </w:r>
    </w:p>
    <w:p w:rsidR="002B7625" w:rsidRDefault="00C22F79" w:rsidP="00444AC6">
      <w:pPr>
        <w:pStyle w:val="AERbodytext"/>
        <w:numPr>
          <w:ilvl w:val="0"/>
          <w:numId w:val="13"/>
        </w:numPr>
      </w:pPr>
      <w:r>
        <w:object w:dxaOrig="9026"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49.6pt" o:ole="">
            <v:imagedata r:id="rId11" o:title=""/>
          </v:shape>
          <o:OLEObject Type="Embed" ProgID="Word.Document.12" ShapeID="_x0000_i1025" DrawAspect="Content" ObjectID="_1437483889" r:id="rId12">
            <o:FieldCodes>\s</o:FieldCodes>
          </o:OLEObject>
        </w:object>
      </w:r>
    </w:p>
    <w:p w:rsidR="00444AC6" w:rsidRDefault="00444AC6" w:rsidP="00444AC6">
      <w:pPr>
        <w:pStyle w:val="AERbodytext"/>
        <w:numPr>
          <w:ilvl w:val="0"/>
          <w:numId w:val="13"/>
        </w:numPr>
      </w:pPr>
      <w:r>
        <w:t>Where:</w:t>
      </w:r>
    </w:p>
    <w:p w:rsidR="00444AC6" w:rsidRDefault="00444AC6" w:rsidP="00444AC6">
      <w:pPr>
        <w:pStyle w:val="AERbodytextindent1"/>
      </w:pPr>
      <w:r w:rsidRPr="00B108DA">
        <w:rPr>
          <w:rStyle w:val="AERtextitalic"/>
        </w:rPr>
        <w:t>n</w:t>
      </w:r>
      <w:r>
        <w:t xml:space="preserve"> is the regulatory year</w:t>
      </w:r>
    </w:p>
    <w:p w:rsidR="00444AC6" w:rsidRDefault="00444AC6" w:rsidP="00444AC6">
      <w:pPr>
        <w:pStyle w:val="AERbodytextindent1"/>
      </w:pPr>
      <w:r w:rsidRPr="00B108DA">
        <w:rPr>
          <w:rStyle w:val="AERtextitalic"/>
        </w:rPr>
        <w:t xml:space="preserve">WACC </w:t>
      </w:r>
      <w:r>
        <w:t xml:space="preserve">is the </w:t>
      </w:r>
      <w:r w:rsidR="00F703E1">
        <w:t xml:space="preserve">nominal </w:t>
      </w:r>
      <w:r>
        <w:t>weighted average cost of capital that applied during the regulatory control period</w:t>
      </w:r>
    </w:p>
    <w:p w:rsidR="00444AC6" w:rsidRDefault="00444AC6" w:rsidP="00444AC6">
      <w:pPr>
        <w:pStyle w:val="AERbodytextindent1"/>
      </w:pPr>
      <w:r w:rsidRPr="00B108DA">
        <w:rPr>
          <w:rStyle w:val="AERtextitalic"/>
        </w:rPr>
        <w:t>p</w:t>
      </w:r>
      <w:r>
        <w:t xml:space="preserve"> is the length of the regulatory control period</w:t>
      </w:r>
    </w:p>
    <w:p w:rsidR="00444AC6" w:rsidRDefault="00444AC6" w:rsidP="00444AC6">
      <w:pPr>
        <w:pStyle w:val="AERbodytextindent1"/>
      </w:pPr>
      <w:r w:rsidRPr="00B108DA">
        <w:rPr>
          <w:rStyle w:val="AERtextitalic"/>
        </w:rPr>
        <w:t>Fn</w:t>
      </w:r>
      <w:r>
        <w:rPr>
          <w:rStyle w:val="AERsuperscript"/>
        </w:rPr>
        <w:t xml:space="preserve"> </w:t>
      </w:r>
      <w:r>
        <w:t xml:space="preserve">is the capex allowance for year </w:t>
      </w:r>
      <w:r w:rsidRPr="00B108DA">
        <w:rPr>
          <w:rStyle w:val="AERtextitalic"/>
        </w:rPr>
        <w:t>n</w:t>
      </w:r>
    </w:p>
    <w:p w:rsidR="00444AC6" w:rsidRDefault="00444AC6" w:rsidP="00444AC6">
      <w:pPr>
        <w:pStyle w:val="AERbodytextindent1"/>
      </w:pPr>
      <w:r w:rsidRPr="00B108DA">
        <w:rPr>
          <w:rStyle w:val="AERtextitalic"/>
        </w:rPr>
        <w:t>An</w:t>
      </w:r>
      <w:r>
        <w:t xml:space="preserve"> is actual capex for year </w:t>
      </w:r>
      <w:r w:rsidRPr="00B108DA">
        <w:rPr>
          <w:rStyle w:val="AERtextitalic"/>
        </w:rPr>
        <w:t>n</w:t>
      </w:r>
      <w:r>
        <w:t>.</w:t>
      </w:r>
    </w:p>
    <w:p w:rsidR="00B07D23" w:rsidRDefault="00B07D23" w:rsidP="00F2195F">
      <w:pPr>
        <w:pStyle w:val="Heading3"/>
      </w:pPr>
      <w:r>
        <w:t>Applying the sharing factor</w:t>
      </w:r>
    </w:p>
    <w:p w:rsidR="00B07D23" w:rsidRDefault="00F2195F" w:rsidP="00D62AE7">
      <w:pPr>
        <w:pStyle w:val="AERbodytext"/>
        <w:numPr>
          <w:ilvl w:val="0"/>
          <w:numId w:val="13"/>
        </w:numPr>
      </w:pPr>
      <w:r>
        <w:t xml:space="preserve">Where there is a </w:t>
      </w:r>
      <w:r w:rsidR="00CA000D">
        <w:t>total efficiency gain/loss</w:t>
      </w:r>
      <w:r w:rsidR="00B07D23">
        <w:t xml:space="preserve">, a sharing </w:t>
      </w:r>
      <w:r w:rsidR="001D3CDC">
        <w:t xml:space="preserve">factor </w:t>
      </w:r>
      <w:r w:rsidR="00D62AE7">
        <w:t>of 30 per cent</w:t>
      </w:r>
      <w:r w:rsidR="00B07D23">
        <w:t xml:space="preserve"> is applied. This means that the NSP will bear 30 per cent of any </w:t>
      </w:r>
      <w:r w:rsidR="00CA000D">
        <w:t>loss</w:t>
      </w:r>
      <w:r w:rsidR="00B07D23">
        <w:t xml:space="preserve"> and will retain 30 per cent of any </w:t>
      </w:r>
      <w:r w:rsidR="00921C4A">
        <w:t>gain</w:t>
      </w:r>
      <w:r w:rsidR="00B07D23">
        <w:t>.</w:t>
      </w:r>
      <w:r>
        <w:t xml:space="preserve"> The remaining 70 per cent will go to network users.</w:t>
      </w:r>
    </w:p>
    <w:p w:rsidR="00F2195F" w:rsidRDefault="00F2195F" w:rsidP="002F70D2">
      <w:pPr>
        <w:pStyle w:val="AERbodytextindent2"/>
        <w:rPr>
          <w:rStyle w:val="AERtextitalic"/>
        </w:rPr>
      </w:pPr>
      <w:r>
        <w:rPr>
          <w:rStyle w:val="AERtextitalic"/>
        </w:rPr>
        <w:t>NSP sharing factor = 30 %</w:t>
      </w:r>
    </w:p>
    <w:p w:rsidR="00F2195F" w:rsidRPr="00F2195F" w:rsidRDefault="00F2195F" w:rsidP="002F70D2">
      <w:pPr>
        <w:pStyle w:val="AERbodytextindent2"/>
        <w:rPr>
          <w:rStyle w:val="AERtextitalic"/>
        </w:rPr>
      </w:pPr>
      <w:r>
        <w:rPr>
          <w:rStyle w:val="AERtextitalic"/>
        </w:rPr>
        <w:t xml:space="preserve">NSP share = </w:t>
      </w:r>
      <w:r w:rsidR="00CA000D">
        <w:rPr>
          <w:rStyle w:val="AERtextitalic"/>
        </w:rPr>
        <w:t xml:space="preserve">total efficiency </w:t>
      </w:r>
      <w:r w:rsidR="00904C1E">
        <w:rPr>
          <w:rStyle w:val="AERtextitalic"/>
        </w:rPr>
        <w:t>gain</w:t>
      </w:r>
      <w:r>
        <w:rPr>
          <w:rStyle w:val="AERtextitalic"/>
        </w:rPr>
        <w:t xml:space="preserve"> </w:t>
      </w:r>
      <w:r w:rsidR="00444AC6" w:rsidRPr="00444AC6">
        <w:rPr>
          <w:rStyle w:val="AERtextitalic"/>
        </w:rPr>
        <w:t>×</w:t>
      </w:r>
      <w:r>
        <w:rPr>
          <w:rStyle w:val="AERtextitalic"/>
        </w:rPr>
        <w:t xml:space="preserve"> 30 %</w:t>
      </w:r>
    </w:p>
    <w:p w:rsidR="00B07D23" w:rsidRDefault="00B07D23" w:rsidP="00B07D23">
      <w:pPr>
        <w:pStyle w:val="Heading3"/>
      </w:pPr>
      <w:r>
        <w:t xml:space="preserve">Accounting for benefits and </w:t>
      </w:r>
      <w:r w:rsidR="00012584">
        <w:t>cost</w:t>
      </w:r>
      <w:r>
        <w:t>s already accrued</w:t>
      </w:r>
    </w:p>
    <w:p w:rsidR="00B07D23" w:rsidRDefault="00B07D23" w:rsidP="00D62AE7">
      <w:pPr>
        <w:pStyle w:val="AERbodytext"/>
        <w:numPr>
          <w:ilvl w:val="0"/>
          <w:numId w:val="13"/>
        </w:numPr>
      </w:pPr>
      <w:r>
        <w:t xml:space="preserve">To ensure that the power of the incentive is the same in each year of the regulatory control period, the CESS takes into account any benefits or </w:t>
      </w:r>
      <w:r w:rsidR="00012584">
        <w:t>cost</w:t>
      </w:r>
      <w:r>
        <w:t xml:space="preserve">s already accrued to/borne by </w:t>
      </w:r>
      <w:r w:rsidR="00904C1E">
        <w:t>a NSP</w:t>
      </w:r>
      <w:r>
        <w:t xml:space="preserve"> during the regulatory control period. </w:t>
      </w:r>
    </w:p>
    <w:p w:rsidR="00E54388" w:rsidRDefault="00E54388" w:rsidP="00D62AE7">
      <w:pPr>
        <w:pStyle w:val="AERbodytext"/>
        <w:numPr>
          <w:ilvl w:val="0"/>
          <w:numId w:val="13"/>
        </w:numPr>
      </w:pPr>
      <w:r>
        <w:t xml:space="preserve">Benefits are calculated as the return on the underspend since the amount of the underspend can be put to some other income generating use. Losses are similarly calculated as the </w:t>
      </w:r>
      <w:r w:rsidR="00215D46">
        <w:t>financing cost of the overspend</w:t>
      </w:r>
      <w:r>
        <w:t>.</w:t>
      </w:r>
    </w:p>
    <w:p w:rsidR="00684D9F" w:rsidRDefault="001D3CDC" w:rsidP="00CA000D">
      <w:pPr>
        <w:pStyle w:val="AERbodytext"/>
      </w:pPr>
      <w:r>
        <w:t>Capex</w:t>
      </w:r>
      <w:r w:rsidR="00CA000D">
        <w:t xml:space="preserve"> is assumed to occur in the middle of each year. </w:t>
      </w:r>
      <w:r>
        <w:t>Hence, i</w:t>
      </w:r>
      <w:r w:rsidR="00D278BC">
        <w:t xml:space="preserve">n the year of the underspend, the NSP will recover </w:t>
      </w:r>
      <w:r w:rsidR="00904C1E">
        <w:t>only</w:t>
      </w:r>
      <w:r w:rsidR="00D278BC">
        <w:t xml:space="preserve"> half </w:t>
      </w:r>
      <w:r w:rsidR="00904C1E">
        <w:t xml:space="preserve">a </w:t>
      </w:r>
      <w:r w:rsidR="00D278BC">
        <w:t xml:space="preserve">year of benefit. </w:t>
      </w:r>
      <w:r w:rsidR="00684D9F">
        <w:t xml:space="preserve">In following years, the NSP will retain </w:t>
      </w:r>
      <w:r>
        <w:t xml:space="preserve">a full year of benefit calculated as the </w:t>
      </w:r>
      <w:r w:rsidR="00684D9F">
        <w:t>underspend multiplied by the WACC.</w:t>
      </w:r>
      <w:r w:rsidR="00904C1E">
        <w:t xml:space="preserve"> This is represented in the following equation.</w:t>
      </w:r>
    </w:p>
    <w:p w:rsidR="009C1099" w:rsidRDefault="001D3CDC" w:rsidP="009C1099">
      <w:pPr>
        <w:pStyle w:val="AERbodytext"/>
      </w:pPr>
      <w:r>
        <w:object w:dxaOrig="9026" w:dyaOrig="1011">
          <v:shape id="_x0000_i1026" type="#_x0000_t75" style="width:451pt;height:50.25pt" o:ole="">
            <v:imagedata r:id="rId13" o:title=""/>
          </v:shape>
          <o:OLEObject Type="Embed" ProgID="Word.Document.12" ShapeID="_x0000_i1026" DrawAspect="Content" ObjectID="_1437483890" r:id="rId14">
            <o:FieldCodes>\s</o:FieldCodes>
          </o:OLEObject>
        </w:object>
      </w:r>
      <w:r w:rsidR="009C1099">
        <w:t xml:space="preserve">To put the financing benefits from each year into constant terms, a discount factor is </w:t>
      </w:r>
      <w:r w:rsidR="00904C1E">
        <w:t>applied to</w:t>
      </w:r>
      <w:r w:rsidR="009C1099">
        <w:t xml:space="preserve"> </w:t>
      </w:r>
      <w:r>
        <w:t xml:space="preserve">the benefits from </w:t>
      </w:r>
      <w:r w:rsidR="009C1099">
        <w:t xml:space="preserve">each year. </w:t>
      </w:r>
      <w:r>
        <w:t xml:space="preserve">This discount rate is calculated on the basis that financing benefits accrue at the end of each year. </w:t>
      </w:r>
      <w:r w:rsidR="009C1099">
        <w:t xml:space="preserve">The </w:t>
      </w:r>
      <w:r w:rsidR="00155D01">
        <w:t>discounted</w:t>
      </w:r>
      <w:r w:rsidR="009C1099">
        <w:t xml:space="preserve"> financing benefits from each year are then summed to get a net financing benefit for the regulatory control period.</w:t>
      </w:r>
      <w:r w:rsidR="00904C1E">
        <w:t xml:space="preserve"> This calculation is given by the following equation.</w:t>
      </w:r>
    </w:p>
    <w:p w:rsidR="00CA000D" w:rsidRDefault="001D3CDC" w:rsidP="009C1099">
      <w:pPr>
        <w:pStyle w:val="AERbodytext"/>
      </w:pPr>
      <w:r>
        <w:object w:dxaOrig="9026" w:dyaOrig="989">
          <v:shape id="_x0000_i1027" type="#_x0000_t75" style="width:451pt;height:49.6pt" o:ole="">
            <v:imagedata r:id="rId15" o:title=""/>
          </v:shape>
          <o:OLEObject Type="Embed" ProgID="Word.Document.12" ShapeID="_x0000_i1027" DrawAspect="Content" ObjectID="_1437483891" r:id="rId16">
            <o:FieldCodes>\s</o:FieldCodes>
          </o:OLEObject>
        </w:object>
      </w:r>
    </w:p>
    <w:p w:rsidR="00B07D23" w:rsidRDefault="00B07D23" w:rsidP="00B07D23">
      <w:pPr>
        <w:pStyle w:val="Heading3"/>
      </w:pPr>
      <w:r>
        <w:t>Net reward or penalty</w:t>
      </w:r>
    </w:p>
    <w:p w:rsidR="009C1099" w:rsidRDefault="00904C1E" w:rsidP="009C1099">
      <w:pPr>
        <w:pStyle w:val="AERbodytext"/>
      </w:pPr>
      <w:r>
        <w:t>The</w:t>
      </w:r>
      <w:r w:rsidR="009C1099">
        <w:t xml:space="preserve"> net financing benefit is then subtracted from the NSP's share of </w:t>
      </w:r>
      <w:r w:rsidR="009C1099" w:rsidRPr="009C1099">
        <w:t xml:space="preserve">the </w:t>
      </w:r>
      <w:r w:rsidR="009C1099">
        <w:t xml:space="preserve">cumulative </w:t>
      </w:r>
      <w:r w:rsidR="00012584">
        <w:t>efficiency gain</w:t>
      </w:r>
      <w:r w:rsidR="009C1099">
        <w:t xml:space="preserve"> to calculate the net reward or penalty payable to the NSP.</w:t>
      </w:r>
    </w:p>
    <w:p w:rsidR="009C1099" w:rsidRDefault="009C1099" w:rsidP="002F70D2">
      <w:pPr>
        <w:pStyle w:val="AERbodytextindent2"/>
        <w:rPr>
          <w:rStyle w:val="AERtextitalic"/>
        </w:rPr>
      </w:pPr>
      <w:r w:rsidRPr="009C1099">
        <w:rPr>
          <w:rStyle w:val="AERtextitalic"/>
        </w:rPr>
        <w:t xml:space="preserve">Net </w:t>
      </w:r>
      <w:r>
        <w:rPr>
          <w:rStyle w:val="AERtextitalic"/>
        </w:rPr>
        <w:t>reward</w:t>
      </w:r>
      <w:r w:rsidRPr="009C1099">
        <w:rPr>
          <w:rStyle w:val="AERtextitalic"/>
        </w:rPr>
        <w:t xml:space="preserve"> = </w:t>
      </w:r>
      <w:r>
        <w:rPr>
          <w:rStyle w:val="AERtextitalic"/>
        </w:rPr>
        <w:t xml:space="preserve">NSP share </w:t>
      </w:r>
      <w:r w:rsidR="00CF2286" w:rsidRPr="00E131B3">
        <w:rPr>
          <w:rStyle w:val="AERtextitalic"/>
        </w:rPr>
        <w:t>–</w:t>
      </w:r>
      <w:r>
        <w:rPr>
          <w:rStyle w:val="AERtextitalic"/>
        </w:rPr>
        <w:t xml:space="preserve"> net financing benefit</w:t>
      </w:r>
    </w:p>
    <w:p w:rsidR="00CF2286" w:rsidRDefault="00CF2286" w:rsidP="00CF2286">
      <w:pPr>
        <w:pStyle w:val="AERbodytext"/>
      </w:pPr>
      <w:r>
        <w:t xml:space="preserve">This reward (penalty) will be applied as an </w:t>
      </w:r>
      <w:r w:rsidR="00CA000D">
        <w:t xml:space="preserve">additional building block </w:t>
      </w:r>
      <w:r>
        <w:t xml:space="preserve">adjustment to the NSP's revenue over the upcoming regulatory control period. </w:t>
      </w:r>
    </w:p>
    <w:p w:rsidR="00CF2286" w:rsidRDefault="00CF2286" w:rsidP="00CF2286">
      <w:pPr>
        <w:pStyle w:val="Heading2"/>
      </w:pPr>
      <w:bookmarkStart w:id="31" w:name="_Toc363719528"/>
      <w:r>
        <w:t>Final year adjustment</w:t>
      </w:r>
      <w:bookmarkEnd w:id="31"/>
    </w:p>
    <w:p w:rsidR="00CF2286" w:rsidRDefault="00CF2286" w:rsidP="00CF2286">
      <w:r w:rsidRPr="00CF2286">
        <w:t>As revenue determination</w:t>
      </w:r>
      <w:r>
        <w:t>s are</w:t>
      </w:r>
      <w:r w:rsidRPr="00CF2286">
        <w:t xml:space="preserve"> finalised prior to the end of the regulatory control period</w:t>
      </w:r>
      <w:r w:rsidR="00170A49">
        <w:t>,</w:t>
      </w:r>
      <w:r w:rsidRPr="00CF2286">
        <w:t xml:space="preserve"> </w:t>
      </w:r>
      <w:r>
        <w:t>actual capex for the final year of the regulatory control period</w:t>
      </w:r>
      <w:r w:rsidR="0073368A">
        <w:t xml:space="preserve"> </w:t>
      </w:r>
      <w:r w:rsidR="00012584">
        <w:t xml:space="preserve">will not be available </w:t>
      </w:r>
      <w:r w:rsidR="0073368A">
        <w:t>when the CESS</w:t>
      </w:r>
      <w:r w:rsidR="00012584">
        <w:t xml:space="preserve"> is calculated</w:t>
      </w:r>
      <w:r>
        <w:t>. Instead</w:t>
      </w:r>
      <w:r w:rsidR="0073368A">
        <w:t>,</w:t>
      </w:r>
      <w:r w:rsidRPr="00CF2286">
        <w:t xml:space="preserve"> </w:t>
      </w:r>
      <w:r>
        <w:t xml:space="preserve">an </w:t>
      </w:r>
      <w:r w:rsidRPr="00CF2286">
        <w:t xml:space="preserve">estimate </w:t>
      </w:r>
      <w:r>
        <w:t>of</w:t>
      </w:r>
      <w:r w:rsidRPr="00CF2286">
        <w:t xml:space="preserve"> </w:t>
      </w:r>
      <w:r>
        <w:t>capex</w:t>
      </w:r>
      <w:r w:rsidRPr="00CF2286">
        <w:t xml:space="preserve"> </w:t>
      </w:r>
      <w:r w:rsidR="00012584">
        <w:t xml:space="preserve">is used </w:t>
      </w:r>
      <w:r w:rsidRPr="00CF2286">
        <w:t>to calculate the efficiency</w:t>
      </w:r>
      <w:r>
        <w:t xml:space="preserve"> </w:t>
      </w:r>
      <w:r w:rsidRPr="00CF2286">
        <w:t>gains or losses for the final regulatory year.</w:t>
      </w:r>
    </w:p>
    <w:p w:rsidR="00CA000D" w:rsidRDefault="00CF2286" w:rsidP="00CA000D">
      <w:r>
        <w:t xml:space="preserve">At the next revenue determination </w:t>
      </w:r>
      <w:r w:rsidR="00170A49">
        <w:t xml:space="preserve">actual capex data </w:t>
      </w:r>
      <w:r w:rsidR="00012584">
        <w:t xml:space="preserve">will be available </w:t>
      </w:r>
      <w:r w:rsidR="00170A49">
        <w:t>for that year. Where a NSP's actual capex differ</w:t>
      </w:r>
      <w:r w:rsidR="00E4204B">
        <w:t>s</w:t>
      </w:r>
      <w:r w:rsidR="00170A49">
        <w:t xml:space="preserve"> from the capex estimate used to calculate the CESS, an </w:t>
      </w:r>
      <w:r w:rsidR="0073368A">
        <w:t>adjustment</w:t>
      </w:r>
      <w:r w:rsidR="00170A49">
        <w:t xml:space="preserve"> will be required to account for the difference.</w:t>
      </w:r>
      <w:r w:rsidR="00CA000D" w:rsidRPr="0073368A">
        <w:t xml:space="preserve"> </w:t>
      </w:r>
      <w:r w:rsidR="00283A37">
        <w:t>This is provided below for the final year of the regulatory control period.</w:t>
      </w:r>
    </w:p>
    <w:p w:rsidR="00CA000D" w:rsidRPr="0073368A" w:rsidRDefault="00C22F79" w:rsidP="00CA000D">
      <w:r>
        <w:rPr>
          <w:noProof/>
          <w:lang w:eastAsia="en-AU"/>
        </w:rPr>
        <w:object w:dxaOrig="9026" w:dyaOrig="777">
          <v:shape id="_x0000_i1028" type="#_x0000_t75" style="width:451pt;height:38.7pt" o:ole="">
            <v:imagedata r:id="rId17" o:title=""/>
          </v:shape>
          <o:OLEObject Type="Embed" ProgID="Word.Document.12" ShapeID="_x0000_i1028" DrawAspect="Content" ObjectID="_1437483892" r:id="rId18">
            <o:FieldCodes>\s</o:FieldCodes>
          </o:OLEObject>
        </w:object>
      </w:r>
      <w:r w:rsidR="0073368A" w:rsidRPr="0073368A">
        <w:t xml:space="preserve">A discount rate will be applied to account for the time value of money. </w:t>
      </w:r>
      <w:r w:rsidR="00904C1E">
        <w:t xml:space="preserve">This adjustment may also be required for the penultimate year of the regulatory control period where finalised actual capex figures for that year </w:t>
      </w:r>
      <w:r w:rsidR="00012584">
        <w:t xml:space="preserve">are not available </w:t>
      </w:r>
      <w:r w:rsidR="00904C1E">
        <w:t>before finalising the regulatory determination.</w:t>
      </w:r>
    </w:p>
    <w:p w:rsidR="0073368A" w:rsidRDefault="0073368A" w:rsidP="0073368A">
      <w:pPr>
        <w:pStyle w:val="Heading2"/>
      </w:pPr>
      <w:bookmarkStart w:id="32" w:name="_Toc363719529"/>
      <w:r>
        <w:t>Adjusting for an ex post exclusion from the regulatory asset base</w:t>
      </w:r>
      <w:bookmarkEnd w:id="32"/>
    </w:p>
    <w:p w:rsidR="00287FF3" w:rsidRDefault="00FC7509" w:rsidP="00287FF3">
      <w:pPr>
        <w:pStyle w:val="AERbodytext"/>
      </w:pPr>
      <w:r>
        <w:t>As discussed later in the</w:t>
      </w:r>
      <w:r w:rsidR="00287FF3">
        <w:t>s</w:t>
      </w:r>
      <w:r>
        <w:t>e</w:t>
      </w:r>
      <w:r w:rsidR="00287FF3">
        <w:t xml:space="preserve"> guidel</w:t>
      </w:r>
      <w:r w:rsidR="00012584">
        <w:t>ine</w:t>
      </w:r>
      <w:r>
        <w:t>s</w:t>
      </w:r>
      <w:r w:rsidR="00012584">
        <w:t>, in certain circumstances the AER</w:t>
      </w:r>
      <w:r w:rsidR="00287FF3">
        <w:t xml:space="preserve"> ha</w:t>
      </w:r>
      <w:r w:rsidR="00012584">
        <w:t>s</w:t>
      </w:r>
      <w:r w:rsidR="00287FF3">
        <w:t xml:space="preserve"> the ability to exclude capex from the </w:t>
      </w:r>
      <w:r w:rsidR="00215D46">
        <w:t>RAB</w:t>
      </w:r>
      <w:r w:rsidR="00287FF3">
        <w:t>. Where this occurs</w:t>
      </w:r>
      <w:r w:rsidR="00215D46">
        <w:t>,</w:t>
      </w:r>
      <w:r w:rsidR="00287FF3">
        <w:t xml:space="preserve"> the CESS</w:t>
      </w:r>
      <w:r w:rsidR="00012584">
        <w:t xml:space="preserve"> will require asjustment</w:t>
      </w:r>
      <w:r w:rsidR="00287FF3">
        <w:t xml:space="preserve">. Otherwise a NSP could bear 130 per cent of the </w:t>
      </w:r>
      <w:r w:rsidR="00012584">
        <w:t>cost of the exclusion</w:t>
      </w:r>
      <w:r w:rsidR="00287FF3">
        <w:t xml:space="preserve"> (100 per cent through the exclusion from the RAB and 30 per cent through the CESS). </w:t>
      </w:r>
    </w:p>
    <w:p w:rsidR="00287FF3" w:rsidRDefault="00287FF3" w:rsidP="0073368A">
      <w:pPr>
        <w:pStyle w:val="AERbodytext"/>
      </w:pPr>
      <w:r>
        <w:t>At the time of a determination</w:t>
      </w:r>
      <w:r w:rsidR="00E4204B">
        <w:t>,</w:t>
      </w:r>
      <w:r>
        <w:t xml:space="preserve"> the CESS </w:t>
      </w:r>
      <w:r w:rsidR="00012584">
        <w:t xml:space="preserve">will be calculated </w:t>
      </w:r>
      <w:r>
        <w:t xml:space="preserve">for the regulatory control period just ending. </w:t>
      </w:r>
      <w:r w:rsidR="00012584">
        <w:t>A</w:t>
      </w:r>
      <w:r>
        <w:t xml:space="preserve">n ex post review (which could lead to exclusions from the RAB) </w:t>
      </w:r>
      <w:r w:rsidR="00012584">
        <w:t xml:space="preserve">will also be undertaken at this time </w:t>
      </w:r>
      <w:r>
        <w:t xml:space="preserve">for the first three years of the regulatory control period </w:t>
      </w:r>
      <w:r w:rsidR="00027254">
        <w:t xml:space="preserve">and the last two years of the regulatory control period preceding that. </w:t>
      </w:r>
    </w:p>
    <w:p w:rsidR="00287FF3" w:rsidRDefault="00287FF3" w:rsidP="0073368A">
      <w:pPr>
        <w:pStyle w:val="AERbodytext"/>
      </w:pPr>
      <w:r>
        <w:t xml:space="preserve">Where </w:t>
      </w:r>
      <w:r w:rsidR="00012584">
        <w:t>the AER</w:t>
      </w:r>
      <w:r w:rsidR="00215D46">
        <w:t xml:space="preserve"> determine</w:t>
      </w:r>
      <w:r w:rsidR="00012584">
        <w:t>s</w:t>
      </w:r>
      <w:r w:rsidR="00215D46">
        <w:t xml:space="preserve"> that an amount of capex incurred in year 1, 2 or 3 should be</w:t>
      </w:r>
      <w:r w:rsidR="00027254">
        <w:t xml:space="preserve"> exclu</w:t>
      </w:r>
      <w:r w:rsidR="00215D46">
        <w:t>ded from the RAB</w:t>
      </w:r>
      <w:r w:rsidR="00027254">
        <w:t>, the CESS calculation will be different in that year. This involves a change to step one of the general application of the scheme. Instead of calculating the underspend as the capex allowance minus actual capex, actual capex minus the capex exclusion</w:t>
      </w:r>
      <w:r w:rsidR="00215D46" w:rsidRPr="00215D46">
        <w:t xml:space="preserve"> will be substituted for actual capex</w:t>
      </w:r>
      <w:r w:rsidR="00027254">
        <w:t>.</w:t>
      </w:r>
      <w:r w:rsidR="00D67BDB">
        <w:t xml:space="preserve"> An example is provided for where there is an ex post exclusion in year 1 of the regulatory control period.</w:t>
      </w:r>
    </w:p>
    <w:p w:rsidR="00027254" w:rsidRDefault="00F837E9" w:rsidP="002F70D2">
      <w:pPr>
        <w:pStyle w:val="AERbodytextindent2"/>
        <w:rPr>
          <w:rStyle w:val="AERtextitalic"/>
        </w:rPr>
      </w:pPr>
      <w:r>
        <w:rPr>
          <w:rStyle w:val="AERtextitalic"/>
        </w:rPr>
        <w:lastRenderedPageBreak/>
        <w:t>Year 1 efficiency benefit</w:t>
      </w:r>
      <w:r w:rsidR="00027254">
        <w:rPr>
          <w:rStyle w:val="AERtextitalic"/>
        </w:rPr>
        <w:t xml:space="preserve"> </w:t>
      </w:r>
      <w:r w:rsidR="00D67BDB">
        <w:rPr>
          <w:rStyle w:val="AERtextitalic"/>
        </w:rPr>
        <w:t xml:space="preserve">where this is an ex post exclusion in year 1 </w:t>
      </w:r>
      <w:r w:rsidR="00027254">
        <w:rPr>
          <w:rStyle w:val="AERtextitalic"/>
        </w:rPr>
        <w:t xml:space="preserve">= </w:t>
      </w:r>
      <w:r w:rsidR="00601551" w:rsidRPr="00601551">
        <w:rPr>
          <w:rStyle w:val="AERtextitalic"/>
        </w:rPr>
        <w:t xml:space="preserve">capex allowance for year 1 – </w:t>
      </w:r>
      <w:r w:rsidR="00027254">
        <w:rPr>
          <w:rStyle w:val="AERtextitalic"/>
        </w:rPr>
        <w:t xml:space="preserve">(actual capex in year 1 </w:t>
      </w:r>
      <w:r w:rsidR="00027254" w:rsidRPr="00E131B3">
        <w:rPr>
          <w:rStyle w:val="AERtextitalic"/>
        </w:rPr>
        <w:t>–</w:t>
      </w:r>
      <w:r w:rsidR="00027254">
        <w:rPr>
          <w:rStyle w:val="AERtextitalic"/>
        </w:rPr>
        <w:t xml:space="preserve"> ex post exclusion in year 1) </w:t>
      </w:r>
    </w:p>
    <w:p w:rsidR="00027254" w:rsidRDefault="00027254" w:rsidP="00027254">
      <w:pPr>
        <w:pStyle w:val="AERbodytext"/>
      </w:pPr>
      <w:r>
        <w:t>After this calculation</w:t>
      </w:r>
      <w:r w:rsidR="00D67BDB">
        <w:t xml:space="preserve"> is completed for any ex post exclusion</w:t>
      </w:r>
      <w:r>
        <w:t xml:space="preserve"> in years 1, 2 or 3, the </w:t>
      </w:r>
      <w:r w:rsidR="00120F9A">
        <w:t>process for the general application of the scheme</w:t>
      </w:r>
      <w:r w:rsidR="00751EA0">
        <w:t xml:space="preserve"> (at the second calculation under step 1)</w:t>
      </w:r>
      <w:r w:rsidR="00012584">
        <w:t xml:space="preserve"> would continue</w:t>
      </w:r>
      <w:r w:rsidR="00120F9A">
        <w:t>.</w:t>
      </w:r>
    </w:p>
    <w:p w:rsidR="00012584" w:rsidRDefault="00120F9A" w:rsidP="003E681F">
      <w:pPr>
        <w:pStyle w:val="AERbodytext"/>
        <w:numPr>
          <w:ilvl w:val="0"/>
          <w:numId w:val="13"/>
        </w:numPr>
      </w:pPr>
      <w:r>
        <w:t xml:space="preserve">The adjustment will </w:t>
      </w:r>
      <w:r w:rsidR="009C6624">
        <w:t xml:space="preserve">be </w:t>
      </w:r>
      <w:r>
        <w:t xml:space="preserve">different where the exclusion is for capex in years 4 or 5 of the preceding regulatory control period. </w:t>
      </w:r>
      <w:r w:rsidR="00F703E1">
        <w:t xml:space="preserve">This is because while the CESS is applied </w:t>
      </w:r>
      <w:r w:rsidR="005F5B4B">
        <w:t xml:space="preserve">for all years of a regulatory control period </w:t>
      </w:r>
      <w:r w:rsidR="00F703E1">
        <w:t xml:space="preserve">at the end of the relevant regulatory control period, the ex post review of capex in years 4 and 5 will occur at the end of the following regulatory period. </w:t>
      </w:r>
      <w:r w:rsidR="005F5B4B">
        <w:t xml:space="preserve">(That is, five years later for a five year regulatory control period.) </w:t>
      </w:r>
      <w:r w:rsidR="00F703E1">
        <w:t xml:space="preserve">At this later date the RAB will be adjusted so that no inefficient overspend is included in the RAB for these years. This may require an adjustment to account for the time value of money. </w:t>
      </w:r>
    </w:p>
    <w:p w:rsidR="003E681F" w:rsidRDefault="00F703E1" w:rsidP="003E681F">
      <w:pPr>
        <w:pStyle w:val="AERbodytext"/>
        <w:numPr>
          <w:ilvl w:val="0"/>
          <w:numId w:val="13"/>
        </w:numPr>
      </w:pPr>
      <w:r>
        <w:t>At the same time an adjustment will be required to the CESS.</w:t>
      </w:r>
      <w:r w:rsidR="00751EA0">
        <w:t xml:space="preserve"> </w:t>
      </w:r>
      <w:r>
        <w:t>To the extent that the NSP has borne a CESS penal</w:t>
      </w:r>
      <w:r w:rsidR="005F5B4B">
        <w:t>ty on an amount of capex that i</w:t>
      </w:r>
      <w:r>
        <w:t>s later excluded from the RAB, this will need to be removed from the CESS in the following period. In particular,</w:t>
      </w:r>
      <w:r w:rsidR="00751EA0">
        <w:t xml:space="preserve"> t</w:t>
      </w:r>
      <w:r w:rsidR="006A04AD">
        <w:t xml:space="preserve">he NSP will need to be refunded the </w:t>
      </w:r>
      <w:r>
        <w:t xml:space="preserve">30 per cent penalty it has </w:t>
      </w:r>
      <w:r w:rsidR="006A04AD">
        <w:t xml:space="preserve">already </w:t>
      </w:r>
      <w:r>
        <w:t>borne</w:t>
      </w:r>
      <w:r w:rsidR="006A04AD">
        <w:t xml:space="preserve"> under the CESS for the previous regulatory control period.</w:t>
      </w:r>
      <w:r w:rsidR="00027254">
        <w:t xml:space="preserve"> </w:t>
      </w:r>
      <w:r>
        <w:t>This will be adjusted to a</w:t>
      </w:r>
      <w:r w:rsidR="006A04AD">
        <w:t>ccount for the time value of money</w:t>
      </w:r>
      <w:r>
        <w:t>.</w:t>
      </w:r>
      <w:r w:rsidR="006A04AD">
        <w:t xml:space="preserve"> </w:t>
      </w:r>
    </w:p>
    <w:p w:rsidR="009E61C2" w:rsidRDefault="009E61C2" w:rsidP="003E681F">
      <w:pPr>
        <w:pStyle w:val="Heading1"/>
      </w:pPr>
      <w:bookmarkStart w:id="33" w:name="_Toc363719530"/>
      <w:r>
        <w:lastRenderedPageBreak/>
        <w:t>Use of actual or forecast depreciation</w:t>
      </w:r>
      <w:bookmarkEnd w:id="33"/>
    </w:p>
    <w:p w:rsidR="00751EA0" w:rsidRDefault="00D40315" w:rsidP="00D40315">
      <w:pPr>
        <w:pStyle w:val="AERbodytext"/>
        <w:numPr>
          <w:ilvl w:val="0"/>
          <w:numId w:val="13"/>
        </w:numPr>
      </w:pPr>
      <w:r w:rsidRPr="00D40315">
        <w:t xml:space="preserve">When the RAB is updated for actual capex, it is also depreciated. The type of depreciation used to roll forward the RAB can affect the incentives for efficient capex. </w:t>
      </w:r>
      <w:r w:rsidR="00751EA0">
        <w:t>Depreciation used to roll forward the RAB can be based on:</w:t>
      </w:r>
    </w:p>
    <w:p w:rsidR="00751EA0" w:rsidRDefault="00751EA0" w:rsidP="00751EA0">
      <w:pPr>
        <w:pStyle w:val="AERbulletlistfirststyle"/>
      </w:pPr>
      <w:r>
        <w:t>a</w:t>
      </w:r>
      <w:r w:rsidR="00D40315" w:rsidRPr="00D40315">
        <w:t xml:space="preserve">ctual </w:t>
      </w:r>
      <w:r>
        <w:t xml:space="preserve">capex incurred during the regulatory control period (actual </w:t>
      </w:r>
      <w:r w:rsidR="00D40315" w:rsidRPr="00D40315">
        <w:t>depreciation</w:t>
      </w:r>
      <w:r>
        <w:t>), or</w:t>
      </w:r>
    </w:p>
    <w:p w:rsidR="00751EA0" w:rsidRDefault="00751EA0" w:rsidP="00751EA0">
      <w:pPr>
        <w:pStyle w:val="AERbulletlistfirststyle"/>
      </w:pPr>
      <w:r>
        <w:t>the capex allowance forecast at the start of the regulatory control period (for</w:t>
      </w:r>
      <w:r w:rsidR="00D40315" w:rsidRPr="00D40315">
        <w:t>ecast depreciation</w:t>
      </w:r>
      <w:r>
        <w:t>)</w:t>
      </w:r>
      <w:r w:rsidR="00D40315" w:rsidRPr="00D40315">
        <w:t>.</w:t>
      </w:r>
      <w:r w:rsidR="00D40315">
        <w:t xml:space="preserve"> </w:t>
      </w:r>
    </w:p>
    <w:p w:rsidR="00702557" w:rsidRDefault="00D40315" w:rsidP="00702557">
      <w:pPr>
        <w:pStyle w:val="AERbodytext"/>
        <w:numPr>
          <w:ilvl w:val="0"/>
          <w:numId w:val="13"/>
        </w:numPr>
      </w:pPr>
      <w:r>
        <w:t>U</w:t>
      </w:r>
      <w:r w:rsidRPr="00D40315">
        <w:t xml:space="preserve">sing actual depreciation to roll forward the RAB provides stronger incentives for efficient capex compared to using </w:t>
      </w:r>
      <w:r w:rsidR="00702557">
        <w:t>forecast depreciation:</w:t>
      </w:r>
      <w:r w:rsidR="00702557" w:rsidRPr="00702557">
        <w:t xml:space="preserve"> </w:t>
      </w:r>
    </w:p>
    <w:p w:rsidR="00702557" w:rsidRDefault="00702557" w:rsidP="00702557">
      <w:pPr>
        <w:pStyle w:val="AERbulletlistfirststyle"/>
      </w:pPr>
      <w:r>
        <w:t xml:space="preserve">If there is a capex overspend, actual depreciation will be higher than forecast depreciation. This means that the RAB will increase less at the next regulatory control period than </w:t>
      </w:r>
      <w:r w:rsidR="00E4204B">
        <w:t xml:space="preserve">it would </w:t>
      </w:r>
      <w:r>
        <w:t>if forecast depreciation were used. Hence, the NSP will earn less into the future (i.e. it will bear more of the cost of the overspend into the future).</w:t>
      </w:r>
    </w:p>
    <w:p w:rsidR="00D40315" w:rsidRDefault="00702557" w:rsidP="00702557">
      <w:pPr>
        <w:pStyle w:val="AERbulletlistfirststyle"/>
      </w:pPr>
      <w:r>
        <w:t xml:space="preserve">If there is a capex underspend, actual depreciation will be lower than forecast depreciation. This means that the RAB will increase more at the next regulatory control period than </w:t>
      </w:r>
      <w:r w:rsidR="00E4204B">
        <w:t xml:space="preserve">it would </w:t>
      </w:r>
      <w:r>
        <w:t>if forecast depreciation were used. Hence, the NSP will earn more into the future (i.e. it will retain more of the benefit of an underspend into the future).</w:t>
      </w:r>
    </w:p>
    <w:p w:rsidR="00D40315" w:rsidRDefault="00D40315" w:rsidP="00B41002">
      <w:pPr>
        <w:pStyle w:val="Heading2"/>
      </w:pPr>
      <w:bookmarkStart w:id="34" w:name="_Toc363719531"/>
      <w:r w:rsidRPr="00D40315">
        <w:t>Objective</w:t>
      </w:r>
      <w:bookmarkEnd w:id="34"/>
    </w:p>
    <w:p w:rsidR="00D40315" w:rsidRPr="00D40315" w:rsidRDefault="00FB2897" w:rsidP="00D40315">
      <w:pPr>
        <w:pStyle w:val="AERbodytext"/>
      </w:pPr>
      <w:r>
        <w:t xml:space="preserve">The objective in deciding whether to use </w:t>
      </w:r>
      <w:r w:rsidR="00215D46">
        <w:t xml:space="preserve">depreciation based on </w:t>
      </w:r>
      <w:r>
        <w:t xml:space="preserve">forecast </w:t>
      </w:r>
      <w:r w:rsidR="00E4204B">
        <w:t xml:space="preserve">capex </w:t>
      </w:r>
      <w:r>
        <w:t xml:space="preserve">or actual </w:t>
      </w:r>
      <w:r w:rsidR="00215D46">
        <w:t>capex</w:t>
      </w:r>
      <w:r>
        <w:t xml:space="preserve"> to roll forward the RAB is to ensure that the overall</w:t>
      </w:r>
      <w:r w:rsidR="00904C1E">
        <w:t xml:space="preserve"> ex ante incentives for a</w:t>
      </w:r>
      <w:r>
        <w:t xml:space="preserve"> NSP to undertake efficient capex are appropriate.</w:t>
      </w:r>
    </w:p>
    <w:p w:rsidR="00D40315" w:rsidRPr="00D40315" w:rsidRDefault="00D40315" w:rsidP="00B41002">
      <w:pPr>
        <w:pStyle w:val="Heading2"/>
      </w:pPr>
      <w:bookmarkStart w:id="35" w:name="_Toc363719532"/>
      <w:r w:rsidRPr="00D40315">
        <w:t>Rule requirements</w:t>
      </w:r>
      <w:bookmarkEnd w:id="35"/>
    </w:p>
    <w:p w:rsidR="00D40315" w:rsidRPr="00E54964" w:rsidRDefault="00D40315" w:rsidP="00E54964">
      <w:pPr>
        <w:pStyle w:val="AERbodytext"/>
      </w:pPr>
      <w:r>
        <w:t>C</w:t>
      </w:r>
      <w:r w:rsidRPr="00D40315">
        <w:t>lauses S6.2.2B(a)</w:t>
      </w:r>
      <w:r>
        <w:t xml:space="preserve"> and </w:t>
      </w:r>
      <w:r w:rsidRPr="00D40315">
        <w:t xml:space="preserve">S6A.2.2B(a) </w:t>
      </w:r>
      <w:r>
        <w:t>of t</w:t>
      </w:r>
      <w:r w:rsidRPr="00D40315">
        <w:t xml:space="preserve">he NER provide the AER with flexibility to roll forward </w:t>
      </w:r>
      <w:r>
        <w:t>a NSP's</w:t>
      </w:r>
      <w:r w:rsidRPr="00D40315">
        <w:t xml:space="preserve"> RAB</w:t>
      </w:r>
      <w:r>
        <w:t xml:space="preserve"> on</w:t>
      </w:r>
      <w:r w:rsidRPr="00D40315">
        <w:t xml:space="preserve"> the basis of either actual or </w:t>
      </w:r>
      <w:r w:rsidRPr="00E54964">
        <w:t xml:space="preserve">forecast depreciation. Under clauses 6.4A(b)(3) and 6A.5A(b)(3) of the NER, </w:t>
      </w:r>
      <w:r w:rsidR="00E4204B" w:rsidRPr="00E54964">
        <w:t>the AER is</w:t>
      </w:r>
      <w:r w:rsidRPr="00E54964">
        <w:t xml:space="preserve"> required to include in the</w:t>
      </w:r>
      <w:r w:rsidR="00904C1E">
        <w:t>se</w:t>
      </w:r>
      <w:r w:rsidRPr="00E54964">
        <w:t xml:space="preserve"> </w:t>
      </w:r>
      <w:r w:rsidR="006F254C" w:rsidRPr="00E54964">
        <w:t>guidelines</w:t>
      </w:r>
      <w:r w:rsidRPr="00E54964">
        <w:t xml:space="preserve"> </w:t>
      </w:r>
      <w:r w:rsidR="00E4204B" w:rsidRPr="00E54964">
        <w:t>its</w:t>
      </w:r>
      <w:r w:rsidRPr="00E54964">
        <w:t xml:space="preserve"> process for determining which form of depreciation to use in the</w:t>
      </w:r>
      <w:r w:rsidR="00904C1E">
        <w:t xml:space="preserve"> RAB roll </w:t>
      </w:r>
      <w:r w:rsidRPr="00E54964">
        <w:t>forward process.</w:t>
      </w:r>
      <w:r w:rsidRPr="00E54964">
        <w:rPr>
          <w:rFonts w:eastAsia="Calibri"/>
        </w:rPr>
        <w:t xml:space="preserve"> </w:t>
      </w:r>
    </w:p>
    <w:p w:rsidR="00D40315" w:rsidRPr="00E54964" w:rsidRDefault="00FB2897" w:rsidP="00E54964">
      <w:pPr>
        <w:pStyle w:val="AERbodytext"/>
      </w:pPr>
      <w:r w:rsidRPr="00E54964">
        <w:rPr>
          <w:rFonts w:eastAsia="Calibri"/>
        </w:rPr>
        <w:t>Under c</w:t>
      </w:r>
      <w:r w:rsidR="00D40315" w:rsidRPr="00E54964">
        <w:rPr>
          <w:rFonts w:eastAsia="Calibri"/>
        </w:rPr>
        <w:t xml:space="preserve">lauses </w:t>
      </w:r>
      <w:r w:rsidRPr="00E54964">
        <w:t>S6.2.2B</w:t>
      </w:r>
      <w:r w:rsidR="00D40315" w:rsidRPr="00E54964">
        <w:t xml:space="preserve"> and</w:t>
      </w:r>
      <w:r w:rsidRPr="00E54964">
        <w:t xml:space="preserve"> S6A.2.2B</w:t>
      </w:r>
      <w:r w:rsidR="00D40315" w:rsidRPr="00E54964">
        <w:t xml:space="preserve"> of the NER</w:t>
      </w:r>
      <w:r w:rsidR="00E4204B" w:rsidRPr="00E54964">
        <w:t>, the AER's</w:t>
      </w:r>
      <w:r w:rsidRPr="00E54964">
        <w:t xml:space="preserve"> decision on whether to use actual or forecast depreciation must be consistent with the capital expenditure incentive objective. In making this decision</w:t>
      </w:r>
      <w:r w:rsidR="00E4204B" w:rsidRPr="00E54964">
        <w:t>, the AER</w:t>
      </w:r>
      <w:r w:rsidRPr="00E54964">
        <w:t xml:space="preserve"> must have regard to</w:t>
      </w:r>
      <w:r w:rsidR="00D40315" w:rsidRPr="00E54964">
        <w:t>:</w:t>
      </w:r>
    </w:p>
    <w:p w:rsidR="00D40315" w:rsidRPr="00E54964" w:rsidRDefault="00FB2897" w:rsidP="00E54964">
      <w:pPr>
        <w:pStyle w:val="AERbulletlistfirststyle"/>
        <w:rPr>
          <w:rFonts w:eastAsia="Calibri"/>
        </w:rPr>
      </w:pPr>
      <w:r>
        <w:t xml:space="preserve">any </w:t>
      </w:r>
      <w:r w:rsidR="00D40315" w:rsidRPr="00D40315">
        <w:t xml:space="preserve">other </w:t>
      </w:r>
      <w:r w:rsidR="00D40315" w:rsidRPr="00E54964">
        <w:t>incentives the NSP has to undertake efficient capex</w:t>
      </w:r>
    </w:p>
    <w:p w:rsidR="00D40315" w:rsidRPr="00E54964" w:rsidRDefault="00D40315" w:rsidP="00E54964">
      <w:pPr>
        <w:pStyle w:val="AERbulletlistfirststyle"/>
      </w:pPr>
      <w:r w:rsidRPr="00E54964">
        <w:t>substitution possibilities between assets with different lives</w:t>
      </w:r>
    </w:p>
    <w:p w:rsidR="00D40315" w:rsidRPr="00E54964" w:rsidRDefault="00D40315" w:rsidP="00E54964">
      <w:pPr>
        <w:pStyle w:val="AERbulletlistfirststyle"/>
      </w:pPr>
      <w:r w:rsidRPr="00E54964">
        <w:t>the extent of overspending and inefficient overspending r</w:t>
      </w:r>
      <w:r w:rsidR="00FB2897" w:rsidRPr="00E54964">
        <w:t>elative to the allowed forecast</w:t>
      </w:r>
    </w:p>
    <w:p w:rsidR="00FB2897" w:rsidRPr="00E54964" w:rsidRDefault="00FB2897" w:rsidP="00E54964">
      <w:pPr>
        <w:pStyle w:val="AERbulletlistfirststyle"/>
      </w:pPr>
      <w:r w:rsidRPr="00E54964">
        <w:t>the</w:t>
      </w:r>
      <w:r w:rsidR="00E4204B" w:rsidRPr="00E54964">
        <w:t>se</w:t>
      </w:r>
      <w:r w:rsidR="00215D46" w:rsidRPr="00E54964">
        <w:t xml:space="preserve"> </w:t>
      </w:r>
      <w:r w:rsidR="006F254C" w:rsidRPr="00E54964">
        <w:t>guidelines</w:t>
      </w:r>
    </w:p>
    <w:p w:rsidR="00FB2897" w:rsidRPr="00E54964" w:rsidRDefault="00FB2897" w:rsidP="00E54964">
      <w:pPr>
        <w:pStyle w:val="AERbulletlistfirststyle"/>
      </w:pPr>
      <w:r w:rsidRPr="00E54964">
        <w:t>the capital expenditure factors.</w:t>
      </w:r>
    </w:p>
    <w:p w:rsidR="00D40315" w:rsidRDefault="00FB2897" w:rsidP="00FB2897">
      <w:pPr>
        <w:pStyle w:val="Heading2"/>
      </w:pPr>
      <w:bookmarkStart w:id="36" w:name="_Toc363719533"/>
      <w:r>
        <w:t>A</w:t>
      </w:r>
      <w:r w:rsidR="00702557">
        <w:t>pproach</w:t>
      </w:r>
      <w:bookmarkEnd w:id="36"/>
    </w:p>
    <w:p w:rsidR="00FB2897" w:rsidRDefault="00FB2897" w:rsidP="00FB2897">
      <w:pPr>
        <w:pStyle w:val="AERbodytext"/>
      </w:pPr>
      <w:r w:rsidRPr="00FB2897">
        <w:t>The choice of depreciation approach is one part of the overall capex incentive framework and needs to be considered in th</w:t>
      </w:r>
      <w:r w:rsidR="00904C1E">
        <w:t>is</w:t>
      </w:r>
      <w:r w:rsidRPr="00FB2897">
        <w:t xml:space="preserve"> context.</w:t>
      </w:r>
      <w:r>
        <w:t xml:space="preserve"> Where a CESS is applied, a NSP will already have incentives to </w:t>
      </w:r>
      <w:r>
        <w:lastRenderedPageBreak/>
        <w:t xml:space="preserve">pursue efficiency gains in relation to capex. The use of forecast depreciation would maintain these incentives whereas </w:t>
      </w:r>
      <w:r w:rsidR="00E4204B">
        <w:t xml:space="preserve">the </w:t>
      </w:r>
      <w:r>
        <w:t xml:space="preserve">use of actual depreciation would increase these incentives. </w:t>
      </w:r>
      <w:r w:rsidR="00904C1E">
        <w:t>Howeve</w:t>
      </w:r>
      <w:r>
        <w:t xml:space="preserve">r, </w:t>
      </w:r>
      <w:r w:rsidR="00904C1E">
        <w:t xml:space="preserve">using </w:t>
      </w:r>
      <w:r>
        <w:t>actual depreciation can result in different incentive powers for assets with different asset lives</w:t>
      </w:r>
      <w:r w:rsidR="00006A9D">
        <w:t xml:space="preserve"> whereas forecast depreciation does not impact on this.</w:t>
      </w:r>
    </w:p>
    <w:p w:rsidR="00FB2897" w:rsidRPr="00FB2897" w:rsidRDefault="00F62E19" w:rsidP="00FB2897">
      <w:pPr>
        <w:pStyle w:val="AERbodytext"/>
        <w:numPr>
          <w:ilvl w:val="0"/>
          <w:numId w:val="13"/>
        </w:numPr>
      </w:pPr>
      <w:r>
        <w:t xml:space="preserve">The AER's </w:t>
      </w:r>
      <w:r w:rsidR="00006A9D">
        <w:t>default position is to apply forecast depreciation except where</w:t>
      </w:r>
      <w:r w:rsidR="00FB2897" w:rsidRPr="00FB2897">
        <w:t>:</w:t>
      </w:r>
    </w:p>
    <w:p w:rsidR="00FB2897" w:rsidRPr="00FB2897" w:rsidRDefault="00FB2897" w:rsidP="00FB2897">
      <w:pPr>
        <w:pStyle w:val="AERbulletlistfirststyle"/>
      </w:pPr>
      <w:r w:rsidRPr="00FB2897">
        <w:t xml:space="preserve">there is no CESS in place and therefore the power of </w:t>
      </w:r>
      <w:r w:rsidR="00215D46">
        <w:t xml:space="preserve">the </w:t>
      </w:r>
      <w:r w:rsidRPr="00FB2897">
        <w:t>capex incent</w:t>
      </w:r>
      <w:r w:rsidR="00006A9D">
        <w:t>ive may need to be strengthened,</w:t>
      </w:r>
      <w:r w:rsidRPr="00FB2897">
        <w:t xml:space="preserve"> or</w:t>
      </w:r>
    </w:p>
    <w:p w:rsidR="00FB2897" w:rsidRPr="00FB2897" w:rsidRDefault="00FB2897" w:rsidP="00FB2897">
      <w:pPr>
        <w:pStyle w:val="AERbulletlistfirststyle"/>
      </w:pPr>
      <w:r w:rsidRPr="00FB2897">
        <w:t>a NSP's past capex performance demonstrates evidence of persistent overspending</w:t>
      </w:r>
      <w:r w:rsidR="00E4204B">
        <w:t xml:space="preserve"> or inefficiency,</w:t>
      </w:r>
      <w:r w:rsidR="00006A9D">
        <w:t xml:space="preserve"> meaning </w:t>
      </w:r>
      <w:r w:rsidR="00E4204B">
        <w:t xml:space="preserve">that </w:t>
      </w:r>
      <w:r w:rsidR="00006A9D">
        <w:t>a higher powered incentive is required</w:t>
      </w:r>
      <w:r w:rsidRPr="00FB2897">
        <w:t>.</w:t>
      </w:r>
    </w:p>
    <w:p w:rsidR="00FB2897" w:rsidRPr="00FB2897" w:rsidRDefault="00FB2897" w:rsidP="00FB2897">
      <w:pPr>
        <w:pStyle w:val="AERbodytext"/>
        <w:numPr>
          <w:ilvl w:val="0"/>
          <w:numId w:val="13"/>
        </w:numPr>
      </w:pPr>
      <w:r w:rsidRPr="00FB2897">
        <w:t xml:space="preserve">In considering whether to apply actual depreciation in either of the above circumstances </w:t>
      </w:r>
      <w:r w:rsidR="00E4204B">
        <w:t>the AER would consider</w:t>
      </w:r>
      <w:r w:rsidRPr="00FB2897">
        <w:t>:</w:t>
      </w:r>
    </w:p>
    <w:p w:rsidR="00FB2897" w:rsidRPr="00FB2897" w:rsidRDefault="00FB2897" w:rsidP="00FB2897">
      <w:pPr>
        <w:pStyle w:val="AERbulletlistfirststyle"/>
      </w:pPr>
      <w:r w:rsidRPr="00FB2897">
        <w:t>the substitutability between opex and capex and the balance of incentives between opex and capex</w:t>
      </w:r>
    </w:p>
    <w:p w:rsidR="00FB2897" w:rsidRPr="00FB2897" w:rsidRDefault="00FB2897" w:rsidP="00FB2897">
      <w:pPr>
        <w:pStyle w:val="AERbulletlistfirststyle"/>
      </w:pPr>
      <w:r w:rsidRPr="00FB2897">
        <w:t>the balance of incentives with service performance schemes</w:t>
      </w:r>
    </w:p>
    <w:p w:rsidR="00FB2897" w:rsidRPr="00FB2897" w:rsidRDefault="00FB2897" w:rsidP="00FB2897">
      <w:pPr>
        <w:pStyle w:val="AERbulletlistfirststyle"/>
      </w:pPr>
      <w:r w:rsidRPr="00FB2897">
        <w:t xml:space="preserve">the </w:t>
      </w:r>
      <w:r w:rsidR="002E2077">
        <w:t>substitutability of assets of different asset lives</w:t>
      </w:r>
      <w:r w:rsidRPr="00FB2897">
        <w:t>.</w:t>
      </w:r>
    </w:p>
    <w:p w:rsidR="00D85F53" w:rsidRDefault="00D85F53" w:rsidP="00B41002">
      <w:pPr>
        <w:pStyle w:val="Heading1"/>
      </w:pPr>
      <w:bookmarkStart w:id="37" w:name="_Toc363719534"/>
      <w:r>
        <w:lastRenderedPageBreak/>
        <w:t xml:space="preserve">Ex post </w:t>
      </w:r>
      <w:r w:rsidR="00AA620A">
        <w:t>measures for efficient</w:t>
      </w:r>
      <w:r>
        <w:t xml:space="preserve"> capital expenditure</w:t>
      </w:r>
      <w:bookmarkEnd w:id="37"/>
    </w:p>
    <w:p w:rsidR="00AA620A" w:rsidRPr="00AA620A" w:rsidRDefault="00A32F9A" w:rsidP="00AA620A">
      <w:pPr>
        <w:pStyle w:val="AERbodytext"/>
        <w:numPr>
          <w:ilvl w:val="0"/>
          <w:numId w:val="13"/>
        </w:numPr>
      </w:pPr>
      <w:r w:rsidRPr="00A32F9A">
        <w:t xml:space="preserve">This chapter sets out the AER’s approach to </w:t>
      </w:r>
      <w:r w:rsidR="00AA620A">
        <w:t>ex post measures for incentivising efficient capex</w:t>
      </w:r>
      <w:r w:rsidRPr="00A32F9A">
        <w:t xml:space="preserve"> during a regulatory control period. </w:t>
      </w:r>
      <w:r w:rsidR="00AA620A" w:rsidRPr="00AA620A">
        <w:t>There are two elements to th</w:t>
      </w:r>
      <w:r w:rsidR="00AA620A">
        <w:t>is</w:t>
      </w:r>
      <w:r w:rsidR="00AA620A" w:rsidRPr="00AA620A">
        <w:t>:</w:t>
      </w:r>
    </w:p>
    <w:p w:rsidR="00AA620A" w:rsidRPr="00AA620A" w:rsidRDefault="00AA620A" w:rsidP="00AA620A">
      <w:pPr>
        <w:pStyle w:val="AERbulletlistfirststyle"/>
      </w:pPr>
      <w:r>
        <w:t>the requirement on the AER to produce a</w:t>
      </w:r>
      <w:r w:rsidRPr="00AA620A">
        <w:t xml:space="preserve"> statement on the efficiency and prudenc</w:t>
      </w:r>
      <w:r w:rsidR="00FB6AAD">
        <w:t>y</w:t>
      </w:r>
      <w:r w:rsidRPr="00AA620A">
        <w:t xml:space="preserve"> of all capex being rolled into the RAB</w:t>
      </w:r>
      <w:r w:rsidR="00C51C50">
        <w:t xml:space="preserve"> (an ex post statement)</w:t>
      </w:r>
    </w:p>
    <w:p w:rsidR="00AA620A" w:rsidRPr="00AA620A" w:rsidRDefault="00AA620A" w:rsidP="00AA620A">
      <w:pPr>
        <w:pStyle w:val="AERbulletlistfirststyle"/>
      </w:pPr>
      <w:r w:rsidRPr="00AA620A">
        <w:t xml:space="preserve">the </w:t>
      </w:r>
      <w:r>
        <w:t>ability of the AER to</w:t>
      </w:r>
      <w:r w:rsidRPr="00AA620A">
        <w:t xml:space="preserve"> exclu</w:t>
      </w:r>
      <w:r>
        <w:t>de</w:t>
      </w:r>
      <w:r w:rsidRPr="00AA620A">
        <w:t xml:space="preserve"> certain types of capex from </w:t>
      </w:r>
      <w:r>
        <w:t xml:space="preserve">being included in </w:t>
      </w:r>
      <w:r w:rsidRPr="00AA620A">
        <w:t>the roll forward of the RAB.</w:t>
      </w:r>
    </w:p>
    <w:p w:rsidR="00A32F9A" w:rsidRPr="00A32F9A" w:rsidRDefault="00A32F9A" w:rsidP="00B41002">
      <w:pPr>
        <w:pStyle w:val="Heading2"/>
      </w:pPr>
      <w:bookmarkStart w:id="38" w:name="_Toc363719535"/>
      <w:r w:rsidRPr="00A32F9A">
        <w:t>Objective</w:t>
      </w:r>
      <w:r w:rsidR="00AA620A">
        <w:t>s</w:t>
      </w:r>
      <w:bookmarkEnd w:id="38"/>
    </w:p>
    <w:p w:rsidR="00AA620A" w:rsidRDefault="00A32F9A" w:rsidP="00A32F9A">
      <w:pPr>
        <w:pStyle w:val="AERbodytext"/>
        <w:numPr>
          <w:ilvl w:val="0"/>
          <w:numId w:val="13"/>
        </w:numPr>
      </w:pPr>
      <w:r w:rsidRPr="00A32F9A">
        <w:t xml:space="preserve">The overarching objective of the </w:t>
      </w:r>
      <w:r w:rsidR="00AA620A">
        <w:t xml:space="preserve">ex post statement of efficiency is to provide information about the efficiency or otherwise of capex being included in the RAB. </w:t>
      </w:r>
    </w:p>
    <w:p w:rsidR="00AA620A" w:rsidRDefault="00AA620A" w:rsidP="00A32F9A">
      <w:pPr>
        <w:pStyle w:val="AERbodytext"/>
        <w:numPr>
          <w:ilvl w:val="0"/>
          <w:numId w:val="13"/>
        </w:numPr>
      </w:pPr>
      <w:r>
        <w:t>The objective of excluding certain types of capex from the RAB is to ensure that network users are only paying for the efficient capex associated with providing network services.</w:t>
      </w:r>
    </w:p>
    <w:p w:rsidR="00A32F9A" w:rsidRDefault="00A32F9A" w:rsidP="00B41002">
      <w:pPr>
        <w:pStyle w:val="Heading2"/>
      </w:pPr>
      <w:bookmarkStart w:id="39" w:name="_Toc363719536"/>
      <w:r w:rsidRPr="00A32F9A">
        <w:t>Rule requirements</w:t>
      </w:r>
      <w:bookmarkEnd w:id="39"/>
    </w:p>
    <w:p w:rsidR="00AA620A" w:rsidRPr="00E54964" w:rsidRDefault="00AA620A" w:rsidP="00E54964">
      <w:pPr>
        <w:pStyle w:val="AERbodytext"/>
      </w:pPr>
      <w:r w:rsidRPr="00AA620A">
        <w:t>Clause</w:t>
      </w:r>
      <w:r>
        <w:t>s</w:t>
      </w:r>
      <w:r w:rsidRPr="00AA620A">
        <w:t xml:space="preserve"> 6.</w:t>
      </w:r>
      <w:r w:rsidRPr="00E54964">
        <w:t xml:space="preserve">12.2(b) and 6A.14.2(b) require the AER to include in any draft or final </w:t>
      </w:r>
      <w:r w:rsidR="00904C1E">
        <w:t xml:space="preserve">regulatory determination </w:t>
      </w:r>
      <w:r w:rsidRPr="00E54964">
        <w:t>decision, a statement on the extent to which the roll forward of the RAB meets the capital expenditure incentive objective</w:t>
      </w:r>
      <w:r w:rsidR="00811E12" w:rsidRPr="00E54964">
        <w:t xml:space="preserve"> (defined in clauses 6.4A and 6A.5A)</w:t>
      </w:r>
      <w:r w:rsidRPr="00E54964">
        <w:t xml:space="preserve">. </w:t>
      </w:r>
      <w:r w:rsidR="00215D46" w:rsidRPr="00E54964">
        <w:t xml:space="preserve">This statement will </w:t>
      </w:r>
      <w:r w:rsidR="00904C1E">
        <w:t>be for the</w:t>
      </w:r>
      <w:r w:rsidR="00215D46" w:rsidRPr="00E54964">
        <w:t xml:space="preserve"> regulatory control period</w:t>
      </w:r>
      <w:r w:rsidR="00904C1E">
        <w:t xml:space="preserve"> just ending</w:t>
      </w:r>
      <w:r w:rsidR="00215D46" w:rsidRPr="00E54964">
        <w:t>.</w:t>
      </w:r>
    </w:p>
    <w:p w:rsidR="00AA620A" w:rsidRPr="00E54964" w:rsidRDefault="00AA620A" w:rsidP="00E54964">
      <w:pPr>
        <w:pStyle w:val="AERbodytext"/>
      </w:pPr>
      <w:r w:rsidRPr="00E54964">
        <w:rPr>
          <w:rFonts w:eastAsia="Calibri"/>
        </w:rPr>
        <w:t>Clauses S6.2.2A and S6A.2.2A provide that in certain circumstances the AER may reduce the amount by which a NSP's RAB is to be increased as part of the RAB roll forward:</w:t>
      </w:r>
    </w:p>
    <w:p w:rsidR="00AA620A" w:rsidRPr="00AA620A" w:rsidRDefault="00AA620A" w:rsidP="00AA620A">
      <w:pPr>
        <w:pStyle w:val="AERbulletlistfirststyle"/>
        <w:rPr>
          <w:rFonts w:eastAsia="Calibri"/>
        </w:rPr>
      </w:pPr>
      <w:r w:rsidRPr="00AA620A">
        <w:rPr>
          <w:rFonts w:eastAsia="Calibri"/>
        </w:rPr>
        <w:t>where a NSP has spent more than its capex allowance</w:t>
      </w:r>
      <w:r w:rsidRPr="00AA620A">
        <w:rPr>
          <w:rStyle w:val="FootnoteReference"/>
          <w:rFonts w:eastAsia="Calibri"/>
        </w:rPr>
        <w:footnoteReference w:id="1"/>
      </w:r>
      <w:r w:rsidRPr="00AA620A">
        <w:rPr>
          <w:rFonts w:eastAsia="Calibri"/>
        </w:rPr>
        <w:t xml:space="preserve">, the AER may exclude inefficient capex above the allowance from being included in the RAB </w:t>
      </w:r>
    </w:p>
    <w:p w:rsidR="00AA620A" w:rsidRPr="00AA620A" w:rsidRDefault="00AA620A" w:rsidP="00AA620A">
      <w:pPr>
        <w:pStyle w:val="AERbulletlistfirststyle"/>
        <w:rPr>
          <w:rFonts w:eastAsia="Calibri"/>
        </w:rPr>
      </w:pPr>
      <w:r w:rsidRPr="00AA620A">
        <w:rPr>
          <w:rFonts w:eastAsia="Calibri"/>
        </w:rPr>
        <w:t xml:space="preserve">where a NSP </w:t>
      </w:r>
      <w:r w:rsidR="00904C1E">
        <w:rPr>
          <w:rFonts w:eastAsia="Calibri"/>
        </w:rPr>
        <w:t xml:space="preserve">has </w:t>
      </w:r>
      <w:r w:rsidRPr="00AA620A">
        <w:rPr>
          <w:rFonts w:eastAsia="Calibri"/>
        </w:rPr>
        <w:t>incurred a</w:t>
      </w:r>
      <w:r w:rsidRPr="00AA620A">
        <w:rPr>
          <w:rStyle w:val="AERbody"/>
        </w:rPr>
        <w:t xml:space="preserve"> margin in relation to arrangements that did not reflect arm's length terms, the AER </w:t>
      </w:r>
      <w:r w:rsidRPr="00AA620A">
        <w:rPr>
          <w:rFonts w:eastAsia="Calibri"/>
        </w:rPr>
        <w:t xml:space="preserve">may exclude the inefficient portion of the margin from entering the RAB </w:t>
      </w:r>
    </w:p>
    <w:p w:rsidR="00AA620A" w:rsidRPr="00AA620A" w:rsidRDefault="00AA620A" w:rsidP="00AA620A">
      <w:pPr>
        <w:pStyle w:val="AERbulletlistfirststyle"/>
        <w:rPr>
          <w:rFonts w:eastAsia="Calibri"/>
        </w:rPr>
      </w:pPr>
      <w:r w:rsidRPr="00AA620A">
        <w:rPr>
          <w:rFonts w:eastAsia="Calibri"/>
        </w:rPr>
        <w:t xml:space="preserve">where a NSP's capex includes expenditure that was classified as opex at the time of the </w:t>
      </w:r>
      <w:r w:rsidR="00904C1E">
        <w:rPr>
          <w:rFonts w:eastAsia="Calibri"/>
        </w:rPr>
        <w:t xml:space="preserve">regulatory </w:t>
      </w:r>
      <w:r w:rsidRPr="00AA620A">
        <w:rPr>
          <w:rFonts w:eastAsia="Calibri"/>
        </w:rPr>
        <w:t>determination, the AER may exclude this from the RAB.</w:t>
      </w:r>
    </w:p>
    <w:p w:rsidR="00AA620A" w:rsidRPr="00AA620A" w:rsidRDefault="00AA620A" w:rsidP="00AA620A">
      <w:pPr>
        <w:pStyle w:val="AERbodytext"/>
        <w:numPr>
          <w:ilvl w:val="0"/>
          <w:numId w:val="13"/>
        </w:numPr>
        <w:rPr>
          <w:rFonts w:eastAsia="Calibri"/>
        </w:rPr>
      </w:pPr>
      <w:r w:rsidRPr="00AA620A">
        <w:rPr>
          <w:rFonts w:eastAsia="Calibri"/>
        </w:rPr>
        <w:t>The relevant period over which this assessment is to occur is the first three years of the regulatory control period just ending and the last two years of the preceding regulatory control period.</w:t>
      </w:r>
      <w:r w:rsidR="00904C1E">
        <w:rPr>
          <w:rFonts w:eastAsia="Calibri"/>
        </w:rPr>
        <w:t xml:space="preserve"> This differs from the period for the ex post statement and the CESS.</w:t>
      </w:r>
    </w:p>
    <w:p w:rsidR="00832B16" w:rsidRDefault="00D4626E" w:rsidP="00B41002">
      <w:pPr>
        <w:pStyle w:val="Heading2"/>
      </w:pPr>
      <w:bookmarkStart w:id="40" w:name="_Toc363719537"/>
      <w:r>
        <w:t>Ex post review process</w:t>
      </w:r>
      <w:bookmarkEnd w:id="40"/>
    </w:p>
    <w:p w:rsidR="00702557" w:rsidRDefault="00D4626E" w:rsidP="00D4626E">
      <w:pPr>
        <w:pStyle w:val="AERbodytext"/>
      </w:pPr>
      <w:r>
        <w:t>The AER will undertake a staged process for the purpose of the ex post statement and in making any decisions on whether to</w:t>
      </w:r>
      <w:r w:rsidR="00E11FEF">
        <w:t xml:space="preserve"> exclude</w:t>
      </w:r>
      <w:r>
        <w:t xml:space="preserve"> </w:t>
      </w:r>
      <w:r w:rsidR="00B26E21">
        <w:t xml:space="preserve">inefficient </w:t>
      </w:r>
      <w:r>
        <w:t xml:space="preserve">capex </w:t>
      </w:r>
      <w:r w:rsidR="00B26E21">
        <w:t xml:space="preserve">overspends </w:t>
      </w:r>
      <w:r>
        <w:t>from the RAB. This process is outlined in figure 1.</w:t>
      </w:r>
      <w:r w:rsidR="000310F1">
        <w:t xml:space="preserve"> </w:t>
      </w:r>
      <w:r w:rsidR="00D4554C">
        <w:t xml:space="preserve">NSPs would be consulted </w:t>
      </w:r>
      <w:r w:rsidR="00C51C50">
        <w:t>at</w:t>
      </w:r>
      <w:r w:rsidR="00D4554C">
        <w:t xml:space="preserve"> each stage of the process.</w:t>
      </w:r>
    </w:p>
    <w:p w:rsidR="00D4626E" w:rsidRDefault="00702557" w:rsidP="00D4626E">
      <w:pPr>
        <w:pStyle w:val="AERbodytext"/>
      </w:pPr>
      <w:r>
        <w:lastRenderedPageBreak/>
        <w:t>Under clauses S6.2.2A(h) and S6A.2.2A(h) of the NER, i</w:t>
      </w:r>
      <w:r w:rsidR="000310F1">
        <w:t xml:space="preserve">n undertaking this review the AER </w:t>
      </w:r>
      <w:r>
        <w:t>can '</w:t>
      </w:r>
      <w:r w:rsidRPr="00BE7E53">
        <w:t xml:space="preserve">only take into account information and analysis that the </w:t>
      </w:r>
      <w:r>
        <w:t xml:space="preserve">NSP </w:t>
      </w:r>
      <w:r w:rsidRPr="00BE7E53">
        <w:t>could reasonably be expected to have considered or undertaken at the time that it undertook t</w:t>
      </w:r>
      <w:r>
        <w:t>he relevant capital expenditure'.</w:t>
      </w:r>
    </w:p>
    <w:p w:rsidR="00D4626E" w:rsidRDefault="00D4626E" w:rsidP="00D4626E">
      <w:pPr>
        <w:pStyle w:val="Caption"/>
      </w:pPr>
      <w:r>
        <w:t>Figure 1</w:t>
      </w:r>
      <w:r>
        <w:tab/>
        <w:t>Staged process for ex post review</w:t>
      </w:r>
    </w:p>
    <w:p w:rsidR="00FF799D" w:rsidRDefault="00FB6AAD" w:rsidP="00FB6AAD">
      <w:pPr>
        <w:pStyle w:val="AERbodytext"/>
      </w:pPr>
      <w:r w:rsidRPr="00FB6AAD">
        <w:rPr>
          <w:noProof/>
          <w:lang w:eastAsia="en-AU"/>
        </w:rPr>
        <w:drawing>
          <wp:inline distT="0" distB="0" distL="0" distR="0" wp14:anchorId="3745ACF5" wp14:editId="0708F8EA">
            <wp:extent cx="5731510" cy="42387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4238742"/>
                    </a:xfrm>
                    <a:prstGeom prst="rect">
                      <a:avLst/>
                    </a:prstGeom>
                    <a:noFill/>
                    <a:ln>
                      <a:noFill/>
                    </a:ln>
                  </pic:spPr>
                </pic:pic>
              </a:graphicData>
            </a:graphic>
          </wp:inline>
        </w:drawing>
      </w:r>
    </w:p>
    <w:p w:rsidR="00340DF2" w:rsidRDefault="00340DF2" w:rsidP="00340DF2">
      <w:pPr>
        <w:pStyle w:val="AERbodytext"/>
      </w:pPr>
      <w:r>
        <w:t>The AER's process for assessing the efficien</w:t>
      </w:r>
      <w:r w:rsidR="00FF4CAE">
        <w:t xml:space="preserve">cy of a NSP's capex involves a two </w:t>
      </w:r>
      <w:r>
        <w:t>stage process.</w:t>
      </w:r>
    </w:p>
    <w:p w:rsidR="00D4626E" w:rsidRDefault="00D4626E" w:rsidP="00D4626E">
      <w:pPr>
        <w:pStyle w:val="Heading3"/>
      </w:pPr>
      <w:r>
        <w:t>Stage 1</w:t>
      </w:r>
    </w:p>
    <w:p w:rsidR="00215D46" w:rsidRDefault="00F079AF" w:rsidP="00D4626E">
      <w:pPr>
        <w:pStyle w:val="AERbodytext"/>
        <w:numPr>
          <w:ilvl w:val="0"/>
          <w:numId w:val="0"/>
        </w:numPr>
      </w:pPr>
      <w:r>
        <w:t>T</w:t>
      </w:r>
      <w:r w:rsidR="00D4626E">
        <w:t>he first st</w:t>
      </w:r>
      <w:r w:rsidR="00904C1E">
        <w:t>age</w:t>
      </w:r>
      <w:r w:rsidR="00D4626E">
        <w:t xml:space="preserve"> is for the AER to consider the NSP's actual capex</w:t>
      </w:r>
      <w:r w:rsidR="00F62E19">
        <w:t xml:space="preserve"> performance</w:t>
      </w:r>
      <w:r w:rsidR="00D4626E">
        <w:t xml:space="preserve">. </w:t>
      </w:r>
      <w:r w:rsidR="00215D46">
        <w:t>The</w:t>
      </w:r>
      <w:r w:rsidR="00D4626E">
        <w:t xml:space="preserve"> key </w:t>
      </w:r>
      <w:r w:rsidR="00215D46">
        <w:t>questions a</w:t>
      </w:r>
      <w:r w:rsidR="00D4626E">
        <w:t>re</w:t>
      </w:r>
      <w:r w:rsidR="00215D46">
        <w:t>:</w:t>
      </w:r>
    </w:p>
    <w:p w:rsidR="00215D46" w:rsidRDefault="00215D46" w:rsidP="00215D46">
      <w:pPr>
        <w:pStyle w:val="AERbulletlistfirststyle"/>
      </w:pPr>
      <w:r>
        <w:t>Has</w:t>
      </w:r>
      <w:r w:rsidR="00D4626E">
        <w:t xml:space="preserve"> the NSP overspent a</w:t>
      </w:r>
      <w:r>
        <w:t>gainst its</w:t>
      </w:r>
      <w:r w:rsidR="00D4626E">
        <w:t xml:space="preserve"> allowance</w:t>
      </w:r>
      <w:r>
        <w:t>?</w:t>
      </w:r>
    </w:p>
    <w:p w:rsidR="00215D46" w:rsidRDefault="00215D46" w:rsidP="00215D46">
      <w:pPr>
        <w:pStyle w:val="AERbulletlistfirststyle"/>
      </w:pPr>
      <w:r>
        <w:t>If so, is the overspend</w:t>
      </w:r>
      <w:r w:rsidR="00D4626E">
        <w:t xml:space="preserve"> significant</w:t>
      </w:r>
      <w:r>
        <w:t>?</w:t>
      </w:r>
    </w:p>
    <w:p w:rsidR="00215D46" w:rsidRDefault="00FB6AAD" w:rsidP="00215D46">
      <w:pPr>
        <w:pStyle w:val="AERbulletlistfirststyle"/>
      </w:pPr>
      <w:r>
        <w:t>What is the NSP's history of capex?</w:t>
      </w:r>
    </w:p>
    <w:p w:rsidR="00D4626E" w:rsidRDefault="00215D46" w:rsidP="00215D46">
      <w:pPr>
        <w:pStyle w:val="AERbodytext"/>
      </w:pPr>
      <w:r>
        <w:t xml:space="preserve">In some cases </w:t>
      </w:r>
      <w:r w:rsidR="00012584">
        <w:t>the AER</w:t>
      </w:r>
      <w:r>
        <w:t xml:space="preserve"> may </w:t>
      </w:r>
      <w:r w:rsidR="00012584">
        <w:t>consider</w:t>
      </w:r>
      <w:r w:rsidR="00D4626E">
        <w:t xml:space="preserve"> </w:t>
      </w:r>
      <w:r>
        <w:t xml:space="preserve">capex </w:t>
      </w:r>
      <w:r w:rsidR="00D4626E">
        <w:t>on a year by year basis</w:t>
      </w:r>
      <w:r>
        <w:t xml:space="preserve">. However, in general </w:t>
      </w:r>
      <w:r w:rsidR="00012584">
        <w:t>it</w:t>
      </w:r>
      <w:r w:rsidR="00D4626E">
        <w:t xml:space="preserve"> will more likely consider whether there is a cumulative overspend over the period</w:t>
      </w:r>
      <w:r w:rsidR="00981E24">
        <w:t xml:space="preserve"> and</w:t>
      </w:r>
      <w:r w:rsidR="00FB6AAD">
        <w:t xml:space="preserve"> the NSP's capex history</w:t>
      </w:r>
      <w:r w:rsidR="00981E24">
        <w:t>. In investigating any overspend</w:t>
      </w:r>
      <w:r w:rsidR="00861531">
        <w:t>,</w:t>
      </w:r>
      <w:r w:rsidR="00981E24">
        <w:t xml:space="preserve"> </w:t>
      </w:r>
      <w:r w:rsidR="00012584">
        <w:t>the AER</w:t>
      </w:r>
      <w:r w:rsidR="00981E24">
        <w:t xml:space="preserve"> might </w:t>
      </w:r>
      <w:r w:rsidR="00012584">
        <w:t>consider</w:t>
      </w:r>
      <w:r w:rsidR="00981E24">
        <w:t xml:space="preserve"> the drivers of </w:t>
      </w:r>
      <w:r w:rsidR="00F30FD7">
        <w:t xml:space="preserve">the </w:t>
      </w:r>
      <w:r w:rsidR="00981E24">
        <w:t xml:space="preserve">overspend and whether these </w:t>
      </w:r>
      <w:r w:rsidR="00012584">
        <w:t xml:space="preserve">drivers </w:t>
      </w:r>
      <w:r w:rsidR="00981E24">
        <w:t>were within the control of the NSP.</w:t>
      </w:r>
    </w:p>
    <w:p w:rsidR="00981E24" w:rsidRDefault="00981E24" w:rsidP="00D4626E">
      <w:pPr>
        <w:pStyle w:val="AERbodytext"/>
        <w:numPr>
          <w:ilvl w:val="0"/>
          <w:numId w:val="0"/>
        </w:numPr>
      </w:pPr>
      <w:r>
        <w:t xml:space="preserve">Where relevant, </w:t>
      </w:r>
      <w:r w:rsidR="00012584">
        <w:t>the AER might</w:t>
      </w:r>
      <w:r w:rsidRPr="00981E24">
        <w:t xml:space="preserve"> </w:t>
      </w:r>
      <w:r>
        <w:t>draw on high level benchmarking or other information to assess how the NSP has performed on capex relative to other similar NSPs</w:t>
      </w:r>
      <w:r w:rsidRPr="00981E24">
        <w:t xml:space="preserve">. For example, if similar NSPs had faced the same exogenous factors then a comparison between the NSPs could indicate how well each NSP had responded to these factors. </w:t>
      </w:r>
      <w:r w:rsidR="00B26E21">
        <w:t>In additi</w:t>
      </w:r>
      <w:r w:rsidR="00F30FD7">
        <w:t>on, benchmarking could be used</w:t>
      </w:r>
      <w:r w:rsidR="00B26E21">
        <w:t xml:space="preserve"> as a filter to </w:t>
      </w:r>
      <w:r w:rsidR="00B26E21">
        <w:lastRenderedPageBreak/>
        <w:t xml:space="preserve">identify the key drivers of capex which could be used to target our assessment in stage 2. </w:t>
      </w:r>
      <w:r w:rsidRPr="00981E24">
        <w:t xml:space="preserve">These comparisons would most likely be undertaken at a high level and would not replace more detailed NSP-specific analysis that would follow in </w:t>
      </w:r>
      <w:r w:rsidR="00F30FD7">
        <w:t>stage two</w:t>
      </w:r>
      <w:r w:rsidRPr="00981E24">
        <w:t xml:space="preserve"> of the assessment process, as required.</w:t>
      </w:r>
    </w:p>
    <w:p w:rsidR="00981E24" w:rsidRDefault="00981E24" w:rsidP="00D4626E">
      <w:pPr>
        <w:pStyle w:val="AERbodytext"/>
        <w:numPr>
          <w:ilvl w:val="0"/>
          <w:numId w:val="0"/>
        </w:numPr>
      </w:pPr>
      <w:r w:rsidRPr="00981E24">
        <w:t xml:space="preserve">If </w:t>
      </w:r>
      <w:r w:rsidR="00012584">
        <w:t>the AER is</w:t>
      </w:r>
      <w:r>
        <w:t xml:space="preserve"> </w:t>
      </w:r>
      <w:r w:rsidRPr="00981E24">
        <w:t xml:space="preserve">reasonably satisfied </w:t>
      </w:r>
      <w:r>
        <w:t xml:space="preserve">from this high level assessment </w:t>
      </w:r>
      <w:r w:rsidRPr="00981E24">
        <w:t xml:space="preserve">that the NSP has not </w:t>
      </w:r>
      <w:r>
        <w:t xml:space="preserve">significantly </w:t>
      </w:r>
      <w:r w:rsidRPr="00981E24">
        <w:t>overspent</w:t>
      </w:r>
      <w:r w:rsidR="00F30FD7">
        <w:t xml:space="preserve"> over the relevant period</w:t>
      </w:r>
      <w:r w:rsidRPr="00981E24">
        <w:t xml:space="preserve">, </w:t>
      </w:r>
      <w:r w:rsidR="00012584">
        <w:t>it</w:t>
      </w:r>
      <w:r>
        <w:t xml:space="preserve"> could deem that the NSP has been broadly efficient</w:t>
      </w:r>
      <w:r w:rsidR="00012584">
        <w:t>. In this case</w:t>
      </w:r>
      <w:r>
        <w:t xml:space="preserve"> no further assessment of capex efficiency would be required. </w:t>
      </w:r>
      <w:r w:rsidR="00215D46">
        <w:t xml:space="preserve">If not, </w:t>
      </w:r>
      <w:r w:rsidR="00012584">
        <w:t>the</w:t>
      </w:r>
      <w:r w:rsidR="00215D46">
        <w:t xml:space="preserve"> assessment of efficiency would progress to stage 2.</w:t>
      </w:r>
    </w:p>
    <w:p w:rsidR="007A126F" w:rsidRDefault="007A126F" w:rsidP="00FF4CAE">
      <w:pPr>
        <w:pStyle w:val="Heading3"/>
      </w:pPr>
      <w:r>
        <w:t>Stage 2</w:t>
      </w:r>
    </w:p>
    <w:p w:rsidR="007A126F" w:rsidRPr="007A126F" w:rsidRDefault="00FF4CAE" w:rsidP="007A126F">
      <w:pPr>
        <w:pStyle w:val="AERbodytext"/>
        <w:numPr>
          <w:ilvl w:val="0"/>
          <w:numId w:val="13"/>
        </w:numPr>
      </w:pPr>
      <w:r w:rsidRPr="00FF4CAE">
        <w:t>If the ex post capex review proceeds to st</w:t>
      </w:r>
      <w:r>
        <w:t>age 2</w:t>
      </w:r>
      <w:r w:rsidRPr="00FF4CAE">
        <w:t xml:space="preserve"> it is likely that the NSP has significantly overspent and the AER has not yet been convinced that there are good reasons to justify the overspend. </w:t>
      </w:r>
      <w:r>
        <w:t xml:space="preserve">Stage 2 involves a </w:t>
      </w:r>
      <w:r w:rsidRPr="00FF4CAE">
        <w:t xml:space="preserve">detailed assessment of the drivers of the NSP's capex </w:t>
      </w:r>
      <w:r>
        <w:t xml:space="preserve">and the </w:t>
      </w:r>
      <w:r w:rsidR="007A126F" w:rsidRPr="007A126F">
        <w:t>NSP</w:t>
      </w:r>
      <w:r>
        <w:t>'s</w:t>
      </w:r>
      <w:r w:rsidR="007A126F" w:rsidRPr="007A126F">
        <w:t xml:space="preserve"> </w:t>
      </w:r>
      <w:r>
        <w:t>ma</w:t>
      </w:r>
      <w:r w:rsidR="007A126F" w:rsidRPr="007A126F">
        <w:t xml:space="preserve">nagement and planning tools and practices. </w:t>
      </w:r>
      <w:r>
        <w:t>This will likely draw on the expertise of engineers</w:t>
      </w:r>
      <w:r w:rsidR="00FD2AAD">
        <w:t xml:space="preserve"> and other external consultants</w:t>
      </w:r>
      <w:r>
        <w:t>.</w:t>
      </w:r>
    </w:p>
    <w:p w:rsidR="007A126F" w:rsidRPr="007A126F" w:rsidRDefault="007A126F" w:rsidP="007A126F">
      <w:pPr>
        <w:pStyle w:val="AERbodytext"/>
        <w:numPr>
          <w:ilvl w:val="0"/>
          <w:numId w:val="13"/>
        </w:numPr>
      </w:pPr>
      <w:r w:rsidRPr="007A126F">
        <w:t xml:space="preserve">In assessing the NSP's </w:t>
      </w:r>
      <w:r w:rsidR="00FF4CAE">
        <w:t xml:space="preserve">planning and management </w:t>
      </w:r>
      <w:r w:rsidRPr="007A126F">
        <w:t xml:space="preserve">tools and processes, </w:t>
      </w:r>
      <w:r w:rsidR="00F62E19">
        <w:t>the A</w:t>
      </w:r>
      <w:r w:rsidR="00340DF2">
        <w:t xml:space="preserve">ER will have regard to </w:t>
      </w:r>
      <w:r w:rsidRPr="007A126F">
        <w:t>whether the NSP has applied:</w:t>
      </w:r>
    </w:p>
    <w:p w:rsidR="007A126F" w:rsidRPr="007A126F" w:rsidRDefault="007A126F" w:rsidP="007A126F">
      <w:pPr>
        <w:pStyle w:val="AERbulletlistfirststyle"/>
      </w:pPr>
      <w:r w:rsidRPr="007A126F">
        <w:t xml:space="preserve">for major projects, a Regulatory Investment Test (RIT-D or RIT-T) </w:t>
      </w:r>
      <w:r w:rsidR="00215D46">
        <w:t>that</w:t>
      </w:r>
      <w:r w:rsidRPr="007A126F">
        <w:t xml:space="preserve"> complies with the relevant guidelines</w:t>
      </w:r>
    </w:p>
    <w:p w:rsidR="007A126F" w:rsidRPr="007A126F" w:rsidRDefault="007A126F" w:rsidP="007A126F">
      <w:pPr>
        <w:pStyle w:val="AERbulletlistfirststyle"/>
      </w:pPr>
      <w:r w:rsidRPr="007A126F">
        <w:t>appropriate project management plans and processes including:</w:t>
      </w:r>
    </w:p>
    <w:p w:rsidR="007A126F" w:rsidRPr="007A126F" w:rsidRDefault="007A126F" w:rsidP="007A126F">
      <w:pPr>
        <w:pStyle w:val="AERbulletlistsecondstyle"/>
      </w:pPr>
      <w:r w:rsidRPr="007A126F">
        <w:t>asset management, project delivery controls, procurement strategies, asset lifecycle management, resourcing strategies, program management and risk management</w:t>
      </w:r>
    </w:p>
    <w:p w:rsidR="007A126F" w:rsidRPr="007A126F" w:rsidRDefault="007A126F" w:rsidP="007A126F">
      <w:pPr>
        <w:pStyle w:val="AERbulletlistfirststyle"/>
      </w:pPr>
      <w:r w:rsidRPr="007A126F">
        <w:t>appropriate project governance and capital governance.</w:t>
      </w:r>
    </w:p>
    <w:p w:rsidR="00B26E21" w:rsidRDefault="007A126F" w:rsidP="00B26E21">
      <w:pPr>
        <w:pStyle w:val="AERbodytext"/>
        <w:numPr>
          <w:ilvl w:val="0"/>
          <w:numId w:val="13"/>
        </w:numPr>
      </w:pPr>
      <w:r w:rsidRPr="007A126F">
        <w:t>It will also be important to assess whether these plans, processes and governance arrangements have ac</w:t>
      </w:r>
      <w:r w:rsidR="00FF4CAE">
        <w:t xml:space="preserve">tually been applied by the NSP in undertaking capex. </w:t>
      </w:r>
      <w:r w:rsidR="00B26E21">
        <w:t>One way in which NSPs could potentially demonstrate this would be to attain national or international accreditation in asset management.</w:t>
      </w:r>
      <w:r w:rsidR="00B26E21">
        <w:rPr>
          <w:rStyle w:val="FootnoteReference"/>
        </w:rPr>
        <w:footnoteReference w:id="2"/>
      </w:r>
      <w:r w:rsidR="00B26E21">
        <w:t xml:space="preserve"> In its assessment the AER could draw from any independent audits undertaken as part of a NSP's asset management and planning processes.</w:t>
      </w:r>
    </w:p>
    <w:p w:rsidR="007A126F" w:rsidRPr="007A126F" w:rsidRDefault="00FF4CAE" w:rsidP="007A126F">
      <w:pPr>
        <w:pStyle w:val="AERbodytext"/>
        <w:numPr>
          <w:ilvl w:val="0"/>
          <w:numId w:val="13"/>
        </w:numPr>
      </w:pPr>
      <w:r>
        <w:t xml:space="preserve">In assessing a NSP's capex drivers, </w:t>
      </w:r>
      <w:r w:rsidR="00012584">
        <w:t>the AER</w:t>
      </w:r>
      <w:r>
        <w:t xml:space="preserve"> could consider</w:t>
      </w:r>
      <w:r w:rsidR="007A126F" w:rsidRPr="007A126F">
        <w:t>:</w:t>
      </w:r>
    </w:p>
    <w:p w:rsidR="00B26E21" w:rsidRPr="00B26E21" w:rsidRDefault="00B26E21" w:rsidP="00B26E21">
      <w:pPr>
        <w:pStyle w:val="AERbulletlistfirststyle"/>
      </w:pPr>
      <w:r>
        <w:t>the findings of any independent audit undertaken as part of a NSP's asset management and planning processes</w:t>
      </w:r>
    </w:p>
    <w:p w:rsidR="007A126F" w:rsidRPr="007A126F" w:rsidRDefault="00223C16" w:rsidP="005A271F">
      <w:pPr>
        <w:pStyle w:val="AERbulletlistfirststyle"/>
      </w:pPr>
      <w:r w:rsidRPr="005A271F">
        <w:t>Repex and Augex models</w:t>
      </w:r>
      <w:r>
        <w:t xml:space="preserve"> for distribution </w:t>
      </w:r>
      <w:r w:rsidR="007A126F" w:rsidRPr="007A126F">
        <w:t>NSPs to assess replacement and augmentation capex</w:t>
      </w:r>
    </w:p>
    <w:p w:rsidR="007A126F" w:rsidRPr="007A126F" w:rsidRDefault="007A126F" w:rsidP="007A126F">
      <w:pPr>
        <w:pStyle w:val="AERbulletlistfirststyle"/>
      </w:pPr>
      <w:r w:rsidRPr="007A126F">
        <w:t>a sample of customer connections, or a benchmark of customer connections for multiple small connections</w:t>
      </w:r>
    </w:p>
    <w:p w:rsidR="007A126F" w:rsidRPr="007A126F" w:rsidRDefault="007A126F" w:rsidP="007A126F">
      <w:pPr>
        <w:pStyle w:val="AERbulletlistfirststyle"/>
      </w:pPr>
      <w:r w:rsidRPr="007A126F">
        <w:t>any changes to demand</w:t>
      </w:r>
      <w:r w:rsidR="00223C16">
        <w:t xml:space="preserve"> that</w:t>
      </w:r>
      <w:r w:rsidRPr="007A126F">
        <w:t xml:space="preserve"> could have influenced capex outcomes</w:t>
      </w:r>
    </w:p>
    <w:p w:rsidR="007A126F" w:rsidRDefault="007A126F" w:rsidP="007A126F">
      <w:pPr>
        <w:pStyle w:val="AERbulletlistfirststyle"/>
      </w:pPr>
      <w:r w:rsidRPr="007A126F">
        <w:t>IT capex</w:t>
      </w:r>
    </w:p>
    <w:p w:rsidR="009A54D6" w:rsidRPr="007A126F" w:rsidRDefault="009A54D6" w:rsidP="007A126F">
      <w:pPr>
        <w:pStyle w:val="AERbulletlistfirststyle"/>
      </w:pPr>
      <w:r>
        <w:t xml:space="preserve">indicators of service </w:t>
      </w:r>
      <w:r w:rsidR="00205DC2">
        <w:t>performance</w:t>
      </w:r>
    </w:p>
    <w:p w:rsidR="007A126F" w:rsidRPr="007A126F" w:rsidRDefault="007A126F" w:rsidP="007A126F">
      <w:pPr>
        <w:pStyle w:val="AERbulletlistfirststyle"/>
      </w:pPr>
      <w:r w:rsidRPr="007A126F">
        <w:lastRenderedPageBreak/>
        <w:t>case-by-case or project-by-project assessments of other projects.</w:t>
      </w:r>
    </w:p>
    <w:p w:rsidR="007A126F" w:rsidRPr="007A126F" w:rsidRDefault="00F30FD7" w:rsidP="007A126F">
      <w:pPr>
        <w:pStyle w:val="AERbodytext"/>
        <w:numPr>
          <w:ilvl w:val="0"/>
          <w:numId w:val="13"/>
        </w:numPr>
      </w:pPr>
      <w:r>
        <w:t>Once the capex</w:t>
      </w:r>
      <w:r w:rsidR="007A126F" w:rsidRPr="007A126F">
        <w:t xml:space="preserve"> drivers are identified </w:t>
      </w:r>
      <w:r w:rsidR="00FF4CAE">
        <w:t xml:space="preserve">and </w:t>
      </w:r>
      <w:r w:rsidR="00012584">
        <w:t>the AER has</w:t>
      </w:r>
      <w:r w:rsidR="00FF4CAE">
        <w:t xml:space="preserve"> assessed the NSP's management and planning processer, </w:t>
      </w:r>
      <w:r w:rsidR="00012584">
        <w:t>it</w:t>
      </w:r>
      <w:r w:rsidR="00FF4CAE">
        <w:t xml:space="preserve"> will</w:t>
      </w:r>
      <w:r w:rsidR="007A126F" w:rsidRPr="007A126F">
        <w:t xml:space="preserve"> consider:</w:t>
      </w:r>
    </w:p>
    <w:p w:rsidR="007A126F" w:rsidRDefault="007A126F" w:rsidP="007A126F">
      <w:pPr>
        <w:pStyle w:val="AERbulletlistfirststyle"/>
      </w:pPr>
      <w:r w:rsidRPr="007A126F">
        <w:t xml:space="preserve">whether the NSP's reasons for </w:t>
      </w:r>
      <w:r>
        <w:t>the capex overspend are justifiable</w:t>
      </w:r>
    </w:p>
    <w:p w:rsidR="00FF4CAE" w:rsidRPr="00FF4CAE" w:rsidRDefault="00FF4CAE" w:rsidP="00FF4CAE">
      <w:pPr>
        <w:pStyle w:val="AERbulletlistfirststyle"/>
      </w:pPr>
      <w:r w:rsidRPr="00FF4CAE">
        <w:t>whether there are any other reasons that mitigate the NSP's level of overspend</w:t>
      </w:r>
    </w:p>
    <w:p w:rsidR="007A126F" w:rsidRPr="007A126F" w:rsidRDefault="00FF4CAE" w:rsidP="00FF4CAE">
      <w:pPr>
        <w:pStyle w:val="AERbulletlistfirststyle"/>
      </w:pPr>
      <w:r>
        <w:t xml:space="preserve">whether the NSP </w:t>
      </w:r>
      <w:r w:rsidR="00B26E21">
        <w:t xml:space="preserve">has </w:t>
      </w:r>
      <w:r>
        <w:t>followed appropriate processes and procedures in undertaking its capex projects to ensure it spent only the efficient and prudent level of capex required</w:t>
      </w:r>
      <w:r w:rsidR="007A126F" w:rsidRPr="007A126F">
        <w:t>.</w:t>
      </w:r>
    </w:p>
    <w:p w:rsidR="007A126F" w:rsidRPr="007A126F" w:rsidRDefault="007A126F" w:rsidP="007A126F">
      <w:pPr>
        <w:pStyle w:val="AERbodytext"/>
      </w:pPr>
      <w:r w:rsidRPr="007A126F">
        <w:t>Once the AER has undertaken this analysis (using a similar methodology to how it undertakes this analysis ex ante) it will form an opinion on what aspects of the NSP's capex are efficient and prudent and what aspects of the NSP's capex are not efficient and prudent.</w:t>
      </w:r>
    </w:p>
    <w:p w:rsidR="000310F1" w:rsidRDefault="000310F1" w:rsidP="005418A7">
      <w:pPr>
        <w:pStyle w:val="Heading2"/>
      </w:pPr>
      <w:bookmarkStart w:id="41" w:name="_Toc363719538"/>
      <w:r w:rsidRPr="005418A7">
        <w:t>Exclusion</w:t>
      </w:r>
      <w:r>
        <w:t xml:space="preserve"> of capex from the RAB</w:t>
      </w:r>
      <w:bookmarkEnd w:id="41"/>
    </w:p>
    <w:p w:rsidR="000310F1" w:rsidRPr="000310F1" w:rsidRDefault="000310F1" w:rsidP="000310F1">
      <w:pPr>
        <w:pStyle w:val="AERbodytext"/>
        <w:numPr>
          <w:ilvl w:val="0"/>
          <w:numId w:val="13"/>
        </w:numPr>
      </w:pPr>
      <w:r>
        <w:t xml:space="preserve">The process for assessing whether to exclude capex from the RAB was discussed above. There are </w:t>
      </w:r>
      <w:r w:rsidRPr="000310F1">
        <w:t xml:space="preserve">three cases in which </w:t>
      </w:r>
      <w:r w:rsidR="00012584">
        <w:t xml:space="preserve">the AER has </w:t>
      </w:r>
      <w:r w:rsidRPr="000310F1">
        <w:t>the ability to exclude capex from the RAB:</w:t>
      </w:r>
    </w:p>
    <w:p w:rsidR="000310F1" w:rsidRPr="005A271F" w:rsidRDefault="000310F1" w:rsidP="005A271F">
      <w:pPr>
        <w:pStyle w:val="AERnumberedlistfirststyle"/>
      </w:pPr>
      <w:r w:rsidRPr="000310F1">
        <w:t xml:space="preserve">when a </w:t>
      </w:r>
      <w:r w:rsidRPr="005A271F">
        <w:t>NSP has overspent, the amount of capex above the allowance that does not meet the capital expenditure criteria can be excluded from the RAB</w:t>
      </w:r>
    </w:p>
    <w:p w:rsidR="000310F1" w:rsidRPr="005A271F" w:rsidRDefault="000310F1" w:rsidP="005A271F">
      <w:pPr>
        <w:pStyle w:val="AERnumberedlistfirststyle"/>
      </w:pPr>
      <w:r w:rsidRPr="005A271F">
        <w:t>where there is an inflated related party margin, the inflated portion of the margin can be excluded from the RAB</w:t>
      </w:r>
    </w:p>
    <w:p w:rsidR="000310F1" w:rsidRPr="005A271F" w:rsidRDefault="000310F1" w:rsidP="005A271F">
      <w:pPr>
        <w:pStyle w:val="AERnumberedlistfirststyle"/>
      </w:pPr>
      <w:r w:rsidRPr="005A271F">
        <w:t>where a change to a NSP's capitalisation policy has lead opex to be capitalised, the capitalised opex can be excluded from the RAB.</w:t>
      </w:r>
    </w:p>
    <w:p w:rsidR="000310F1" w:rsidRDefault="00012584" w:rsidP="000310F1">
      <w:pPr>
        <w:pStyle w:val="AERbodytext"/>
      </w:pPr>
      <w:r>
        <w:t>The AER's</w:t>
      </w:r>
      <w:r w:rsidR="000310F1">
        <w:t xml:space="preserve"> decision on whether to exclude capex from the RAB </w:t>
      </w:r>
      <w:r w:rsidR="00F079AF">
        <w:t xml:space="preserve">in the case of an inefficient overspend </w:t>
      </w:r>
      <w:r w:rsidR="000310F1">
        <w:t xml:space="preserve">will be informed by the ex post review </w:t>
      </w:r>
      <w:r w:rsidR="00223C16">
        <w:t xml:space="preserve">(outlined above) </w:t>
      </w:r>
      <w:r w:rsidR="000310F1">
        <w:t xml:space="preserve">and the factors and issues that </w:t>
      </w:r>
      <w:r>
        <w:t>it is</w:t>
      </w:r>
      <w:r w:rsidR="000310F1">
        <w:t xml:space="preserve"> required to consider under the NER.</w:t>
      </w:r>
      <w:r w:rsidR="005F5B4B">
        <w:t xml:space="preserve"> In this case the inefficient capex will not be included in the RAB roll forward for years 1, 2 and 3. For inefficient capex overspends in years 4 and 5, the adjustment to the RAB will be made </w:t>
      </w:r>
      <w:r w:rsidR="00155D01">
        <w:t>one regulatory control period later taking into account the amount of</w:t>
      </w:r>
      <w:r w:rsidR="005F5B4B">
        <w:t xml:space="preserve"> capex </w:t>
      </w:r>
      <w:r w:rsidR="00155D01">
        <w:t xml:space="preserve">that </w:t>
      </w:r>
      <w:r w:rsidR="005F5B4B">
        <w:t>was included in the RAB previously</w:t>
      </w:r>
      <w:r w:rsidR="00E21803">
        <w:t>,</w:t>
      </w:r>
      <w:r w:rsidR="005F5B4B">
        <w:t xml:space="preserve"> and the NPV adjustment required to ensure the NSP does not retain any revenue </w:t>
      </w:r>
      <w:r w:rsidR="00155D01">
        <w:t xml:space="preserve">through the RAB </w:t>
      </w:r>
      <w:r w:rsidR="005F5B4B">
        <w:t>from an inefficient overspend.</w:t>
      </w:r>
      <w:r w:rsidR="00F30FD7">
        <w:t xml:space="preserve"> An adjustment to the CESS may also be required as discussed in section 3.5 of these guidelines.</w:t>
      </w:r>
    </w:p>
    <w:p w:rsidR="00F079AF" w:rsidRDefault="00F079AF" w:rsidP="000310F1">
      <w:pPr>
        <w:pStyle w:val="AERbodytext"/>
      </w:pPr>
      <w:r>
        <w:t>The process for assessing whether exclusions are required on the basis of a change to a NSP's capitalisation policy or for inflated related party margins is discussed below.</w:t>
      </w:r>
    </w:p>
    <w:p w:rsidR="00F079AF" w:rsidRDefault="00F079AF" w:rsidP="00F079AF">
      <w:pPr>
        <w:pStyle w:val="Heading3"/>
      </w:pPr>
      <w:r>
        <w:t>Capitalisation policy changes</w:t>
      </w:r>
    </w:p>
    <w:p w:rsidR="005E4FCE" w:rsidRDefault="00F079AF" w:rsidP="00FD2AAD">
      <w:pPr>
        <w:pStyle w:val="AERbodytext"/>
        <w:numPr>
          <w:ilvl w:val="0"/>
          <w:numId w:val="13"/>
        </w:numPr>
      </w:pPr>
      <w:r>
        <w:t xml:space="preserve">This issue is only relevant </w:t>
      </w:r>
      <w:r w:rsidR="005E4FCE">
        <w:t xml:space="preserve">where a NSP's incentives for capex and opex are not balanced. If the </w:t>
      </w:r>
      <w:r w:rsidR="00DB553E">
        <w:t xml:space="preserve">power of the CESS is </w:t>
      </w:r>
      <w:r w:rsidR="004312B6">
        <w:t>the same as</w:t>
      </w:r>
      <w:r w:rsidR="00DB553E">
        <w:t xml:space="preserve"> the power of the opex efficiency benefit sharing scheme (EBSS)</w:t>
      </w:r>
      <w:r w:rsidR="005E4FCE">
        <w:t xml:space="preserve"> </w:t>
      </w:r>
      <w:r w:rsidR="004312B6">
        <w:t xml:space="preserve">it does not matter whether expenditure is classified as capex or opex. For example, assume a NSP is subject to a CESS and an EBSS, both with a power of 30 per cent. If a NSP capitalises opex it will benefit by 30 per cent through the EBSS but this will be offset by the 30 per cent penalty from the CESS. Hence, </w:t>
      </w:r>
      <w:r w:rsidR="005E4FCE">
        <w:t xml:space="preserve">there will be no net difference and there is no need to consider </w:t>
      </w:r>
      <w:r w:rsidR="004312B6">
        <w:t xml:space="preserve">whether a NSP has changed its capitalisation policy. In this scenario </w:t>
      </w:r>
      <w:r w:rsidR="00012584">
        <w:t>the AER</w:t>
      </w:r>
      <w:r w:rsidR="004312B6">
        <w:t xml:space="preserve"> will roll into the RAB whatever the NSP has classified as capex at the time of the roll forward</w:t>
      </w:r>
      <w:r w:rsidR="00E21803">
        <w:t xml:space="preserve"> (subject to this meeting other relevant requirements </w:t>
      </w:r>
      <w:r w:rsidR="00E21803">
        <w:lastRenderedPageBreak/>
        <w:t>under the ex post review)</w:t>
      </w:r>
      <w:r w:rsidR="005E4FCE">
        <w:t>. Hence, the AER's first consideration is whether the NSP's incentives for capex and opex are relatively balanced.</w:t>
      </w:r>
    </w:p>
    <w:p w:rsidR="00F079AF" w:rsidRDefault="005E4FCE" w:rsidP="00F079AF">
      <w:pPr>
        <w:pStyle w:val="AERbodytext"/>
        <w:numPr>
          <w:ilvl w:val="0"/>
          <w:numId w:val="13"/>
        </w:numPr>
      </w:pPr>
      <w:r>
        <w:t xml:space="preserve">Where the incentives for opex and capex are not balanced, </w:t>
      </w:r>
      <w:r w:rsidR="00012584">
        <w:t>the AER</w:t>
      </w:r>
      <w:r>
        <w:t xml:space="preserve"> will consider whether</w:t>
      </w:r>
      <w:r w:rsidR="00F079AF">
        <w:t>:</w:t>
      </w:r>
    </w:p>
    <w:p w:rsidR="00F079AF" w:rsidRDefault="00F079AF" w:rsidP="00F079AF">
      <w:pPr>
        <w:pStyle w:val="AERbulletlistfirststyle"/>
      </w:pPr>
      <w:r>
        <w:t>a NSP has changed its capitalisation policy during the current regulatory control period, and</w:t>
      </w:r>
    </w:p>
    <w:p w:rsidR="00F079AF" w:rsidRPr="00981E24" w:rsidRDefault="005E4FCE" w:rsidP="00F079AF">
      <w:pPr>
        <w:pStyle w:val="AERbulletlistfirststyle"/>
      </w:pPr>
      <w:r>
        <w:t xml:space="preserve">whether </w:t>
      </w:r>
      <w:r w:rsidR="00F079AF" w:rsidRPr="00981E24">
        <w:t xml:space="preserve">opex has been reclassified as capex </w:t>
      </w:r>
      <w:r w:rsidR="00F079AF">
        <w:t>due to</w:t>
      </w:r>
      <w:r w:rsidR="00F079AF" w:rsidRPr="00981E24">
        <w:t xml:space="preserve"> those changes.</w:t>
      </w:r>
    </w:p>
    <w:p w:rsidR="00F079AF" w:rsidRPr="00981E24" w:rsidRDefault="00F079AF" w:rsidP="00F079AF">
      <w:pPr>
        <w:pStyle w:val="AERbodytext"/>
        <w:numPr>
          <w:ilvl w:val="0"/>
          <w:numId w:val="13"/>
        </w:numPr>
      </w:pPr>
      <w:r w:rsidRPr="00981E24">
        <w:t xml:space="preserve">To determine </w:t>
      </w:r>
      <w:r>
        <w:t>this,</w:t>
      </w:r>
      <w:r w:rsidRPr="00981E24">
        <w:t xml:space="preserve"> the AER will require </w:t>
      </w:r>
      <w:r>
        <w:t xml:space="preserve">the following information from </w:t>
      </w:r>
      <w:r w:rsidRPr="00981E24">
        <w:t>NSP</w:t>
      </w:r>
      <w:r w:rsidR="00F30FD7">
        <w:t>s</w:t>
      </w:r>
      <w:r w:rsidRPr="00981E24">
        <w:t xml:space="preserve"> </w:t>
      </w:r>
      <w:r>
        <w:t xml:space="preserve">as part of the </w:t>
      </w:r>
      <w:r w:rsidRPr="00981E24">
        <w:t>regulatory determination</w:t>
      </w:r>
      <w:r>
        <w:t xml:space="preserve"> process</w:t>
      </w:r>
      <w:r w:rsidRPr="00981E24">
        <w:t>:</w:t>
      </w:r>
    </w:p>
    <w:p w:rsidR="00F079AF" w:rsidRDefault="00F079AF" w:rsidP="00F079AF">
      <w:pPr>
        <w:pStyle w:val="AERbulletlistfirststyle"/>
      </w:pPr>
      <w:r>
        <w:t>details of any changes made to the NSP's capitalisation policy during the regulatory control period and the impact of these changes</w:t>
      </w:r>
    </w:p>
    <w:p w:rsidR="00F079AF" w:rsidRDefault="00F079AF" w:rsidP="00F079AF">
      <w:pPr>
        <w:pStyle w:val="AERbulletlistfirststyle"/>
      </w:pPr>
      <w:r>
        <w:t>identification of any opex that has been capitalised as a result of the changes to the capitalisation policy.</w:t>
      </w:r>
    </w:p>
    <w:p w:rsidR="00F079AF" w:rsidRDefault="00F079AF" w:rsidP="00F079AF">
      <w:pPr>
        <w:pStyle w:val="AERbodytext"/>
        <w:numPr>
          <w:ilvl w:val="0"/>
          <w:numId w:val="13"/>
        </w:numPr>
      </w:pPr>
      <w:r w:rsidRPr="00981E24">
        <w:t xml:space="preserve">The AER may also require the NSP to provide </w:t>
      </w:r>
      <w:r w:rsidR="00F30FD7">
        <w:t xml:space="preserve">details of </w:t>
      </w:r>
      <w:r w:rsidRPr="00981E24">
        <w:t>its capitalisation of expenditure as part of the annual</w:t>
      </w:r>
      <w:r w:rsidR="00861531">
        <w:t xml:space="preserve"> Regulatory Information Notice/</w:t>
      </w:r>
      <w:r w:rsidRPr="00981E24">
        <w:t xml:space="preserve">Regulatory Information </w:t>
      </w:r>
      <w:r w:rsidRPr="00981E24">
        <w:rPr>
          <w:rStyle w:val="AERbody"/>
        </w:rPr>
        <w:t>Order</w:t>
      </w:r>
      <w:r w:rsidRPr="00981E24">
        <w:t xml:space="preserve"> process, including a statement of </w:t>
      </w:r>
      <w:r>
        <w:t xml:space="preserve">its </w:t>
      </w:r>
      <w:r w:rsidRPr="00981E24">
        <w:t xml:space="preserve">capitalisation policy with auditor's sign-off. </w:t>
      </w:r>
    </w:p>
    <w:p w:rsidR="00F079AF" w:rsidRDefault="00F079AF" w:rsidP="005A271F">
      <w:pPr>
        <w:pStyle w:val="AERbodytext"/>
      </w:pPr>
      <w:r>
        <w:t>Where the AER identifies that opex has been capitalised as a result of a change to the NSP's capitalisation policy</w:t>
      </w:r>
      <w:r w:rsidR="004312B6">
        <w:t xml:space="preserve"> (where the incentives for capex and opex are not balanced)</w:t>
      </w:r>
      <w:r>
        <w:t xml:space="preserve">, the corresponding </w:t>
      </w:r>
      <w:r w:rsidRPr="005A271F">
        <w:t>expenditure will be excluded from the RAB. For the purposes of calculating the payment due under the opex efficiency benefit sharing scheme (EBSS), this</w:t>
      </w:r>
      <w:r>
        <w:t xml:space="preserve"> expenditure </w:t>
      </w:r>
      <w:r w:rsidR="00340DF2">
        <w:t>will</w:t>
      </w:r>
      <w:r>
        <w:t xml:space="preserve"> count as opex.</w:t>
      </w:r>
      <w:r w:rsidR="0055474E">
        <w:t xml:space="preserve"> This process is shown in figure 2.</w:t>
      </w:r>
    </w:p>
    <w:p w:rsidR="00005DF6" w:rsidRDefault="00005DF6" w:rsidP="005A271F">
      <w:pPr>
        <w:pStyle w:val="AERbodytext"/>
      </w:pPr>
      <w:r>
        <w:t>In all other instances the RAB will be rolled forward for the NSP's entire capex spend (subject to this meeting the relevant requirements under the ex post review).</w:t>
      </w:r>
    </w:p>
    <w:p w:rsidR="0055474E" w:rsidRDefault="0055474E" w:rsidP="0055474E">
      <w:pPr>
        <w:pStyle w:val="Caption"/>
      </w:pPr>
      <w:r>
        <w:t>Figure 2</w:t>
      </w:r>
      <w:r w:rsidRPr="00CA7BC7">
        <w:tab/>
      </w:r>
      <w:r>
        <w:t>Process for assessing capitalisation policy changes</w:t>
      </w:r>
    </w:p>
    <w:p w:rsidR="0055474E" w:rsidRPr="0055474E" w:rsidRDefault="005C0DC3" w:rsidP="005C0DC3">
      <w:pPr>
        <w:pStyle w:val="AERbodytext"/>
      </w:pPr>
      <w:r w:rsidRPr="005C0DC3">
        <w:rPr>
          <w:noProof/>
          <w:lang w:eastAsia="en-AU"/>
        </w:rPr>
        <w:drawing>
          <wp:inline distT="0" distB="0" distL="0" distR="0" wp14:anchorId="40E986FF" wp14:editId="59ECB376">
            <wp:extent cx="5731510" cy="2747202"/>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747202"/>
                    </a:xfrm>
                    <a:prstGeom prst="rect">
                      <a:avLst/>
                    </a:prstGeom>
                    <a:noFill/>
                    <a:ln>
                      <a:noFill/>
                    </a:ln>
                  </pic:spPr>
                </pic:pic>
              </a:graphicData>
            </a:graphic>
          </wp:inline>
        </w:drawing>
      </w:r>
    </w:p>
    <w:p w:rsidR="00F079AF" w:rsidRPr="00736034" w:rsidRDefault="00F079AF" w:rsidP="00F079AF">
      <w:pPr>
        <w:pStyle w:val="Heading3"/>
      </w:pPr>
      <w:r>
        <w:lastRenderedPageBreak/>
        <w:t>Related party margins</w:t>
      </w:r>
    </w:p>
    <w:p w:rsidR="00F079AF" w:rsidRDefault="00F079AF" w:rsidP="00F079AF">
      <w:pPr>
        <w:pStyle w:val="AERbodytext"/>
        <w:numPr>
          <w:ilvl w:val="0"/>
          <w:numId w:val="13"/>
        </w:numPr>
      </w:pPr>
      <w:r>
        <w:t xml:space="preserve">This assessment is only relevant where a NSP is provided services from a related party and where there is a cost margin included in the contract. </w:t>
      </w:r>
    </w:p>
    <w:p w:rsidR="00F079AF" w:rsidRPr="004E294A" w:rsidRDefault="00F079AF" w:rsidP="00F079AF">
      <w:pPr>
        <w:pStyle w:val="AERbodytext"/>
        <w:numPr>
          <w:ilvl w:val="0"/>
          <w:numId w:val="13"/>
        </w:numPr>
      </w:pPr>
      <w:r w:rsidRPr="004E294A">
        <w:t xml:space="preserve">When rolling forward the RAB, our decision on whether to accept a related party margin will depend on whether the contractual arrangements have changed during the regulatory control period.  </w:t>
      </w:r>
    </w:p>
    <w:p w:rsidR="00F079AF" w:rsidRPr="004E294A" w:rsidRDefault="00F079AF" w:rsidP="00F079AF">
      <w:pPr>
        <w:pStyle w:val="AERbodytext"/>
        <w:numPr>
          <w:ilvl w:val="0"/>
          <w:numId w:val="13"/>
        </w:numPr>
      </w:pPr>
      <w:r w:rsidRPr="004E294A">
        <w:t>If the contract arrangement with the related party has not changed during the regulatory control period, then the AER</w:t>
      </w:r>
      <w:r>
        <w:t xml:space="preserve"> will only allow into the RAB the related party margin that was approved by the AER at the time of the determination. </w:t>
      </w:r>
    </w:p>
    <w:p w:rsidR="00F079AF" w:rsidRPr="00376DB6" w:rsidRDefault="00F079AF" w:rsidP="00F079AF">
      <w:r w:rsidRPr="004E294A">
        <w:t xml:space="preserve">If the contractual arrangements have changed during the regulatory control period, </w:t>
      </w:r>
      <w:r w:rsidR="00012584">
        <w:t>the AER will</w:t>
      </w:r>
      <w:r>
        <w:t xml:space="preserve"> have to undertake </w:t>
      </w:r>
      <w:r w:rsidRPr="004E294A">
        <w:t xml:space="preserve">another assessment of the related party margin. </w:t>
      </w:r>
      <w:r w:rsidRPr="00376DB6">
        <w:t>This involves a two stage process. The first stage is a 'presumption threshold' test in which the AER considers the following:</w:t>
      </w:r>
    </w:p>
    <w:p w:rsidR="00F079AF" w:rsidRPr="00376DB6" w:rsidRDefault="00F079AF" w:rsidP="00F079AF">
      <w:pPr>
        <w:pStyle w:val="AERbulletlistfirststyle"/>
      </w:pPr>
      <w:r w:rsidRPr="00376DB6">
        <w:t>Did the NSP have an incentive to agree to non-arm’s length terms at the time the contract was negotiated (or at its most recent re-negotiation)?</w:t>
      </w:r>
    </w:p>
    <w:p w:rsidR="00F079AF" w:rsidRPr="00376DB6" w:rsidRDefault="00F079AF" w:rsidP="00F079AF">
      <w:pPr>
        <w:pStyle w:val="AERbulletlistfirststyle"/>
      </w:pPr>
      <w:r w:rsidRPr="00376DB6">
        <w:t>If yes, was a competitive open tender process conducted in a competitive market?</w:t>
      </w:r>
    </w:p>
    <w:p w:rsidR="00F079AF" w:rsidRPr="00376DB6" w:rsidRDefault="00F079AF" w:rsidP="00F079AF">
      <w:pPr>
        <w:pStyle w:val="AERbodytext"/>
        <w:numPr>
          <w:ilvl w:val="0"/>
          <w:numId w:val="13"/>
        </w:numPr>
      </w:pPr>
      <w:r w:rsidRPr="00376DB6">
        <w:t>If the answer to the first</w:t>
      </w:r>
      <w:r w:rsidR="00F30FD7">
        <w:t xml:space="preserve"> question</w:t>
      </w:r>
      <w:r w:rsidRPr="00376DB6">
        <w:t xml:space="preserve"> is no or the answer to the second question is yes, the NSP passes the </w:t>
      </w:r>
      <w:r w:rsidRPr="00F079AF">
        <w:rPr>
          <w:rFonts w:eastAsia="Calibri"/>
        </w:rPr>
        <w:t>presumption threshold. In these circumstances</w:t>
      </w:r>
      <w:r w:rsidRPr="00376DB6">
        <w:t xml:space="preserve">, </w:t>
      </w:r>
      <w:r w:rsidR="00012584">
        <w:t>the AER</w:t>
      </w:r>
      <w:r w:rsidRPr="00376DB6">
        <w:t xml:space="preserve"> </w:t>
      </w:r>
      <w:r w:rsidR="00012584">
        <w:t>assumes that</w:t>
      </w:r>
      <w:r>
        <w:t xml:space="preserve"> </w:t>
      </w:r>
      <w:r w:rsidRPr="00376DB6">
        <w:t xml:space="preserve">the contract charge (including any associated margin above direct costs) reflects efficient costs and </w:t>
      </w:r>
      <w:r w:rsidR="00012584">
        <w:t>it</w:t>
      </w:r>
      <w:r w:rsidRPr="00376DB6">
        <w:t xml:space="preserve"> accept the NSP's expenditure forecast. </w:t>
      </w:r>
    </w:p>
    <w:p w:rsidR="00F079AF" w:rsidRDefault="00F079AF" w:rsidP="00F079AF">
      <w:pPr>
        <w:pStyle w:val="AERbodytext"/>
        <w:numPr>
          <w:ilvl w:val="0"/>
          <w:numId w:val="13"/>
        </w:numPr>
      </w:pPr>
      <w:r w:rsidRPr="00376DB6">
        <w:t xml:space="preserve">Where a contract arrangement fails the presumption threshold, </w:t>
      </w:r>
      <w:r w:rsidR="00012584">
        <w:t>the AER</w:t>
      </w:r>
      <w:r>
        <w:t xml:space="preserve"> will allow the </w:t>
      </w:r>
      <w:r w:rsidRPr="00376DB6">
        <w:t>contractor’s actual costs</w:t>
      </w:r>
      <w:r>
        <w:t xml:space="preserve"> to be rolled into the RAB. A</w:t>
      </w:r>
      <w:r w:rsidRPr="00376DB6">
        <w:t xml:space="preserve"> ‘margin’ </w:t>
      </w:r>
      <w:r>
        <w:t xml:space="preserve">will only be </w:t>
      </w:r>
      <w:r w:rsidRPr="00376DB6">
        <w:t>permitted where the service provider is able to establish the efficiency and prudency of such a margin against legitimate economic reasons for the inclusion of the margin (and its quantum).</w:t>
      </w:r>
      <w:r w:rsidRPr="00376DB6">
        <w:rPr>
          <w:rStyle w:val="FootnoteReference"/>
        </w:rPr>
        <w:footnoteReference w:id="3"/>
      </w:r>
      <w:r w:rsidRPr="00376DB6">
        <w:t xml:space="preserve"> </w:t>
      </w:r>
      <w:r w:rsidR="0055474E">
        <w:t>This process is shown in figure 3.</w:t>
      </w:r>
    </w:p>
    <w:p w:rsidR="0055474E" w:rsidRPr="0055474E" w:rsidRDefault="0055474E" w:rsidP="0055474E">
      <w:pPr>
        <w:pStyle w:val="Caption"/>
      </w:pPr>
      <w:r w:rsidRPr="0055474E">
        <w:t>Figure 3</w:t>
      </w:r>
      <w:r w:rsidRPr="0055474E">
        <w:tab/>
        <w:t>Process for assessing related party margins</w:t>
      </w:r>
    </w:p>
    <w:p w:rsidR="0055474E" w:rsidRPr="0055474E" w:rsidRDefault="0055474E" w:rsidP="0055474E">
      <w:pPr>
        <w:pStyle w:val="AERbodytext"/>
        <w:numPr>
          <w:ilvl w:val="0"/>
          <w:numId w:val="13"/>
        </w:numPr>
      </w:pPr>
      <w:r w:rsidRPr="0055474E">
        <w:rPr>
          <w:noProof/>
          <w:lang w:eastAsia="en-AU"/>
        </w:rPr>
        <w:drawing>
          <wp:inline distT="0" distB="0" distL="0" distR="0" wp14:anchorId="7110F4F9" wp14:editId="3292E231">
            <wp:extent cx="5731510" cy="28534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853438"/>
                    </a:xfrm>
                    <a:prstGeom prst="rect">
                      <a:avLst/>
                    </a:prstGeom>
                    <a:noFill/>
                    <a:ln>
                      <a:noFill/>
                    </a:ln>
                  </pic:spPr>
                </pic:pic>
              </a:graphicData>
            </a:graphic>
          </wp:inline>
        </w:drawing>
      </w:r>
    </w:p>
    <w:p w:rsidR="00D4626E" w:rsidRPr="00D4626E" w:rsidRDefault="00D4626E" w:rsidP="00861531">
      <w:pPr>
        <w:pStyle w:val="Heading2"/>
      </w:pPr>
      <w:bookmarkStart w:id="42" w:name="_Toc363719539"/>
      <w:r w:rsidRPr="00D4626E">
        <w:lastRenderedPageBreak/>
        <w:t>Ex post statement</w:t>
      </w:r>
      <w:bookmarkEnd w:id="42"/>
    </w:p>
    <w:p w:rsidR="00D4626E" w:rsidRPr="00D4626E" w:rsidRDefault="00D4626E" w:rsidP="00D4626E">
      <w:pPr>
        <w:pStyle w:val="AERbodytext"/>
        <w:numPr>
          <w:ilvl w:val="0"/>
          <w:numId w:val="13"/>
        </w:numPr>
      </w:pPr>
      <w:r w:rsidRPr="00D4626E">
        <w:t>The ex post statement is to be undertaken as part of a revenue determination for the regulatory control period just ended</w:t>
      </w:r>
      <w:r w:rsidR="00340DF2">
        <w:t xml:space="preserve"> and will draw on the ex post review process outlined above</w:t>
      </w:r>
      <w:r w:rsidRPr="00D4626E">
        <w:t xml:space="preserve">. It will coincide with the roll forward of the RAB undertaken as part of a revenue determination. </w:t>
      </w:r>
    </w:p>
    <w:p w:rsidR="00D4626E" w:rsidRDefault="00D4626E" w:rsidP="00340DF2">
      <w:pPr>
        <w:pStyle w:val="AERbodytext"/>
        <w:numPr>
          <w:ilvl w:val="0"/>
          <w:numId w:val="13"/>
        </w:numPr>
      </w:pPr>
      <w:r w:rsidRPr="00D4626E">
        <w:t>Th</w:t>
      </w:r>
      <w:r w:rsidR="00340DF2">
        <w:t xml:space="preserve">e period for the ex post statement </w:t>
      </w:r>
      <w:r w:rsidR="00FB6AAD">
        <w:t xml:space="preserve">is the usual regulatory control period. This </w:t>
      </w:r>
      <w:r w:rsidRPr="00D4626E">
        <w:t>differs from the ex</w:t>
      </w:r>
      <w:r w:rsidR="00FB6AAD">
        <w:t> </w:t>
      </w:r>
      <w:r w:rsidRPr="00D4626E">
        <w:t xml:space="preserve">post exclusion period which covers years 1, 2 and 3 of the regulatory control period just ending and years 4 and 5 of the regulatory </w:t>
      </w:r>
      <w:r w:rsidR="00340DF2">
        <w:t>control period preceding that.</w:t>
      </w:r>
    </w:p>
    <w:p w:rsidR="00340DF2" w:rsidRDefault="00340DF2" w:rsidP="00340DF2">
      <w:pPr>
        <w:pStyle w:val="AERbodytext"/>
        <w:numPr>
          <w:ilvl w:val="0"/>
          <w:numId w:val="13"/>
        </w:numPr>
      </w:pPr>
      <w:r>
        <w:t>While the same ex post review process will be used for the ex post statement and the ex post exclusion assessment, it is likely that the process will be more detaile</w:t>
      </w:r>
      <w:r w:rsidR="00F30FD7">
        <w:t>d for the years in which the ex </w:t>
      </w:r>
      <w:r>
        <w:t>post exclusion provisions apply.</w:t>
      </w:r>
    </w:p>
    <w:p w:rsidR="0049015D" w:rsidRDefault="0049015D" w:rsidP="0049015D">
      <w:pPr>
        <w:pStyle w:val="Heading1"/>
      </w:pPr>
      <w:bookmarkStart w:id="43" w:name="_Toc363719540"/>
      <w:r>
        <w:lastRenderedPageBreak/>
        <w:t>How these measures are consistent with the capital expenditure incentive objective</w:t>
      </w:r>
      <w:bookmarkEnd w:id="43"/>
    </w:p>
    <w:p w:rsidR="0049015D" w:rsidRDefault="0049015D" w:rsidP="0049015D">
      <w:pPr>
        <w:pStyle w:val="AERbodytext"/>
        <w:numPr>
          <w:ilvl w:val="0"/>
          <w:numId w:val="13"/>
        </w:numPr>
      </w:pPr>
      <w:r w:rsidRPr="006F7E8D">
        <w:t xml:space="preserve">Under </w:t>
      </w:r>
      <w:r>
        <w:t xml:space="preserve">clauses 6.4A(b) and 6A.5A(b) the NER, </w:t>
      </w:r>
      <w:r w:rsidRPr="005D02E4">
        <w:t>the</w:t>
      </w:r>
      <w:r>
        <w:t>se</w:t>
      </w:r>
      <w:r w:rsidRPr="005D02E4">
        <w:t xml:space="preserve"> guidelines</w:t>
      </w:r>
      <w:r>
        <w:t xml:space="preserve"> must set out </w:t>
      </w:r>
      <w:r w:rsidRPr="00B41D96">
        <w:t xml:space="preserve">how the above schemes and proposals, both individually and taken together, are consistent with </w:t>
      </w:r>
      <w:r w:rsidRPr="005D02E4">
        <w:t>the capital expenditure incentive objective</w:t>
      </w:r>
      <w:r>
        <w:t>.</w:t>
      </w:r>
    </w:p>
    <w:p w:rsidR="0049015D" w:rsidRPr="00387C87" w:rsidRDefault="0049015D" w:rsidP="0049015D">
      <w:pPr>
        <w:pStyle w:val="AERbodytext"/>
        <w:numPr>
          <w:ilvl w:val="0"/>
          <w:numId w:val="13"/>
        </w:numPr>
      </w:pPr>
      <w:r w:rsidRPr="00387C87">
        <w:t>The capital expenditure incentive objective is given by clause</w:t>
      </w:r>
      <w:r>
        <w:t>s</w:t>
      </w:r>
      <w:r w:rsidRPr="00387C87">
        <w:t xml:space="preserve"> 6.4A(a) and 6A.5A(a) of the NER:</w:t>
      </w:r>
    </w:p>
    <w:p w:rsidR="0049015D" w:rsidRDefault="0049015D" w:rsidP="0049015D">
      <w:pPr>
        <w:pStyle w:val="AERquote"/>
      </w:pPr>
      <w:r w:rsidRPr="00387C87">
        <w:t xml:space="preserve">The </w:t>
      </w:r>
      <w:r w:rsidRPr="00387C87">
        <w:rPr>
          <w:rStyle w:val="AERtextitalic"/>
        </w:rPr>
        <w:t>capital expenditure incentive objective</w:t>
      </w:r>
      <w:r w:rsidRPr="00387C87">
        <w:t xml:space="preserve"> is to ensure that, where the value of a regulatory asset base is subject to adjustment in accordance with the </w:t>
      </w:r>
      <w:r w:rsidRPr="00387C87">
        <w:rPr>
          <w:rStyle w:val="AERtextitalic"/>
        </w:rPr>
        <w:t>Rules</w:t>
      </w:r>
      <w:r w:rsidRPr="00387C87">
        <w:t xml:space="preserve">, then the only capital expenditure that is included in an adjustment that increases the value of that regulatory asset base is capital expenditure that reasonably reflects the </w:t>
      </w:r>
      <w:r w:rsidRPr="00387C87">
        <w:rPr>
          <w:rStyle w:val="AERtextitalic"/>
        </w:rPr>
        <w:t>capital expenditure criteria</w:t>
      </w:r>
      <w:r w:rsidRPr="00387C87">
        <w:t>.</w:t>
      </w:r>
    </w:p>
    <w:p w:rsidR="0049015D" w:rsidRDefault="0049015D" w:rsidP="0049015D">
      <w:pPr>
        <w:pStyle w:val="AERbodytext"/>
        <w:numPr>
          <w:ilvl w:val="0"/>
          <w:numId w:val="13"/>
        </w:numPr>
      </w:pPr>
      <w:r>
        <w:t>The capital expenditure criteria</w:t>
      </w:r>
      <w:r w:rsidRPr="0026518A">
        <w:t xml:space="preserve"> </w:t>
      </w:r>
      <w:r>
        <w:t>are contained in clauses 6A.6.7(c) and 6.5.7(c) of the NER and require that capex should reflect:</w:t>
      </w:r>
    </w:p>
    <w:p w:rsidR="0049015D" w:rsidRDefault="0049015D" w:rsidP="0049015D">
      <w:pPr>
        <w:pStyle w:val="AERbulletlistfirststyle"/>
      </w:pPr>
      <w:r>
        <w:t>the efficient costs of achieving the capital expenditure objectives</w:t>
      </w:r>
    </w:p>
    <w:p w:rsidR="0049015D" w:rsidRDefault="0049015D" w:rsidP="0049015D">
      <w:pPr>
        <w:pStyle w:val="AERbulletlistfirststyle"/>
      </w:pPr>
      <w:r>
        <w:t>the costs that a prudent NSP would require to achieve the capital expenditure objectives</w:t>
      </w:r>
    </w:p>
    <w:p w:rsidR="0049015D" w:rsidRDefault="0049015D" w:rsidP="0049015D">
      <w:pPr>
        <w:pStyle w:val="AERbulletlistfirststyle"/>
      </w:pPr>
      <w:r>
        <w:t>a realistic expectation of the demand forecast and cost inputs required to achieve the capital expenditure objectives.</w:t>
      </w:r>
    </w:p>
    <w:p w:rsidR="0049015D" w:rsidRDefault="0049015D" w:rsidP="0049015D">
      <w:pPr>
        <w:pStyle w:val="AERbodytext"/>
        <w:numPr>
          <w:ilvl w:val="0"/>
          <w:numId w:val="13"/>
        </w:numPr>
      </w:pPr>
      <w:r>
        <w:t xml:space="preserve">The capital expenditure objectives are contained in clauses in 6.5.7(a) and </w:t>
      </w:r>
      <w:r w:rsidRPr="00EA2B44">
        <w:t>6A.6.7</w:t>
      </w:r>
      <w:r>
        <w:t>(a) of the NER:</w:t>
      </w:r>
    </w:p>
    <w:p w:rsidR="0049015D" w:rsidRPr="0026518A" w:rsidRDefault="0049015D" w:rsidP="0049015D">
      <w:pPr>
        <w:pStyle w:val="AERquote"/>
      </w:pPr>
      <w:r w:rsidRPr="0026518A">
        <w:t>(a)</w:t>
      </w:r>
      <w:r w:rsidRPr="0026518A">
        <w:tab/>
        <w:t xml:space="preserve">A building block proposal must include the total forecast capital expenditure for the relevant regulatory control period which the Distribution Network Service Provider [TNSP] considers is required in order to achieve each of the following (the </w:t>
      </w:r>
      <w:r w:rsidRPr="0026518A">
        <w:rPr>
          <w:rStyle w:val="AERtextitalic"/>
        </w:rPr>
        <w:t>capital expenditure objectives</w:t>
      </w:r>
      <w:r w:rsidRPr="0026518A">
        <w:t>):</w:t>
      </w:r>
    </w:p>
    <w:p w:rsidR="0049015D" w:rsidRPr="0026518A" w:rsidRDefault="0049015D" w:rsidP="0049015D">
      <w:pPr>
        <w:pStyle w:val="AERquoteindent1"/>
      </w:pPr>
      <w:r w:rsidRPr="0026518A">
        <w:t>(1)</w:t>
      </w:r>
      <w:r w:rsidRPr="0026518A">
        <w:tab/>
        <w:t>meet or manage the expected demand for standard control services over that period;</w:t>
      </w:r>
    </w:p>
    <w:p w:rsidR="0049015D" w:rsidRPr="0026518A" w:rsidRDefault="0049015D" w:rsidP="0049015D">
      <w:pPr>
        <w:pStyle w:val="AERquoteindent1"/>
      </w:pPr>
      <w:r w:rsidRPr="0026518A">
        <w:t>(2)</w:t>
      </w:r>
      <w:r w:rsidRPr="0026518A">
        <w:tab/>
        <w:t>comply with all applicable regulatory obligations or requirements associated with the provision of standard control services;</w:t>
      </w:r>
    </w:p>
    <w:p w:rsidR="0049015D" w:rsidRPr="0026518A" w:rsidRDefault="0049015D" w:rsidP="0049015D">
      <w:pPr>
        <w:pStyle w:val="AERquoteindent1"/>
      </w:pPr>
      <w:r w:rsidRPr="0026518A">
        <w:t>(3)</w:t>
      </w:r>
      <w:r w:rsidRPr="0026518A">
        <w:tab/>
        <w:t>maintain the quality, reliability and security of supply of standard control services; and</w:t>
      </w:r>
    </w:p>
    <w:p w:rsidR="0049015D" w:rsidRPr="0026518A" w:rsidRDefault="0049015D" w:rsidP="0049015D">
      <w:pPr>
        <w:pStyle w:val="AERquoteindent1"/>
      </w:pPr>
      <w:r w:rsidRPr="0026518A">
        <w:t>(4)</w:t>
      </w:r>
      <w:r w:rsidRPr="0026518A">
        <w:tab/>
        <w:t>maintain the reliability, safety and security of the distribution system through the supply of standard control services.</w:t>
      </w:r>
    </w:p>
    <w:p w:rsidR="0049015D" w:rsidRPr="00E305A8" w:rsidRDefault="0049015D" w:rsidP="0049015D">
      <w:pPr>
        <w:pStyle w:val="AERbodytext"/>
        <w:numPr>
          <w:ilvl w:val="0"/>
          <w:numId w:val="13"/>
        </w:numPr>
      </w:pPr>
      <w:r>
        <w:t xml:space="preserve">A discussion of how the measures outlined in these guidelines, both individually and taken together, are consistent with this objective is provided below. </w:t>
      </w:r>
    </w:p>
    <w:p w:rsidR="0049015D" w:rsidRDefault="0049015D" w:rsidP="008127EF">
      <w:pPr>
        <w:pStyle w:val="Heading2"/>
      </w:pPr>
      <w:bookmarkStart w:id="44" w:name="_Toc363719541"/>
      <w:r>
        <w:t>The capital expenditure sharing scheme</w:t>
      </w:r>
      <w:bookmarkEnd w:id="44"/>
    </w:p>
    <w:p w:rsidR="0049015D" w:rsidRPr="0049015D" w:rsidRDefault="0049015D" w:rsidP="0049015D">
      <w:pPr>
        <w:pStyle w:val="AERbodytext"/>
      </w:pPr>
      <w:r>
        <w:t xml:space="preserve">The CESS provides NSPs with </w:t>
      </w:r>
      <w:r w:rsidR="00F30FD7">
        <w:t>an ex ante incentive</w:t>
      </w:r>
      <w:r>
        <w:t xml:space="preserve"> to spend only efficient capex. Under the proposed CESS, NSPs that </w:t>
      </w:r>
      <w:r w:rsidRPr="0049015D">
        <w:t>make efficiency gains will be rewarded through the CESS. Conversely, NSPs that make efficiency losses will be penalised through the CESS. In this way, NSPs will be more likely to incur only efficient capex when subject to a CESS. This should assist in ensuring that any capex included in the RAB reflects the capex criteria. In particular, if a NSP is subject to the CESS, its capex is more likely to be efficient and to reflect the costs of a prudent NSP.</w:t>
      </w:r>
    </w:p>
    <w:p w:rsidR="0049015D" w:rsidRDefault="0049015D" w:rsidP="008127EF">
      <w:pPr>
        <w:pStyle w:val="Heading2"/>
      </w:pPr>
      <w:bookmarkStart w:id="45" w:name="_Toc363719542"/>
      <w:r w:rsidRPr="008127EF">
        <w:t>Use</w:t>
      </w:r>
      <w:r>
        <w:t xml:space="preserve"> of actual or forecast depreciation</w:t>
      </w:r>
      <w:bookmarkEnd w:id="45"/>
    </w:p>
    <w:p w:rsidR="0049015D" w:rsidRPr="0049015D" w:rsidRDefault="00012584" w:rsidP="0049015D">
      <w:pPr>
        <w:pStyle w:val="AERbodytext"/>
      </w:pPr>
      <w:r>
        <w:t>I</w:t>
      </w:r>
      <w:r w:rsidR="0049015D">
        <w:t xml:space="preserve">n most circumstances forecast depreciation </w:t>
      </w:r>
      <w:r>
        <w:t>will</w:t>
      </w:r>
      <w:r w:rsidR="0049015D">
        <w:t xml:space="preserve"> be </w:t>
      </w:r>
      <w:r w:rsidR="0049015D" w:rsidRPr="0049015D">
        <w:t xml:space="preserve">used to roll forward the RAB. In particular, if a NSP is already subject to the CESS and there is no evidence of persistent overspending or </w:t>
      </w:r>
      <w:r w:rsidR="0049015D" w:rsidRPr="0049015D">
        <w:lastRenderedPageBreak/>
        <w:t xml:space="preserve">inefficiency, forecast depreciation will be used to roll forward the RAB. Alongside the operation of the CESS, this will ensure that a NSP faces clear and equal incentives for efficient capex irrespective of what type of capex asset </w:t>
      </w:r>
      <w:r w:rsidR="00FB6AAD">
        <w:t xml:space="preserve">is </w:t>
      </w:r>
      <w:r w:rsidR="0049015D" w:rsidRPr="0049015D">
        <w:t>being funded</w:t>
      </w:r>
      <w:r w:rsidR="00F30FD7">
        <w:t xml:space="preserve"> and when the capex occurs</w:t>
      </w:r>
      <w:r w:rsidR="0049015D" w:rsidRPr="0049015D">
        <w:t xml:space="preserve">. </w:t>
      </w:r>
    </w:p>
    <w:p w:rsidR="0049015D" w:rsidRPr="0049015D" w:rsidRDefault="0049015D" w:rsidP="0049015D">
      <w:pPr>
        <w:pStyle w:val="AERbodytext"/>
      </w:pPr>
      <w:r>
        <w:t xml:space="preserve">Where a CESS does not apply, or stronger incentives are required, </w:t>
      </w:r>
      <w:r w:rsidRPr="0049015D">
        <w:t>using actual depreciation to roll forward the RAB would strengthen a NSP's incentives for efficient capex. In both scenarios a NSP will have incentives to ensure their capex is efficient and reflects the costs that a prudent NSP would incur.</w:t>
      </w:r>
    </w:p>
    <w:p w:rsidR="0049015D" w:rsidRDefault="0049015D" w:rsidP="008127EF">
      <w:pPr>
        <w:pStyle w:val="Heading2"/>
      </w:pPr>
      <w:bookmarkStart w:id="46" w:name="_Toc363719543"/>
      <w:r>
        <w:t xml:space="preserve">Ex </w:t>
      </w:r>
      <w:r w:rsidRPr="008127EF">
        <w:t>post</w:t>
      </w:r>
      <w:r>
        <w:t xml:space="preserve"> statement and exclusions from the regulatory asset base</w:t>
      </w:r>
      <w:bookmarkEnd w:id="46"/>
    </w:p>
    <w:p w:rsidR="0049015D" w:rsidRPr="0049015D" w:rsidRDefault="0049015D" w:rsidP="0049015D">
      <w:pPr>
        <w:pStyle w:val="AERbodytext"/>
      </w:pPr>
      <w:r>
        <w:t>The ex post exclusion of inefficient overspends from the RAB goes to the heart of the capex incentive objective. In particular, the AER will specifically be able to assess whether capex overspends have met the relevant capex criteria</w:t>
      </w:r>
      <w:r w:rsidRPr="0049015D">
        <w:t xml:space="preserve">. If not, the AER can exclude these costs from the RAB. In addition, the ability to exclude inflated related party margins and capitalised opex will ensure that consumers do not pay for these costs where they do not reflect the capex criteria. </w:t>
      </w:r>
    </w:p>
    <w:p w:rsidR="0049015D" w:rsidRDefault="0049015D" w:rsidP="008127EF">
      <w:pPr>
        <w:pStyle w:val="Heading2"/>
      </w:pPr>
      <w:bookmarkStart w:id="47" w:name="_Toc363719544"/>
      <w:r>
        <w:t xml:space="preserve">How the </w:t>
      </w:r>
      <w:r w:rsidRPr="008127EF">
        <w:t>measures</w:t>
      </w:r>
      <w:r>
        <w:t xml:space="preserve"> together are consistent with the objective</w:t>
      </w:r>
      <w:bookmarkEnd w:id="47"/>
    </w:p>
    <w:p w:rsidR="0049015D" w:rsidRDefault="0049015D" w:rsidP="0049015D">
      <w:pPr>
        <w:pStyle w:val="AERbodytext"/>
        <w:numPr>
          <w:ilvl w:val="0"/>
          <w:numId w:val="13"/>
        </w:numPr>
      </w:pPr>
      <w:r>
        <w:t>The application of the CESS alongside forecast depreciation will provide NSPs with clear ex ante incentives to ensure they spend only efficient capex. Where these measures are not sufficient, the AER may choose to strengthen the ex ante incentives by using actual depreciation to roll forward the RAB. In this way the AER has a number of tools for providing NSPs with ex ante incentives for efficient capex.</w:t>
      </w:r>
    </w:p>
    <w:p w:rsidR="0049015D" w:rsidRDefault="0049015D" w:rsidP="0049015D">
      <w:pPr>
        <w:pStyle w:val="AERbodytext"/>
        <w:numPr>
          <w:ilvl w:val="0"/>
          <w:numId w:val="13"/>
        </w:numPr>
      </w:pPr>
      <w:r>
        <w:t>The ex post measures outlined in these guidelines complement the ex ante measures. In particular, if a NSP has not responded to the ex ante incentives, the AER will still have the ability to review the NSP's actual capex. Where a NSP has overspent, the AER can exclude the overspend from the RAB where it does not meet the capex criteria.</w:t>
      </w:r>
    </w:p>
    <w:p w:rsidR="0049015D" w:rsidRPr="00E305A8" w:rsidRDefault="0049015D" w:rsidP="0049015D">
      <w:pPr>
        <w:pStyle w:val="AERbodytext"/>
        <w:numPr>
          <w:ilvl w:val="0"/>
          <w:numId w:val="13"/>
        </w:numPr>
      </w:pPr>
      <w:r>
        <w:t>In this way, these guidelines provide a suite of measures to incentivise NSPs to undertake only efficient capex. Ultimately this should go towards achieving the capex incentive objective.</w:t>
      </w:r>
    </w:p>
    <w:p w:rsidR="00DB0A4A" w:rsidRDefault="00DB0A4A" w:rsidP="00DB0A4A">
      <w:pPr>
        <w:pStyle w:val="UnnumberedHeading"/>
      </w:pPr>
      <w:bookmarkStart w:id="48" w:name="_Toc363719545"/>
      <w:r>
        <w:lastRenderedPageBreak/>
        <w:t>Glossary</w:t>
      </w:r>
      <w:bookmarkEnd w:id="48"/>
    </w:p>
    <w:p w:rsidR="00F73DAF" w:rsidRDefault="00FC7509" w:rsidP="005A271F">
      <w:pPr>
        <w:pStyle w:val="AERbodytext"/>
      </w:pPr>
      <w:r>
        <w:t>The</w:t>
      </w:r>
      <w:r w:rsidR="00F73DAF" w:rsidRPr="005A271F">
        <w:t>s</w:t>
      </w:r>
      <w:r>
        <w:t>e</w:t>
      </w:r>
      <w:r w:rsidR="00F73DAF" w:rsidRPr="005A271F">
        <w:t xml:space="preserve"> guideline</w:t>
      </w:r>
      <w:r>
        <w:t>s use</w:t>
      </w:r>
      <w:r w:rsidR="00F73DAF">
        <w:t xml:space="preserve"> the following definitions</w:t>
      </w:r>
      <w:r w:rsidR="00C31DD5">
        <w:t xml:space="preserve"> and acronyms</w:t>
      </w:r>
      <w:r w:rsidR="005A271F">
        <w:t>.</w:t>
      </w:r>
    </w:p>
    <w:tbl>
      <w:tblPr>
        <w:tblStyle w:val="AERtable-text"/>
        <w:tblW w:w="0" w:type="auto"/>
        <w:tblLook w:val="04A0" w:firstRow="1" w:lastRow="0" w:firstColumn="1" w:lastColumn="0" w:noHBand="0" w:noVBand="1"/>
      </w:tblPr>
      <w:tblGrid>
        <w:gridCol w:w="3510"/>
        <w:gridCol w:w="5732"/>
      </w:tblGrid>
      <w:tr w:rsidR="00F73DAF" w:rsidTr="00F73DAF">
        <w:trPr>
          <w:cnfStyle w:val="100000000000" w:firstRow="1" w:lastRow="0" w:firstColumn="0" w:lastColumn="0" w:oddVBand="0" w:evenVBand="0" w:oddHBand="0" w:evenHBand="0" w:firstRowFirstColumn="0" w:firstRowLastColumn="0" w:lastRowFirstColumn="0" w:lastRowLastColumn="0"/>
        </w:trPr>
        <w:tc>
          <w:tcPr>
            <w:tcW w:w="3510" w:type="dxa"/>
          </w:tcPr>
          <w:p w:rsidR="00F73DAF" w:rsidRDefault="00F73DAF" w:rsidP="00F73DAF">
            <w:pPr>
              <w:pStyle w:val="AERtabletextleft"/>
            </w:pPr>
            <w:r>
              <w:t>Term</w:t>
            </w:r>
          </w:p>
        </w:tc>
        <w:tc>
          <w:tcPr>
            <w:tcW w:w="5732" w:type="dxa"/>
          </w:tcPr>
          <w:p w:rsidR="00F73DAF" w:rsidRDefault="00F73DAF" w:rsidP="00F73DAF">
            <w:pPr>
              <w:pStyle w:val="AERtabletextleft"/>
            </w:pPr>
            <w:r>
              <w:t>Definition</w:t>
            </w:r>
          </w:p>
        </w:tc>
      </w:tr>
      <w:tr w:rsidR="00F62E19" w:rsidRPr="006F254C" w:rsidTr="00F73DAF">
        <w:tc>
          <w:tcPr>
            <w:tcW w:w="3510" w:type="dxa"/>
          </w:tcPr>
          <w:p w:rsidR="00F62E19" w:rsidRPr="006F254C" w:rsidRDefault="00F62E19" w:rsidP="006F254C">
            <w:pPr>
              <w:pStyle w:val="AERtabletextleft"/>
            </w:pPr>
            <w:r>
              <w:t>AER</w:t>
            </w:r>
          </w:p>
        </w:tc>
        <w:tc>
          <w:tcPr>
            <w:tcW w:w="5732" w:type="dxa"/>
          </w:tcPr>
          <w:p w:rsidR="00F62E19" w:rsidRPr="006F254C" w:rsidRDefault="00F62E19" w:rsidP="006F254C">
            <w:pPr>
              <w:pStyle w:val="AERtabletextleft"/>
            </w:pPr>
            <w:r>
              <w:t>Australian Energy Regulator</w:t>
            </w:r>
          </w:p>
        </w:tc>
      </w:tr>
      <w:tr w:rsidR="00F62E19" w:rsidRPr="006F254C" w:rsidTr="00F73DAF">
        <w:trPr>
          <w:cnfStyle w:val="000000010000" w:firstRow="0" w:lastRow="0" w:firstColumn="0" w:lastColumn="0" w:oddVBand="0" w:evenVBand="0" w:oddHBand="0" w:evenHBand="1" w:firstRowFirstColumn="0" w:firstRowLastColumn="0" w:lastRowFirstColumn="0" w:lastRowLastColumn="0"/>
        </w:trPr>
        <w:tc>
          <w:tcPr>
            <w:tcW w:w="3510" w:type="dxa"/>
          </w:tcPr>
          <w:p w:rsidR="00F62E19" w:rsidRDefault="00755F27" w:rsidP="006F254C">
            <w:pPr>
              <w:pStyle w:val="AERtabletextleft"/>
            </w:pPr>
            <w:r>
              <w:t>a</w:t>
            </w:r>
            <w:r w:rsidR="00F62E19">
              <w:t>ugex</w:t>
            </w:r>
          </w:p>
        </w:tc>
        <w:tc>
          <w:tcPr>
            <w:tcW w:w="5732" w:type="dxa"/>
          </w:tcPr>
          <w:p w:rsidR="00F62E19" w:rsidRDefault="00F62E19" w:rsidP="00F62E19">
            <w:pPr>
              <w:pStyle w:val="AERtabletextleft"/>
            </w:pPr>
            <w:r>
              <w:t>Augmentation expenditure</w:t>
            </w:r>
          </w:p>
        </w:tc>
      </w:tr>
      <w:tr w:rsidR="00F62E19" w:rsidRPr="006F254C" w:rsidTr="00F73DAF">
        <w:tc>
          <w:tcPr>
            <w:tcW w:w="3510" w:type="dxa"/>
          </w:tcPr>
          <w:p w:rsidR="00F62E19" w:rsidRDefault="00F62E19" w:rsidP="006F254C">
            <w:pPr>
              <w:pStyle w:val="AERtabletextleft"/>
            </w:pPr>
            <w:r>
              <w:t>capex</w:t>
            </w:r>
          </w:p>
        </w:tc>
        <w:tc>
          <w:tcPr>
            <w:tcW w:w="5732" w:type="dxa"/>
          </w:tcPr>
          <w:p w:rsidR="00F62E19" w:rsidRDefault="00F62E19" w:rsidP="006F254C">
            <w:pPr>
              <w:pStyle w:val="AERtabletextleft"/>
            </w:pPr>
            <w:r>
              <w:t>Capital expenditure</w:t>
            </w:r>
          </w:p>
        </w:tc>
      </w:tr>
      <w:tr w:rsidR="00F62E19" w:rsidRPr="006F254C" w:rsidTr="00F73DAF">
        <w:trPr>
          <w:cnfStyle w:val="000000010000" w:firstRow="0" w:lastRow="0" w:firstColumn="0" w:lastColumn="0" w:oddVBand="0" w:evenVBand="0" w:oddHBand="0" w:evenHBand="1" w:firstRowFirstColumn="0" w:firstRowLastColumn="0" w:lastRowFirstColumn="0" w:lastRowLastColumn="0"/>
        </w:trPr>
        <w:tc>
          <w:tcPr>
            <w:tcW w:w="3510" w:type="dxa"/>
          </w:tcPr>
          <w:p w:rsidR="00F62E19" w:rsidRPr="006F254C" w:rsidRDefault="00F62E19" w:rsidP="006F254C">
            <w:pPr>
              <w:pStyle w:val="AERtabletextleft"/>
            </w:pPr>
            <w:r>
              <w:t>CESS</w:t>
            </w:r>
          </w:p>
        </w:tc>
        <w:tc>
          <w:tcPr>
            <w:tcW w:w="5732" w:type="dxa"/>
          </w:tcPr>
          <w:p w:rsidR="00F62E19" w:rsidRPr="006F254C" w:rsidRDefault="00F62E19" w:rsidP="006F254C">
            <w:pPr>
              <w:pStyle w:val="AERtabletextleft"/>
            </w:pPr>
            <w:r>
              <w:t>Capital Expenditure Sharing Scheme</w:t>
            </w:r>
          </w:p>
        </w:tc>
      </w:tr>
      <w:tr w:rsidR="00F62E19" w:rsidRPr="006F254C" w:rsidTr="00F73DAF">
        <w:tc>
          <w:tcPr>
            <w:tcW w:w="3510" w:type="dxa"/>
          </w:tcPr>
          <w:p w:rsidR="00F62E19" w:rsidRPr="006F254C" w:rsidRDefault="00F62E19" w:rsidP="006F254C">
            <w:pPr>
              <w:pStyle w:val="AERtabletextleft"/>
            </w:pPr>
            <w:r>
              <w:t>EBSS</w:t>
            </w:r>
          </w:p>
        </w:tc>
        <w:tc>
          <w:tcPr>
            <w:tcW w:w="5732" w:type="dxa"/>
          </w:tcPr>
          <w:p w:rsidR="00F62E19" w:rsidRPr="006F254C" w:rsidRDefault="00F62E19" w:rsidP="006F254C">
            <w:pPr>
              <w:pStyle w:val="AERtabletextleft"/>
            </w:pPr>
            <w:r>
              <w:t>Efficiency Benefit Sharing Scheme</w:t>
            </w:r>
          </w:p>
        </w:tc>
      </w:tr>
      <w:tr w:rsidR="00F73DAF" w:rsidRPr="006F254C" w:rsidTr="00F73DAF">
        <w:trPr>
          <w:cnfStyle w:val="000000010000" w:firstRow="0" w:lastRow="0" w:firstColumn="0" w:lastColumn="0" w:oddVBand="0" w:evenVBand="0" w:oddHBand="0" w:evenHBand="1" w:firstRowFirstColumn="0" w:firstRowLastColumn="0" w:lastRowFirstColumn="0" w:lastRowLastColumn="0"/>
        </w:trPr>
        <w:tc>
          <w:tcPr>
            <w:tcW w:w="3510" w:type="dxa"/>
          </w:tcPr>
          <w:p w:rsidR="00F73DAF" w:rsidRPr="006F254C" w:rsidRDefault="00F73DAF" w:rsidP="006F254C">
            <w:pPr>
              <w:pStyle w:val="AERtabletextleft"/>
            </w:pPr>
            <w:r w:rsidRPr="006F254C">
              <w:t>guideline</w:t>
            </w:r>
            <w:r w:rsidR="006F254C" w:rsidRPr="006F254C">
              <w:t>s</w:t>
            </w:r>
          </w:p>
        </w:tc>
        <w:tc>
          <w:tcPr>
            <w:tcW w:w="5732" w:type="dxa"/>
          </w:tcPr>
          <w:p w:rsidR="00F73DAF" w:rsidRPr="006F254C" w:rsidRDefault="006F254C" w:rsidP="006F254C">
            <w:pPr>
              <w:pStyle w:val="AERtabletextleft"/>
            </w:pPr>
            <w:r w:rsidRPr="006F254C">
              <w:t>Capital Expenditure Incentive Guidelines</w:t>
            </w:r>
          </w:p>
        </w:tc>
      </w:tr>
      <w:tr w:rsidR="00F73DAF" w:rsidRPr="006F254C" w:rsidTr="00F73DAF">
        <w:tc>
          <w:tcPr>
            <w:tcW w:w="3510" w:type="dxa"/>
          </w:tcPr>
          <w:p w:rsidR="00F73DAF" w:rsidRPr="006F254C" w:rsidRDefault="00F73DAF" w:rsidP="006F254C">
            <w:pPr>
              <w:pStyle w:val="AERtabletextleft"/>
            </w:pPr>
            <w:r w:rsidRPr="006F254C">
              <w:t>NER</w:t>
            </w:r>
          </w:p>
        </w:tc>
        <w:tc>
          <w:tcPr>
            <w:tcW w:w="5732" w:type="dxa"/>
          </w:tcPr>
          <w:p w:rsidR="00F73DAF" w:rsidRPr="006F254C" w:rsidRDefault="00F73DAF" w:rsidP="00F30FD7">
            <w:pPr>
              <w:pStyle w:val="AERtabletextleft"/>
            </w:pPr>
            <w:r w:rsidRPr="006F254C">
              <w:t xml:space="preserve">The </w:t>
            </w:r>
            <w:r w:rsidR="00F30FD7">
              <w:t>National Electricity Rules</w:t>
            </w:r>
            <w:r w:rsidRPr="006F254C">
              <w:t xml:space="preserve"> as defined in the National Electricity Law.</w:t>
            </w:r>
          </w:p>
        </w:tc>
      </w:tr>
      <w:tr w:rsidR="00F73DAF" w:rsidTr="00F73DAF">
        <w:trPr>
          <w:cnfStyle w:val="000000010000" w:firstRow="0" w:lastRow="0" w:firstColumn="0" w:lastColumn="0" w:oddVBand="0" w:evenVBand="0" w:oddHBand="0" w:evenHBand="1" w:firstRowFirstColumn="0" w:firstRowLastColumn="0" w:lastRowFirstColumn="0" w:lastRowLastColumn="0"/>
        </w:trPr>
        <w:tc>
          <w:tcPr>
            <w:tcW w:w="3510" w:type="dxa"/>
          </w:tcPr>
          <w:p w:rsidR="00F73DAF" w:rsidRDefault="00F62E19" w:rsidP="00F73DAF">
            <w:pPr>
              <w:pStyle w:val="AERtabletextleft"/>
            </w:pPr>
            <w:r>
              <w:t>NSP</w:t>
            </w:r>
          </w:p>
        </w:tc>
        <w:tc>
          <w:tcPr>
            <w:tcW w:w="5732" w:type="dxa"/>
          </w:tcPr>
          <w:p w:rsidR="00F73DAF" w:rsidRDefault="00F62E19" w:rsidP="00F73DAF">
            <w:pPr>
              <w:pStyle w:val="AERtabletextleft"/>
            </w:pPr>
            <w:r>
              <w:t>Network Service Provider</w:t>
            </w:r>
          </w:p>
        </w:tc>
      </w:tr>
      <w:tr w:rsidR="00F73DAF" w:rsidTr="00F73DAF">
        <w:tc>
          <w:tcPr>
            <w:tcW w:w="3510" w:type="dxa"/>
          </w:tcPr>
          <w:p w:rsidR="00F73DAF" w:rsidRDefault="00F62E19" w:rsidP="00F73DAF">
            <w:pPr>
              <w:pStyle w:val="AERtabletextleft"/>
            </w:pPr>
            <w:r>
              <w:t>opex</w:t>
            </w:r>
          </w:p>
        </w:tc>
        <w:tc>
          <w:tcPr>
            <w:tcW w:w="5732" w:type="dxa"/>
          </w:tcPr>
          <w:p w:rsidR="00F73DAF" w:rsidRDefault="00F62E19" w:rsidP="00F73DAF">
            <w:pPr>
              <w:pStyle w:val="AERtabletextleft"/>
            </w:pPr>
            <w:r>
              <w:t>Operating expenditure</w:t>
            </w:r>
          </w:p>
        </w:tc>
      </w:tr>
      <w:tr w:rsidR="00F30FD7" w:rsidTr="00F73DAF">
        <w:trPr>
          <w:cnfStyle w:val="000000010000" w:firstRow="0" w:lastRow="0" w:firstColumn="0" w:lastColumn="0" w:oddVBand="0" w:evenVBand="0" w:oddHBand="0" w:evenHBand="1" w:firstRowFirstColumn="0" w:firstRowLastColumn="0" w:lastRowFirstColumn="0" w:lastRowLastColumn="0"/>
        </w:trPr>
        <w:tc>
          <w:tcPr>
            <w:tcW w:w="3510" w:type="dxa"/>
          </w:tcPr>
          <w:p w:rsidR="00F30FD7" w:rsidRDefault="00F30FD7" w:rsidP="00F73DAF">
            <w:pPr>
              <w:pStyle w:val="AERtabletextleft"/>
            </w:pPr>
            <w:r>
              <w:t>RAB</w:t>
            </w:r>
          </w:p>
        </w:tc>
        <w:tc>
          <w:tcPr>
            <w:tcW w:w="5732" w:type="dxa"/>
          </w:tcPr>
          <w:p w:rsidR="00F30FD7" w:rsidRDefault="00F30FD7" w:rsidP="00F73DAF">
            <w:pPr>
              <w:pStyle w:val="AERtabletextleft"/>
            </w:pPr>
            <w:r>
              <w:t>Regulatory asset base</w:t>
            </w:r>
          </w:p>
        </w:tc>
      </w:tr>
      <w:tr w:rsidR="00F62E19" w:rsidTr="00F73DAF">
        <w:tc>
          <w:tcPr>
            <w:tcW w:w="3510" w:type="dxa"/>
          </w:tcPr>
          <w:p w:rsidR="00F62E19" w:rsidRDefault="00755F27" w:rsidP="00F73DAF">
            <w:pPr>
              <w:pStyle w:val="AERtabletextleft"/>
            </w:pPr>
            <w:r>
              <w:t>r</w:t>
            </w:r>
            <w:r w:rsidR="00F62E19">
              <w:t>epex</w:t>
            </w:r>
          </w:p>
        </w:tc>
        <w:tc>
          <w:tcPr>
            <w:tcW w:w="5732" w:type="dxa"/>
          </w:tcPr>
          <w:p w:rsidR="00F62E19" w:rsidRDefault="00F62E19" w:rsidP="00F73DAF">
            <w:pPr>
              <w:pStyle w:val="AERtabletextleft"/>
            </w:pPr>
            <w:r>
              <w:t>Replacement expenditure</w:t>
            </w:r>
          </w:p>
        </w:tc>
      </w:tr>
      <w:tr w:rsidR="00F62E19" w:rsidTr="00F73DAF">
        <w:trPr>
          <w:cnfStyle w:val="000000010000" w:firstRow="0" w:lastRow="0" w:firstColumn="0" w:lastColumn="0" w:oddVBand="0" w:evenVBand="0" w:oddHBand="0" w:evenHBand="1" w:firstRowFirstColumn="0" w:firstRowLastColumn="0" w:lastRowFirstColumn="0" w:lastRowLastColumn="0"/>
        </w:trPr>
        <w:tc>
          <w:tcPr>
            <w:tcW w:w="3510" w:type="dxa"/>
          </w:tcPr>
          <w:p w:rsidR="00F62E19" w:rsidRDefault="00F62E19" w:rsidP="00F73DAF">
            <w:pPr>
              <w:pStyle w:val="AERtabletextleft"/>
            </w:pPr>
            <w:r>
              <w:t>RIT-D</w:t>
            </w:r>
          </w:p>
        </w:tc>
        <w:tc>
          <w:tcPr>
            <w:tcW w:w="5732" w:type="dxa"/>
          </w:tcPr>
          <w:p w:rsidR="00F62E19" w:rsidRDefault="00F62E19" w:rsidP="00F62E19">
            <w:pPr>
              <w:pStyle w:val="AERtabletextleft"/>
            </w:pPr>
            <w:r>
              <w:t>Regulatory Investment Test - Distribution</w:t>
            </w:r>
          </w:p>
        </w:tc>
      </w:tr>
      <w:tr w:rsidR="00F62E19" w:rsidTr="00F73DAF">
        <w:tc>
          <w:tcPr>
            <w:tcW w:w="3510" w:type="dxa"/>
          </w:tcPr>
          <w:p w:rsidR="00F62E19" w:rsidRDefault="00F62E19" w:rsidP="00F73DAF">
            <w:pPr>
              <w:pStyle w:val="AERtabletextleft"/>
            </w:pPr>
            <w:r>
              <w:t>RIT-T</w:t>
            </w:r>
          </w:p>
        </w:tc>
        <w:tc>
          <w:tcPr>
            <w:tcW w:w="5732" w:type="dxa"/>
          </w:tcPr>
          <w:p w:rsidR="00F62E19" w:rsidRDefault="00F62E19" w:rsidP="00F73DAF">
            <w:pPr>
              <w:pStyle w:val="AERtabletextleft"/>
            </w:pPr>
            <w:r>
              <w:t>Regulatory Investment Test - Transmission</w:t>
            </w:r>
          </w:p>
        </w:tc>
      </w:tr>
      <w:tr w:rsidR="00F62E19" w:rsidTr="00F73DAF">
        <w:trPr>
          <w:cnfStyle w:val="000000010000" w:firstRow="0" w:lastRow="0" w:firstColumn="0" w:lastColumn="0" w:oddVBand="0" w:evenVBand="0" w:oddHBand="0" w:evenHBand="1" w:firstRowFirstColumn="0" w:firstRowLastColumn="0" w:lastRowFirstColumn="0" w:lastRowLastColumn="0"/>
        </w:trPr>
        <w:tc>
          <w:tcPr>
            <w:tcW w:w="3510" w:type="dxa"/>
          </w:tcPr>
          <w:p w:rsidR="00F62E19" w:rsidRDefault="00F62E19" w:rsidP="00F73DAF">
            <w:pPr>
              <w:pStyle w:val="AERtabletextleft"/>
            </w:pPr>
            <w:r>
              <w:t>WACC</w:t>
            </w:r>
          </w:p>
        </w:tc>
        <w:tc>
          <w:tcPr>
            <w:tcW w:w="5732" w:type="dxa"/>
          </w:tcPr>
          <w:p w:rsidR="00F62E19" w:rsidRDefault="00F62E19" w:rsidP="00F73DAF">
            <w:pPr>
              <w:pStyle w:val="AERtabletextleft"/>
            </w:pPr>
            <w:r>
              <w:t>Weighted Average Cost of Capital</w:t>
            </w:r>
          </w:p>
        </w:tc>
      </w:tr>
    </w:tbl>
    <w:p w:rsidR="00F73DAF" w:rsidRDefault="00F73DAF" w:rsidP="00DB0A4A">
      <w:pPr>
        <w:pStyle w:val="AERbodytext"/>
        <w:numPr>
          <w:ilvl w:val="0"/>
          <w:numId w:val="0"/>
        </w:numPr>
      </w:pPr>
    </w:p>
    <w:p w:rsidR="00DB0A4A" w:rsidRDefault="00FB0925" w:rsidP="00D85F53">
      <w:pPr>
        <w:pStyle w:val="Heading7"/>
      </w:pPr>
      <w:bookmarkStart w:id="49" w:name="_Toc363719546"/>
      <w:r>
        <w:lastRenderedPageBreak/>
        <w:t>Capital expenditure sharing scheme example</w:t>
      </w:r>
      <w:bookmarkEnd w:id="49"/>
    </w:p>
    <w:p w:rsidR="00F92F14" w:rsidRPr="00F92F14" w:rsidRDefault="00F92F14" w:rsidP="00F92F14">
      <w:pPr>
        <w:pStyle w:val="AERbodytext"/>
      </w:pPr>
      <w:r>
        <w:t>This appendix provides a worked example of how the general CESS would work.</w:t>
      </w:r>
      <w:r w:rsidR="00FC7509">
        <w:t xml:space="preserve"> Numbers other than percentages are in millions of dollars.</w:t>
      </w:r>
    </w:p>
    <w:tbl>
      <w:tblPr>
        <w:tblW w:w="8580" w:type="dxa"/>
        <w:tblInd w:w="93" w:type="dxa"/>
        <w:tblLayout w:type="fixed"/>
        <w:tblLook w:val="04A0" w:firstRow="1" w:lastRow="0" w:firstColumn="1" w:lastColumn="0" w:noHBand="0" w:noVBand="1"/>
      </w:tblPr>
      <w:tblGrid>
        <w:gridCol w:w="2992"/>
        <w:gridCol w:w="1117"/>
        <w:gridCol w:w="1118"/>
        <w:gridCol w:w="1117"/>
        <w:gridCol w:w="1118"/>
        <w:gridCol w:w="1118"/>
      </w:tblGrid>
      <w:tr w:rsidR="00986A32" w:rsidRPr="00986A32" w:rsidTr="00986A32">
        <w:trPr>
          <w:trHeight w:val="300"/>
        </w:trPr>
        <w:tc>
          <w:tcPr>
            <w:tcW w:w="2992" w:type="dxa"/>
            <w:tcBorders>
              <w:top w:val="nil"/>
              <w:left w:val="nil"/>
              <w:bottom w:val="nil"/>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Discount rate:</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6%</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r>
      <w:tr w:rsidR="00986A32" w:rsidRPr="00986A32" w:rsidTr="00986A32">
        <w:trPr>
          <w:trHeight w:val="300"/>
        </w:trPr>
        <w:tc>
          <w:tcPr>
            <w:tcW w:w="2992" w:type="dxa"/>
            <w:tcBorders>
              <w:top w:val="nil"/>
              <w:left w:val="nil"/>
              <w:bottom w:val="nil"/>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NSP share of overspend:</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3</w:t>
            </w:r>
            <w:r>
              <w:t>0%</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r>
      <w:tr w:rsidR="00986A32" w:rsidRPr="00986A32" w:rsidTr="00986A32">
        <w:trPr>
          <w:trHeight w:val="300"/>
        </w:trPr>
        <w:tc>
          <w:tcPr>
            <w:tcW w:w="2992" w:type="dxa"/>
            <w:tcBorders>
              <w:top w:val="nil"/>
              <w:left w:val="nil"/>
              <w:bottom w:val="nil"/>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NSP share of underspend:</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3</w:t>
            </w:r>
            <w:r>
              <w:t>0%</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r>
      <w:tr w:rsidR="00986A32" w:rsidRPr="00986A32" w:rsidTr="00986A32">
        <w:trPr>
          <w:trHeight w:val="120"/>
        </w:trPr>
        <w:tc>
          <w:tcPr>
            <w:tcW w:w="2992" w:type="dxa"/>
            <w:tcBorders>
              <w:top w:val="nil"/>
              <w:left w:val="nil"/>
              <w:bottom w:val="nil"/>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r>
      <w:tr w:rsidR="00986A32" w:rsidRPr="00986A32" w:rsidTr="00986A32">
        <w:trPr>
          <w:trHeight w:val="300"/>
        </w:trPr>
        <w:tc>
          <w:tcPr>
            <w:tcW w:w="2992" w:type="dxa"/>
            <w:tcBorders>
              <w:top w:val="single" w:sz="8" w:space="0" w:color="auto"/>
              <w:left w:val="single" w:sz="8" w:space="0" w:color="auto"/>
              <w:bottom w:val="single" w:sz="4" w:space="0" w:color="auto"/>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Year</w:t>
            </w:r>
          </w:p>
        </w:tc>
        <w:tc>
          <w:tcPr>
            <w:tcW w:w="1117" w:type="dxa"/>
            <w:tcBorders>
              <w:top w:val="single" w:sz="8" w:space="0" w:color="auto"/>
              <w:left w:val="single" w:sz="4" w:space="0" w:color="auto"/>
              <w:bottom w:val="single" w:sz="4" w:space="0" w:color="auto"/>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1</w:t>
            </w:r>
          </w:p>
        </w:tc>
        <w:tc>
          <w:tcPr>
            <w:tcW w:w="1118" w:type="dxa"/>
            <w:tcBorders>
              <w:top w:val="single" w:sz="8" w:space="0" w:color="auto"/>
              <w:left w:val="nil"/>
              <w:bottom w:val="single" w:sz="4" w:space="0" w:color="auto"/>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2</w:t>
            </w:r>
          </w:p>
        </w:tc>
        <w:tc>
          <w:tcPr>
            <w:tcW w:w="1117" w:type="dxa"/>
            <w:tcBorders>
              <w:top w:val="single" w:sz="8" w:space="0" w:color="auto"/>
              <w:left w:val="nil"/>
              <w:bottom w:val="single" w:sz="4" w:space="0" w:color="auto"/>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3</w:t>
            </w:r>
          </w:p>
        </w:tc>
        <w:tc>
          <w:tcPr>
            <w:tcW w:w="1118" w:type="dxa"/>
            <w:tcBorders>
              <w:top w:val="single" w:sz="8" w:space="0" w:color="auto"/>
              <w:left w:val="nil"/>
              <w:bottom w:val="single" w:sz="4" w:space="0" w:color="auto"/>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4</w:t>
            </w:r>
          </w:p>
        </w:tc>
        <w:tc>
          <w:tcPr>
            <w:tcW w:w="1118" w:type="dxa"/>
            <w:tcBorders>
              <w:top w:val="single" w:sz="8" w:space="0" w:color="auto"/>
              <w:left w:val="nil"/>
              <w:bottom w:val="single" w:sz="4" w:space="0" w:color="auto"/>
              <w:right w:val="single" w:sz="8" w:space="0" w:color="auto"/>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5</w:t>
            </w:r>
          </w:p>
        </w:tc>
      </w:tr>
      <w:tr w:rsidR="00986A32" w:rsidRPr="00986A32" w:rsidTr="00986A32">
        <w:trPr>
          <w:trHeight w:val="300"/>
        </w:trPr>
        <w:tc>
          <w:tcPr>
            <w:tcW w:w="2992" w:type="dxa"/>
            <w:tcBorders>
              <w:top w:val="nil"/>
              <w:left w:val="single" w:sz="8" w:space="0" w:color="auto"/>
              <w:bottom w:val="nil"/>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Capex allowance</w:t>
            </w:r>
          </w:p>
        </w:tc>
        <w:tc>
          <w:tcPr>
            <w:tcW w:w="1117" w:type="dxa"/>
            <w:tcBorders>
              <w:top w:val="nil"/>
              <w:left w:val="single" w:sz="4" w:space="0" w:color="auto"/>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300</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330</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270</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300</w:t>
            </w:r>
          </w:p>
        </w:tc>
        <w:tc>
          <w:tcPr>
            <w:tcW w:w="1118" w:type="dxa"/>
            <w:tcBorders>
              <w:top w:val="nil"/>
              <w:left w:val="nil"/>
              <w:bottom w:val="nil"/>
              <w:right w:val="single" w:sz="8" w:space="0" w:color="auto"/>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330</w:t>
            </w:r>
          </w:p>
        </w:tc>
      </w:tr>
      <w:tr w:rsidR="00986A32" w:rsidRPr="00986A32" w:rsidTr="00986A32">
        <w:trPr>
          <w:trHeight w:val="300"/>
        </w:trPr>
        <w:tc>
          <w:tcPr>
            <w:tcW w:w="2992" w:type="dxa"/>
            <w:tcBorders>
              <w:top w:val="nil"/>
              <w:left w:val="single" w:sz="8" w:space="0" w:color="auto"/>
              <w:bottom w:val="nil"/>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Actual capex</w:t>
            </w:r>
          </w:p>
        </w:tc>
        <w:tc>
          <w:tcPr>
            <w:tcW w:w="1117" w:type="dxa"/>
            <w:tcBorders>
              <w:top w:val="nil"/>
              <w:left w:val="single" w:sz="4" w:space="0" w:color="auto"/>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280</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310</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300</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290</w:t>
            </w:r>
          </w:p>
        </w:tc>
        <w:tc>
          <w:tcPr>
            <w:tcW w:w="1118" w:type="dxa"/>
            <w:tcBorders>
              <w:top w:val="nil"/>
              <w:left w:val="nil"/>
              <w:bottom w:val="nil"/>
              <w:right w:val="single" w:sz="8" w:space="0" w:color="auto"/>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320</w:t>
            </w:r>
          </w:p>
        </w:tc>
      </w:tr>
      <w:tr w:rsidR="005F5B4B" w:rsidRPr="00986A32" w:rsidTr="00986A32">
        <w:trPr>
          <w:trHeight w:val="300"/>
        </w:trPr>
        <w:tc>
          <w:tcPr>
            <w:tcW w:w="2992" w:type="dxa"/>
            <w:tcBorders>
              <w:top w:val="nil"/>
              <w:left w:val="single" w:sz="8" w:space="0" w:color="auto"/>
              <w:bottom w:val="single" w:sz="4" w:space="0" w:color="auto"/>
              <w:right w:val="nil"/>
            </w:tcBorders>
            <w:shd w:val="clear" w:color="000000" w:fill="FFFFFF"/>
            <w:noWrap/>
            <w:vAlign w:val="bottom"/>
            <w:hideMark/>
          </w:tcPr>
          <w:p w:rsidR="005F5B4B" w:rsidRPr="005F5B4B" w:rsidRDefault="005F5B4B" w:rsidP="005F5B4B">
            <w:pPr>
              <w:pStyle w:val="AERtabletextleft"/>
            </w:pPr>
            <w:r w:rsidRPr="005F5B4B">
              <w:t>Underspend</w:t>
            </w:r>
          </w:p>
        </w:tc>
        <w:tc>
          <w:tcPr>
            <w:tcW w:w="1117" w:type="dxa"/>
            <w:tcBorders>
              <w:top w:val="nil"/>
              <w:left w:val="single" w:sz="4" w:space="0" w:color="auto"/>
              <w:bottom w:val="single" w:sz="4" w:space="0" w:color="auto"/>
              <w:right w:val="nil"/>
            </w:tcBorders>
            <w:shd w:val="clear" w:color="000000" w:fill="FFFFFF"/>
            <w:noWrap/>
            <w:vAlign w:val="bottom"/>
            <w:hideMark/>
          </w:tcPr>
          <w:p w:rsidR="005F5B4B" w:rsidRPr="005F5B4B" w:rsidRDefault="005F5B4B" w:rsidP="005F5B4B">
            <w:pPr>
              <w:pStyle w:val="AERtabletextright"/>
            </w:pPr>
            <w:r w:rsidRPr="005F5B4B">
              <w:t>20</w:t>
            </w:r>
          </w:p>
        </w:tc>
        <w:tc>
          <w:tcPr>
            <w:tcW w:w="1118" w:type="dxa"/>
            <w:tcBorders>
              <w:top w:val="nil"/>
              <w:left w:val="nil"/>
              <w:bottom w:val="single" w:sz="4" w:space="0" w:color="auto"/>
              <w:right w:val="nil"/>
            </w:tcBorders>
            <w:shd w:val="clear" w:color="000000" w:fill="FFFFFF"/>
            <w:noWrap/>
            <w:vAlign w:val="bottom"/>
            <w:hideMark/>
          </w:tcPr>
          <w:p w:rsidR="005F5B4B" w:rsidRPr="005F5B4B" w:rsidRDefault="005F5B4B" w:rsidP="005F5B4B">
            <w:pPr>
              <w:pStyle w:val="AERtabletextright"/>
            </w:pPr>
            <w:r w:rsidRPr="005F5B4B">
              <w:t>20</w:t>
            </w:r>
          </w:p>
        </w:tc>
        <w:tc>
          <w:tcPr>
            <w:tcW w:w="1117" w:type="dxa"/>
            <w:tcBorders>
              <w:top w:val="nil"/>
              <w:left w:val="nil"/>
              <w:bottom w:val="single" w:sz="4" w:space="0" w:color="auto"/>
              <w:right w:val="nil"/>
            </w:tcBorders>
            <w:shd w:val="clear" w:color="000000" w:fill="FFFFFF"/>
            <w:noWrap/>
            <w:vAlign w:val="bottom"/>
            <w:hideMark/>
          </w:tcPr>
          <w:p w:rsidR="005F5B4B" w:rsidRPr="005F5B4B" w:rsidRDefault="005F5B4B" w:rsidP="005F5B4B">
            <w:pPr>
              <w:pStyle w:val="AERtabletextright"/>
            </w:pPr>
            <w:r w:rsidRPr="005F5B4B">
              <w:t>-30</w:t>
            </w:r>
          </w:p>
        </w:tc>
        <w:tc>
          <w:tcPr>
            <w:tcW w:w="1118" w:type="dxa"/>
            <w:tcBorders>
              <w:top w:val="nil"/>
              <w:left w:val="nil"/>
              <w:bottom w:val="single" w:sz="4" w:space="0" w:color="auto"/>
              <w:right w:val="nil"/>
            </w:tcBorders>
            <w:shd w:val="clear" w:color="000000" w:fill="FFFFFF"/>
            <w:noWrap/>
            <w:vAlign w:val="bottom"/>
            <w:hideMark/>
          </w:tcPr>
          <w:p w:rsidR="005F5B4B" w:rsidRPr="005F5B4B" w:rsidRDefault="005F5B4B" w:rsidP="005F5B4B">
            <w:pPr>
              <w:pStyle w:val="AERtabletextright"/>
            </w:pPr>
            <w:r w:rsidRPr="005F5B4B">
              <w:t>10</w:t>
            </w:r>
          </w:p>
        </w:tc>
        <w:tc>
          <w:tcPr>
            <w:tcW w:w="1118" w:type="dxa"/>
            <w:tcBorders>
              <w:top w:val="nil"/>
              <w:left w:val="nil"/>
              <w:bottom w:val="single" w:sz="4" w:space="0" w:color="auto"/>
              <w:right w:val="single" w:sz="8" w:space="0" w:color="auto"/>
            </w:tcBorders>
            <w:shd w:val="clear" w:color="000000" w:fill="FFFFFF"/>
            <w:noWrap/>
            <w:vAlign w:val="bottom"/>
            <w:hideMark/>
          </w:tcPr>
          <w:p w:rsidR="005F5B4B" w:rsidRPr="005F5B4B" w:rsidRDefault="005F5B4B" w:rsidP="005F5B4B">
            <w:pPr>
              <w:pStyle w:val="AERtabletextright"/>
            </w:pPr>
            <w:r w:rsidRPr="005F5B4B">
              <w:t>10</w:t>
            </w:r>
          </w:p>
        </w:tc>
      </w:tr>
      <w:tr w:rsidR="00986A32" w:rsidRPr="00986A32" w:rsidTr="00986A32">
        <w:trPr>
          <w:trHeight w:val="300"/>
        </w:trPr>
        <w:tc>
          <w:tcPr>
            <w:tcW w:w="2992" w:type="dxa"/>
            <w:tcBorders>
              <w:top w:val="nil"/>
              <w:left w:val="single" w:sz="8" w:space="0" w:color="auto"/>
              <w:bottom w:val="nil"/>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Year 1 benefit</w:t>
            </w:r>
          </w:p>
        </w:tc>
        <w:tc>
          <w:tcPr>
            <w:tcW w:w="1117" w:type="dxa"/>
            <w:tcBorders>
              <w:top w:val="nil"/>
              <w:left w:val="single" w:sz="4" w:space="0" w:color="auto"/>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0.59</w:t>
            </w:r>
          </w:p>
        </w:tc>
        <w:tc>
          <w:tcPr>
            <w:tcW w:w="1118" w:type="dxa"/>
            <w:tcBorders>
              <w:top w:val="nil"/>
              <w:left w:val="nil"/>
              <w:bottom w:val="nil"/>
              <w:right w:val="nil"/>
            </w:tcBorders>
            <w:shd w:val="clear" w:color="000000" w:fill="FFFFFF"/>
            <w:noWrap/>
            <w:vAlign w:val="bottom"/>
            <w:hideMark/>
          </w:tcPr>
          <w:p w:rsidR="00986A32" w:rsidRPr="00986A32" w:rsidRDefault="005F5B4B" w:rsidP="00C27C6C">
            <w:pPr>
              <w:pStyle w:val="AERtabletextright"/>
              <w:rPr>
                <w:lang w:eastAsia="en-AU"/>
              </w:rPr>
            </w:pPr>
            <w:r>
              <w:rPr>
                <w:lang w:eastAsia="en-AU"/>
              </w:rPr>
              <w:t>1.2</w:t>
            </w:r>
            <w:r w:rsidR="00C27C6C">
              <w:t>0</w:t>
            </w:r>
          </w:p>
        </w:tc>
        <w:tc>
          <w:tcPr>
            <w:tcW w:w="1117" w:type="dxa"/>
            <w:tcBorders>
              <w:top w:val="nil"/>
              <w:left w:val="nil"/>
              <w:bottom w:val="nil"/>
              <w:right w:val="nil"/>
            </w:tcBorders>
            <w:shd w:val="clear" w:color="000000" w:fill="FFFFFF"/>
            <w:noWrap/>
            <w:vAlign w:val="bottom"/>
            <w:hideMark/>
          </w:tcPr>
          <w:p w:rsidR="00986A32" w:rsidRPr="00986A32" w:rsidRDefault="00C27C6C" w:rsidP="00986A32">
            <w:pPr>
              <w:pStyle w:val="AERtabletextright"/>
              <w:rPr>
                <w:lang w:eastAsia="en-AU"/>
              </w:rPr>
            </w:pPr>
            <w:r w:rsidRPr="00C27C6C">
              <w:t>1.2</w:t>
            </w:r>
            <w:r>
              <w:t>0</w:t>
            </w:r>
          </w:p>
        </w:tc>
        <w:tc>
          <w:tcPr>
            <w:tcW w:w="1118" w:type="dxa"/>
            <w:tcBorders>
              <w:top w:val="nil"/>
              <w:left w:val="nil"/>
              <w:bottom w:val="nil"/>
              <w:right w:val="nil"/>
            </w:tcBorders>
            <w:shd w:val="clear" w:color="000000" w:fill="FFFFFF"/>
            <w:noWrap/>
            <w:vAlign w:val="bottom"/>
            <w:hideMark/>
          </w:tcPr>
          <w:p w:rsidR="00986A32" w:rsidRPr="00986A32" w:rsidRDefault="00C27C6C" w:rsidP="00986A32">
            <w:pPr>
              <w:pStyle w:val="AERtabletextright"/>
              <w:rPr>
                <w:lang w:eastAsia="en-AU"/>
              </w:rPr>
            </w:pPr>
            <w:r w:rsidRPr="00C27C6C">
              <w:t>1.2</w:t>
            </w:r>
            <w:r>
              <w:t>0</w:t>
            </w:r>
          </w:p>
        </w:tc>
        <w:tc>
          <w:tcPr>
            <w:tcW w:w="1118" w:type="dxa"/>
            <w:tcBorders>
              <w:top w:val="nil"/>
              <w:left w:val="nil"/>
              <w:bottom w:val="nil"/>
              <w:right w:val="single" w:sz="8" w:space="0" w:color="auto"/>
            </w:tcBorders>
            <w:shd w:val="clear" w:color="000000" w:fill="FFFFFF"/>
            <w:noWrap/>
            <w:vAlign w:val="bottom"/>
            <w:hideMark/>
          </w:tcPr>
          <w:p w:rsidR="00986A32" w:rsidRPr="00986A32" w:rsidRDefault="00C27C6C" w:rsidP="005F5B4B">
            <w:pPr>
              <w:pStyle w:val="AERtabletextright"/>
              <w:rPr>
                <w:lang w:eastAsia="en-AU"/>
              </w:rPr>
            </w:pPr>
            <w:r w:rsidRPr="00C27C6C">
              <w:t>1.2</w:t>
            </w:r>
            <w:r>
              <w:t>0</w:t>
            </w:r>
          </w:p>
        </w:tc>
      </w:tr>
      <w:tr w:rsidR="00986A32" w:rsidRPr="00986A32" w:rsidTr="00986A32">
        <w:trPr>
          <w:trHeight w:val="300"/>
        </w:trPr>
        <w:tc>
          <w:tcPr>
            <w:tcW w:w="2992" w:type="dxa"/>
            <w:tcBorders>
              <w:top w:val="nil"/>
              <w:left w:val="single" w:sz="8" w:space="0" w:color="auto"/>
              <w:bottom w:val="nil"/>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Year 2 benefit</w:t>
            </w:r>
          </w:p>
        </w:tc>
        <w:tc>
          <w:tcPr>
            <w:tcW w:w="1117" w:type="dxa"/>
            <w:tcBorders>
              <w:top w:val="nil"/>
              <w:left w:val="single" w:sz="4" w:space="0" w:color="auto"/>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0.59</w:t>
            </w:r>
          </w:p>
        </w:tc>
        <w:tc>
          <w:tcPr>
            <w:tcW w:w="1117" w:type="dxa"/>
            <w:tcBorders>
              <w:top w:val="nil"/>
              <w:left w:val="nil"/>
              <w:bottom w:val="nil"/>
              <w:right w:val="nil"/>
            </w:tcBorders>
            <w:shd w:val="clear" w:color="000000" w:fill="FFFFFF"/>
            <w:noWrap/>
            <w:vAlign w:val="bottom"/>
            <w:hideMark/>
          </w:tcPr>
          <w:p w:rsidR="00986A32" w:rsidRPr="00986A32" w:rsidRDefault="00C27C6C" w:rsidP="00986A32">
            <w:pPr>
              <w:pStyle w:val="AERtabletextright"/>
              <w:rPr>
                <w:lang w:eastAsia="en-AU"/>
              </w:rPr>
            </w:pPr>
            <w:r w:rsidRPr="00C27C6C">
              <w:t>1.2</w:t>
            </w:r>
            <w:r>
              <w:t>0</w:t>
            </w:r>
          </w:p>
        </w:tc>
        <w:tc>
          <w:tcPr>
            <w:tcW w:w="1118" w:type="dxa"/>
            <w:tcBorders>
              <w:top w:val="nil"/>
              <w:left w:val="nil"/>
              <w:bottom w:val="nil"/>
              <w:right w:val="nil"/>
            </w:tcBorders>
            <w:shd w:val="clear" w:color="000000" w:fill="FFFFFF"/>
            <w:noWrap/>
            <w:vAlign w:val="bottom"/>
            <w:hideMark/>
          </w:tcPr>
          <w:p w:rsidR="00986A32" w:rsidRPr="00986A32" w:rsidRDefault="00C27C6C" w:rsidP="00986A32">
            <w:pPr>
              <w:pStyle w:val="AERtabletextright"/>
              <w:rPr>
                <w:lang w:eastAsia="en-AU"/>
              </w:rPr>
            </w:pPr>
            <w:r w:rsidRPr="00C27C6C">
              <w:t>1.2</w:t>
            </w:r>
            <w:r>
              <w:t>0</w:t>
            </w:r>
          </w:p>
        </w:tc>
        <w:tc>
          <w:tcPr>
            <w:tcW w:w="1118" w:type="dxa"/>
            <w:tcBorders>
              <w:top w:val="nil"/>
              <w:left w:val="nil"/>
              <w:bottom w:val="nil"/>
              <w:right w:val="single" w:sz="8" w:space="0" w:color="auto"/>
            </w:tcBorders>
            <w:shd w:val="clear" w:color="000000" w:fill="FFFFFF"/>
            <w:noWrap/>
            <w:vAlign w:val="bottom"/>
            <w:hideMark/>
          </w:tcPr>
          <w:p w:rsidR="00986A32" w:rsidRPr="00986A32" w:rsidRDefault="00C27C6C" w:rsidP="005F5B4B">
            <w:pPr>
              <w:pStyle w:val="AERtabletextright"/>
              <w:rPr>
                <w:lang w:eastAsia="en-AU"/>
              </w:rPr>
            </w:pPr>
            <w:r w:rsidRPr="00C27C6C">
              <w:t>1.2</w:t>
            </w:r>
            <w:r>
              <w:t>0</w:t>
            </w:r>
          </w:p>
        </w:tc>
      </w:tr>
      <w:tr w:rsidR="00986A32" w:rsidRPr="00986A32" w:rsidTr="00986A32">
        <w:trPr>
          <w:trHeight w:val="300"/>
        </w:trPr>
        <w:tc>
          <w:tcPr>
            <w:tcW w:w="2992" w:type="dxa"/>
            <w:tcBorders>
              <w:top w:val="nil"/>
              <w:left w:val="single" w:sz="8" w:space="0" w:color="auto"/>
              <w:bottom w:val="nil"/>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Year 3 benefit</w:t>
            </w:r>
          </w:p>
        </w:tc>
        <w:tc>
          <w:tcPr>
            <w:tcW w:w="1117" w:type="dxa"/>
            <w:tcBorders>
              <w:top w:val="nil"/>
              <w:left w:val="single" w:sz="4" w:space="0" w:color="auto"/>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-0.89</w:t>
            </w:r>
          </w:p>
        </w:tc>
        <w:tc>
          <w:tcPr>
            <w:tcW w:w="1118" w:type="dxa"/>
            <w:tcBorders>
              <w:top w:val="nil"/>
              <w:left w:val="nil"/>
              <w:bottom w:val="nil"/>
              <w:right w:val="nil"/>
            </w:tcBorders>
            <w:shd w:val="clear" w:color="000000" w:fill="FFFFFF"/>
            <w:noWrap/>
            <w:vAlign w:val="bottom"/>
            <w:hideMark/>
          </w:tcPr>
          <w:p w:rsidR="00986A32" w:rsidRPr="00986A32" w:rsidRDefault="00986A32" w:rsidP="00C27C6C">
            <w:pPr>
              <w:pStyle w:val="AERtabletextright"/>
              <w:rPr>
                <w:lang w:eastAsia="en-AU"/>
              </w:rPr>
            </w:pPr>
            <w:r w:rsidRPr="00986A32">
              <w:rPr>
                <w:lang w:eastAsia="en-AU"/>
              </w:rPr>
              <w:t>-1.</w:t>
            </w:r>
            <w:r w:rsidR="005F5B4B">
              <w:t>8</w:t>
            </w:r>
            <w:r w:rsidR="00C27C6C">
              <w:t>0</w:t>
            </w:r>
          </w:p>
        </w:tc>
        <w:tc>
          <w:tcPr>
            <w:tcW w:w="1118" w:type="dxa"/>
            <w:tcBorders>
              <w:top w:val="nil"/>
              <w:left w:val="nil"/>
              <w:bottom w:val="nil"/>
              <w:right w:val="single" w:sz="8" w:space="0" w:color="auto"/>
            </w:tcBorders>
            <w:shd w:val="clear" w:color="000000" w:fill="FFFFFF"/>
            <w:noWrap/>
            <w:vAlign w:val="bottom"/>
            <w:hideMark/>
          </w:tcPr>
          <w:p w:rsidR="00986A32" w:rsidRPr="00986A32" w:rsidRDefault="00986A32" w:rsidP="00C27C6C">
            <w:pPr>
              <w:pStyle w:val="AERtabletextright"/>
              <w:rPr>
                <w:lang w:eastAsia="en-AU"/>
              </w:rPr>
            </w:pPr>
            <w:r w:rsidRPr="00986A32">
              <w:rPr>
                <w:lang w:eastAsia="en-AU"/>
              </w:rPr>
              <w:t>-1.</w:t>
            </w:r>
            <w:r w:rsidR="00C27C6C">
              <w:t>80</w:t>
            </w:r>
          </w:p>
        </w:tc>
      </w:tr>
      <w:tr w:rsidR="00986A32" w:rsidRPr="00986A32" w:rsidTr="00986A32">
        <w:trPr>
          <w:trHeight w:val="300"/>
        </w:trPr>
        <w:tc>
          <w:tcPr>
            <w:tcW w:w="2992" w:type="dxa"/>
            <w:tcBorders>
              <w:top w:val="nil"/>
              <w:left w:val="single" w:sz="8" w:space="0" w:color="auto"/>
              <w:bottom w:val="nil"/>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Year 4 benefit</w:t>
            </w:r>
          </w:p>
        </w:tc>
        <w:tc>
          <w:tcPr>
            <w:tcW w:w="1117" w:type="dxa"/>
            <w:tcBorders>
              <w:top w:val="nil"/>
              <w:left w:val="single" w:sz="4" w:space="0" w:color="auto"/>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0.30</w:t>
            </w:r>
          </w:p>
        </w:tc>
        <w:tc>
          <w:tcPr>
            <w:tcW w:w="1118" w:type="dxa"/>
            <w:tcBorders>
              <w:top w:val="nil"/>
              <w:left w:val="nil"/>
              <w:bottom w:val="nil"/>
              <w:right w:val="single" w:sz="8" w:space="0" w:color="auto"/>
            </w:tcBorders>
            <w:shd w:val="clear" w:color="000000" w:fill="FFFFFF"/>
            <w:noWrap/>
            <w:vAlign w:val="bottom"/>
            <w:hideMark/>
          </w:tcPr>
          <w:p w:rsidR="00986A32" w:rsidRPr="00986A32" w:rsidRDefault="00986A32" w:rsidP="00C27C6C">
            <w:pPr>
              <w:pStyle w:val="AERtabletextright"/>
              <w:rPr>
                <w:lang w:eastAsia="en-AU"/>
              </w:rPr>
            </w:pPr>
            <w:r w:rsidRPr="00986A32">
              <w:rPr>
                <w:lang w:eastAsia="en-AU"/>
              </w:rPr>
              <w:t>0.6</w:t>
            </w:r>
            <w:r w:rsidR="00C27C6C">
              <w:t>0</w:t>
            </w:r>
          </w:p>
        </w:tc>
      </w:tr>
      <w:tr w:rsidR="00986A32" w:rsidRPr="00986A32" w:rsidTr="00986A32">
        <w:trPr>
          <w:trHeight w:val="300"/>
        </w:trPr>
        <w:tc>
          <w:tcPr>
            <w:tcW w:w="2992" w:type="dxa"/>
            <w:tcBorders>
              <w:top w:val="nil"/>
              <w:left w:val="single" w:sz="8" w:space="0" w:color="auto"/>
              <w:bottom w:val="single" w:sz="4" w:space="0" w:color="auto"/>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Year 5 benefit</w:t>
            </w:r>
          </w:p>
        </w:tc>
        <w:tc>
          <w:tcPr>
            <w:tcW w:w="1117" w:type="dxa"/>
            <w:tcBorders>
              <w:top w:val="nil"/>
              <w:left w:val="single" w:sz="4" w:space="0" w:color="auto"/>
              <w:bottom w:val="single" w:sz="4" w:space="0" w:color="auto"/>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single" w:sz="4" w:space="0" w:color="auto"/>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7" w:type="dxa"/>
            <w:tcBorders>
              <w:top w:val="nil"/>
              <w:left w:val="nil"/>
              <w:bottom w:val="single" w:sz="4" w:space="0" w:color="auto"/>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single" w:sz="4" w:space="0" w:color="auto"/>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single" w:sz="8" w:space="0" w:color="auto"/>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0.30</w:t>
            </w:r>
          </w:p>
        </w:tc>
      </w:tr>
      <w:tr w:rsidR="00986A32" w:rsidRPr="00986A32" w:rsidTr="00986A32">
        <w:trPr>
          <w:trHeight w:val="300"/>
        </w:trPr>
        <w:tc>
          <w:tcPr>
            <w:tcW w:w="2992" w:type="dxa"/>
            <w:tcBorders>
              <w:top w:val="nil"/>
              <w:left w:val="single" w:sz="8" w:space="0" w:color="auto"/>
              <w:bottom w:val="single" w:sz="4" w:space="0" w:color="auto"/>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Total financing benefit</w:t>
            </w:r>
          </w:p>
        </w:tc>
        <w:tc>
          <w:tcPr>
            <w:tcW w:w="1117" w:type="dxa"/>
            <w:tcBorders>
              <w:top w:val="nil"/>
              <w:left w:val="single" w:sz="4" w:space="0" w:color="auto"/>
              <w:bottom w:val="single" w:sz="4" w:space="0" w:color="auto"/>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0.59</w:t>
            </w:r>
          </w:p>
        </w:tc>
        <w:tc>
          <w:tcPr>
            <w:tcW w:w="1118" w:type="dxa"/>
            <w:tcBorders>
              <w:top w:val="nil"/>
              <w:left w:val="nil"/>
              <w:bottom w:val="single" w:sz="4" w:space="0" w:color="auto"/>
              <w:right w:val="nil"/>
            </w:tcBorders>
            <w:shd w:val="clear" w:color="000000" w:fill="FFFFFF"/>
            <w:noWrap/>
            <w:vAlign w:val="bottom"/>
            <w:hideMark/>
          </w:tcPr>
          <w:p w:rsidR="00986A32" w:rsidRPr="00986A32" w:rsidRDefault="00986A32" w:rsidP="00C27C6C">
            <w:pPr>
              <w:pStyle w:val="AERtabletextright"/>
              <w:rPr>
                <w:lang w:eastAsia="en-AU"/>
              </w:rPr>
            </w:pPr>
            <w:r w:rsidRPr="00986A32">
              <w:rPr>
                <w:lang w:eastAsia="en-AU"/>
              </w:rPr>
              <w:t>1.</w:t>
            </w:r>
            <w:r w:rsidR="00C27C6C">
              <w:t>79</w:t>
            </w:r>
          </w:p>
        </w:tc>
        <w:tc>
          <w:tcPr>
            <w:tcW w:w="1117" w:type="dxa"/>
            <w:tcBorders>
              <w:top w:val="nil"/>
              <w:left w:val="nil"/>
              <w:bottom w:val="single" w:sz="4" w:space="0" w:color="auto"/>
              <w:right w:val="nil"/>
            </w:tcBorders>
            <w:shd w:val="clear" w:color="000000" w:fill="FFFFFF"/>
            <w:noWrap/>
            <w:vAlign w:val="bottom"/>
            <w:hideMark/>
          </w:tcPr>
          <w:p w:rsidR="00986A32" w:rsidRPr="00986A32" w:rsidRDefault="00986A32" w:rsidP="00C27C6C">
            <w:pPr>
              <w:pStyle w:val="AERtabletextright"/>
              <w:rPr>
                <w:lang w:eastAsia="en-AU"/>
              </w:rPr>
            </w:pPr>
            <w:r w:rsidRPr="00986A32">
              <w:rPr>
                <w:lang w:eastAsia="en-AU"/>
              </w:rPr>
              <w:t>1.</w:t>
            </w:r>
            <w:r w:rsidR="00C27C6C">
              <w:t>51</w:t>
            </w:r>
          </w:p>
        </w:tc>
        <w:tc>
          <w:tcPr>
            <w:tcW w:w="1118" w:type="dxa"/>
            <w:tcBorders>
              <w:top w:val="nil"/>
              <w:left w:val="nil"/>
              <w:bottom w:val="single" w:sz="4" w:space="0" w:color="auto"/>
              <w:right w:val="nil"/>
            </w:tcBorders>
            <w:shd w:val="clear" w:color="000000" w:fill="FFFFFF"/>
            <w:noWrap/>
            <w:vAlign w:val="bottom"/>
            <w:hideMark/>
          </w:tcPr>
          <w:p w:rsidR="00986A32" w:rsidRPr="00986A32" w:rsidRDefault="00C27C6C" w:rsidP="00986A32">
            <w:pPr>
              <w:pStyle w:val="AERtabletextright"/>
              <w:rPr>
                <w:lang w:eastAsia="en-AU"/>
              </w:rPr>
            </w:pPr>
            <w:r>
              <w:t>0.90</w:t>
            </w:r>
          </w:p>
        </w:tc>
        <w:tc>
          <w:tcPr>
            <w:tcW w:w="1118" w:type="dxa"/>
            <w:tcBorders>
              <w:top w:val="single" w:sz="4" w:space="0" w:color="auto"/>
              <w:left w:val="nil"/>
              <w:bottom w:val="single" w:sz="4" w:space="0" w:color="auto"/>
              <w:right w:val="single" w:sz="8" w:space="0" w:color="auto"/>
            </w:tcBorders>
            <w:shd w:val="clear" w:color="000000" w:fill="FFFFFF"/>
            <w:noWrap/>
            <w:vAlign w:val="bottom"/>
            <w:hideMark/>
          </w:tcPr>
          <w:p w:rsidR="00986A32" w:rsidRPr="00986A32" w:rsidRDefault="00986A32" w:rsidP="00C27C6C">
            <w:pPr>
              <w:pStyle w:val="AERtabletextright"/>
              <w:rPr>
                <w:lang w:eastAsia="en-AU"/>
              </w:rPr>
            </w:pPr>
            <w:r w:rsidRPr="00986A32">
              <w:rPr>
                <w:lang w:eastAsia="en-AU"/>
              </w:rPr>
              <w:t>1.</w:t>
            </w:r>
            <w:r w:rsidR="00C27C6C">
              <w:t>50</w:t>
            </w:r>
          </w:p>
        </w:tc>
      </w:tr>
      <w:tr w:rsidR="00986A32" w:rsidRPr="00986A32" w:rsidTr="00986A32">
        <w:trPr>
          <w:trHeight w:val="300"/>
        </w:trPr>
        <w:tc>
          <w:tcPr>
            <w:tcW w:w="2992" w:type="dxa"/>
            <w:tcBorders>
              <w:top w:val="nil"/>
              <w:left w:val="single" w:sz="8" w:space="0" w:color="auto"/>
              <w:bottom w:val="single" w:sz="4" w:space="0" w:color="auto"/>
              <w:right w:val="nil"/>
            </w:tcBorders>
            <w:shd w:val="clear" w:color="000000" w:fill="FFFFFF"/>
            <w:noWrap/>
            <w:vAlign w:val="bottom"/>
            <w:hideMark/>
          </w:tcPr>
          <w:p w:rsidR="00986A32" w:rsidRPr="00986A32" w:rsidRDefault="00986A32" w:rsidP="00C27C6C">
            <w:pPr>
              <w:pStyle w:val="AERtabletextleft"/>
              <w:rPr>
                <w:lang w:eastAsia="en-AU"/>
              </w:rPr>
            </w:pPr>
            <w:r w:rsidRPr="00986A32">
              <w:rPr>
                <w:lang w:eastAsia="en-AU"/>
              </w:rPr>
              <w:t>Discount factor (</w:t>
            </w:r>
            <w:r w:rsidR="00C27C6C">
              <w:t>middle of year</w:t>
            </w:r>
            <w:r w:rsidRPr="00986A32">
              <w:rPr>
                <w:lang w:eastAsia="en-AU"/>
              </w:rPr>
              <w:t>)</w:t>
            </w:r>
          </w:p>
        </w:tc>
        <w:tc>
          <w:tcPr>
            <w:tcW w:w="1117" w:type="dxa"/>
            <w:tcBorders>
              <w:top w:val="nil"/>
              <w:left w:val="single" w:sz="4" w:space="0" w:color="auto"/>
              <w:bottom w:val="single" w:sz="4" w:space="0" w:color="auto"/>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1.30</w:t>
            </w:r>
          </w:p>
        </w:tc>
        <w:tc>
          <w:tcPr>
            <w:tcW w:w="1118" w:type="dxa"/>
            <w:tcBorders>
              <w:top w:val="nil"/>
              <w:left w:val="nil"/>
              <w:bottom w:val="single" w:sz="4" w:space="0" w:color="auto"/>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1.23</w:t>
            </w:r>
          </w:p>
        </w:tc>
        <w:tc>
          <w:tcPr>
            <w:tcW w:w="1117" w:type="dxa"/>
            <w:tcBorders>
              <w:top w:val="nil"/>
              <w:left w:val="nil"/>
              <w:bottom w:val="single" w:sz="4" w:space="0" w:color="auto"/>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1.16</w:t>
            </w:r>
          </w:p>
        </w:tc>
        <w:tc>
          <w:tcPr>
            <w:tcW w:w="1118" w:type="dxa"/>
            <w:tcBorders>
              <w:top w:val="nil"/>
              <w:left w:val="nil"/>
              <w:bottom w:val="single" w:sz="4" w:space="0" w:color="auto"/>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1.09</w:t>
            </w:r>
          </w:p>
        </w:tc>
        <w:tc>
          <w:tcPr>
            <w:tcW w:w="1118" w:type="dxa"/>
            <w:tcBorders>
              <w:top w:val="nil"/>
              <w:left w:val="nil"/>
              <w:bottom w:val="single" w:sz="4" w:space="0" w:color="auto"/>
              <w:right w:val="single" w:sz="8" w:space="0" w:color="auto"/>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1.03</w:t>
            </w:r>
          </w:p>
        </w:tc>
      </w:tr>
      <w:tr w:rsidR="00C27C6C" w:rsidRPr="00986A32" w:rsidTr="00986A32">
        <w:trPr>
          <w:trHeight w:val="300"/>
        </w:trPr>
        <w:tc>
          <w:tcPr>
            <w:tcW w:w="2992" w:type="dxa"/>
            <w:tcBorders>
              <w:top w:val="nil"/>
              <w:left w:val="single" w:sz="8" w:space="0" w:color="auto"/>
              <w:bottom w:val="single" w:sz="4" w:space="0" w:color="auto"/>
              <w:right w:val="nil"/>
            </w:tcBorders>
            <w:shd w:val="clear" w:color="000000" w:fill="FFFFFF"/>
            <w:noWrap/>
            <w:vAlign w:val="bottom"/>
          </w:tcPr>
          <w:p w:rsidR="00C27C6C" w:rsidRPr="00C27C6C" w:rsidRDefault="00C27C6C" w:rsidP="00C27C6C">
            <w:pPr>
              <w:pStyle w:val="AERtabletextleft"/>
            </w:pPr>
            <w:r>
              <w:t>Discount factor (end of year</w:t>
            </w:r>
            <w:r w:rsidRPr="00C27C6C">
              <w:t>)</w:t>
            </w:r>
          </w:p>
        </w:tc>
        <w:tc>
          <w:tcPr>
            <w:tcW w:w="1117" w:type="dxa"/>
            <w:tcBorders>
              <w:top w:val="nil"/>
              <w:left w:val="single" w:sz="4" w:space="0" w:color="auto"/>
              <w:bottom w:val="single" w:sz="4" w:space="0" w:color="auto"/>
              <w:right w:val="nil"/>
            </w:tcBorders>
            <w:shd w:val="clear" w:color="000000" w:fill="FFFFFF"/>
            <w:noWrap/>
            <w:vAlign w:val="bottom"/>
          </w:tcPr>
          <w:p w:rsidR="00C27C6C" w:rsidRPr="00C27C6C" w:rsidRDefault="00C27C6C" w:rsidP="00C27C6C">
            <w:pPr>
              <w:pStyle w:val="AERtabletextright"/>
            </w:pPr>
            <w:r>
              <w:t>1.26</w:t>
            </w:r>
          </w:p>
        </w:tc>
        <w:tc>
          <w:tcPr>
            <w:tcW w:w="1118" w:type="dxa"/>
            <w:tcBorders>
              <w:top w:val="nil"/>
              <w:left w:val="nil"/>
              <w:bottom w:val="single" w:sz="4" w:space="0" w:color="auto"/>
              <w:right w:val="nil"/>
            </w:tcBorders>
            <w:shd w:val="clear" w:color="000000" w:fill="FFFFFF"/>
            <w:noWrap/>
            <w:vAlign w:val="bottom"/>
          </w:tcPr>
          <w:p w:rsidR="00C27C6C" w:rsidRPr="00C27C6C" w:rsidRDefault="00C27C6C" w:rsidP="00C27C6C">
            <w:pPr>
              <w:pStyle w:val="AERtabletextright"/>
            </w:pPr>
            <w:r w:rsidRPr="00C27C6C">
              <w:t>1.</w:t>
            </w:r>
            <w:r>
              <w:t>19</w:t>
            </w:r>
          </w:p>
        </w:tc>
        <w:tc>
          <w:tcPr>
            <w:tcW w:w="1117" w:type="dxa"/>
            <w:tcBorders>
              <w:top w:val="nil"/>
              <w:left w:val="nil"/>
              <w:bottom w:val="single" w:sz="4" w:space="0" w:color="auto"/>
              <w:right w:val="nil"/>
            </w:tcBorders>
            <w:shd w:val="clear" w:color="000000" w:fill="FFFFFF"/>
            <w:noWrap/>
            <w:vAlign w:val="bottom"/>
          </w:tcPr>
          <w:p w:rsidR="00C27C6C" w:rsidRPr="00C27C6C" w:rsidRDefault="00C27C6C" w:rsidP="00921C4A">
            <w:pPr>
              <w:pStyle w:val="AERtabletextright"/>
            </w:pPr>
            <w:r>
              <w:t>1.12</w:t>
            </w:r>
          </w:p>
        </w:tc>
        <w:tc>
          <w:tcPr>
            <w:tcW w:w="1118" w:type="dxa"/>
            <w:tcBorders>
              <w:top w:val="nil"/>
              <w:left w:val="nil"/>
              <w:bottom w:val="single" w:sz="4" w:space="0" w:color="auto"/>
              <w:right w:val="nil"/>
            </w:tcBorders>
            <w:shd w:val="clear" w:color="000000" w:fill="FFFFFF"/>
            <w:noWrap/>
            <w:vAlign w:val="bottom"/>
          </w:tcPr>
          <w:p w:rsidR="00C27C6C" w:rsidRPr="00C27C6C" w:rsidRDefault="00C27C6C" w:rsidP="00921C4A">
            <w:pPr>
              <w:pStyle w:val="AERtabletextright"/>
            </w:pPr>
            <w:r>
              <w:t>1.06</w:t>
            </w:r>
          </w:p>
        </w:tc>
        <w:tc>
          <w:tcPr>
            <w:tcW w:w="1118" w:type="dxa"/>
            <w:tcBorders>
              <w:top w:val="nil"/>
              <w:left w:val="nil"/>
              <w:bottom w:val="single" w:sz="4" w:space="0" w:color="auto"/>
              <w:right w:val="single" w:sz="8" w:space="0" w:color="auto"/>
            </w:tcBorders>
            <w:shd w:val="clear" w:color="000000" w:fill="FFFFFF"/>
            <w:noWrap/>
            <w:vAlign w:val="bottom"/>
          </w:tcPr>
          <w:p w:rsidR="00C27C6C" w:rsidRPr="00C27C6C" w:rsidRDefault="00C27C6C" w:rsidP="00C27C6C">
            <w:pPr>
              <w:pStyle w:val="AERtabletextright"/>
            </w:pPr>
            <w:r w:rsidRPr="00C27C6C">
              <w:t>1.0</w:t>
            </w:r>
            <w:r>
              <w:t>0</w:t>
            </w:r>
          </w:p>
        </w:tc>
      </w:tr>
      <w:tr w:rsidR="00986A32" w:rsidRPr="00986A32" w:rsidTr="00986A32">
        <w:trPr>
          <w:trHeight w:val="300"/>
        </w:trPr>
        <w:tc>
          <w:tcPr>
            <w:tcW w:w="2992" w:type="dxa"/>
            <w:tcBorders>
              <w:top w:val="nil"/>
              <w:left w:val="single" w:sz="8" w:space="0" w:color="auto"/>
              <w:bottom w:val="nil"/>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NPV underspend</w:t>
            </w:r>
          </w:p>
        </w:tc>
        <w:tc>
          <w:tcPr>
            <w:tcW w:w="1117" w:type="dxa"/>
            <w:tcBorders>
              <w:top w:val="nil"/>
              <w:left w:val="single" w:sz="4" w:space="0" w:color="auto"/>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26.00</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24.52</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-34.70</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10.91</w:t>
            </w:r>
          </w:p>
        </w:tc>
        <w:tc>
          <w:tcPr>
            <w:tcW w:w="1118" w:type="dxa"/>
            <w:tcBorders>
              <w:top w:val="nil"/>
              <w:left w:val="nil"/>
              <w:bottom w:val="nil"/>
              <w:right w:val="single" w:sz="8" w:space="0" w:color="auto"/>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10.30</w:t>
            </w:r>
          </w:p>
        </w:tc>
      </w:tr>
      <w:tr w:rsidR="00986A32" w:rsidRPr="00986A32" w:rsidTr="00986A32">
        <w:trPr>
          <w:trHeight w:val="315"/>
        </w:trPr>
        <w:tc>
          <w:tcPr>
            <w:tcW w:w="2992" w:type="dxa"/>
            <w:tcBorders>
              <w:top w:val="nil"/>
              <w:left w:val="single" w:sz="8" w:space="0" w:color="auto"/>
              <w:bottom w:val="single" w:sz="8" w:space="0" w:color="auto"/>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NPV financing benefit</w:t>
            </w:r>
          </w:p>
        </w:tc>
        <w:tc>
          <w:tcPr>
            <w:tcW w:w="1117" w:type="dxa"/>
            <w:tcBorders>
              <w:top w:val="nil"/>
              <w:left w:val="single" w:sz="4" w:space="0" w:color="auto"/>
              <w:bottom w:val="single" w:sz="8" w:space="0" w:color="auto"/>
              <w:right w:val="nil"/>
            </w:tcBorders>
            <w:shd w:val="clear" w:color="000000" w:fill="FFFFFF"/>
            <w:noWrap/>
            <w:vAlign w:val="bottom"/>
            <w:hideMark/>
          </w:tcPr>
          <w:p w:rsidR="00986A32" w:rsidRPr="00986A32" w:rsidRDefault="00C27C6C" w:rsidP="00986A32">
            <w:pPr>
              <w:pStyle w:val="AERtabletextright"/>
              <w:rPr>
                <w:lang w:eastAsia="en-AU"/>
              </w:rPr>
            </w:pPr>
            <w:r>
              <w:rPr>
                <w:lang w:eastAsia="en-AU"/>
              </w:rPr>
              <w:t>0.7</w:t>
            </w:r>
            <w:r>
              <w:t>5</w:t>
            </w:r>
          </w:p>
        </w:tc>
        <w:tc>
          <w:tcPr>
            <w:tcW w:w="1118" w:type="dxa"/>
            <w:tcBorders>
              <w:top w:val="nil"/>
              <w:left w:val="nil"/>
              <w:bottom w:val="single" w:sz="8" w:space="0" w:color="auto"/>
              <w:right w:val="nil"/>
            </w:tcBorders>
            <w:shd w:val="clear" w:color="000000" w:fill="FFFFFF"/>
            <w:noWrap/>
            <w:vAlign w:val="bottom"/>
            <w:hideMark/>
          </w:tcPr>
          <w:p w:rsidR="00986A32" w:rsidRPr="00986A32" w:rsidRDefault="005F5B4B" w:rsidP="00C27C6C">
            <w:pPr>
              <w:pStyle w:val="AERtabletextright"/>
              <w:rPr>
                <w:lang w:eastAsia="en-AU"/>
              </w:rPr>
            </w:pPr>
            <w:r>
              <w:rPr>
                <w:lang w:eastAsia="en-AU"/>
              </w:rPr>
              <w:t>2.</w:t>
            </w:r>
            <w:r w:rsidR="00C27C6C">
              <w:t>13</w:t>
            </w:r>
          </w:p>
        </w:tc>
        <w:tc>
          <w:tcPr>
            <w:tcW w:w="1117" w:type="dxa"/>
            <w:tcBorders>
              <w:top w:val="nil"/>
              <w:left w:val="nil"/>
              <w:bottom w:val="single" w:sz="8" w:space="0" w:color="auto"/>
              <w:right w:val="nil"/>
            </w:tcBorders>
            <w:shd w:val="clear" w:color="000000" w:fill="FFFFFF"/>
            <w:noWrap/>
            <w:vAlign w:val="bottom"/>
            <w:hideMark/>
          </w:tcPr>
          <w:p w:rsidR="00986A32" w:rsidRPr="00986A32" w:rsidRDefault="00986A32" w:rsidP="00C27C6C">
            <w:pPr>
              <w:pStyle w:val="AERtabletextright"/>
              <w:rPr>
                <w:lang w:eastAsia="en-AU"/>
              </w:rPr>
            </w:pPr>
            <w:r w:rsidRPr="00986A32">
              <w:rPr>
                <w:lang w:eastAsia="en-AU"/>
              </w:rPr>
              <w:t>1.</w:t>
            </w:r>
            <w:r w:rsidR="00C27C6C">
              <w:t>70</w:t>
            </w:r>
          </w:p>
        </w:tc>
        <w:tc>
          <w:tcPr>
            <w:tcW w:w="1118" w:type="dxa"/>
            <w:tcBorders>
              <w:top w:val="nil"/>
              <w:left w:val="nil"/>
              <w:bottom w:val="single" w:sz="8" w:space="0" w:color="auto"/>
              <w:right w:val="nil"/>
            </w:tcBorders>
            <w:shd w:val="clear" w:color="000000" w:fill="FFFFFF"/>
            <w:noWrap/>
            <w:vAlign w:val="bottom"/>
            <w:hideMark/>
          </w:tcPr>
          <w:p w:rsidR="00986A32" w:rsidRPr="00986A32" w:rsidRDefault="00C27C6C" w:rsidP="00986A32">
            <w:pPr>
              <w:pStyle w:val="AERtabletextright"/>
              <w:rPr>
                <w:lang w:eastAsia="en-AU"/>
              </w:rPr>
            </w:pPr>
            <w:r>
              <w:t>0.95</w:t>
            </w:r>
          </w:p>
        </w:tc>
        <w:tc>
          <w:tcPr>
            <w:tcW w:w="1118" w:type="dxa"/>
            <w:tcBorders>
              <w:top w:val="nil"/>
              <w:left w:val="nil"/>
              <w:bottom w:val="single" w:sz="8" w:space="0" w:color="auto"/>
              <w:right w:val="single" w:sz="8" w:space="0" w:color="auto"/>
            </w:tcBorders>
            <w:shd w:val="clear" w:color="000000" w:fill="FFFFFF"/>
            <w:noWrap/>
            <w:vAlign w:val="bottom"/>
            <w:hideMark/>
          </w:tcPr>
          <w:p w:rsidR="00986A32" w:rsidRPr="00986A32" w:rsidRDefault="00986A32" w:rsidP="00C27C6C">
            <w:pPr>
              <w:pStyle w:val="AERtabletextright"/>
              <w:rPr>
                <w:lang w:eastAsia="en-AU"/>
              </w:rPr>
            </w:pPr>
            <w:r w:rsidRPr="00986A32">
              <w:rPr>
                <w:lang w:eastAsia="en-AU"/>
              </w:rPr>
              <w:t>1.</w:t>
            </w:r>
            <w:r w:rsidR="00C27C6C">
              <w:t>50</w:t>
            </w:r>
          </w:p>
        </w:tc>
      </w:tr>
      <w:tr w:rsidR="00986A32" w:rsidRPr="00986A32" w:rsidTr="00986A32">
        <w:trPr>
          <w:trHeight w:val="315"/>
        </w:trPr>
        <w:tc>
          <w:tcPr>
            <w:tcW w:w="2992" w:type="dxa"/>
            <w:tcBorders>
              <w:top w:val="nil"/>
              <w:left w:val="nil"/>
              <w:bottom w:val="nil"/>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r>
      <w:tr w:rsidR="00986A32" w:rsidRPr="00986A32" w:rsidTr="00986A32">
        <w:trPr>
          <w:trHeight w:val="300"/>
        </w:trPr>
        <w:tc>
          <w:tcPr>
            <w:tcW w:w="2992" w:type="dxa"/>
            <w:tcBorders>
              <w:top w:val="single" w:sz="8" w:space="0" w:color="auto"/>
              <w:left w:val="single" w:sz="8" w:space="0" w:color="auto"/>
              <w:bottom w:val="nil"/>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Total underspend (NPV)</w:t>
            </w:r>
          </w:p>
        </w:tc>
        <w:tc>
          <w:tcPr>
            <w:tcW w:w="1117" w:type="dxa"/>
            <w:tcBorders>
              <w:top w:val="single" w:sz="8" w:space="0" w:color="auto"/>
              <w:left w:val="single" w:sz="4" w:space="0" w:color="auto"/>
              <w:bottom w:val="nil"/>
              <w:right w:val="single" w:sz="8" w:space="0" w:color="auto"/>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37.03</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r>
      <w:tr w:rsidR="00986A32" w:rsidRPr="00986A32" w:rsidTr="00986A32">
        <w:trPr>
          <w:trHeight w:val="300"/>
        </w:trPr>
        <w:tc>
          <w:tcPr>
            <w:tcW w:w="2992" w:type="dxa"/>
            <w:tcBorders>
              <w:top w:val="nil"/>
              <w:left w:val="single" w:sz="8" w:space="0" w:color="auto"/>
              <w:bottom w:val="nil"/>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Relevant sharing ratio</w:t>
            </w:r>
          </w:p>
        </w:tc>
        <w:tc>
          <w:tcPr>
            <w:tcW w:w="1117" w:type="dxa"/>
            <w:tcBorders>
              <w:top w:val="nil"/>
              <w:left w:val="single" w:sz="4" w:space="0" w:color="auto"/>
              <w:bottom w:val="nil"/>
              <w:right w:val="single" w:sz="8" w:space="0" w:color="auto"/>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30%</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r>
      <w:tr w:rsidR="00986A32" w:rsidRPr="00986A32" w:rsidTr="00986A32">
        <w:trPr>
          <w:trHeight w:val="300"/>
        </w:trPr>
        <w:tc>
          <w:tcPr>
            <w:tcW w:w="2992" w:type="dxa"/>
            <w:tcBorders>
              <w:top w:val="nil"/>
              <w:left w:val="single" w:sz="8" w:space="0" w:color="auto"/>
              <w:bottom w:val="nil"/>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Customer share</w:t>
            </w:r>
          </w:p>
        </w:tc>
        <w:tc>
          <w:tcPr>
            <w:tcW w:w="1117" w:type="dxa"/>
            <w:tcBorders>
              <w:top w:val="nil"/>
              <w:left w:val="single" w:sz="4" w:space="0" w:color="auto"/>
              <w:bottom w:val="nil"/>
              <w:right w:val="single" w:sz="8" w:space="0" w:color="auto"/>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25.92</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r>
      <w:tr w:rsidR="00986A32" w:rsidRPr="00986A32" w:rsidTr="00986A32">
        <w:trPr>
          <w:trHeight w:val="300"/>
        </w:trPr>
        <w:tc>
          <w:tcPr>
            <w:tcW w:w="2992" w:type="dxa"/>
            <w:tcBorders>
              <w:top w:val="nil"/>
              <w:left w:val="single" w:sz="8" w:space="0" w:color="auto"/>
              <w:bottom w:val="nil"/>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NSP share</w:t>
            </w:r>
          </w:p>
        </w:tc>
        <w:tc>
          <w:tcPr>
            <w:tcW w:w="1117" w:type="dxa"/>
            <w:tcBorders>
              <w:top w:val="nil"/>
              <w:left w:val="single" w:sz="4" w:space="0" w:color="auto"/>
              <w:bottom w:val="nil"/>
              <w:right w:val="single" w:sz="8" w:space="0" w:color="auto"/>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11.11</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r>
      <w:tr w:rsidR="00986A32" w:rsidRPr="00986A32" w:rsidTr="00986A32">
        <w:trPr>
          <w:trHeight w:val="300"/>
        </w:trPr>
        <w:tc>
          <w:tcPr>
            <w:tcW w:w="2992" w:type="dxa"/>
            <w:tcBorders>
              <w:top w:val="nil"/>
              <w:left w:val="single" w:sz="8" w:space="0" w:color="auto"/>
              <w:bottom w:val="nil"/>
              <w:right w:val="nil"/>
            </w:tcBorders>
            <w:shd w:val="clear" w:color="000000" w:fill="FFFFFF"/>
            <w:noWrap/>
            <w:vAlign w:val="bottom"/>
            <w:hideMark/>
          </w:tcPr>
          <w:p w:rsidR="00986A32" w:rsidRPr="00986A32" w:rsidRDefault="00986A32" w:rsidP="00986A32">
            <w:pPr>
              <w:pStyle w:val="AERtabletextleft"/>
              <w:rPr>
                <w:lang w:eastAsia="en-AU"/>
              </w:rPr>
            </w:pPr>
            <w:r w:rsidRPr="00986A32">
              <w:rPr>
                <w:lang w:eastAsia="en-AU"/>
              </w:rPr>
              <w:t>Total NSP financing benefit (NPV)</w:t>
            </w:r>
          </w:p>
        </w:tc>
        <w:tc>
          <w:tcPr>
            <w:tcW w:w="1117" w:type="dxa"/>
            <w:tcBorders>
              <w:top w:val="nil"/>
              <w:left w:val="single" w:sz="4" w:space="0" w:color="auto"/>
              <w:bottom w:val="nil"/>
              <w:right w:val="single" w:sz="8" w:space="0" w:color="auto"/>
            </w:tcBorders>
            <w:shd w:val="clear" w:color="000000" w:fill="FFFFFF"/>
            <w:noWrap/>
            <w:vAlign w:val="bottom"/>
            <w:hideMark/>
          </w:tcPr>
          <w:p w:rsidR="00986A32" w:rsidRPr="00986A32" w:rsidRDefault="00C27C6C" w:rsidP="00986A32">
            <w:pPr>
              <w:pStyle w:val="AERtabletextright"/>
              <w:rPr>
                <w:lang w:eastAsia="en-AU"/>
              </w:rPr>
            </w:pPr>
            <w:r>
              <w:t>7</w:t>
            </w:r>
            <w:r w:rsidR="005F5B4B">
              <w:t>.03</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r>
      <w:tr w:rsidR="00986A32" w:rsidRPr="00986A32" w:rsidTr="00986A32">
        <w:trPr>
          <w:trHeight w:val="315"/>
        </w:trPr>
        <w:tc>
          <w:tcPr>
            <w:tcW w:w="2992" w:type="dxa"/>
            <w:tcBorders>
              <w:top w:val="nil"/>
              <w:left w:val="single" w:sz="8" w:space="0" w:color="auto"/>
              <w:bottom w:val="single" w:sz="8" w:space="0" w:color="auto"/>
              <w:right w:val="nil"/>
            </w:tcBorders>
            <w:shd w:val="clear" w:color="000000" w:fill="FFFFFF"/>
            <w:noWrap/>
            <w:vAlign w:val="bottom"/>
            <w:hideMark/>
          </w:tcPr>
          <w:p w:rsidR="00986A32" w:rsidRPr="00986A32" w:rsidRDefault="00FB6AAD" w:rsidP="00986A32">
            <w:pPr>
              <w:pStyle w:val="AERtabletextleft"/>
              <w:rPr>
                <w:lang w:eastAsia="en-AU"/>
              </w:rPr>
            </w:pPr>
            <w:r>
              <w:t>CESS benefit</w:t>
            </w:r>
          </w:p>
        </w:tc>
        <w:tc>
          <w:tcPr>
            <w:tcW w:w="1117" w:type="dxa"/>
            <w:tcBorders>
              <w:top w:val="nil"/>
              <w:left w:val="single" w:sz="4" w:space="0" w:color="auto"/>
              <w:bottom w:val="single" w:sz="8" w:space="0" w:color="auto"/>
              <w:right w:val="single" w:sz="8" w:space="0" w:color="auto"/>
            </w:tcBorders>
            <w:shd w:val="clear" w:color="000000" w:fill="FFFFFF"/>
            <w:noWrap/>
            <w:vAlign w:val="bottom"/>
            <w:hideMark/>
          </w:tcPr>
          <w:p w:rsidR="00986A32" w:rsidRPr="00986A32" w:rsidRDefault="00C27C6C" w:rsidP="00C27C6C">
            <w:pPr>
              <w:pStyle w:val="AERtabletextright"/>
              <w:rPr>
                <w:lang w:eastAsia="en-AU"/>
              </w:rPr>
            </w:pPr>
            <w:r>
              <w:t>4</w:t>
            </w:r>
            <w:r w:rsidR="00986A32" w:rsidRPr="00986A32">
              <w:rPr>
                <w:lang w:eastAsia="en-AU"/>
              </w:rPr>
              <w:t>.</w:t>
            </w:r>
            <w:r w:rsidR="005F5B4B">
              <w:t>0</w:t>
            </w:r>
            <w:r>
              <w:t>8</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7"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c>
          <w:tcPr>
            <w:tcW w:w="1118" w:type="dxa"/>
            <w:tcBorders>
              <w:top w:val="nil"/>
              <w:left w:val="nil"/>
              <w:bottom w:val="nil"/>
              <w:right w:val="nil"/>
            </w:tcBorders>
            <w:shd w:val="clear" w:color="000000" w:fill="FFFFFF"/>
            <w:noWrap/>
            <w:vAlign w:val="bottom"/>
            <w:hideMark/>
          </w:tcPr>
          <w:p w:rsidR="00986A32" w:rsidRPr="00986A32" w:rsidRDefault="00986A32" w:rsidP="00986A32">
            <w:pPr>
              <w:pStyle w:val="AERtabletextright"/>
              <w:rPr>
                <w:lang w:eastAsia="en-AU"/>
              </w:rPr>
            </w:pPr>
            <w:r w:rsidRPr="00986A32">
              <w:rPr>
                <w:lang w:eastAsia="en-AU"/>
              </w:rPr>
              <w:t> </w:t>
            </w:r>
          </w:p>
        </w:tc>
      </w:tr>
    </w:tbl>
    <w:p w:rsidR="00D4227B" w:rsidRPr="003324F7" w:rsidRDefault="00D4227B" w:rsidP="00DB0A4A">
      <w:pPr>
        <w:pStyle w:val="AERbodytext"/>
        <w:numPr>
          <w:ilvl w:val="0"/>
          <w:numId w:val="0"/>
        </w:numPr>
      </w:pPr>
    </w:p>
    <w:sectPr w:rsidR="00D4227B" w:rsidRPr="003324F7" w:rsidSect="00034DEC">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509" w:rsidRPr="00AB4345" w:rsidRDefault="00FC7509" w:rsidP="00AB4345">
      <w:r>
        <w:separator/>
      </w:r>
    </w:p>
  </w:endnote>
  <w:endnote w:type="continuationSeparator" w:id="0">
    <w:p w:rsidR="00FC7509" w:rsidRPr="00AB4345" w:rsidRDefault="00FC7509"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FC7509" w:rsidRDefault="00FC7509" w:rsidP="00456081">
        <w:pPr>
          <w:pStyle w:val="Footer"/>
          <w:tabs>
            <w:tab w:val="clear" w:pos="4513"/>
          </w:tabs>
        </w:pPr>
        <w:r>
          <w:fldChar w:fldCharType="begin"/>
        </w:r>
        <w:r>
          <w:instrText xml:space="preserve"> PAGE   \* MERGEFORMAT </w:instrText>
        </w:r>
        <w:r>
          <w:fldChar w:fldCharType="separate"/>
        </w:r>
        <w:r>
          <w:rPr>
            <w:noProof/>
          </w:rPr>
          <w:t>2</w:t>
        </w:r>
        <w:r>
          <w:rPr>
            <w:noProof/>
          </w:rPr>
          <w:fldChar w:fldCharType="end"/>
        </w:r>
        <w:r>
          <w:tab/>
        </w:r>
        <w:r w:rsidRPr="00210880">
          <w:rPr>
            <w:rStyle w:val="AERbody"/>
          </w:rPr>
          <w:t xml:space="preserve">Attachment heading </w:t>
        </w:r>
        <w:r>
          <w:rPr>
            <w:rStyle w:val="AERbody"/>
          </w:rPr>
          <w:t>| D</w:t>
        </w:r>
        <w:r w:rsidRPr="00210880">
          <w:rPr>
            <w:rStyle w:val="AERbody"/>
          </w:rPr>
          <w:t>istribution/trans</w:t>
        </w:r>
        <w:r>
          <w:rPr>
            <w:rStyle w:val="AERbody"/>
          </w:rPr>
          <w:t>mission determination heading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09" w:rsidRPr="00210880" w:rsidRDefault="00FC7509" w:rsidP="00456081">
    <w:pPr>
      <w:pStyle w:val="Footer"/>
      <w:tabs>
        <w:tab w:val="clear" w:pos="4513"/>
      </w:tabs>
      <w:rPr>
        <w:rStyle w:val="AERbody"/>
      </w:rPr>
    </w:pPr>
    <w:r w:rsidRPr="00020884">
      <w:rPr>
        <w:rStyle w:val="AERtextblue"/>
      </w:rPr>
      <w:t>Better Regulation |</w:t>
    </w:r>
    <w:r>
      <w:rPr>
        <w:rStyle w:val="AERbody"/>
      </w:rPr>
      <w:t xml:space="preserve"> </w:t>
    </w:r>
    <w:r w:rsidRPr="0084352D">
      <w:rPr>
        <w:rStyle w:val="AERtextorange"/>
      </w:rPr>
      <w:t>Draft Capital Expenditure Incentive Guidelines</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F50447">
      <w:rPr>
        <w:rStyle w:val="AERbody"/>
        <w:noProof/>
      </w:rPr>
      <w:t>2</w:t>
    </w:r>
    <w:r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509" w:rsidRPr="00AB4345" w:rsidRDefault="00FC7509" w:rsidP="00AB4345">
      <w:r>
        <w:separator/>
      </w:r>
    </w:p>
  </w:footnote>
  <w:footnote w:type="continuationSeparator" w:id="0">
    <w:p w:rsidR="00FC7509" w:rsidRPr="00AB4345" w:rsidRDefault="00FC7509" w:rsidP="00AB4345">
      <w:r>
        <w:continuationSeparator/>
      </w:r>
    </w:p>
  </w:footnote>
  <w:footnote w:id="1">
    <w:p w:rsidR="00FC7509" w:rsidRDefault="00FC7509" w:rsidP="00AA620A">
      <w:pPr>
        <w:pStyle w:val="FootnoteText"/>
      </w:pPr>
      <w:r>
        <w:rPr>
          <w:rStyle w:val="FootnoteReference"/>
        </w:rPr>
        <w:footnoteRef/>
      </w:r>
      <w:r>
        <w:t xml:space="preserve"> </w:t>
      </w:r>
      <w:r>
        <w:tab/>
        <w:t>Plus (or minus) any adjustments provided for under the reopening provisions, as a pass through or as a contingent project.</w:t>
      </w:r>
    </w:p>
  </w:footnote>
  <w:footnote w:id="2">
    <w:p w:rsidR="00FC7509" w:rsidRDefault="00FC7509" w:rsidP="00B26E21">
      <w:pPr>
        <w:pStyle w:val="FootnoteText"/>
      </w:pPr>
      <w:r>
        <w:rPr>
          <w:rStyle w:val="FootnoteReference"/>
        </w:rPr>
        <w:footnoteRef/>
      </w:r>
      <w:r>
        <w:t xml:space="preserve"> </w:t>
      </w:r>
      <w:r>
        <w:tab/>
        <w:t>The United Kingdom standard for asset management (PAS 55) is soon to become an international standard (ISO 55000). Ofgem requires PAS 55 accreditation for all distribution network service providers in Great Britain.</w:t>
      </w:r>
    </w:p>
  </w:footnote>
  <w:footnote w:id="3">
    <w:p w:rsidR="00FC7509" w:rsidRDefault="00FC7509" w:rsidP="00F079AF">
      <w:pPr>
        <w:pStyle w:val="FootnoteText"/>
      </w:pPr>
      <w:r>
        <w:rPr>
          <w:rStyle w:val="FootnoteReference"/>
        </w:rPr>
        <w:footnoteRef/>
      </w:r>
      <w:r>
        <w:t xml:space="preserve"> </w:t>
      </w:r>
      <w:r>
        <w:tab/>
        <w:t>This could be to compensate for common costs, provide a return on, and of, physical and intangible assets by the contractor in the provision of the service, or to compensate for asymmetric risks.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B478DFE6"/>
    <w:numStyleLink w:val="AERnumberedlist"/>
  </w:abstractNum>
  <w:abstractNum w:abstractNumId="23">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807103"/>
    <w:multiLevelType w:val="multilevel"/>
    <w:tmpl w:val="B478DFE6"/>
    <w:numStyleLink w:val="AERnumberedlist"/>
  </w:abstractNum>
  <w:abstractNum w:abstractNumId="25">
    <w:nsid w:val="5D386EA7"/>
    <w:multiLevelType w:val="multilevel"/>
    <w:tmpl w:val="950A1C52"/>
    <w:numStyleLink w:val="AERHeadings"/>
  </w:abstractNum>
  <w:abstractNum w:abstractNumId="26">
    <w:nsid w:val="5DCC1B18"/>
    <w:multiLevelType w:val="multilevel"/>
    <w:tmpl w:val="B478DFE6"/>
    <w:numStyleLink w:val="AERnumberedlist"/>
  </w:abstractNum>
  <w:abstractNum w:abstractNumId="27">
    <w:nsid w:val="68247CF7"/>
    <w:multiLevelType w:val="multilevel"/>
    <w:tmpl w:val="950A1C52"/>
    <w:numStyleLink w:val="AERHeadings"/>
  </w:abstractNum>
  <w:abstractNum w:abstractNumId="28">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595980"/>
    <w:multiLevelType w:val="multilevel"/>
    <w:tmpl w:val="950A1C52"/>
    <w:numStyleLink w:val="AERHeadings"/>
  </w:abstractNum>
  <w:abstractNum w:abstractNumId="30">
    <w:nsid w:val="74F81DDF"/>
    <w:multiLevelType w:val="multilevel"/>
    <w:tmpl w:val="950A1C52"/>
    <w:numStyleLink w:val="AERHeadings"/>
  </w:abstractNum>
  <w:abstractNum w:abstractNumId="31">
    <w:nsid w:val="787F66A4"/>
    <w:multiLevelType w:val="multilevel"/>
    <w:tmpl w:val="950A1C52"/>
    <w:numStyleLink w:val="AERHeadings"/>
  </w:abstractNum>
  <w:abstractNum w:abstractNumId="32">
    <w:nsid w:val="7AAC6DD7"/>
    <w:multiLevelType w:val="multilevel"/>
    <w:tmpl w:val="950A1C52"/>
    <w:numStyleLink w:val="AERHeadings"/>
  </w:abstractNum>
  <w:abstractNum w:abstractNumId="33">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BE97BF8"/>
    <w:multiLevelType w:val="multilevel"/>
    <w:tmpl w:val="950A1C52"/>
    <w:numStyleLink w:val="AERHeadings"/>
  </w:abstractNum>
  <w:abstractNum w:abstractNumId="35">
    <w:nsid w:val="7CDA0F5F"/>
    <w:multiLevelType w:val="multilevel"/>
    <w:tmpl w:val="950A1C52"/>
    <w:numStyleLink w:val="AERHeadings"/>
  </w:abstractNum>
  <w:num w:numId="1">
    <w:abstractNumId w:val="28"/>
  </w:num>
  <w:num w:numId="2">
    <w:abstractNumId w:val="14"/>
    <w:lvlOverride w:ilvl="3">
      <w:lvl w:ilvl="3">
        <w:start w:val="1"/>
        <w:numFmt w:val="decimal"/>
        <w:pStyle w:val="Heading3"/>
        <w:lvlText w:val="%2.%3.%4"/>
        <w:lvlJc w:val="left"/>
        <w:pPr>
          <w:tabs>
            <w:tab w:val="num" w:pos="0"/>
          </w:tabs>
          <w:ind w:left="0" w:hanging="851"/>
        </w:pPr>
        <w:rPr>
          <w:rFonts w:hint="default"/>
        </w:rPr>
      </w:lvl>
    </w:lvlOverride>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3"/>
  </w:num>
  <w:num w:numId="10">
    <w:abstractNumId w:val="21"/>
    <w:lvlOverride w:ilvl="0">
      <w:startOverride w:val="1"/>
    </w:lvlOverride>
  </w:num>
  <w:num w:numId="11">
    <w:abstractNumId w:val="1"/>
  </w:num>
  <w:num w:numId="12">
    <w:abstractNumId w:val="21"/>
    <w:lvlOverride w:ilvl="0">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0"/>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5"/>
  </w:num>
  <w:num w:numId="28">
    <w:abstractNumId w:val="17"/>
  </w:num>
  <w:num w:numId="29">
    <w:abstractNumId w:val="10"/>
  </w:num>
  <w:num w:numId="30">
    <w:abstractNumId w:val="5"/>
  </w:num>
  <w:num w:numId="31">
    <w:abstractNumId w:val="0"/>
  </w:num>
  <w:num w:numId="32">
    <w:abstractNumId w:val="6"/>
  </w:num>
  <w:num w:numId="33">
    <w:abstractNumId w:val="31"/>
  </w:num>
  <w:num w:numId="34">
    <w:abstractNumId w:val="27"/>
  </w:num>
  <w:num w:numId="35">
    <w:abstractNumId w:val="29"/>
  </w:num>
  <w:num w:numId="36">
    <w:abstractNumId w:val="34"/>
  </w:num>
  <w:num w:numId="37">
    <w:abstractNumId w:val="25"/>
  </w:num>
  <w:num w:numId="38">
    <w:abstractNumId w:val="12"/>
  </w:num>
  <w:num w:numId="39">
    <w:abstractNumId w:val="13"/>
  </w:num>
  <w:num w:numId="40">
    <w:abstractNumId w:val="20"/>
  </w:num>
  <w:num w:numId="41">
    <w:abstractNumId w:val="24"/>
  </w:num>
  <w:num w:numId="42">
    <w:abstractNumId w:val="4"/>
  </w:num>
  <w:num w:numId="43">
    <w:abstractNumId w:val="32"/>
    <w:lvlOverride w:ilvl="3">
      <w:lvl w:ilvl="3">
        <w:start w:val="1"/>
        <w:numFmt w:val="decimal"/>
        <w:pStyle w:val="Heading3"/>
        <w:lvlText w:val="%2.%3.%4"/>
        <w:lvlJc w:val="left"/>
        <w:pPr>
          <w:tabs>
            <w:tab w:val="num" w:pos="0"/>
          </w:tabs>
          <w:ind w:left="0" w:hanging="851"/>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abstractNumId w:val="19"/>
  </w:num>
  <w:num w:numId="45">
    <w:abstractNumId w:val="20"/>
    <w:lvlOverride w:ilvl="0">
      <w:lvl w:ilvl="0">
        <w:start w:val="1"/>
        <w:numFmt w:val="none"/>
        <w:lvlText w:val="%1"/>
        <w:lvlJc w:val="left"/>
        <w:pPr>
          <w:tabs>
            <w:tab w:val="num" w:pos="0"/>
          </w:tabs>
          <w:ind w:left="0" w:firstLine="0"/>
        </w:pPr>
      </w:lvl>
    </w:lvlOverride>
    <w:lvlOverride w:ilvl="1">
      <w:lvl w:ilvl="1">
        <w:start w:val="1"/>
        <w:numFmt w:val="decimal"/>
        <w:lvlText w:val="%1%2"/>
        <w:lvlJc w:val="left"/>
        <w:pPr>
          <w:tabs>
            <w:tab w:val="num" w:pos="0"/>
          </w:tabs>
          <w:ind w:left="0" w:hanging="851"/>
        </w:pPr>
      </w:lvl>
    </w:lvlOverride>
    <w:lvlOverride w:ilvl="2">
      <w:lvl w:ilvl="2">
        <w:start w:val="1"/>
        <w:numFmt w:val="decimal"/>
        <w:lvlText w:val="%1%2.%3"/>
        <w:lvlJc w:val="left"/>
        <w:pPr>
          <w:tabs>
            <w:tab w:val="num" w:pos="0"/>
          </w:tabs>
          <w:ind w:left="0" w:hanging="851"/>
        </w:pPr>
      </w:lvl>
    </w:lvlOverride>
    <w:lvlOverride w:ilvl="3">
      <w:lvl w:ilvl="3">
        <w:start w:val="1"/>
        <w:numFmt w:val="decimal"/>
        <w:lvlText w:val="%2.%3.%4"/>
        <w:lvlJc w:val="left"/>
        <w:pPr>
          <w:tabs>
            <w:tab w:val="num" w:pos="0"/>
          </w:tabs>
          <w:ind w:left="0" w:hanging="851"/>
        </w:pPr>
      </w:lvl>
    </w:lvlOverride>
    <w:lvlOverride w:ilvl="4">
      <w:lvl w:ilvl="4">
        <w:start w:val="1"/>
        <w:numFmt w:val="upperLetter"/>
        <w:lvlRestart w:val="1"/>
        <w:lvlText w:val="%5"/>
        <w:lvlJc w:val="left"/>
        <w:pPr>
          <w:tabs>
            <w:tab w:val="num" w:pos="0"/>
          </w:tabs>
          <w:ind w:left="0" w:hanging="851"/>
        </w:pPr>
      </w:lvl>
    </w:lvlOverride>
    <w:lvlOverride w:ilvl="5">
      <w:lvl w:ilvl="5">
        <w:start w:val="1"/>
        <w:numFmt w:val="decimal"/>
        <w:lvlText w:val="%5.%6"/>
        <w:lvlJc w:val="left"/>
        <w:pPr>
          <w:tabs>
            <w:tab w:val="num" w:pos="0"/>
          </w:tabs>
          <w:ind w:left="0" w:hanging="851"/>
        </w:pPr>
      </w:lvl>
    </w:lvlOverride>
    <w:lvlOverride w:ilvl="6">
      <w:lvl w:ilvl="6">
        <w:start w:val="1"/>
        <w:numFmt w:val="decimal"/>
        <w:lvlText w:val="%5.%6.%7"/>
        <w:lvlJc w:val="left"/>
        <w:pPr>
          <w:tabs>
            <w:tab w:val="num" w:pos="0"/>
          </w:tabs>
          <w:ind w:left="0" w:hanging="851"/>
        </w:pPr>
      </w:lvl>
    </w:lvlOverride>
    <w:lvlOverride w:ilvl="7">
      <w:lvl w:ilvl="7">
        <w:start w:val="1"/>
        <w:numFmt w:val="none"/>
        <w:lvlRestart w:val="0"/>
        <w:lvlText w:val=""/>
        <w:lvlJc w:val="left"/>
        <w:pPr>
          <w:tabs>
            <w:tab w:val="num" w:pos="0"/>
          </w:tabs>
          <w:ind w:left="0" w:firstLine="0"/>
        </w:pPr>
      </w:lvl>
    </w:lvlOverride>
    <w:lvlOverride w:ilvl="8">
      <w:lvl w:ilvl="8">
        <w:start w:val="1"/>
        <w:numFmt w:val="none"/>
        <w:lvlRestart w:val="0"/>
        <w:lvlText w:val=""/>
        <w:lvlJc w:val="left"/>
        <w:pPr>
          <w:ind w:left="0" w:firstLine="0"/>
        </w:pPr>
      </w:lvl>
    </w:lvlOverride>
  </w:num>
  <w:num w:numId="46">
    <w:abstractNumId w:val="14"/>
    <w:lvlOverride w:ilvl="0">
      <w:lvl w:ilvl="0">
        <w:start w:val="1"/>
        <w:numFmt w:val="none"/>
        <w:pStyle w:val="UnnumberedHeading"/>
        <w:lvlText w:val="%1"/>
        <w:lvlJc w:val="left"/>
        <w:pPr>
          <w:tabs>
            <w:tab w:val="num" w:pos="0"/>
          </w:tabs>
          <w:ind w:left="0" w:firstLine="0"/>
        </w:pPr>
      </w:lvl>
    </w:lvlOverride>
    <w:lvlOverride w:ilvl="1">
      <w:lvl w:ilvl="1">
        <w:start w:val="1"/>
        <w:numFmt w:val="decimal"/>
        <w:pStyle w:val="Heading1"/>
        <w:lvlText w:val="%1%2"/>
        <w:lvlJc w:val="left"/>
        <w:pPr>
          <w:tabs>
            <w:tab w:val="num" w:pos="0"/>
          </w:tabs>
          <w:ind w:left="0" w:hanging="851"/>
        </w:pPr>
      </w:lvl>
    </w:lvlOverride>
    <w:lvlOverride w:ilvl="2">
      <w:lvl w:ilvl="2">
        <w:start w:val="1"/>
        <w:numFmt w:val="decimal"/>
        <w:pStyle w:val="Heading2"/>
        <w:lvlText w:val="%1%2.%3"/>
        <w:lvlJc w:val="left"/>
        <w:pPr>
          <w:tabs>
            <w:tab w:val="num" w:pos="0"/>
          </w:tabs>
          <w:ind w:left="0" w:hanging="851"/>
        </w:pPr>
      </w:lvl>
    </w:lvlOverride>
    <w:lvlOverride w:ilvl="3">
      <w:lvl w:ilvl="3">
        <w:start w:val="1"/>
        <w:numFmt w:val="decimal"/>
        <w:pStyle w:val="Heading3"/>
        <w:lvlText w:val="%2.%3.%4"/>
        <w:lvlJc w:val="left"/>
        <w:pPr>
          <w:tabs>
            <w:tab w:val="num" w:pos="0"/>
          </w:tabs>
          <w:ind w:left="0" w:hanging="851"/>
        </w:pPr>
      </w:lvl>
    </w:lvlOverride>
    <w:lvlOverride w:ilvl="4">
      <w:lvl w:ilvl="4">
        <w:start w:val="1"/>
        <w:numFmt w:val="upperLetter"/>
        <w:lvlRestart w:val="1"/>
        <w:pStyle w:val="Heading7"/>
        <w:lvlText w:val="%5"/>
        <w:lvlJc w:val="left"/>
        <w:pPr>
          <w:tabs>
            <w:tab w:val="num" w:pos="0"/>
          </w:tabs>
          <w:ind w:left="0" w:hanging="851"/>
        </w:pPr>
      </w:lvl>
    </w:lvlOverride>
    <w:lvlOverride w:ilvl="5">
      <w:lvl w:ilvl="5">
        <w:start w:val="1"/>
        <w:numFmt w:val="decimal"/>
        <w:pStyle w:val="Heading8"/>
        <w:lvlText w:val="%5.%6"/>
        <w:lvlJc w:val="left"/>
        <w:pPr>
          <w:tabs>
            <w:tab w:val="num" w:pos="0"/>
          </w:tabs>
          <w:ind w:left="0" w:hanging="851"/>
        </w:pPr>
      </w:lvl>
    </w:lvlOverride>
    <w:lvlOverride w:ilvl="6">
      <w:lvl w:ilvl="6">
        <w:start w:val="1"/>
        <w:numFmt w:val="decimal"/>
        <w:pStyle w:val="Heading9"/>
        <w:lvlText w:val="%5.%6.%7"/>
        <w:lvlJc w:val="left"/>
        <w:pPr>
          <w:tabs>
            <w:tab w:val="num" w:pos="0"/>
          </w:tabs>
          <w:ind w:left="0" w:hanging="851"/>
        </w:pPr>
      </w:lvl>
    </w:lvlOverride>
    <w:lvlOverride w:ilvl="7">
      <w:lvl w:ilvl="7">
        <w:start w:val="1"/>
        <w:numFmt w:val="none"/>
        <w:lvlRestart w:val="0"/>
        <w:lvlText w:val=""/>
        <w:lvlJc w:val="left"/>
        <w:pPr>
          <w:tabs>
            <w:tab w:val="num" w:pos="0"/>
          </w:tabs>
          <w:ind w:left="0" w:firstLine="0"/>
        </w:pPr>
      </w:lvl>
    </w:lvlOverride>
    <w:lvlOverride w:ilvl="8">
      <w:lvl w:ilvl="8">
        <w:start w:val="1"/>
        <w:numFmt w:val="none"/>
        <w:lvlRestart w:val="0"/>
        <w:lvlText w:val=""/>
        <w:lvlJc w:val="left"/>
        <w:pPr>
          <w:ind w:left="0" w:firstLine="0"/>
        </w:pPr>
      </w:lvl>
    </w:lvlOverride>
  </w:num>
  <w:num w:numId="47">
    <w:abstractNumId w:val="1"/>
  </w:num>
  <w:num w:numId="48">
    <w:abstractNumId w:val="19"/>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cumentProtection w:formatting="1" w:enforcement="1" w:cryptProviderType="rsaFull" w:cryptAlgorithmClass="hash" w:cryptAlgorithmType="typeAny" w:cryptAlgorithmSid="4" w:cryptSpinCount="100000" w:hash="xtNMq0ysWFyxgYvtXeddtrbEGyk=" w:salt="qtEi3+UbAY4oag3XWVMEPA=="/>
  <w:defaultTabStop w:val="720"/>
  <w:drawingGridHorizontalSpacing w:val="10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2"/>
  </w:compat>
  <w:docVars>
    <w:docVar w:name="currentname" w:val="\\cbrvpwxfs01\home$\ASAST\aaaaa DRAFT DECISION UPLOADS\AER Draft capital expenditure incentive guideline - August 2013.DOCX"/>
  </w:docVars>
  <w:rsids>
    <w:rsidRoot w:val="000C052F"/>
    <w:rsid w:val="00005DF6"/>
    <w:rsid w:val="00006216"/>
    <w:rsid w:val="00006A9D"/>
    <w:rsid w:val="00007A52"/>
    <w:rsid w:val="0001105B"/>
    <w:rsid w:val="00012584"/>
    <w:rsid w:val="00020884"/>
    <w:rsid w:val="00022606"/>
    <w:rsid w:val="00027254"/>
    <w:rsid w:val="000310F1"/>
    <w:rsid w:val="00031AA0"/>
    <w:rsid w:val="00034DEC"/>
    <w:rsid w:val="00040599"/>
    <w:rsid w:val="00040749"/>
    <w:rsid w:val="00040A72"/>
    <w:rsid w:val="00041DD9"/>
    <w:rsid w:val="000A16E8"/>
    <w:rsid w:val="000A1CC2"/>
    <w:rsid w:val="000A4B2A"/>
    <w:rsid w:val="000A5342"/>
    <w:rsid w:val="000B15CA"/>
    <w:rsid w:val="000C052F"/>
    <w:rsid w:val="000C3430"/>
    <w:rsid w:val="000D03C2"/>
    <w:rsid w:val="000D04B1"/>
    <w:rsid w:val="000D401F"/>
    <w:rsid w:val="000E1A25"/>
    <w:rsid w:val="000E6741"/>
    <w:rsid w:val="000F3A6A"/>
    <w:rsid w:val="001033B3"/>
    <w:rsid w:val="00105636"/>
    <w:rsid w:val="00120F9A"/>
    <w:rsid w:val="001327D9"/>
    <w:rsid w:val="00135EFB"/>
    <w:rsid w:val="00142CD1"/>
    <w:rsid w:val="00150963"/>
    <w:rsid w:val="001543D2"/>
    <w:rsid w:val="00155D01"/>
    <w:rsid w:val="0015706E"/>
    <w:rsid w:val="00170A49"/>
    <w:rsid w:val="00174026"/>
    <w:rsid w:val="001856EE"/>
    <w:rsid w:val="00194C3C"/>
    <w:rsid w:val="001B1E7F"/>
    <w:rsid w:val="001B4D6B"/>
    <w:rsid w:val="001C12E5"/>
    <w:rsid w:val="001C14B0"/>
    <w:rsid w:val="001D3CDC"/>
    <w:rsid w:val="00205DC2"/>
    <w:rsid w:val="0020711E"/>
    <w:rsid w:val="00210880"/>
    <w:rsid w:val="00215D46"/>
    <w:rsid w:val="00223C16"/>
    <w:rsid w:val="002257B9"/>
    <w:rsid w:val="0023137D"/>
    <w:rsid w:val="00231EAA"/>
    <w:rsid w:val="002552EB"/>
    <w:rsid w:val="00257C55"/>
    <w:rsid w:val="0026518A"/>
    <w:rsid w:val="00266710"/>
    <w:rsid w:val="002805B8"/>
    <w:rsid w:val="00281615"/>
    <w:rsid w:val="00283A37"/>
    <w:rsid w:val="002849EF"/>
    <w:rsid w:val="00286F33"/>
    <w:rsid w:val="00287FF3"/>
    <w:rsid w:val="002938CE"/>
    <w:rsid w:val="002A189F"/>
    <w:rsid w:val="002B151A"/>
    <w:rsid w:val="002B6640"/>
    <w:rsid w:val="002B7625"/>
    <w:rsid w:val="002C4DF3"/>
    <w:rsid w:val="002D61AC"/>
    <w:rsid w:val="002E2077"/>
    <w:rsid w:val="002F1E24"/>
    <w:rsid w:val="002F70D2"/>
    <w:rsid w:val="00303452"/>
    <w:rsid w:val="00304FB9"/>
    <w:rsid w:val="00313D58"/>
    <w:rsid w:val="003324F7"/>
    <w:rsid w:val="00333133"/>
    <w:rsid w:val="00334F88"/>
    <w:rsid w:val="00340DF2"/>
    <w:rsid w:val="003707DB"/>
    <w:rsid w:val="00375AEC"/>
    <w:rsid w:val="00376236"/>
    <w:rsid w:val="0037652C"/>
    <w:rsid w:val="00376DB6"/>
    <w:rsid w:val="003800E4"/>
    <w:rsid w:val="00380FF5"/>
    <w:rsid w:val="00381642"/>
    <w:rsid w:val="003A6174"/>
    <w:rsid w:val="003E681F"/>
    <w:rsid w:val="003F4935"/>
    <w:rsid w:val="004030AB"/>
    <w:rsid w:val="00412282"/>
    <w:rsid w:val="004256BA"/>
    <w:rsid w:val="004312B6"/>
    <w:rsid w:val="00431999"/>
    <w:rsid w:val="00435682"/>
    <w:rsid w:val="00437354"/>
    <w:rsid w:val="00444AC6"/>
    <w:rsid w:val="00444C2A"/>
    <w:rsid w:val="004546E6"/>
    <w:rsid w:val="00456081"/>
    <w:rsid w:val="00464F5D"/>
    <w:rsid w:val="00473A01"/>
    <w:rsid w:val="00474FBD"/>
    <w:rsid w:val="0049015D"/>
    <w:rsid w:val="00491D7D"/>
    <w:rsid w:val="00494A37"/>
    <w:rsid w:val="004A0C9D"/>
    <w:rsid w:val="004C1523"/>
    <w:rsid w:val="004C3F45"/>
    <w:rsid w:val="004C4043"/>
    <w:rsid w:val="004E294A"/>
    <w:rsid w:val="004E40EF"/>
    <w:rsid w:val="004E73F7"/>
    <w:rsid w:val="004F0695"/>
    <w:rsid w:val="004F76A0"/>
    <w:rsid w:val="00500E7F"/>
    <w:rsid w:val="00507D35"/>
    <w:rsid w:val="0051359D"/>
    <w:rsid w:val="0052126D"/>
    <w:rsid w:val="00521789"/>
    <w:rsid w:val="0052179D"/>
    <w:rsid w:val="0052492A"/>
    <w:rsid w:val="00530A7D"/>
    <w:rsid w:val="005418A7"/>
    <w:rsid w:val="005456A9"/>
    <w:rsid w:val="0055474E"/>
    <w:rsid w:val="00555D52"/>
    <w:rsid w:val="005566D7"/>
    <w:rsid w:val="00561F7F"/>
    <w:rsid w:val="00566B35"/>
    <w:rsid w:val="005732CC"/>
    <w:rsid w:val="00575422"/>
    <w:rsid w:val="005938C6"/>
    <w:rsid w:val="005A0431"/>
    <w:rsid w:val="005A271F"/>
    <w:rsid w:val="005B3752"/>
    <w:rsid w:val="005B61C2"/>
    <w:rsid w:val="005C0DC3"/>
    <w:rsid w:val="005D02E4"/>
    <w:rsid w:val="005D26B7"/>
    <w:rsid w:val="005D42E8"/>
    <w:rsid w:val="005D4AA1"/>
    <w:rsid w:val="005E4FCE"/>
    <w:rsid w:val="005F5B4B"/>
    <w:rsid w:val="0060146C"/>
    <w:rsid w:val="00601551"/>
    <w:rsid w:val="0060207D"/>
    <w:rsid w:val="006039F2"/>
    <w:rsid w:val="006061B0"/>
    <w:rsid w:val="0060732E"/>
    <w:rsid w:val="006076A9"/>
    <w:rsid w:val="0061595A"/>
    <w:rsid w:val="006544EA"/>
    <w:rsid w:val="0066569F"/>
    <w:rsid w:val="0067265A"/>
    <w:rsid w:val="00684D9F"/>
    <w:rsid w:val="0069004B"/>
    <w:rsid w:val="00692E12"/>
    <w:rsid w:val="006A04AD"/>
    <w:rsid w:val="006B08EB"/>
    <w:rsid w:val="006B481F"/>
    <w:rsid w:val="006D5969"/>
    <w:rsid w:val="006F082D"/>
    <w:rsid w:val="006F254C"/>
    <w:rsid w:val="006F638E"/>
    <w:rsid w:val="006F7E8D"/>
    <w:rsid w:val="00702557"/>
    <w:rsid w:val="00703E42"/>
    <w:rsid w:val="00730A63"/>
    <w:rsid w:val="0073368A"/>
    <w:rsid w:val="00733EB1"/>
    <w:rsid w:val="00736034"/>
    <w:rsid w:val="007368AD"/>
    <w:rsid w:val="007370F6"/>
    <w:rsid w:val="00744D40"/>
    <w:rsid w:val="00751D2A"/>
    <w:rsid w:val="00751EA0"/>
    <w:rsid w:val="00755095"/>
    <w:rsid w:val="00755F27"/>
    <w:rsid w:val="007725F7"/>
    <w:rsid w:val="00783C42"/>
    <w:rsid w:val="00796A07"/>
    <w:rsid w:val="007A126F"/>
    <w:rsid w:val="007D553B"/>
    <w:rsid w:val="007D6972"/>
    <w:rsid w:val="007F10E3"/>
    <w:rsid w:val="007F2C0E"/>
    <w:rsid w:val="00804AEB"/>
    <w:rsid w:val="00811E12"/>
    <w:rsid w:val="008127EF"/>
    <w:rsid w:val="00817367"/>
    <w:rsid w:val="00832B16"/>
    <w:rsid w:val="00836D17"/>
    <w:rsid w:val="00840A55"/>
    <w:rsid w:val="00841E25"/>
    <w:rsid w:val="0084352D"/>
    <w:rsid w:val="008464CD"/>
    <w:rsid w:val="008515EE"/>
    <w:rsid w:val="00854106"/>
    <w:rsid w:val="008548EA"/>
    <w:rsid w:val="0086041E"/>
    <w:rsid w:val="00861531"/>
    <w:rsid w:val="00861C4E"/>
    <w:rsid w:val="008627BF"/>
    <w:rsid w:val="00866D21"/>
    <w:rsid w:val="00883DDA"/>
    <w:rsid w:val="00891FF9"/>
    <w:rsid w:val="00893367"/>
    <w:rsid w:val="008C178A"/>
    <w:rsid w:val="008C3B67"/>
    <w:rsid w:val="008C3F48"/>
    <w:rsid w:val="008D299B"/>
    <w:rsid w:val="008D2A71"/>
    <w:rsid w:val="008D49B4"/>
    <w:rsid w:val="008D5ACE"/>
    <w:rsid w:val="008D7498"/>
    <w:rsid w:val="00902BCB"/>
    <w:rsid w:val="00904C1E"/>
    <w:rsid w:val="00921C4A"/>
    <w:rsid w:val="00932E96"/>
    <w:rsid w:val="009418E6"/>
    <w:rsid w:val="0094235F"/>
    <w:rsid w:val="0094279F"/>
    <w:rsid w:val="00946B98"/>
    <w:rsid w:val="0095052A"/>
    <w:rsid w:val="009658F0"/>
    <w:rsid w:val="00971743"/>
    <w:rsid w:val="00971C63"/>
    <w:rsid w:val="00981D0E"/>
    <w:rsid w:val="00981E24"/>
    <w:rsid w:val="00986A32"/>
    <w:rsid w:val="00993CA3"/>
    <w:rsid w:val="009A4AE9"/>
    <w:rsid w:val="009A54D6"/>
    <w:rsid w:val="009B53F8"/>
    <w:rsid w:val="009C1099"/>
    <w:rsid w:val="009C6624"/>
    <w:rsid w:val="009C71D5"/>
    <w:rsid w:val="009E61C2"/>
    <w:rsid w:val="009F7346"/>
    <w:rsid w:val="009F7CE4"/>
    <w:rsid w:val="00A11162"/>
    <w:rsid w:val="00A1546D"/>
    <w:rsid w:val="00A2093A"/>
    <w:rsid w:val="00A23101"/>
    <w:rsid w:val="00A25B28"/>
    <w:rsid w:val="00A32F9A"/>
    <w:rsid w:val="00A43227"/>
    <w:rsid w:val="00A45DD2"/>
    <w:rsid w:val="00A46CCD"/>
    <w:rsid w:val="00A62D5E"/>
    <w:rsid w:val="00A65133"/>
    <w:rsid w:val="00A652C5"/>
    <w:rsid w:val="00A71727"/>
    <w:rsid w:val="00A7784A"/>
    <w:rsid w:val="00A85C5A"/>
    <w:rsid w:val="00A96A08"/>
    <w:rsid w:val="00AA0161"/>
    <w:rsid w:val="00AA12B1"/>
    <w:rsid w:val="00AA620A"/>
    <w:rsid w:val="00AB1D08"/>
    <w:rsid w:val="00AB4345"/>
    <w:rsid w:val="00AB5BD7"/>
    <w:rsid w:val="00AC0135"/>
    <w:rsid w:val="00AC070D"/>
    <w:rsid w:val="00AD0616"/>
    <w:rsid w:val="00AD34FF"/>
    <w:rsid w:val="00AD4DE6"/>
    <w:rsid w:val="00AE0179"/>
    <w:rsid w:val="00AF3E95"/>
    <w:rsid w:val="00B07D23"/>
    <w:rsid w:val="00B108DA"/>
    <w:rsid w:val="00B15FE9"/>
    <w:rsid w:val="00B26E21"/>
    <w:rsid w:val="00B300CC"/>
    <w:rsid w:val="00B41002"/>
    <w:rsid w:val="00B41D96"/>
    <w:rsid w:val="00B51883"/>
    <w:rsid w:val="00B61FD4"/>
    <w:rsid w:val="00B667CF"/>
    <w:rsid w:val="00B674DB"/>
    <w:rsid w:val="00B82E8D"/>
    <w:rsid w:val="00B8616A"/>
    <w:rsid w:val="00B9264D"/>
    <w:rsid w:val="00BB3FA1"/>
    <w:rsid w:val="00BB62BB"/>
    <w:rsid w:val="00BC05C5"/>
    <w:rsid w:val="00BC5E9B"/>
    <w:rsid w:val="00BD04BE"/>
    <w:rsid w:val="00BE15B6"/>
    <w:rsid w:val="00BE1D00"/>
    <w:rsid w:val="00BE3B90"/>
    <w:rsid w:val="00BE6F28"/>
    <w:rsid w:val="00BF29FA"/>
    <w:rsid w:val="00C01100"/>
    <w:rsid w:val="00C04C61"/>
    <w:rsid w:val="00C04D2B"/>
    <w:rsid w:val="00C22F79"/>
    <w:rsid w:val="00C27C6C"/>
    <w:rsid w:val="00C31DD5"/>
    <w:rsid w:val="00C36CD8"/>
    <w:rsid w:val="00C41CD7"/>
    <w:rsid w:val="00C4384B"/>
    <w:rsid w:val="00C51C50"/>
    <w:rsid w:val="00C737C5"/>
    <w:rsid w:val="00C85BCE"/>
    <w:rsid w:val="00C86000"/>
    <w:rsid w:val="00C91ECB"/>
    <w:rsid w:val="00C97415"/>
    <w:rsid w:val="00CA000D"/>
    <w:rsid w:val="00CA3540"/>
    <w:rsid w:val="00CA6DED"/>
    <w:rsid w:val="00CC1870"/>
    <w:rsid w:val="00CC49D4"/>
    <w:rsid w:val="00CE6F5A"/>
    <w:rsid w:val="00CE6F91"/>
    <w:rsid w:val="00CF2286"/>
    <w:rsid w:val="00CF42CF"/>
    <w:rsid w:val="00D102E9"/>
    <w:rsid w:val="00D1688F"/>
    <w:rsid w:val="00D2117F"/>
    <w:rsid w:val="00D25317"/>
    <w:rsid w:val="00D278BC"/>
    <w:rsid w:val="00D27BED"/>
    <w:rsid w:val="00D40315"/>
    <w:rsid w:val="00D4227B"/>
    <w:rsid w:val="00D4554C"/>
    <w:rsid w:val="00D4626E"/>
    <w:rsid w:val="00D62AE7"/>
    <w:rsid w:val="00D66E8B"/>
    <w:rsid w:val="00D67BDB"/>
    <w:rsid w:val="00D85715"/>
    <w:rsid w:val="00D85F53"/>
    <w:rsid w:val="00D8706C"/>
    <w:rsid w:val="00DA4C62"/>
    <w:rsid w:val="00DB0A3F"/>
    <w:rsid w:val="00DB0A4A"/>
    <w:rsid w:val="00DB209C"/>
    <w:rsid w:val="00DB4CEE"/>
    <w:rsid w:val="00DB553E"/>
    <w:rsid w:val="00DB6A17"/>
    <w:rsid w:val="00DB7A7D"/>
    <w:rsid w:val="00DD0B5F"/>
    <w:rsid w:val="00DD36AF"/>
    <w:rsid w:val="00DD5520"/>
    <w:rsid w:val="00E00F76"/>
    <w:rsid w:val="00E11FEF"/>
    <w:rsid w:val="00E1309F"/>
    <w:rsid w:val="00E131B3"/>
    <w:rsid w:val="00E17058"/>
    <w:rsid w:val="00E21803"/>
    <w:rsid w:val="00E21E75"/>
    <w:rsid w:val="00E22DF3"/>
    <w:rsid w:val="00E305A8"/>
    <w:rsid w:val="00E4204B"/>
    <w:rsid w:val="00E519DC"/>
    <w:rsid w:val="00E5310E"/>
    <w:rsid w:val="00E54388"/>
    <w:rsid w:val="00E54964"/>
    <w:rsid w:val="00E5666D"/>
    <w:rsid w:val="00E62BBE"/>
    <w:rsid w:val="00E63B20"/>
    <w:rsid w:val="00E807DA"/>
    <w:rsid w:val="00E84E3A"/>
    <w:rsid w:val="00EA05AF"/>
    <w:rsid w:val="00EB3C1E"/>
    <w:rsid w:val="00EC43B9"/>
    <w:rsid w:val="00ED4D69"/>
    <w:rsid w:val="00ED797B"/>
    <w:rsid w:val="00EE362F"/>
    <w:rsid w:val="00EF0E19"/>
    <w:rsid w:val="00EF59A6"/>
    <w:rsid w:val="00F079AF"/>
    <w:rsid w:val="00F114AE"/>
    <w:rsid w:val="00F14B52"/>
    <w:rsid w:val="00F16E12"/>
    <w:rsid w:val="00F2195F"/>
    <w:rsid w:val="00F30FD7"/>
    <w:rsid w:val="00F43CA0"/>
    <w:rsid w:val="00F50447"/>
    <w:rsid w:val="00F55030"/>
    <w:rsid w:val="00F60E42"/>
    <w:rsid w:val="00F62E19"/>
    <w:rsid w:val="00F66980"/>
    <w:rsid w:val="00F677BB"/>
    <w:rsid w:val="00F703E1"/>
    <w:rsid w:val="00F73DAF"/>
    <w:rsid w:val="00F7696F"/>
    <w:rsid w:val="00F8209B"/>
    <w:rsid w:val="00F837E9"/>
    <w:rsid w:val="00F92F14"/>
    <w:rsid w:val="00FA0576"/>
    <w:rsid w:val="00FA689D"/>
    <w:rsid w:val="00FB0925"/>
    <w:rsid w:val="00FB2897"/>
    <w:rsid w:val="00FB50B4"/>
    <w:rsid w:val="00FB5450"/>
    <w:rsid w:val="00FB64E1"/>
    <w:rsid w:val="00FB6AAD"/>
    <w:rsid w:val="00FB7DF5"/>
    <w:rsid w:val="00FC7509"/>
    <w:rsid w:val="00FD2AAD"/>
    <w:rsid w:val="00FD4B97"/>
    <w:rsid w:val="00FE55EB"/>
    <w:rsid w:val="00FF4CAE"/>
    <w:rsid w:val="00FF79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E294A"/>
    <w:pPr>
      <w:spacing w:after="240" w:line="288" w:lineRule="auto"/>
      <w:jc w:val="both"/>
    </w:pPr>
    <w:rPr>
      <w:lang w:eastAsia="en-US"/>
    </w:rPr>
  </w:style>
  <w:style w:type="paragraph" w:styleId="Heading1">
    <w:name w:val="heading 1"/>
    <w:next w:val="AERbodytext"/>
    <w:link w:val="Heading1Char"/>
    <w:uiPriority w:val="9"/>
    <w:qFormat/>
    <w:rsid w:val="004E73F7"/>
    <w:pPr>
      <w:keepNext/>
      <w:keepLines/>
      <w:pageBreakBefore/>
      <w:numPr>
        <w:ilvl w:val="1"/>
        <w:numId w:val="43"/>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49"/>
      </w:numPr>
    </w:pPr>
  </w:style>
  <w:style w:type="character" w:customStyle="1" w:styleId="Heading1Char">
    <w:name w:val="Heading 1 Char"/>
    <w:basedOn w:val="DefaultParagraphFont"/>
    <w:link w:val="Heading1"/>
    <w:uiPriority w:val="9"/>
    <w:rsid w:val="004E73F7"/>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4E73F7"/>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4E73F7"/>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D67BDB"/>
    <w:pPr>
      <w:tabs>
        <w:tab w:val="left" w:pos="800"/>
        <w:tab w:val="right" w:leader="dot" w:pos="9016"/>
      </w:tabs>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szCs w:val="24"/>
      <w:lang w:eastAsia="en-US"/>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034DEC"/>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49"/>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398">
      <w:bodyDiv w:val="1"/>
      <w:marLeft w:val="0"/>
      <w:marRight w:val="0"/>
      <w:marTop w:val="0"/>
      <w:marBottom w:val="0"/>
      <w:divBdr>
        <w:top w:val="none" w:sz="0" w:space="0" w:color="auto"/>
        <w:left w:val="none" w:sz="0" w:space="0" w:color="auto"/>
        <w:bottom w:val="none" w:sz="0" w:space="0" w:color="auto"/>
        <w:right w:val="none" w:sz="0" w:space="0" w:color="auto"/>
      </w:divBdr>
    </w:div>
    <w:div w:id="30960934">
      <w:bodyDiv w:val="1"/>
      <w:marLeft w:val="0"/>
      <w:marRight w:val="0"/>
      <w:marTop w:val="0"/>
      <w:marBottom w:val="0"/>
      <w:divBdr>
        <w:top w:val="none" w:sz="0" w:space="0" w:color="auto"/>
        <w:left w:val="none" w:sz="0" w:space="0" w:color="auto"/>
        <w:bottom w:val="none" w:sz="0" w:space="0" w:color="auto"/>
        <w:right w:val="none" w:sz="0" w:space="0" w:color="auto"/>
      </w:divBdr>
    </w:div>
    <w:div w:id="61683066">
      <w:bodyDiv w:val="1"/>
      <w:marLeft w:val="0"/>
      <w:marRight w:val="0"/>
      <w:marTop w:val="0"/>
      <w:marBottom w:val="0"/>
      <w:divBdr>
        <w:top w:val="none" w:sz="0" w:space="0" w:color="auto"/>
        <w:left w:val="none" w:sz="0" w:space="0" w:color="auto"/>
        <w:bottom w:val="none" w:sz="0" w:space="0" w:color="auto"/>
        <w:right w:val="none" w:sz="0" w:space="0" w:color="auto"/>
      </w:divBdr>
    </w:div>
    <w:div w:id="68693792">
      <w:bodyDiv w:val="1"/>
      <w:marLeft w:val="0"/>
      <w:marRight w:val="0"/>
      <w:marTop w:val="0"/>
      <w:marBottom w:val="0"/>
      <w:divBdr>
        <w:top w:val="none" w:sz="0" w:space="0" w:color="auto"/>
        <w:left w:val="none" w:sz="0" w:space="0" w:color="auto"/>
        <w:bottom w:val="none" w:sz="0" w:space="0" w:color="auto"/>
        <w:right w:val="none" w:sz="0" w:space="0" w:color="auto"/>
      </w:divBdr>
    </w:div>
    <w:div w:id="211968782">
      <w:bodyDiv w:val="1"/>
      <w:marLeft w:val="0"/>
      <w:marRight w:val="0"/>
      <w:marTop w:val="0"/>
      <w:marBottom w:val="0"/>
      <w:divBdr>
        <w:top w:val="none" w:sz="0" w:space="0" w:color="auto"/>
        <w:left w:val="none" w:sz="0" w:space="0" w:color="auto"/>
        <w:bottom w:val="none" w:sz="0" w:space="0" w:color="auto"/>
        <w:right w:val="none" w:sz="0" w:space="0" w:color="auto"/>
      </w:divBdr>
    </w:div>
    <w:div w:id="223178271">
      <w:bodyDiv w:val="1"/>
      <w:marLeft w:val="0"/>
      <w:marRight w:val="0"/>
      <w:marTop w:val="0"/>
      <w:marBottom w:val="0"/>
      <w:divBdr>
        <w:top w:val="none" w:sz="0" w:space="0" w:color="auto"/>
        <w:left w:val="none" w:sz="0" w:space="0" w:color="auto"/>
        <w:bottom w:val="none" w:sz="0" w:space="0" w:color="auto"/>
        <w:right w:val="none" w:sz="0" w:space="0" w:color="auto"/>
      </w:divBdr>
    </w:div>
    <w:div w:id="241261409">
      <w:bodyDiv w:val="1"/>
      <w:marLeft w:val="0"/>
      <w:marRight w:val="0"/>
      <w:marTop w:val="0"/>
      <w:marBottom w:val="0"/>
      <w:divBdr>
        <w:top w:val="none" w:sz="0" w:space="0" w:color="auto"/>
        <w:left w:val="none" w:sz="0" w:space="0" w:color="auto"/>
        <w:bottom w:val="none" w:sz="0" w:space="0" w:color="auto"/>
        <w:right w:val="none" w:sz="0" w:space="0" w:color="auto"/>
      </w:divBdr>
    </w:div>
    <w:div w:id="314065158">
      <w:bodyDiv w:val="1"/>
      <w:marLeft w:val="0"/>
      <w:marRight w:val="0"/>
      <w:marTop w:val="0"/>
      <w:marBottom w:val="0"/>
      <w:divBdr>
        <w:top w:val="none" w:sz="0" w:space="0" w:color="auto"/>
        <w:left w:val="none" w:sz="0" w:space="0" w:color="auto"/>
        <w:bottom w:val="none" w:sz="0" w:space="0" w:color="auto"/>
        <w:right w:val="none" w:sz="0" w:space="0" w:color="auto"/>
      </w:divBdr>
    </w:div>
    <w:div w:id="706949474">
      <w:bodyDiv w:val="1"/>
      <w:marLeft w:val="0"/>
      <w:marRight w:val="0"/>
      <w:marTop w:val="0"/>
      <w:marBottom w:val="0"/>
      <w:divBdr>
        <w:top w:val="none" w:sz="0" w:space="0" w:color="auto"/>
        <w:left w:val="none" w:sz="0" w:space="0" w:color="auto"/>
        <w:bottom w:val="none" w:sz="0" w:space="0" w:color="auto"/>
        <w:right w:val="none" w:sz="0" w:space="0" w:color="auto"/>
      </w:divBdr>
    </w:div>
    <w:div w:id="739180852">
      <w:bodyDiv w:val="1"/>
      <w:marLeft w:val="0"/>
      <w:marRight w:val="0"/>
      <w:marTop w:val="0"/>
      <w:marBottom w:val="0"/>
      <w:divBdr>
        <w:top w:val="none" w:sz="0" w:space="0" w:color="auto"/>
        <w:left w:val="none" w:sz="0" w:space="0" w:color="auto"/>
        <w:bottom w:val="none" w:sz="0" w:space="0" w:color="auto"/>
        <w:right w:val="none" w:sz="0" w:space="0" w:color="auto"/>
      </w:divBdr>
    </w:div>
    <w:div w:id="839202389">
      <w:bodyDiv w:val="1"/>
      <w:marLeft w:val="0"/>
      <w:marRight w:val="0"/>
      <w:marTop w:val="0"/>
      <w:marBottom w:val="0"/>
      <w:divBdr>
        <w:top w:val="none" w:sz="0" w:space="0" w:color="auto"/>
        <w:left w:val="none" w:sz="0" w:space="0" w:color="auto"/>
        <w:bottom w:val="none" w:sz="0" w:space="0" w:color="auto"/>
        <w:right w:val="none" w:sz="0" w:space="0" w:color="auto"/>
      </w:divBdr>
    </w:div>
    <w:div w:id="913129713">
      <w:bodyDiv w:val="1"/>
      <w:marLeft w:val="0"/>
      <w:marRight w:val="0"/>
      <w:marTop w:val="0"/>
      <w:marBottom w:val="0"/>
      <w:divBdr>
        <w:top w:val="none" w:sz="0" w:space="0" w:color="auto"/>
        <w:left w:val="none" w:sz="0" w:space="0" w:color="auto"/>
        <w:bottom w:val="none" w:sz="0" w:space="0" w:color="auto"/>
        <w:right w:val="none" w:sz="0" w:space="0" w:color="auto"/>
      </w:divBdr>
    </w:div>
    <w:div w:id="924385951">
      <w:bodyDiv w:val="1"/>
      <w:marLeft w:val="0"/>
      <w:marRight w:val="0"/>
      <w:marTop w:val="0"/>
      <w:marBottom w:val="0"/>
      <w:divBdr>
        <w:top w:val="none" w:sz="0" w:space="0" w:color="auto"/>
        <w:left w:val="none" w:sz="0" w:space="0" w:color="auto"/>
        <w:bottom w:val="none" w:sz="0" w:space="0" w:color="auto"/>
        <w:right w:val="none" w:sz="0" w:space="0" w:color="auto"/>
      </w:divBdr>
    </w:div>
    <w:div w:id="960379703">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143157569">
      <w:bodyDiv w:val="1"/>
      <w:marLeft w:val="0"/>
      <w:marRight w:val="0"/>
      <w:marTop w:val="0"/>
      <w:marBottom w:val="0"/>
      <w:divBdr>
        <w:top w:val="none" w:sz="0" w:space="0" w:color="auto"/>
        <w:left w:val="none" w:sz="0" w:space="0" w:color="auto"/>
        <w:bottom w:val="none" w:sz="0" w:space="0" w:color="auto"/>
        <w:right w:val="none" w:sz="0" w:space="0" w:color="auto"/>
      </w:divBdr>
    </w:div>
    <w:div w:id="1304889413">
      <w:bodyDiv w:val="1"/>
      <w:marLeft w:val="0"/>
      <w:marRight w:val="0"/>
      <w:marTop w:val="0"/>
      <w:marBottom w:val="0"/>
      <w:divBdr>
        <w:top w:val="none" w:sz="0" w:space="0" w:color="auto"/>
        <w:left w:val="none" w:sz="0" w:space="0" w:color="auto"/>
        <w:bottom w:val="none" w:sz="0" w:space="0" w:color="auto"/>
        <w:right w:val="none" w:sz="0" w:space="0" w:color="auto"/>
      </w:divBdr>
    </w:div>
    <w:div w:id="1387992250">
      <w:bodyDiv w:val="1"/>
      <w:marLeft w:val="0"/>
      <w:marRight w:val="0"/>
      <w:marTop w:val="0"/>
      <w:marBottom w:val="0"/>
      <w:divBdr>
        <w:top w:val="none" w:sz="0" w:space="0" w:color="auto"/>
        <w:left w:val="none" w:sz="0" w:space="0" w:color="auto"/>
        <w:bottom w:val="none" w:sz="0" w:space="0" w:color="auto"/>
        <w:right w:val="none" w:sz="0" w:space="0" w:color="auto"/>
      </w:divBdr>
    </w:div>
    <w:div w:id="1464038611">
      <w:bodyDiv w:val="1"/>
      <w:marLeft w:val="0"/>
      <w:marRight w:val="0"/>
      <w:marTop w:val="0"/>
      <w:marBottom w:val="0"/>
      <w:divBdr>
        <w:top w:val="none" w:sz="0" w:space="0" w:color="auto"/>
        <w:left w:val="none" w:sz="0" w:space="0" w:color="auto"/>
        <w:bottom w:val="none" w:sz="0" w:space="0" w:color="auto"/>
        <w:right w:val="none" w:sz="0" w:space="0" w:color="auto"/>
      </w:divBdr>
    </w:div>
    <w:div w:id="1509903135">
      <w:bodyDiv w:val="1"/>
      <w:marLeft w:val="0"/>
      <w:marRight w:val="0"/>
      <w:marTop w:val="0"/>
      <w:marBottom w:val="0"/>
      <w:divBdr>
        <w:top w:val="none" w:sz="0" w:space="0" w:color="auto"/>
        <w:left w:val="none" w:sz="0" w:space="0" w:color="auto"/>
        <w:bottom w:val="none" w:sz="0" w:space="0" w:color="auto"/>
        <w:right w:val="none" w:sz="0" w:space="0" w:color="auto"/>
      </w:divBdr>
    </w:div>
    <w:div w:id="2045446008">
      <w:bodyDiv w:val="1"/>
      <w:marLeft w:val="0"/>
      <w:marRight w:val="0"/>
      <w:marTop w:val="0"/>
      <w:marBottom w:val="0"/>
      <w:divBdr>
        <w:top w:val="none" w:sz="0" w:space="0" w:color="auto"/>
        <w:left w:val="none" w:sz="0" w:space="0" w:color="auto"/>
        <w:bottom w:val="none" w:sz="0" w:space="0" w:color="auto"/>
        <w:right w:val="none" w:sz="0" w:space="0" w:color="auto"/>
      </w:divBdr>
    </w:div>
    <w:div w:id="20815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package" Target="embeddings/Microsoft_Word_Document4.docx"/><Relationship Id="rId3" Type="http://schemas.microsoft.com/office/2007/relationships/stylesWithEffects" Target="stylesWithEffect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package" Target="embeddings/Microsoft_Word_Document3.docx"/><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2.xml"/><Relationship Id="rId10" Type="http://schemas.openxmlformats.org/officeDocument/2006/relationships/hyperlink" Target="mailto:AERInquiry@aer.gov.au"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Word_Document2.docx"/><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6772</Words>
  <Characters>38602</Characters>
  <Application>Microsoft Office Word</Application>
  <DocSecurity>0</DocSecurity>
  <Lines>321</Lines>
  <Paragraphs>90</Paragraphs>
  <ScaleCrop>false</ScaleCrop>
  <Company/>
  <LinksUpToDate>false</LinksUpToDate>
  <CharactersWithSpaces>45284</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2013-08-08T06:18:00Z</dcterms:created>
  <dcterms:modified xsi:type="dcterms:W3CDTF">2013-08-08T06:18:00Z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8033202</vt:lpwstr>
  </property>
</Properties>
</file>