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1099676627"/>
        <w:docPartObj>
          <w:docPartGallery w:val="Cover Pages"/>
          <w:docPartUnique/>
        </w:docPartObj>
      </w:sdtPr>
      <w:sdtEndPr>
        <w:rPr>
          <w:rFonts w:eastAsiaTheme="majorEastAsia" w:cstheme="majorBidi"/>
          <w:b/>
          <w:noProof/>
          <w:sz w:val="72"/>
          <w:szCs w:val="72"/>
          <w:lang w:eastAsia="en-AU"/>
        </w:rPr>
      </w:sdtEndPr>
      <w:sdtContent>
        <w:p w:rsidR="00D37B25" w:rsidRPr="00DB723B" w:rsidRDefault="00D37B25" w:rsidP="00D37B25">
          <w:r w:rsidRPr="00DB723B">
            <w:rPr>
              <w:noProof/>
              <w:lang w:eastAsia="en-AU"/>
            </w:rPr>
            <w:drawing>
              <wp:anchor distT="0" distB="0" distL="114300" distR="114300" simplePos="0" relativeHeight="251659264" behindDoc="1" locked="0" layoutInCell="1" allowOverlap="1" wp14:anchorId="38CC8E0B" wp14:editId="1A720667">
                <wp:simplePos x="0" y="0"/>
                <wp:positionH relativeFrom="column">
                  <wp:posOffset>-1097915</wp:posOffset>
                </wp:positionH>
                <wp:positionV relativeFrom="paragraph">
                  <wp:posOffset>-928370</wp:posOffset>
                </wp:positionV>
                <wp:extent cx="7572375" cy="10703560"/>
                <wp:effectExtent l="0" t="0" r="9525" b="2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72375" cy="10703560"/>
                        </a:xfrm>
                        <a:prstGeom prst="rect">
                          <a:avLst/>
                        </a:prstGeom>
                        <a:noFill/>
                      </pic:spPr>
                    </pic:pic>
                  </a:graphicData>
                </a:graphic>
                <wp14:sizeRelH relativeFrom="page">
                  <wp14:pctWidth>0</wp14:pctWidth>
                </wp14:sizeRelH>
                <wp14:sizeRelV relativeFrom="page">
                  <wp14:pctHeight>0</wp14:pctHeight>
                </wp14:sizeRelV>
              </wp:anchor>
            </w:drawing>
          </w:r>
          <w:r w:rsidR="001B273E">
            <w:rPr>
              <w:noProof/>
              <w:lang w:eastAsia="en-AU"/>
            </w:rPr>
            <w:t xml:space="preserve"> </w:t>
          </w:r>
        </w:p>
        <w:p w:rsidR="00D37B25" w:rsidRPr="00DB723B" w:rsidRDefault="00D37B25" w:rsidP="00D37B25"/>
        <w:p w:rsidR="00D37B25" w:rsidRPr="00DB723B" w:rsidRDefault="00D37B25" w:rsidP="00D37B25"/>
        <w:p w:rsidR="00D37B25" w:rsidRPr="00DB723B" w:rsidRDefault="00D37B25" w:rsidP="00D37B25"/>
        <w:p w:rsidR="00D37B25" w:rsidRPr="00DB723B" w:rsidRDefault="00D37B25" w:rsidP="00D37B25"/>
        <w:p w:rsidR="00D37B25" w:rsidRPr="00DB723B" w:rsidRDefault="00D37B25" w:rsidP="00D37B25"/>
        <w:p w:rsidR="00D37B25" w:rsidRPr="00DB723B" w:rsidRDefault="00D37B25" w:rsidP="00D37B25"/>
        <w:p w:rsidR="00D37B25" w:rsidRPr="00DB723B" w:rsidRDefault="00D37B25" w:rsidP="00D37B25"/>
        <w:p w:rsidR="00D37B25" w:rsidRPr="00DB723B" w:rsidRDefault="00D37B25" w:rsidP="00D37B25">
          <w:pPr>
            <w:pStyle w:val="ReportTitle0"/>
          </w:pPr>
          <w:r>
            <w:t>Draft Decision</w:t>
          </w:r>
        </w:p>
        <w:p w:rsidR="00D37B25" w:rsidRDefault="00D37B25" w:rsidP="00D37B25">
          <w:pPr>
            <w:pStyle w:val="ReportTitle0"/>
          </w:pPr>
        </w:p>
        <w:p w:rsidR="00D37B25" w:rsidRPr="00DB723B" w:rsidRDefault="00D37B25" w:rsidP="00D37B25">
          <w:pPr>
            <w:pStyle w:val="ReportTitle0"/>
          </w:pPr>
          <w:r>
            <w:t>Energex application for waiver from Queensland Ring Fencing Guidelines</w:t>
          </w:r>
        </w:p>
        <w:p w:rsidR="00DF0A63" w:rsidRDefault="00DF0A63" w:rsidP="00D37B25">
          <w:pPr>
            <w:pStyle w:val="ReportDate"/>
          </w:pPr>
        </w:p>
        <w:p w:rsidR="00DF0A63" w:rsidRPr="00DF0A63" w:rsidRDefault="00DF0A63" w:rsidP="00DF0A63">
          <w:pPr>
            <w:pStyle w:val="Heading2"/>
            <w:jc w:val="center"/>
            <w:rPr>
              <w:sz w:val="52"/>
            </w:rPr>
          </w:pPr>
          <w:r w:rsidRPr="00DF0A63">
            <w:rPr>
              <w:sz w:val="52"/>
            </w:rPr>
            <w:t>Solar PV and BESS trial project</w:t>
          </w:r>
        </w:p>
        <w:p w:rsidR="00DF0A63" w:rsidRDefault="00DF0A63" w:rsidP="00DF0A63">
          <w:pPr>
            <w:pStyle w:val="ReportDate"/>
          </w:pPr>
          <w:r>
            <w:t>July</w:t>
          </w:r>
          <w:r w:rsidRPr="00DB723B">
            <w:t xml:space="preserve"> 201</w:t>
          </w:r>
          <w:r>
            <w:t>6</w:t>
          </w:r>
        </w:p>
        <w:p w:rsidR="00DF0A63" w:rsidRPr="00DB723B" w:rsidRDefault="00DF0A63" w:rsidP="00D37B25">
          <w:pPr>
            <w:pStyle w:val="ReportDate"/>
          </w:pPr>
        </w:p>
        <w:p w:rsidR="00D37B25" w:rsidRPr="00DB723B" w:rsidRDefault="00D37B25" w:rsidP="00D37B25">
          <w:r w:rsidRPr="00DB723B">
            <w:br w:type="page"/>
          </w:r>
        </w:p>
        <w:p w:rsidR="00D37B25" w:rsidRDefault="00423BED" w:rsidP="00D37B25">
          <w:pPr>
            <w:spacing w:line="240" w:lineRule="auto"/>
            <w:rPr>
              <w:rFonts w:eastAsiaTheme="majorEastAsia" w:cstheme="majorBidi"/>
              <w:b/>
              <w:noProof/>
              <w:sz w:val="72"/>
              <w:szCs w:val="72"/>
              <w:lang w:eastAsia="en-AU"/>
            </w:rPr>
          </w:pPr>
        </w:p>
      </w:sdtContent>
    </w:sdt>
    <w:p w:rsidR="00D37B25" w:rsidRPr="00FE3C32" w:rsidRDefault="00D37B25" w:rsidP="00D37B25">
      <w:pPr>
        <w:spacing w:line="240" w:lineRule="auto"/>
      </w:pPr>
    </w:p>
    <w:p w:rsidR="00D37B25" w:rsidRDefault="00D37B25" w:rsidP="00D37B25">
      <w:pPr>
        <w:pStyle w:val="Copyright"/>
      </w:pPr>
      <w:r>
        <w:t>© Commonwealth of Australia 2016</w:t>
      </w:r>
    </w:p>
    <w:p w:rsidR="00D37B25" w:rsidRDefault="00D37B25" w:rsidP="00D37B25">
      <w:pPr>
        <w:pStyle w:val="Copyright"/>
      </w:pPr>
      <w:r>
        <w:t>This work is copyright. In addition to any use permitted under the Copyright Act 1968, all material contained within this work is provided under a Creative Commons Attributions 3.0 Australia licence, with the exception of:</w:t>
      </w:r>
    </w:p>
    <w:p w:rsidR="00D37B25" w:rsidRDefault="00D37B25" w:rsidP="00D37B25">
      <w:pPr>
        <w:pStyle w:val="StyleCopyrightBefore0pt"/>
        <w:numPr>
          <w:ilvl w:val="0"/>
          <w:numId w:val="37"/>
        </w:numPr>
      </w:pPr>
      <w:r>
        <w:t>the Commonwealth Coat of Arms</w:t>
      </w:r>
    </w:p>
    <w:p w:rsidR="00D37B25" w:rsidRDefault="00D37B25" w:rsidP="00D37B25">
      <w:pPr>
        <w:pStyle w:val="StyleCopyrightBefore0pt"/>
        <w:numPr>
          <w:ilvl w:val="0"/>
          <w:numId w:val="37"/>
        </w:numPr>
      </w:pPr>
      <w:r>
        <w:t>the ACCC and AER logos</w:t>
      </w:r>
    </w:p>
    <w:p w:rsidR="00D37B25" w:rsidRPr="00B927D8" w:rsidRDefault="00D37B25" w:rsidP="00D37B25">
      <w:pPr>
        <w:pStyle w:val="ListBullet"/>
        <w:numPr>
          <w:ilvl w:val="0"/>
          <w:numId w:val="37"/>
        </w:numPr>
        <w:tabs>
          <w:tab w:val="left" w:pos="340"/>
        </w:tabs>
        <w:rPr>
          <w:sz w:val="20"/>
          <w:szCs w:val="20"/>
        </w:rPr>
      </w:pPr>
      <w:r w:rsidRPr="007A4D1F">
        <w:rPr>
          <w:sz w:val="20"/>
          <w:szCs w:val="20"/>
        </w:rPr>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D37B25" w:rsidRDefault="00D37B25" w:rsidP="00D37B25">
      <w:pPr>
        <w:pStyle w:val="Copyright"/>
      </w:pPr>
      <w:r>
        <w:t xml:space="preserve">Requests and inquiries concerning reproduction and rights should be addressed to the </w:t>
      </w:r>
      <w:r>
        <w:br/>
        <w:t xml:space="preserve">Director, Corporate Communications, </w:t>
      </w:r>
      <w:r>
        <w:br/>
        <w:t xml:space="preserve">Australian Competition and Consumer Commission, </w:t>
      </w:r>
      <w:r>
        <w:br/>
        <w:t xml:space="preserve">GPO Box 4141, </w:t>
      </w:r>
      <w:r>
        <w:br/>
        <w:t xml:space="preserve">Canberra ACT 2601 </w:t>
      </w:r>
      <w:r>
        <w:br/>
        <w:t>or publishing.unit@accc.gov.au.</w:t>
      </w:r>
    </w:p>
    <w:p w:rsidR="00D37B25" w:rsidRDefault="00D37B25" w:rsidP="00D37B25">
      <w:pPr>
        <w:pStyle w:val="Copyright"/>
      </w:pPr>
      <w:r>
        <w:t>Inquiries about this publication should be addressed to:</w:t>
      </w:r>
    </w:p>
    <w:p w:rsidR="00D37B25" w:rsidRDefault="00D37B25" w:rsidP="00D37B25">
      <w:pPr>
        <w:pStyle w:val="Copyright"/>
      </w:pPr>
      <w:r>
        <w:t xml:space="preserve">Australian Energy </w:t>
      </w:r>
      <w:r w:rsidRPr="00F171E0">
        <w:t>Regulator</w:t>
      </w:r>
      <w:r>
        <w:br/>
        <w:t>GPO Box 520</w:t>
      </w:r>
      <w:r>
        <w:br/>
        <w:t>Melbourne  Vic  3001</w:t>
      </w:r>
    </w:p>
    <w:p w:rsidR="00D37B25" w:rsidRDefault="00D37B25" w:rsidP="00D37B25">
      <w:pPr>
        <w:pStyle w:val="Copyright"/>
      </w:pPr>
      <w:r>
        <w:t>Tel: (03) 9290 1444</w:t>
      </w:r>
      <w:r>
        <w:br/>
        <w:t>Fax: (03) 9290 1457</w:t>
      </w:r>
    </w:p>
    <w:p w:rsidR="00D37B25" w:rsidRPr="00951978" w:rsidRDefault="00D37B25" w:rsidP="00D37B25">
      <w:pPr>
        <w:pStyle w:val="Copyright"/>
        <w:rPr>
          <w:color w:val="0000FF"/>
          <w:sz w:val="22"/>
          <w:u w:val="single"/>
        </w:rPr>
      </w:pPr>
      <w:r>
        <w:t xml:space="preserve">Email: </w:t>
      </w:r>
      <w:hyperlink r:id="rId11" w:history="1">
        <w:r w:rsidRPr="00D64888">
          <w:rPr>
            <w:rStyle w:val="Hyperlink"/>
          </w:rPr>
          <w:t>AERInquiry@aer.gov.au</w:t>
        </w:r>
      </w:hyperlink>
      <w:r>
        <w:rPr>
          <w:rStyle w:val="Hyperlink"/>
        </w:rPr>
        <w:br/>
      </w:r>
      <w:r>
        <w:t xml:space="preserve">AER Reference: </w:t>
      </w:r>
      <w:r w:rsidRPr="00DA2033">
        <w:t>D16/</w:t>
      </w:r>
      <w:r w:rsidR="004257D6">
        <w:t>86168</w:t>
      </w:r>
    </w:p>
    <w:p w:rsidR="00D37B25" w:rsidRDefault="00D37B25" w:rsidP="00D37B25"/>
    <w:p w:rsidR="00D37B25" w:rsidRDefault="00D37B25" w:rsidP="00D37B25"/>
    <w:p w:rsidR="00D37B25" w:rsidRDefault="00D37B25" w:rsidP="00D37B25">
      <w:pPr>
        <w:spacing w:line="240" w:lineRule="auto"/>
      </w:pPr>
      <w:r>
        <w:br w:type="page"/>
      </w:r>
    </w:p>
    <w:p w:rsidR="00D37B25" w:rsidRDefault="00D37B25" w:rsidP="00D37B25">
      <w:pPr>
        <w:pStyle w:val="TOCHeading"/>
      </w:pPr>
      <w:r>
        <w:lastRenderedPageBreak/>
        <w:t>Contents</w:t>
      </w:r>
    </w:p>
    <w:p w:rsidR="00756267" w:rsidRDefault="00D37B25">
      <w:pPr>
        <w:pStyle w:val="TOC1"/>
        <w:rPr>
          <w:rFonts w:asciiTheme="minorHAnsi" w:eastAsiaTheme="minorEastAsia" w:hAnsiTheme="minorHAnsi"/>
          <w:lang w:val="en-AU" w:eastAsia="en-AU"/>
        </w:rPr>
      </w:pPr>
      <w:r>
        <w:rPr>
          <w:b/>
          <w:color w:val="003591" w:themeColor="text2"/>
          <w:sz w:val="24"/>
        </w:rPr>
        <w:fldChar w:fldCharType="begin"/>
      </w:r>
      <w:r>
        <w:instrText xml:space="preserve"> TOC \o "1-3" \h \z \u </w:instrText>
      </w:r>
      <w:r>
        <w:rPr>
          <w:b/>
          <w:color w:val="003591" w:themeColor="text2"/>
          <w:sz w:val="24"/>
        </w:rPr>
        <w:fldChar w:fldCharType="separate"/>
      </w:r>
      <w:hyperlink w:anchor="_Toc454547028" w:history="1">
        <w:r w:rsidR="00756267" w:rsidRPr="009005C9">
          <w:rPr>
            <w:rStyle w:val="Hyperlink"/>
          </w:rPr>
          <w:t>Shortened forms</w:t>
        </w:r>
        <w:r w:rsidR="00756267">
          <w:rPr>
            <w:webHidden/>
          </w:rPr>
          <w:tab/>
        </w:r>
        <w:r w:rsidR="00756267">
          <w:rPr>
            <w:webHidden/>
          </w:rPr>
          <w:fldChar w:fldCharType="begin"/>
        </w:r>
        <w:r w:rsidR="00756267">
          <w:rPr>
            <w:webHidden/>
          </w:rPr>
          <w:instrText xml:space="preserve"> PAGEREF _Toc454547028 \h </w:instrText>
        </w:r>
        <w:r w:rsidR="00756267">
          <w:rPr>
            <w:webHidden/>
          </w:rPr>
        </w:r>
        <w:r w:rsidR="00756267">
          <w:rPr>
            <w:webHidden/>
          </w:rPr>
          <w:fldChar w:fldCharType="separate"/>
        </w:r>
        <w:r w:rsidR="00756267">
          <w:rPr>
            <w:webHidden/>
          </w:rPr>
          <w:t>1</w:t>
        </w:r>
        <w:r w:rsidR="00756267">
          <w:rPr>
            <w:webHidden/>
          </w:rPr>
          <w:fldChar w:fldCharType="end"/>
        </w:r>
      </w:hyperlink>
    </w:p>
    <w:p w:rsidR="00756267" w:rsidRDefault="00423BED">
      <w:pPr>
        <w:pStyle w:val="TOC1"/>
        <w:rPr>
          <w:rFonts w:asciiTheme="minorHAnsi" w:eastAsiaTheme="minorEastAsia" w:hAnsiTheme="minorHAnsi"/>
          <w:lang w:val="en-AU" w:eastAsia="en-AU"/>
        </w:rPr>
      </w:pPr>
      <w:hyperlink w:anchor="_Toc454547029" w:history="1">
        <w:r w:rsidR="00756267" w:rsidRPr="009005C9">
          <w:rPr>
            <w:rStyle w:val="Hyperlink"/>
          </w:rPr>
          <w:t>Request for submissions</w:t>
        </w:r>
        <w:r w:rsidR="00756267">
          <w:rPr>
            <w:webHidden/>
          </w:rPr>
          <w:tab/>
        </w:r>
        <w:r w:rsidR="00756267">
          <w:rPr>
            <w:webHidden/>
          </w:rPr>
          <w:fldChar w:fldCharType="begin"/>
        </w:r>
        <w:r w:rsidR="00756267">
          <w:rPr>
            <w:webHidden/>
          </w:rPr>
          <w:instrText xml:space="preserve"> PAGEREF _Toc454547029 \h </w:instrText>
        </w:r>
        <w:r w:rsidR="00756267">
          <w:rPr>
            <w:webHidden/>
          </w:rPr>
        </w:r>
        <w:r w:rsidR="00756267">
          <w:rPr>
            <w:webHidden/>
          </w:rPr>
          <w:fldChar w:fldCharType="separate"/>
        </w:r>
        <w:r w:rsidR="00756267">
          <w:rPr>
            <w:webHidden/>
          </w:rPr>
          <w:t>1</w:t>
        </w:r>
        <w:r w:rsidR="00756267">
          <w:rPr>
            <w:webHidden/>
          </w:rPr>
          <w:fldChar w:fldCharType="end"/>
        </w:r>
      </w:hyperlink>
    </w:p>
    <w:p w:rsidR="00756267" w:rsidRDefault="00423BED">
      <w:pPr>
        <w:pStyle w:val="TOC1"/>
        <w:rPr>
          <w:rFonts w:asciiTheme="minorHAnsi" w:eastAsiaTheme="minorEastAsia" w:hAnsiTheme="minorHAnsi"/>
          <w:lang w:val="en-AU" w:eastAsia="en-AU"/>
        </w:rPr>
      </w:pPr>
      <w:hyperlink w:anchor="_Toc454547030" w:history="1">
        <w:r w:rsidR="00756267" w:rsidRPr="009005C9">
          <w:rPr>
            <w:rStyle w:val="Hyperlink"/>
          </w:rPr>
          <w:t>1</w:t>
        </w:r>
        <w:r w:rsidR="00756267">
          <w:rPr>
            <w:rFonts w:asciiTheme="minorHAnsi" w:eastAsiaTheme="minorEastAsia" w:hAnsiTheme="minorHAnsi"/>
            <w:lang w:val="en-AU" w:eastAsia="en-AU"/>
          </w:rPr>
          <w:tab/>
        </w:r>
        <w:r w:rsidR="00756267" w:rsidRPr="009005C9">
          <w:rPr>
            <w:rStyle w:val="Hyperlink"/>
          </w:rPr>
          <w:t>Summary</w:t>
        </w:r>
        <w:r w:rsidR="00756267">
          <w:rPr>
            <w:webHidden/>
          </w:rPr>
          <w:tab/>
        </w:r>
        <w:r w:rsidR="00756267">
          <w:rPr>
            <w:webHidden/>
          </w:rPr>
          <w:fldChar w:fldCharType="begin"/>
        </w:r>
        <w:r w:rsidR="00756267">
          <w:rPr>
            <w:webHidden/>
          </w:rPr>
          <w:instrText xml:space="preserve"> PAGEREF _Toc454547030 \h </w:instrText>
        </w:r>
        <w:r w:rsidR="00756267">
          <w:rPr>
            <w:webHidden/>
          </w:rPr>
        </w:r>
        <w:r w:rsidR="00756267">
          <w:rPr>
            <w:webHidden/>
          </w:rPr>
          <w:fldChar w:fldCharType="separate"/>
        </w:r>
        <w:r w:rsidR="00756267">
          <w:rPr>
            <w:webHidden/>
          </w:rPr>
          <w:t>3</w:t>
        </w:r>
        <w:r w:rsidR="00756267">
          <w:rPr>
            <w:webHidden/>
          </w:rPr>
          <w:fldChar w:fldCharType="end"/>
        </w:r>
      </w:hyperlink>
    </w:p>
    <w:p w:rsidR="00756267" w:rsidRDefault="00423BED">
      <w:pPr>
        <w:pStyle w:val="TOC1"/>
        <w:rPr>
          <w:rFonts w:asciiTheme="minorHAnsi" w:eastAsiaTheme="minorEastAsia" w:hAnsiTheme="minorHAnsi"/>
          <w:lang w:val="en-AU" w:eastAsia="en-AU"/>
        </w:rPr>
      </w:pPr>
      <w:hyperlink w:anchor="_Toc454547031" w:history="1">
        <w:r w:rsidR="00756267" w:rsidRPr="009005C9">
          <w:rPr>
            <w:rStyle w:val="Hyperlink"/>
          </w:rPr>
          <w:t>2</w:t>
        </w:r>
        <w:r w:rsidR="00756267">
          <w:rPr>
            <w:rFonts w:asciiTheme="minorHAnsi" w:eastAsiaTheme="minorEastAsia" w:hAnsiTheme="minorHAnsi"/>
            <w:lang w:val="en-AU" w:eastAsia="en-AU"/>
          </w:rPr>
          <w:tab/>
        </w:r>
        <w:r w:rsidR="00756267" w:rsidRPr="009005C9">
          <w:rPr>
            <w:rStyle w:val="Hyperlink"/>
          </w:rPr>
          <w:t>Queensland Ring Fencing Guidelines</w:t>
        </w:r>
        <w:r w:rsidR="00756267">
          <w:rPr>
            <w:webHidden/>
          </w:rPr>
          <w:tab/>
        </w:r>
        <w:r w:rsidR="00756267">
          <w:rPr>
            <w:webHidden/>
          </w:rPr>
          <w:fldChar w:fldCharType="begin"/>
        </w:r>
        <w:r w:rsidR="00756267">
          <w:rPr>
            <w:webHidden/>
          </w:rPr>
          <w:instrText xml:space="preserve"> PAGEREF _Toc454547031 \h </w:instrText>
        </w:r>
        <w:r w:rsidR="00756267">
          <w:rPr>
            <w:webHidden/>
          </w:rPr>
        </w:r>
        <w:r w:rsidR="00756267">
          <w:rPr>
            <w:webHidden/>
          </w:rPr>
          <w:fldChar w:fldCharType="separate"/>
        </w:r>
        <w:r w:rsidR="00756267">
          <w:rPr>
            <w:webHidden/>
          </w:rPr>
          <w:t>5</w:t>
        </w:r>
        <w:r w:rsidR="00756267">
          <w:rPr>
            <w:webHidden/>
          </w:rPr>
          <w:fldChar w:fldCharType="end"/>
        </w:r>
      </w:hyperlink>
    </w:p>
    <w:p w:rsidR="00756267" w:rsidRDefault="00423BED">
      <w:pPr>
        <w:pStyle w:val="TOC2"/>
        <w:rPr>
          <w:rFonts w:asciiTheme="minorHAnsi" w:eastAsiaTheme="minorEastAsia" w:hAnsiTheme="minorHAnsi"/>
          <w:lang w:eastAsia="en-AU"/>
        </w:rPr>
      </w:pPr>
      <w:hyperlink w:anchor="_Toc454547032" w:history="1">
        <w:r w:rsidR="00756267" w:rsidRPr="009005C9">
          <w:rPr>
            <w:rStyle w:val="Hyperlink"/>
          </w:rPr>
          <w:t>2.1</w:t>
        </w:r>
        <w:r w:rsidR="00756267">
          <w:rPr>
            <w:rFonts w:asciiTheme="minorHAnsi" w:eastAsiaTheme="minorEastAsia" w:hAnsiTheme="minorHAnsi"/>
            <w:lang w:eastAsia="en-AU"/>
          </w:rPr>
          <w:tab/>
        </w:r>
        <w:r w:rsidR="00756267" w:rsidRPr="009005C9">
          <w:rPr>
            <w:rStyle w:val="Hyperlink"/>
          </w:rPr>
          <w:t>Procedure for waiving ring fencing obligations</w:t>
        </w:r>
        <w:r w:rsidR="00756267">
          <w:rPr>
            <w:webHidden/>
          </w:rPr>
          <w:tab/>
        </w:r>
        <w:r w:rsidR="00756267">
          <w:rPr>
            <w:webHidden/>
          </w:rPr>
          <w:fldChar w:fldCharType="begin"/>
        </w:r>
        <w:r w:rsidR="00756267">
          <w:rPr>
            <w:webHidden/>
          </w:rPr>
          <w:instrText xml:space="preserve"> PAGEREF _Toc454547032 \h </w:instrText>
        </w:r>
        <w:r w:rsidR="00756267">
          <w:rPr>
            <w:webHidden/>
          </w:rPr>
        </w:r>
        <w:r w:rsidR="00756267">
          <w:rPr>
            <w:webHidden/>
          </w:rPr>
          <w:fldChar w:fldCharType="separate"/>
        </w:r>
        <w:r w:rsidR="00756267">
          <w:rPr>
            <w:webHidden/>
          </w:rPr>
          <w:t>5</w:t>
        </w:r>
        <w:r w:rsidR="00756267">
          <w:rPr>
            <w:webHidden/>
          </w:rPr>
          <w:fldChar w:fldCharType="end"/>
        </w:r>
      </w:hyperlink>
    </w:p>
    <w:p w:rsidR="00756267" w:rsidRDefault="00423BED">
      <w:pPr>
        <w:pStyle w:val="TOC1"/>
        <w:rPr>
          <w:rFonts w:asciiTheme="minorHAnsi" w:eastAsiaTheme="minorEastAsia" w:hAnsiTheme="minorHAnsi"/>
          <w:lang w:val="en-AU" w:eastAsia="en-AU"/>
        </w:rPr>
      </w:pPr>
      <w:hyperlink w:anchor="_Toc454547033" w:history="1">
        <w:r w:rsidR="00756267" w:rsidRPr="009005C9">
          <w:rPr>
            <w:rStyle w:val="Hyperlink"/>
          </w:rPr>
          <w:t>3</w:t>
        </w:r>
        <w:r w:rsidR="00756267">
          <w:rPr>
            <w:rFonts w:asciiTheme="minorHAnsi" w:eastAsiaTheme="minorEastAsia" w:hAnsiTheme="minorHAnsi"/>
            <w:lang w:val="en-AU" w:eastAsia="en-AU"/>
          </w:rPr>
          <w:tab/>
        </w:r>
        <w:r w:rsidR="00756267" w:rsidRPr="009005C9">
          <w:rPr>
            <w:rStyle w:val="Hyperlink"/>
          </w:rPr>
          <w:t>Energex’s waiver application</w:t>
        </w:r>
        <w:r w:rsidR="00756267">
          <w:rPr>
            <w:webHidden/>
          </w:rPr>
          <w:tab/>
        </w:r>
        <w:r w:rsidR="00756267">
          <w:rPr>
            <w:webHidden/>
          </w:rPr>
          <w:fldChar w:fldCharType="begin"/>
        </w:r>
        <w:r w:rsidR="00756267">
          <w:rPr>
            <w:webHidden/>
          </w:rPr>
          <w:instrText xml:space="preserve"> PAGEREF _Toc454547033 \h </w:instrText>
        </w:r>
        <w:r w:rsidR="00756267">
          <w:rPr>
            <w:webHidden/>
          </w:rPr>
        </w:r>
        <w:r w:rsidR="00756267">
          <w:rPr>
            <w:webHidden/>
          </w:rPr>
          <w:fldChar w:fldCharType="separate"/>
        </w:r>
        <w:r w:rsidR="00756267">
          <w:rPr>
            <w:webHidden/>
          </w:rPr>
          <w:t>6</w:t>
        </w:r>
        <w:r w:rsidR="00756267">
          <w:rPr>
            <w:webHidden/>
          </w:rPr>
          <w:fldChar w:fldCharType="end"/>
        </w:r>
      </w:hyperlink>
    </w:p>
    <w:p w:rsidR="00756267" w:rsidRDefault="00423BED">
      <w:pPr>
        <w:pStyle w:val="TOC2"/>
        <w:rPr>
          <w:rFonts w:asciiTheme="minorHAnsi" w:eastAsiaTheme="minorEastAsia" w:hAnsiTheme="minorHAnsi"/>
          <w:lang w:eastAsia="en-AU"/>
        </w:rPr>
      </w:pPr>
      <w:hyperlink w:anchor="_Toc454547034" w:history="1">
        <w:r w:rsidR="00756267" w:rsidRPr="009005C9">
          <w:rPr>
            <w:rStyle w:val="Hyperlink"/>
          </w:rPr>
          <w:t>3.1</w:t>
        </w:r>
        <w:r w:rsidR="00756267">
          <w:rPr>
            <w:rFonts w:asciiTheme="minorHAnsi" w:eastAsiaTheme="minorEastAsia" w:hAnsiTheme="minorHAnsi"/>
            <w:lang w:eastAsia="en-AU"/>
          </w:rPr>
          <w:tab/>
        </w:r>
        <w:r w:rsidR="00756267" w:rsidRPr="009005C9">
          <w:rPr>
            <w:rStyle w:val="Hyperlink"/>
          </w:rPr>
          <w:t>150 kW solar PV system &amp; BESS project</w:t>
        </w:r>
        <w:r w:rsidR="00756267">
          <w:rPr>
            <w:webHidden/>
          </w:rPr>
          <w:tab/>
          <w:t>6</w:t>
        </w:r>
      </w:hyperlink>
    </w:p>
    <w:p w:rsidR="00756267" w:rsidRDefault="00423BED">
      <w:pPr>
        <w:pStyle w:val="TOC2"/>
        <w:rPr>
          <w:rFonts w:asciiTheme="minorHAnsi" w:eastAsiaTheme="minorEastAsia" w:hAnsiTheme="minorHAnsi"/>
          <w:lang w:eastAsia="en-AU"/>
        </w:rPr>
      </w:pPr>
      <w:hyperlink w:anchor="_Toc454547035" w:history="1">
        <w:r w:rsidR="00756267" w:rsidRPr="009005C9">
          <w:rPr>
            <w:rStyle w:val="Hyperlink"/>
          </w:rPr>
          <w:t>3.2</w:t>
        </w:r>
        <w:r w:rsidR="00756267">
          <w:rPr>
            <w:rFonts w:asciiTheme="minorHAnsi" w:eastAsiaTheme="minorEastAsia" w:hAnsiTheme="minorHAnsi"/>
            <w:lang w:eastAsia="en-AU"/>
          </w:rPr>
          <w:tab/>
        </w:r>
        <w:r w:rsidR="00756267" w:rsidRPr="009005C9">
          <w:rPr>
            <w:rStyle w:val="Hyperlink"/>
          </w:rPr>
          <w:t>A related business</w:t>
        </w:r>
        <w:r w:rsidR="00756267">
          <w:rPr>
            <w:webHidden/>
          </w:rPr>
          <w:tab/>
        </w:r>
        <w:r w:rsidR="00756267">
          <w:rPr>
            <w:webHidden/>
          </w:rPr>
          <w:fldChar w:fldCharType="begin"/>
        </w:r>
        <w:r w:rsidR="00756267">
          <w:rPr>
            <w:webHidden/>
          </w:rPr>
          <w:instrText xml:space="preserve"> PAGEREF _Toc454547035 \h </w:instrText>
        </w:r>
        <w:r w:rsidR="00756267">
          <w:rPr>
            <w:webHidden/>
          </w:rPr>
        </w:r>
        <w:r w:rsidR="00756267">
          <w:rPr>
            <w:webHidden/>
          </w:rPr>
          <w:fldChar w:fldCharType="separate"/>
        </w:r>
        <w:r w:rsidR="00756267">
          <w:rPr>
            <w:webHidden/>
          </w:rPr>
          <w:t>7</w:t>
        </w:r>
        <w:r w:rsidR="00756267">
          <w:rPr>
            <w:webHidden/>
          </w:rPr>
          <w:fldChar w:fldCharType="end"/>
        </w:r>
      </w:hyperlink>
    </w:p>
    <w:p w:rsidR="00756267" w:rsidRDefault="00423BED">
      <w:pPr>
        <w:pStyle w:val="TOC2"/>
        <w:rPr>
          <w:rFonts w:asciiTheme="minorHAnsi" w:eastAsiaTheme="minorEastAsia" w:hAnsiTheme="minorHAnsi"/>
          <w:lang w:eastAsia="en-AU"/>
        </w:rPr>
      </w:pPr>
      <w:hyperlink w:anchor="_Toc454547036" w:history="1">
        <w:r w:rsidR="00756267" w:rsidRPr="009005C9">
          <w:rPr>
            <w:rStyle w:val="Hyperlink"/>
          </w:rPr>
          <w:t>3.3</w:t>
        </w:r>
        <w:r w:rsidR="00756267">
          <w:rPr>
            <w:rFonts w:asciiTheme="minorHAnsi" w:eastAsiaTheme="minorEastAsia" w:hAnsiTheme="minorHAnsi"/>
            <w:lang w:eastAsia="en-AU"/>
          </w:rPr>
          <w:tab/>
        </w:r>
        <w:r w:rsidR="00756267" w:rsidRPr="009005C9">
          <w:rPr>
            <w:rStyle w:val="Hyperlink"/>
          </w:rPr>
          <w:t>Costs of compliance with ring fencing obligations</w:t>
        </w:r>
        <w:r w:rsidR="00756267">
          <w:rPr>
            <w:webHidden/>
          </w:rPr>
          <w:tab/>
        </w:r>
        <w:r w:rsidR="00756267">
          <w:rPr>
            <w:webHidden/>
          </w:rPr>
          <w:fldChar w:fldCharType="begin"/>
        </w:r>
        <w:r w:rsidR="00756267">
          <w:rPr>
            <w:webHidden/>
          </w:rPr>
          <w:instrText xml:space="preserve"> PAGEREF _Toc454547036 \h </w:instrText>
        </w:r>
        <w:r w:rsidR="00756267">
          <w:rPr>
            <w:webHidden/>
          </w:rPr>
        </w:r>
        <w:r w:rsidR="00756267">
          <w:rPr>
            <w:webHidden/>
          </w:rPr>
          <w:fldChar w:fldCharType="separate"/>
        </w:r>
        <w:r w:rsidR="00756267">
          <w:rPr>
            <w:webHidden/>
          </w:rPr>
          <w:t>7</w:t>
        </w:r>
        <w:r w:rsidR="00756267">
          <w:rPr>
            <w:webHidden/>
          </w:rPr>
          <w:fldChar w:fldCharType="end"/>
        </w:r>
      </w:hyperlink>
    </w:p>
    <w:p w:rsidR="00756267" w:rsidRDefault="00423BED">
      <w:pPr>
        <w:pStyle w:val="TOC2"/>
        <w:rPr>
          <w:rFonts w:asciiTheme="minorHAnsi" w:eastAsiaTheme="minorEastAsia" w:hAnsiTheme="minorHAnsi"/>
          <w:lang w:eastAsia="en-AU"/>
        </w:rPr>
      </w:pPr>
      <w:hyperlink w:anchor="_Toc454547037" w:history="1">
        <w:r w:rsidR="00756267" w:rsidRPr="009005C9">
          <w:rPr>
            <w:rStyle w:val="Hyperlink"/>
          </w:rPr>
          <w:t>3.4</w:t>
        </w:r>
        <w:r w:rsidR="00756267">
          <w:rPr>
            <w:rFonts w:asciiTheme="minorHAnsi" w:eastAsiaTheme="minorEastAsia" w:hAnsiTheme="minorHAnsi"/>
            <w:lang w:eastAsia="en-AU"/>
          </w:rPr>
          <w:tab/>
        </w:r>
        <w:r w:rsidR="00756267" w:rsidRPr="009005C9">
          <w:rPr>
            <w:rStyle w:val="Hyperlink"/>
          </w:rPr>
          <w:t>Reasons for seeking a waiver</w:t>
        </w:r>
        <w:r w:rsidR="00756267">
          <w:rPr>
            <w:webHidden/>
          </w:rPr>
          <w:tab/>
        </w:r>
        <w:r w:rsidR="00756267">
          <w:rPr>
            <w:webHidden/>
          </w:rPr>
          <w:fldChar w:fldCharType="begin"/>
        </w:r>
        <w:r w:rsidR="00756267">
          <w:rPr>
            <w:webHidden/>
          </w:rPr>
          <w:instrText xml:space="preserve"> PAGEREF _Toc454547037 \h </w:instrText>
        </w:r>
        <w:r w:rsidR="00756267">
          <w:rPr>
            <w:webHidden/>
          </w:rPr>
        </w:r>
        <w:r w:rsidR="00756267">
          <w:rPr>
            <w:webHidden/>
          </w:rPr>
          <w:fldChar w:fldCharType="separate"/>
        </w:r>
        <w:r w:rsidR="00756267">
          <w:rPr>
            <w:webHidden/>
          </w:rPr>
          <w:t>8</w:t>
        </w:r>
        <w:r w:rsidR="00756267">
          <w:rPr>
            <w:webHidden/>
          </w:rPr>
          <w:fldChar w:fldCharType="end"/>
        </w:r>
      </w:hyperlink>
    </w:p>
    <w:p w:rsidR="00756267" w:rsidRDefault="00423BED">
      <w:pPr>
        <w:pStyle w:val="TOC1"/>
        <w:rPr>
          <w:rFonts w:asciiTheme="minorHAnsi" w:eastAsiaTheme="minorEastAsia" w:hAnsiTheme="minorHAnsi"/>
          <w:lang w:val="en-AU" w:eastAsia="en-AU"/>
        </w:rPr>
      </w:pPr>
      <w:hyperlink w:anchor="_Toc454547038" w:history="1">
        <w:r w:rsidR="00756267" w:rsidRPr="009005C9">
          <w:rPr>
            <w:rStyle w:val="Hyperlink"/>
          </w:rPr>
          <w:t>4</w:t>
        </w:r>
        <w:r w:rsidR="00756267">
          <w:rPr>
            <w:rFonts w:asciiTheme="minorHAnsi" w:eastAsiaTheme="minorEastAsia" w:hAnsiTheme="minorHAnsi"/>
            <w:lang w:val="en-AU" w:eastAsia="en-AU"/>
          </w:rPr>
          <w:tab/>
        </w:r>
        <w:r w:rsidR="00756267" w:rsidRPr="009005C9">
          <w:rPr>
            <w:rStyle w:val="Hyperlink"/>
          </w:rPr>
          <w:t>Our assessment</w:t>
        </w:r>
        <w:r w:rsidR="00756267">
          <w:rPr>
            <w:webHidden/>
          </w:rPr>
          <w:tab/>
        </w:r>
        <w:r w:rsidR="00756267">
          <w:rPr>
            <w:webHidden/>
          </w:rPr>
          <w:fldChar w:fldCharType="begin"/>
        </w:r>
        <w:r w:rsidR="00756267">
          <w:rPr>
            <w:webHidden/>
          </w:rPr>
          <w:instrText xml:space="preserve"> PAGEREF _Toc454547038 \h </w:instrText>
        </w:r>
        <w:r w:rsidR="00756267">
          <w:rPr>
            <w:webHidden/>
          </w:rPr>
        </w:r>
        <w:r w:rsidR="00756267">
          <w:rPr>
            <w:webHidden/>
          </w:rPr>
          <w:fldChar w:fldCharType="separate"/>
        </w:r>
        <w:r w:rsidR="00756267">
          <w:rPr>
            <w:webHidden/>
          </w:rPr>
          <w:t>9</w:t>
        </w:r>
        <w:r w:rsidR="00756267">
          <w:rPr>
            <w:webHidden/>
          </w:rPr>
          <w:fldChar w:fldCharType="end"/>
        </w:r>
      </w:hyperlink>
    </w:p>
    <w:p w:rsidR="00756267" w:rsidRDefault="00423BED">
      <w:pPr>
        <w:pStyle w:val="TOC2"/>
        <w:rPr>
          <w:rFonts w:asciiTheme="minorHAnsi" w:eastAsiaTheme="minorEastAsia" w:hAnsiTheme="minorHAnsi"/>
          <w:lang w:eastAsia="en-AU"/>
        </w:rPr>
      </w:pPr>
      <w:hyperlink w:anchor="_Toc454547039" w:history="1">
        <w:r w:rsidR="00756267" w:rsidRPr="009005C9">
          <w:rPr>
            <w:rStyle w:val="Hyperlink"/>
          </w:rPr>
          <w:t>4.1</w:t>
        </w:r>
        <w:r w:rsidR="00756267">
          <w:rPr>
            <w:rFonts w:asciiTheme="minorHAnsi" w:eastAsiaTheme="minorEastAsia" w:hAnsiTheme="minorHAnsi"/>
            <w:lang w:eastAsia="en-AU"/>
          </w:rPr>
          <w:tab/>
        </w:r>
        <w:r w:rsidR="00756267" w:rsidRPr="009005C9">
          <w:rPr>
            <w:rStyle w:val="Hyperlink"/>
          </w:rPr>
          <w:t>Submissions</w:t>
        </w:r>
        <w:r w:rsidR="00756267">
          <w:rPr>
            <w:webHidden/>
          </w:rPr>
          <w:tab/>
        </w:r>
        <w:r w:rsidR="00756267">
          <w:rPr>
            <w:webHidden/>
          </w:rPr>
          <w:fldChar w:fldCharType="begin"/>
        </w:r>
        <w:r w:rsidR="00756267">
          <w:rPr>
            <w:webHidden/>
          </w:rPr>
          <w:instrText xml:space="preserve"> PAGEREF _Toc454547039 \h </w:instrText>
        </w:r>
        <w:r w:rsidR="00756267">
          <w:rPr>
            <w:webHidden/>
          </w:rPr>
        </w:r>
        <w:r w:rsidR="00756267">
          <w:rPr>
            <w:webHidden/>
          </w:rPr>
          <w:fldChar w:fldCharType="separate"/>
        </w:r>
        <w:r w:rsidR="00756267">
          <w:rPr>
            <w:webHidden/>
          </w:rPr>
          <w:t>9</w:t>
        </w:r>
        <w:r w:rsidR="00756267">
          <w:rPr>
            <w:webHidden/>
          </w:rPr>
          <w:fldChar w:fldCharType="end"/>
        </w:r>
      </w:hyperlink>
    </w:p>
    <w:p w:rsidR="00756267" w:rsidRDefault="00423BED">
      <w:pPr>
        <w:pStyle w:val="TOC2"/>
        <w:rPr>
          <w:rFonts w:asciiTheme="minorHAnsi" w:eastAsiaTheme="minorEastAsia" w:hAnsiTheme="minorHAnsi"/>
          <w:lang w:eastAsia="en-AU"/>
        </w:rPr>
      </w:pPr>
      <w:hyperlink w:anchor="_Toc454547040" w:history="1">
        <w:r w:rsidR="00756267" w:rsidRPr="009005C9">
          <w:rPr>
            <w:rStyle w:val="Hyperlink"/>
          </w:rPr>
          <w:t>4.2</w:t>
        </w:r>
        <w:r w:rsidR="00756267">
          <w:rPr>
            <w:rFonts w:asciiTheme="minorHAnsi" w:eastAsiaTheme="minorEastAsia" w:hAnsiTheme="minorHAnsi"/>
            <w:lang w:eastAsia="en-AU"/>
          </w:rPr>
          <w:tab/>
        </w:r>
        <w:r w:rsidR="00756267" w:rsidRPr="009005C9">
          <w:rPr>
            <w:rStyle w:val="Hyperlink"/>
          </w:rPr>
          <w:t>Our considerations</w:t>
        </w:r>
        <w:r w:rsidR="00756267">
          <w:rPr>
            <w:webHidden/>
          </w:rPr>
          <w:tab/>
        </w:r>
        <w:r w:rsidR="00756267">
          <w:rPr>
            <w:webHidden/>
          </w:rPr>
          <w:fldChar w:fldCharType="begin"/>
        </w:r>
        <w:r w:rsidR="00756267">
          <w:rPr>
            <w:webHidden/>
          </w:rPr>
          <w:instrText xml:space="preserve"> PAGEREF _Toc454547040 \h </w:instrText>
        </w:r>
        <w:r w:rsidR="00756267">
          <w:rPr>
            <w:webHidden/>
          </w:rPr>
        </w:r>
        <w:r w:rsidR="00756267">
          <w:rPr>
            <w:webHidden/>
          </w:rPr>
          <w:fldChar w:fldCharType="separate"/>
        </w:r>
        <w:r w:rsidR="00756267">
          <w:rPr>
            <w:webHidden/>
          </w:rPr>
          <w:t>9</w:t>
        </w:r>
        <w:r w:rsidR="00756267">
          <w:rPr>
            <w:webHidden/>
          </w:rPr>
          <w:fldChar w:fldCharType="end"/>
        </w:r>
      </w:hyperlink>
    </w:p>
    <w:p w:rsidR="00756267" w:rsidRDefault="00423BED">
      <w:pPr>
        <w:pStyle w:val="TOC2"/>
        <w:rPr>
          <w:rFonts w:asciiTheme="minorHAnsi" w:eastAsiaTheme="minorEastAsia" w:hAnsiTheme="minorHAnsi"/>
          <w:lang w:eastAsia="en-AU"/>
        </w:rPr>
      </w:pPr>
      <w:hyperlink w:anchor="_Toc454547041" w:history="1">
        <w:r w:rsidR="00756267" w:rsidRPr="009005C9">
          <w:rPr>
            <w:rStyle w:val="Hyperlink"/>
          </w:rPr>
          <w:t>4.3</w:t>
        </w:r>
        <w:r w:rsidR="00756267">
          <w:rPr>
            <w:rFonts w:asciiTheme="minorHAnsi" w:eastAsiaTheme="minorEastAsia" w:hAnsiTheme="minorHAnsi"/>
            <w:lang w:eastAsia="en-AU"/>
          </w:rPr>
          <w:tab/>
        </w:r>
        <w:r w:rsidR="00756267" w:rsidRPr="009005C9">
          <w:rPr>
            <w:rStyle w:val="Hyperlink"/>
          </w:rPr>
          <w:t>Our draft decision</w:t>
        </w:r>
        <w:r w:rsidR="00756267">
          <w:rPr>
            <w:webHidden/>
          </w:rPr>
          <w:tab/>
        </w:r>
        <w:r w:rsidR="00756267">
          <w:rPr>
            <w:webHidden/>
          </w:rPr>
          <w:fldChar w:fldCharType="begin"/>
        </w:r>
        <w:r w:rsidR="00756267">
          <w:rPr>
            <w:webHidden/>
          </w:rPr>
          <w:instrText xml:space="preserve"> PAGEREF _Toc454547041 \h </w:instrText>
        </w:r>
        <w:r w:rsidR="00756267">
          <w:rPr>
            <w:webHidden/>
          </w:rPr>
        </w:r>
        <w:r w:rsidR="00756267">
          <w:rPr>
            <w:webHidden/>
          </w:rPr>
          <w:fldChar w:fldCharType="separate"/>
        </w:r>
        <w:r w:rsidR="00756267">
          <w:rPr>
            <w:webHidden/>
          </w:rPr>
          <w:t>10</w:t>
        </w:r>
        <w:r w:rsidR="00756267">
          <w:rPr>
            <w:webHidden/>
          </w:rPr>
          <w:fldChar w:fldCharType="end"/>
        </w:r>
      </w:hyperlink>
    </w:p>
    <w:p w:rsidR="00D37B25" w:rsidRDefault="00D37B25" w:rsidP="00D37B25">
      <w:r>
        <w:fldChar w:fldCharType="end"/>
      </w:r>
      <w:r>
        <w:tab/>
      </w:r>
    </w:p>
    <w:p w:rsidR="00D37B25" w:rsidRDefault="00D37B25" w:rsidP="00D37B25">
      <w:bookmarkStart w:id="0" w:name="_Toc213047617"/>
    </w:p>
    <w:p w:rsidR="00D37B25" w:rsidRDefault="00D37B25" w:rsidP="00D37B25">
      <w:pPr>
        <w:sectPr w:rsidR="00D37B25" w:rsidSect="007A4D1F">
          <w:footerReference w:type="default" r:id="rId12"/>
          <w:pgSz w:w="11906" w:h="16838" w:code="9"/>
          <w:pgMar w:top="1440" w:right="1700" w:bottom="1582" w:left="1729" w:header="720" w:footer="1009" w:gutter="0"/>
          <w:pgNumType w:fmt="lowerRoman"/>
          <w:cols w:space="720"/>
          <w:docGrid w:linePitch="326"/>
        </w:sectPr>
      </w:pPr>
    </w:p>
    <w:p w:rsidR="00D37B25" w:rsidRDefault="00D37B25" w:rsidP="00D37B25">
      <w:pPr>
        <w:pStyle w:val="Heading1"/>
        <w:ind w:left="680" w:hanging="680"/>
      </w:pPr>
      <w:bookmarkStart w:id="1" w:name="_Toc454547028"/>
      <w:r>
        <w:lastRenderedPageBreak/>
        <w:t>Shortened forms</w:t>
      </w:r>
      <w:bookmarkEnd w:id="1"/>
    </w:p>
    <w:p w:rsidR="00D37B25" w:rsidRPr="00432D99" w:rsidRDefault="00D37B25" w:rsidP="00D37B25"/>
    <w:tbl>
      <w:tblPr>
        <w:tblStyle w:val="AERTable-Text"/>
        <w:tblW w:w="0" w:type="auto"/>
        <w:tblLook w:val="04A0" w:firstRow="1" w:lastRow="0" w:firstColumn="1" w:lastColumn="0" w:noHBand="0" w:noVBand="1"/>
      </w:tblPr>
      <w:tblGrid>
        <w:gridCol w:w="4340"/>
        <w:gridCol w:w="4353"/>
      </w:tblGrid>
      <w:tr w:rsidR="00D37B25" w:rsidRPr="00432D99" w:rsidTr="00603ED8">
        <w:trPr>
          <w:cnfStyle w:val="100000000000" w:firstRow="1" w:lastRow="0" w:firstColumn="0" w:lastColumn="0" w:oddVBand="0" w:evenVBand="0" w:oddHBand="0" w:evenHBand="0" w:firstRowFirstColumn="0" w:firstRowLastColumn="0" w:lastRowFirstColumn="0" w:lastRowLastColumn="0"/>
        </w:trPr>
        <w:tc>
          <w:tcPr>
            <w:tcW w:w="4340" w:type="dxa"/>
          </w:tcPr>
          <w:p w:rsidR="00D37B25" w:rsidRPr="00432D99" w:rsidRDefault="00D37B25" w:rsidP="00603ED8">
            <w:pPr>
              <w:rPr>
                <w:lang w:eastAsia="en-AU"/>
              </w:rPr>
            </w:pPr>
            <w:r w:rsidRPr="00432D99">
              <w:rPr>
                <w:lang w:eastAsia="en-AU"/>
              </w:rPr>
              <w:t>Shortened form</w:t>
            </w:r>
          </w:p>
        </w:tc>
        <w:tc>
          <w:tcPr>
            <w:tcW w:w="4353" w:type="dxa"/>
          </w:tcPr>
          <w:p w:rsidR="00D37B25" w:rsidRPr="00432D99" w:rsidRDefault="00D37B25" w:rsidP="00603ED8">
            <w:pPr>
              <w:rPr>
                <w:lang w:eastAsia="en-AU"/>
              </w:rPr>
            </w:pPr>
            <w:r w:rsidRPr="00432D99">
              <w:rPr>
                <w:lang w:eastAsia="en-AU"/>
              </w:rPr>
              <w:t>Extended form</w:t>
            </w:r>
          </w:p>
        </w:tc>
      </w:tr>
      <w:tr w:rsidR="00D37B25" w:rsidRPr="00432D99" w:rsidTr="00603ED8">
        <w:tc>
          <w:tcPr>
            <w:tcW w:w="4340" w:type="dxa"/>
          </w:tcPr>
          <w:p w:rsidR="00D37B25" w:rsidRPr="00432D99" w:rsidRDefault="00D37B25" w:rsidP="00603ED8">
            <w:r>
              <w:t>AEMC</w:t>
            </w:r>
          </w:p>
        </w:tc>
        <w:tc>
          <w:tcPr>
            <w:tcW w:w="4353" w:type="dxa"/>
          </w:tcPr>
          <w:p w:rsidR="00D37B25" w:rsidRPr="00432D99" w:rsidRDefault="00D37B25" w:rsidP="00603ED8">
            <w:r>
              <w:t>Australian Energy Market Commission</w:t>
            </w:r>
          </w:p>
        </w:tc>
      </w:tr>
      <w:tr w:rsidR="00D37B25" w:rsidRPr="00432D99" w:rsidTr="00603ED8">
        <w:trPr>
          <w:cnfStyle w:val="000000010000" w:firstRow="0" w:lastRow="0" w:firstColumn="0" w:lastColumn="0" w:oddVBand="0" w:evenVBand="0" w:oddHBand="0" w:evenHBand="1" w:firstRowFirstColumn="0" w:firstRowLastColumn="0" w:lastRowFirstColumn="0" w:lastRowLastColumn="0"/>
        </w:trPr>
        <w:tc>
          <w:tcPr>
            <w:tcW w:w="4340" w:type="dxa"/>
          </w:tcPr>
          <w:p w:rsidR="00D37B25" w:rsidRPr="00432D99" w:rsidRDefault="00D37B25" w:rsidP="00603ED8">
            <w:r w:rsidRPr="00432D99">
              <w:t>AER</w:t>
            </w:r>
          </w:p>
        </w:tc>
        <w:tc>
          <w:tcPr>
            <w:tcW w:w="4353" w:type="dxa"/>
          </w:tcPr>
          <w:p w:rsidR="00D37B25" w:rsidRPr="00432D99" w:rsidRDefault="00D37B25" w:rsidP="00603ED8">
            <w:r w:rsidRPr="00432D99">
              <w:t>Australian Energy Regulator</w:t>
            </w:r>
          </w:p>
        </w:tc>
      </w:tr>
      <w:tr w:rsidR="00D37B25" w:rsidRPr="00432D99" w:rsidTr="00603ED8">
        <w:tc>
          <w:tcPr>
            <w:tcW w:w="4340" w:type="dxa"/>
          </w:tcPr>
          <w:p w:rsidR="00D37B25" w:rsidRPr="00432D99" w:rsidRDefault="00D37B25" w:rsidP="00603ED8">
            <w:pPr>
              <w:rPr>
                <w:lang w:eastAsia="en-AU"/>
              </w:rPr>
            </w:pPr>
            <w:r>
              <w:t>DNSP</w:t>
            </w:r>
          </w:p>
        </w:tc>
        <w:tc>
          <w:tcPr>
            <w:tcW w:w="4353" w:type="dxa"/>
          </w:tcPr>
          <w:p w:rsidR="00D37B25" w:rsidRPr="00432D99" w:rsidRDefault="00D37B25" w:rsidP="00603ED8">
            <w:pPr>
              <w:rPr>
                <w:lang w:eastAsia="en-AU"/>
              </w:rPr>
            </w:pPr>
            <w:r>
              <w:t>Distribution Network Service Provider</w:t>
            </w:r>
          </w:p>
        </w:tc>
      </w:tr>
      <w:tr w:rsidR="00D37B25" w:rsidRPr="00432D99" w:rsidTr="00603ED8">
        <w:trPr>
          <w:cnfStyle w:val="000000010000" w:firstRow="0" w:lastRow="0" w:firstColumn="0" w:lastColumn="0" w:oddVBand="0" w:evenVBand="0" w:oddHBand="0" w:evenHBand="1" w:firstRowFirstColumn="0" w:firstRowLastColumn="0" w:lastRowFirstColumn="0" w:lastRowLastColumn="0"/>
        </w:trPr>
        <w:tc>
          <w:tcPr>
            <w:tcW w:w="4340" w:type="dxa"/>
          </w:tcPr>
          <w:p w:rsidR="00D37B25" w:rsidRPr="00432D99" w:rsidRDefault="00D37B25" w:rsidP="00603ED8">
            <w:pPr>
              <w:rPr>
                <w:lang w:eastAsia="en-AU"/>
              </w:rPr>
            </w:pPr>
            <w:r>
              <w:t>Energex</w:t>
            </w:r>
          </w:p>
        </w:tc>
        <w:tc>
          <w:tcPr>
            <w:tcW w:w="4353" w:type="dxa"/>
          </w:tcPr>
          <w:p w:rsidR="00D37B25" w:rsidRPr="00432D99" w:rsidRDefault="00D37B25" w:rsidP="00603ED8">
            <w:pPr>
              <w:rPr>
                <w:lang w:eastAsia="en-AU"/>
              </w:rPr>
            </w:pPr>
            <w:r>
              <w:t>Energex Limited</w:t>
            </w:r>
          </w:p>
        </w:tc>
      </w:tr>
      <w:tr w:rsidR="00D37B25" w:rsidRPr="00432D99" w:rsidTr="00603ED8">
        <w:tc>
          <w:tcPr>
            <w:tcW w:w="4340" w:type="dxa"/>
          </w:tcPr>
          <w:p w:rsidR="00D37B25" w:rsidRPr="00432D99" w:rsidRDefault="00D37B25" w:rsidP="00603ED8">
            <w:pPr>
              <w:rPr>
                <w:lang w:eastAsia="en-AU"/>
              </w:rPr>
            </w:pPr>
            <w:r>
              <w:t>NEL</w:t>
            </w:r>
          </w:p>
        </w:tc>
        <w:tc>
          <w:tcPr>
            <w:tcW w:w="4353" w:type="dxa"/>
          </w:tcPr>
          <w:p w:rsidR="00D37B25" w:rsidRPr="00432D99" w:rsidRDefault="00D37B25" w:rsidP="00603ED8">
            <w:pPr>
              <w:rPr>
                <w:lang w:eastAsia="en-AU"/>
              </w:rPr>
            </w:pPr>
            <w:r>
              <w:t>National Electricity Law</w:t>
            </w:r>
          </w:p>
        </w:tc>
      </w:tr>
      <w:tr w:rsidR="00D37B25" w:rsidRPr="00432D99" w:rsidTr="00603ED8">
        <w:trPr>
          <w:cnfStyle w:val="000000010000" w:firstRow="0" w:lastRow="0" w:firstColumn="0" w:lastColumn="0" w:oddVBand="0" w:evenVBand="0" w:oddHBand="0" w:evenHBand="1" w:firstRowFirstColumn="0" w:firstRowLastColumn="0" w:lastRowFirstColumn="0" w:lastRowLastColumn="0"/>
        </w:trPr>
        <w:tc>
          <w:tcPr>
            <w:tcW w:w="4340" w:type="dxa"/>
          </w:tcPr>
          <w:p w:rsidR="00D37B25" w:rsidRDefault="00D37B25" w:rsidP="00603ED8">
            <w:r>
              <w:t>NEM</w:t>
            </w:r>
          </w:p>
        </w:tc>
        <w:tc>
          <w:tcPr>
            <w:tcW w:w="4353" w:type="dxa"/>
          </w:tcPr>
          <w:p w:rsidR="00D37B25" w:rsidRDefault="00D37B25" w:rsidP="00603ED8">
            <w:r>
              <w:t>National Electricity Market</w:t>
            </w:r>
          </w:p>
        </w:tc>
      </w:tr>
      <w:tr w:rsidR="00D37B25" w:rsidRPr="00432D99" w:rsidTr="00603ED8">
        <w:tc>
          <w:tcPr>
            <w:tcW w:w="4340" w:type="dxa"/>
          </w:tcPr>
          <w:p w:rsidR="00D37B25" w:rsidRPr="00432D99" w:rsidRDefault="00D37B25" w:rsidP="00603ED8">
            <w:pPr>
              <w:rPr>
                <w:lang w:eastAsia="en-AU"/>
              </w:rPr>
            </w:pPr>
            <w:r>
              <w:t>NER</w:t>
            </w:r>
          </w:p>
        </w:tc>
        <w:tc>
          <w:tcPr>
            <w:tcW w:w="4353" w:type="dxa"/>
          </w:tcPr>
          <w:p w:rsidR="00D37B25" w:rsidRPr="00432D99" w:rsidRDefault="00D37B25" w:rsidP="00603ED8">
            <w:pPr>
              <w:rPr>
                <w:lang w:eastAsia="en-AU"/>
              </w:rPr>
            </w:pPr>
            <w:r>
              <w:t>National Electricity Rules</w:t>
            </w:r>
          </w:p>
        </w:tc>
      </w:tr>
      <w:tr w:rsidR="00D37B25" w:rsidRPr="00432D99" w:rsidTr="00603ED8">
        <w:trPr>
          <w:cnfStyle w:val="000000010000" w:firstRow="0" w:lastRow="0" w:firstColumn="0" w:lastColumn="0" w:oddVBand="0" w:evenVBand="0" w:oddHBand="0" w:evenHBand="1" w:firstRowFirstColumn="0" w:firstRowLastColumn="0" w:lastRowFirstColumn="0" w:lastRowLastColumn="0"/>
        </w:trPr>
        <w:tc>
          <w:tcPr>
            <w:tcW w:w="4340" w:type="dxa"/>
          </w:tcPr>
          <w:p w:rsidR="00D37B25" w:rsidRPr="00432D99" w:rsidRDefault="00D37B25" w:rsidP="00603ED8">
            <w:pPr>
              <w:rPr>
                <w:lang w:eastAsia="en-AU"/>
              </w:rPr>
            </w:pPr>
            <w:r>
              <w:t>QCA</w:t>
            </w:r>
          </w:p>
        </w:tc>
        <w:tc>
          <w:tcPr>
            <w:tcW w:w="4353" w:type="dxa"/>
          </w:tcPr>
          <w:p w:rsidR="00D37B25" w:rsidRPr="00432D99" w:rsidRDefault="00D37B25" w:rsidP="00603ED8">
            <w:pPr>
              <w:rPr>
                <w:lang w:eastAsia="en-AU"/>
              </w:rPr>
            </w:pPr>
            <w:r>
              <w:t>Queensland Competition Authority</w:t>
            </w:r>
          </w:p>
        </w:tc>
      </w:tr>
      <w:tr w:rsidR="00D37B25" w:rsidRPr="00432D99" w:rsidTr="00603ED8">
        <w:tc>
          <w:tcPr>
            <w:tcW w:w="4340" w:type="dxa"/>
          </w:tcPr>
          <w:p w:rsidR="00D37B25" w:rsidRPr="00432D99" w:rsidRDefault="00D37B25" w:rsidP="00603ED8">
            <w:pPr>
              <w:rPr>
                <w:lang w:eastAsia="en-AU"/>
              </w:rPr>
            </w:pPr>
            <w:r>
              <w:t>Guidelines</w:t>
            </w:r>
          </w:p>
        </w:tc>
        <w:tc>
          <w:tcPr>
            <w:tcW w:w="4353" w:type="dxa"/>
          </w:tcPr>
          <w:p w:rsidR="00D37B25" w:rsidRPr="00432D99" w:rsidRDefault="00244465" w:rsidP="00603ED8">
            <w:pPr>
              <w:rPr>
                <w:lang w:eastAsia="en-AU"/>
              </w:rPr>
            </w:pPr>
            <w:r>
              <w:rPr>
                <w:lang w:eastAsia="en-AU"/>
              </w:rPr>
              <w:t xml:space="preserve">Electricity Distribution: Ring </w:t>
            </w:r>
            <w:r w:rsidR="00D37B25" w:rsidRPr="00DA3536">
              <w:rPr>
                <w:lang w:eastAsia="en-AU"/>
              </w:rPr>
              <w:t>Fencing</w:t>
            </w:r>
            <w:r w:rsidR="00D37B25">
              <w:t xml:space="preserve"> </w:t>
            </w:r>
            <w:r w:rsidR="00D37B25" w:rsidRPr="00DA3536">
              <w:rPr>
                <w:lang w:eastAsia="en-AU"/>
              </w:rPr>
              <w:t>Guidelines, September 2000</w:t>
            </w:r>
            <w:r w:rsidR="00D37B25">
              <w:rPr>
                <w:rStyle w:val="FootnoteReference"/>
                <w:lang w:eastAsia="en-AU"/>
              </w:rPr>
              <w:footnoteReference w:id="1"/>
            </w:r>
          </w:p>
        </w:tc>
      </w:tr>
    </w:tbl>
    <w:p w:rsidR="00D37B25" w:rsidRDefault="00D37B25" w:rsidP="00D37B25">
      <w:pPr>
        <w:pStyle w:val="Heading1"/>
        <w:ind w:left="680" w:hanging="680"/>
      </w:pPr>
      <w:bookmarkStart w:id="2" w:name="_Toc454547029"/>
      <w:bookmarkEnd w:id="0"/>
      <w:r>
        <w:t>Request for submissions</w:t>
      </w:r>
      <w:bookmarkEnd w:id="2"/>
    </w:p>
    <w:p w:rsidR="00D37B25" w:rsidRDefault="00D37B25" w:rsidP="00D37B25">
      <w:r w:rsidRPr="00033F4A">
        <w:t xml:space="preserve">This document sets out the Australian Energy Regulator’s (AER) draft decision </w:t>
      </w:r>
      <w:r>
        <w:t>on</w:t>
      </w:r>
      <w:r w:rsidRPr="00033F4A">
        <w:t xml:space="preserve"> </w:t>
      </w:r>
      <w:r>
        <w:t xml:space="preserve">an application from Energex </w:t>
      </w:r>
      <w:r w:rsidRPr="00033F4A">
        <w:t>Limi</w:t>
      </w:r>
      <w:r>
        <w:t>ted (Energex)</w:t>
      </w:r>
      <w:r w:rsidRPr="00033F4A">
        <w:t xml:space="preserve"> for a</w:t>
      </w:r>
      <w:r>
        <w:t xml:space="preserve"> </w:t>
      </w:r>
      <w:r w:rsidRPr="00033F4A">
        <w:t xml:space="preserve">waiver from the Queensland </w:t>
      </w:r>
      <w:r>
        <w:t>Electricity Distribution Ring–Fencing Guidelines</w:t>
      </w:r>
      <w:r w:rsidRPr="00033F4A">
        <w:t xml:space="preserve"> (the Guidelines).</w:t>
      </w:r>
      <w:r>
        <w:rPr>
          <w:rStyle w:val="FootnoteReference"/>
        </w:rPr>
        <w:footnoteReference w:id="2"/>
      </w:r>
      <w:r>
        <w:t xml:space="preserve"> </w:t>
      </w:r>
    </w:p>
    <w:p w:rsidR="00D37B25" w:rsidRDefault="00D37B25" w:rsidP="00D37B25">
      <w:r>
        <w:t>Energex</w:t>
      </w:r>
      <w:r w:rsidRPr="00033F4A">
        <w:t>’s waiver application relates to a</w:t>
      </w:r>
      <w:r>
        <w:t xml:space="preserve"> </w:t>
      </w:r>
      <w:r w:rsidRPr="00033F4A">
        <w:t xml:space="preserve">requirement under section 1(b) of the Guidelines </w:t>
      </w:r>
      <w:r>
        <w:t>specifying</w:t>
      </w:r>
      <w:r w:rsidR="0004658E">
        <w:t xml:space="preserve"> that</w:t>
      </w:r>
      <w:r>
        <w:t xml:space="preserve"> Energex may not</w:t>
      </w:r>
      <w:r w:rsidRPr="00033F4A">
        <w:t xml:space="preserve"> carry on a</w:t>
      </w:r>
      <w:r>
        <w:t xml:space="preserve"> </w:t>
      </w:r>
      <w:r w:rsidRPr="00033F4A">
        <w:t xml:space="preserve">business </w:t>
      </w:r>
      <w:r>
        <w:t>related to its role as an electricity Distribution Network Service Provider (DNSP)</w:t>
      </w:r>
      <w:r w:rsidRPr="00033F4A">
        <w:t xml:space="preserve">. </w:t>
      </w:r>
    </w:p>
    <w:p w:rsidR="00D37B25" w:rsidRDefault="00D37B25" w:rsidP="00D37B25">
      <w:r>
        <w:t>Copies of Energex</w:t>
      </w:r>
      <w:r w:rsidRPr="00C9409A">
        <w:t>’s waiver application are available on the AER’s website</w:t>
      </w:r>
      <w:r>
        <w:t xml:space="preserve"> </w:t>
      </w:r>
      <w:hyperlink r:id="rId13" w:history="1">
        <w:r w:rsidRPr="000248A2">
          <w:rPr>
            <w:rStyle w:val="Hyperlink"/>
          </w:rPr>
          <w:t>www.aer.gov.au</w:t>
        </w:r>
      </w:hyperlink>
      <w:r w:rsidRPr="00B30F3B">
        <w:t>.</w:t>
      </w:r>
    </w:p>
    <w:p w:rsidR="00D37B25" w:rsidRDefault="00D37B25" w:rsidP="00D37B25">
      <w:r w:rsidRPr="0053227C">
        <w:t>We invite submissions from interested parties on Energex's waiver application and this draft decision.</w:t>
      </w:r>
      <w:r>
        <w:t xml:space="preserve"> </w:t>
      </w:r>
    </w:p>
    <w:p w:rsidR="00D37B25" w:rsidRDefault="00D37B25" w:rsidP="00D37B25">
      <w:r w:rsidRPr="00033F4A">
        <w:t>Submissions should be emailed to AERInquiry</w:t>
      </w:r>
      <w:r>
        <w:t xml:space="preserve">@aer.gov.au before </w:t>
      </w:r>
      <w:r w:rsidR="003A66BD" w:rsidRPr="003A66BD">
        <w:t>5pm on Tuesday 2 August 2016</w:t>
      </w:r>
      <w:r w:rsidRPr="003A66BD">
        <w:t>.</w:t>
      </w:r>
      <w:r w:rsidRPr="00033F4A">
        <w:t xml:space="preserve"> Enquiries may be emailed to the same AER email address.</w:t>
      </w:r>
      <w:r>
        <w:t xml:space="preserve"> Submissions may also be mailed to:</w:t>
      </w:r>
    </w:p>
    <w:p w:rsidR="00D37B25" w:rsidRDefault="00D37B25" w:rsidP="00D37B25">
      <w:pPr>
        <w:pStyle w:val="Bulletpoint2"/>
        <w:numPr>
          <w:ilvl w:val="0"/>
          <w:numId w:val="0"/>
        </w:numPr>
        <w:ind w:left="998"/>
      </w:pPr>
      <w:r>
        <w:t xml:space="preserve">Mr Chris Pattas, </w:t>
      </w:r>
    </w:p>
    <w:p w:rsidR="00D37B25" w:rsidRPr="00033F4A" w:rsidRDefault="00D37B25" w:rsidP="00D37B25">
      <w:pPr>
        <w:pStyle w:val="Bulletpoint2"/>
        <w:numPr>
          <w:ilvl w:val="0"/>
          <w:numId w:val="0"/>
        </w:numPr>
        <w:ind w:left="998"/>
      </w:pPr>
      <w:r>
        <w:t>General Manager Network</w:t>
      </w:r>
      <w:r w:rsidR="00604D1B">
        <w:t>s</w:t>
      </w:r>
      <w:r>
        <w:t xml:space="preserve"> </w:t>
      </w:r>
    </w:p>
    <w:p w:rsidR="00D37B25" w:rsidRPr="00C9409A" w:rsidRDefault="00D37B25" w:rsidP="00D37B25">
      <w:pPr>
        <w:pStyle w:val="Bulletpoint2"/>
        <w:numPr>
          <w:ilvl w:val="0"/>
          <w:numId w:val="0"/>
        </w:numPr>
        <w:ind w:left="998"/>
      </w:pPr>
      <w:r w:rsidRPr="00C9409A">
        <w:lastRenderedPageBreak/>
        <w:t>Australian Energy Regulator</w:t>
      </w:r>
    </w:p>
    <w:p w:rsidR="00D37B25" w:rsidRPr="00C9409A" w:rsidRDefault="00D37B25" w:rsidP="00D37B25">
      <w:pPr>
        <w:pStyle w:val="Bulletpoint2"/>
        <w:numPr>
          <w:ilvl w:val="0"/>
          <w:numId w:val="0"/>
        </w:numPr>
        <w:ind w:left="998"/>
      </w:pPr>
      <w:r w:rsidRPr="00C9409A">
        <w:t>GPO Box 520</w:t>
      </w:r>
    </w:p>
    <w:p w:rsidR="00D37B25" w:rsidRDefault="00D37B25" w:rsidP="00D37B25">
      <w:pPr>
        <w:pStyle w:val="Bulletpoint2"/>
        <w:numPr>
          <w:ilvl w:val="0"/>
          <w:numId w:val="0"/>
        </w:numPr>
        <w:ind w:left="998"/>
      </w:pPr>
      <w:r w:rsidRPr="00C9409A">
        <w:t>Melbourne  Vic  3001</w:t>
      </w:r>
    </w:p>
    <w:p w:rsidR="00D37B25" w:rsidRPr="005A5813" w:rsidRDefault="00D37B25" w:rsidP="00D37B25">
      <w:r>
        <w:t xml:space="preserve">We prefer </w:t>
      </w:r>
      <w:r w:rsidRPr="005A5813">
        <w:t>all submissions be publicly available to facilitate an informed</w:t>
      </w:r>
      <w:r>
        <w:t xml:space="preserve"> </w:t>
      </w:r>
      <w:r w:rsidRPr="005A5813">
        <w:t>and transparent consultative process. Submissions will be treated as public documents</w:t>
      </w:r>
      <w:r>
        <w:t xml:space="preserve"> </w:t>
      </w:r>
      <w:r w:rsidRPr="005A5813">
        <w:t>unless otherwise requested. Parties wishing to submit con</w:t>
      </w:r>
      <w:bookmarkStart w:id="3" w:name="_GoBack"/>
      <w:bookmarkEnd w:id="3"/>
      <w:r w:rsidRPr="005A5813">
        <w:t>fidential information are</w:t>
      </w:r>
      <w:r>
        <w:t xml:space="preserve"> </w:t>
      </w:r>
      <w:r w:rsidRPr="005A5813">
        <w:t>requested to:</w:t>
      </w:r>
    </w:p>
    <w:p w:rsidR="00D37B25" w:rsidRPr="005A5813" w:rsidRDefault="00D37B25" w:rsidP="00D37B25">
      <w:pPr>
        <w:pStyle w:val="Bulletpoint"/>
        <w:tabs>
          <w:tab w:val="left" w:pos="340"/>
        </w:tabs>
      </w:pPr>
      <w:r w:rsidRPr="005A5813">
        <w:t>clearly identify the information that is the subject of the confidentiality claim</w:t>
      </w:r>
    </w:p>
    <w:p w:rsidR="00D37B25" w:rsidRPr="005A5813" w:rsidRDefault="00D37B25" w:rsidP="00D37B25">
      <w:pPr>
        <w:pStyle w:val="Bulletpoint"/>
        <w:tabs>
          <w:tab w:val="left" w:pos="340"/>
        </w:tabs>
      </w:pPr>
      <w:r w:rsidRPr="005A5813">
        <w:t>provide a non–confidential version of the submission.</w:t>
      </w:r>
    </w:p>
    <w:p w:rsidR="00D37B25" w:rsidRDefault="00D37B25" w:rsidP="00D37B25">
      <w:r w:rsidRPr="005A5813">
        <w:t xml:space="preserve">All non-confidential submissions will be placed on the AER website. </w:t>
      </w:r>
    </w:p>
    <w:p w:rsidR="00D37B25" w:rsidRDefault="00D37B25" w:rsidP="00D37B25"/>
    <w:p w:rsidR="00D37B25" w:rsidRDefault="00D37B25" w:rsidP="00D37B25"/>
    <w:p w:rsidR="00D37B25" w:rsidRDefault="00D37B25" w:rsidP="00D37B25">
      <w:pPr>
        <w:spacing w:line="240" w:lineRule="auto"/>
      </w:pPr>
      <w:r>
        <w:br w:type="page"/>
      </w:r>
    </w:p>
    <w:p w:rsidR="00D37B25" w:rsidRDefault="00D37B25" w:rsidP="00D37B25">
      <w:pPr>
        <w:pStyle w:val="Heading1"/>
        <w:pageBreakBefore/>
        <w:numPr>
          <w:ilvl w:val="0"/>
          <w:numId w:val="39"/>
        </w:numPr>
        <w:tabs>
          <w:tab w:val="left" w:pos="680"/>
        </w:tabs>
        <w:ind w:left="680" w:hanging="680"/>
      </w:pPr>
      <w:bookmarkStart w:id="4" w:name="_Toc454547030"/>
      <w:bookmarkStart w:id="5" w:name="_Toc213047618"/>
      <w:r>
        <w:lastRenderedPageBreak/>
        <w:t>Summary</w:t>
      </w:r>
      <w:bookmarkEnd w:id="4"/>
    </w:p>
    <w:p w:rsidR="00D37B25" w:rsidRDefault="00D37B25" w:rsidP="00D37B25">
      <w:r>
        <w:t xml:space="preserve">On </w:t>
      </w:r>
      <w:r w:rsidR="00F054B7">
        <w:t xml:space="preserve">20 May 2016, Energex submitted an application for a waiver from </w:t>
      </w:r>
      <w:r w:rsidR="00E866CA">
        <w:t xml:space="preserve">the Queensland ring fencing guidelines </w:t>
      </w:r>
      <w:r w:rsidR="00F054B7">
        <w:t>in respect of its Battery Energy Storage System (BESS) project incorporating solar photovoltaic (PV)</w:t>
      </w:r>
      <w:r>
        <w:t xml:space="preserve"> generation and batteries.</w:t>
      </w:r>
      <w:r>
        <w:rPr>
          <w:rStyle w:val="FootnoteReference"/>
        </w:rPr>
        <w:footnoteReference w:id="3"/>
      </w:r>
      <w:r>
        <w:t xml:space="preserve"> </w:t>
      </w:r>
      <w:r w:rsidRPr="005E2561">
        <w:t xml:space="preserve">Section </w:t>
      </w:r>
      <w:r>
        <w:t xml:space="preserve">1(b) of the </w:t>
      </w:r>
      <w:r w:rsidRPr="005E2561">
        <w:t>Guidelines prevents a</w:t>
      </w:r>
      <w:r>
        <w:t xml:space="preserve"> distribution network service provider (DNSP), such as Energex, from carrying on a "</w:t>
      </w:r>
      <w:r w:rsidRPr="005E2561">
        <w:t>related business</w:t>
      </w:r>
      <w:r>
        <w:t xml:space="preserve">" </w:t>
      </w:r>
      <w:r w:rsidRPr="005E2561">
        <w:t xml:space="preserve">within its legal entity. A </w:t>
      </w:r>
      <w:r>
        <w:t>"</w:t>
      </w:r>
      <w:r w:rsidRPr="005E2561">
        <w:t>related business</w:t>
      </w:r>
      <w:r>
        <w:t>" is defined by the Guidelines as</w:t>
      </w:r>
      <w:r w:rsidRPr="005E2561">
        <w:t xml:space="preserve"> a business of producing, purchasing</w:t>
      </w:r>
      <w:r>
        <w:t xml:space="preserve"> </w:t>
      </w:r>
      <w:r w:rsidRPr="005E2561">
        <w:t>or selling electricity.</w:t>
      </w:r>
    </w:p>
    <w:p w:rsidR="002419A7" w:rsidRDefault="002419A7" w:rsidP="00D37B25">
      <w:r>
        <w:t xml:space="preserve">After receiving Energex’s application, we posted it on our website and called for submissions from stakeholders via a notice in The Australian and an email notification. We received one submission in response to this application. </w:t>
      </w:r>
    </w:p>
    <w:p w:rsidR="00D37B25" w:rsidRDefault="00D37B25" w:rsidP="00D37B25">
      <w:r>
        <w:t xml:space="preserve">Energex </w:t>
      </w:r>
      <w:r w:rsidR="00F054B7">
        <w:t>intends to install 150kW of solar PV capacity at its Eagle Farm Distribution Centre to be used in conjunction with its commercial BESS</w:t>
      </w:r>
      <w:r w:rsidR="00704FB1">
        <w:t xml:space="preserve"> trial</w:t>
      </w:r>
      <w:r w:rsidR="00F054B7">
        <w:t>.</w:t>
      </w:r>
      <w:r w:rsidR="00704FB1">
        <w:t xml:space="preserve"> The </w:t>
      </w:r>
      <w:r w:rsidR="00EF219A">
        <w:t>trial project includes a 250kW</w:t>
      </w:r>
      <w:r w:rsidR="00704FB1">
        <w:t xml:space="preserve"> Tesla battery. Energex</w:t>
      </w:r>
      <w:r w:rsidR="00F054B7">
        <w:t xml:space="preserve"> described its BESS project as providing reduced operating costs</w:t>
      </w:r>
      <w:r w:rsidR="009D1D56">
        <w:t xml:space="preserve">, </w:t>
      </w:r>
      <w:r w:rsidR="00F054B7">
        <w:t xml:space="preserve">positive environmental benefits and benefits through </w:t>
      </w:r>
      <w:r w:rsidR="00FE5B85">
        <w:t xml:space="preserve">research and development learnings that will come from the BESS project’s solar PV generation and batteries. </w:t>
      </w:r>
      <w:r>
        <w:t>Energex indicated electricity exports to the grid from its facility would be minimal as most electricity generated by the project's PV units would be used on site.</w:t>
      </w:r>
      <w:r w:rsidR="00142665">
        <w:t xml:space="preserve"> </w:t>
      </w:r>
    </w:p>
    <w:p w:rsidR="00D946B9" w:rsidRDefault="00D37B25" w:rsidP="00D37B25">
      <w:r>
        <w:t xml:space="preserve">The </w:t>
      </w:r>
      <w:r w:rsidR="00FE5B85">
        <w:t xml:space="preserve">solar PV system installation and </w:t>
      </w:r>
      <w:r>
        <w:t>BESS project falls within the definition of a "related business" in the Guidelines because it involves electricity generation and supply to the netw</w:t>
      </w:r>
      <w:r w:rsidR="001B273E">
        <w:t>ork,</w:t>
      </w:r>
      <w:r>
        <w:t xml:space="preserve"> i.e. producing electricity. The waiver, if granted, would allow Energex to operate the project as a related activity.</w:t>
      </w:r>
    </w:p>
    <w:p w:rsidR="00D946B9" w:rsidRDefault="00D946B9" w:rsidP="00D37B25">
      <w:r>
        <w:t xml:space="preserve">We may grant a waiver from the Guidelines’ obligations if we consider the DNSP’s costs of complying with those obligations, in respect of undertaking a “related business”, would outweigh the public benefit. </w:t>
      </w:r>
    </w:p>
    <w:p w:rsidR="001543C8" w:rsidRDefault="00D946B9" w:rsidP="00D37B25">
      <w:r>
        <w:t xml:space="preserve">The purpose of the </w:t>
      </w:r>
      <w:r w:rsidR="00604D1B">
        <w:t xml:space="preserve">current </w:t>
      </w:r>
      <w:r>
        <w:t>Guidelines is to prevent DNSPs from vertically integrating to provide electricity generation and retailing activities. The Guidelines do not account for the broader scope of considerations reflected in the AEMC’s recent work on energy storage, including market development issues.</w:t>
      </w:r>
      <w:r w:rsidR="00097260">
        <w:rPr>
          <w:rStyle w:val="FootnoteReference"/>
        </w:rPr>
        <w:footnoteReference w:id="4"/>
      </w:r>
      <w:r>
        <w:t xml:space="preserve"> </w:t>
      </w:r>
      <w:r w:rsidR="001543C8">
        <w:t>However, we are taking these issues into account in developing new national ring fencing guidelines, due by December 2016.</w:t>
      </w:r>
      <w:r w:rsidR="00325D40">
        <w:rPr>
          <w:rStyle w:val="FootnoteReference"/>
        </w:rPr>
        <w:footnoteReference w:id="5"/>
      </w:r>
    </w:p>
    <w:p w:rsidR="00D946B9" w:rsidRDefault="001543C8" w:rsidP="00D37B25">
      <w:r>
        <w:t xml:space="preserve">We received </w:t>
      </w:r>
      <w:r w:rsidR="006E0ED0">
        <w:t xml:space="preserve">one submission </w:t>
      </w:r>
      <w:r>
        <w:t>in response to Energex’s waiver application</w:t>
      </w:r>
      <w:r w:rsidR="001B0B97">
        <w:t xml:space="preserve"> for its solar PV and BESS project</w:t>
      </w:r>
      <w:r>
        <w:t>. Origin Energy oppose</w:t>
      </w:r>
      <w:r w:rsidR="006E0ED0">
        <w:t>d</w:t>
      </w:r>
      <w:r>
        <w:t xml:space="preserve"> granting waivers, submitting that the waiver applications should be considered under the new national ring fencing guidelines. While we have noted the position</w:t>
      </w:r>
      <w:r w:rsidR="004257D6">
        <w:t xml:space="preserve"> </w:t>
      </w:r>
      <w:r>
        <w:t>advanced by</w:t>
      </w:r>
      <w:r w:rsidR="004257D6">
        <w:t xml:space="preserve"> Origin Energy</w:t>
      </w:r>
      <w:r>
        <w:t>, we are required to assess ring fencing waiver applications on the basis of existing regul</w:t>
      </w:r>
      <w:r w:rsidR="002E6029">
        <w:t xml:space="preserve">atory arrangements and </w:t>
      </w:r>
      <w:r w:rsidR="00604D1B">
        <w:t xml:space="preserve">cannot defer consideration until the new ring-fencing guidelines are made. We therefore </w:t>
      </w:r>
      <w:r w:rsidR="002E6029">
        <w:t xml:space="preserve">consider the objections are not well founded in respect of the </w:t>
      </w:r>
      <w:r w:rsidR="00B15B0B">
        <w:t xml:space="preserve">Queensland </w:t>
      </w:r>
      <w:r w:rsidR="002E6029">
        <w:t>Ring Fencing Guidelines.</w:t>
      </w:r>
      <w:r>
        <w:t xml:space="preserve"> </w:t>
      </w:r>
    </w:p>
    <w:p w:rsidR="00D37B25" w:rsidRDefault="00D37B25" w:rsidP="00D37B25">
      <w:r>
        <w:lastRenderedPageBreak/>
        <w:t xml:space="preserve">Energex submitted that it will not sell electricity injected by its BESS project into the network so will not receive an immediate financial benefit. </w:t>
      </w:r>
      <w:r w:rsidR="00FE5B85">
        <w:t xml:space="preserve">As such, it </w:t>
      </w:r>
      <w:r w:rsidR="00142665">
        <w:t>will not</w:t>
      </w:r>
      <w:r w:rsidR="00FE5B85">
        <w:t xml:space="preserve"> profit from the solar electricity generated</w:t>
      </w:r>
      <w:r w:rsidR="00142665">
        <w:t>. E</w:t>
      </w:r>
      <w:r w:rsidR="00FE5B85">
        <w:t xml:space="preserve">lectricity will be used onsite to reduce operating costs and any net export that occurs (expected to be minimal) would </w:t>
      </w:r>
      <w:r w:rsidR="00BA74A4">
        <w:t>benefit</w:t>
      </w:r>
      <w:r w:rsidR="00FE5B85">
        <w:t xml:space="preserve"> customers through reduced </w:t>
      </w:r>
      <w:r w:rsidR="00142665">
        <w:t xml:space="preserve">line </w:t>
      </w:r>
      <w:r w:rsidR="00FE5B85">
        <w:t xml:space="preserve">losses. </w:t>
      </w:r>
      <w:r>
        <w:t>Energex's waiver application is premised on the project not equating to the "business" of generating/supplying electricity. We note</w:t>
      </w:r>
      <w:r w:rsidR="00EF219A">
        <w:t>,</w:t>
      </w:r>
      <w:r>
        <w:t xml:space="preserve"> however</w:t>
      </w:r>
      <w:r w:rsidR="00EF219A">
        <w:t>, that</w:t>
      </w:r>
      <w:r>
        <w:t xml:space="preserve"> there is an opportunity for Energex to sell electricity, particularly with the combination of PV and batteries </w:t>
      </w:r>
      <w:r w:rsidR="00FE5B85">
        <w:t xml:space="preserve">used in the </w:t>
      </w:r>
      <w:r>
        <w:t>project. Therefore we consider it appropriate for Energex to submit a ring fencing waiver application for our assessment.</w:t>
      </w:r>
    </w:p>
    <w:p w:rsidR="00D37B25" w:rsidRDefault="00D37B25" w:rsidP="00D37B25">
      <w:r>
        <w:t>Having considered the material submitted by Energex</w:t>
      </w:r>
      <w:r w:rsidR="001B273E">
        <w:t xml:space="preserve">, </w:t>
      </w:r>
      <w:r>
        <w:t>our draft decision is to grant a temporary and conditional waiver from section 1(b) of the Guidelines. The waiver is limited to the</w:t>
      </w:r>
      <w:r w:rsidR="00244465">
        <w:t xml:space="preserve"> solar PV system installation and</w:t>
      </w:r>
      <w:r>
        <w:t xml:space="preserve"> </w:t>
      </w:r>
      <w:r w:rsidR="00244465">
        <w:t xml:space="preserve">commercial </w:t>
      </w:r>
      <w:r>
        <w:t>BESS project described in Energex's waiver application. The waiver is conditional on Energex not selling electricity injected into the network. The waiver will remain in place until 12 months after we release new national ring fencing guidelines, due before December 2016. Alternatively, new national ring fencing guidelines may specify an approach to pre–existing waivers such as this.</w:t>
      </w:r>
    </w:p>
    <w:p w:rsidR="00D37B25" w:rsidRDefault="00D37B25" w:rsidP="00D37B25">
      <w:r>
        <w:t xml:space="preserve">The new national guidelines will supersede existing jurisdictional ring fencing guidelines currently administered by the AER. In respect of </w:t>
      </w:r>
      <w:r w:rsidR="00FE5B85">
        <w:t xml:space="preserve">this BESS </w:t>
      </w:r>
      <w:r>
        <w:t>project, Energex will be required to comply with the new guidelines within 12 months after being established, or otherwise comply with transitional arrangements for existing waivers as set out by the new guidelines.</w:t>
      </w:r>
    </w:p>
    <w:p w:rsidR="00D37B25" w:rsidRDefault="00D37B25" w:rsidP="00D37B25">
      <w:pPr>
        <w:spacing w:line="240" w:lineRule="auto"/>
      </w:pPr>
      <w:r>
        <w:br w:type="page"/>
      </w:r>
    </w:p>
    <w:p w:rsidR="00D37B25" w:rsidRDefault="00D37B25" w:rsidP="00D37B25">
      <w:pPr>
        <w:pStyle w:val="Heading1"/>
        <w:pageBreakBefore/>
        <w:numPr>
          <w:ilvl w:val="0"/>
          <w:numId w:val="39"/>
        </w:numPr>
        <w:tabs>
          <w:tab w:val="left" w:pos="680"/>
        </w:tabs>
        <w:ind w:left="680" w:hanging="680"/>
      </w:pPr>
      <w:bookmarkStart w:id="6" w:name="_Toc454547031"/>
      <w:r>
        <w:lastRenderedPageBreak/>
        <w:t>Queensland Ring Fencing Guidelines</w:t>
      </w:r>
      <w:bookmarkEnd w:id="6"/>
    </w:p>
    <w:p w:rsidR="00D37B25" w:rsidRPr="00BD3070" w:rsidRDefault="00D37B25" w:rsidP="00D37B25">
      <w:r w:rsidRPr="00BD3070">
        <w:t>The Queensland Competition Author</w:t>
      </w:r>
      <w:r w:rsidR="00244465">
        <w:t>ity (QCA) published its Ring F</w:t>
      </w:r>
      <w:r w:rsidRPr="00BD3070">
        <w:t>encing Guidelines</w:t>
      </w:r>
      <w:r>
        <w:t xml:space="preserve"> </w:t>
      </w:r>
      <w:r w:rsidRPr="00BD3070">
        <w:t>in September 2000. The objective was to underpin an environment</w:t>
      </w:r>
      <w:r>
        <w:t xml:space="preserve"> </w:t>
      </w:r>
      <w:r w:rsidRPr="00BD3070">
        <w:t>where the price, quantity and quality of electricity traded in the retail, generation and</w:t>
      </w:r>
      <w:r>
        <w:t xml:space="preserve"> </w:t>
      </w:r>
      <w:r w:rsidRPr="00BD3070">
        <w:t>distribution markets was not biased due to vertical integration of distribution and</w:t>
      </w:r>
      <w:r>
        <w:t xml:space="preserve"> other businesses</w:t>
      </w:r>
      <w:r w:rsidRPr="00BD3070">
        <w:t>.</w:t>
      </w:r>
      <w:r>
        <w:rPr>
          <w:rStyle w:val="FootnoteReference"/>
        </w:rPr>
        <w:footnoteReference w:id="6"/>
      </w:r>
      <w:r>
        <w:t xml:space="preserve"> The Guidelines recognised the potential need for ring fencing waivers in certain circumstances to </w:t>
      </w:r>
      <w:r w:rsidRPr="00BD3070">
        <w:t>captur</w:t>
      </w:r>
      <w:r>
        <w:t>e</w:t>
      </w:r>
      <w:r w:rsidRPr="00BD3070">
        <w:t xml:space="preserve"> activities where the cost imposed by complying with the </w:t>
      </w:r>
      <w:r w:rsidR="00244465">
        <w:t>ring fencing</w:t>
      </w:r>
      <w:r>
        <w:t xml:space="preserve"> </w:t>
      </w:r>
      <w:r w:rsidRPr="00BD3070">
        <w:t xml:space="preserve">obligations could outweigh the </w:t>
      </w:r>
      <w:r>
        <w:t xml:space="preserve">likely </w:t>
      </w:r>
      <w:r w:rsidRPr="00BD3070">
        <w:t>benefit</w:t>
      </w:r>
      <w:r>
        <w:t xml:space="preserve"> to the public.</w:t>
      </w:r>
    </w:p>
    <w:p w:rsidR="00D37B25" w:rsidRDefault="00D37B25" w:rsidP="00D37B25">
      <w:r>
        <w:t>On 1 July 2010</w:t>
      </w:r>
      <w:r w:rsidR="00244465">
        <w:t>,</w:t>
      </w:r>
      <w:r w:rsidRPr="00BD3070">
        <w:t xml:space="preserve"> the AER assumed responsibility for administering the Guidelines.</w:t>
      </w:r>
      <w:r>
        <w:t xml:space="preserve"> </w:t>
      </w:r>
      <w:r w:rsidRPr="00BD3070">
        <w:t>Under clause 11.14.5(b)(3) of the NER, guidelines in force for a participating</w:t>
      </w:r>
      <w:r>
        <w:t xml:space="preserve"> </w:t>
      </w:r>
      <w:r w:rsidRPr="00BD3070">
        <w:t>jurisdiction immediately before the AER’s assumption of regulatory responsibility</w:t>
      </w:r>
      <w:r>
        <w:t xml:space="preserve"> </w:t>
      </w:r>
      <w:r w:rsidRPr="00BD3070">
        <w:t>(transitional guidelines) continue to be in force for that jurisdiction subject to</w:t>
      </w:r>
      <w:r>
        <w:t xml:space="preserve"> </w:t>
      </w:r>
      <w:r w:rsidRPr="00BD3070">
        <w:t>amendment, revocation or replacement by the AER. The AER has not made any</w:t>
      </w:r>
      <w:r>
        <w:t xml:space="preserve"> </w:t>
      </w:r>
      <w:r w:rsidRPr="00BD3070">
        <w:t xml:space="preserve">amendment, revocation or replacement in respect of the </w:t>
      </w:r>
      <w:r>
        <w:t xml:space="preserve">(Queensland) </w:t>
      </w:r>
      <w:r w:rsidRPr="00BD3070">
        <w:t>Guidelines to date.</w:t>
      </w:r>
    </w:p>
    <w:p w:rsidR="00D37B25" w:rsidRDefault="00D37B25" w:rsidP="00D37B25">
      <w:pPr>
        <w:pStyle w:val="Heading2"/>
        <w:numPr>
          <w:ilvl w:val="1"/>
          <w:numId w:val="39"/>
        </w:numPr>
        <w:tabs>
          <w:tab w:val="left" w:pos="680"/>
        </w:tabs>
        <w:ind w:left="680" w:hanging="680"/>
      </w:pPr>
      <w:bookmarkStart w:id="7" w:name="_Toc454547032"/>
      <w:r>
        <w:t>Procedure for waiving ring fencing obligations</w:t>
      </w:r>
      <w:bookmarkEnd w:id="7"/>
    </w:p>
    <w:p w:rsidR="00D37B25" w:rsidRPr="00227BBB" w:rsidRDefault="00D37B25" w:rsidP="00D37B25">
      <w:r w:rsidRPr="00227BBB">
        <w:t xml:space="preserve">Section 1 of the Guidelines sets out the minimum </w:t>
      </w:r>
      <w:r w:rsidR="00244465">
        <w:t>ring fencing</w:t>
      </w:r>
      <w:r w:rsidRPr="00227BBB">
        <w:t xml:space="preserve"> obligations imposed on</w:t>
      </w:r>
      <w:r>
        <w:t xml:space="preserve"> the Queensland DNSPs. A DNSP</w:t>
      </w:r>
      <w:r w:rsidRPr="00227BBB">
        <w:t xml:space="preserve"> has the right to seek a waiver from these obligations</w:t>
      </w:r>
      <w:r>
        <w:t xml:space="preserve"> </w:t>
      </w:r>
      <w:r w:rsidRPr="00227BBB">
        <w:t>und</w:t>
      </w:r>
      <w:r>
        <w:t>er section 21 of the Guidelines</w:t>
      </w:r>
      <w:r w:rsidRPr="00227BBB">
        <w:t>:</w:t>
      </w:r>
    </w:p>
    <w:p w:rsidR="00D37B25" w:rsidRPr="00227BBB" w:rsidRDefault="00D37B25" w:rsidP="00D37B25">
      <w:pPr>
        <w:pStyle w:val="Bulletpoint2"/>
        <w:numPr>
          <w:ilvl w:val="0"/>
          <w:numId w:val="0"/>
        </w:numPr>
        <w:ind w:left="998"/>
      </w:pPr>
      <w:r w:rsidRPr="00227BBB">
        <w:t>“The QCA may, by notice to a DNSP, waive any of a DNSP’s obligations</w:t>
      </w:r>
      <w:r>
        <w:t xml:space="preserve"> </w:t>
      </w:r>
      <w:r w:rsidRPr="00227BBB">
        <w:t>under section 1 provided that the QCA is satisfied that the DNSP can</w:t>
      </w:r>
      <w:r>
        <w:t xml:space="preserve"> </w:t>
      </w:r>
      <w:r w:rsidRPr="00227BBB">
        <w:t>demonstrate that the administrative cost</w:t>
      </w:r>
      <w:r>
        <w:t xml:space="preserve"> to the DNSP and its Associates</w:t>
      </w:r>
      <w:r w:rsidRPr="00227BBB">
        <w:t xml:space="preserve"> of</w:t>
      </w:r>
      <w:r>
        <w:t xml:space="preserve"> </w:t>
      </w:r>
      <w:r w:rsidRPr="00227BBB">
        <w:t>complying with the obligation outweighs the benefit, or any likely benefit, to</w:t>
      </w:r>
      <w:r>
        <w:t xml:space="preserve"> </w:t>
      </w:r>
      <w:r w:rsidRPr="00227BBB">
        <w:t>the public.”</w:t>
      </w:r>
    </w:p>
    <w:p w:rsidR="00D37B25" w:rsidRDefault="00D37B25" w:rsidP="00D37B25">
      <w:r>
        <w:t>Where a DNSP</w:t>
      </w:r>
      <w:r w:rsidRPr="00227BBB">
        <w:t xml:space="preserve"> applies for </w:t>
      </w:r>
      <w:r w:rsidR="00244465">
        <w:t xml:space="preserve">a </w:t>
      </w:r>
      <w:r w:rsidRPr="00227BBB">
        <w:t xml:space="preserve">waiver of its </w:t>
      </w:r>
      <w:r w:rsidR="00244465">
        <w:t>ring fencing</w:t>
      </w:r>
      <w:r w:rsidRPr="00227BBB">
        <w:t xml:space="preserve"> obligations, the AER must</w:t>
      </w:r>
      <w:r>
        <w:t xml:space="preserve"> </w:t>
      </w:r>
      <w:r w:rsidRPr="00227BBB">
        <w:t>follow the procedure set out in sections 22 to 30 of the Guidelines in assessing the</w:t>
      </w:r>
      <w:r>
        <w:t xml:space="preserve"> </w:t>
      </w:r>
      <w:r w:rsidRPr="00227BBB">
        <w:t xml:space="preserve">application. </w:t>
      </w:r>
    </w:p>
    <w:p w:rsidR="00D37B25" w:rsidRDefault="00490E44" w:rsidP="00D37B25">
      <w:r>
        <w:t>On 31 May</w:t>
      </w:r>
      <w:r w:rsidR="00D37B25">
        <w:t xml:space="preserve"> </w:t>
      </w:r>
      <w:r>
        <w:t>2016</w:t>
      </w:r>
      <w:r w:rsidR="00244465">
        <w:t>,</w:t>
      </w:r>
      <w:r w:rsidR="00D37B25">
        <w:t xml:space="preserve"> we published a notice in The Australian newspaper to seek comment on Energex's waiver application. We also published the waiver application on the AER website and issued an email alert to AER subscribers. </w:t>
      </w:r>
    </w:p>
    <w:p w:rsidR="00D37B25" w:rsidRDefault="00D37B25" w:rsidP="00D37B25"/>
    <w:p w:rsidR="00D37B25" w:rsidRDefault="00D37B25" w:rsidP="00D37B25"/>
    <w:p w:rsidR="00D37B25" w:rsidRDefault="00D37B25" w:rsidP="00D37B25"/>
    <w:p w:rsidR="00D37B25" w:rsidRDefault="00D37B25" w:rsidP="00D37B25">
      <w:pPr>
        <w:pStyle w:val="Heading1"/>
        <w:pageBreakBefore/>
        <w:numPr>
          <w:ilvl w:val="0"/>
          <w:numId w:val="39"/>
        </w:numPr>
        <w:tabs>
          <w:tab w:val="left" w:pos="680"/>
        </w:tabs>
        <w:ind w:left="680" w:hanging="680"/>
      </w:pPr>
      <w:bookmarkStart w:id="8" w:name="_Toc454547033"/>
      <w:r>
        <w:lastRenderedPageBreak/>
        <w:t>Energex’s waiv</w:t>
      </w:r>
      <w:r w:rsidRPr="00C24309">
        <w:t>er application</w:t>
      </w:r>
      <w:bookmarkEnd w:id="8"/>
    </w:p>
    <w:p w:rsidR="00D37B25" w:rsidRDefault="00D37B25" w:rsidP="00D37B25">
      <w:r>
        <w:t>The waiver sought by Energex</w:t>
      </w:r>
      <w:r w:rsidRPr="00C24309">
        <w:t xml:space="preserve"> is in regard to section 1(b) of</w:t>
      </w:r>
      <w:r>
        <w:t xml:space="preserve"> </w:t>
      </w:r>
      <w:r w:rsidRPr="00C24309">
        <w:t>the Guidelines, which states:</w:t>
      </w:r>
    </w:p>
    <w:p w:rsidR="00D37B25" w:rsidRDefault="00D37B25" w:rsidP="00D37B25">
      <w:pPr>
        <w:pStyle w:val="Bulletpoint2"/>
        <w:numPr>
          <w:ilvl w:val="0"/>
          <w:numId w:val="0"/>
        </w:numPr>
        <w:ind w:left="998"/>
      </w:pPr>
      <w:r>
        <w:t>"A Distribution Network Service Provider (DNSP) that provides prescribed distribution services in Queensland must not carry on a related business within that legal entity"</w:t>
      </w:r>
    </w:p>
    <w:p w:rsidR="00D37B25" w:rsidRDefault="00D37B25" w:rsidP="00D37B25">
      <w:r>
        <w:t>A "</w:t>
      </w:r>
      <w:r w:rsidRPr="007C6246">
        <w:t>related business</w:t>
      </w:r>
      <w:r>
        <w:t>"</w:t>
      </w:r>
      <w:r w:rsidRPr="007C6246">
        <w:t xml:space="preserve"> is defined in section 30 of the Guidelines as a business of</w:t>
      </w:r>
      <w:r>
        <w:t xml:space="preserve"> </w:t>
      </w:r>
      <w:r w:rsidRPr="007C6246">
        <w:t>producing, purchasing or selling electricity.</w:t>
      </w:r>
    </w:p>
    <w:p w:rsidR="00D37B25" w:rsidRDefault="00D37B25" w:rsidP="00D37B25">
      <w:r>
        <w:t>Section 21 allows the AER to waive the Guidelines' obligations if we consider the administrative costs of compliance will outweigh the public benefit.</w:t>
      </w:r>
      <w:r w:rsidRPr="00E91C19">
        <w:t xml:space="preserve"> </w:t>
      </w:r>
      <w:r>
        <w:t xml:space="preserve">Section 22 of the Guidelines allows DNSPs to </w:t>
      </w:r>
      <w:r w:rsidRPr="00E91C19">
        <w:t>seek a notice from the AER to be issued under section 21.</w:t>
      </w:r>
    </w:p>
    <w:p w:rsidR="00D37B25" w:rsidRPr="00366F17" w:rsidRDefault="00796F4E" w:rsidP="00D37B25">
      <w:pPr>
        <w:pStyle w:val="Heading2"/>
        <w:numPr>
          <w:ilvl w:val="1"/>
          <w:numId w:val="39"/>
        </w:numPr>
        <w:tabs>
          <w:tab w:val="left" w:pos="680"/>
        </w:tabs>
        <w:ind w:left="680" w:hanging="680"/>
        <w:rPr>
          <w:rStyle w:val="Strong"/>
          <w:b/>
          <w:bCs/>
        </w:rPr>
      </w:pPr>
      <w:bookmarkStart w:id="9" w:name="_Toc454547034"/>
      <w:r>
        <w:rPr>
          <w:rStyle w:val="Strong"/>
        </w:rPr>
        <w:t xml:space="preserve">150 kW solar PV system </w:t>
      </w:r>
      <w:r w:rsidR="00704FB1">
        <w:rPr>
          <w:rStyle w:val="Strong"/>
        </w:rPr>
        <w:t>&amp; BESS project</w:t>
      </w:r>
      <w:bookmarkEnd w:id="9"/>
    </w:p>
    <w:p w:rsidR="005A428E" w:rsidRDefault="00D37B25" w:rsidP="00D37B25">
      <w:r>
        <w:t>Energex</w:t>
      </w:r>
      <w:r w:rsidRPr="00D211B4">
        <w:t>’s waiver application described</w:t>
      </w:r>
      <w:r w:rsidR="005A428E">
        <w:t xml:space="preserve"> the expected benefits of the solar PV installation</w:t>
      </w:r>
      <w:r w:rsidRPr="00D211B4">
        <w:t xml:space="preserve"> </w:t>
      </w:r>
      <w:r w:rsidR="00704FB1">
        <w:t xml:space="preserve">and BESS project </w:t>
      </w:r>
      <w:r w:rsidR="005A428E">
        <w:t>at its Eagle Farm Distribution Centre. In particular, it undertook financial analysis as part of an investigation into the use of solar PV as an alternative energy source to reduce operating costs at</w:t>
      </w:r>
      <w:r w:rsidR="0073370E">
        <w:t xml:space="preserve"> the facility and found the </w:t>
      </w:r>
      <w:r w:rsidR="007F696F">
        <w:t xml:space="preserve">installation to have positive net present value for the </w:t>
      </w:r>
      <w:r w:rsidR="0073370E">
        <w:t>base case</w:t>
      </w:r>
      <w:r w:rsidR="005A428E">
        <w:t>. Energex expects to see savings in operating expenditure which are in the long term interests of customers. That is, the cost efficiencies from this investment will be passed through to customers via reduced network costs.</w:t>
      </w:r>
    </w:p>
    <w:p w:rsidR="00D37B25" w:rsidRDefault="005D3AE4" w:rsidP="00D37B25">
      <w:r>
        <w:t>Through the BESS trial project, Energex intends to gain a better understanding of how the installation of batteries used in conjunction with solar PV will impact its future network load profile and power quality.</w:t>
      </w:r>
      <w:r w:rsidR="00D37B25">
        <w:t xml:space="preserve"> </w:t>
      </w:r>
      <w:r>
        <w:t xml:space="preserve">This project is expected to coincide with an increase in commercial customers applying for connection of large-scale BESS systems, for which Energex has already received tentative requests. </w:t>
      </w:r>
      <w:r w:rsidR="00D37B25">
        <w:t xml:space="preserve">Energex indicated that, while the </w:t>
      </w:r>
      <w:r>
        <w:t xml:space="preserve">pilot </w:t>
      </w:r>
      <w:r w:rsidR="00D37B25">
        <w:t>project is primarily to understand network operational issues, it may also provide insight for future capital investment and tariff reform decisions.</w:t>
      </w:r>
      <w:r>
        <w:t xml:space="preserve"> Energex emphasised the importance of a viable electricity network in connecting consumers to new technologies and facilitating the provision of new energy services, which will best serve the long term interests of consumers.</w:t>
      </w:r>
    </w:p>
    <w:p w:rsidR="00B25EB5" w:rsidRDefault="00D37B25" w:rsidP="00D37B25">
      <w:r>
        <w:t>Energex</w:t>
      </w:r>
      <w:r w:rsidR="00B25EB5">
        <w:t xml:space="preserve"> explained</w:t>
      </w:r>
      <w:r>
        <w:t xml:space="preserve"> that t</w:t>
      </w:r>
      <w:r w:rsidR="005D7B9D">
        <w:t xml:space="preserve">he </w:t>
      </w:r>
      <w:r>
        <w:t xml:space="preserve">BESS </w:t>
      </w:r>
      <w:r w:rsidR="005D7B9D">
        <w:t xml:space="preserve">trial at the Eagle Farm Distribution Centre </w:t>
      </w:r>
      <w:r>
        <w:t xml:space="preserve">will simulate </w:t>
      </w:r>
      <w:r w:rsidR="005D7B9D">
        <w:t xml:space="preserve">the installation and </w:t>
      </w:r>
      <w:r>
        <w:t xml:space="preserve">operation of batteries in conjunction with </w:t>
      </w:r>
      <w:r w:rsidR="005D7B9D">
        <w:t xml:space="preserve">solar </w:t>
      </w:r>
      <w:r>
        <w:t>P</w:t>
      </w:r>
      <w:r w:rsidR="005D7B9D">
        <w:t xml:space="preserve">V at a commercial premise. It currently has a domestic BESS pilot project in operation at its Rocklea training facility. </w:t>
      </w:r>
      <w:r w:rsidR="00B20B9A">
        <w:t xml:space="preserve">The proposed commercial BESS project will include installation of a Tesla battery (total storage of 250kW). </w:t>
      </w:r>
      <w:r w:rsidR="00B25EB5">
        <w:t>Energex submitted that l</w:t>
      </w:r>
      <w:r w:rsidR="005D7B9D">
        <w:t xml:space="preserve">arge scale commercial solar PV in conjunction with BESS represents </w:t>
      </w:r>
      <w:r w:rsidR="00B25EB5">
        <w:t>a different challenge to network businesses in terms of load profile, visibility on the network and system wide coordination. Throughout the trial, Energex will gain an understanding of:</w:t>
      </w:r>
    </w:p>
    <w:p w:rsidR="00B25EB5" w:rsidRDefault="00B25EB5" w:rsidP="00D37B25">
      <w:pPr>
        <w:pStyle w:val="Bulletpoint"/>
      </w:pPr>
      <w:r>
        <w:t>commercial installations</w:t>
      </w:r>
    </w:p>
    <w:p w:rsidR="00B25EB5" w:rsidRDefault="00B25EB5" w:rsidP="00D37B25">
      <w:pPr>
        <w:pStyle w:val="Bulletpoint"/>
      </w:pPr>
      <w:r>
        <w:t>the network impacts</w:t>
      </w:r>
    </w:p>
    <w:p w:rsidR="00B25EB5" w:rsidRDefault="00B25EB5" w:rsidP="00D37B25">
      <w:pPr>
        <w:pStyle w:val="Bulletpoint"/>
      </w:pPr>
      <w:r>
        <w:t>options for network support</w:t>
      </w:r>
    </w:p>
    <w:p w:rsidR="00B25EB5" w:rsidRDefault="00B25EB5" w:rsidP="00B25EB5">
      <w:pPr>
        <w:pStyle w:val="Bulletpoint"/>
      </w:pPr>
      <w:r>
        <w:t xml:space="preserve">the interplay between customer driven operation and provision of network support. </w:t>
      </w:r>
    </w:p>
    <w:p w:rsidR="00BA3179" w:rsidRDefault="00B25EB5" w:rsidP="00B25EB5">
      <w:pPr>
        <w:pStyle w:val="Bulletpoint"/>
        <w:numPr>
          <w:ilvl w:val="0"/>
          <w:numId w:val="0"/>
        </w:numPr>
      </w:pPr>
      <w:r>
        <w:lastRenderedPageBreak/>
        <w:t>Energex</w:t>
      </w:r>
      <w:r w:rsidR="008D651F">
        <w:t xml:space="preserve"> noted that, throughout the BESS trial, it will</w:t>
      </w:r>
      <w:r>
        <w:t xml:space="preserve"> investigate any opportunities for maximising benefits to reduce the cost to serve and improve network performance.</w:t>
      </w:r>
    </w:p>
    <w:p w:rsidR="00ED5D23" w:rsidRDefault="00ED5D23" w:rsidP="00ED5D23">
      <w:r>
        <w:t xml:space="preserve">In addition, Energex submitted that environmental benefits would accrue from the solar PV installation. By reducing the facility’s greenhouse gas emissions and dependence on traditional energy sources derived from fossil fuel, Energex will reduce its carbon footprint and contribute to climate change mitigation. </w:t>
      </w:r>
    </w:p>
    <w:p w:rsidR="008D651F" w:rsidRDefault="008D651F" w:rsidP="00A81B15">
      <w:pPr>
        <w:pStyle w:val="Bulletpoint"/>
        <w:numPr>
          <w:ilvl w:val="0"/>
          <w:numId w:val="0"/>
        </w:numPr>
        <w:rPr>
          <w:rFonts w:cstheme="minorBidi"/>
        </w:rPr>
      </w:pPr>
      <w:r>
        <w:t>Energex has proposed to fund the solar PV installation through the non-system capital expenditure allowance approved as part of the 2015-20 regulatory proposal. Energy Impact Ltd, a separate legal entity, will fund, own and operate the BESS</w:t>
      </w:r>
      <w:r w:rsidR="00A81B15">
        <w:t xml:space="preserve"> under a service level agreement (SLA) established between Energex and Energy Impact. The SLA relates to the BESS’ ownership and maintenance and access to data. Energex has proposed to fund the costs under the SLA from resources in its Demand Management </w:t>
      </w:r>
      <w:r w:rsidR="00405B51">
        <w:t xml:space="preserve">Innovation </w:t>
      </w:r>
      <w:r w:rsidR="00A81B15">
        <w:t>Allowance.</w:t>
      </w:r>
      <w:r w:rsidR="00DE6EB2" w:rsidRPr="00DE6EB2">
        <w:rPr>
          <w:rStyle w:val="FootnoteReference"/>
        </w:rPr>
        <w:t xml:space="preserve"> </w:t>
      </w:r>
      <w:r w:rsidR="00DE6EB2">
        <w:rPr>
          <w:rStyle w:val="FootnoteReference"/>
        </w:rPr>
        <w:footnoteReference w:id="7"/>
      </w:r>
      <w:r w:rsidR="00A81B15">
        <w:t xml:space="preserve"> </w:t>
      </w:r>
    </w:p>
    <w:p w:rsidR="00D37B25" w:rsidRDefault="00632315" w:rsidP="00C3643D">
      <w:pPr>
        <w:pStyle w:val="Bulletpoint"/>
        <w:numPr>
          <w:ilvl w:val="0"/>
          <w:numId w:val="0"/>
        </w:numPr>
      </w:pPr>
      <w:r>
        <w:t>Energex expects the amount of electricity exported into TradeCoast’s network to be minimal, estimating excess solar PV generation to be approximately 5MWh based on the 150kW generation size of the solar PV system. This electricity sent into the network will not be sold but rather will be counte</w:t>
      </w:r>
      <w:r w:rsidR="007F696F">
        <w:t xml:space="preserve">d as a reduction in line losses and so </w:t>
      </w:r>
      <w:r>
        <w:t>Energex will not receive a financial benefit. Energex note</w:t>
      </w:r>
      <w:r w:rsidR="007F696F">
        <w:t>d</w:t>
      </w:r>
      <w:r>
        <w:t xml:space="preserve"> that the amount of export can be limited</w:t>
      </w:r>
      <w:r w:rsidR="007F696F">
        <w:t xml:space="preserve"> or </w:t>
      </w:r>
      <w:r>
        <w:t>controlled where required with the</w:t>
      </w:r>
      <w:r w:rsidR="00B20B9A">
        <w:t xml:space="preserve"> Tesla</w:t>
      </w:r>
      <w:r>
        <w:t xml:space="preserve"> battery storage capability. </w:t>
      </w:r>
    </w:p>
    <w:p w:rsidR="00D37B25" w:rsidRDefault="00D37B25" w:rsidP="00D37B25">
      <w:pPr>
        <w:pStyle w:val="Heading2"/>
        <w:numPr>
          <w:ilvl w:val="1"/>
          <w:numId w:val="39"/>
        </w:numPr>
        <w:tabs>
          <w:tab w:val="left" w:pos="680"/>
        </w:tabs>
        <w:ind w:left="680" w:hanging="680"/>
      </w:pPr>
      <w:bookmarkStart w:id="10" w:name="_Toc454547035"/>
      <w:r>
        <w:t>A related business</w:t>
      </w:r>
      <w:bookmarkEnd w:id="10"/>
    </w:p>
    <w:p w:rsidR="00D37B25" w:rsidRDefault="00D37B25" w:rsidP="00D37B25">
      <w:r>
        <w:t>Energex submitted:</w:t>
      </w:r>
      <w:r>
        <w:rPr>
          <w:rStyle w:val="FootnoteReference"/>
        </w:rPr>
        <w:footnoteReference w:id="8"/>
      </w:r>
    </w:p>
    <w:p w:rsidR="00D37B25" w:rsidRDefault="00D37B25" w:rsidP="00D37B25">
      <w:pPr>
        <w:pStyle w:val="Quotes"/>
      </w:pPr>
      <w:r>
        <w:t xml:space="preserve">While the </w:t>
      </w:r>
      <w:r w:rsidR="00510A36">
        <w:t>solar PV installation</w:t>
      </w:r>
      <w:r>
        <w:t xml:space="preserve"> involve</w:t>
      </w:r>
      <w:r w:rsidR="00510A36">
        <w:t>s</w:t>
      </w:r>
      <w:r>
        <w:t xml:space="preserve"> the generation of electricity from the solar PV panels, Energex does not consider this constitutes carrying on a related business. This is because Energex is not in the business of producing electricity as there is no intention to make a profit. Energex is only producing electricity for the purposes of </w:t>
      </w:r>
      <w:r w:rsidR="00510A36">
        <w:t>using the electricity onsite to reduce operating costs.</w:t>
      </w:r>
    </w:p>
    <w:p w:rsidR="00D37B25" w:rsidRDefault="00D37B25" w:rsidP="00D37B25">
      <w:pPr>
        <w:pStyle w:val="Heading2"/>
        <w:numPr>
          <w:ilvl w:val="1"/>
          <w:numId w:val="39"/>
        </w:numPr>
        <w:tabs>
          <w:tab w:val="left" w:pos="680"/>
        </w:tabs>
        <w:ind w:left="680" w:hanging="680"/>
      </w:pPr>
      <w:bookmarkStart w:id="11" w:name="_Toc454547036"/>
      <w:r>
        <w:t>Costs of compliance with ring fencing obligations</w:t>
      </w:r>
      <w:bookmarkEnd w:id="11"/>
    </w:p>
    <w:p w:rsidR="00D37B25" w:rsidRDefault="00D37B25" w:rsidP="00D37B25">
      <w:r w:rsidRPr="00EA1614">
        <w:t xml:space="preserve">For a </w:t>
      </w:r>
      <w:r w:rsidR="00244465">
        <w:t>ring fencing</w:t>
      </w:r>
      <w:r>
        <w:t xml:space="preserve"> waiver to be granted</w:t>
      </w:r>
      <w:r w:rsidR="004874B3">
        <w:t>,</w:t>
      </w:r>
      <w:r>
        <w:t xml:space="preserve"> Energex must demonstrate that </w:t>
      </w:r>
      <w:r w:rsidRPr="00EA1614">
        <w:t>the</w:t>
      </w:r>
      <w:r>
        <w:t xml:space="preserve"> </w:t>
      </w:r>
      <w:r w:rsidRPr="00EA1614">
        <w:t xml:space="preserve">administrative cost of complying with the </w:t>
      </w:r>
      <w:r w:rsidR="00244465">
        <w:t>ring fencing</w:t>
      </w:r>
      <w:r w:rsidRPr="00EA1614">
        <w:t xml:space="preserve"> obligation outweighs the</w:t>
      </w:r>
      <w:r>
        <w:t xml:space="preserve"> </w:t>
      </w:r>
      <w:r w:rsidRPr="00EA1614">
        <w:t>benefit, or any likely benefit, to the public.</w:t>
      </w:r>
      <w:r>
        <w:t xml:space="preserve"> Energex </w:t>
      </w:r>
      <w:r w:rsidR="00551EE9">
        <w:t>submitted an estimate of</w:t>
      </w:r>
      <w:r>
        <w:t xml:space="preserve"> its expected costs of ring fencing the </w:t>
      </w:r>
      <w:r w:rsidR="00551EE9">
        <w:t xml:space="preserve">Eagle Farm </w:t>
      </w:r>
      <w:r>
        <w:t>project</w:t>
      </w:r>
      <w:r w:rsidRPr="00DA7A64">
        <w:t xml:space="preserve"> </w:t>
      </w:r>
      <w:r>
        <w:t>with its waiver application.</w:t>
      </w:r>
      <w:r w:rsidR="00551EE9">
        <w:t xml:space="preserve"> </w:t>
      </w:r>
      <w:r>
        <w:t xml:space="preserve">Energex has claimed commercial confidentiality over its cost estimates so we have not set them out here. </w:t>
      </w:r>
    </w:p>
    <w:p w:rsidR="00D37B25" w:rsidRDefault="00D37B25" w:rsidP="00D37B25">
      <w:r>
        <w:t xml:space="preserve">While the cost estimates submitted by Energex are not significant in comparison with Energex's revenues, they </w:t>
      </w:r>
      <w:r w:rsidR="005A5615">
        <w:t>will</w:t>
      </w:r>
      <w:r>
        <w:t xml:space="preserve"> ultimately be borne by Energex's customers </w:t>
      </w:r>
      <w:r w:rsidR="005A5615">
        <w:t xml:space="preserve">as part of Energex’s standard control services </w:t>
      </w:r>
      <w:r>
        <w:t>through increases in network charges. Against these costs we must assess the potential benefit of requiring Energex to establish a separate legal entity to undertake the</w:t>
      </w:r>
      <w:r w:rsidR="005A5615">
        <w:t xml:space="preserve"> solar PV system installation and</w:t>
      </w:r>
      <w:r>
        <w:t xml:space="preserve"> </w:t>
      </w:r>
      <w:r w:rsidR="005A5615">
        <w:t xml:space="preserve">commercial </w:t>
      </w:r>
      <w:r>
        <w:t>BESS project. Our assessment of these costs and benefits must be in light of the Guideline's focus on a related business of producing electricity.</w:t>
      </w:r>
    </w:p>
    <w:p w:rsidR="00DE6EB2" w:rsidRDefault="00DE6EB2" w:rsidP="00D37B25">
      <w:r>
        <w:lastRenderedPageBreak/>
        <w:t>We have taken Energex’s proposed costs into account in considering Energex’s waiver application.</w:t>
      </w:r>
    </w:p>
    <w:p w:rsidR="00D37B25" w:rsidRDefault="00D37B25" w:rsidP="00D37B25">
      <w:pPr>
        <w:pStyle w:val="Heading2"/>
        <w:numPr>
          <w:ilvl w:val="1"/>
          <w:numId w:val="39"/>
        </w:numPr>
        <w:tabs>
          <w:tab w:val="left" w:pos="680"/>
        </w:tabs>
        <w:ind w:left="680" w:hanging="680"/>
      </w:pPr>
      <w:bookmarkStart w:id="12" w:name="_Toc454547037"/>
      <w:r>
        <w:t>Reasons for seeking a waiver</w:t>
      </w:r>
      <w:bookmarkEnd w:id="12"/>
    </w:p>
    <w:p w:rsidR="00D37B25" w:rsidRDefault="00D37B25" w:rsidP="00D37B25">
      <w:r>
        <w:t>Energex submitted:</w:t>
      </w:r>
      <w:r>
        <w:rPr>
          <w:rStyle w:val="FootnoteReference"/>
        </w:rPr>
        <w:footnoteReference w:id="9"/>
      </w:r>
    </w:p>
    <w:p w:rsidR="00D37B25" w:rsidRPr="005061D4" w:rsidRDefault="00D37B25" w:rsidP="00D37B25">
      <w:pPr>
        <w:pStyle w:val="Quotes"/>
      </w:pPr>
      <w:r w:rsidRPr="005061D4">
        <w:t>Energex considers the administrative costs of complying with section 1(b) outweighs the benefit or likely benef</w:t>
      </w:r>
      <w:r w:rsidR="000E704A">
        <w:t xml:space="preserve">it to the public given that this project reduces Energex’s operating costs and </w:t>
      </w:r>
      <w:r w:rsidRPr="005061D4">
        <w:t>facilitate</w:t>
      </w:r>
      <w:r w:rsidR="000E704A">
        <w:t>s network learnings for the</w:t>
      </w:r>
      <w:r w:rsidRPr="005061D4">
        <w:t xml:space="preserve"> integration of new technology</w:t>
      </w:r>
      <w:r w:rsidR="000E704A">
        <w:t xml:space="preserve"> </w:t>
      </w:r>
      <w:r w:rsidRPr="005061D4">
        <w:t xml:space="preserve">with the existing network assets. </w:t>
      </w:r>
    </w:p>
    <w:p w:rsidR="000E704A" w:rsidRDefault="000E704A" w:rsidP="00D37B25">
      <w:pPr>
        <w:pStyle w:val="Quotes"/>
      </w:pPr>
      <w:r>
        <w:t>…</w:t>
      </w:r>
    </w:p>
    <w:p w:rsidR="00D37B25" w:rsidRPr="005061D4" w:rsidRDefault="00D37B25" w:rsidP="00D37B25">
      <w:pPr>
        <w:pStyle w:val="Quotes"/>
      </w:pPr>
      <w:r w:rsidRPr="005061D4">
        <w:t xml:space="preserve">Energex does not consider that the establishment and </w:t>
      </w:r>
      <w:r>
        <w:t xml:space="preserve">operation of this </w:t>
      </w:r>
      <w:r w:rsidR="000E704A">
        <w:t>solar PV installation</w:t>
      </w:r>
      <w:r w:rsidRPr="005061D4">
        <w:t>:</w:t>
      </w:r>
    </w:p>
    <w:p w:rsidR="00D37B25" w:rsidRPr="005061D4" w:rsidRDefault="00D37B25" w:rsidP="00D37B25">
      <w:pPr>
        <w:pStyle w:val="Quotes"/>
      </w:pPr>
      <w:r w:rsidRPr="005061D4">
        <w:t>has any impact on the national electricity market given the negligibl</w:t>
      </w:r>
      <w:r w:rsidR="000E704A">
        <w:t>e capacity of the solar PV installation</w:t>
      </w:r>
      <w:r w:rsidRPr="005061D4">
        <w:t>;</w:t>
      </w:r>
    </w:p>
    <w:p w:rsidR="00D37B25" w:rsidRPr="005061D4" w:rsidRDefault="00D37B25" w:rsidP="00D37B25">
      <w:pPr>
        <w:pStyle w:val="Quotes"/>
      </w:pPr>
      <w:r w:rsidRPr="005061D4">
        <w:t>constitutes entering the generation or retail markets; and</w:t>
      </w:r>
    </w:p>
    <w:p w:rsidR="00D37B25" w:rsidRPr="005061D4" w:rsidRDefault="00D37B25" w:rsidP="00D37B25">
      <w:pPr>
        <w:pStyle w:val="Quotes"/>
      </w:pPr>
      <w:r w:rsidRPr="005061D4">
        <w:t>interferes in any way with Ener</w:t>
      </w:r>
      <w:r>
        <w:t>gex's legislative requirements.</w:t>
      </w:r>
    </w:p>
    <w:p w:rsidR="00D37B25" w:rsidRDefault="00D37B25" w:rsidP="00D37B25">
      <w:pPr>
        <w:pStyle w:val="Heading1"/>
        <w:pageBreakBefore/>
        <w:numPr>
          <w:ilvl w:val="0"/>
          <w:numId w:val="39"/>
        </w:numPr>
        <w:tabs>
          <w:tab w:val="left" w:pos="680"/>
        </w:tabs>
        <w:ind w:left="680" w:hanging="680"/>
      </w:pPr>
      <w:bookmarkStart w:id="13" w:name="_Toc454547038"/>
      <w:bookmarkEnd w:id="5"/>
      <w:r>
        <w:lastRenderedPageBreak/>
        <w:t>Our assessment</w:t>
      </w:r>
      <w:bookmarkEnd w:id="13"/>
    </w:p>
    <w:p w:rsidR="00D37B25" w:rsidRDefault="00D37B25" w:rsidP="00D37B25">
      <w:r>
        <w:t>As set out above, we</w:t>
      </w:r>
      <w:r w:rsidRPr="00D623AA">
        <w:t xml:space="preserve"> may waive a </w:t>
      </w:r>
      <w:r w:rsidR="00244465">
        <w:t>ring fencing</w:t>
      </w:r>
      <w:r>
        <w:t xml:space="preserve"> requirement if </w:t>
      </w:r>
      <w:r w:rsidR="00DE6EB2">
        <w:t xml:space="preserve">we are </w:t>
      </w:r>
      <w:r>
        <w:t xml:space="preserve">satisfied </w:t>
      </w:r>
      <w:r w:rsidRPr="00D623AA">
        <w:t>the administrative cost to the DNSP in complying</w:t>
      </w:r>
      <w:r>
        <w:t xml:space="preserve"> </w:t>
      </w:r>
      <w:r w:rsidRPr="00D623AA">
        <w:t xml:space="preserve">with the </w:t>
      </w:r>
      <w:r w:rsidR="00244465">
        <w:t>ring fencing</w:t>
      </w:r>
      <w:r w:rsidRPr="00D623AA">
        <w:t xml:space="preserve"> obligations outweigh</w:t>
      </w:r>
      <w:r>
        <w:t>s</w:t>
      </w:r>
      <w:r w:rsidRPr="00D623AA">
        <w:t xml:space="preserve"> the benefit, or any likely benefit, to the</w:t>
      </w:r>
      <w:r>
        <w:t xml:space="preserve"> </w:t>
      </w:r>
      <w:r w:rsidRPr="00D623AA">
        <w:t>public.</w:t>
      </w:r>
    </w:p>
    <w:p w:rsidR="00D37B25" w:rsidRDefault="00D37B25" w:rsidP="00D37B25">
      <w:pPr>
        <w:pStyle w:val="Heading2"/>
        <w:numPr>
          <w:ilvl w:val="1"/>
          <w:numId w:val="39"/>
        </w:numPr>
        <w:tabs>
          <w:tab w:val="left" w:pos="680"/>
        </w:tabs>
        <w:ind w:left="680" w:hanging="680"/>
      </w:pPr>
      <w:bookmarkStart w:id="14" w:name="_Toc454547039"/>
      <w:r>
        <w:t>Submissions</w:t>
      </w:r>
      <w:bookmarkEnd w:id="14"/>
    </w:p>
    <w:p w:rsidR="00F4525E" w:rsidRDefault="002E6029" w:rsidP="00F4525E">
      <w:r>
        <w:t xml:space="preserve">We received </w:t>
      </w:r>
      <w:r w:rsidR="00CC6209">
        <w:t xml:space="preserve">one </w:t>
      </w:r>
      <w:r>
        <w:t>submission on Energex’s waiver application.</w:t>
      </w:r>
      <w:r w:rsidRPr="002E6029">
        <w:rPr>
          <w:vertAlign w:val="superscript"/>
        </w:rPr>
        <w:footnoteReference w:id="10"/>
      </w:r>
      <w:r>
        <w:t xml:space="preserve"> </w:t>
      </w:r>
    </w:p>
    <w:p w:rsidR="006E0ED0" w:rsidRDefault="002E6029" w:rsidP="002E6029">
      <w:r w:rsidRPr="002E6029">
        <w:t>Origin Energy submitted:</w:t>
      </w:r>
      <w:r w:rsidR="006E0ED0">
        <w:rPr>
          <w:rStyle w:val="FootnoteReference"/>
        </w:rPr>
        <w:footnoteReference w:id="11"/>
      </w:r>
    </w:p>
    <w:p w:rsidR="006E0ED0" w:rsidRDefault="006E0ED0" w:rsidP="006E0ED0">
      <w:pPr>
        <w:pStyle w:val="Quotes"/>
      </w:pPr>
      <w:r>
        <w:t xml:space="preserve">We believe the solar PV application is sufficiently contentious. The application provides inadequate explanation of the cost recovery models, how external energy discharge is treated and it lacks transparency regarding the information sharing arrangements that form the SLA. Furthermore the application relates to long-lived assets so there appears no urgency to have the application assessed immediately. </w:t>
      </w:r>
    </w:p>
    <w:p w:rsidR="002E6029" w:rsidRPr="002E6029" w:rsidRDefault="006E0ED0" w:rsidP="006E0ED0">
      <w:r>
        <w:t xml:space="preserve">As such, Origin submitted that the AER should defer consideration of the Eagle Farm trial waiver request so it may be considered under new national ring fencing guidelines. </w:t>
      </w:r>
    </w:p>
    <w:p w:rsidR="002E6029" w:rsidRDefault="002E6029" w:rsidP="00F4525E">
      <w:r w:rsidRPr="002E6029">
        <w:t xml:space="preserve">We note that similar concerns were raised in relation to the Energex ring fencing waiver application approved in March 2016. </w:t>
      </w:r>
    </w:p>
    <w:p w:rsidR="00D37B25" w:rsidRDefault="00D37B25" w:rsidP="00F4525E">
      <w:pPr>
        <w:pStyle w:val="Heading2"/>
        <w:numPr>
          <w:ilvl w:val="1"/>
          <w:numId w:val="39"/>
        </w:numPr>
      </w:pPr>
      <w:bookmarkStart w:id="15" w:name="_Toc454547040"/>
      <w:r>
        <w:t>Our considerations</w:t>
      </w:r>
      <w:bookmarkEnd w:id="15"/>
      <w:r w:rsidR="005841E2">
        <w:t xml:space="preserve"> </w:t>
      </w:r>
      <w:r w:rsidR="00434C45">
        <w:t xml:space="preserve"> </w:t>
      </w:r>
    </w:p>
    <w:p w:rsidR="00434C45" w:rsidRDefault="00434C45" w:rsidP="00D37B25">
      <w:r>
        <w:t xml:space="preserve">We accept that Energex’s commercial BESS project and solar PV installation is to be undertaken for the </w:t>
      </w:r>
      <w:r w:rsidR="00C61C9F">
        <w:t xml:space="preserve">purposes of reducing operating costs at the Eagle Farm Distribution Centre where the solar PV system will be installed, delivering environmental benefits and contributing to research and development learnings. Further, that the project will give Energex an understanding of the network impacts of commercial solar PV installations. </w:t>
      </w:r>
    </w:p>
    <w:p w:rsidR="00DE6EB2" w:rsidRDefault="00D37B25" w:rsidP="00D37B25">
      <w:r>
        <w:t xml:space="preserve">The </w:t>
      </w:r>
      <w:r w:rsidR="009D417A">
        <w:t xml:space="preserve">solar PV system and BESS </w:t>
      </w:r>
      <w:r>
        <w:t xml:space="preserve">project </w:t>
      </w:r>
      <w:r w:rsidRPr="009D417A">
        <w:t>will not be undertaken for business purposes, in</w:t>
      </w:r>
      <w:r>
        <w:t xml:space="preserve"> that Energex will not sell any electricity injected into the network. </w:t>
      </w:r>
      <w:r w:rsidRPr="006A3AC3">
        <w:t>While the Guidelines do not define what a "business"</w:t>
      </w:r>
      <w:r>
        <w:t xml:space="preserve"> is</w:t>
      </w:r>
      <w:r w:rsidRPr="006A3AC3">
        <w:t>, as a general principle we accept that a business activity is normally undertaken to achieve a positive financial return.</w:t>
      </w:r>
      <w:r>
        <w:t xml:space="preserve"> Nevertheless, the Guidelines could be interpreted such that Energex would be captured by the ring fencing requirements. For this reason we consider it is appropriate that Energex seek a waiver for the project. </w:t>
      </w:r>
    </w:p>
    <w:p w:rsidR="00D37B25" w:rsidRDefault="00D37B25" w:rsidP="00D37B25">
      <w:r>
        <w:t xml:space="preserve">Energex has proposed to fund the </w:t>
      </w:r>
      <w:r w:rsidR="009D417A">
        <w:t xml:space="preserve">solar PV system through its non-system capex allowance and the BESS through </w:t>
      </w:r>
      <w:r>
        <w:t xml:space="preserve">its DMIA resources. We do not see anything to prevent this. Energex will be required to submit to us a DMIA report summarising outcomes from the </w:t>
      </w:r>
      <w:r w:rsidR="009D417A">
        <w:t xml:space="preserve">BESS </w:t>
      </w:r>
      <w:r>
        <w:t xml:space="preserve">project. We encourage Energex to share further details with the broader energy sector through industry conferences and the like. The project's results should provide insight to stakeholders of the impact batteries can have on networks, including how networks and </w:t>
      </w:r>
      <w:r w:rsidR="0091605D">
        <w:t xml:space="preserve">commercial </w:t>
      </w:r>
      <w:r>
        <w:t>batteries will interact.</w:t>
      </w:r>
    </w:p>
    <w:p w:rsidR="00DE6EB2" w:rsidRDefault="00DE6EB2" w:rsidP="00D37B25">
      <w:r>
        <w:lastRenderedPageBreak/>
        <w:t xml:space="preserve">We consider that the Guidelines do not contemplate competitive neutrality and broader market contestability issues that have been raised by stakeholders in previous ring fencing waiver applications. As </w:t>
      </w:r>
      <w:r w:rsidR="007F696F">
        <w:t>explained by the QCA</w:t>
      </w:r>
      <w:r>
        <w:t xml:space="preserve"> in its final decision on the existing Guidelines:</w:t>
      </w:r>
      <w:r w:rsidR="003242FB">
        <w:rPr>
          <w:rStyle w:val="FootnoteReference"/>
        </w:rPr>
        <w:footnoteReference w:id="12"/>
      </w:r>
      <w:r>
        <w:t xml:space="preserve"> </w:t>
      </w:r>
    </w:p>
    <w:p w:rsidR="00DE6EB2" w:rsidRDefault="003242FB" w:rsidP="003242FB">
      <w:pPr>
        <w:pStyle w:val="Quotes"/>
      </w:pPr>
      <w:r>
        <w:t>…the Authority’s objective for the Guidelines is to assist in creating an environment where the price, quantity and quality of electricity traded in the retail market, and the price, quantity and quality of distribution services used to deliver the energy, are not uneconomically biased by the vertical integration of distribution and other businesses…</w:t>
      </w:r>
    </w:p>
    <w:p w:rsidR="00D37B25" w:rsidRDefault="00D37B25" w:rsidP="00D37B25">
      <w:r>
        <w:t xml:space="preserve">We recognise that the potential provision of services from batteries will be subject to further </w:t>
      </w:r>
      <w:r w:rsidR="00522F17">
        <w:t>consideration as part of the development of our ring</w:t>
      </w:r>
      <w:r w:rsidR="00AD731F">
        <w:t xml:space="preserve"> </w:t>
      </w:r>
      <w:r w:rsidR="00522F17">
        <w:t xml:space="preserve">fencing guidelines and will also be informed by any further policy </w:t>
      </w:r>
      <w:r>
        <w:t>direction from the COAG Energy Council and the Australian Energy Market Commission (AEMC).</w:t>
      </w:r>
      <w:r w:rsidR="001B593D">
        <w:rPr>
          <w:rStyle w:val="FootnoteReference"/>
        </w:rPr>
        <w:footnoteReference w:id="13"/>
      </w:r>
      <w:r w:rsidR="002419A7">
        <w:t xml:space="preserve"> </w:t>
      </w:r>
      <w:r w:rsidR="00522F17">
        <w:t>W</w:t>
      </w:r>
      <w:r>
        <w:t>e hold the view that contestable services should be provided in competitive markets. Networks should not be able to leverage off their monopoly business activities to gain an advantage in competitive markets. These issues will be a focus of our consultation in developing new national guidelines.</w:t>
      </w:r>
    </w:p>
    <w:p w:rsidR="00D37B25" w:rsidRDefault="00D37B25" w:rsidP="00D37B25">
      <w:r>
        <w:t xml:space="preserve">As required by the current Guidelines, for Energex's waiver application we have considered the likely benefit to the public of enforcing the current ring fencing provisions against Energex's submitted cost estimates. To the extent that Energex's </w:t>
      </w:r>
      <w:r w:rsidR="00360FAA">
        <w:t xml:space="preserve">solar installation and </w:t>
      </w:r>
      <w:r>
        <w:t xml:space="preserve">BESS project could be considered to be a related business as defined by the Guidelines, we consider </w:t>
      </w:r>
      <w:r w:rsidR="004874B3">
        <w:t xml:space="preserve">it unlikely that there will </w:t>
      </w:r>
      <w:r>
        <w:t xml:space="preserve">be material benefits to consumers from requiring Energex to undertake ring fencing in this instance. So even though the administrative costs of Energex ring fencing the project would be relatively minor compared to Energex's total revenues, they outweigh any potential benefit. </w:t>
      </w:r>
    </w:p>
    <w:p w:rsidR="00D37B25" w:rsidRDefault="00D37B25" w:rsidP="00D37B25">
      <w:pPr>
        <w:pStyle w:val="Heading2"/>
        <w:numPr>
          <w:ilvl w:val="1"/>
          <w:numId w:val="39"/>
        </w:numPr>
        <w:tabs>
          <w:tab w:val="left" w:pos="680"/>
        </w:tabs>
        <w:ind w:left="680" w:hanging="680"/>
      </w:pPr>
      <w:bookmarkStart w:id="16" w:name="_Toc454547041"/>
      <w:r>
        <w:t>Our draft decision</w:t>
      </w:r>
      <w:bookmarkEnd w:id="16"/>
    </w:p>
    <w:p w:rsidR="00D37B25" w:rsidRDefault="00D37B25" w:rsidP="00D37B25">
      <w:r>
        <w:t xml:space="preserve">For the above reasons we consider granting a temporary and conditional waiver is appropriate. Our draft decision is to grant a temporary waiver from section 1(b) of the Guidelines, conditional on Energex not selling electricity injected into the network by the </w:t>
      </w:r>
      <w:r w:rsidR="004043AE">
        <w:t xml:space="preserve">commercial </w:t>
      </w:r>
      <w:r>
        <w:t xml:space="preserve">BESS project. </w:t>
      </w:r>
    </w:p>
    <w:p w:rsidR="00D37B25" w:rsidRDefault="00D37B25" w:rsidP="00D37B25">
      <w:r>
        <w:t>Energex will be required to comply with national ring fencing guidelines within 12 months of them being established, or otherwise comply with arrangements for existing ring fencing waivers as set out by the new guidelines.</w:t>
      </w:r>
    </w:p>
    <w:p w:rsidR="00D37B25" w:rsidRDefault="00D37B25" w:rsidP="00D37B25"/>
    <w:p w:rsidR="00D37B25" w:rsidRDefault="00D37B25" w:rsidP="00D37B25"/>
    <w:p w:rsidR="00D37B25" w:rsidRDefault="00D37B25" w:rsidP="00D37B25"/>
    <w:p w:rsidR="009D6B46" w:rsidRPr="009D6B46" w:rsidRDefault="009D6B46" w:rsidP="009D6B46"/>
    <w:sectPr w:rsidR="009D6B46" w:rsidRPr="009D6B46" w:rsidSect="00E137FB">
      <w:footerReference w:type="even" r:id="rId14"/>
      <w:footerReference w:type="default" r:id="rId15"/>
      <w:footerReference w:type="first" r:id="rId16"/>
      <w:pgSz w:w="11906" w:h="16838"/>
      <w:pgMar w:top="1440" w:right="1440" w:bottom="1440" w:left="1440" w:header="708" w:footer="8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7B25" w:rsidRDefault="00D37B25" w:rsidP="004B4412">
      <w:pPr>
        <w:spacing w:before="0"/>
      </w:pPr>
      <w:r>
        <w:separator/>
      </w:r>
    </w:p>
  </w:endnote>
  <w:endnote w:type="continuationSeparator" w:id="0">
    <w:p w:rsidR="00D37B25" w:rsidRDefault="00D37B25" w:rsidP="004B441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Fax">
    <w:panose1 w:val="02060602050505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7B25" w:rsidRPr="007A4D1F" w:rsidRDefault="00D37B25" w:rsidP="007A4D1F">
    <w:pPr>
      <w:tabs>
        <w:tab w:val="left" w:pos="1623"/>
        <w:tab w:val="center" w:pos="4513"/>
        <w:tab w:val="right" w:pos="9026"/>
      </w:tabs>
      <w:spacing w:after="120"/>
      <w:rPr>
        <w:rFonts w:eastAsia="Arial" w:cs="Times New Roman"/>
        <w:color w:val="000000" w:themeColor="text1"/>
        <w:sz w:val="18"/>
      </w:rPr>
    </w:pPr>
    <w:r>
      <w:rPr>
        <w:rFonts w:eastAsia="Arial" w:cs="Times New Roman"/>
        <w:color w:val="000000" w:themeColor="text1"/>
        <w:sz w:val="18"/>
      </w:rPr>
      <w:fldChar w:fldCharType="begin"/>
    </w:r>
    <w:r>
      <w:rPr>
        <w:rFonts w:eastAsia="Arial" w:cs="Times New Roman"/>
        <w:color w:val="000000" w:themeColor="text1"/>
        <w:sz w:val="18"/>
      </w:rPr>
      <w:instrText xml:space="preserve"> STYLEREF  "Report Title"  \* MERGEFORMAT </w:instrText>
    </w:r>
    <w:r>
      <w:rPr>
        <w:rFonts w:eastAsia="Arial" w:cs="Times New Roman"/>
        <w:color w:val="000000" w:themeColor="text1"/>
        <w:sz w:val="18"/>
      </w:rPr>
      <w:fldChar w:fldCharType="separate"/>
    </w:r>
    <w:r w:rsidR="00423BED" w:rsidRPr="00423BED">
      <w:rPr>
        <w:rFonts w:eastAsia="Arial" w:cs="Times New Roman"/>
        <w:b/>
        <w:bCs/>
        <w:noProof/>
        <w:color w:val="000000" w:themeColor="text1"/>
        <w:sz w:val="18"/>
        <w:lang w:val="en-US"/>
      </w:rPr>
      <w:t>Energex application</w:t>
    </w:r>
    <w:r w:rsidR="00423BED">
      <w:rPr>
        <w:rFonts w:eastAsia="Arial" w:cs="Times New Roman"/>
        <w:noProof/>
        <w:color w:val="000000" w:themeColor="text1"/>
        <w:sz w:val="18"/>
      </w:rPr>
      <w:t xml:space="preserve"> for waiver from Queensland Ring Fencing Guidelines</w:t>
    </w:r>
    <w:r>
      <w:rPr>
        <w:rFonts w:eastAsia="Arial" w:cs="Times New Roman"/>
        <w:color w:val="000000" w:themeColor="text1"/>
        <w:sz w:val="18"/>
      </w:rPr>
      <w:fldChar w:fldCharType="end"/>
    </w:r>
    <w:r w:rsidRPr="007A4D1F">
      <w:rPr>
        <w:rFonts w:eastAsia="Arial" w:cs="Times New Roman"/>
        <w:color w:val="000000" w:themeColor="text1"/>
        <w:sz w:val="18"/>
      </w:rPr>
      <w:tab/>
    </w:r>
    <w:r w:rsidRPr="007A4D1F">
      <w:rPr>
        <w:rFonts w:eastAsia="Arial" w:cs="Times New Roman"/>
        <w:color w:val="000000" w:themeColor="text1"/>
        <w:sz w:val="18"/>
      </w:rPr>
      <w:tab/>
    </w:r>
    <w:r w:rsidRPr="007A4D1F">
      <w:rPr>
        <w:rFonts w:eastAsia="Arial" w:cs="Times New Roman"/>
        <w:color w:val="000000" w:themeColor="text1"/>
        <w:sz w:val="18"/>
      </w:rPr>
      <w:tab/>
    </w:r>
    <w:r w:rsidRPr="007A4D1F">
      <w:rPr>
        <w:rFonts w:eastAsia="Arial" w:cs="Times New Roman"/>
        <w:color w:val="000000" w:themeColor="text1"/>
        <w:sz w:val="18"/>
      </w:rPr>
      <w:fldChar w:fldCharType="begin"/>
    </w:r>
    <w:r w:rsidRPr="007A4D1F">
      <w:rPr>
        <w:rFonts w:eastAsia="Arial" w:cs="Times New Roman"/>
        <w:color w:val="000000" w:themeColor="text1"/>
        <w:sz w:val="18"/>
      </w:rPr>
      <w:instrText xml:space="preserve"> PAGE   \* MERGEFORMAT </w:instrText>
    </w:r>
    <w:r w:rsidRPr="007A4D1F">
      <w:rPr>
        <w:rFonts w:eastAsia="Arial" w:cs="Times New Roman"/>
        <w:color w:val="000000" w:themeColor="text1"/>
        <w:sz w:val="18"/>
      </w:rPr>
      <w:fldChar w:fldCharType="separate"/>
    </w:r>
    <w:r w:rsidR="00423BED">
      <w:rPr>
        <w:rFonts w:eastAsia="Arial" w:cs="Times New Roman"/>
        <w:noProof/>
        <w:color w:val="000000" w:themeColor="text1"/>
        <w:sz w:val="18"/>
      </w:rPr>
      <w:t>iii</w:t>
    </w:r>
    <w:r w:rsidRPr="007A4D1F">
      <w:rPr>
        <w:rFonts w:eastAsia="Arial" w:cs="Times New Roman"/>
        <w:noProof/>
        <w:color w:val="000000" w:themeColor="text1"/>
        <w:sz w:val="18"/>
      </w:rPr>
      <w:fldChar w:fldCharType="end"/>
    </w:r>
    <w:r w:rsidRPr="007A4D1F">
      <w:rPr>
        <w:rFonts w:eastAsia="Arial" w:cs="Times New Roman"/>
        <w:color w:val="000000" w:themeColor="text1"/>
        <w:sz w:val="18"/>
      </w:rPr>
      <w:tab/>
    </w:r>
  </w:p>
  <w:p w:rsidR="00D37B25" w:rsidRDefault="00D37B25" w:rsidP="00A60023">
    <w:pPr>
      <w:pStyle w:val="Footer"/>
      <w:tabs>
        <w:tab w:val="clear" w:pos="4513"/>
        <w:tab w:val="clear" w:pos="9026"/>
        <w:tab w:val="left" w:pos="855"/>
      </w:tabs>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492C" w:rsidRPr="00A91A9E" w:rsidRDefault="00BA3179" w:rsidP="00D34063">
    <w:pPr>
      <w:pBdr>
        <w:top w:val="single" w:sz="2" w:space="1" w:color="auto"/>
      </w:pBdr>
      <w:tabs>
        <w:tab w:val="right" w:pos="8448"/>
      </w:tabs>
      <w:rPr>
        <w:rStyle w:val="PageNumber"/>
      </w:rPr>
    </w:pPr>
    <w:r w:rsidRPr="00A91A9E">
      <w:rPr>
        <w:rStyle w:val="PageNumber"/>
      </w:rPr>
      <w:fldChar w:fldCharType="begin"/>
    </w:r>
    <w:r w:rsidRPr="00A91A9E">
      <w:rPr>
        <w:rStyle w:val="PageNumber"/>
      </w:rPr>
      <w:instrText xml:space="preserve"> PAGE   \* MERGEFORMAT </w:instrText>
    </w:r>
    <w:r w:rsidRPr="00A91A9E">
      <w:rPr>
        <w:rStyle w:val="PageNumber"/>
      </w:rPr>
      <w:fldChar w:fldCharType="separate"/>
    </w:r>
    <w:r>
      <w:rPr>
        <w:rStyle w:val="PageNumber"/>
        <w:noProof/>
      </w:rPr>
      <w:t>2</w:t>
    </w:r>
    <w:r w:rsidRPr="00A91A9E">
      <w:rPr>
        <w:rStyle w:val="PageNumber"/>
      </w:rPr>
      <w:fldChar w:fldCharType="end"/>
    </w:r>
    <w:r w:rsidRPr="00A91A9E">
      <w:rPr>
        <w:rStyle w:val="PageNumber"/>
      </w:rPr>
      <w:tab/>
      <w:t>Xxx report—month/year</w:t>
    </w:r>
  </w:p>
  <w:p w:rsidR="00DB1A67" w:rsidRDefault="00423BED"/>
  <w:p w:rsidR="0056080A" w:rsidRDefault="00423BED"/>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F1D" w:rsidRDefault="00E866CA" w:rsidP="00CC7F1D">
    <w:pPr>
      <w:pStyle w:val="Footer"/>
      <w:tabs>
        <w:tab w:val="clear" w:pos="9026"/>
        <w:tab w:val="right" w:pos="8505"/>
      </w:tabs>
    </w:pPr>
    <w:fldSimple w:instr=" STYLEREF  &quot;Report Title&quot;  \* MERGEFORMAT ">
      <w:r w:rsidR="00423BED">
        <w:rPr>
          <w:noProof/>
        </w:rPr>
        <w:t>Energex</w:t>
      </w:r>
      <w:r w:rsidR="00423BED" w:rsidRPr="00423BED">
        <w:rPr>
          <w:b/>
          <w:bCs/>
          <w:noProof/>
          <w:lang w:val="en-US"/>
        </w:rPr>
        <w:t xml:space="preserve"> application for waiver from Queensland Ring Fencing</w:t>
      </w:r>
      <w:r w:rsidR="00423BED">
        <w:rPr>
          <w:noProof/>
        </w:rPr>
        <w:t xml:space="preserve"> Guidelines</w:t>
      </w:r>
    </w:fldSimple>
    <w:r w:rsidR="00BA3179">
      <w:tab/>
    </w:r>
    <w:r w:rsidR="00BA3179">
      <w:tab/>
    </w:r>
    <w:r w:rsidR="00BA3179">
      <w:fldChar w:fldCharType="begin"/>
    </w:r>
    <w:r w:rsidR="00BA3179">
      <w:instrText xml:space="preserve"> PAGE   \* MERGEFORMAT </w:instrText>
    </w:r>
    <w:r w:rsidR="00BA3179">
      <w:fldChar w:fldCharType="separate"/>
    </w:r>
    <w:r w:rsidR="00423BED">
      <w:rPr>
        <w:noProof/>
      </w:rPr>
      <w:t>9</w:t>
    </w:r>
    <w:r w:rsidR="00BA3179">
      <w:rPr>
        <w:noProof/>
      </w:rPr>
      <w:fldChar w:fldCharType="end"/>
    </w:r>
  </w:p>
  <w:p w:rsidR="00DB1A67" w:rsidRDefault="00423BED"/>
  <w:p w:rsidR="0056080A" w:rsidRDefault="00423BED"/>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F1D" w:rsidRDefault="00E866CA" w:rsidP="00CC7F1D">
    <w:pPr>
      <w:pStyle w:val="Footer"/>
      <w:tabs>
        <w:tab w:val="clear" w:pos="9026"/>
        <w:tab w:val="right" w:pos="8505"/>
      </w:tabs>
    </w:pPr>
    <w:fldSimple w:instr=" STYLEREF  &quot;Report Title&quot;  \* MERGEFORMAT ">
      <w:r w:rsidR="00423BED" w:rsidRPr="00423BED">
        <w:rPr>
          <w:b/>
          <w:bCs/>
          <w:noProof/>
          <w:lang w:val="en-US"/>
        </w:rPr>
        <w:t>Energex application for waiver from Queensland Ring Fencing</w:t>
      </w:r>
      <w:r w:rsidR="00423BED">
        <w:rPr>
          <w:noProof/>
        </w:rPr>
        <w:t xml:space="preserve"> Guidelines</w:t>
      </w:r>
    </w:fldSimple>
    <w:r w:rsidR="00BA3179">
      <w:tab/>
    </w:r>
    <w:r w:rsidR="00BA3179">
      <w:tab/>
    </w:r>
    <w:r w:rsidR="00BA3179">
      <w:fldChar w:fldCharType="begin"/>
    </w:r>
    <w:r w:rsidR="00BA3179">
      <w:instrText xml:space="preserve"> PAGE   \* MERGEFORMAT </w:instrText>
    </w:r>
    <w:r w:rsidR="00BA3179">
      <w:fldChar w:fldCharType="separate"/>
    </w:r>
    <w:r w:rsidR="00423BED">
      <w:rPr>
        <w:noProof/>
      </w:rPr>
      <w:t>1</w:t>
    </w:r>
    <w:r w:rsidR="00BA3179">
      <w:fldChar w:fldCharType="end"/>
    </w:r>
  </w:p>
  <w:p w:rsidR="00CC7F1D" w:rsidRDefault="00423BED">
    <w:pPr>
      <w:pStyle w:val="Footer"/>
    </w:pPr>
  </w:p>
  <w:p w:rsidR="00DB1A67" w:rsidRDefault="00423BED"/>
  <w:p w:rsidR="0056080A" w:rsidRDefault="00423BE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7B25" w:rsidRDefault="00D37B25" w:rsidP="004B4412">
      <w:pPr>
        <w:spacing w:before="0"/>
      </w:pPr>
      <w:r>
        <w:separator/>
      </w:r>
    </w:p>
  </w:footnote>
  <w:footnote w:type="continuationSeparator" w:id="0">
    <w:p w:rsidR="00D37B25" w:rsidRDefault="00D37B25" w:rsidP="004B4412">
      <w:pPr>
        <w:spacing w:before="0"/>
      </w:pPr>
      <w:r>
        <w:continuationSeparator/>
      </w:r>
    </w:p>
  </w:footnote>
  <w:footnote w:id="1">
    <w:p w:rsidR="00D37B25" w:rsidRDefault="00D37B25" w:rsidP="00504900">
      <w:pPr>
        <w:pStyle w:val="FootnoteText"/>
        <w:ind w:left="426" w:hanging="426"/>
      </w:pPr>
      <w:r>
        <w:rPr>
          <w:rStyle w:val="FootnoteReference"/>
        </w:rPr>
        <w:footnoteRef/>
      </w:r>
      <w:r>
        <w:t xml:space="preserve"> </w:t>
      </w:r>
      <w:r w:rsidR="00504900">
        <w:tab/>
      </w:r>
      <w:r>
        <w:t>By Queensland Competition Authority.</w:t>
      </w:r>
    </w:p>
  </w:footnote>
  <w:footnote w:id="2">
    <w:p w:rsidR="00D37B25" w:rsidRDefault="00D37B25" w:rsidP="00504900">
      <w:pPr>
        <w:pStyle w:val="FootnoteText"/>
        <w:ind w:left="426" w:hanging="426"/>
      </w:pPr>
      <w:r>
        <w:rPr>
          <w:rStyle w:val="FootnoteReference"/>
        </w:rPr>
        <w:footnoteRef/>
      </w:r>
      <w:r>
        <w:t xml:space="preserve"> </w:t>
      </w:r>
      <w:r>
        <w:tab/>
        <w:t xml:space="preserve">Queensland Competition Authority, </w:t>
      </w:r>
      <w:r w:rsidRPr="00497336">
        <w:rPr>
          <w:rStyle w:val="Emphasis"/>
        </w:rPr>
        <w:t xml:space="preserve">Electricity </w:t>
      </w:r>
      <w:r>
        <w:rPr>
          <w:rStyle w:val="Emphasis"/>
        </w:rPr>
        <w:t>Distribution Ring–</w:t>
      </w:r>
      <w:r w:rsidRPr="00497336">
        <w:rPr>
          <w:rStyle w:val="Emphasis"/>
        </w:rPr>
        <w:t>Fencing Guidelines</w:t>
      </w:r>
      <w:r>
        <w:t>, September 2000.</w:t>
      </w:r>
    </w:p>
  </w:footnote>
  <w:footnote w:id="3">
    <w:p w:rsidR="00D37B25" w:rsidRDefault="00D37B25" w:rsidP="00504900">
      <w:pPr>
        <w:pStyle w:val="FootnoteText"/>
        <w:ind w:left="426" w:hanging="426"/>
      </w:pPr>
      <w:r>
        <w:rPr>
          <w:rStyle w:val="FootnoteReference"/>
        </w:rPr>
        <w:footnoteRef/>
      </w:r>
      <w:r w:rsidR="00362048">
        <w:t xml:space="preserve"> </w:t>
      </w:r>
      <w:r w:rsidR="00504900">
        <w:tab/>
      </w:r>
      <w:r>
        <w:t xml:space="preserve">Energex, </w:t>
      </w:r>
      <w:r w:rsidRPr="003B1595">
        <w:rPr>
          <w:rStyle w:val="Emphasis"/>
        </w:rPr>
        <w:t xml:space="preserve">Energex application for a </w:t>
      </w:r>
      <w:r w:rsidR="00244465">
        <w:rPr>
          <w:rStyle w:val="Emphasis"/>
        </w:rPr>
        <w:t>ring fencing</w:t>
      </w:r>
      <w:r w:rsidRPr="003B1595">
        <w:rPr>
          <w:rStyle w:val="Emphasis"/>
        </w:rPr>
        <w:t xml:space="preserve"> waiver under the electricity distribution </w:t>
      </w:r>
      <w:r w:rsidR="00244465">
        <w:rPr>
          <w:rStyle w:val="Emphasis"/>
        </w:rPr>
        <w:t>ring fencing</w:t>
      </w:r>
      <w:r w:rsidRPr="003B1595">
        <w:rPr>
          <w:rStyle w:val="Emphasis"/>
        </w:rPr>
        <w:t xml:space="preserve"> guidelines</w:t>
      </w:r>
      <w:r>
        <w:t xml:space="preserve">, </w:t>
      </w:r>
      <w:r w:rsidR="00E13CF3">
        <w:t>May 2016</w:t>
      </w:r>
      <w:r>
        <w:t>.</w:t>
      </w:r>
    </w:p>
  </w:footnote>
  <w:footnote w:id="4">
    <w:p w:rsidR="00097260" w:rsidRPr="00097260" w:rsidRDefault="00097260" w:rsidP="00504900">
      <w:pPr>
        <w:pStyle w:val="FootnoteText"/>
        <w:ind w:left="426" w:hanging="426"/>
      </w:pPr>
      <w:r>
        <w:rPr>
          <w:rStyle w:val="FootnoteReference"/>
        </w:rPr>
        <w:footnoteRef/>
      </w:r>
      <w:r>
        <w:t xml:space="preserve"> </w:t>
      </w:r>
      <w:r w:rsidR="00504900">
        <w:tab/>
      </w:r>
      <w:r>
        <w:t xml:space="preserve">AEMC, </w:t>
      </w:r>
      <w:r>
        <w:rPr>
          <w:i/>
        </w:rPr>
        <w:t>Final report — Integration of Storage: Regulatory Implications,</w:t>
      </w:r>
      <w:r>
        <w:t xml:space="preserve"> December 2015.</w:t>
      </w:r>
    </w:p>
  </w:footnote>
  <w:footnote w:id="5">
    <w:p w:rsidR="00325D40" w:rsidRPr="00325D40" w:rsidRDefault="00325D40" w:rsidP="00325D40">
      <w:pPr>
        <w:pStyle w:val="FootnoteText"/>
        <w:ind w:left="426" w:hanging="426"/>
      </w:pPr>
      <w:r>
        <w:rPr>
          <w:rStyle w:val="FootnoteReference"/>
        </w:rPr>
        <w:footnoteRef/>
      </w:r>
      <w:r>
        <w:t xml:space="preserve"> </w:t>
      </w:r>
      <w:r>
        <w:tab/>
        <w:t xml:space="preserve">AER, </w:t>
      </w:r>
      <w:r>
        <w:rPr>
          <w:i/>
        </w:rPr>
        <w:t>Ring-Fencing Guideline – Preliminary Positions Paper</w:t>
      </w:r>
      <w:r>
        <w:t>, April 2016.</w:t>
      </w:r>
    </w:p>
  </w:footnote>
  <w:footnote w:id="6">
    <w:p w:rsidR="00D37B25" w:rsidRDefault="00D37B25" w:rsidP="00504900">
      <w:pPr>
        <w:pStyle w:val="FootnoteText"/>
        <w:ind w:left="426" w:hanging="426"/>
      </w:pPr>
      <w:r>
        <w:rPr>
          <w:rStyle w:val="FootnoteReference"/>
        </w:rPr>
        <w:footnoteRef/>
      </w:r>
      <w:r w:rsidR="00F4525E">
        <w:t xml:space="preserve"> </w:t>
      </w:r>
      <w:r w:rsidR="00504900">
        <w:tab/>
      </w:r>
      <w:r w:rsidRPr="00227BBB">
        <w:t xml:space="preserve">Queensland Competition Authority, </w:t>
      </w:r>
      <w:r w:rsidRPr="00227BBB">
        <w:rPr>
          <w:rStyle w:val="Emphasis"/>
        </w:rPr>
        <w:t xml:space="preserve">Final Determination: Electricity Distribution: </w:t>
      </w:r>
      <w:r w:rsidR="00244465">
        <w:rPr>
          <w:rStyle w:val="Emphasis"/>
        </w:rPr>
        <w:t>Ring fencing</w:t>
      </w:r>
      <w:r>
        <w:rPr>
          <w:rStyle w:val="Emphasis"/>
        </w:rPr>
        <w:t xml:space="preserve"> </w:t>
      </w:r>
      <w:r w:rsidRPr="00227BBB">
        <w:rPr>
          <w:rStyle w:val="Emphasis"/>
        </w:rPr>
        <w:t>Guidelines</w:t>
      </w:r>
      <w:r w:rsidRPr="00227BBB">
        <w:t>, September 2000, p.8.</w:t>
      </w:r>
    </w:p>
  </w:footnote>
  <w:footnote w:id="7">
    <w:p w:rsidR="00DE6EB2" w:rsidRDefault="00DE6EB2" w:rsidP="00504900">
      <w:pPr>
        <w:pStyle w:val="FootnoteText"/>
        <w:ind w:left="426" w:hanging="426"/>
      </w:pPr>
      <w:r>
        <w:rPr>
          <w:rStyle w:val="FootnoteReference"/>
        </w:rPr>
        <w:footnoteRef/>
      </w:r>
      <w:r>
        <w:t xml:space="preserve"> </w:t>
      </w:r>
      <w:r w:rsidR="00504900">
        <w:tab/>
      </w:r>
      <w:r>
        <w:t xml:space="preserve">Energex, </w:t>
      </w:r>
      <w:r w:rsidRPr="003B1595">
        <w:rPr>
          <w:rStyle w:val="Emphasis"/>
        </w:rPr>
        <w:t xml:space="preserve">Energex application for a </w:t>
      </w:r>
      <w:r>
        <w:rPr>
          <w:rStyle w:val="Emphasis"/>
        </w:rPr>
        <w:t>ring fencing</w:t>
      </w:r>
      <w:r w:rsidRPr="003B1595">
        <w:rPr>
          <w:rStyle w:val="Emphasis"/>
        </w:rPr>
        <w:t xml:space="preserve"> waiver under the electricity distribution </w:t>
      </w:r>
      <w:r>
        <w:rPr>
          <w:rStyle w:val="Emphasis"/>
        </w:rPr>
        <w:t>ring fencing</w:t>
      </w:r>
      <w:r w:rsidRPr="003B1595">
        <w:rPr>
          <w:rStyle w:val="Emphasis"/>
        </w:rPr>
        <w:t xml:space="preserve"> guidelines</w:t>
      </w:r>
      <w:r>
        <w:t>, May 2016, p.2.</w:t>
      </w:r>
    </w:p>
  </w:footnote>
  <w:footnote w:id="8">
    <w:p w:rsidR="00D37B25" w:rsidRDefault="00D37B25" w:rsidP="00504900">
      <w:pPr>
        <w:pStyle w:val="FootnoteText"/>
        <w:ind w:left="426" w:hanging="426"/>
      </w:pPr>
      <w:r>
        <w:rPr>
          <w:rStyle w:val="FootnoteReference"/>
        </w:rPr>
        <w:footnoteRef/>
      </w:r>
      <w:r w:rsidR="00DE6EB2">
        <w:t xml:space="preserve"> </w:t>
      </w:r>
      <w:r w:rsidR="00504900">
        <w:tab/>
      </w:r>
      <w:r>
        <w:t xml:space="preserve">Energex, </w:t>
      </w:r>
      <w:r w:rsidRPr="003B1595">
        <w:rPr>
          <w:rStyle w:val="Emphasis"/>
        </w:rPr>
        <w:t xml:space="preserve">Energex application for a </w:t>
      </w:r>
      <w:r w:rsidR="00244465">
        <w:rPr>
          <w:rStyle w:val="Emphasis"/>
        </w:rPr>
        <w:t>ring fencing</w:t>
      </w:r>
      <w:r w:rsidRPr="003B1595">
        <w:rPr>
          <w:rStyle w:val="Emphasis"/>
        </w:rPr>
        <w:t xml:space="preserve"> waiver under the electricity distribution </w:t>
      </w:r>
      <w:r w:rsidR="00244465">
        <w:rPr>
          <w:rStyle w:val="Emphasis"/>
        </w:rPr>
        <w:t>ring fencing</w:t>
      </w:r>
      <w:r w:rsidRPr="003B1595">
        <w:rPr>
          <w:rStyle w:val="Emphasis"/>
        </w:rPr>
        <w:t xml:space="preserve"> guidelines</w:t>
      </w:r>
      <w:r>
        <w:t xml:space="preserve">, </w:t>
      </w:r>
      <w:r w:rsidR="00510A36">
        <w:t>May 2016</w:t>
      </w:r>
      <w:r>
        <w:t>, p.</w:t>
      </w:r>
      <w:r w:rsidR="00510A36">
        <w:t>3</w:t>
      </w:r>
      <w:r>
        <w:t>.</w:t>
      </w:r>
    </w:p>
  </w:footnote>
  <w:footnote w:id="9">
    <w:p w:rsidR="00D37B25" w:rsidRDefault="00D37B25" w:rsidP="00504900">
      <w:pPr>
        <w:pStyle w:val="FootnoteText"/>
        <w:ind w:left="426" w:hanging="426"/>
      </w:pPr>
      <w:r>
        <w:rPr>
          <w:rStyle w:val="FootnoteReference"/>
        </w:rPr>
        <w:footnoteRef/>
      </w:r>
      <w:r w:rsidR="00DE6EB2">
        <w:t xml:space="preserve"> </w:t>
      </w:r>
      <w:r w:rsidR="00504900">
        <w:tab/>
      </w:r>
      <w:r>
        <w:t xml:space="preserve">Energex, </w:t>
      </w:r>
      <w:r w:rsidRPr="003B1595">
        <w:rPr>
          <w:rStyle w:val="Emphasis"/>
        </w:rPr>
        <w:t xml:space="preserve">Energex application for a </w:t>
      </w:r>
      <w:r w:rsidR="00244465">
        <w:rPr>
          <w:rStyle w:val="Emphasis"/>
        </w:rPr>
        <w:t>ring fencing</w:t>
      </w:r>
      <w:r w:rsidRPr="003B1595">
        <w:rPr>
          <w:rStyle w:val="Emphasis"/>
        </w:rPr>
        <w:t xml:space="preserve"> waiver under the electricity distribution </w:t>
      </w:r>
      <w:r w:rsidR="00244465">
        <w:rPr>
          <w:rStyle w:val="Emphasis"/>
        </w:rPr>
        <w:t>ring fencing</w:t>
      </w:r>
      <w:r w:rsidRPr="003B1595">
        <w:rPr>
          <w:rStyle w:val="Emphasis"/>
        </w:rPr>
        <w:t xml:space="preserve"> guidelines</w:t>
      </w:r>
      <w:r>
        <w:t xml:space="preserve">, </w:t>
      </w:r>
      <w:r w:rsidR="000E704A">
        <w:t>May 2016, p.3</w:t>
      </w:r>
      <w:r>
        <w:t>.</w:t>
      </w:r>
    </w:p>
  </w:footnote>
  <w:footnote w:id="10">
    <w:p w:rsidR="002E6029" w:rsidRDefault="002E6029" w:rsidP="00504900">
      <w:pPr>
        <w:pStyle w:val="FootnoteText"/>
        <w:ind w:left="426" w:hanging="426"/>
      </w:pPr>
      <w:r>
        <w:rPr>
          <w:rStyle w:val="FootnoteReference"/>
        </w:rPr>
        <w:footnoteRef/>
      </w:r>
      <w:r>
        <w:t xml:space="preserve"> </w:t>
      </w:r>
      <w:r w:rsidR="00504900">
        <w:tab/>
      </w:r>
      <w:r w:rsidRPr="00FD1286">
        <w:rPr>
          <w:szCs w:val="16"/>
        </w:rPr>
        <w:t xml:space="preserve">Submissions are available to view on the </w:t>
      </w:r>
      <w:hyperlink r:id="rId1" w:history="1">
        <w:r w:rsidRPr="00FD1286">
          <w:rPr>
            <w:rStyle w:val="Hyperlink"/>
            <w:sz w:val="16"/>
            <w:szCs w:val="16"/>
          </w:rPr>
          <w:t>AER website</w:t>
        </w:r>
      </w:hyperlink>
      <w:r w:rsidRPr="00FD1286">
        <w:rPr>
          <w:szCs w:val="16"/>
        </w:rPr>
        <w:t xml:space="preserve"> (www.aer.gov.au).</w:t>
      </w:r>
    </w:p>
  </w:footnote>
  <w:footnote w:id="11">
    <w:p w:rsidR="006E0ED0" w:rsidRDefault="006E0ED0" w:rsidP="00504900">
      <w:pPr>
        <w:pStyle w:val="FootnoteText"/>
        <w:tabs>
          <w:tab w:val="left" w:pos="426"/>
        </w:tabs>
        <w:ind w:left="426" w:hanging="426"/>
      </w:pPr>
      <w:r>
        <w:rPr>
          <w:rStyle w:val="FootnoteReference"/>
        </w:rPr>
        <w:footnoteRef/>
      </w:r>
      <w:r w:rsidR="00504900">
        <w:t xml:space="preserve"> </w:t>
      </w:r>
      <w:r w:rsidR="00504900">
        <w:tab/>
      </w:r>
      <w:r>
        <w:t xml:space="preserve">Origin Energy, </w:t>
      </w:r>
      <w:r w:rsidRPr="00FA121A">
        <w:rPr>
          <w:i/>
        </w:rPr>
        <w:t>Re. Submission</w:t>
      </w:r>
      <w:r w:rsidR="00FA121A" w:rsidRPr="00FA121A">
        <w:rPr>
          <w:i/>
        </w:rPr>
        <w:t xml:space="preserve"> to Energex application for a ring fencing waiver</w:t>
      </w:r>
      <w:r w:rsidR="00FA121A">
        <w:t>, June 2016, p. 3.</w:t>
      </w:r>
    </w:p>
  </w:footnote>
  <w:footnote w:id="12">
    <w:p w:rsidR="003242FB" w:rsidRPr="003242FB" w:rsidRDefault="003242FB" w:rsidP="00504900">
      <w:pPr>
        <w:pStyle w:val="FootnoteText"/>
        <w:ind w:left="426" w:hanging="426"/>
      </w:pPr>
      <w:r>
        <w:rPr>
          <w:rStyle w:val="FootnoteReference"/>
        </w:rPr>
        <w:footnoteRef/>
      </w:r>
      <w:r>
        <w:t xml:space="preserve"> </w:t>
      </w:r>
      <w:r w:rsidR="00504900">
        <w:tab/>
      </w:r>
      <w:r>
        <w:t xml:space="preserve">QCA, </w:t>
      </w:r>
      <w:r>
        <w:rPr>
          <w:i/>
        </w:rPr>
        <w:t xml:space="preserve">Final determinations—Electricity distribution: ring fencing guidelines, </w:t>
      </w:r>
      <w:r>
        <w:t>September 2000, p.2.</w:t>
      </w:r>
    </w:p>
  </w:footnote>
  <w:footnote w:id="13">
    <w:p w:rsidR="001B593D" w:rsidRPr="001B593D" w:rsidRDefault="001B593D" w:rsidP="00A33ADD">
      <w:pPr>
        <w:pStyle w:val="FootnoteText"/>
        <w:ind w:left="426" w:hanging="426"/>
      </w:pPr>
      <w:r>
        <w:rPr>
          <w:rStyle w:val="FootnoteReference"/>
        </w:rPr>
        <w:footnoteRef/>
      </w:r>
      <w:r>
        <w:t xml:space="preserve"> </w:t>
      </w:r>
      <w:r>
        <w:tab/>
        <w:t xml:space="preserve">AER, </w:t>
      </w:r>
      <w:r>
        <w:rPr>
          <w:i/>
        </w:rPr>
        <w:t>Ring-Fencing Guideline – Preliminary Positions Paper</w:t>
      </w:r>
      <w:r>
        <w:t>, April 2016.</w:t>
      </w:r>
      <w:r>
        <w:rPr>
          <w:i/>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C0CCD3AE"/>
    <w:lvl w:ilvl="0">
      <w:start w:val="1"/>
      <w:numFmt w:val="decimal"/>
      <w:pStyle w:val="ListNumber3"/>
      <w:lvlText w:val="%1."/>
      <w:lvlJc w:val="left"/>
      <w:pPr>
        <w:tabs>
          <w:tab w:val="num" w:pos="926"/>
        </w:tabs>
        <w:ind w:left="926" w:hanging="360"/>
      </w:pPr>
    </w:lvl>
  </w:abstractNum>
  <w:abstractNum w:abstractNumId="3">
    <w:nsid w:val="FFFFFF7F"/>
    <w:multiLevelType w:val="singleLevel"/>
    <w:tmpl w:val="7F741816"/>
    <w:lvl w:ilvl="0">
      <w:start w:val="1"/>
      <w:numFmt w:val="lowerLetter"/>
      <w:pStyle w:val="ListNumber2"/>
      <w:lvlText w:val="%1)"/>
      <w:lvlJc w:val="left"/>
      <w:pPr>
        <w:ind w:left="36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E46A7DC6"/>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E262730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3C004CC0"/>
    <w:lvl w:ilvl="0">
      <w:start w:val="1"/>
      <w:numFmt w:val="decimal"/>
      <w:pStyle w:val="ListNumber"/>
      <w:lvlText w:val="%1."/>
      <w:lvlJc w:val="left"/>
      <w:pPr>
        <w:tabs>
          <w:tab w:val="num" w:pos="360"/>
        </w:tabs>
        <w:ind w:left="360" w:hanging="360"/>
      </w:pPr>
    </w:lvl>
  </w:abstractNum>
  <w:abstractNum w:abstractNumId="9">
    <w:nsid w:val="03BE4FB3"/>
    <w:multiLevelType w:val="hybridMultilevel"/>
    <w:tmpl w:val="D74ADE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nsid w:val="041F530A"/>
    <w:multiLevelType w:val="multilevel"/>
    <w:tmpl w:val="4E603E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nsid w:val="07E80CBD"/>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08641ED1"/>
    <w:multiLevelType w:val="hybridMultilevel"/>
    <w:tmpl w:val="8520B998"/>
    <w:lvl w:ilvl="0" w:tplc="92E4D2C2">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10FC3577"/>
    <w:multiLevelType w:val="multilevel"/>
    <w:tmpl w:val="8AE4EE6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133E73B6"/>
    <w:multiLevelType w:val="hybridMultilevel"/>
    <w:tmpl w:val="80220B84"/>
    <w:lvl w:ilvl="0" w:tplc="F5987420">
      <w:start w:val="1"/>
      <w:numFmt w:val="decimal"/>
      <w:pStyle w:val="Numberedlist"/>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6">
    <w:nsid w:val="143A16BA"/>
    <w:multiLevelType w:val="hybridMultilevel"/>
    <w:tmpl w:val="B4582D26"/>
    <w:lvl w:ilvl="0" w:tplc="7270CC96">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18E65396"/>
    <w:multiLevelType w:val="hybridMultilevel"/>
    <w:tmpl w:val="07384C54"/>
    <w:lvl w:ilvl="0" w:tplc="8530271E">
      <w:start w:val="1"/>
      <w:numFmt w:val="decimal"/>
      <w:pStyle w:val="NumberedChapterTitle"/>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19B737F8"/>
    <w:multiLevelType w:val="multilevel"/>
    <w:tmpl w:val="6FB04AB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4418" w:hanging="1440"/>
      </w:pPr>
      <w:rPr>
        <w:rFonts w:hint="default"/>
      </w:rPr>
    </w:lvl>
    <w:lvl w:ilvl="8">
      <w:start w:val="1"/>
      <w:numFmt w:val="decimal"/>
      <w:lvlText w:val="%1.%2.%3.%4.%5.%6.%7.%8.%9"/>
      <w:lvlJc w:val="left"/>
      <w:pPr>
        <w:ind w:left="1584" w:hanging="1584"/>
      </w:pPr>
      <w:rPr>
        <w:rFonts w:hint="default"/>
      </w:rPr>
    </w:lvl>
  </w:abstractNum>
  <w:abstractNum w:abstractNumId="19">
    <w:nsid w:val="1CF519CE"/>
    <w:multiLevelType w:val="multilevel"/>
    <w:tmpl w:val="3AD8CB48"/>
    <w:lvl w:ilvl="0">
      <w:start w:val="1"/>
      <w:numFmt w:val="decimal"/>
      <w:pStyle w:val="Numbered1"/>
      <w:lvlText w:val="%1."/>
      <w:lvlJc w:val="left"/>
      <w:pPr>
        <w:ind w:left="360" w:hanging="360"/>
      </w:pPr>
    </w:lvl>
    <w:lvl w:ilvl="1">
      <w:start w:val="1"/>
      <w:numFmt w:val="decimal"/>
      <w:pStyle w:val="Numbered11"/>
      <w:lvlText w:val="%1.%2."/>
      <w:lvlJc w:val="left"/>
      <w:pPr>
        <w:ind w:left="792" w:hanging="432"/>
      </w:pPr>
    </w:lvl>
    <w:lvl w:ilvl="2">
      <w:start w:val="1"/>
      <w:numFmt w:val="decimal"/>
      <w:pStyle w:val="Numbered111"/>
      <w:lvlText w:val="%1.%2.%3."/>
      <w:lvlJc w:val="left"/>
      <w:pPr>
        <w:ind w:left="1224" w:hanging="504"/>
      </w:pPr>
    </w:lvl>
    <w:lvl w:ilvl="3">
      <w:start w:val="1"/>
      <w:numFmt w:val="decimal"/>
      <w:pStyle w:val="Numbered1111"/>
      <w:lvlText w:val="%1.%2.%3.%4."/>
      <w:lvlJc w:val="left"/>
      <w:pPr>
        <w:ind w:left="1728" w:hanging="648"/>
      </w:pPr>
    </w:lvl>
    <w:lvl w:ilvl="4">
      <w:start w:val="1"/>
      <w:numFmt w:val="decimal"/>
      <w:pStyle w:val="Numbered11111"/>
      <w:lvlText w:val="%1.%2.%3.%4.%5."/>
      <w:lvlJc w:val="left"/>
      <w:pPr>
        <w:ind w:left="2232" w:hanging="792"/>
      </w:pPr>
    </w:lvl>
    <w:lvl w:ilvl="5">
      <w:start w:val="1"/>
      <w:numFmt w:val="decimal"/>
      <w:pStyle w:val="Numbered111111"/>
      <w:lvlText w:val="%1.%2.%3.%4.%5.%6."/>
      <w:lvlJc w:val="left"/>
      <w:pPr>
        <w:ind w:left="2736" w:hanging="936"/>
      </w:pPr>
    </w:lvl>
    <w:lvl w:ilvl="6">
      <w:start w:val="1"/>
      <w:numFmt w:val="decimal"/>
      <w:pStyle w:val="Numbered1111111"/>
      <w:lvlText w:val="%1.%2.%3.%4.%5.%6.%7."/>
      <w:lvlJc w:val="left"/>
      <w:pPr>
        <w:ind w:left="3240" w:hanging="1080"/>
      </w:pPr>
    </w:lvl>
    <w:lvl w:ilvl="7">
      <w:start w:val="1"/>
      <w:numFmt w:val="decimal"/>
      <w:pStyle w:val="Numbered11111111"/>
      <w:lvlText w:val="%1.%2.%3.%4.%5.%6.%7.%8."/>
      <w:lvlJc w:val="left"/>
      <w:pPr>
        <w:ind w:left="3744" w:hanging="1224"/>
      </w:pPr>
    </w:lvl>
    <w:lvl w:ilvl="8">
      <w:start w:val="1"/>
      <w:numFmt w:val="decimal"/>
      <w:pStyle w:val="Numbered111111111"/>
      <w:lvlText w:val="%1.%2.%3.%4.%5.%6.%7.%8.%9."/>
      <w:lvlJc w:val="left"/>
      <w:pPr>
        <w:ind w:left="4320" w:hanging="1440"/>
      </w:pPr>
    </w:lvl>
  </w:abstractNum>
  <w:abstractNum w:abstractNumId="20">
    <w:nsid w:val="20DC4589"/>
    <w:multiLevelType w:val="hybridMultilevel"/>
    <w:tmpl w:val="CE309D86"/>
    <w:lvl w:ilvl="0" w:tplc="272AF908">
      <w:start w:val="1"/>
      <w:numFmt w:val="bullet"/>
      <w:lvlText w:val=""/>
      <w:lvlJc w:val="left"/>
      <w:pPr>
        <w:ind w:left="720" w:hanging="360"/>
      </w:pPr>
      <w:rPr>
        <w:rFonts w:ascii="Symbol" w:hAnsi="Symbol" w:hint="default"/>
      </w:rPr>
    </w:lvl>
    <w:lvl w:ilvl="1" w:tplc="57C8130E" w:tentative="1">
      <w:start w:val="1"/>
      <w:numFmt w:val="bullet"/>
      <w:lvlText w:val="o"/>
      <w:lvlJc w:val="left"/>
      <w:pPr>
        <w:ind w:left="1440" w:hanging="360"/>
      </w:pPr>
      <w:rPr>
        <w:rFonts w:ascii="Courier New" w:hAnsi="Courier New" w:cs="Courier New" w:hint="default"/>
      </w:rPr>
    </w:lvl>
    <w:lvl w:ilvl="2" w:tplc="5C8AAD36" w:tentative="1">
      <w:start w:val="1"/>
      <w:numFmt w:val="bullet"/>
      <w:lvlText w:val=""/>
      <w:lvlJc w:val="left"/>
      <w:pPr>
        <w:ind w:left="2160" w:hanging="360"/>
      </w:pPr>
      <w:rPr>
        <w:rFonts w:ascii="Wingdings" w:hAnsi="Wingdings" w:hint="default"/>
      </w:rPr>
    </w:lvl>
    <w:lvl w:ilvl="3" w:tplc="724C6AB0" w:tentative="1">
      <w:start w:val="1"/>
      <w:numFmt w:val="bullet"/>
      <w:lvlText w:val=""/>
      <w:lvlJc w:val="left"/>
      <w:pPr>
        <w:ind w:left="2880" w:hanging="360"/>
      </w:pPr>
      <w:rPr>
        <w:rFonts w:ascii="Symbol" w:hAnsi="Symbol" w:hint="default"/>
      </w:rPr>
    </w:lvl>
    <w:lvl w:ilvl="4" w:tplc="6FB25FB4" w:tentative="1">
      <w:start w:val="1"/>
      <w:numFmt w:val="bullet"/>
      <w:lvlText w:val="o"/>
      <w:lvlJc w:val="left"/>
      <w:pPr>
        <w:ind w:left="3600" w:hanging="360"/>
      </w:pPr>
      <w:rPr>
        <w:rFonts w:ascii="Courier New" w:hAnsi="Courier New" w:cs="Courier New" w:hint="default"/>
      </w:rPr>
    </w:lvl>
    <w:lvl w:ilvl="5" w:tplc="F5C2DFB0" w:tentative="1">
      <w:start w:val="1"/>
      <w:numFmt w:val="bullet"/>
      <w:lvlText w:val=""/>
      <w:lvlJc w:val="left"/>
      <w:pPr>
        <w:ind w:left="4320" w:hanging="360"/>
      </w:pPr>
      <w:rPr>
        <w:rFonts w:ascii="Wingdings" w:hAnsi="Wingdings" w:hint="default"/>
      </w:rPr>
    </w:lvl>
    <w:lvl w:ilvl="6" w:tplc="E8EC3EF6" w:tentative="1">
      <w:start w:val="1"/>
      <w:numFmt w:val="bullet"/>
      <w:lvlText w:val=""/>
      <w:lvlJc w:val="left"/>
      <w:pPr>
        <w:ind w:left="5040" w:hanging="360"/>
      </w:pPr>
      <w:rPr>
        <w:rFonts w:ascii="Symbol" w:hAnsi="Symbol" w:hint="default"/>
      </w:rPr>
    </w:lvl>
    <w:lvl w:ilvl="7" w:tplc="B2DE8D52" w:tentative="1">
      <w:start w:val="1"/>
      <w:numFmt w:val="bullet"/>
      <w:lvlText w:val="o"/>
      <w:lvlJc w:val="left"/>
      <w:pPr>
        <w:ind w:left="5760" w:hanging="360"/>
      </w:pPr>
      <w:rPr>
        <w:rFonts w:ascii="Courier New" w:hAnsi="Courier New" w:cs="Courier New" w:hint="default"/>
      </w:rPr>
    </w:lvl>
    <w:lvl w:ilvl="8" w:tplc="1C986682" w:tentative="1">
      <w:start w:val="1"/>
      <w:numFmt w:val="bullet"/>
      <w:lvlText w:val=""/>
      <w:lvlJc w:val="left"/>
      <w:pPr>
        <w:ind w:left="6480" w:hanging="360"/>
      </w:pPr>
      <w:rPr>
        <w:rFonts w:ascii="Wingdings" w:hAnsi="Wingdings" w:hint="default"/>
      </w:rPr>
    </w:lvl>
  </w:abstractNum>
  <w:abstractNum w:abstractNumId="21">
    <w:nsid w:val="238563B5"/>
    <w:multiLevelType w:val="multilevel"/>
    <w:tmpl w:val="7DF81E34"/>
    <w:lvl w:ilvl="0">
      <w:start w:val="1"/>
      <w:numFmt w:val="lowerLetter"/>
      <w:lvlText w:val="%1."/>
      <w:lvlJc w:val="left"/>
      <w:pPr>
        <w:ind w:left="360" w:hanging="360"/>
      </w:pPr>
      <w:rPr>
        <w:rFonts w:hint="default"/>
      </w:rPr>
    </w:lvl>
    <w:lvl w:ilvl="1">
      <w:start w:val="1"/>
      <w:numFmt w:val="lowerLetter"/>
      <w:lvlText w:val="%1.%2."/>
      <w:lvlJc w:val="left"/>
      <w:pPr>
        <w:ind w:left="792" w:hanging="432"/>
      </w:pPr>
      <w:rPr>
        <w:rFonts w:hint="default"/>
      </w:rPr>
    </w:lvl>
    <w:lvl w:ilvl="2">
      <w:start w:val="1"/>
      <w:numFmt w:val="lowerLetter"/>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324E259F"/>
    <w:multiLevelType w:val="hybridMultilevel"/>
    <w:tmpl w:val="DF0C57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3923347D"/>
    <w:multiLevelType w:val="hybridMultilevel"/>
    <w:tmpl w:val="D45C48E2"/>
    <w:lvl w:ilvl="0" w:tplc="D66A534E">
      <w:start w:val="1"/>
      <w:numFmt w:val="bullet"/>
      <w:pStyle w:val="List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3D18074A"/>
    <w:multiLevelType w:val="hybridMultilevel"/>
    <w:tmpl w:val="C8E20904"/>
    <w:lvl w:ilvl="0" w:tplc="0C090001">
      <w:start w:val="1"/>
      <w:numFmt w:val="decimal"/>
      <w:lvlText w:val="%1."/>
      <w:lvlJc w:val="left"/>
      <w:pPr>
        <w:ind w:left="360" w:hanging="360"/>
      </w:pPr>
    </w:lvl>
    <w:lvl w:ilvl="1" w:tplc="0C090003" w:tentative="1">
      <w:start w:val="1"/>
      <w:numFmt w:val="lowerLetter"/>
      <w:lvlText w:val="%2."/>
      <w:lvlJc w:val="left"/>
      <w:pPr>
        <w:ind w:left="1080" w:hanging="360"/>
      </w:pPr>
    </w:lvl>
    <w:lvl w:ilvl="2" w:tplc="0C090005" w:tentative="1">
      <w:start w:val="1"/>
      <w:numFmt w:val="lowerRoman"/>
      <w:lvlText w:val="%3."/>
      <w:lvlJc w:val="right"/>
      <w:pPr>
        <w:ind w:left="1800" w:hanging="180"/>
      </w:pPr>
    </w:lvl>
    <w:lvl w:ilvl="3" w:tplc="0C090001" w:tentative="1">
      <w:start w:val="1"/>
      <w:numFmt w:val="decimal"/>
      <w:lvlText w:val="%4."/>
      <w:lvlJc w:val="left"/>
      <w:pPr>
        <w:ind w:left="2520" w:hanging="360"/>
      </w:pPr>
    </w:lvl>
    <w:lvl w:ilvl="4" w:tplc="0C090003" w:tentative="1">
      <w:start w:val="1"/>
      <w:numFmt w:val="lowerLetter"/>
      <w:lvlText w:val="%5."/>
      <w:lvlJc w:val="left"/>
      <w:pPr>
        <w:ind w:left="3240" w:hanging="360"/>
      </w:pPr>
    </w:lvl>
    <w:lvl w:ilvl="5" w:tplc="0C090005" w:tentative="1">
      <w:start w:val="1"/>
      <w:numFmt w:val="lowerRoman"/>
      <w:lvlText w:val="%6."/>
      <w:lvlJc w:val="right"/>
      <w:pPr>
        <w:ind w:left="3960" w:hanging="180"/>
      </w:pPr>
    </w:lvl>
    <w:lvl w:ilvl="6" w:tplc="0C090001" w:tentative="1">
      <w:start w:val="1"/>
      <w:numFmt w:val="decimal"/>
      <w:lvlText w:val="%7."/>
      <w:lvlJc w:val="left"/>
      <w:pPr>
        <w:ind w:left="4680" w:hanging="360"/>
      </w:pPr>
    </w:lvl>
    <w:lvl w:ilvl="7" w:tplc="0C090003" w:tentative="1">
      <w:start w:val="1"/>
      <w:numFmt w:val="lowerLetter"/>
      <w:lvlText w:val="%8."/>
      <w:lvlJc w:val="left"/>
      <w:pPr>
        <w:ind w:left="5400" w:hanging="360"/>
      </w:pPr>
    </w:lvl>
    <w:lvl w:ilvl="8" w:tplc="0C090005" w:tentative="1">
      <w:start w:val="1"/>
      <w:numFmt w:val="lowerRoman"/>
      <w:lvlText w:val="%9."/>
      <w:lvlJc w:val="right"/>
      <w:pPr>
        <w:ind w:left="6120" w:hanging="180"/>
      </w:pPr>
    </w:lvl>
  </w:abstractNum>
  <w:abstractNum w:abstractNumId="25">
    <w:nsid w:val="429046A0"/>
    <w:multiLevelType w:val="multilevel"/>
    <w:tmpl w:val="9A30B4A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44065F76"/>
    <w:multiLevelType w:val="hybridMultilevel"/>
    <w:tmpl w:val="68D2BB3C"/>
    <w:lvl w:ilvl="0" w:tplc="A5BC9C30">
      <w:start w:val="1"/>
      <w:numFmt w:val="lowerLetter"/>
      <w:lvlText w:val="%1)"/>
      <w:lvlJc w:val="left"/>
      <w:pPr>
        <w:ind w:left="1003" w:hanging="360"/>
      </w:pPr>
    </w:lvl>
    <w:lvl w:ilvl="1" w:tplc="394A4642" w:tentative="1">
      <w:start w:val="1"/>
      <w:numFmt w:val="lowerLetter"/>
      <w:lvlText w:val="%2."/>
      <w:lvlJc w:val="left"/>
      <w:pPr>
        <w:ind w:left="1723" w:hanging="360"/>
      </w:pPr>
    </w:lvl>
    <w:lvl w:ilvl="2" w:tplc="DA3E1F4A" w:tentative="1">
      <w:start w:val="1"/>
      <w:numFmt w:val="lowerRoman"/>
      <w:lvlText w:val="%3."/>
      <w:lvlJc w:val="right"/>
      <w:pPr>
        <w:ind w:left="2443" w:hanging="180"/>
      </w:pPr>
    </w:lvl>
    <w:lvl w:ilvl="3" w:tplc="999EE412" w:tentative="1">
      <w:start w:val="1"/>
      <w:numFmt w:val="decimal"/>
      <w:lvlText w:val="%4."/>
      <w:lvlJc w:val="left"/>
      <w:pPr>
        <w:ind w:left="3163" w:hanging="360"/>
      </w:pPr>
    </w:lvl>
    <w:lvl w:ilvl="4" w:tplc="0C7C376E" w:tentative="1">
      <w:start w:val="1"/>
      <w:numFmt w:val="lowerLetter"/>
      <w:lvlText w:val="%5."/>
      <w:lvlJc w:val="left"/>
      <w:pPr>
        <w:ind w:left="3883" w:hanging="360"/>
      </w:pPr>
    </w:lvl>
    <w:lvl w:ilvl="5" w:tplc="C5F85718" w:tentative="1">
      <w:start w:val="1"/>
      <w:numFmt w:val="lowerRoman"/>
      <w:lvlText w:val="%6."/>
      <w:lvlJc w:val="right"/>
      <w:pPr>
        <w:ind w:left="4603" w:hanging="180"/>
      </w:pPr>
    </w:lvl>
    <w:lvl w:ilvl="6" w:tplc="A13E5A62" w:tentative="1">
      <w:start w:val="1"/>
      <w:numFmt w:val="decimal"/>
      <w:lvlText w:val="%7."/>
      <w:lvlJc w:val="left"/>
      <w:pPr>
        <w:ind w:left="5323" w:hanging="360"/>
      </w:pPr>
    </w:lvl>
    <w:lvl w:ilvl="7" w:tplc="DFD8E418" w:tentative="1">
      <w:start w:val="1"/>
      <w:numFmt w:val="lowerLetter"/>
      <w:lvlText w:val="%8."/>
      <w:lvlJc w:val="left"/>
      <w:pPr>
        <w:ind w:left="6043" w:hanging="360"/>
      </w:pPr>
    </w:lvl>
    <w:lvl w:ilvl="8" w:tplc="1030601A" w:tentative="1">
      <w:start w:val="1"/>
      <w:numFmt w:val="lowerRoman"/>
      <w:lvlText w:val="%9."/>
      <w:lvlJc w:val="right"/>
      <w:pPr>
        <w:ind w:left="6763" w:hanging="180"/>
      </w:pPr>
    </w:lvl>
  </w:abstractNum>
  <w:abstractNum w:abstractNumId="27">
    <w:nsid w:val="461B4F41"/>
    <w:multiLevelType w:val="hybridMultilevel"/>
    <w:tmpl w:val="7B5014C4"/>
    <w:lvl w:ilvl="0" w:tplc="50264BE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nsid w:val="4A0A18C3"/>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4DFC74D7"/>
    <w:multiLevelType w:val="multilevel"/>
    <w:tmpl w:val="D22EEB40"/>
    <w:lvl w:ilvl="0">
      <w:start w:val="1"/>
      <w:numFmt w:val="decimal"/>
      <w:lvlText w:val="%1."/>
      <w:lvlJc w:val="left"/>
      <w:pPr>
        <w:ind w:left="720" w:hanging="360"/>
      </w:pPr>
      <w:rPr>
        <w:rFonts w:hint="default"/>
      </w:rPr>
    </w:lvl>
    <w:lvl w:ilvl="1">
      <w:start w:val="1"/>
      <w:numFmt w:val="decimal"/>
      <w:lvlText w:val="%1.%2."/>
      <w:lvlJc w:val="left"/>
      <w:pPr>
        <w:ind w:left="964" w:hanging="964"/>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nsid w:val="57384C50"/>
    <w:multiLevelType w:val="hybridMultilevel"/>
    <w:tmpl w:val="45CCF906"/>
    <w:lvl w:ilvl="0" w:tplc="8FF0783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nsid w:val="587C44DB"/>
    <w:multiLevelType w:val="hybridMultilevel"/>
    <w:tmpl w:val="A0E28A08"/>
    <w:lvl w:ilvl="0" w:tplc="CA94312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61BF18CA"/>
    <w:multiLevelType w:val="hybridMultilevel"/>
    <w:tmpl w:val="89CA83CA"/>
    <w:lvl w:ilvl="0" w:tplc="C5F4B7E6">
      <w:start w:val="3"/>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63FE6480"/>
    <w:multiLevelType w:val="hybridMultilevel"/>
    <w:tmpl w:val="A426E84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nsid w:val="65C457CB"/>
    <w:multiLevelType w:val="hybridMultilevel"/>
    <w:tmpl w:val="8FC60C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6726588A"/>
    <w:multiLevelType w:val="hybridMultilevel"/>
    <w:tmpl w:val="CC927964"/>
    <w:lvl w:ilvl="0" w:tplc="0C09000F">
      <w:start w:val="1"/>
      <w:numFmt w:val="bullet"/>
      <w:pStyle w:val="Bulletpoint2"/>
      <w:lvlText w:val="o"/>
      <w:lvlJc w:val="left"/>
      <w:pPr>
        <w:ind w:left="1003" w:hanging="360"/>
      </w:pPr>
      <w:rPr>
        <w:rFonts w:ascii="Courier New" w:hAnsi="Courier New" w:cs="Courier New" w:hint="default"/>
      </w:rPr>
    </w:lvl>
    <w:lvl w:ilvl="1" w:tplc="0C090019" w:tentative="1">
      <w:start w:val="1"/>
      <w:numFmt w:val="bullet"/>
      <w:lvlText w:val="o"/>
      <w:lvlJc w:val="left"/>
      <w:pPr>
        <w:ind w:left="1723" w:hanging="360"/>
      </w:pPr>
      <w:rPr>
        <w:rFonts w:ascii="Courier New" w:hAnsi="Courier New" w:cs="Courier New" w:hint="default"/>
      </w:rPr>
    </w:lvl>
    <w:lvl w:ilvl="2" w:tplc="0C09001B" w:tentative="1">
      <w:start w:val="1"/>
      <w:numFmt w:val="bullet"/>
      <w:lvlText w:val=""/>
      <w:lvlJc w:val="left"/>
      <w:pPr>
        <w:ind w:left="2443" w:hanging="360"/>
      </w:pPr>
      <w:rPr>
        <w:rFonts w:ascii="Wingdings" w:hAnsi="Wingdings" w:hint="default"/>
      </w:rPr>
    </w:lvl>
    <w:lvl w:ilvl="3" w:tplc="0C09000F" w:tentative="1">
      <w:start w:val="1"/>
      <w:numFmt w:val="bullet"/>
      <w:lvlText w:val=""/>
      <w:lvlJc w:val="left"/>
      <w:pPr>
        <w:ind w:left="3163" w:hanging="360"/>
      </w:pPr>
      <w:rPr>
        <w:rFonts w:ascii="Symbol" w:hAnsi="Symbol" w:hint="default"/>
      </w:rPr>
    </w:lvl>
    <w:lvl w:ilvl="4" w:tplc="0C090019" w:tentative="1">
      <w:start w:val="1"/>
      <w:numFmt w:val="bullet"/>
      <w:lvlText w:val="o"/>
      <w:lvlJc w:val="left"/>
      <w:pPr>
        <w:ind w:left="3883" w:hanging="360"/>
      </w:pPr>
      <w:rPr>
        <w:rFonts w:ascii="Courier New" w:hAnsi="Courier New" w:cs="Courier New" w:hint="default"/>
      </w:rPr>
    </w:lvl>
    <w:lvl w:ilvl="5" w:tplc="0C09001B" w:tentative="1">
      <w:start w:val="1"/>
      <w:numFmt w:val="bullet"/>
      <w:lvlText w:val=""/>
      <w:lvlJc w:val="left"/>
      <w:pPr>
        <w:ind w:left="4603" w:hanging="360"/>
      </w:pPr>
      <w:rPr>
        <w:rFonts w:ascii="Wingdings" w:hAnsi="Wingdings" w:hint="default"/>
      </w:rPr>
    </w:lvl>
    <w:lvl w:ilvl="6" w:tplc="0C09000F" w:tentative="1">
      <w:start w:val="1"/>
      <w:numFmt w:val="bullet"/>
      <w:lvlText w:val=""/>
      <w:lvlJc w:val="left"/>
      <w:pPr>
        <w:ind w:left="5323" w:hanging="360"/>
      </w:pPr>
      <w:rPr>
        <w:rFonts w:ascii="Symbol" w:hAnsi="Symbol" w:hint="default"/>
      </w:rPr>
    </w:lvl>
    <w:lvl w:ilvl="7" w:tplc="0C090019" w:tentative="1">
      <w:start w:val="1"/>
      <w:numFmt w:val="bullet"/>
      <w:lvlText w:val="o"/>
      <w:lvlJc w:val="left"/>
      <w:pPr>
        <w:ind w:left="6043" w:hanging="360"/>
      </w:pPr>
      <w:rPr>
        <w:rFonts w:ascii="Courier New" w:hAnsi="Courier New" w:cs="Courier New" w:hint="default"/>
      </w:rPr>
    </w:lvl>
    <w:lvl w:ilvl="8" w:tplc="0C09001B" w:tentative="1">
      <w:start w:val="1"/>
      <w:numFmt w:val="bullet"/>
      <w:lvlText w:val=""/>
      <w:lvlJc w:val="left"/>
      <w:pPr>
        <w:ind w:left="6763" w:hanging="360"/>
      </w:pPr>
      <w:rPr>
        <w:rFonts w:ascii="Wingdings" w:hAnsi="Wingdings" w:hint="default"/>
      </w:rPr>
    </w:lvl>
  </w:abstractNum>
  <w:abstractNum w:abstractNumId="36">
    <w:nsid w:val="68D46101"/>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73EB6145"/>
    <w:multiLevelType w:val="hybridMultilevel"/>
    <w:tmpl w:val="DCB0017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nsid w:val="7E2819EC"/>
    <w:multiLevelType w:val="multilevel"/>
    <w:tmpl w:val="1250F310"/>
    <w:lvl w:ilvl="0">
      <w:start w:val="1"/>
      <w:numFmt w:val="bullet"/>
      <w:pStyle w:val="Bulletpoin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30"/>
  </w:num>
  <w:num w:numId="2">
    <w:abstractNumId w:val="18"/>
  </w:num>
  <w:num w:numId="3">
    <w:abstractNumId w:val="15"/>
  </w:num>
  <w:num w:numId="4">
    <w:abstractNumId w:val="36"/>
  </w:num>
  <w:num w:numId="5">
    <w:abstractNumId w:val="14"/>
  </w:num>
  <w:num w:numId="6">
    <w:abstractNumId w:val="25"/>
  </w:num>
  <w:num w:numId="7">
    <w:abstractNumId w:val="38"/>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35"/>
  </w:num>
  <w:num w:numId="18">
    <w:abstractNumId w:val="26"/>
  </w:num>
  <w:num w:numId="19">
    <w:abstractNumId w:val="18"/>
    <w:lvlOverride w:ilvl="0">
      <w:startOverride w:val="1"/>
    </w:lvlOverride>
  </w:num>
  <w:num w:numId="20">
    <w:abstractNumId w:val="22"/>
  </w:num>
  <w:num w:numId="21">
    <w:abstractNumId w:val="24"/>
  </w:num>
  <w:num w:numId="22">
    <w:abstractNumId w:val="20"/>
  </w:num>
  <w:num w:numId="23">
    <w:abstractNumId w:val="34"/>
  </w:num>
  <w:num w:numId="24">
    <w:abstractNumId w:val="37"/>
  </w:num>
  <w:num w:numId="25">
    <w:abstractNumId w:val="31"/>
  </w:num>
  <w:num w:numId="26">
    <w:abstractNumId w:val="16"/>
  </w:num>
  <w:num w:numId="27">
    <w:abstractNumId w:val="12"/>
  </w:num>
  <w:num w:numId="28">
    <w:abstractNumId w:val="23"/>
  </w:num>
  <w:num w:numId="29">
    <w:abstractNumId w:val="13"/>
  </w:num>
  <w:num w:numId="30">
    <w:abstractNumId w:val="27"/>
  </w:num>
  <w:num w:numId="31">
    <w:abstractNumId w:val="11"/>
  </w:num>
  <w:num w:numId="32">
    <w:abstractNumId w:val="19"/>
  </w:num>
  <w:num w:numId="33">
    <w:abstractNumId w:val="29"/>
  </w:num>
  <w:num w:numId="3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8"/>
  </w:num>
  <w:num w:numId="36">
    <w:abstractNumId w:val="21"/>
  </w:num>
  <w:num w:numId="37">
    <w:abstractNumId w:val="9"/>
  </w:num>
  <w:num w:numId="38">
    <w:abstractNumId w:val="17"/>
  </w:num>
  <w:num w:numId="39">
    <w:abstractNumId w:val="10"/>
  </w:num>
  <w:num w:numId="40">
    <w:abstractNumId w:val="32"/>
  </w:num>
  <w:num w:numId="41">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9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cdchnas-evs02\home$\djoha\3.6 - attachment b - draft decision - energex ring fencing waiver application - eagle farm (D2016-00086168).docx"/>
  </w:docVars>
  <w:rsids>
    <w:rsidRoot w:val="00D37B25"/>
    <w:rsid w:val="00021202"/>
    <w:rsid w:val="0003578C"/>
    <w:rsid w:val="0004658E"/>
    <w:rsid w:val="00063247"/>
    <w:rsid w:val="00070F9F"/>
    <w:rsid w:val="0007137B"/>
    <w:rsid w:val="00085663"/>
    <w:rsid w:val="00085EBF"/>
    <w:rsid w:val="000955AC"/>
    <w:rsid w:val="00097260"/>
    <w:rsid w:val="000D122C"/>
    <w:rsid w:val="000E1819"/>
    <w:rsid w:val="000E6C72"/>
    <w:rsid w:val="000E704A"/>
    <w:rsid w:val="00116EB2"/>
    <w:rsid w:val="00124609"/>
    <w:rsid w:val="00142665"/>
    <w:rsid w:val="00143354"/>
    <w:rsid w:val="001543C8"/>
    <w:rsid w:val="001573E4"/>
    <w:rsid w:val="00160756"/>
    <w:rsid w:val="0017232E"/>
    <w:rsid w:val="00174102"/>
    <w:rsid w:val="00180157"/>
    <w:rsid w:val="00186F77"/>
    <w:rsid w:val="001926A4"/>
    <w:rsid w:val="001951AA"/>
    <w:rsid w:val="001B0B97"/>
    <w:rsid w:val="001B273E"/>
    <w:rsid w:val="001B45A0"/>
    <w:rsid w:val="001B593D"/>
    <w:rsid w:val="001D055E"/>
    <w:rsid w:val="001F492E"/>
    <w:rsid w:val="001F6DA3"/>
    <w:rsid w:val="00224DB9"/>
    <w:rsid w:val="00241581"/>
    <w:rsid w:val="002419A7"/>
    <w:rsid w:val="00244465"/>
    <w:rsid w:val="00251745"/>
    <w:rsid w:val="00263AC0"/>
    <w:rsid w:val="0026772D"/>
    <w:rsid w:val="00286874"/>
    <w:rsid w:val="00296B65"/>
    <w:rsid w:val="002A7DEF"/>
    <w:rsid w:val="002E6029"/>
    <w:rsid w:val="002F7986"/>
    <w:rsid w:val="00307F6D"/>
    <w:rsid w:val="00310058"/>
    <w:rsid w:val="003177A2"/>
    <w:rsid w:val="003242FB"/>
    <w:rsid w:val="00325D40"/>
    <w:rsid w:val="003271B5"/>
    <w:rsid w:val="00331264"/>
    <w:rsid w:val="00334C8D"/>
    <w:rsid w:val="003518B3"/>
    <w:rsid w:val="00360FAA"/>
    <w:rsid w:val="00362048"/>
    <w:rsid w:val="003846F1"/>
    <w:rsid w:val="003A66BD"/>
    <w:rsid w:val="003C0D3A"/>
    <w:rsid w:val="004043AE"/>
    <w:rsid w:val="00405B51"/>
    <w:rsid w:val="00423BED"/>
    <w:rsid w:val="004257D6"/>
    <w:rsid w:val="00431621"/>
    <w:rsid w:val="00434C45"/>
    <w:rsid w:val="00480B4B"/>
    <w:rsid w:val="00485DC4"/>
    <w:rsid w:val="004874B3"/>
    <w:rsid w:val="00490E44"/>
    <w:rsid w:val="004B4412"/>
    <w:rsid w:val="004C348C"/>
    <w:rsid w:val="004D55BA"/>
    <w:rsid w:val="00504900"/>
    <w:rsid w:val="00510A36"/>
    <w:rsid w:val="00522F17"/>
    <w:rsid w:val="00527F5D"/>
    <w:rsid w:val="00530128"/>
    <w:rsid w:val="0053227C"/>
    <w:rsid w:val="00532467"/>
    <w:rsid w:val="00551EE9"/>
    <w:rsid w:val="00564A4D"/>
    <w:rsid w:val="00571B35"/>
    <w:rsid w:val="00577A09"/>
    <w:rsid w:val="005841E2"/>
    <w:rsid w:val="00584D8F"/>
    <w:rsid w:val="005A009C"/>
    <w:rsid w:val="005A404D"/>
    <w:rsid w:val="005A428E"/>
    <w:rsid w:val="005A5615"/>
    <w:rsid w:val="005B1E3C"/>
    <w:rsid w:val="005C26CC"/>
    <w:rsid w:val="005D3AE4"/>
    <w:rsid w:val="005D7B9D"/>
    <w:rsid w:val="00604D1B"/>
    <w:rsid w:val="00615C6B"/>
    <w:rsid w:val="00632315"/>
    <w:rsid w:val="00632D6D"/>
    <w:rsid w:val="00642C3E"/>
    <w:rsid w:val="00663DAD"/>
    <w:rsid w:val="00676679"/>
    <w:rsid w:val="00693FF8"/>
    <w:rsid w:val="006B4CF9"/>
    <w:rsid w:val="006B7AC8"/>
    <w:rsid w:val="006D550F"/>
    <w:rsid w:val="006E0ED0"/>
    <w:rsid w:val="006F5920"/>
    <w:rsid w:val="00701CAB"/>
    <w:rsid w:val="00704FB1"/>
    <w:rsid w:val="00707563"/>
    <w:rsid w:val="0072348C"/>
    <w:rsid w:val="00724A37"/>
    <w:rsid w:val="007303C3"/>
    <w:rsid w:val="0073370E"/>
    <w:rsid w:val="007367A2"/>
    <w:rsid w:val="00743223"/>
    <w:rsid w:val="00746E01"/>
    <w:rsid w:val="00756267"/>
    <w:rsid w:val="00763E5D"/>
    <w:rsid w:val="00767740"/>
    <w:rsid w:val="00767F58"/>
    <w:rsid w:val="00777EE6"/>
    <w:rsid w:val="00782EEA"/>
    <w:rsid w:val="00796F4E"/>
    <w:rsid w:val="007B2C72"/>
    <w:rsid w:val="007C1C53"/>
    <w:rsid w:val="007E4904"/>
    <w:rsid w:val="007E4CB5"/>
    <w:rsid w:val="007F066B"/>
    <w:rsid w:val="007F696F"/>
    <w:rsid w:val="008033C4"/>
    <w:rsid w:val="00806C88"/>
    <w:rsid w:val="0081034E"/>
    <w:rsid w:val="00826968"/>
    <w:rsid w:val="008344F6"/>
    <w:rsid w:val="0083510F"/>
    <w:rsid w:val="00850418"/>
    <w:rsid w:val="00851209"/>
    <w:rsid w:val="008837AC"/>
    <w:rsid w:val="008A587D"/>
    <w:rsid w:val="008C5486"/>
    <w:rsid w:val="008D651F"/>
    <w:rsid w:val="008E7031"/>
    <w:rsid w:val="0091605D"/>
    <w:rsid w:val="009233EE"/>
    <w:rsid w:val="00950145"/>
    <w:rsid w:val="009661DE"/>
    <w:rsid w:val="009856B7"/>
    <w:rsid w:val="009B74B0"/>
    <w:rsid w:val="009C01FA"/>
    <w:rsid w:val="009D1D56"/>
    <w:rsid w:val="009D417A"/>
    <w:rsid w:val="009D6B46"/>
    <w:rsid w:val="009F4940"/>
    <w:rsid w:val="00A33ADD"/>
    <w:rsid w:val="00A4478A"/>
    <w:rsid w:val="00A44852"/>
    <w:rsid w:val="00A57D04"/>
    <w:rsid w:val="00A60A26"/>
    <w:rsid w:val="00A61598"/>
    <w:rsid w:val="00A81B15"/>
    <w:rsid w:val="00A84F46"/>
    <w:rsid w:val="00A85D32"/>
    <w:rsid w:val="00A871F4"/>
    <w:rsid w:val="00AC1B2C"/>
    <w:rsid w:val="00AC3264"/>
    <w:rsid w:val="00AD1CB7"/>
    <w:rsid w:val="00AD731F"/>
    <w:rsid w:val="00AE1BF1"/>
    <w:rsid w:val="00AF0DD2"/>
    <w:rsid w:val="00B13048"/>
    <w:rsid w:val="00B15B0B"/>
    <w:rsid w:val="00B1716D"/>
    <w:rsid w:val="00B17A1D"/>
    <w:rsid w:val="00B207A0"/>
    <w:rsid w:val="00B20B9A"/>
    <w:rsid w:val="00B25EB5"/>
    <w:rsid w:val="00B340E2"/>
    <w:rsid w:val="00B56E03"/>
    <w:rsid w:val="00B8080B"/>
    <w:rsid w:val="00B87C39"/>
    <w:rsid w:val="00B9058E"/>
    <w:rsid w:val="00BA3179"/>
    <w:rsid w:val="00BA4665"/>
    <w:rsid w:val="00BA74A4"/>
    <w:rsid w:val="00BB2FB2"/>
    <w:rsid w:val="00BB3304"/>
    <w:rsid w:val="00BB5DE1"/>
    <w:rsid w:val="00BC182B"/>
    <w:rsid w:val="00BD3446"/>
    <w:rsid w:val="00BE1F1B"/>
    <w:rsid w:val="00BE47B5"/>
    <w:rsid w:val="00C3643D"/>
    <w:rsid w:val="00C538A9"/>
    <w:rsid w:val="00C53B5A"/>
    <w:rsid w:val="00C54F5A"/>
    <w:rsid w:val="00C61C9F"/>
    <w:rsid w:val="00C86679"/>
    <w:rsid w:val="00CB666B"/>
    <w:rsid w:val="00CC6209"/>
    <w:rsid w:val="00CC6EDA"/>
    <w:rsid w:val="00D01CF0"/>
    <w:rsid w:val="00D0442A"/>
    <w:rsid w:val="00D37B25"/>
    <w:rsid w:val="00D6004A"/>
    <w:rsid w:val="00D61388"/>
    <w:rsid w:val="00D61A54"/>
    <w:rsid w:val="00D64DEA"/>
    <w:rsid w:val="00D80893"/>
    <w:rsid w:val="00D92CF1"/>
    <w:rsid w:val="00D92D38"/>
    <w:rsid w:val="00D946B9"/>
    <w:rsid w:val="00D950F5"/>
    <w:rsid w:val="00DA25CA"/>
    <w:rsid w:val="00DB0F93"/>
    <w:rsid w:val="00DB67A6"/>
    <w:rsid w:val="00DC7981"/>
    <w:rsid w:val="00DE4EFA"/>
    <w:rsid w:val="00DE5520"/>
    <w:rsid w:val="00DE6EB2"/>
    <w:rsid w:val="00DF0A63"/>
    <w:rsid w:val="00E04818"/>
    <w:rsid w:val="00E06442"/>
    <w:rsid w:val="00E13CF3"/>
    <w:rsid w:val="00E23993"/>
    <w:rsid w:val="00E25B8C"/>
    <w:rsid w:val="00E65C85"/>
    <w:rsid w:val="00E66199"/>
    <w:rsid w:val="00E755EC"/>
    <w:rsid w:val="00E7624D"/>
    <w:rsid w:val="00E866CA"/>
    <w:rsid w:val="00EA3D42"/>
    <w:rsid w:val="00EA6B1B"/>
    <w:rsid w:val="00ED5D23"/>
    <w:rsid w:val="00EE28F3"/>
    <w:rsid w:val="00EF219A"/>
    <w:rsid w:val="00EF5110"/>
    <w:rsid w:val="00F054B7"/>
    <w:rsid w:val="00F15882"/>
    <w:rsid w:val="00F20BD3"/>
    <w:rsid w:val="00F373A5"/>
    <w:rsid w:val="00F4525E"/>
    <w:rsid w:val="00F47559"/>
    <w:rsid w:val="00F57E87"/>
    <w:rsid w:val="00F64C7B"/>
    <w:rsid w:val="00F676DD"/>
    <w:rsid w:val="00F75A26"/>
    <w:rsid w:val="00F83FAD"/>
    <w:rsid w:val="00F952A0"/>
    <w:rsid w:val="00FA121A"/>
    <w:rsid w:val="00FA3C7F"/>
    <w:rsid w:val="00FB74E2"/>
    <w:rsid w:val="00FD1286"/>
    <w:rsid w:val="00FD5614"/>
    <w:rsid w:val="00FE0BE1"/>
    <w:rsid w:val="00FE1DE9"/>
    <w:rsid w:val="00FE39C2"/>
    <w:rsid w:val="00FE5B85"/>
    <w:rsid w:val="00FE64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2" w:qFormat="1"/>
    <w:lsdException w:name="heading 6" w:uiPriority="2" w:qFormat="1"/>
    <w:lsdException w:name="heading 7" w:uiPriority="2" w:qFormat="1"/>
    <w:lsdException w:name="heading 8" w:uiPriority="2" w:qFormat="1"/>
    <w:lsdException w:name="heading 9" w:uiPriority="2"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uiPriority="0"/>
    <w:lsdException w:name="header" w:qFormat="1"/>
    <w:lsdException w:name="footer" w:qFormat="1"/>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qFormat/>
    <w:rsid w:val="00362048"/>
    <w:pPr>
      <w:spacing w:line="276" w:lineRule="auto"/>
    </w:pPr>
    <w:rPr>
      <w:rFonts w:ascii="Arial" w:hAnsi="Arial"/>
    </w:rPr>
  </w:style>
  <w:style w:type="paragraph" w:styleId="Heading1">
    <w:name w:val="heading 1"/>
    <w:basedOn w:val="Normal"/>
    <w:next w:val="Normal"/>
    <w:link w:val="Heading1Char"/>
    <w:qFormat/>
    <w:rsid w:val="009D6B46"/>
    <w:pPr>
      <w:spacing w:before="240"/>
      <w:outlineLvl w:val="0"/>
    </w:pPr>
    <w:rPr>
      <w:rFonts w:ascii="Lucida Fax" w:eastAsiaTheme="majorEastAsia" w:hAnsi="Lucida Fax" w:cstheme="majorBidi"/>
      <w:bCs/>
      <w:color w:val="51626F"/>
      <w:sz w:val="32"/>
      <w:szCs w:val="28"/>
    </w:rPr>
  </w:style>
  <w:style w:type="paragraph" w:styleId="Heading2">
    <w:name w:val="heading 2"/>
    <w:next w:val="Normal"/>
    <w:link w:val="Heading2Char"/>
    <w:qFormat/>
    <w:rsid w:val="009D6B46"/>
    <w:pPr>
      <w:spacing w:line="240" w:lineRule="atLeast"/>
      <w:outlineLvl w:val="1"/>
    </w:pPr>
    <w:rPr>
      <w:rFonts w:ascii="Arial" w:eastAsiaTheme="majorEastAsia" w:hAnsi="Arial" w:cstheme="majorBidi"/>
      <w:b/>
      <w:bCs/>
      <w:color w:val="51626F"/>
      <w:sz w:val="28"/>
      <w:szCs w:val="26"/>
    </w:rPr>
  </w:style>
  <w:style w:type="paragraph" w:styleId="Heading3">
    <w:name w:val="heading 3"/>
    <w:basedOn w:val="Normal"/>
    <w:next w:val="Normal"/>
    <w:link w:val="Heading3Char"/>
    <w:qFormat/>
    <w:rsid w:val="009D6B46"/>
    <w:pPr>
      <w:spacing w:before="240"/>
      <w:outlineLvl w:val="2"/>
    </w:pPr>
    <w:rPr>
      <w:rFonts w:eastAsiaTheme="majorEastAsia" w:cstheme="majorBidi"/>
      <w:b/>
      <w:bCs/>
      <w:color w:val="000000" w:themeColor="text1" w:themeShade="BF"/>
      <w:sz w:val="24"/>
    </w:rPr>
  </w:style>
  <w:style w:type="paragraph" w:styleId="Heading4">
    <w:name w:val="heading 4"/>
    <w:basedOn w:val="Normal"/>
    <w:next w:val="Normal"/>
    <w:link w:val="Heading4Char"/>
    <w:qFormat/>
    <w:rsid w:val="009D6B46"/>
    <w:pPr>
      <w:spacing w:before="240"/>
      <w:outlineLvl w:val="3"/>
    </w:pPr>
    <w:rPr>
      <w:rFonts w:eastAsiaTheme="majorEastAsia" w:cstheme="majorBidi"/>
      <w:b/>
      <w:bCs/>
      <w:i/>
      <w:iCs/>
      <w:color w:val="51626F"/>
      <w:sz w:val="24"/>
    </w:rPr>
  </w:style>
  <w:style w:type="paragraph" w:styleId="Heading5">
    <w:name w:val="heading 5"/>
    <w:next w:val="Normal"/>
    <w:link w:val="Heading5Char"/>
    <w:uiPriority w:val="2"/>
    <w:qFormat/>
    <w:rsid w:val="009D6B46"/>
    <w:pPr>
      <w:spacing w:line="240" w:lineRule="atLeast"/>
      <w:outlineLvl w:val="4"/>
    </w:pPr>
    <w:rPr>
      <w:rFonts w:ascii="Arial" w:eastAsiaTheme="majorEastAsia" w:hAnsi="Arial" w:cstheme="majorBidi"/>
      <w:b/>
      <w:color w:val="283037" w:themeColor="accent1" w:themeShade="7F"/>
    </w:rPr>
  </w:style>
  <w:style w:type="paragraph" w:styleId="Heading6">
    <w:name w:val="heading 6"/>
    <w:basedOn w:val="Normal"/>
    <w:next w:val="Normal"/>
    <w:link w:val="Heading6Char"/>
    <w:uiPriority w:val="2"/>
    <w:qFormat/>
    <w:rsid w:val="009D6B46"/>
    <w:pPr>
      <w:spacing w:before="240"/>
      <w:outlineLvl w:val="5"/>
    </w:pPr>
    <w:rPr>
      <w:rFonts w:eastAsiaTheme="majorEastAsia" w:cstheme="majorBidi"/>
      <w:b/>
      <w:i/>
      <w:iCs/>
    </w:rPr>
  </w:style>
  <w:style w:type="paragraph" w:styleId="Heading7">
    <w:name w:val="heading 7"/>
    <w:basedOn w:val="Normal"/>
    <w:next w:val="Normal"/>
    <w:link w:val="Heading7Char"/>
    <w:uiPriority w:val="2"/>
    <w:qFormat/>
    <w:rsid w:val="009D6B46"/>
    <w:pPr>
      <w:spacing w:before="24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2"/>
    <w:qFormat/>
    <w:rsid w:val="009D6B46"/>
    <w:pPr>
      <w:spacing w:before="240"/>
      <w:outlineLvl w:val="7"/>
    </w:pPr>
    <w:rPr>
      <w:rFonts w:eastAsiaTheme="majorEastAsia" w:cstheme="majorBidi"/>
      <w:color w:val="51626F" w:themeColor="accent1"/>
      <w:szCs w:val="20"/>
    </w:rPr>
  </w:style>
  <w:style w:type="paragraph" w:styleId="Heading9">
    <w:name w:val="heading 9"/>
    <w:basedOn w:val="Normal"/>
    <w:next w:val="Normal"/>
    <w:link w:val="Heading9Char"/>
    <w:uiPriority w:val="2"/>
    <w:qFormat/>
    <w:rsid w:val="009D6B46"/>
    <w:pPr>
      <w:spacing w:before="240"/>
      <w:outlineLvl w:val="8"/>
    </w:pPr>
    <w:rPr>
      <w:rFonts w:eastAsiaTheme="majorEastAsia" w:cstheme="majorBidi"/>
      <w:i/>
      <w:iCs/>
      <w:color w:val="51626F" w:themeColor="accent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6B46"/>
    <w:rPr>
      <w:rFonts w:ascii="Lucida Fax" w:eastAsiaTheme="majorEastAsia" w:hAnsi="Lucida Fax" w:cstheme="majorBidi"/>
      <w:bCs/>
      <w:color w:val="51626F"/>
      <w:sz w:val="32"/>
      <w:szCs w:val="28"/>
    </w:rPr>
  </w:style>
  <w:style w:type="character" w:customStyle="1" w:styleId="Heading2Char">
    <w:name w:val="Heading 2 Char"/>
    <w:basedOn w:val="DefaultParagraphFont"/>
    <w:link w:val="Heading2"/>
    <w:rsid w:val="009D6B46"/>
    <w:rPr>
      <w:rFonts w:ascii="Arial" w:eastAsiaTheme="majorEastAsia" w:hAnsi="Arial" w:cstheme="majorBidi"/>
      <w:b/>
      <w:bCs/>
      <w:color w:val="51626F"/>
      <w:sz w:val="28"/>
      <w:szCs w:val="26"/>
    </w:rPr>
  </w:style>
  <w:style w:type="character" w:customStyle="1" w:styleId="Heading3Char">
    <w:name w:val="Heading 3 Char"/>
    <w:basedOn w:val="DefaultParagraphFont"/>
    <w:link w:val="Heading3"/>
    <w:rsid w:val="009D6B46"/>
    <w:rPr>
      <w:rFonts w:ascii="Arial" w:eastAsiaTheme="majorEastAsia" w:hAnsi="Arial" w:cstheme="majorBidi"/>
      <w:b/>
      <w:bCs/>
      <w:color w:val="000000" w:themeColor="text1" w:themeShade="BF"/>
      <w:sz w:val="24"/>
    </w:rPr>
  </w:style>
  <w:style w:type="character" w:customStyle="1" w:styleId="Heading4Char">
    <w:name w:val="Heading 4 Char"/>
    <w:basedOn w:val="DefaultParagraphFont"/>
    <w:link w:val="Heading4"/>
    <w:rsid w:val="009D6B46"/>
    <w:rPr>
      <w:rFonts w:ascii="Arial" w:eastAsiaTheme="majorEastAsia" w:hAnsi="Arial" w:cstheme="majorBidi"/>
      <w:b/>
      <w:bCs/>
      <w:i/>
      <w:iCs/>
      <w:color w:val="51626F"/>
      <w:sz w:val="24"/>
    </w:rPr>
  </w:style>
  <w:style w:type="character" w:customStyle="1" w:styleId="Heading5Char">
    <w:name w:val="Heading 5 Char"/>
    <w:basedOn w:val="DefaultParagraphFont"/>
    <w:link w:val="Heading5"/>
    <w:uiPriority w:val="2"/>
    <w:rsid w:val="009D6B46"/>
    <w:rPr>
      <w:rFonts w:ascii="Arial" w:eastAsiaTheme="majorEastAsia" w:hAnsi="Arial" w:cstheme="majorBidi"/>
      <w:b/>
      <w:color w:val="283037" w:themeColor="accent1" w:themeShade="7F"/>
    </w:rPr>
  </w:style>
  <w:style w:type="character" w:customStyle="1" w:styleId="Heading6Char">
    <w:name w:val="Heading 6 Char"/>
    <w:basedOn w:val="DefaultParagraphFont"/>
    <w:link w:val="Heading6"/>
    <w:uiPriority w:val="2"/>
    <w:rsid w:val="009D6B46"/>
    <w:rPr>
      <w:rFonts w:ascii="Arial" w:eastAsiaTheme="majorEastAsia" w:hAnsi="Arial" w:cstheme="majorBidi"/>
      <w:b/>
      <w:i/>
      <w:iCs/>
    </w:rPr>
  </w:style>
  <w:style w:type="paragraph" w:customStyle="1" w:styleId="Reporttitle">
    <w:name w:val="Report title"/>
    <w:basedOn w:val="Normal"/>
    <w:link w:val="ReporttitleChar"/>
    <w:qFormat/>
    <w:rsid w:val="005C26CC"/>
    <w:pPr>
      <w:spacing w:before="520" w:after="120"/>
    </w:pPr>
    <w:rPr>
      <w:rFonts w:ascii="Lucida Fax" w:hAnsi="Lucida Fax"/>
      <w:color w:val="4F2D7F"/>
      <w:sz w:val="72"/>
      <w:szCs w:val="56"/>
    </w:rPr>
  </w:style>
  <w:style w:type="character" w:customStyle="1" w:styleId="ReporttitleChar">
    <w:name w:val="Report title Char"/>
    <w:basedOn w:val="DefaultParagraphFont"/>
    <w:link w:val="Reporttitle"/>
    <w:rsid w:val="005C26CC"/>
    <w:rPr>
      <w:rFonts w:ascii="Lucida Fax" w:hAnsi="Lucida Fax"/>
      <w:color w:val="4F2D7F"/>
      <w:sz w:val="72"/>
      <w:szCs w:val="56"/>
    </w:rPr>
  </w:style>
  <w:style w:type="paragraph" w:customStyle="1" w:styleId="Chaptertitle">
    <w:name w:val="Chapter title"/>
    <w:basedOn w:val="Reporttitle"/>
    <w:link w:val="ChaptertitleChar"/>
    <w:qFormat/>
    <w:rsid w:val="00B87C39"/>
    <w:rPr>
      <w:sz w:val="52"/>
      <w:szCs w:val="52"/>
    </w:rPr>
  </w:style>
  <w:style w:type="character" w:customStyle="1" w:styleId="ChaptertitleChar">
    <w:name w:val="Chapter title Char"/>
    <w:basedOn w:val="ReporttitleChar"/>
    <w:link w:val="Chaptertitle"/>
    <w:rsid w:val="00B87C39"/>
    <w:rPr>
      <w:rFonts w:ascii="Lucida Fax" w:hAnsi="Lucida Fax"/>
      <w:color w:val="4F2D7F"/>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customStyle="1" w:styleId="Copyrighttext">
    <w:name w:val="Copyright text"/>
    <w:basedOn w:val="Normal"/>
    <w:link w:val="CopyrighttextChar"/>
    <w:uiPriority w:val="2"/>
    <w:qFormat/>
    <w:rsid w:val="00F952A0"/>
    <w:pPr>
      <w:spacing w:line="360" w:lineRule="auto"/>
      <w:contextualSpacing/>
    </w:pPr>
    <w:rPr>
      <w:color w:val="51626F" w:themeColor="accent1"/>
      <w:sz w:val="16"/>
      <w:szCs w:val="16"/>
    </w:rPr>
  </w:style>
  <w:style w:type="character" w:customStyle="1" w:styleId="CopyrighttextChar">
    <w:name w:val="Copyright text Char"/>
    <w:basedOn w:val="DefaultParagraphFont"/>
    <w:link w:val="Copyrighttext"/>
    <w:uiPriority w:val="2"/>
    <w:rsid w:val="00724A37"/>
    <w:rPr>
      <w:rFonts w:ascii="Arial" w:hAnsi="Arial"/>
      <w:color w:val="51626F" w:themeColor="accent1"/>
      <w:sz w:val="16"/>
      <w:szCs w:val="16"/>
    </w:rPr>
  </w:style>
  <w:style w:type="paragraph" w:styleId="TOC8">
    <w:name w:val="toc 8"/>
    <w:basedOn w:val="Normal"/>
    <w:next w:val="Normal"/>
    <w:uiPriority w:val="39"/>
    <w:rsid w:val="009F4940"/>
    <w:pPr>
      <w:tabs>
        <w:tab w:val="right" w:leader="dot" w:pos="9016"/>
      </w:tabs>
      <w:spacing w:after="100"/>
      <w:ind w:left="2977"/>
    </w:pPr>
    <w:rPr>
      <w:noProof/>
    </w:rPr>
  </w:style>
  <w:style w:type="paragraph" w:styleId="TOC9">
    <w:name w:val="toc 9"/>
    <w:basedOn w:val="Normal"/>
    <w:next w:val="Normal"/>
    <w:uiPriority w:val="39"/>
    <w:rsid w:val="009F4940"/>
    <w:pPr>
      <w:tabs>
        <w:tab w:val="right" w:leader="dot" w:pos="9016"/>
      </w:tabs>
      <w:spacing w:after="100"/>
      <w:ind w:left="3402"/>
    </w:pPr>
    <w:rPr>
      <w:noProof/>
    </w:rPr>
  </w:style>
  <w:style w:type="paragraph" w:customStyle="1" w:styleId="Numbered1">
    <w:name w:val="Numbered 1"/>
    <w:basedOn w:val="Heading1"/>
    <w:next w:val="Normal"/>
    <w:link w:val="Numbered1Char"/>
    <w:qFormat/>
    <w:rsid w:val="00085663"/>
    <w:pPr>
      <w:numPr>
        <w:numId w:val="32"/>
      </w:numPr>
      <w:ind w:left="680" w:hanging="680"/>
    </w:pPr>
  </w:style>
  <w:style w:type="paragraph" w:customStyle="1" w:styleId="Numbered11">
    <w:name w:val="Numbered 1.1"/>
    <w:basedOn w:val="Heading2"/>
    <w:next w:val="Normal"/>
    <w:qFormat/>
    <w:rsid w:val="00B17A1D"/>
    <w:pPr>
      <w:numPr>
        <w:ilvl w:val="1"/>
        <w:numId w:val="32"/>
      </w:numPr>
      <w:ind w:left="1021" w:hanging="1021"/>
    </w:pPr>
    <w:rPr>
      <w:rFonts w:cs="Arial"/>
      <w:b w:val="0"/>
    </w:rPr>
  </w:style>
  <w:style w:type="paragraph" w:customStyle="1" w:styleId="Numbered111">
    <w:name w:val="Numbered 1.1.1"/>
    <w:basedOn w:val="Heading3"/>
    <w:next w:val="Normal"/>
    <w:qFormat/>
    <w:rsid w:val="00B17A1D"/>
    <w:pPr>
      <w:numPr>
        <w:ilvl w:val="2"/>
        <w:numId w:val="32"/>
      </w:numPr>
      <w:ind w:left="1247" w:hanging="1247"/>
      <w:contextualSpacing/>
    </w:pPr>
  </w:style>
  <w:style w:type="paragraph" w:customStyle="1" w:styleId="Numbered1111">
    <w:name w:val="Numbered 1.1.1.1"/>
    <w:basedOn w:val="Heading4"/>
    <w:next w:val="Normal"/>
    <w:rsid w:val="00B17A1D"/>
    <w:pPr>
      <w:numPr>
        <w:ilvl w:val="3"/>
        <w:numId w:val="32"/>
      </w:numPr>
      <w:ind w:left="1474" w:hanging="1474"/>
    </w:pPr>
  </w:style>
  <w:style w:type="paragraph" w:customStyle="1" w:styleId="Numbered11111">
    <w:name w:val="Numbered 1.1.1.1.1"/>
    <w:basedOn w:val="Heading5"/>
    <w:next w:val="Normal"/>
    <w:uiPriority w:val="2"/>
    <w:rsid w:val="00B17A1D"/>
    <w:pPr>
      <w:numPr>
        <w:ilvl w:val="4"/>
        <w:numId w:val="32"/>
      </w:numPr>
      <w:ind w:left="1701" w:hanging="1701"/>
    </w:pPr>
  </w:style>
  <w:style w:type="paragraph" w:customStyle="1" w:styleId="Numbered111111">
    <w:name w:val="Numbered 1.1.1.1.1.1"/>
    <w:basedOn w:val="Heading6"/>
    <w:next w:val="Normal"/>
    <w:uiPriority w:val="2"/>
    <w:rsid w:val="00B17A1D"/>
    <w:pPr>
      <w:numPr>
        <w:ilvl w:val="5"/>
        <w:numId w:val="32"/>
      </w:numPr>
      <w:ind w:left="2155" w:hanging="2155"/>
    </w:pPr>
  </w:style>
  <w:style w:type="paragraph" w:styleId="Header">
    <w:name w:val="header"/>
    <w:basedOn w:val="Normal"/>
    <w:link w:val="HeaderChar"/>
    <w:uiPriority w:val="99"/>
    <w:unhideWhenUsed/>
    <w:qFormat/>
    <w:rsid w:val="008344F6"/>
    <w:pPr>
      <w:tabs>
        <w:tab w:val="center" w:pos="4513"/>
        <w:tab w:val="right" w:pos="9026"/>
      </w:tabs>
      <w:spacing w:after="120"/>
    </w:pPr>
    <w:rPr>
      <w:color w:val="51626F" w:themeColor="accent1"/>
      <w:sz w:val="18"/>
    </w:rPr>
  </w:style>
  <w:style w:type="character" w:customStyle="1" w:styleId="HeaderChar">
    <w:name w:val="Header Char"/>
    <w:basedOn w:val="DefaultParagraphFont"/>
    <w:link w:val="Header"/>
    <w:uiPriority w:val="99"/>
    <w:rsid w:val="008344F6"/>
    <w:rPr>
      <w:rFonts w:ascii="Arial" w:hAnsi="Arial"/>
      <w:color w:val="51626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584D8F"/>
    <w:pPr>
      <w:spacing w:before="240" w:after="120"/>
    </w:pPr>
    <w:rPr>
      <w:b/>
      <w:szCs w:val="20"/>
    </w:rPr>
  </w:style>
  <w:style w:type="character" w:customStyle="1" w:styleId="TabletitleChar">
    <w:name w:val="Table title Char"/>
    <w:basedOn w:val="DefaultParagraphFont"/>
    <w:link w:val="Tabletitle"/>
    <w:rsid w:val="00584D8F"/>
    <w:rPr>
      <w:rFonts w:ascii="Arial" w:hAnsi="Arial"/>
      <w:b/>
      <w:szCs w:val="20"/>
    </w:rPr>
  </w:style>
  <w:style w:type="paragraph" w:customStyle="1" w:styleId="Charttitle">
    <w:name w:val="Chart title"/>
    <w:basedOn w:val="Tabletitle"/>
    <w:qFormat/>
    <w:rsid w:val="005C26CC"/>
    <w:rPr>
      <w:sz w:val="24"/>
    </w:rPr>
  </w:style>
  <w:style w:type="paragraph" w:styleId="EndnoteText">
    <w:name w:val="endnote text"/>
    <w:basedOn w:val="Normal"/>
    <w:link w:val="EndnoteTextChar"/>
    <w:uiPriority w:val="99"/>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EA3D42"/>
    <w:pPr>
      <w:spacing w:after="120"/>
      <w:contextualSpacing/>
    </w:pPr>
    <w:rPr>
      <w:rFonts w:ascii="Lucida Fax" w:hAnsi="Lucida Fax"/>
      <w:b/>
      <w:color w:val="DC5034"/>
      <w:sz w:val="24"/>
      <w:szCs w:val="24"/>
    </w:rPr>
  </w:style>
  <w:style w:type="character" w:customStyle="1" w:styleId="PullquoteheadingChar">
    <w:name w:val="Pull quote heading Char"/>
    <w:basedOn w:val="DefaultParagraphFont"/>
    <w:link w:val="Pullquoteheading"/>
    <w:uiPriority w:val="1"/>
    <w:rsid w:val="00AE1BF1"/>
    <w:rPr>
      <w:rFonts w:ascii="Lucida Fax" w:hAnsi="Lucida Fax"/>
      <w:b/>
      <w:color w:val="DC5034"/>
      <w:sz w:val="24"/>
      <w:szCs w:val="24"/>
    </w:rPr>
  </w:style>
  <w:style w:type="paragraph" w:customStyle="1" w:styleId="Pullquotetext">
    <w:name w:val="Pull quote text"/>
    <w:link w:val="PullquotetextChar"/>
    <w:uiPriority w:val="1"/>
    <w:rsid w:val="00AF0DD2"/>
    <w:pPr>
      <w:spacing w:before="120"/>
    </w:pPr>
    <w:rPr>
      <w:rFonts w:ascii="Lucida Fax" w:hAnsi="Lucida Fax"/>
      <w:color w:val="DC5034"/>
      <w:szCs w:val="24"/>
    </w:rPr>
  </w:style>
  <w:style w:type="character" w:customStyle="1" w:styleId="PullquotetextChar">
    <w:name w:val="Pull quote text Char"/>
    <w:basedOn w:val="PullquoteheadingChar"/>
    <w:link w:val="Pullquotetext"/>
    <w:uiPriority w:val="1"/>
    <w:rsid w:val="00AE1BF1"/>
    <w:rPr>
      <w:rFonts w:ascii="Lucida Fax" w:hAnsi="Lucida Fax"/>
      <w:b w:val="0"/>
      <w:color w:val="DC5034"/>
      <w:sz w:val="24"/>
      <w:szCs w:val="24"/>
    </w:rPr>
  </w:style>
  <w:style w:type="paragraph" w:customStyle="1" w:styleId="Note">
    <w:name w:val="Note"/>
    <w:basedOn w:val="Normal"/>
    <w:link w:val="NoteChar"/>
    <w:qFormat/>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customStyle="1" w:styleId="Footnotes">
    <w:name w:val="Footnotes"/>
    <w:basedOn w:val="FootnoteText"/>
    <w:link w:val="FootnotesChar"/>
    <w:uiPriority w:val="4"/>
    <w:semiHidden/>
    <w:qFormat/>
    <w:rsid w:val="00B8080B"/>
  </w:style>
  <w:style w:type="character" w:customStyle="1" w:styleId="FootnotesChar">
    <w:name w:val="Footnotes Char"/>
    <w:basedOn w:val="DefaultParagraphFont"/>
    <w:link w:val="Footnotes"/>
    <w:uiPriority w:val="4"/>
    <w:semiHidden/>
    <w:rsid w:val="00FE39C2"/>
    <w:rPr>
      <w:rFonts w:ascii="Arial" w:hAnsi="Arial"/>
      <w:sz w:val="20"/>
      <w:szCs w:val="20"/>
    </w:rPr>
  </w:style>
  <w:style w:type="paragraph" w:styleId="Quote">
    <w:name w:val="Quote"/>
    <w:basedOn w:val="Normal"/>
    <w:next w:val="Normal"/>
    <w:link w:val="QuoteChar"/>
    <w:uiPriority w:val="29"/>
    <w:rsid w:val="001D055E"/>
    <w:pPr>
      <w:ind w:left="737"/>
    </w:pPr>
    <w:rPr>
      <w:i/>
      <w:iCs/>
      <w:color w:val="000000" w:themeColor="text1"/>
    </w:rPr>
  </w:style>
  <w:style w:type="character" w:customStyle="1" w:styleId="QuoteChar">
    <w:name w:val="Quote Char"/>
    <w:basedOn w:val="DefaultParagraphFont"/>
    <w:link w:val="Quote"/>
    <w:uiPriority w:val="29"/>
    <w:rsid w:val="001D055E"/>
    <w:rPr>
      <w:rFonts w:ascii="Arial" w:hAnsi="Arial"/>
      <w:i/>
      <w:iCs/>
      <w:color w:val="000000" w:themeColor="text1"/>
    </w:rPr>
  </w:style>
  <w:style w:type="paragraph" w:customStyle="1" w:styleId="Bulletpoint">
    <w:name w:val="Bullet point"/>
    <w:basedOn w:val="ListBullet"/>
    <w:qFormat/>
    <w:rsid w:val="00FE64AE"/>
    <w:pPr>
      <w:numPr>
        <w:numId w:val="7"/>
      </w:numPr>
      <w:ind w:left="357" w:hanging="357"/>
    </w:pPr>
    <w:rPr>
      <w:rFonts w:cs="Times New Roman"/>
    </w:rPr>
  </w:style>
  <w:style w:type="paragraph" w:styleId="ListBullet">
    <w:name w:val="List Bullet"/>
    <w:basedOn w:val="Normal"/>
    <w:uiPriority w:val="99"/>
    <w:unhideWhenUsed/>
    <w:rsid w:val="008033C4"/>
    <w:pPr>
      <w:numPr>
        <w:numId w:val="28"/>
      </w:numPr>
      <w:spacing w:before="120"/>
      <w:ind w:left="357" w:hanging="357"/>
    </w:pPr>
  </w:style>
  <w:style w:type="paragraph" w:customStyle="1" w:styleId="Bulletpoint2">
    <w:name w:val="Bullet point 2"/>
    <w:basedOn w:val="ListBullet2"/>
    <w:uiPriority w:val="1"/>
    <w:qFormat/>
    <w:rsid w:val="008033C4"/>
    <w:pPr>
      <w:numPr>
        <w:numId w:val="17"/>
      </w:numPr>
      <w:ind w:left="998" w:hanging="357"/>
    </w:pPr>
  </w:style>
  <w:style w:type="paragraph" w:styleId="ListNumber">
    <w:name w:val="List Number"/>
    <w:basedOn w:val="Normal"/>
    <w:uiPriority w:val="99"/>
    <w:rsid w:val="008033C4"/>
    <w:pPr>
      <w:numPr>
        <w:numId w:val="12"/>
      </w:numPr>
      <w:spacing w:before="120"/>
      <w:ind w:left="357" w:hanging="357"/>
    </w:pPr>
    <w:rPr>
      <w:color w:val="000000" w:themeColor="text1" w:themeShade="BF"/>
    </w:rPr>
  </w:style>
  <w:style w:type="paragraph" w:styleId="ListBullet2">
    <w:name w:val="List Bullet 2"/>
    <w:basedOn w:val="Normal"/>
    <w:uiPriority w:val="99"/>
    <w:unhideWhenUsed/>
    <w:rsid w:val="008033C4"/>
    <w:pPr>
      <w:numPr>
        <w:numId w:val="8"/>
      </w:numPr>
      <w:spacing w:before="120"/>
      <w:ind w:left="641" w:hanging="357"/>
    </w:pPr>
  </w:style>
  <w:style w:type="paragraph" w:styleId="TOCHeading">
    <w:name w:val="TOC Heading"/>
    <w:basedOn w:val="Normal"/>
    <w:next w:val="Normal"/>
    <w:uiPriority w:val="39"/>
    <w:qFormat/>
    <w:rsid w:val="00E04818"/>
    <w:pPr>
      <w:spacing w:before="480" w:after="120"/>
    </w:pPr>
    <w:rPr>
      <w:rFonts w:ascii="Lucida Fax" w:eastAsiaTheme="majorEastAsia" w:hAnsi="Lucida Fax" w:cstheme="majorBidi"/>
      <w:bCs/>
      <w:color w:val="51626F"/>
      <w:sz w:val="32"/>
      <w:szCs w:val="28"/>
      <w:lang w:val="en-US" w:eastAsia="ja-JP"/>
    </w:rPr>
  </w:style>
  <w:style w:type="paragraph" w:styleId="ListNumber2">
    <w:name w:val="List Number 2"/>
    <w:aliases w:val="List alphabet"/>
    <w:next w:val="Normal"/>
    <w:uiPriority w:val="99"/>
    <w:rsid w:val="008033C4"/>
    <w:pPr>
      <w:numPr>
        <w:numId w:val="13"/>
      </w:numPr>
      <w:spacing w:before="120"/>
      <w:ind w:left="357" w:hanging="357"/>
    </w:pPr>
    <w:rPr>
      <w:rFonts w:ascii="Arial" w:hAnsi="Arial"/>
    </w:r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A57D04"/>
    <w:pPr>
      <w:tabs>
        <w:tab w:val="center" w:pos="4513"/>
        <w:tab w:val="right" w:pos="9026"/>
      </w:tabs>
      <w:spacing w:after="120"/>
    </w:pPr>
    <w:rPr>
      <w:color w:val="51626F" w:themeColor="accent1"/>
      <w:sz w:val="18"/>
    </w:rPr>
  </w:style>
  <w:style w:type="character" w:customStyle="1" w:styleId="FooterChar">
    <w:name w:val="Footer Char"/>
    <w:basedOn w:val="DefaultParagraphFont"/>
    <w:link w:val="Footer"/>
    <w:uiPriority w:val="99"/>
    <w:rsid w:val="00A57D04"/>
    <w:rPr>
      <w:rFonts w:ascii="Arial" w:hAnsi="Arial"/>
      <w:color w:val="51626F" w:themeColor="accent1"/>
      <w:sz w:val="18"/>
    </w:rPr>
  </w:style>
  <w:style w:type="paragraph" w:styleId="ListParagraph">
    <w:name w:val="List Paragraph"/>
    <w:basedOn w:val="Normal"/>
    <w:uiPriority w:val="34"/>
    <w:qFormat/>
    <w:rsid w:val="008033C4"/>
    <w:pPr>
      <w:numPr>
        <w:numId w:val="29"/>
      </w:numPr>
      <w:spacing w:before="120"/>
      <w:ind w:left="714" w:hanging="357"/>
    </w:pPr>
  </w:style>
  <w:style w:type="character" w:customStyle="1" w:styleId="Heading7Char">
    <w:name w:val="Heading 7 Char"/>
    <w:basedOn w:val="DefaultParagraphFont"/>
    <w:link w:val="Heading7"/>
    <w:uiPriority w:val="2"/>
    <w:rsid w:val="009D6B46"/>
    <w:rPr>
      <w:rFonts w:ascii="Arial" w:eastAsiaTheme="majorEastAsia" w:hAnsi="Arial" w:cstheme="majorBidi"/>
      <w:i/>
      <w:iCs/>
      <w:color w:val="404040" w:themeColor="text1" w:themeTint="BF"/>
    </w:rPr>
  </w:style>
  <w:style w:type="character" w:customStyle="1" w:styleId="Heading8Char">
    <w:name w:val="Heading 8 Char"/>
    <w:basedOn w:val="DefaultParagraphFont"/>
    <w:link w:val="Heading8"/>
    <w:uiPriority w:val="2"/>
    <w:rsid w:val="009D6B46"/>
    <w:rPr>
      <w:rFonts w:ascii="Arial" w:eastAsiaTheme="majorEastAsia" w:hAnsi="Arial" w:cstheme="majorBidi"/>
      <w:color w:val="51626F" w:themeColor="accent1"/>
      <w:szCs w:val="20"/>
    </w:rPr>
  </w:style>
  <w:style w:type="character" w:customStyle="1" w:styleId="Heading9Char">
    <w:name w:val="Heading 9 Char"/>
    <w:basedOn w:val="DefaultParagraphFont"/>
    <w:link w:val="Heading9"/>
    <w:uiPriority w:val="2"/>
    <w:rsid w:val="009D6B46"/>
    <w:rPr>
      <w:rFonts w:ascii="Arial" w:eastAsiaTheme="majorEastAsia" w:hAnsi="Arial" w:cstheme="majorBidi"/>
      <w:i/>
      <w:iCs/>
      <w:color w:val="51626F" w:themeColor="accent1"/>
      <w:szCs w:val="20"/>
    </w:rPr>
  </w:style>
  <w:style w:type="paragraph" w:customStyle="1" w:styleId="Numbered1111111">
    <w:name w:val="Numbered 1.1.1.1.1.1.1"/>
    <w:basedOn w:val="Heading7"/>
    <w:next w:val="Normal"/>
    <w:uiPriority w:val="2"/>
    <w:rsid w:val="00B17A1D"/>
    <w:pPr>
      <w:numPr>
        <w:ilvl w:val="6"/>
        <w:numId w:val="32"/>
      </w:numPr>
      <w:ind w:left="2381" w:hanging="2381"/>
    </w:pPr>
  </w:style>
  <w:style w:type="paragraph" w:customStyle="1" w:styleId="Numbered11111111">
    <w:name w:val="Numbered 1.1.1.1.1.1.1.1"/>
    <w:basedOn w:val="Heading8"/>
    <w:next w:val="Normal"/>
    <w:uiPriority w:val="2"/>
    <w:rsid w:val="00B17A1D"/>
    <w:pPr>
      <w:numPr>
        <w:ilvl w:val="7"/>
        <w:numId w:val="32"/>
      </w:numPr>
      <w:ind w:left="2608" w:hanging="2608"/>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A871F4"/>
    <w:pPr>
      <w:spacing w:before="0"/>
    </w:pPr>
    <w:rPr>
      <w:color w:val="3C4953" w:themeColor="accent1" w:themeShade="BF"/>
    </w:rPr>
    <w:tblPr>
      <w:tblStyleRowBandSize w:val="1"/>
      <w:tblStyleColBandSize w:val="1"/>
      <w:tblBorders>
        <w:top w:val="single" w:sz="8" w:space="0" w:color="51626F" w:themeColor="accent1"/>
        <w:bottom w:val="single" w:sz="8" w:space="0" w:color="51626F" w:themeColor="accent1"/>
      </w:tblBorders>
    </w:tblPr>
    <w:tblStylePr w:type="fir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la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D8DD" w:themeFill="accent1" w:themeFillTint="3F"/>
      </w:tcPr>
    </w:tblStylePr>
    <w:tblStylePr w:type="band1Horz">
      <w:tblPr/>
      <w:tcPr>
        <w:tcBorders>
          <w:left w:val="nil"/>
          <w:right w:val="nil"/>
          <w:insideH w:val="nil"/>
          <w:insideV w:val="nil"/>
        </w:tcBorders>
        <w:shd w:val="clear" w:color="auto" w:fill="D1D8DD"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blBorders>
    </w:tblPr>
    <w:tcPr>
      <w:vAlign w:val="center"/>
    </w:tcPr>
    <w:tblStylePr w:type="fir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l2br w:val="nil"/>
          <w:tr2bl w:val="nil"/>
        </w:tcBorders>
      </w:tcPr>
    </w:tblStylePr>
    <w:tblStylePr w:type="la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7192" w:themeColor="accent3" w:themeShade="BF"/>
    </w:rPr>
    <w:tblPr>
      <w:tblStyleRowBandSize w:val="1"/>
      <w:tblStyleColBandSize w:val="1"/>
      <w:tblBorders>
        <w:top w:val="single" w:sz="8" w:space="0" w:color="0098C3" w:themeColor="accent3"/>
        <w:bottom w:val="single" w:sz="8" w:space="0" w:color="0098C3" w:themeColor="accent3"/>
      </w:tblBorders>
    </w:tblPr>
    <w:tblStylePr w:type="fir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la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1EDFF" w:themeFill="accent3" w:themeFillTint="3F"/>
      </w:tcPr>
    </w:tblStylePr>
    <w:tblStylePr w:type="band1Horz">
      <w:tblPr/>
      <w:tcPr>
        <w:tcBorders>
          <w:left w:val="nil"/>
          <w:right w:val="nil"/>
          <w:insideH w:val="nil"/>
          <w:insideV w:val="nil"/>
        </w:tcBorders>
        <w:shd w:val="clear" w:color="auto" w:fill="B1ED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insideH w:val="single" w:sz="8" w:space="0" w:color="DC5034" w:themeColor="accent6"/>
        <w:insideV w:val="single" w:sz="8" w:space="0" w:color="DC5034"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18" w:space="0" w:color="DC5034" w:themeColor="accent6"/>
          <w:right w:val="single" w:sz="8" w:space="0" w:color="DC5034" w:themeColor="accent6"/>
          <w:insideH w:val="nil"/>
          <w:insideV w:val="single" w:sz="8" w:space="0" w:color="DC5034"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insideH w:val="nil"/>
          <w:insideV w:val="single" w:sz="8" w:space="0" w:color="DC5034"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shd w:val="clear" w:color="auto" w:fill="F6D3CC" w:themeFill="accent6" w:themeFillTint="3F"/>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shd w:val="clear" w:color="auto" w:fill="F6D3CC" w:themeFill="accent6" w:themeFillTint="3F"/>
      </w:tcPr>
    </w:tblStylePr>
    <w:tblStylePr w:type="band2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single" w:sz="8" w:space="0" w:color="758A9A" w:themeColor="accent1" w:themeTint="BF"/>
      </w:tblBorders>
    </w:tblPr>
    <w:tblStylePr w:type="firstRow">
      <w:pPr>
        <w:spacing w:before="0" w:after="0" w:line="240" w:lineRule="auto"/>
      </w:pPr>
      <w:rPr>
        <w:b/>
        <w:bCs/>
        <w:color w:val="FFFFFF" w:themeColor="background1"/>
      </w:rPr>
      <w:tblPr/>
      <w:tcPr>
        <w:tc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shd w:val="clear" w:color="auto" w:fill="51626F" w:themeFill="accent1"/>
      </w:tcPr>
    </w:tblStylePr>
    <w:tblStylePr w:type="lastRow">
      <w:pPr>
        <w:spacing w:before="0" w:after="0" w:line="240" w:lineRule="auto"/>
      </w:pPr>
      <w:rPr>
        <w:b/>
        <w:bCs/>
      </w:rPr>
      <w:tblPr/>
      <w:tcPr>
        <w:tcBorders>
          <w:top w:val="double" w:sz="6"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tcPr>
    </w:tblStylePr>
    <w:tblStylePr w:type="firstCol">
      <w:rPr>
        <w:b/>
        <w:bCs/>
      </w:rPr>
    </w:tblStylePr>
    <w:tblStylePr w:type="lastCol">
      <w:rPr>
        <w:b/>
        <w:bCs/>
      </w:rPr>
    </w:tblStylePr>
    <w:tblStylePr w:type="band1Vert">
      <w:tblPr/>
      <w:tcPr>
        <w:shd w:val="clear" w:color="auto" w:fill="D1D8DD" w:themeFill="accent1" w:themeFillTint="3F"/>
      </w:tcPr>
    </w:tblStylePr>
    <w:tblStylePr w:type="band1Horz">
      <w:tblPr/>
      <w:tcPr>
        <w:tcBorders>
          <w:insideH w:val="nil"/>
          <w:insideV w:val="nil"/>
        </w:tcBorders>
        <w:shd w:val="clear" w:color="auto" w:fill="D1D8DD"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single" w:sz="8" w:space="0" w:color="7643BB" w:themeColor="accent2" w:themeTint="BF"/>
      </w:tblBorders>
    </w:tblPr>
    <w:tblStylePr w:type="firstRow">
      <w:pPr>
        <w:spacing w:before="0" w:after="0" w:line="240" w:lineRule="auto"/>
      </w:pPr>
      <w:rPr>
        <w:b/>
        <w:bCs/>
        <w:color w:val="FFFFFF" w:themeColor="background1"/>
      </w:rPr>
      <w:tblPr/>
      <w:tcPr>
        <w:tc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shd w:val="clear" w:color="auto" w:fill="4F2D7D" w:themeFill="accent2"/>
      </w:tcPr>
    </w:tblStylePr>
    <w:tblStylePr w:type="lastRow">
      <w:pPr>
        <w:spacing w:before="0" w:after="0" w:line="240" w:lineRule="auto"/>
      </w:pPr>
      <w:rPr>
        <w:b/>
        <w:bCs/>
      </w:rPr>
      <w:tblPr/>
      <w:tcPr>
        <w:tcBorders>
          <w:top w:val="double" w:sz="6"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tcPr>
    </w:tblStylePr>
    <w:tblStylePr w:type="firstCol">
      <w:rPr>
        <w:b/>
        <w:bCs/>
      </w:rPr>
    </w:tblStylePr>
    <w:tblStylePr w:type="lastCol">
      <w:rPr>
        <w:b/>
        <w:bCs/>
      </w:rPr>
    </w:tblStylePr>
    <w:tblStylePr w:type="band1Vert">
      <w:tblPr/>
      <w:tcPr>
        <w:shd w:val="clear" w:color="auto" w:fill="D1C1E8" w:themeFill="accent2" w:themeFillTint="3F"/>
      </w:tcPr>
    </w:tblStylePr>
    <w:tblStylePr w:type="band1Horz">
      <w:tblPr/>
      <w:tcPr>
        <w:tcBorders>
          <w:insideH w:val="nil"/>
          <w:insideV w:val="nil"/>
        </w:tcBorders>
        <w:shd w:val="clear" w:color="auto" w:fill="D1C1E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single" w:sz="8" w:space="0" w:color="13CAFF" w:themeColor="accent3" w:themeTint="BF"/>
      </w:tblBorders>
    </w:tblPr>
    <w:tblStylePr w:type="firstRow">
      <w:pPr>
        <w:spacing w:before="0" w:after="0" w:line="240" w:lineRule="auto"/>
      </w:pPr>
      <w:rPr>
        <w:b/>
        <w:bCs/>
        <w:color w:val="FFFFFF" w:themeColor="background1"/>
      </w:rPr>
      <w:tblPr/>
      <w:tcPr>
        <w:tc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shd w:val="clear" w:color="auto" w:fill="0098C3" w:themeFill="accent3"/>
      </w:tcPr>
    </w:tblStylePr>
    <w:tblStylePr w:type="lastRow">
      <w:pPr>
        <w:spacing w:before="0" w:after="0" w:line="240" w:lineRule="auto"/>
      </w:pPr>
      <w:rPr>
        <w:b/>
        <w:bCs/>
      </w:rPr>
      <w:tblPr/>
      <w:tcPr>
        <w:tcBorders>
          <w:top w:val="double" w:sz="6"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1EDFF" w:themeFill="accent3" w:themeFillTint="3F"/>
      </w:tcPr>
    </w:tblStylePr>
    <w:tblStylePr w:type="band1Horz">
      <w:tblPr/>
      <w:tcPr>
        <w:tcBorders>
          <w:insideH w:val="nil"/>
          <w:insideV w:val="nil"/>
        </w:tcBorders>
        <w:shd w:val="clear" w:color="auto" w:fill="B1E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single" w:sz="8" w:space="0" w:color="B7DAF0" w:themeColor="accent4" w:themeTint="BF"/>
      </w:tblBorders>
    </w:tblPr>
    <w:tblStylePr w:type="firstRow">
      <w:pPr>
        <w:spacing w:before="0" w:after="0" w:line="240" w:lineRule="auto"/>
      </w:pPr>
      <w:rPr>
        <w:b/>
        <w:bCs/>
        <w:color w:val="FFFFFF" w:themeColor="background1"/>
      </w:rPr>
      <w:tblPr/>
      <w:tcPr>
        <w:tc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shd w:val="clear" w:color="auto" w:fill="A0CFEB" w:themeFill="accent4"/>
      </w:tcPr>
    </w:tblStylePr>
    <w:tblStylePr w:type="lastRow">
      <w:pPr>
        <w:spacing w:before="0" w:after="0" w:line="240" w:lineRule="auto"/>
      </w:pPr>
      <w:rPr>
        <w:b/>
        <w:bCs/>
      </w:rPr>
      <w:tblPr/>
      <w:tcPr>
        <w:tcBorders>
          <w:top w:val="double" w:sz="6"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F3FA" w:themeFill="accent4" w:themeFillTint="3F"/>
      </w:tcPr>
    </w:tblStylePr>
    <w:tblStylePr w:type="band1Horz">
      <w:tblPr/>
      <w:tcPr>
        <w:tcBorders>
          <w:insideH w:val="nil"/>
          <w:insideV w:val="nil"/>
        </w:tcBorders>
        <w:shd w:val="clear" w:color="auto" w:fill="E7F3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single" w:sz="8" w:space="0" w:color="FC220E" w:themeColor="accent5" w:themeTint="BF"/>
      </w:tblBorders>
    </w:tblPr>
    <w:tblStylePr w:type="firstRow">
      <w:pPr>
        <w:spacing w:before="0" w:after="0" w:line="240" w:lineRule="auto"/>
      </w:pPr>
      <w:rPr>
        <w:b/>
        <w:bCs/>
        <w:color w:val="FFFFFF" w:themeColor="background1"/>
      </w:rPr>
      <w:tblPr/>
      <w:tcPr>
        <w:tc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shd w:val="clear" w:color="auto" w:fill="B71202" w:themeFill="accent5"/>
      </w:tcPr>
    </w:tblStylePr>
    <w:tblStylePr w:type="lastRow">
      <w:pPr>
        <w:spacing w:before="0" w:after="0" w:line="240" w:lineRule="auto"/>
      </w:pPr>
      <w:rPr>
        <w:b/>
        <w:bCs/>
      </w:rPr>
      <w:tblPr/>
      <w:tcPr>
        <w:tcBorders>
          <w:top w:val="double" w:sz="6"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tcPr>
    </w:tblStylePr>
    <w:tblStylePr w:type="firstCol">
      <w:rPr>
        <w:b/>
        <w:bCs/>
      </w:rPr>
    </w:tblStylePr>
    <w:tblStylePr w:type="lastCol">
      <w:rPr>
        <w:b/>
        <w:bCs/>
      </w:rPr>
    </w:tblStylePr>
    <w:tblStylePr w:type="band1Vert">
      <w:tblPr/>
      <w:tcPr>
        <w:shd w:val="clear" w:color="auto" w:fill="FEB6AF" w:themeFill="accent5" w:themeFillTint="3F"/>
      </w:tcPr>
    </w:tblStylePr>
    <w:tblStylePr w:type="band1Horz">
      <w:tblPr/>
      <w:tcPr>
        <w:tcBorders>
          <w:insideH w:val="nil"/>
          <w:insideV w:val="nil"/>
        </w:tcBorders>
        <w:shd w:val="clear" w:color="auto" w:fill="FEB6AF"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5">
    <w:name w:val="Light Shading Accent 5"/>
    <w:basedOn w:val="TableNormal"/>
    <w:uiPriority w:val="60"/>
    <w:rsid w:val="00A871F4"/>
    <w:pPr>
      <w:spacing w:before="0"/>
    </w:pPr>
    <w:rPr>
      <w:color w:val="880D01" w:themeColor="accent5" w:themeShade="BF"/>
    </w:rPr>
    <w:tblPr>
      <w:tblStyleRowBandSize w:val="1"/>
      <w:tblStyleColBandSize w:val="1"/>
      <w:tblBorders>
        <w:top w:val="single" w:sz="8" w:space="0" w:color="B71202" w:themeColor="accent5"/>
        <w:bottom w:val="single" w:sz="8" w:space="0" w:color="B71202" w:themeColor="accent5"/>
      </w:tblBorders>
    </w:tblPr>
    <w:tblStylePr w:type="fir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la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B6AF" w:themeFill="accent5" w:themeFillTint="3F"/>
      </w:tcPr>
    </w:tblStylePr>
    <w:tblStylePr w:type="band1Horz">
      <w:tblPr/>
      <w:tcPr>
        <w:tcBorders>
          <w:left w:val="nil"/>
          <w:right w:val="nil"/>
          <w:insideH w:val="nil"/>
          <w:insideV w:val="nil"/>
        </w:tcBorders>
        <w:shd w:val="clear" w:color="auto" w:fill="FEB6AF"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insideH w:val="single" w:sz="8" w:space="0" w:color="0098C3" w:themeColor="accent3"/>
        <w:insideV w:val="single" w:sz="8" w:space="0" w:color="0098C3"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18" w:space="0" w:color="0098C3" w:themeColor="accent3"/>
          <w:right w:val="single" w:sz="8" w:space="0" w:color="0098C3" w:themeColor="accent3"/>
          <w:insideH w:val="nil"/>
          <w:insideV w:val="single" w:sz="8" w:space="0" w:color="0098C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insideH w:val="nil"/>
          <w:insideV w:val="single" w:sz="8" w:space="0" w:color="0098C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shd w:val="clear" w:color="auto" w:fill="B1EDFF" w:themeFill="accent3" w:themeFillTint="3F"/>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shd w:val="clear" w:color="auto" w:fill="B1EDFF" w:themeFill="accent3" w:themeFillTint="3F"/>
      </w:tcPr>
    </w:tblStylePr>
    <w:tblStylePr w:type="band2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semiHidden/>
    <w:unhideWhenUsed/>
    <w:rsid w:val="005C26CC"/>
    <w:pPr>
      <w:spacing w:after="120"/>
    </w:pPr>
    <w:rPr>
      <w:szCs w:val="16"/>
    </w:rPr>
  </w:style>
  <w:style w:type="character" w:customStyle="1" w:styleId="BodyText3Char">
    <w:name w:val="Body Text 3 Char"/>
    <w:basedOn w:val="DefaultParagraphFont"/>
    <w:link w:val="BodyText3"/>
    <w:uiPriority w:val="99"/>
    <w:semiHidden/>
    <w:rsid w:val="005C26CC"/>
    <w:rPr>
      <w:rFonts w:ascii="Arial" w:hAnsi="Arial"/>
      <w:szCs w:val="16"/>
    </w:rPr>
  </w:style>
  <w:style w:type="paragraph" w:styleId="TOC1">
    <w:name w:val="toc 1"/>
    <w:basedOn w:val="Normal"/>
    <w:next w:val="Normal"/>
    <w:autoRedefine/>
    <w:uiPriority w:val="39"/>
    <w:qFormat/>
    <w:rsid w:val="009F4940"/>
    <w:pPr>
      <w:tabs>
        <w:tab w:val="left" w:pos="426"/>
        <w:tab w:val="right" w:leader="dot" w:pos="9016"/>
      </w:tabs>
      <w:spacing w:after="100"/>
    </w:pPr>
    <w:rPr>
      <w:noProof/>
      <w:lang w:val="en-US" w:eastAsia="ja-JP"/>
    </w:rPr>
  </w:style>
  <w:style w:type="paragraph" w:styleId="TOC2">
    <w:name w:val="toc 2"/>
    <w:basedOn w:val="Normal"/>
    <w:next w:val="Normal"/>
    <w:uiPriority w:val="39"/>
    <w:qFormat/>
    <w:rsid w:val="009F4940"/>
    <w:pPr>
      <w:tabs>
        <w:tab w:val="left" w:pos="880"/>
        <w:tab w:val="right" w:leader="dot" w:pos="9016"/>
      </w:tabs>
      <w:spacing w:after="100"/>
      <w:ind w:left="425"/>
    </w:pPr>
    <w:rPr>
      <w:noProof/>
    </w:rPr>
  </w:style>
  <w:style w:type="paragraph" w:styleId="TOC3">
    <w:name w:val="toc 3"/>
    <w:basedOn w:val="Normal"/>
    <w:next w:val="Normal"/>
    <w:uiPriority w:val="39"/>
    <w:qFormat/>
    <w:rsid w:val="009F4940"/>
    <w:pPr>
      <w:tabs>
        <w:tab w:val="left" w:pos="1760"/>
        <w:tab w:val="right" w:leader="dot" w:pos="9016"/>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4F2D7D"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4F2D7D" w:themeColor="accent2"/>
      <w:spacing w:val="5"/>
      <w:kern w:val="28"/>
      <w:sz w:val="72"/>
      <w:szCs w:val="52"/>
    </w:rPr>
  </w:style>
  <w:style w:type="paragraph" w:customStyle="1" w:styleId="CoverDate">
    <w:name w:val="Cover Date"/>
    <w:qFormat/>
    <w:rsid w:val="00746E01"/>
    <w:rPr>
      <w:rFonts w:ascii="Lucida Fax" w:hAnsi="Lucida Fax"/>
      <w:color w:val="DC5034"/>
      <w:szCs w:val="24"/>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tblBorders>
    </w:tblPr>
    <w:tblStylePr w:type="firstRow">
      <w:pPr>
        <w:spacing w:before="0" w:after="0" w:line="240" w:lineRule="auto"/>
      </w:pPr>
      <w:rPr>
        <w:b/>
        <w:bCs/>
        <w:color w:val="FFFFFF" w:themeColor="background1"/>
      </w:rPr>
      <w:tblPr/>
      <w:tcPr>
        <w:shd w:val="clear" w:color="auto" w:fill="51626F" w:themeFill="accent1"/>
      </w:tcPr>
    </w:tblStylePr>
    <w:tblStylePr w:type="lastRow">
      <w:pPr>
        <w:spacing w:before="0" w:after="0" w:line="240" w:lineRule="auto"/>
      </w:pPr>
      <w:rPr>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tcBorders>
      </w:tcPr>
    </w:tblStylePr>
    <w:tblStylePr w:type="firstCol">
      <w:rPr>
        <w:b/>
        <w:bCs/>
      </w:rPr>
    </w:tblStylePr>
    <w:tblStylePr w:type="lastCol">
      <w:rPr>
        <w:b/>
        <w:bCs/>
      </w:r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tblBorders>
    </w:tblPr>
    <w:tblStylePr w:type="firstRow">
      <w:pPr>
        <w:spacing w:before="0" w:after="0" w:line="240" w:lineRule="auto"/>
      </w:pPr>
      <w:rPr>
        <w:b/>
        <w:bCs/>
        <w:color w:val="FFFFFF" w:themeColor="background1"/>
      </w:rPr>
      <w:tblPr/>
      <w:tcPr>
        <w:shd w:val="clear" w:color="auto" w:fill="0098C3" w:themeFill="accent3"/>
      </w:tcPr>
    </w:tblStylePr>
    <w:tblStylePr w:type="lastRow">
      <w:pPr>
        <w:spacing w:before="0" w:after="0" w:line="240" w:lineRule="auto"/>
      </w:pPr>
      <w:rPr>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tcBorders>
      </w:tcPr>
    </w:tblStylePr>
    <w:tblStylePr w:type="firstCol">
      <w:rPr>
        <w:b/>
        <w:bCs/>
      </w:rPr>
    </w:tblStylePr>
    <w:tblStylePr w:type="lastCol">
      <w:rPr>
        <w:b/>
        <w:bCs/>
      </w:r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tblBorders>
    </w:tblPr>
    <w:tblStylePr w:type="firstRow">
      <w:pPr>
        <w:spacing w:before="0" w:after="0" w:line="240" w:lineRule="auto"/>
      </w:pPr>
      <w:rPr>
        <w:b/>
        <w:bCs/>
        <w:color w:val="auto"/>
      </w:rPr>
      <w:tblPr/>
      <w:tcPr>
        <w:shd w:val="clear" w:color="auto" w:fill="B71202" w:themeFill="accent5"/>
      </w:tcPr>
    </w:tblStylePr>
    <w:tblStylePr w:type="lastRow">
      <w:pPr>
        <w:spacing w:before="0" w:after="0" w:line="240" w:lineRule="auto"/>
      </w:pPr>
      <w:rPr>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tcBorders>
      </w:tcPr>
    </w:tblStylePr>
    <w:tblStylePr w:type="firstCol">
      <w:rPr>
        <w:b/>
        <w:bCs/>
      </w:rPr>
    </w:tblStylePr>
    <w:tblStylePr w:type="lastCol">
      <w:rPr>
        <w:b/>
        <w:bCs/>
      </w:r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085663"/>
    <w:pPr>
      <w:ind w:left="720"/>
    </w:pPr>
  </w:style>
  <w:style w:type="paragraph" w:styleId="FootnoteText">
    <w:name w:val="footnote text"/>
    <w:basedOn w:val="Normal"/>
    <w:link w:val="FootnoteTextChar"/>
    <w:rsid w:val="00615C6B"/>
    <w:pPr>
      <w:spacing w:before="60"/>
    </w:pPr>
    <w:rPr>
      <w:sz w:val="16"/>
      <w:szCs w:val="20"/>
    </w:rPr>
  </w:style>
  <w:style w:type="character" w:customStyle="1" w:styleId="FootnoteTextChar">
    <w:name w:val="Footnote Text Char"/>
    <w:basedOn w:val="DefaultParagraphFont"/>
    <w:link w:val="FootnoteText"/>
    <w:rsid w:val="00615C6B"/>
    <w:rPr>
      <w:rFonts w:ascii="Arial" w:hAnsi="Arial"/>
      <w:sz w:val="16"/>
      <w:szCs w:val="20"/>
    </w:rPr>
  </w:style>
  <w:style w:type="character" w:styleId="FootnoteReference">
    <w:name w:val="footnote reference"/>
    <w:basedOn w:val="DefaultParagraphFont"/>
    <w:unhideWhenUsed/>
    <w:rsid w:val="00701CAB"/>
    <w:rPr>
      <w:vertAlign w:val="superscript"/>
    </w:rPr>
  </w:style>
  <w:style w:type="character" w:styleId="Strong">
    <w:name w:val="Strong"/>
    <w:basedOn w:val="DefaultParagraphFont"/>
    <w:uiPriority w:val="22"/>
    <w:qFormat/>
    <w:rsid w:val="00EF5110"/>
    <w:rPr>
      <w:b/>
      <w:bCs/>
    </w:rPr>
  </w:style>
  <w:style w:type="paragraph" w:styleId="Subtitle">
    <w:name w:val="Subtitle"/>
    <w:next w:val="Normal"/>
    <w:link w:val="SubtitleChar"/>
    <w:uiPriority w:val="11"/>
    <w:qFormat/>
    <w:rsid w:val="008344F6"/>
    <w:pPr>
      <w:spacing w:before="360" w:after="120"/>
    </w:pPr>
    <w:rPr>
      <w:rFonts w:ascii="Lucida Fax" w:hAnsi="Lucida Fax"/>
      <w:color w:val="4F2D7F"/>
      <w:sz w:val="52"/>
      <w:szCs w:val="52"/>
    </w:rPr>
  </w:style>
  <w:style w:type="character" w:customStyle="1" w:styleId="SubtitleChar">
    <w:name w:val="Subtitle Char"/>
    <w:basedOn w:val="DefaultParagraphFont"/>
    <w:link w:val="Subtitle"/>
    <w:uiPriority w:val="11"/>
    <w:rsid w:val="008344F6"/>
    <w:rPr>
      <w:rFonts w:ascii="Lucida Fax" w:hAnsi="Lucida Fax"/>
      <w:color w:val="4F2D7F"/>
      <w:sz w:val="52"/>
      <w:szCs w:val="52"/>
    </w:rPr>
  </w:style>
  <w:style w:type="table" w:styleId="LightShading-Accent4">
    <w:name w:val="Light Shading Accent 4"/>
    <w:basedOn w:val="TableNormal"/>
    <w:uiPriority w:val="60"/>
    <w:rsid w:val="00746E01"/>
    <w:pPr>
      <w:spacing w:before="0"/>
    </w:pPr>
    <w:rPr>
      <w:color w:val="4DA5D9" w:themeColor="accent4" w:themeShade="BF"/>
    </w:rPr>
    <w:tblPr>
      <w:tblStyleRowBandSize w:val="1"/>
      <w:tblStyleColBandSize w:val="1"/>
      <w:tblBorders>
        <w:top w:val="single" w:sz="8" w:space="0" w:color="A0CFEB" w:themeColor="accent4"/>
        <w:bottom w:val="single" w:sz="8" w:space="0" w:color="A0CFEB" w:themeColor="accent4"/>
      </w:tblBorders>
    </w:tblPr>
    <w:tblStylePr w:type="fir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la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F3FA" w:themeFill="accent4" w:themeFillTint="3F"/>
      </w:tcPr>
    </w:tblStylePr>
    <w:tblStylePr w:type="band1Horz">
      <w:tblPr/>
      <w:tcPr>
        <w:tcBorders>
          <w:left w:val="nil"/>
          <w:right w:val="nil"/>
          <w:insideH w:val="nil"/>
          <w:insideV w:val="nil"/>
        </w:tcBorders>
        <w:shd w:val="clear" w:color="auto" w:fill="E7F3FA" w:themeFill="accent4" w:themeFillTint="3F"/>
      </w:tcPr>
    </w:tblStylePr>
  </w:style>
  <w:style w:type="table" w:styleId="LightShading-Accent6">
    <w:name w:val="Light Shading Accent 6"/>
    <w:basedOn w:val="TableNormal"/>
    <w:uiPriority w:val="60"/>
    <w:rsid w:val="00746E01"/>
    <w:pPr>
      <w:spacing w:before="0"/>
    </w:pPr>
    <w:rPr>
      <w:color w:val="AD351E" w:themeColor="accent6" w:themeShade="BF"/>
    </w:rPr>
    <w:tblPr>
      <w:tblStyleRowBandSize w:val="1"/>
      <w:tblStyleColBandSize w:val="1"/>
      <w:tblBorders>
        <w:top w:val="single" w:sz="8" w:space="0" w:color="DC5034" w:themeColor="accent6"/>
        <w:bottom w:val="single" w:sz="8" w:space="0" w:color="DC5034" w:themeColor="accent6"/>
      </w:tblBorders>
    </w:tblPr>
    <w:tblStylePr w:type="fir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la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3CC" w:themeFill="accent6" w:themeFillTint="3F"/>
      </w:tcPr>
    </w:tblStylePr>
    <w:tblStylePr w:type="band1Horz">
      <w:tblPr/>
      <w:tcPr>
        <w:tcBorders>
          <w:left w:val="nil"/>
          <w:right w:val="nil"/>
          <w:insideH w:val="nil"/>
          <w:insideV w:val="nil"/>
        </w:tcBorders>
        <w:shd w:val="clear" w:color="auto" w:fill="F6D3CC" w:themeFill="accent6" w:themeFillTint="3F"/>
      </w:tcPr>
    </w:tblStylePr>
  </w:style>
  <w:style w:type="paragraph" w:styleId="TOC4">
    <w:name w:val="toc 4"/>
    <w:basedOn w:val="Normal"/>
    <w:next w:val="Normal"/>
    <w:uiPriority w:val="39"/>
    <w:rsid w:val="009F4940"/>
    <w:pPr>
      <w:tabs>
        <w:tab w:val="right" w:leader="dot" w:pos="9016"/>
      </w:tabs>
      <w:spacing w:after="100"/>
      <w:ind w:left="1276"/>
    </w:pPr>
    <w:rPr>
      <w:noProof/>
    </w:rPr>
  </w:style>
  <w:style w:type="paragraph" w:styleId="TOC5">
    <w:name w:val="toc 5"/>
    <w:basedOn w:val="Normal"/>
    <w:next w:val="Normal"/>
    <w:uiPriority w:val="39"/>
    <w:rsid w:val="009F4940"/>
    <w:pPr>
      <w:tabs>
        <w:tab w:val="right" w:leader="dot" w:pos="9016"/>
      </w:tabs>
      <w:spacing w:after="100"/>
      <w:ind w:left="1701"/>
    </w:pPr>
    <w:rPr>
      <w:noProof/>
    </w:rPr>
  </w:style>
  <w:style w:type="paragraph" w:styleId="TOC6">
    <w:name w:val="toc 6"/>
    <w:basedOn w:val="Normal"/>
    <w:next w:val="Normal"/>
    <w:uiPriority w:val="39"/>
    <w:rsid w:val="009F4940"/>
    <w:pPr>
      <w:tabs>
        <w:tab w:val="right" w:leader="dot" w:pos="9016"/>
      </w:tabs>
      <w:spacing w:after="100"/>
      <w:ind w:left="2127"/>
    </w:pPr>
    <w:rPr>
      <w:noProof/>
    </w:rPr>
  </w:style>
  <w:style w:type="paragraph" w:styleId="TOC7">
    <w:name w:val="toc 7"/>
    <w:basedOn w:val="Normal"/>
    <w:next w:val="Normal"/>
    <w:uiPriority w:val="39"/>
    <w:rsid w:val="009F4940"/>
    <w:pPr>
      <w:tabs>
        <w:tab w:val="right" w:leader="dot" w:pos="9016"/>
      </w:tabs>
      <w:spacing w:after="100"/>
      <w:ind w:left="2552"/>
    </w:pPr>
    <w:rPr>
      <w:noProof/>
    </w:rPr>
  </w:style>
  <w:style w:type="paragraph" w:customStyle="1" w:styleId="Numberedlist">
    <w:name w:val="Numbered list"/>
    <w:basedOn w:val="ListNumber"/>
    <w:rsid w:val="008033C4"/>
    <w:pPr>
      <w:numPr>
        <w:numId w:val="3"/>
      </w:numPr>
      <w:ind w:left="357" w:hanging="357"/>
    </w:pPr>
  </w:style>
  <w:style w:type="table" w:customStyle="1" w:styleId="LightShading1">
    <w:name w:val="Light Shading1"/>
    <w:basedOn w:val="TableNormal"/>
    <w:next w:val="LightShading"/>
    <w:uiPriority w:val="60"/>
    <w:rsid w:val="00C53B5A"/>
    <w:pPr>
      <w:spacing w:before="120" w:after="120"/>
    </w:pPr>
    <w:rPr>
      <w:color w:val="000000" w:themeColor="text1" w:themeShade="BF"/>
      <w:sz w:val="20"/>
    </w:rPr>
    <w:tblPr>
      <w:tblBorders>
        <w:top w:val="single" w:sz="4" w:space="0" w:color="D5D6D2" w:themeColor="background2"/>
        <w:bottom w:val="single" w:sz="4" w:space="0" w:color="D5D6D2" w:themeColor="background2"/>
        <w:insideH w:val="single" w:sz="4" w:space="0" w:color="D5D6D2"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tblBorders>
    </w:tblPr>
    <w:tblStylePr w:type="firstRow">
      <w:pPr>
        <w:spacing w:before="0" w:after="0" w:line="240" w:lineRule="auto"/>
      </w:pPr>
      <w:rPr>
        <w:b/>
        <w:bCs/>
        <w:color w:val="FFFFFF" w:themeColor="background1"/>
      </w:rPr>
      <w:tblPr/>
      <w:tcPr>
        <w:shd w:val="clear" w:color="auto" w:fill="4F2D7D" w:themeFill="accent2"/>
      </w:tcPr>
    </w:tblStylePr>
    <w:tblStylePr w:type="lastRow">
      <w:pPr>
        <w:spacing w:before="0" w:after="0" w:line="240" w:lineRule="auto"/>
      </w:pPr>
      <w:rPr>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tcBorders>
      </w:tcPr>
    </w:tblStylePr>
    <w:tblStylePr w:type="firstCol">
      <w:rPr>
        <w:b/>
        <w:bCs/>
      </w:rPr>
    </w:tblStylePr>
    <w:tblStylePr w:type="lastCol">
      <w:rPr>
        <w:b/>
        <w:bCs/>
      </w:r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tblBorders>
    </w:tblPr>
    <w:tblStylePr w:type="firstRow">
      <w:pPr>
        <w:spacing w:before="0" w:after="0" w:line="240" w:lineRule="auto"/>
      </w:pPr>
      <w:rPr>
        <w:b/>
        <w:bCs/>
        <w:color w:val="FFFFFF" w:themeColor="background1"/>
      </w:rPr>
      <w:tblPr/>
      <w:tcPr>
        <w:shd w:val="clear" w:color="auto" w:fill="A0CFEB" w:themeFill="accent4"/>
      </w:tcPr>
    </w:tblStylePr>
    <w:tblStylePr w:type="lastRow">
      <w:pPr>
        <w:spacing w:before="0" w:after="0" w:line="240" w:lineRule="auto"/>
      </w:pPr>
      <w:rPr>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tcBorders>
      </w:tcPr>
    </w:tblStylePr>
    <w:tblStylePr w:type="firstCol">
      <w:rPr>
        <w:b/>
        <w:bCs/>
      </w:rPr>
    </w:tblStylePr>
    <w:tblStylePr w:type="lastCol">
      <w:rPr>
        <w:b/>
        <w:bCs/>
      </w:r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tblBorders>
    </w:tblPr>
    <w:tblStylePr w:type="firstRow">
      <w:pPr>
        <w:spacing w:before="0" w:after="0" w:line="240" w:lineRule="auto"/>
      </w:pPr>
      <w:rPr>
        <w:b/>
        <w:bCs/>
        <w:color w:val="FFFFFF" w:themeColor="background1"/>
      </w:rPr>
      <w:tblPr/>
      <w:tcPr>
        <w:shd w:val="clear" w:color="auto" w:fill="DC5034" w:themeFill="accent6"/>
      </w:tcPr>
    </w:tblStylePr>
    <w:tblStylePr w:type="lastRow">
      <w:pPr>
        <w:spacing w:before="0" w:after="0" w:line="240" w:lineRule="auto"/>
      </w:pPr>
      <w:rPr>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tcBorders>
      </w:tcPr>
    </w:tblStylePr>
    <w:tblStylePr w:type="firstCol">
      <w:rPr>
        <w:b/>
        <w:bCs/>
      </w:rPr>
    </w:tblStylePr>
    <w:tblStylePr w:type="lastCol">
      <w:rPr>
        <w:b/>
        <w:bCs/>
      </w:r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insideH w:val="single" w:sz="8" w:space="0" w:color="51626F" w:themeColor="accent1"/>
        <w:insideV w:val="single" w:sz="8" w:space="0" w:color="51626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18" w:space="0" w:color="51626F" w:themeColor="accent1"/>
          <w:right w:val="single" w:sz="8" w:space="0" w:color="51626F" w:themeColor="accent1"/>
          <w:insideH w:val="nil"/>
          <w:insideV w:val="single" w:sz="8" w:space="0" w:color="51626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insideH w:val="nil"/>
          <w:insideV w:val="single" w:sz="8" w:space="0" w:color="51626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shd w:val="clear" w:color="auto" w:fill="D1D8DD" w:themeFill="accent1" w:themeFillTint="3F"/>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shd w:val="clear" w:color="auto" w:fill="D1D8DD" w:themeFill="accent1" w:themeFillTint="3F"/>
      </w:tcPr>
    </w:tblStylePr>
    <w:tblStylePr w:type="band2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insideH w:val="single" w:sz="8" w:space="0" w:color="4F2D7D" w:themeColor="accent2"/>
        <w:insideV w:val="single" w:sz="8" w:space="0" w:color="4F2D7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18" w:space="0" w:color="4F2D7D" w:themeColor="accent2"/>
          <w:right w:val="single" w:sz="8" w:space="0" w:color="4F2D7D" w:themeColor="accent2"/>
          <w:insideH w:val="nil"/>
          <w:insideV w:val="single" w:sz="8" w:space="0" w:color="4F2D7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insideH w:val="nil"/>
          <w:insideV w:val="single" w:sz="8" w:space="0" w:color="4F2D7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shd w:val="clear" w:color="auto" w:fill="D1C1E8" w:themeFill="accent2" w:themeFillTint="3F"/>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shd w:val="clear" w:color="auto" w:fill="D1C1E8" w:themeFill="accent2" w:themeFillTint="3F"/>
      </w:tcPr>
    </w:tblStylePr>
    <w:tblStylePr w:type="band2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insideH w:val="single" w:sz="8" w:space="0" w:color="A0CFEB" w:themeColor="accent4"/>
        <w:insideV w:val="single" w:sz="8" w:space="0" w:color="A0CFEB"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18" w:space="0" w:color="A0CFEB" w:themeColor="accent4"/>
          <w:right w:val="single" w:sz="8" w:space="0" w:color="A0CFEB" w:themeColor="accent4"/>
          <w:insideH w:val="nil"/>
          <w:insideV w:val="single" w:sz="8" w:space="0" w:color="A0CFEB"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insideH w:val="nil"/>
          <w:insideV w:val="single" w:sz="8" w:space="0" w:color="A0CFEB"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shd w:val="clear" w:color="auto" w:fill="E7F3FA" w:themeFill="accent4" w:themeFillTint="3F"/>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shd w:val="clear" w:color="auto" w:fill="E7F3FA" w:themeFill="accent4" w:themeFillTint="3F"/>
      </w:tcPr>
    </w:tblStylePr>
    <w:tblStylePr w:type="band2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insideH w:val="single" w:sz="8" w:space="0" w:color="B71202" w:themeColor="accent5"/>
        <w:insideV w:val="single" w:sz="8" w:space="0" w:color="B71202"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18" w:space="0" w:color="B71202" w:themeColor="accent5"/>
          <w:right w:val="single" w:sz="8" w:space="0" w:color="B71202" w:themeColor="accent5"/>
          <w:insideH w:val="nil"/>
          <w:insideV w:val="single" w:sz="8" w:space="0" w:color="B7120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insideH w:val="nil"/>
          <w:insideV w:val="single" w:sz="8" w:space="0" w:color="B7120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shd w:val="clear" w:color="auto" w:fill="FEB6AF" w:themeFill="accent5" w:themeFillTint="3F"/>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shd w:val="clear" w:color="auto" w:fill="FEB6AF" w:themeFill="accent5" w:themeFillTint="3F"/>
      </w:tcPr>
    </w:tblStylePr>
    <w:tblStylePr w:type="band2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B17A1D"/>
    <w:pPr>
      <w:numPr>
        <w:ilvl w:val="8"/>
        <w:numId w:val="32"/>
      </w:numPr>
      <w:ind w:left="2948" w:hanging="2948"/>
    </w:pPr>
  </w:style>
  <w:style w:type="paragraph" w:styleId="Caption">
    <w:name w:val="caption"/>
    <w:basedOn w:val="Normal"/>
    <w:next w:val="Normal"/>
    <w:uiPriority w:val="35"/>
    <w:unhideWhenUsed/>
    <w:qFormat/>
    <w:rsid w:val="00B1716D"/>
    <w:pPr>
      <w:spacing w:before="240" w:after="120"/>
    </w:pPr>
    <w:rPr>
      <w:b/>
      <w:bCs/>
      <w:sz w:val="24"/>
      <w:szCs w:val="18"/>
    </w:rPr>
  </w:style>
  <w:style w:type="paragraph" w:styleId="List">
    <w:name w:val="List"/>
    <w:basedOn w:val="Normal"/>
    <w:uiPriority w:val="99"/>
    <w:unhideWhenUsed/>
    <w:rsid w:val="008033C4"/>
    <w:pPr>
      <w:spacing w:before="120"/>
      <w:ind w:left="284" w:hanging="284"/>
    </w:pPr>
  </w:style>
  <w:style w:type="paragraph" w:styleId="List2">
    <w:name w:val="List 2"/>
    <w:basedOn w:val="Normal"/>
    <w:uiPriority w:val="99"/>
    <w:unhideWhenUsed/>
    <w:rsid w:val="008033C4"/>
    <w:pPr>
      <w:spacing w:before="120"/>
      <w:ind w:left="568" w:hanging="284"/>
    </w:pPr>
  </w:style>
  <w:style w:type="paragraph" w:styleId="List3">
    <w:name w:val="List 3"/>
    <w:basedOn w:val="Normal"/>
    <w:uiPriority w:val="99"/>
    <w:unhideWhenUsed/>
    <w:rsid w:val="008033C4"/>
    <w:pPr>
      <w:spacing w:before="120"/>
      <w:ind w:left="851" w:hanging="284"/>
    </w:pPr>
  </w:style>
  <w:style w:type="paragraph" w:styleId="List4">
    <w:name w:val="List 4"/>
    <w:basedOn w:val="Normal"/>
    <w:uiPriority w:val="99"/>
    <w:unhideWhenUsed/>
    <w:rsid w:val="008033C4"/>
    <w:pPr>
      <w:spacing w:before="120"/>
      <w:ind w:left="1135" w:hanging="284"/>
    </w:pPr>
  </w:style>
  <w:style w:type="paragraph" w:styleId="List5">
    <w:name w:val="List 5"/>
    <w:basedOn w:val="Normal"/>
    <w:uiPriority w:val="99"/>
    <w:unhideWhenUsed/>
    <w:rsid w:val="008033C4"/>
    <w:pPr>
      <w:spacing w:before="120"/>
      <w:ind w:left="1418" w:hanging="284"/>
    </w:pPr>
  </w:style>
  <w:style w:type="paragraph" w:styleId="ListBullet3">
    <w:name w:val="List Bullet 3"/>
    <w:basedOn w:val="Normal"/>
    <w:uiPriority w:val="99"/>
    <w:unhideWhenUsed/>
    <w:rsid w:val="008033C4"/>
    <w:pPr>
      <w:numPr>
        <w:numId w:val="9"/>
      </w:numPr>
      <w:spacing w:before="120"/>
      <w:ind w:left="924" w:hanging="357"/>
    </w:pPr>
  </w:style>
  <w:style w:type="paragraph" w:styleId="ListBullet4">
    <w:name w:val="List Bullet 4"/>
    <w:basedOn w:val="Normal"/>
    <w:uiPriority w:val="99"/>
    <w:unhideWhenUsed/>
    <w:rsid w:val="008033C4"/>
    <w:pPr>
      <w:numPr>
        <w:numId w:val="10"/>
      </w:numPr>
      <w:spacing w:before="120"/>
      <w:ind w:left="1208" w:hanging="357"/>
    </w:pPr>
  </w:style>
  <w:style w:type="paragraph" w:styleId="ListBullet5">
    <w:name w:val="List Bullet 5"/>
    <w:basedOn w:val="Normal"/>
    <w:uiPriority w:val="99"/>
    <w:unhideWhenUsed/>
    <w:rsid w:val="008033C4"/>
    <w:pPr>
      <w:numPr>
        <w:numId w:val="11"/>
      </w:numPr>
      <w:spacing w:before="120"/>
      <w:ind w:left="1491" w:hanging="357"/>
    </w:pPr>
  </w:style>
  <w:style w:type="paragraph" w:styleId="ListContinue">
    <w:name w:val="List Continue"/>
    <w:basedOn w:val="Normal"/>
    <w:uiPriority w:val="99"/>
    <w:unhideWhenUsed/>
    <w:rsid w:val="0007137B"/>
    <w:pPr>
      <w:spacing w:before="120"/>
      <w:ind w:left="284"/>
    </w:pPr>
  </w:style>
  <w:style w:type="paragraph" w:styleId="ListContinue2">
    <w:name w:val="List Continue 2"/>
    <w:basedOn w:val="Normal"/>
    <w:uiPriority w:val="99"/>
    <w:unhideWhenUsed/>
    <w:rsid w:val="008033C4"/>
    <w:pPr>
      <w:spacing w:before="120"/>
      <w:ind w:left="567"/>
    </w:pPr>
  </w:style>
  <w:style w:type="paragraph" w:styleId="ListContinue3">
    <w:name w:val="List Continue 3"/>
    <w:basedOn w:val="Normal"/>
    <w:uiPriority w:val="99"/>
    <w:unhideWhenUsed/>
    <w:rsid w:val="0007137B"/>
    <w:pPr>
      <w:spacing w:before="120"/>
      <w:ind w:left="851"/>
    </w:pPr>
  </w:style>
  <w:style w:type="paragraph" w:styleId="ListContinue4">
    <w:name w:val="List Continue 4"/>
    <w:basedOn w:val="Normal"/>
    <w:uiPriority w:val="99"/>
    <w:unhideWhenUsed/>
    <w:rsid w:val="008033C4"/>
    <w:pPr>
      <w:spacing w:before="120"/>
      <w:ind w:left="1134"/>
    </w:pPr>
  </w:style>
  <w:style w:type="paragraph" w:styleId="ListNumber3">
    <w:name w:val="List Number 3"/>
    <w:basedOn w:val="Normal"/>
    <w:uiPriority w:val="99"/>
    <w:unhideWhenUsed/>
    <w:rsid w:val="008033C4"/>
    <w:pPr>
      <w:numPr>
        <w:numId w:val="14"/>
      </w:numPr>
      <w:spacing w:before="120"/>
      <w:ind w:left="924" w:hanging="357"/>
    </w:pPr>
  </w:style>
  <w:style w:type="paragraph" w:styleId="ListNumber4">
    <w:name w:val="List Number 4"/>
    <w:basedOn w:val="Normal"/>
    <w:uiPriority w:val="99"/>
    <w:unhideWhenUsed/>
    <w:rsid w:val="008033C4"/>
    <w:pPr>
      <w:numPr>
        <w:numId w:val="15"/>
      </w:numPr>
      <w:spacing w:before="120"/>
      <w:ind w:left="1208" w:hanging="357"/>
    </w:pPr>
  </w:style>
  <w:style w:type="paragraph" w:styleId="ListNumber5">
    <w:name w:val="List Number 5"/>
    <w:basedOn w:val="Normal"/>
    <w:uiPriority w:val="99"/>
    <w:unhideWhenUsed/>
    <w:rsid w:val="008033C4"/>
    <w:pPr>
      <w:numPr>
        <w:numId w:val="16"/>
      </w:numPr>
      <w:spacing w:before="120"/>
      <w:ind w:left="1491" w:hanging="357"/>
    </w:pPr>
  </w:style>
  <w:style w:type="paragraph" w:customStyle="1" w:styleId="TableHeading">
    <w:name w:val="Table Heading"/>
    <w:basedOn w:val="Tabletext"/>
    <w:link w:val="TableHeadingChar"/>
    <w:qFormat/>
    <w:rsid w:val="00584D8F"/>
    <w:pPr>
      <w:spacing w:before="60"/>
    </w:pPr>
    <w:rPr>
      <w:b/>
      <w:sz w:val="22"/>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584D8F"/>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584D8F"/>
    <w:rPr>
      <w:rFonts w:ascii="Arial" w:hAnsi="Arial"/>
      <w:b/>
      <w:sz w:val="20"/>
    </w:rPr>
  </w:style>
  <w:style w:type="character" w:customStyle="1" w:styleId="TableHeading-rightChar">
    <w:name w:val="Table Heading - right Char"/>
    <w:basedOn w:val="TableHeadingChar"/>
    <w:link w:val="TableHeading-right"/>
    <w:rsid w:val="00584D8F"/>
    <w:rPr>
      <w:rFonts w:ascii="Arial" w:eastAsia="Times New Roman" w:hAnsi="Arial" w:cs="Times New Roman"/>
      <w:b/>
      <w:bCs/>
      <w:sz w:val="20"/>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584D8F"/>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D5D6D2"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umbered11"/>
    <w:rsid w:val="00063247"/>
    <w:pPr>
      <w:ind w:left="680" w:hanging="680"/>
      <w:outlineLvl w:val="9"/>
    </w:pPr>
    <w:rPr>
      <w:bCs w:val="0"/>
      <w:color w:val="auto"/>
      <w:sz w:val="22"/>
    </w:rPr>
  </w:style>
  <w:style w:type="character" w:customStyle="1" w:styleId="Numbered1Char">
    <w:name w:val="Numbered 1 Char"/>
    <w:basedOn w:val="Heading1Char"/>
    <w:link w:val="Numbered1"/>
    <w:rsid w:val="00085663"/>
    <w:rPr>
      <w:rFonts w:ascii="Lucida Fax" w:eastAsiaTheme="majorEastAsia" w:hAnsi="Lucida Fax" w:cstheme="majorBidi"/>
      <w:bCs/>
      <w:color w:val="51626F"/>
      <w:sz w:val="32"/>
      <w:szCs w:val="28"/>
    </w:rPr>
  </w:style>
  <w:style w:type="paragraph" w:customStyle="1" w:styleId="Numberedparagraph">
    <w:name w:val="Numbered paragraph"/>
    <w:basedOn w:val="Numberedlist"/>
    <w:rsid w:val="00FE64AE"/>
    <w:pPr>
      <w:spacing w:before="200"/>
      <w:ind w:left="680" w:hanging="680"/>
    </w:pPr>
    <w:rPr>
      <w:rFonts w:eastAsia="Times New Roman" w:cs="Times New Roman"/>
      <w:szCs w:val="20"/>
    </w:rPr>
  </w:style>
  <w:style w:type="paragraph" w:customStyle="1" w:styleId="Copyright">
    <w:name w:val="Copyright"/>
    <w:basedOn w:val="Normal"/>
    <w:next w:val="Normal"/>
    <w:link w:val="CopyrightChar"/>
    <w:rsid w:val="00D37B25"/>
    <w:pPr>
      <w:spacing w:line="288" w:lineRule="auto"/>
    </w:pPr>
    <w:rPr>
      <w:sz w:val="20"/>
      <w:szCs w:val="20"/>
    </w:rPr>
  </w:style>
  <w:style w:type="paragraph" w:customStyle="1" w:styleId="ReportTitle0">
    <w:name w:val="Report Title"/>
    <w:basedOn w:val="Normal"/>
    <w:next w:val="Normal"/>
    <w:link w:val="ReportTitleChar0"/>
    <w:rsid w:val="00D37B25"/>
    <w:pPr>
      <w:tabs>
        <w:tab w:val="center" w:pos="4598"/>
        <w:tab w:val="right" w:pos="9026"/>
      </w:tabs>
      <w:spacing w:before="240"/>
      <w:contextualSpacing/>
      <w:jc w:val="center"/>
    </w:pPr>
    <w:rPr>
      <w:rFonts w:eastAsiaTheme="majorEastAsia" w:cstheme="majorBidi"/>
      <w:b/>
      <w:noProof/>
      <w:color w:val="51626F"/>
      <w:sz w:val="72"/>
      <w:szCs w:val="72"/>
      <w:lang w:eastAsia="en-AU"/>
    </w:rPr>
  </w:style>
  <w:style w:type="table" w:customStyle="1" w:styleId="AERTable-Text">
    <w:name w:val="AER Table - Text"/>
    <w:basedOn w:val="TableNormal"/>
    <w:uiPriority w:val="99"/>
    <w:rsid w:val="00D37B25"/>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0"/>
    <w:link w:val="ReportDateChar"/>
    <w:rsid w:val="00D37B25"/>
    <w:rPr>
      <w:b w:val="0"/>
      <w:sz w:val="36"/>
      <w:szCs w:val="36"/>
    </w:rPr>
  </w:style>
  <w:style w:type="character" w:customStyle="1" w:styleId="ReportTitleChar0">
    <w:name w:val="Report Title Char"/>
    <w:basedOn w:val="Heading1Char"/>
    <w:link w:val="ReportTitle0"/>
    <w:rsid w:val="00D37B25"/>
    <w:rPr>
      <w:rFonts w:ascii="Arial" w:eastAsiaTheme="majorEastAsia" w:hAnsi="Arial" w:cstheme="majorBidi"/>
      <w:b/>
      <w:bCs w:val="0"/>
      <w:noProof/>
      <w:color w:val="51626F"/>
      <w:sz w:val="72"/>
      <w:szCs w:val="72"/>
      <w:lang w:eastAsia="en-AU"/>
    </w:rPr>
  </w:style>
  <w:style w:type="character" w:customStyle="1" w:styleId="ReportDateChar">
    <w:name w:val="Report Date Char"/>
    <w:basedOn w:val="ReportTitleChar0"/>
    <w:link w:val="ReportDate"/>
    <w:rsid w:val="00D37B25"/>
    <w:rPr>
      <w:rFonts w:ascii="Arial" w:eastAsiaTheme="majorEastAsia" w:hAnsi="Arial" w:cstheme="majorBidi"/>
      <w:b w:val="0"/>
      <w:bCs w:val="0"/>
      <w:noProof/>
      <w:color w:val="51626F"/>
      <w:sz w:val="36"/>
      <w:szCs w:val="36"/>
      <w:lang w:eastAsia="en-AU"/>
    </w:rPr>
  </w:style>
  <w:style w:type="character" w:customStyle="1" w:styleId="CopyrightChar">
    <w:name w:val="Copyright Char"/>
    <w:basedOn w:val="DefaultParagraphFont"/>
    <w:link w:val="Copyright"/>
    <w:rsid w:val="00D37B25"/>
    <w:rPr>
      <w:rFonts w:ascii="Arial" w:hAnsi="Arial"/>
      <w:sz w:val="20"/>
      <w:szCs w:val="20"/>
    </w:rPr>
  </w:style>
  <w:style w:type="paragraph" w:customStyle="1" w:styleId="Quotes">
    <w:name w:val="Quotes"/>
    <w:basedOn w:val="Normal"/>
    <w:rsid w:val="00D37B25"/>
    <w:pPr>
      <w:spacing w:before="120" w:after="120" w:line="240" w:lineRule="auto"/>
      <w:ind w:left="567" w:right="793"/>
    </w:pPr>
    <w:rPr>
      <w:rFonts w:eastAsia="Times New Roman" w:cs="Times New Roman"/>
      <w:sz w:val="20"/>
      <w:szCs w:val="20"/>
      <w:lang w:eastAsia="en-AU"/>
    </w:rPr>
  </w:style>
  <w:style w:type="character" w:styleId="PageNumber">
    <w:name w:val="page number"/>
    <w:basedOn w:val="DefaultParagraphFont"/>
    <w:rsid w:val="00D37B25"/>
  </w:style>
  <w:style w:type="paragraph" w:customStyle="1" w:styleId="StyleCopyrightBefore0pt">
    <w:name w:val="Style Copyright + Before:  0 pt"/>
    <w:basedOn w:val="Copyright"/>
    <w:rsid w:val="00D37B25"/>
    <w:pPr>
      <w:spacing w:before="120"/>
    </w:pPr>
    <w:rPr>
      <w:rFonts w:eastAsia="Times New Roman" w:cs="Times New Roman"/>
    </w:rPr>
  </w:style>
  <w:style w:type="paragraph" w:customStyle="1" w:styleId="NumberedChapterTitle">
    <w:name w:val="Numbered Chapter Title"/>
    <w:basedOn w:val="Chaptertitle"/>
    <w:qFormat/>
    <w:rsid w:val="00D37B25"/>
    <w:pPr>
      <w:pageBreakBefore/>
      <w:numPr>
        <w:numId w:val="38"/>
      </w:numPr>
      <w:tabs>
        <w:tab w:val="left" w:pos="680"/>
      </w:tabs>
      <w:ind w:left="680" w:hanging="680"/>
      <w:outlineLvl w:val="0"/>
    </w:pPr>
    <w:rPr>
      <w:rFonts w:ascii="Arial" w:hAnsi="Arial"/>
      <w:color w:val="000000" w:themeColor="text1"/>
    </w:rPr>
  </w:style>
  <w:style w:type="character" w:styleId="CommentReference">
    <w:name w:val="annotation reference"/>
    <w:basedOn w:val="DefaultParagraphFont"/>
    <w:uiPriority w:val="99"/>
    <w:semiHidden/>
    <w:unhideWhenUsed/>
    <w:rsid w:val="006E0ED0"/>
    <w:rPr>
      <w:sz w:val="16"/>
      <w:szCs w:val="16"/>
    </w:rPr>
  </w:style>
  <w:style w:type="paragraph" w:styleId="CommentText">
    <w:name w:val="annotation text"/>
    <w:basedOn w:val="Normal"/>
    <w:link w:val="CommentTextChar"/>
    <w:uiPriority w:val="99"/>
    <w:semiHidden/>
    <w:unhideWhenUsed/>
    <w:rsid w:val="006E0ED0"/>
    <w:pPr>
      <w:spacing w:line="240" w:lineRule="auto"/>
    </w:pPr>
    <w:rPr>
      <w:sz w:val="20"/>
      <w:szCs w:val="20"/>
    </w:rPr>
  </w:style>
  <w:style w:type="character" w:customStyle="1" w:styleId="CommentTextChar">
    <w:name w:val="Comment Text Char"/>
    <w:basedOn w:val="DefaultParagraphFont"/>
    <w:link w:val="CommentText"/>
    <w:uiPriority w:val="99"/>
    <w:semiHidden/>
    <w:rsid w:val="006E0ED0"/>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6E0ED0"/>
    <w:rPr>
      <w:b/>
      <w:bCs/>
    </w:rPr>
  </w:style>
  <w:style w:type="character" w:customStyle="1" w:styleId="CommentSubjectChar">
    <w:name w:val="Comment Subject Char"/>
    <w:basedOn w:val="CommentTextChar"/>
    <w:link w:val="CommentSubject"/>
    <w:uiPriority w:val="99"/>
    <w:semiHidden/>
    <w:rsid w:val="006E0ED0"/>
    <w:rPr>
      <w:rFonts w:ascii="Arial" w:hAnsi="Arial"/>
      <w:b/>
      <w:bCs/>
      <w:sz w:val="20"/>
      <w:szCs w:val="20"/>
    </w:rPr>
  </w:style>
  <w:style w:type="character" w:styleId="FollowedHyperlink">
    <w:name w:val="FollowedHyperlink"/>
    <w:basedOn w:val="DefaultParagraphFont"/>
    <w:uiPriority w:val="99"/>
    <w:semiHidden/>
    <w:unhideWhenUsed/>
    <w:rsid w:val="0043162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2" w:qFormat="1"/>
    <w:lsdException w:name="heading 6" w:uiPriority="2" w:qFormat="1"/>
    <w:lsdException w:name="heading 7" w:uiPriority="2" w:qFormat="1"/>
    <w:lsdException w:name="heading 8" w:uiPriority="2" w:qFormat="1"/>
    <w:lsdException w:name="heading 9" w:uiPriority="2"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uiPriority="0"/>
    <w:lsdException w:name="header" w:qFormat="1"/>
    <w:lsdException w:name="footer" w:qFormat="1"/>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qFormat/>
    <w:rsid w:val="00362048"/>
    <w:pPr>
      <w:spacing w:line="276" w:lineRule="auto"/>
    </w:pPr>
    <w:rPr>
      <w:rFonts w:ascii="Arial" w:hAnsi="Arial"/>
    </w:rPr>
  </w:style>
  <w:style w:type="paragraph" w:styleId="Heading1">
    <w:name w:val="heading 1"/>
    <w:basedOn w:val="Normal"/>
    <w:next w:val="Normal"/>
    <w:link w:val="Heading1Char"/>
    <w:qFormat/>
    <w:rsid w:val="009D6B46"/>
    <w:pPr>
      <w:spacing w:before="240"/>
      <w:outlineLvl w:val="0"/>
    </w:pPr>
    <w:rPr>
      <w:rFonts w:ascii="Lucida Fax" w:eastAsiaTheme="majorEastAsia" w:hAnsi="Lucida Fax" w:cstheme="majorBidi"/>
      <w:bCs/>
      <w:color w:val="51626F"/>
      <w:sz w:val="32"/>
      <w:szCs w:val="28"/>
    </w:rPr>
  </w:style>
  <w:style w:type="paragraph" w:styleId="Heading2">
    <w:name w:val="heading 2"/>
    <w:next w:val="Normal"/>
    <w:link w:val="Heading2Char"/>
    <w:qFormat/>
    <w:rsid w:val="009D6B46"/>
    <w:pPr>
      <w:spacing w:line="240" w:lineRule="atLeast"/>
      <w:outlineLvl w:val="1"/>
    </w:pPr>
    <w:rPr>
      <w:rFonts w:ascii="Arial" w:eastAsiaTheme="majorEastAsia" w:hAnsi="Arial" w:cstheme="majorBidi"/>
      <w:b/>
      <w:bCs/>
      <w:color w:val="51626F"/>
      <w:sz w:val="28"/>
      <w:szCs w:val="26"/>
    </w:rPr>
  </w:style>
  <w:style w:type="paragraph" w:styleId="Heading3">
    <w:name w:val="heading 3"/>
    <w:basedOn w:val="Normal"/>
    <w:next w:val="Normal"/>
    <w:link w:val="Heading3Char"/>
    <w:qFormat/>
    <w:rsid w:val="009D6B46"/>
    <w:pPr>
      <w:spacing w:before="240"/>
      <w:outlineLvl w:val="2"/>
    </w:pPr>
    <w:rPr>
      <w:rFonts w:eastAsiaTheme="majorEastAsia" w:cstheme="majorBidi"/>
      <w:b/>
      <w:bCs/>
      <w:color w:val="000000" w:themeColor="text1" w:themeShade="BF"/>
      <w:sz w:val="24"/>
    </w:rPr>
  </w:style>
  <w:style w:type="paragraph" w:styleId="Heading4">
    <w:name w:val="heading 4"/>
    <w:basedOn w:val="Normal"/>
    <w:next w:val="Normal"/>
    <w:link w:val="Heading4Char"/>
    <w:qFormat/>
    <w:rsid w:val="009D6B46"/>
    <w:pPr>
      <w:spacing w:before="240"/>
      <w:outlineLvl w:val="3"/>
    </w:pPr>
    <w:rPr>
      <w:rFonts w:eastAsiaTheme="majorEastAsia" w:cstheme="majorBidi"/>
      <w:b/>
      <w:bCs/>
      <w:i/>
      <w:iCs/>
      <w:color w:val="51626F"/>
      <w:sz w:val="24"/>
    </w:rPr>
  </w:style>
  <w:style w:type="paragraph" w:styleId="Heading5">
    <w:name w:val="heading 5"/>
    <w:next w:val="Normal"/>
    <w:link w:val="Heading5Char"/>
    <w:uiPriority w:val="2"/>
    <w:qFormat/>
    <w:rsid w:val="009D6B46"/>
    <w:pPr>
      <w:spacing w:line="240" w:lineRule="atLeast"/>
      <w:outlineLvl w:val="4"/>
    </w:pPr>
    <w:rPr>
      <w:rFonts w:ascii="Arial" w:eastAsiaTheme="majorEastAsia" w:hAnsi="Arial" w:cstheme="majorBidi"/>
      <w:b/>
      <w:color w:val="283037" w:themeColor="accent1" w:themeShade="7F"/>
    </w:rPr>
  </w:style>
  <w:style w:type="paragraph" w:styleId="Heading6">
    <w:name w:val="heading 6"/>
    <w:basedOn w:val="Normal"/>
    <w:next w:val="Normal"/>
    <w:link w:val="Heading6Char"/>
    <w:uiPriority w:val="2"/>
    <w:qFormat/>
    <w:rsid w:val="009D6B46"/>
    <w:pPr>
      <w:spacing w:before="240"/>
      <w:outlineLvl w:val="5"/>
    </w:pPr>
    <w:rPr>
      <w:rFonts w:eastAsiaTheme="majorEastAsia" w:cstheme="majorBidi"/>
      <w:b/>
      <w:i/>
      <w:iCs/>
    </w:rPr>
  </w:style>
  <w:style w:type="paragraph" w:styleId="Heading7">
    <w:name w:val="heading 7"/>
    <w:basedOn w:val="Normal"/>
    <w:next w:val="Normal"/>
    <w:link w:val="Heading7Char"/>
    <w:uiPriority w:val="2"/>
    <w:qFormat/>
    <w:rsid w:val="009D6B46"/>
    <w:pPr>
      <w:spacing w:before="24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2"/>
    <w:qFormat/>
    <w:rsid w:val="009D6B46"/>
    <w:pPr>
      <w:spacing w:before="240"/>
      <w:outlineLvl w:val="7"/>
    </w:pPr>
    <w:rPr>
      <w:rFonts w:eastAsiaTheme="majorEastAsia" w:cstheme="majorBidi"/>
      <w:color w:val="51626F" w:themeColor="accent1"/>
      <w:szCs w:val="20"/>
    </w:rPr>
  </w:style>
  <w:style w:type="paragraph" w:styleId="Heading9">
    <w:name w:val="heading 9"/>
    <w:basedOn w:val="Normal"/>
    <w:next w:val="Normal"/>
    <w:link w:val="Heading9Char"/>
    <w:uiPriority w:val="2"/>
    <w:qFormat/>
    <w:rsid w:val="009D6B46"/>
    <w:pPr>
      <w:spacing w:before="240"/>
      <w:outlineLvl w:val="8"/>
    </w:pPr>
    <w:rPr>
      <w:rFonts w:eastAsiaTheme="majorEastAsia" w:cstheme="majorBidi"/>
      <w:i/>
      <w:iCs/>
      <w:color w:val="51626F" w:themeColor="accent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6B46"/>
    <w:rPr>
      <w:rFonts w:ascii="Lucida Fax" w:eastAsiaTheme="majorEastAsia" w:hAnsi="Lucida Fax" w:cstheme="majorBidi"/>
      <w:bCs/>
      <w:color w:val="51626F"/>
      <w:sz w:val="32"/>
      <w:szCs w:val="28"/>
    </w:rPr>
  </w:style>
  <w:style w:type="character" w:customStyle="1" w:styleId="Heading2Char">
    <w:name w:val="Heading 2 Char"/>
    <w:basedOn w:val="DefaultParagraphFont"/>
    <w:link w:val="Heading2"/>
    <w:rsid w:val="009D6B46"/>
    <w:rPr>
      <w:rFonts w:ascii="Arial" w:eastAsiaTheme="majorEastAsia" w:hAnsi="Arial" w:cstheme="majorBidi"/>
      <w:b/>
      <w:bCs/>
      <w:color w:val="51626F"/>
      <w:sz w:val="28"/>
      <w:szCs w:val="26"/>
    </w:rPr>
  </w:style>
  <w:style w:type="character" w:customStyle="1" w:styleId="Heading3Char">
    <w:name w:val="Heading 3 Char"/>
    <w:basedOn w:val="DefaultParagraphFont"/>
    <w:link w:val="Heading3"/>
    <w:rsid w:val="009D6B46"/>
    <w:rPr>
      <w:rFonts w:ascii="Arial" w:eastAsiaTheme="majorEastAsia" w:hAnsi="Arial" w:cstheme="majorBidi"/>
      <w:b/>
      <w:bCs/>
      <w:color w:val="000000" w:themeColor="text1" w:themeShade="BF"/>
      <w:sz w:val="24"/>
    </w:rPr>
  </w:style>
  <w:style w:type="character" w:customStyle="1" w:styleId="Heading4Char">
    <w:name w:val="Heading 4 Char"/>
    <w:basedOn w:val="DefaultParagraphFont"/>
    <w:link w:val="Heading4"/>
    <w:rsid w:val="009D6B46"/>
    <w:rPr>
      <w:rFonts w:ascii="Arial" w:eastAsiaTheme="majorEastAsia" w:hAnsi="Arial" w:cstheme="majorBidi"/>
      <w:b/>
      <w:bCs/>
      <w:i/>
      <w:iCs/>
      <w:color w:val="51626F"/>
      <w:sz w:val="24"/>
    </w:rPr>
  </w:style>
  <w:style w:type="character" w:customStyle="1" w:styleId="Heading5Char">
    <w:name w:val="Heading 5 Char"/>
    <w:basedOn w:val="DefaultParagraphFont"/>
    <w:link w:val="Heading5"/>
    <w:uiPriority w:val="2"/>
    <w:rsid w:val="009D6B46"/>
    <w:rPr>
      <w:rFonts w:ascii="Arial" w:eastAsiaTheme="majorEastAsia" w:hAnsi="Arial" w:cstheme="majorBidi"/>
      <w:b/>
      <w:color w:val="283037" w:themeColor="accent1" w:themeShade="7F"/>
    </w:rPr>
  </w:style>
  <w:style w:type="character" w:customStyle="1" w:styleId="Heading6Char">
    <w:name w:val="Heading 6 Char"/>
    <w:basedOn w:val="DefaultParagraphFont"/>
    <w:link w:val="Heading6"/>
    <w:uiPriority w:val="2"/>
    <w:rsid w:val="009D6B46"/>
    <w:rPr>
      <w:rFonts w:ascii="Arial" w:eastAsiaTheme="majorEastAsia" w:hAnsi="Arial" w:cstheme="majorBidi"/>
      <w:b/>
      <w:i/>
      <w:iCs/>
    </w:rPr>
  </w:style>
  <w:style w:type="paragraph" w:customStyle="1" w:styleId="Reporttitle">
    <w:name w:val="Report title"/>
    <w:basedOn w:val="Normal"/>
    <w:link w:val="ReporttitleChar"/>
    <w:qFormat/>
    <w:rsid w:val="005C26CC"/>
    <w:pPr>
      <w:spacing w:before="520" w:after="120"/>
    </w:pPr>
    <w:rPr>
      <w:rFonts w:ascii="Lucida Fax" w:hAnsi="Lucida Fax"/>
      <w:color w:val="4F2D7F"/>
      <w:sz w:val="72"/>
      <w:szCs w:val="56"/>
    </w:rPr>
  </w:style>
  <w:style w:type="character" w:customStyle="1" w:styleId="ReporttitleChar">
    <w:name w:val="Report title Char"/>
    <w:basedOn w:val="DefaultParagraphFont"/>
    <w:link w:val="Reporttitle"/>
    <w:rsid w:val="005C26CC"/>
    <w:rPr>
      <w:rFonts w:ascii="Lucida Fax" w:hAnsi="Lucida Fax"/>
      <w:color w:val="4F2D7F"/>
      <w:sz w:val="72"/>
      <w:szCs w:val="56"/>
    </w:rPr>
  </w:style>
  <w:style w:type="paragraph" w:customStyle="1" w:styleId="Chaptertitle">
    <w:name w:val="Chapter title"/>
    <w:basedOn w:val="Reporttitle"/>
    <w:link w:val="ChaptertitleChar"/>
    <w:qFormat/>
    <w:rsid w:val="00B87C39"/>
    <w:rPr>
      <w:sz w:val="52"/>
      <w:szCs w:val="52"/>
    </w:rPr>
  </w:style>
  <w:style w:type="character" w:customStyle="1" w:styleId="ChaptertitleChar">
    <w:name w:val="Chapter title Char"/>
    <w:basedOn w:val="ReporttitleChar"/>
    <w:link w:val="Chaptertitle"/>
    <w:rsid w:val="00B87C39"/>
    <w:rPr>
      <w:rFonts w:ascii="Lucida Fax" w:hAnsi="Lucida Fax"/>
      <w:color w:val="4F2D7F"/>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customStyle="1" w:styleId="Copyrighttext">
    <w:name w:val="Copyright text"/>
    <w:basedOn w:val="Normal"/>
    <w:link w:val="CopyrighttextChar"/>
    <w:uiPriority w:val="2"/>
    <w:qFormat/>
    <w:rsid w:val="00F952A0"/>
    <w:pPr>
      <w:spacing w:line="360" w:lineRule="auto"/>
      <w:contextualSpacing/>
    </w:pPr>
    <w:rPr>
      <w:color w:val="51626F" w:themeColor="accent1"/>
      <w:sz w:val="16"/>
      <w:szCs w:val="16"/>
    </w:rPr>
  </w:style>
  <w:style w:type="character" w:customStyle="1" w:styleId="CopyrighttextChar">
    <w:name w:val="Copyright text Char"/>
    <w:basedOn w:val="DefaultParagraphFont"/>
    <w:link w:val="Copyrighttext"/>
    <w:uiPriority w:val="2"/>
    <w:rsid w:val="00724A37"/>
    <w:rPr>
      <w:rFonts w:ascii="Arial" w:hAnsi="Arial"/>
      <w:color w:val="51626F" w:themeColor="accent1"/>
      <w:sz w:val="16"/>
      <w:szCs w:val="16"/>
    </w:rPr>
  </w:style>
  <w:style w:type="paragraph" w:styleId="TOC8">
    <w:name w:val="toc 8"/>
    <w:basedOn w:val="Normal"/>
    <w:next w:val="Normal"/>
    <w:uiPriority w:val="39"/>
    <w:rsid w:val="009F4940"/>
    <w:pPr>
      <w:tabs>
        <w:tab w:val="right" w:leader="dot" w:pos="9016"/>
      </w:tabs>
      <w:spacing w:after="100"/>
      <w:ind w:left="2977"/>
    </w:pPr>
    <w:rPr>
      <w:noProof/>
    </w:rPr>
  </w:style>
  <w:style w:type="paragraph" w:styleId="TOC9">
    <w:name w:val="toc 9"/>
    <w:basedOn w:val="Normal"/>
    <w:next w:val="Normal"/>
    <w:uiPriority w:val="39"/>
    <w:rsid w:val="009F4940"/>
    <w:pPr>
      <w:tabs>
        <w:tab w:val="right" w:leader="dot" w:pos="9016"/>
      </w:tabs>
      <w:spacing w:after="100"/>
      <w:ind w:left="3402"/>
    </w:pPr>
    <w:rPr>
      <w:noProof/>
    </w:rPr>
  </w:style>
  <w:style w:type="paragraph" w:customStyle="1" w:styleId="Numbered1">
    <w:name w:val="Numbered 1"/>
    <w:basedOn w:val="Heading1"/>
    <w:next w:val="Normal"/>
    <w:link w:val="Numbered1Char"/>
    <w:qFormat/>
    <w:rsid w:val="00085663"/>
    <w:pPr>
      <w:numPr>
        <w:numId w:val="32"/>
      </w:numPr>
      <w:ind w:left="680" w:hanging="680"/>
    </w:pPr>
  </w:style>
  <w:style w:type="paragraph" w:customStyle="1" w:styleId="Numbered11">
    <w:name w:val="Numbered 1.1"/>
    <w:basedOn w:val="Heading2"/>
    <w:next w:val="Normal"/>
    <w:qFormat/>
    <w:rsid w:val="00B17A1D"/>
    <w:pPr>
      <w:numPr>
        <w:ilvl w:val="1"/>
        <w:numId w:val="32"/>
      </w:numPr>
      <w:ind w:left="1021" w:hanging="1021"/>
    </w:pPr>
    <w:rPr>
      <w:rFonts w:cs="Arial"/>
      <w:b w:val="0"/>
    </w:rPr>
  </w:style>
  <w:style w:type="paragraph" w:customStyle="1" w:styleId="Numbered111">
    <w:name w:val="Numbered 1.1.1"/>
    <w:basedOn w:val="Heading3"/>
    <w:next w:val="Normal"/>
    <w:qFormat/>
    <w:rsid w:val="00B17A1D"/>
    <w:pPr>
      <w:numPr>
        <w:ilvl w:val="2"/>
        <w:numId w:val="32"/>
      </w:numPr>
      <w:ind w:left="1247" w:hanging="1247"/>
      <w:contextualSpacing/>
    </w:pPr>
  </w:style>
  <w:style w:type="paragraph" w:customStyle="1" w:styleId="Numbered1111">
    <w:name w:val="Numbered 1.1.1.1"/>
    <w:basedOn w:val="Heading4"/>
    <w:next w:val="Normal"/>
    <w:rsid w:val="00B17A1D"/>
    <w:pPr>
      <w:numPr>
        <w:ilvl w:val="3"/>
        <w:numId w:val="32"/>
      </w:numPr>
      <w:ind w:left="1474" w:hanging="1474"/>
    </w:pPr>
  </w:style>
  <w:style w:type="paragraph" w:customStyle="1" w:styleId="Numbered11111">
    <w:name w:val="Numbered 1.1.1.1.1"/>
    <w:basedOn w:val="Heading5"/>
    <w:next w:val="Normal"/>
    <w:uiPriority w:val="2"/>
    <w:rsid w:val="00B17A1D"/>
    <w:pPr>
      <w:numPr>
        <w:ilvl w:val="4"/>
        <w:numId w:val="32"/>
      </w:numPr>
      <w:ind w:left="1701" w:hanging="1701"/>
    </w:pPr>
  </w:style>
  <w:style w:type="paragraph" w:customStyle="1" w:styleId="Numbered111111">
    <w:name w:val="Numbered 1.1.1.1.1.1"/>
    <w:basedOn w:val="Heading6"/>
    <w:next w:val="Normal"/>
    <w:uiPriority w:val="2"/>
    <w:rsid w:val="00B17A1D"/>
    <w:pPr>
      <w:numPr>
        <w:ilvl w:val="5"/>
        <w:numId w:val="32"/>
      </w:numPr>
      <w:ind w:left="2155" w:hanging="2155"/>
    </w:pPr>
  </w:style>
  <w:style w:type="paragraph" w:styleId="Header">
    <w:name w:val="header"/>
    <w:basedOn w:val="Normal"/>
    <w:link w:val="HeaderChar"/>
    <w:uiPriority w:val="99"/>
    <w:unhideWhenUsed/>
    <w:qFormat/>
    <w:rsid w:val="008344F6"/>
    <w:pPr>
      <w:tabs>
        <w:tab w:val="center" w:pos="4513"/>
        <w:tab w:val="right" w:pos="9026"/>
      </w:tabs>
      <w:spacing w:after="120"/>
    </w:pPr>
    <w:rPr>
      <w:color w:val="51626F" w:themeColor="accent1"/>
      <w:sz w:val="18"/>
    </w:rPr>
  </w:style>
  <w:style w:type="character" w:customStyle="1" w:styleId="HeaderChar">
    <w:name w:val="Header Char"/>
    <w:basedOn w:val="DefaultParagraphFont"/>
    <w:link w:val="Header"/>
    <w:uiPriority w:val="99"/>
    <w:rsid w:val="008344F6"/>
    <w:rPr>
      <w:rFonts w:ascii="Arial" w:hAnsi="Arial"/>
      <w:color w:val="51626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584D8F"/>
    <w:pPr>
      <w:spacing w:before="240" w:after="120"/>
    </w:pPr>
    <w:rPr>
      <w:b/>
      <w:szCs w:val="20"/>
    </w:rPr>
  </w:style>
  <w:style w:type="character" w:customStyle="1" w:styleId="TabletitleChar">
    <w:name w:val="Table title Char"/>
    <w:basedOn w:val="DefaultParagraphFont"/>
    <w:link w:val="Tabletitle"/>
    <w:rsid w:val="00584D8F"/>
    <w:rPr>
      <w:rFonts w:ascii="Arial" w:hAnsi="Arial"/>
      <w:b/>
      <w:szCs w:val="20"/>
    </w:rPr>
  </w:style>
  <w:style w:type="paragraph" w:customStyle="1" w:styleId="Charttitle">
    <w:name w:val="Chart title"/>
    <w:basedOn w:val="Tabletitle"/>
    <w:qFormat/>
    <w:rsid w:val="005C26CC"/>
    <w:rPr>
      <w:sz w:val="24"/>
    </w:rPr>
  </w:style>
  <w:style w:type="paragraph" w:styleId="EndnoteText">
    <w:name w:val="endnote text"/>
    <w:basedOn w:val="Normal"/>
    <w:link w:val="EndnoteTextChar"/>
    <w:uiPriority w:val="99"/>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EA3D42"/>
    <w:pPr>
      <w:spacing w:after="120"/>
      <w:contextualSpacing/>
    </w:pPr>
    <w:rPr>
      <w:rFonts w:ascii="Lucida Fax" w:hAnsi="Lucida Fax"/>
      <w:b/>
      <w:color w:val="DC5034"/>
      <w:sz w:val="24"/>
      <w:szCs w:val="24"/>
    </w:rPr>
  </w:style>
  <w:style w:type="character" w:customStyle="1" w:styleId="PullquoteheadingChar">
    <w:name w:val="Pull quote heading Char"/>
    <w:basedOn w:val="DefaultParagraphFont"/>
    <w:link w:val="Pullquoteheading"/>
    <w:uiPriority w:val="1"/>
    <w:rsid w:val="00AE1BF1"/>
    <w:rPr>
      <w:rFonts w:ascii="Lucida Fax" w:hAnsi="Lucida Fax"/>
      <w:b/>
      <w:color w:val="DC5034"/>
      <w:sz w:val="24"/>
      <w:szCs w:val="24"/>
    </w:rPr>
  </w:style>
  <w:style w:type="paragraph" w:customStyle="1" w:styleId="Pullquotetext">
    <w:name w:val="Pull quote text"/>
    <w:link w:val="PullquotetextChar"/>
    <w:uiPriority w:val="1"/>
    <w:rsid w:val="00AF0DD2"/>
    <w:pPr>
      <w:spacing w:before="120"/>
    </w:pPr>
    <w:rPr>
      <w:rFonts w:ascii="Lucida Fax" w:hAnsi="Lucida Fax"/>
      <w:color w:val="DC5034"/>
      <w:szCs w:val="24"/>
    </w:rPr>
  </w:style>
  <w:style w:type="character" w:customStyle="1" w:styleId="PullquotetextChar">
    <w:name w:val="Pull quote text Char"/>
    <w:basedOn w:val="PullquoteheadingChar"/>
    <w:link w:val="Pullquotetext"/>
    <w:uiPriority w:val="1"/>
    <w:rsid w:val="00AE1BF1"/>
    <w:rPr>
      <w:rFonts w:ascii="Lucida Fax" w:hAnsi="Lucida Fax"/>
      <w:b w:val="0"/>
      <w:color w:val="DC5034"/>
      <w:sz w:val="24"/>
      <w:szCs w:val="24"/>
    </w:rPr>
  </w:style>
  <w:style w:type="paragraph" w:customStyle="1" w:styleId="Note">
    <w:name w:val="Note"/>
    <w:basedOn w:val="Normal"/>
    <w:link w:val="NoteChar"/>
    <w:qFormat/>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customStyle="1" w:styleId="Footnotes">
    <w:name w:val="Footnotes"/>
    <w:basedOn w:val="FootnoteText"/>
    <w:link w:val="FootnotesChar"/>
    <w:uiPriority w:val="4"/>
    <w:semiHidden/>
    <w:qFormat/>
    <w:rsid w:val="00B8080B"/>
  </w:style>
  <w:style w:type="character" w:customStyle="1" w:styleId="FootnotesChar">
    <w:name w:val="Footnotes Char"/>
    <w:basedOn w:val="DefaultParagraphFont"/>
    <w:link w:val="Footnotes"/>
    <w:uiPriority w:val="4"/>
    <w:semiHidden/>
    <w:rsid w:val="00FE39C2"/>
    <w:rPr>
      <w:rFonts w:ascii="Arial" w:hAnsi="Arial"/>
      <w:sz w:val="20"/>
      <w:szCs w:val="20"/>
    </w:rPr>
  </w:style>
  <w:style w:type="paragraph" w:styleId="Quote">
    <w:name w:val="Quote"/>
    <w:basedOn w:val="Normal"/>
    <w:next w:val="Normal"/>
    <w:link w:val="QuoteChar"/>
    <w:uiPriority w:val="29"/>
    <w:rsid w:val="001D055E"/>
    <w:pPr>
      <w:ind w:left="737"/>
    </w:pPr>
    <w:rPr>
      <w:i/>
      <w:iCs/>
      <w:color w:val="000000" w:themeColor="text1"/>
    </w:rPr>
  </w:style>
  <w:style w:type="character" w:customStyle="1" w:styleId="QuoteChar">
    <w:name w:val="Quote Char"/>
    <w:basedOn w:val="DefaultParagraphFont"/>
    <w:link w:val="Quote"/>
    <w:uiPriority w:val="29"/>
    <w:rsid w:val="001D055E"/>
    <w:rPr>
      <w:rFonts w:ascii="Arial" w:hAnsi="Arial"/>
      <w:i/>
      <w:iCs/>
      <w:color w:val="000000" w:themeColor="text1"/>
    </w:rPr>
  </w:style>
  <w:style w:type="paragraph" w:customStyle="1" w:styleId="Bulletpoint">
    <w:name w:val="Bullet point"/>
    <w:basedOn w:val="ListBullet"/>
    <w:qFormat/>
    <w:rsid w:val="00FE64AE"/>
    <w:pPr>
      <w:numPr>
        <w:numId w:val="7"/>
      </w:numPr>
      <w:ind w:left="357" w:hanging="357"/>
    </w:pPr>
    <w:rPr>
      <w:rFonts w:cs="Times New Roman"/>
    </w:rPr>
  </w:style>
  <w:style w:type="paragraph" w:styleId="ListBullet">
    <w:name w:val="List Bullet"/>
    <w:basedOn w:val="Normal"/>
    <w:uiPriority w:val="99"/>
    <w:unhideWhenUsed/>
    <w:rsid w:val="008033C4"/>
    <w:pPr>
      <w:numPr>
        <w:numId w:val="28"/>
      </w:numPr>
      <w:spacing w:before="120"/>
      <w:ind w:left="357" w:hanging="357"/>
    </w:pPr>
  </w:style>
  <w:style w:type="paragraph" w:customStyle="1" w:styleId="Bulletpoint2">
    <w:name w:val="Bullet point 2"/>
    <w:basedOn w:val="ListBullet2"/>
    <w:uiPriority w:val="1"/>
    <w:qFormat/>
    <w:rsid w:val="008033C4"/>
    <w:pPr>
      <w:numPr>
        <w:numId w:val="17"/>
      </w:numPr>
      <w:ind w:left="998" w:hanging="357"/>
    </w:pPr>
  </w:style>
  <w:style w:type="paragraph" w:styleId="ListNumber">
    <w:name w:val="List Number"/>
    <w:basedOn w:val="Normal"/>
    <w:uiPriority w:val="99"/>
    <w:rsid w:val="008033C4"/>
    <w:pPr>
      <w:numPr>
        <w:numId w:val="12"/>
      </w:numPr>
      <w:spacing w:before="120"/>
      <w:ind w:left="357" w:hanging="357"/>
    </w:pPr>
    <w:rPr>
      <w:color w:val="000000" w:themeColor="text1" w:themeShade="BF"/>
    </w:rPr>
  </w:style>
  <w:style w:type="paragraph" w:styleId="ListBullet2">
    <w:name w:val="List Bullet 2"/>
    <w:basedOn w:val="Normal"/>
    <w:uiPriority w:val="99"/>
    <w:unhideWhenUsed/>
    <w:rsid w:val="008033C4"/>
    <w:pPr>
      <w:numPr>
        <w:numId w:val="8"/>
      </w:numPr>
      <w:spacing w:before="120"/>
      <w:ind w:left="641" w:hanging="357"/>
    </w:pPr>
  </w:style>
  <w:style w:type="paragraph" w:styleId="TOCHeading">
    <w:name w:val="TOC Heading"/>
    <w:basedOn w:val="Normal"/>
    <w:next w:val="Normal"/>
    <w:uiPriority w:val="39"/>
    <w:qFormat/>
    <w:rsid w:val="00E04818"/>
    <w:pPr>
      <w:spacing w:before="480" w:after="120"/>
    </w:pPr>
    <w:rPr>
      <w:rFonts w:ascii="Lucida Fax" w:eastAsiaTheme="majorEastAsia" w:hAnsi="Lucida Fax" w:cstheme="majorBidi"/>
      <w:bCs/>
      <w:color w:val="51626F"/>
      <w:sz w:val="32"/>
      <w:szCs w:val="28"/>
      <w:lang w:val="en-US" w:eastAsia="ja-JP"/>
    </w:rPr>
  </w:style>
  <w:style w:type="paragraph" w:styleId="ListNumber2">
    <w:name w:val="List Number 2"/>
    <w:aliases w:val="List alphabet"/>
    <w:next w:val="Normal"/>
    <w:uiPriority w:val="99"/>
    <w:rsid w:val="008033C4"/>
    <w:pPr>
      <w:numPr>
        <w:numId w:val="13"/>
      </w:numPr>
      <w:spacing w:before="120"/>
      <w:ind w:left="357" w:hanging="357"/>
    </w:pPr>
    <w:rPr>
      <w:rFonts w:ascii="Arial" w:hAnsi="Arial"/>
    </w:r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A57D04"/>
    <w:pPr>
      <w:tabs>
        <w:tab w:val="center" w:pos="4513"/>
        <w:tab w:val="right" w:pos="9026"/>
      </w:tabs>
      <w:spacing w:after="120"/>
    </w:pPr>
    <w:rPr>
      <w:color w:val="51626F" w:themeColor="accent1"/>
      <w:sz w:val="18"/>
    </w:rPr>
  </w:style>
  <w:style w:type="character" w:customStyle="1" w:styleId="FooterChar">
    <w:name w:val="Footer Char"/>
    <w:basedOn w:val="DefaultParagraphFont"/>
    <w:link w:val="Footer"/>
    <w:uiPriority w:val="99"/>
    <w:rsid w:val="00A57D04"/>
    <w:rPr>
      <w:rFonts w:ascii="Arial" w:hAnsi="Arial"/>
      <w:color w:val="51626F" w:themeColor="accent1"/>
      <w:sz w:val="18"/>
    </w:rPr>
  </w:style>
  <w:style w:type="paragraph" w:styleId="ListParagraph">
    <w:name w:val="List Paragraph"/>
    <w:basedOn w:val="Normal"/>
    <w:uiPriority w:val="34"/>
    <w:qFormat/>
    <w:rsid w:val="008033C4"/>
    <w:pPr>
      <w:numPr>
        <w:numId w:val="29"/>
      </w:numPr>
      <w:spacing w:before="120"/>
      <w:ind w:left="714" w:hanging="357"/>
    </w:pPr>
  </w:style>
  <w:style w:type="character" w:customStyle="1" w:styleId="Heading7Char">
    <w:name w:val="Heading 7 Char"/>
    <w:basedOn w:val="DefaultParagraphFont"/>
    <w:link w:val="Heading7"/>
    <w:uiPriority w:val="2"/>
    <w:rsid w:val="009D6B46"/>
    <w:rPr>
      <w:rFonts w:ascii="Arial" w:eastAsiaTheme="majorEastAsia" w:hAnsi="Arial" w:cstheme="majorBidi"/>
      <w:i/>
      <w:iCs/>
      <w:color w:val="404040" w:themeColor="text1" w:themeTint="BF"/>
    </w:rPr>
  </w:style>
  <w:style w:type="character" w:customStyle="1" w:styleId="Heading8Char">
    <w:name w:val="Heading 8 Char"/>
    <w:basedOn w:val="DefaultParagraphFont"/>
    <w:link w:val="Heading8"/>
    <w:uiPriority w:val="2"/>
    <w:rsid w:val="009D6B46"/>
    <w:rPr>
      <w:rFonts w:ascii="Arial" w:eastAsiaTheme="majorEastAsia" w:hAnsi="Arial" w:cstheme="majorBidi"/>
      <w:color w:val="51626F" w:themeColor="accent1"/>
      <w:szCs w:val="20"/>
    </w:rPr>
  </w:style>
  <w:style w:type="character" w:customStyle="1" w:styleId="Heading9Char">
    <w:name w:val="Heading 9 Char"/>
    <w:basedOn w:val="DefaultParagraphFont"/>
    <w:link w:val="Heading9"/>
    <w:uiPriority w:val="2"/>
    <w:rsid w:val="009D6B46"/>
    <w:rPr>
      <w:rFonts w:ascii="Arial" w:eastAsiaTheme="majorEastAsia" w:hAnsi="Arial" w:cstheme="majorBidi"/>
      <w:i/>
      <w:iCs/>
      <w:color w:val="51626F" w:themeColor="accent1"/>
      <w:szCs w:val="20"/>
    </w:rPr>
  </w:style>
  <w:style w:type="paragraph" w:customStyle="1" w:styleId="Numbered1111111">
    <w:name w:val="Numbered 1.1.1.1.1.1.1"/>
    <w:basedOn w:val="Heading7"/>
    <w:next w:val="Normal"/>
    <w:uiPriority w:val="2"/>
    <w:rsid w:val="00B17A1D"/>
    <w:pPr>
      <w:numPr>
        <w:ilvl w:val="6"/>
        <w:numId w:val="32"/>
      </w:numPr>
      <w:ind w:left="2381" w:hanging="2381"/>
    </w:pPr>
  </w:style>
  <w:style w:type="paragraph" w:customStyle="1" w:styleId="Numbered11111111">
    <w:name w:val="Numbered 1.1.1.1.1.1.1.1"/>
    <w:basedOn w:val="Heading8"/>
    <w:next w:val="Normal"/>
    <w:uiPriority w:val="2"/>
    <w:rsid w:val="00B17A1D"/>
    <w:pPr>
      <w:numPr>
        <w:ilvl w:val="7"/>
        <w:numId w:val="32"/>
      </w:numPr>
      <w:ind w:left="2608" w:hanging="2608"/>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A871F4"/>
    <w:pPr>
      <w:spacing w:before="0"/>
    </w:pPr>
    <w:rPr>
      <w:color w:val="3C4953" w:themeColor="accent1" w:themeShade="BF"/>
    </w:rPr>
    <w:tblPr>
      <w:tblStyleRowBandSize w:val="1"/>
      <w:tblStyleColBandSize w:val="1"/>
      <w:tblBorders>
        <w:top w:val="single" w:sz="8" w:space="0" w:color="51626F" w:themeColor="accent1"/>
        <w:bottom w:val="single" w:sz="8" w:space="0" w:color="51626F" w:themeColor="accent1"/>
      </w:tblBorders>
    </w:tblPr>
    <w:tblStylePr w:type="fir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la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D8DD" w:themeFill="accent1" w:themeFillTint="3F"/>
      </w:tcPr>
    </w:tblStylePr>
    <w:tblStylePr w:type="band1Horz">
      <w:tblPr/>
      <w:tcPr>
        <w:tcBorders>
          <w:left w:val="nil"/>
          <w:right w:val="nil"/>
          <w:insideH w:val="nil"/>
          <w:insideV w:val="nil"/>
        </w:tcBorders>
        <w:shd w:val="clear" w:color="auto" w:fill="D1D8DD"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blBorders>
    </w:tblPr>
    <w:tcPr>
      <w:vAlign w:val="center"/>
    </w:tcPr>
    <w:tblStylePr w:type="fir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l2br w:val="nil"/>
          <w:tr2bl w:val="nil"/>
        </w:tcBorders>
      </w:tcPr>
    </w:tblStylePr>
    <w:tblStylePr w:type="la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7192" w:themeColor="accent3" w:themeShade="BF"/>
    </w:rPr>
    <w:tblPr>
      <w:tblStyleRowBandSize w:val="1"/>
      <w:tblStyleColBandSize w:val="1"/>
      <w:tblBorders>
        <w:top w:val="single" w:sz="8" w:space="0" w:color="0098C3" w:themeColor="accent3"/>
        <w:bottom w:val="single" w:sz="8" w:space="0" w:color="0098C3" w:themeColor="accent3"/>
      </w:tblBorders>
    </w:tblPr>
    <w:tblStylePr w:type="fir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la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1EDFF" w:themeFill="accent3" w:themeFillTint="3F"/>
      </w:tcPr>
    </w:tblStylePr>
    <w:tblStylePr w:type="band1Horz">
      <w:tblPr/>
      <w:tcPr>
        <w:tcBorders>
          <w:left w:val="nil"/>
          <w:right w:val="nil"/>
          <w:insideH w:val="nil"/>
          <w:insideV w:val="nil"/>
        </w:tcBorders>
        <w:shd w:val="clear" w:color="auto" w:fill="B1ED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insideH w:val="single" w:sz="8" w:space="0" w:color="DC5034" w:themeColor="accent6"/>
        <w:insideV w:val="single" w:sz="8" w:space="0" w:color="DC5034"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18" w:space="0" w:color="DC5034" w:themeColor="accent6"/>
          <w:right w:val="single" w:sz="8" w:space="0" w:color="DC5034" w:themeColor="accent6"/>
          <w:insideH w:val="nil"/>
          <w:insideV w:val="single" w:sz="8" w:space="0" w:color="DC5034"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insideH w:val="nil"/>
          <w:insideV w:val="single" w:sz="8" w:space="0" w:color="DC5034"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shd w:val="clear" w:color="auto" w:fill="F6D3CC" w:themeFill="accent6" w:themeFillTint="3F"/>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shd w:val="clear" w:color="auto" w:fill="F6D3CC" w:themeFill="accent6" w:themeFillTint="3F"/>
      </w:tcPr>
    </w:tblStylePr>
    <w:tblStylePr w:type="band2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single" w:sz="8" w:space="0" w:color="758A9A" w:themeColor="accent1" w:themeTint="BF"/>
      </w:tblBorders>
    </w:tblPr>
    <w:tblStylePr w:type="firstRow">
      <w:pPr>
        <w:spacing w:before="0" w:after="0" w:line="240" w:lineRule="auto"/>
      </w:pPr>
      <w:rPr>
        <w:b/>
        <w:bCs/>
        <w:color w:val="FFFFFF" w:themeColor="background1"/>
      </w:rPr>
      <w:tblPr/>
      <w:tcPr>
        <w:tc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shd w:val="clear" w:color="auto" w:fill="51626F" w:themeFill="accent1"/>
      </w:tcPr>
    </w:tblStylePr>
    <w:tblStylePr w:type="lastRow">
      <w:pPr>
        <w:spacing w:before="0" w:after="0" w:line="240" w:lineRule="auto"/>
      </w:pPr>
      <w:rPr>
        <w:b/>
        <w:bCs/>
      </w:rPr>
      <w:tblPr/>
      <w:tcPr>
        <w:tcBorders>
          <w:top w:val="double" w:sz="6"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tcPr>
    </w:tblStylePr>
    <w:tblStylePr w:type="firstCol">
      <w:rPr>
        <w:b/>
        <w:bCs/>
      </w:rPr>
    </w:tblStylePr>
    <w:tblStylePr w:type="lastCol">
      <w:rPr>
        <w:b/>
        <w:bCs/>
      </w:rPr>
    </w:tblStylePr>
    <w:tblStylePr w:type="band1Vert">
      <w:tblPr/>
      <w:tcPr>
        <w:shd w:val="clear" w:color="auto" w:fill="D1D8DD" w:themeFill="accent1" w:themeFillTint="3F"/>
      </w:tcPr>
    </w:tblStylePr>
    <w:tblStylePr w:type="band1Horz">
      <w:tblPr/>
      <w:tcPr>
        <w:tcBorders>
          <w:insideH w:val="nil"/>
          <w:insideV w:val="nil"/>
        </w:tcBorders>
        <w:shd w:val="clear" w:color="auto" w:fill="D1D8DD"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single" w:sz="8" w:space="0" w:color="7643BB" w:themeColor="accent2" w:themeTint="BF"/>
      </w:tblBorders>
    </w:tblPr>
    <w:tblStylePr w:type="firstRow">
      <w:pPr>
        <w:spacing w:before="0" w:after="0" w:line="240" w:lineRule="auto"/>
      </w:pPr>
      <w:rPr>
        <w:b/>
        <w:bCs/>
        <w:color w:val="FFFFFF" w:themeColor="background1"/>
      </w:rPr>
      <w:tblPr/>
      <w:tcPr>
        <w:tc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shd w:val="clear" w:color="auto" w:fill="4F2D7D" w:themeFill="accent2"/>
      </w:tcPr>
    </w:tblStylePr>
    <w:tblStylePr w:type="lastRow">
      <w:pPr>
        <w:spacing w:before="0" w:after="0" w:line="240" w:lineRule="auto"/>
      </w:pPr>
      <w:rPr>
        <w:b/>
        <w:bCs/>
      </w:rPr>
      <w:tblPr/>
      <w:tcPr>
        <w:tcBorders>
          <w:top w:val="double" w:sz="6"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tcPr>
    </w:tblStylePr>
    <w:tblStylePr w:type="firstCol">
      <w:rPr>
        <w:b/>
        <w:bCs/>
      </w:rPr>
    </w:tblStylePr>
    <w:tblStylePr w:type="lastCol">
      <w:rPr>
        <w:b/>
        <w:bCs/>
      </w:rPr>
    </w:tblStylePr>
    <w:tblStylePr w:type="band1Vert">
      <w:tblPr/>
      <w:tcPr>
        <w:shd w:val="clear" w:color="auto" w:fill="D1C1E8" w:themeFill="accent2" w:themeFillTint="3F"/>
      </w:tcPr>
    </w:tblStylePr>
    <w:tblStylePr w:type="band1Horz">
      <w:tblPr/>
      <w:tcPr>
        <w:tcBorders>
          <w:insideH w:val="nil"/>
          <w:insideV w:val="nil"/>
        </w:tcBorders>
        <w:shd w:val="clear" w:color="auto" w:fill="D1C1E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single" w:sz="8" w:space="0" w:color="13CAFF" w:themeColor="accent3" w:themeTint="BF"/>
      </w:tblBorders>
    </w:tblPr>
    <w:tblStylePr w:type="firstRow">
      <w:pPr>
        <w:spacing w:before="0" w:after="0" w:line="240" w:lineRule="auto"/>
      </w:pPr>
      <w:rPr>
        <w:b/>
        <w:bCs/>
        <w:color w:val="FFFFFF" w:themeColor="background1"/>
      </w:rPr>
      <w:tblPr/>
      <w:tcPr>
        <w:tc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shd w:val="clear" w:color="auto" w:fill="0098C3" w:themeFill="accent3"/>
      </w:tcPr>
    </w:tblStylePr>
    <w:tblStylePr w:type="lastRow">
      <w:pPr>
        <w:spacing w:before="0" w:after="0" w:line="240" w:lineRule="auto"/>
      </w:pPr>
      <w:rPr>
        <w:b/>
        <w:bCs/>
      </w:rPr>
      <w:tblPr/>
      <w:tcPr>
        <w:tcBorders>
          <w:top w:val="double" w:sz="6"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1EDFF" w:themeFill="accent3" w:themeFillTint="3F"/>
      </w:tcPr>
    </w:tblStylePr>
    <w:tblStylePr w:type="band1Horz">
      <w:tblPr/>
      <w:tcPr>
        <w:tcBorders>
          <w:insideH w:val="nil"/>
          <w:insideV w:val="nil"/>
        </w:tcBorders>
        <w:shd w:val="clear" w:color="auto" w:fill="B1E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single" w:sz="8" w:space="0" w:color="B7DAF0" w:themeColor="accent4" w:themeTint="BF"/>
      </w:tblBorders>
    </w:tblPr>
    <w:tblStylePr w:type="firstRow">
      <w:pPr>
        <w:spacing w:before="0" w:after="0" w:line="240" w:lineRule="auto"/>
      </w:pPr>
      <w:rPr>
        <w:b/>
        <w:bCs/>
        <w:color w:val="FFFFFF" w:themeColor="background1"/>
      </w:rPr>
      <w:tblPr/>
      <w:tcPr>
        <w:tc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shd w:val="clear" w:color="auto" w:fill="A0CFEB" w:themeFill="accent4"/>
      </w:tcPr>
    </w:tblStylePr>
    <w:tblStylePr w:type="lastRow">
      <w:pPr>
        <w:spacing w:before="0" w:after="0" w:line="240" w:lineRule="auto"/>
      </w:pPr>
      <w:rPr>
        <w:b/>
        <w:bCs/>
      </w:rPr>
      <w:tblPr/>
      <w:tcPr>
        <w:tcBorders>
          <w:top w:val="double" w:sz="6"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F3FA" w:themeFill="accent4" w:themeFillTint="3F"/>
      </w:tcPr>
    </w:tblStylePr>
    <w:tblStylePr w:type="band1Horz">
      <w:tblPr/>
      <w:tcPr>
        <w:tcBorders>
          <w:insideH w:val="nil"/>
          <w:insideV w:val="nil"/>
        </w:tcBorders>
        <w:shd w:val="clear" w:color="auto" w:fill="E7F3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single" w:sz="8" w:space="0" w:color="FC220E" w:themeColor="accent5" w:themeTint="BF"/>
      </w:tblBorders>
    </w:tblPr>
    <w:tblStylePr w:type="firstRow">
      <w:pPr>
        <w:spacing w:before="0" w:after="0" w:line="240" w:lineRule="auto"/>
      </w:pPr>
      <w:rPr>
        <w:b/>
        <w:bCs/>
        <w:color w:val="FFFFFF" w:themeColor="background1"/>
      </w:rPr>
      <w:tblPr/>
      <w:tcPr>
        <w:tc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shd w:val="clear" w:color="auto" w:fill="B71202" w:themeFill="accent5"/>
      </w:tcPr>
    </w:tblStylePr>
    <w:tblStylePr w:type="lastRow">
      <w:pPr>
        <w:spacing w:before="0" w:after="0" w:line="240" w:lineRule="auto"/>
      </w:pPr>
      <w:rPr>
        <w:b/>
        <w:bCs/>
      </w:rPr>
      <w:tblPr/>
      <w:tcPr>
        <w:tcBorders>
          <w:top w:val="double" w:sz="6"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tcPr>
    </w:tblStylePr>
    <w:tblStylePr w:type="firstCol">
      <w:rPr>
        <w:b/>
        <w:bCs/>
      </w:rPr>
    </w:tblStylePr>
    <w:tblStylePr w:type="lastCol">
      <w:rPr>
        <w:b/>
        <w:bCs/>
      </w:rPr>
    </w:tblStylePr>
    <w:tblStylePr w:type="band1Vert">
      <w:tblPr/>
      <w:tcPr>
        <w:shd w:val="clear" w:color="auto" w:fill="FEB6AF" w:themeFill="accent5" w:themeFillTint="3F"/>
      </w:tcPr>
    </w:tblStylePr>
    <w:tblStylePr w:type="band1Horz">
      <w:tblPr/>
      <w:tcPr>
        <w:tcBorders>
          <w:insideH w:val="nil"/>
          <w:insideV w:val="nil"/>
        </w:tcBorders>
        <w:shd w:val="clear" w:color="auto" w:fill="FEB6AF"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5">
    <w:name w:val="Light Shading Accent 5"/>
    <w:basedOn w:val="TableNormal"/>
    <w:uiPriority w:val="60"/>
    <w:rsid w:val="00A871F4"/>
    <w:pPr>
      <w:spacing w:before="0"/>
    </w:pPr>
    <w:rPr>
      <w:color w:val="880D01" w:themeColor="accent5" w:themeShade="BF"/>
    </w:rPr>
    <w:tblPr>
      <w:tblStyleRowBandSize w:val="1"/>
      <w:tblStyleColBandSize w:val="1"/>
      <w:tblBorders>
        <w:top w:val="single" w:sz="8" w:space="0" w:color="B71202" w:themeColor="accent5"/>
        <w:bottom w:val="single" w:sz="8" w:space="0" w:color="B71202" w:themeColor="accent5"/>
      </w:tblBorders>
    </w:tblPr>
    <w:tblStylePr w:type="fir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la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B6AF" w:themeFill="accent5" w:themeFillTint="3F"/>
      </w:tcPr>
    </w:tblStylePr>
    <w:tblStylePr w:type="band1Horz">
      <w:tblPr/>
      <w:tcPr>
        <w:tcBorders>
          <w:left w:val="nil"/>
          <w:right w:val="nil"/>
          <w:insideH w:val="nil"/>
          <w:insideV w:val="nil"/>
        </w:tcBorders>
        <w:shd w:val="clear" w:color="auto" w:fill="FEB6AF"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insideH w:val="single" w:sz="8" w:space="0" w:color="0098C3" w:themeColor="accent3"/>
        <w:insideV w:val="single" w:sz="8" w:space="0" w:color="0098C3"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18" w:space="0" w:color="0098C3" w:themeColor="accent3"/>
          <w:right w:val="single" w:sz="8" w:space="0" w:color="0098C3" w:themeColor="accent3"/>
          <w:insideH w:val="nil"/>
          <w:insideV w:val="single" w:sz="8" w:space="0" w:color="0098C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insideH w:val="nil"/>
          <w:insideV w:val="single" w:sz="8" w:space="0" w:color="0098C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shd w:val="clear" w:color="auto" w:fill="B1EDFF" w:themeFill="accent3" w:themeFillTint="3F"/>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shd w:val="clear" w:color="auto" w:fill="B1EDFF" w:themeFill="accent3" w:themeFillTint="3F"/>
      </w:tcPr>
    </w:tblStylePr>
    <w:tblStylePr w:type="band2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semiHidden/>
    <w:unhideWhenUsed/>
    <w:rsid w:val="005C26CC"/>
    <w:pPr>
      <w:spacing w:after="120"/>
    </w:pPr>
    <w:rPr>
      <w:szCs w:val="16"/>
    </w:rPr>
  </w:style>
  <w:style w:type="character" w:customStyle="1" w:styleId="BodyText3Char">
    <w:name w:val="Body Text 3 Char"/>
    <w:basedOn w:val="DefaultParagraphFont"/>
    <w:link w:val="BodyText3"/>
    <w:uiPriority w:val="99"/>
    <w:semiHidden/>
    <w:rsid w:val="005C26CC"/>
    <w:rPr>
      <w:rFonts w:ascii="Arial" w:hAnsi="Arial"/>
      <w:szCs w:val="16"/>
    </w:rPr>
  </w:style>
  <w:style w:type="paragraph" w:styleId="TOC1">
    <w:name w:val="toc 1"/>
    <w:basedOn w:val="Normal"/>
    <w:next w:val="Normal"/>
    <w:autoRedefine/>
    <w:uiPriority w:val="39"/>
    <w:qFormat/>
    <w:rsid w:val="009F4940"/>
    <w:pPr>
      <w:tabs>
        <w:tab w:val="left" w:pos="426"/>
        <w:tab w:val="right" w:leader="dot" w:pos="9016"/>
      </w:tabs>
      <w:spacing w:after="100"/>
    </w:pPr>
    <w:rPr>
      <w:noProof/>
      <w:lang w:val="en-US" w:eastAsia="ja-JP"/>
    </w:rPr>
  </w:style>
  <w:style w:type="paragraph" w:styleId="TOC2">
    <w:name w:val="toc 2"/>
    <w:basedOn w:val="Normal"/>
    <w:next w:val="Normal"/>
    <w:uiPriority w:val="39"/>
    <w:qFormat/>
    <w:rsid w:val="009F4940"/>
    <w:pPr>
      <w:tabs>
        <w:tab w:val="left" w:pos="880"/>
        <w:tab w:val="right" w:leader="dot" w:pos="9016"/>
      </w:tabs>
      <w:spacing w:after="100"/>
      <w:ind w:left="425"/>
    </w:pPr>
    <w:rPr>
      <w:noProof/>
    </w:rPr>
  </w:style>
  <w:style w:type="paragraph" w:styleId="TOC3">
    <w:name w:val="toc 3"/>
    <w:basedOn w:val="Normal"/>
    <w:next w:val="Normal"/>
    <w:uiPriority w:val="39"/>
    <w:qFormat/>
    <w:rsid w:val="009F4940"/>
    <w:pPr>
      <w:tabs>
        <w:tab w:val="left" w:pos="1760"/>
        <w:tab w:val="right" w:leader="dot" w:pos="9016"/>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4F2D7D"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4F2D7D" w:themeColor="accent2"/>
      <w:spacing w:val="5"/>
      <w:kern w:val="28"/>
      <w:sz w:val="72"/>
      <w:szCs w:val="52"/>
    </w:rPr>
  </w:style>
  <w:style w:type="paragraph" w:customStyle="1" w:styleId="CoverDate">
    <w:name w:val="Cover Date"/>
    <w:qFormat/>
    <w:rsid w:val="00746E01"/>
    <w:rPr>
      <w:rFonts w:ascii="Lucida Fax" w:hAnsi="Lucida Fax"/>
      <w:color w:val="DC5034"/>
      <w:szCs w:val="24"/>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tblBorders>
    </w:tblPr>
    <w:tblStylePr w:type="firstRow">
      <w:pPr>
        <w:spacing w:before="0" w:after="0" w:line="240" w:lineRule="auto"/>
      </w:pPr>
      <w:rPr>
        <w:b/>
        <w:bCs/>
        <w:color w:val="FFFFFF" w:themeColor="background1"/>
      </w:rPr>
      <w:tblPr/>
      <w:tcPr>
        <w:shd w:val="clear" w:color="auto" w:fill="51626F" w:themeFill="accent1"/>
      </w:tcPr>
    </w:tblStylePr>
    <w:tblStylePr w:type="lastRow">
      <w:pPr>
        <w:spacing w:before="0" w:after="0" w:line="240" w:lineRule="auto"/>
      </w:pPr>
      <w:rPr>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tcBorders>
      </w:tcPr>
    </w:tblStylePr>
    <w:tblStylePr w:type="firstCol">
      <w:rPr>
        <w:b/>
        <w:bCs/>
      </w:rPr>
    </w:tblStylePr>
    <w:tblStylePr w:type="lastCol">
      <w:rPr>
        <w:b/>
        <w:bCs/>
      </w:r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tblBorders>
    </w:tblPr>
    <w:tblStylePr w:type="firstRow">
      <w:pPr>
        <w:spacing w:before="0" w:after="0" w:line="240" w:lineRule="auto"/>
      </w:pPr>
      <w:rPr>
        <w:b/>
        <w:bCs/>
        <w:color w:val="FFFFFF" w:themeColor="background1"/>
      </w:rPr>
      <w:tblPr/>
      <w:tcPr>
        <w:shd w:val="clear" w:color="auto" w:fill="0098C3" w:themeFill="accent3"/>
      </w:tcPr>
    </w:tblStylePr>
    <w:tblStylePr w:type="lastRow">
      <w:pPr>
        <w:spacing w:before="0" w:after="0" w:line="240" w:lineRule="auto"/>
      </w:pPr>
      <w:rPr>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tcBorders>
      </w:tcPr>
    </w:tblStylePr>
    <w:tblStylePr w:type="firstCol">
      <w:rPr>
        <w:b/>
        <w:bCs/>
      </w:rPr>
    </w:tblStylePr>
    <w:tblStylePr w:type="lastCol">
      <w:rPr>
        <w:b/>
        <w:bCs/>
      </w:r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tblBorders>
    </w:tblPr>
    <w:tblStylePr w:type="firstRow">
      <w:pPr>
        <w:spacing w:before="0" w:after="0" w:line="240" w:lineRule="auto"/>
      </w:pPr>
      <w:rPr>
        <w:b/>
        <w:bCs/>
        <w:color w:val="auto"/>
      </w:rPr>
      <w:tblPr/>
      <w:tcPr>
        <w:shd w:val="clear" w:color="auto" w:fill="B71202" w:themeFill="accent5"/>
      </w:tcPr>
    </w:tblStylePr>
    <w:tblStylePr w:type="lastRow">
      <w:pPr>
        <w:spacing w:before="0" w:after="0" w:line="240" w:lineRule="auto"/>
      </w:pPr>
      <w:rPr>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tcBorders>
      </w:tcPr>
    </w:tblStylePr>
    <w:tblStylePr w:type="firstCol">
      <w:rPr>
        <w:b/>
        <w:bCs/>
      </w:rPr>
    </w:tblStylePr>
    <w:tblStylePr w:type="lastCol">
      <w:rPr>
        <w:b/>
        <w:bCs/>
      </w:r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085663"/>
    <w:pPr>
      <w:ind w:left="720"/>
    </w:pPr>
  </w:style>
  <w:style w:type="paragraph" w:styleId="FootnoteText">
    <w:name w:val="footnote text"/>
    <w:basedOn w:val="Normal"/>
    <w:link w:val="FootnoteTextChar"/>
    <w:rsid w:val="00615C6B"/>
    <w:pPr>
      <w:spacing w:before="60"/>
    </w:pPr>
    <w:rPr>
      <w:sz w:val="16"/>
      <w:szCs w:val="20"/>
    </w:rPr>
  </w:style>
  <w:style w:type="character" w:customStyle="1" w:styleId="FootnoteTextChar">
    <w:name w:val="Footnote Text Char"/>
    <w:basedOn w:val="DefaultParagraphFont"/>
    <w:link w:val="FootnoteText"/>
    <w:rsid w:val="00615C6B"/>
    <w:rPr>
      <w:rFonts w:ascii="Arial" w:hAnsi="Arial"/>
      <w:sz w:val="16"/>
      <w:szCs w:val="20"/>
    </w:rPr>
  </w:style>
  <w:style w:type="character" w:styleId="FootnoteReference">
    <w:name w:val="footnote reference"/>
    <w:basedOn w:val="DefaultParagraphFont"/>
    <w:unhideWhenUsed/>
    <w:rsid w:val="00701CAB"/>
    <w:rPr>
      <w:vertAlign w:val="superscript"/>
    </w:rPr>
  </w:style>
  <w:style w:type="character" w:styleId="Strong">
    <w:name w:val="Strong"/>
    <w:basedOn w:val="DefaultParagraphFont"/>
    <w:uiPriority w:val="22"/>
    <w:qFormat/>
    <w:rsid w:val="00EF5110"/>
    <w:rPr>
      <w:b/>
      <w:bCs/>
    </w:rPr>
  </w:style>
  <w:style w:type="paragraph" w:styleId="Subtitle">
    <w:name w:val="Subtitle"/>
    <w:next w:val="Normal"/>
    <w:link w:val="SubtitleChar"/>
    <w:uiPriority w:val="11"/>
    <w:qFormat/>
    <w:rsid w:val="008344F6"/>
    <w:pPr>
      <w:spacing w:before="360" w:after="120"/>
    </w:pPr>
    <w:rPr>
      <w:rFonts w:ascii="Lucida Fax" w:hAnsi="Lucida Fax"/>
      <w:color w:val="4F2D7F"/>
      <w:sz w:val="52"/>
      <w:szCs w:val="52"/>
    </w:rPr>
  </w:style>
  <w:style w:type="character" w:customStyle="1" w:styleId="SubtitleChar">
    <w:name w:val="Subtitle Char"/>
    <w:basedOn w:val="DefaultParagraphFont"/>
    <w:link w:val="Subtitle"/>
    <w:uiPriority w:val="11"/>
    <w:rsid w:val="008344F6"/>
    <w:rPr>
      <w:rFonts w:ascii="Lucida Fax" w:hAnsi="Lucida Fax"/>
      <w:color w:val="4F2D7F"/>
      <w:sz w:val="52"/>
      <w:szCs w:val="52"/>
    </w:rPr>
  </w:style>
  <w:style w:type="table" w:styleId="LightShading-Accent4">
    <w:name w:val="Light Shading Accent 4"/>
    <w:basedOn w:val="TableNormal"/>
    <w:uiPriority w:val="60"/>
    <w:rsid w:val="00746E01"/>
    <w:pPr>
      <w:spacing w:before="0"/>
    </w:pPr>
    <w:rPr>
      <w:color w:val="4DA5D9" w:themeColor="accent4" w:themeShade="BF"/>
    </w:rPr>
    <w:tblPr>
      <w:tblStyleRowBandSize w:val="1"/>
      <w:tblStyleColBandSize w:val="1"/>
      <w:tblBorders>
        <w:top w:val="single" w:sz="8" w:space="0" w:color="A0CFEB" w:themeColor="accent4"/>
        <w:bottom w:val="single" w:sz="8" w:space="0" w:color="A0CFEB" w:themeColor="accent4"/>
      </w:tblBorders>
    </w:tblPr>
    <w:tblStylePr w:type="fir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la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F3FA" w:themeFill="accent4" w:themeFillTint="3F"/>
      </w:tcPr>
    </w:tblStylePr>
    <w:tblStylePr w:type="band1Horz">
      <w:tblPr/>
      <w:tcPr>
        <w:tcBorders>
          <w:left w:val="nil"/>
          <w:right w:val="nil"/>
          <w:insideH w:val="nil"/>
          <w:insideV w:val="nil"/>
        </w:tcBorders>
        <w:shd w:val="clear" w:color="auto" w:fill="E7F3FA" w:themeFill="accent4" w:themeFillTint="3F"/>
      </w:tcPr>
    </w:tblStylePr>
  </w:style>
  <w:style w:type="table" w:styleId="LightShading-Accent6">
    <w:name w:val="Light Shading Accent 6"/>
    <w:basedOn w:val="TableNormal"/>
    <w:uiPriority w:val="60"/>
    <w:rsid w:val="00746E01"/>
    <w:pPr>
      <w:spacing w:before="0"/>
    </w:pPr>
    <w:rPr>
      <w:color w:val="AD351E" w:themeColor="accent6" w:themeShade="BF"/>
    </w:rPr>
    <w:tblPr>
      <w:tblStyleRowBandSize w:val="1"/>
      <w:tblStyleColBandSize w:val="1"/>
      <w:tblBorders>
        <w:top w:val="single" w:sz="8" w:space="0" w:color="DC5034" w:themeColor="accent6"/>
        <w:bottom w:val="single" w:sz="8" w:space="0" w:color="DC5034" w:themeColor="accent6"/>
      </w:tblBorders>
    </w:tblPr>
    <w:tblStylePr w:type="fir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la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3CC" w:themeFill="accent6" w:themeFillTint="3F"/>
      </w:tcPr>
    </w:tblStylePr>
    <w:tblStylePr w:type="band1Horz">
      <w:tblPr/>
      <w:tcPr>
        <w:tcBorders>
          <w:left w:val="nil"/>
          <w:right w:val="nil"/>
          <w:insideH w:val="nil"/>
          <w:insideV w:val="nil"/>
        </w:tcBorders>
        <w:shd w:val="clear" w:color="auto" w:fill="F6D3CC" w:themeFill="accent6" w:themeFillTint="3F"/>
      </w:tcPr>
    </w:tblStylePr>
  </w:style>
  <w:style w:type="paragraph" w:styleId="TOC4">
    <w:name w:val="toc 4"/>
    <w:basedOn w:val="Normal"/>
    <w:next w:val="Normal"/>
    <w:uiPriority w:val="39"/>
    <w:rsid w:val="009F4940"/>
    <w:pPr>
      <w:tabs>
        <w:tab w:val="right" w:leader="dot" w:pos="9016"/>
      </w:tabs>
      <w:spacing w:after="100"/>
      <w:ind w:left="1276"/>
    </w:pPr>
    <w:rPr>
      <w:noProof/>
    </w:rPr>
  </w:style>
  <w:style w:type="paragraph" w:styleId="TOC5">
    <w:name w:val="toc 5"/>
    <w:basedOn w:val="Normal"/>
    <w:next w:val="Normal"/>
    <w:uiPriority w:val="39"/>
    <w:rsid w:val="009F4940"/>
    <w:pPr>
      <w:tabs>
        <w:tab w:val="right" w:leader="dot" w:pos="9016"/>
      </w:tabs>
      <w:spacing w:after="100"/>
      <w:ind w:left="1701"/>
    </w:pPr>
    <w:rPr>
      <w:noProof/>
    </w:rPr>
  </w:style>
  <w:style w:type="paragraph" w:styleId="TOC6">
    <w:name w:val="toc 6"/>
    <w:basedOn w:val="Normal"/>
    <w:next w:val="Normal"/>
    <w:uiPriority w:val="39"/>
    <w:rsid w:val="009F4940"/>
    <w:pPr>
      <w:tabs>
        <w:tab w:val="right" w:leader="dot" w:pos="9016"/>
      </w:tabs>
      <w:spacing w:after="100"/>
      <w:ind w:left="2127"/>
    </w:pPr>
    <w:rPr>
      <w:noProof/>
    </w:rPr>
  </w:style>
  <w:style w:type="paragraph" w:styleId="TOC7">
    <w:name w:val="toc 7"/>
    <w:basedOn w:val="Normal"/>
    <w:next w:val="Normal"/>
    <w:uiPriority w:val="39"/>
    <w:rsid w:val="009F4940"/>
    <w:pPr>
      <w:tabs>
        <w:tab w:val="right" w:leader="dot" w:pos="9016"/>
      </w:tabs>
      <w:spacing w:after="100"/>
      <w:ind w:left="2552"/>
    </w:pPr>
    <w:rPr>
      <w:noProof/>
    </w:rPr>
  </w:style>
  <w:style w:type="paragraph" w:customStyle="1" w:styleId="Numberedlist">
    <w:name w:val="Numbered list"/>
    <w:basedOn w:val="ListNumber"/>
    <w:rsid w:val="008033C4"/>
    <w:pPr>
      <w:numPr>
        <w:numId w:val="3"/>
      </w:numPr>
      <w:ind w:left="357" w:hanging="357"/>
    </w:pPr>
  </w:style>
  <w:style w:type="table" w:customStyle="1" w:styleId="LightShading1">
    <w:name w:val="Light Shading1"/>
    <w:basedOn w:val="TableNormal"/>
    <w:next w:val="LightShading"/>
    <w:uiPriority w:val="60"/>
    <w:rsid w:val="00C53B5A"/>
    <w:pPr>
      <w:spacing w:before="120" w:after="120"/>
    </w:pPr>
    <w:rPr>
      <w:color w:val="000000" w:themeColor="text1" w:themeShade="BF"/>
      <w:sz w:val="20"/>
    </w:rPr>
    <w:tblPr>
      <w:tblBorders>
        <w:top w:val="single" w:sz="4" w:space="0" w:color="D5D6D2" w:themeColor="background2"/>
        <w:bottom w:val="single" w:sz="4" w:space="0" w:color="D5D6D2" w:themeColor="background2"/>
        <w:insideH w:val="single" w:sz="4" w:space="0" w:color="D5D6D2"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tblBorders>
    </w:tblPr>
    <w:tblStylePr w:type="firstRow">
      <w:pPr>
        <w:spacing w:before="0" w:after="0" w:line="240" w:lineRule="auto"/>
      </w:pPr>
      <w:rPr>
        <w:b/>
        <w:bCs/>
        <w:color w:val="FFFFFF" w:themeColor="background1"/>
      </w:rPr>
      <w:tblPr/>
      <w:tcPr>
        <w:shd w:val="clear" w:color="auto" w:fill="4F2D7D" w:themeFill="accent2"/>
      </w:tcPr>
    </w:tblStylePr>
    <w:tblStylePr w:type="lastRow">
      <w:pPr>
        <w:spacing w:before="0" w:after="0" w:line="240" w:lineRule="auto"/>
      </w:pPr>
      <w:rPr>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tcBorders>
      </w:tcPr>
    </w:tblStylePr>
    <w:tblStylePr w:type="firstCol">
      <w:rPr>
        <w:b/>
        <w:bCs/>
      </w:rPr>
    </w:tblStylePr>
    <w:tblStylePr w:type="lastCol">
      <w:rPr>
        <w:b/>
        <w:bCs/>
      </w:r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tblBorders>
    </w:tblPr>
    <w:tblStylePr w:type="firstRow">
      <w:pPr>
        <w:spacing w:before="0" w:after="0" w:line="240" w:lineRule="auto"/>
      </w:pPr>
      <w:rPr>
        <w:b/>
        <w:bCs/>
        <w:color w:val="FFFFFF" w:themeColor="background1"/>
      </w:rPr>
      <w:tblPr/>
      <w:tcPr>
        <w:shd w:val="clear" w:color="auto" w:fill="A0CFEB" w:themeFill="accent4"/>
      </w:tcPr>
    </w:tblStylePr>
    <w:tblStylePr w:type="lastRow">
      <w:pPr>
        <w:spacing w:before="0" w:after="0" w:line="240" w:lineRule="auto"/>
      </w:pPr>
      <w:rPr>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tcBorders>
      </w:tcPr>
    </w:tblStylePr>
    <w:tblStylePr w:type="firstCol">
      <w:rPr>
        <w:b/>
        <w:bCs/>
      </w:rPr>
    </w:tblStylePr>
    <w:tblStylePr w:type="lastCol">
      <w:rPr>
        <w:b/>
        <w:bCs/>
      </w:r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tblBorders>
    </w:tblPr>
    <w:tblStylePr w:type="firstRow">
      <w:pPr>
        <w:spacing w:before="0" w:after="0" w:line="240" w:lineRule="auto"/>
      </w:pPr>
      <w:rPr>
        <w:b/>
        <w:bCs/>
        <w:color w:val="FFFFFF" w:themeColor="background1"/>
      </w:rPr>
      <w:tblPr/>
      <w:tcPr>
        <w:shd w:val="clear" w:color="auto" w:fill="DC5034" w:themeFill="accent6"/>
      </w:tcPr>
    </w:tblStylePr>
    <w:tblStylePr w:type="lastRow">
      <w:pPr>
        <w:spacing w:before="0" w:after="0" w:line="240" w:lineRule="auto"/>
      </w:pPr>
      <w:rPr>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tcBorders>
      </w:tcPr>
    </w:tblStylePr>
    <w:tblStylePr w:type="firstCol">
      <w:rPr>
        <w:b/>
        <w:bCs/>
      </w:rPr>
    </w:tblStylePr>
    <w:tblStylePr w:type="lastCol">
      <w:rPr>
        <w:b/>
        <w:bCs/>
      </w:r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insideH w:val="single" w:sz="8" w:space="0" w:color="51626F" w:themeColor="accent1"/>
        <w:insideV w:val="single" w:sz="8" w:space="0" w:color="51626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18" w:space="0" w:color="51626F" w:themeColor="accent1"/>
          <w:right w:val="single" w:sz="8" w:space="0" w:color="51626F" w:themeColor="accent1"/>
          <w:insideH w:val="nil"/>
          <w:insideV w:val="single" w:sz="8" w:space="0" w:color="51626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insideH w:val="nil"/>
          <w:insideV w:val="single" w:sz="8" w:space="0" w:color="51626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shd w:val="clear" w:color="auto" w:fill="D1D8DD" w:themeFill="accent1" w:themeFillTint="3F"/>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shd w:val="clear" w:color="auto" w:fill="D1D8DD" w:themeFill="accent1" w:themeFillTint="3F"/>
      </w:tcPr>
    </w:tblStylePr>
    <w:tblStylePr w:type="band2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insideH w:val="single" w:sz="8" w:space="0" w:color="4F2D7D" w:themeColor="accent2"/>
        <w:insideV w:val="single" w:sz="8" w:space="0" w:color="4F2D7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18" w:space="0" w:color="4F2D7D" w:themeColor="accent2"/>
          <w:right w:val="single" w:sz="8" w:space="0" w:color="4F2D7D" w:themeColor="accent2"/>
          <w:insideH w:val="nil"/>
          <w:insideV w:val="single" w:sz="8" w:space="0" w:color="4F2D7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insideH w:val="nil"/>
          <w:insideV w:val="single" w:sz="8" w:space="0" w:color="4F2D7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shd w:val="clear" w:color="auto" w:fill="D1C1E8" w:themeFill="accent2" w:themeFillTint="3F"/>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shd w:val="clear" w:color="auto" w:fill="D1C1E8" w:themeFill="accent2" w:themeFillTint="3F"/>
      </w:tcPr>
    </w:tblStylePr>
    <w:tblStylePr w:type="band2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insideH w:val="single" w:sz="8" w:space="0" w:color="A0CFEB" w:themeColor="accent4"/>
        <w:insideV w:val="single" w:sz="8" w:space="0" w:color="A0CFEB"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18" w:space="0" w:color="A0CFEB" w:themeColor="accent4"/>
          <w:right w:val="single" w:sz="8" w:space="0" w:color="A0CFEB" w:themeColor="accent4"/>
          <w:insideH w:val="nil"/>
          <w:insideV w:val="single" w:sz="8" w:space="0" w:color="A0CFEB"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insideH w:val="nil"/>
          <w:insideV w:val="single" w:sz="8" w:space="0" w:color="A0CFEB"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shd w:val="clear" w:color="auto" w:fill="E7F3FA" w:themeFill="accent4" w:themeFillTint="3F"/>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shd w:val="clear" w:color="auto" w:fill="E7F3FA" w:themeFill="accent4" w:themeFillTint="3F"/>
      </w:tcPr>
    </w:tblStylePr>
    <w:tblStylePr w:type="band2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insideH w:val="single" w:sz="8" w:space="0" w:color="B71202" w:themeColor="accent5"/>
        <w:insideV w:val="single" w:sz="8" w:space="0" w:color="B71202"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18" w:space="0" w:color="B71202" w:themeColor="accent5"/>
          <w:right w:val="single" w:sz="8" w:space="0" w:color="B71202" w:themeColor="accent5"/>
          <w:insideH w:val="nil"/>
          <w:insideV w:val="single" w:sz="8" w:space="0" w:color="B7120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insideH w:val="nil"/>
          <w:insideV w:val="single" w:sz="8" w:space="0" w:color="B7120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shd w:val="clear" w:color="auto" w:fill="FEB6AF" w:themeFill="accent5" w:themeFillTint="3F"/>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shd w:val="clear" w:color="auto" w:fill="FEB6AF" w:themeFill="accent5" w:themeFillTint="3F"/>
      </w:tcPr>
    </w:tblStylePr>
    <w:tblStylePr w:type="band2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B17A1D"/>
    <w:pPr>
      <w:numPr>
        <w:ilvl w:val="8"/>
        <w:numId w:val="32"/>
      </w:numPr>
      <w:ind w:left="2948" w:hanging="2948"/>
    </w:pPr>
  </w:style>
  <w:style w:type="paragraph" w:styleId="Caption">
    <w:name w:val="caption"/>
    <w:basedOn w:val="Normal"/>
    <w:next w:val="Normal"/>
    <w:uiPriority w:val="35"/>
    <w:unhideWhenUsed/>
    <w:qFormat/>
    <w:rsid w:val="00B1716D"/>
    <w:pPr>
      <w:spacing w:before="240" w:after="120"/>
    </w:pPr>
    <w:rPr>
      <w:b/>
      <w:bCs/>
      <w:sz w:val="24"/>
      <w:szCs w:val="18"/>
    </w:rPr>
  </w:style>
  <w:style w:type="paragraph" w:styleId="List">
    <w:name w:val="List"/>
    <w:basedOn w:val="Normal"/>
    <w:uiPriority w:val="99"/>
    <w:unhideWhenUsed/>
    <w:rsid w:val="008033C4"/>
    <w:pPr>
      <w:spacing w:before="120"/>
      <w:ind w:left="284" w:hanging="284"/>
    </w:pPr>
  </w:style>
  <w:style w:type="paragraph" w:styleId="List2">
    <w:name w:val="List 2"/>
    <w:basedOn w:val="Normal"/>
    <w:uiPriority w:val="99"/>
    <w:unhideWhenUsed/>
    <w:rsid w:val="008033C4"/>
    <w:pPr>
      <w:spacing w:before="120"/>
      <w:ind w:left="568" w:hanging="284"/>
    </w:pPr>
  </w:style>
  <w:style w:type="paragraph" w:styleId="List3">
    <w:name w:val="List 3"/>
    <w:basedOn w:val="Normal"/>
    <w:uiPriority w:val="99"/>
    <w:unhideWhenUsed/>
    <w:rsid w:val="008033C4"/>
    <w:pPr>
      <w:spacing w:before="120"/>
      <w:ind w:left="851" w:hanging="284"/>
    </w:pPr>
  </w:style>
  <w:style w:type="paragraph" w:styleId="List4">
    <w:name w:val="List 4"/>
    <w:basedOn w:val="Normal"/>
    <w:uiPriority w:val="99"/>
    <w:unhideWhenUsed/>
    <w:rsid w:val="008033C4"/>
    <w:pPr>
      <w:spacing w:before="120"/>
      <w:ind w:left="1135" w:hanging="284"/>
    </w:pPr>
  </w:style>
  <w:style w:type="paragraph" w:styleId="List5">
    <w:name w:val="List 5"/>
    <w:basedOn w:val="Normal"/>
    <w:uiPriority w:val="99"/>
    <w:unhideWhenUsed/>
    <w:rsid w:val="008033C4"/>
    <w:pPr>
      <w:spacing w:before="120"/>
      <w:ind w:left="1418" w:hanging="284"/>
    </w:pPr>
  </w:style>
  <w:style w:type="paragraph" w:styleId="ListBullet3">
    <w:name w:val="List Bullet 3"/>
    <w:basedOn w:val="Normal"/>
    <w:uiPriority w:val="99"/>
    <w:unhideWhenUsed/>
    <w:rsid w:val="008033C4"/>
    <w:pPr>
      <w:numPr>
        <w:numId w:val="9"/>
      </w:numPr>
      <w:spacing w:before="120"/>
      <w:ind w:left="924" w:hanging="357"/>
    </w:pPr>
  </w:style>
  <w:style w:type="paragraph" w:styleId="ListBullet4">
    <w:name w:val="List Bullet 4"/>
    <w:basedOn w:val="Normal"/>
    <w:uiPriority w:val="99"/>
    <w:unhideWhenUsed/>
    <w:rsid w:val="008033C4"/>
    <w:pPr>
      <w:numPr>
        <w:numId w:val="10"/>
      </w:numPr>
      <w:spacing w:before="120"/>
      <w:ind w:left="1208" w:hanging="357"/>
    </w:pPr>
  </w:style>
  <w:style w:type="paragraph" w:styleId="ListBullet5">
    <w:name w:val="List Bullet 5"/>
    <w:basedOn w:val="Normal"/>
    <w:uiPriority w:val="99"/>
    <w:unhideWhenUsed/>
    <w:rsid w:val="008033C4"/>
    <w:pPr>
      <w:numPr>
        <w:numId w:val="11"/>
      </w:numPr>
      <w:spacing w:before="120"/>
      <w:ind w:left="1491" w:hanging="357"/>
    </w:pPr>
  </w:style>
  <w:style w:type="paragraph" w:styleId="ListContinue">
    <w:name w:val="List Continue"/>
    <w:basedOn w:val="Normal"/>
    <w:uiPriority w:val="99"/>
    <w:unhideWhenUsed/>
    <w:rsid w:val="0007137B"/>
    <w:pPr>
      <w:spacing w:before="120"/>
      <w:ind w:left="284"/>
    </w:pPr>
  </w:style>
  <w:style w:type="paragraph" w:styleId="ListContinue2">
    <w:name w:val="List Continue 2"/>
    <w:basedOn w:val="Normal"/>
    <w:uiPriority w:val="99"/>
    <w:unhideWhenUsed/>
    <w:rsid w:val="008033C4"/>
    <w:pPr>
      <w:spacing w:before="120"/>
      <w:ind w:left="567"/>
    </w:pPr>
  </w:style>
  <w:style w:type="paragraph" w:styleId="ListContinue3">
    <w:name w:val="List Continue 3"/>
    <w:basedOn w:val="Normal"/>
    <w:uiPriority w:val="99"/>
    <w:unhideWhenUsed/>
    <w:rsid w:val="0007137B"/>
    <w:pPr>
      <w:spacing w:before="120"/>
      <w:ind w:left="851"/>
    </w:pPr>
  </w:style>
  <w:style w:type="paragraph" w:styleId="ListContinue4">
    <w:name w:val="List Continue 4"/>
    <w:basedOn w:val="Normal"/>
    <w:uiPriority w:val="99"/>
    <w:unhideWhenUsed/>
    <w:rsid w:val="008033C4"/>
    <w:pPr>
      <w:spacing w:before="120"/>
      <w:ind w:left="1134"/>
    </w:pPr>
  </w:style>
  <w:style w:type="paragraph" w:styleId="ListNumber3">
    <w:name w:val="List Number 3"/>
    <w:basedOn w:val="Normal"/>
    <w:uiPriority w:val="99"/>
    <w:unhideWhenUsed/>
    <w:rsid w:val="008033C4"/>
    <w:pPr>
      <w:numPr>
        <w:numId w:val="14"/>
      </w:numPr>
      <w:spacing w:before="120"/>
      <w:ind w:left="924" w:hanging="357"/>
    </w:pPr>
  </w:style>
  <w:style w:type="paragraph" w:styleId="ListNumber4">
    <w:name w:val="List Number 4"/>
    <w:basedOn w:val="Normal"/>
    <w:uiPriority w:val="99"/>
    <w:unhideWhenUsed/>
    <w:rsid w:val="008033C4"/>
    <w:pPr>
      <w:numPr>
        <w:numId w:val="15"/>
      </w:numPr>
      <w:spacing w:before="120"/>
      <w:ind w:left="1208" w:hanging="357"/>
    </w:pPr>
  </w:style>
  <w:style w:type="paragraph" w:styleId="ListNumber5">
    <w:name w:val="List Number 5"/>
    <w:basedOn w:val="Normal"/>
    <w:uiPriority w:val="99"/>
    <w:unhideWhenUsed/>
    <w:rsid w:val="008033C4"/>
    <w:pPr>
      <w:numPr>
        <w:numId w:val="16"/>
      </w:numPr>
      <w:spacing w:before="120"/>
      <w:ind w:left="1491" w:hanging="357"/>
    </w:pPr>
  </w:style>
  <w:style w:type="paragraph" w:customStyle="1" w:styleId="TableHeading">
    <w:name w:val="Table Heading"/>
    <w:basedOn w:val="Tabletext"/>
    <w:link w:val="TableHeadingChar"/>
    <w:qFormat/>
    <w:rsid w:val="00584D8F"/>
    <w:pPr>
      <w:spacing w:before="60"/>
    </w:pPr>
    <w:rPr>
      <w:b/>
      <w:sz w:val="22"/>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584D8F"/>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584D8F"/>
    <w:rPr>
      <w:rFonts w:ascii="Arial" w:hAnsi="Arial"/>
      <w:b/>
      <w:sz w:val="20"/>
    </w:rPr>
  </w:style>
  <w:style w:type="character" w:customStyle="1" w:styleId="TableHeading-rightChar">
    <w:name w:val="Table Heading - right Char"/>
    <w:basedOn w:val="TableHeadingChar"/>
    <w:link w:val="TableHeading-right"/>
    <w:rsid w:val="00584D8F"/>
    <w:rPr>
      <w:rFonts w:ascii="Arial" w:eastAsia="Times New Roman" w:hAnsi="Arial" w:cs="Times New Roman"/>
      <w:b/>
      <w:bCs/>
      <w:sz w:val="20"/>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584D8F"/>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D5D6D2"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umbered11"/>
    <w:rsid w:val="00063247"/>
    <w:pPr>
      <w:ind w:left="680" w:hanging="680"/>
      <w:outlineLvl w:val="9"/>
    </w:pPr>
    <w:rPr>
      <w:bCs w:val="0"/>
      <w:color w:val="auto"/>
      <w:sz w:val="22"/>
    </w:rPr>
  </w:style>
  <w:style w:type="character" w:customStyle="1" w:styleId="Numbered1Char">
    <w:name w:val="Numbered 1 Char"/>
    <w:basedOn w:val="Heading1Char"/>
    <w:link w:val="Numbered1"/>
    <w:rsid w:val="00085663"/>
    <w:rPr>
      <w:rFonts w:ascii="Lucida Fax" w:eastAsiaTheme="majorEastAsia" w:hAnsi="Lucida Fax" w:cstheme="majorBidi"/>
      <w:bCs/>
      <w:color w:val="51626F"/>
      <w:sz w:val="32"/>
      <w:szCs w:val="28"/>
    </w:rPr>
  </w:style>
  <w:style w:type="paragraph" w:customStyle="1" w:styleId="Numberedparagraph">
    <w:name w:val="Numbered paragraph"/>
    <w:basedOn w:val="Numberedlist"/>
    <w:rsid w:val="00FE64AE"/>
    <w:pPr>
      <w:spacing w:before="200"/>
      <w:ind w:left="680" w:hanging="680"/>
    </w:pPr>
    <w:rPr>
      <w:rFonts w:eastAsia="Times New Roman" w:cs="Times New Roman"/>
      <w:szCs w:val="20"/>
    </w:rPr>
  </w:style>
  <w:style w:type="paragraph" w:customStyle="1" w:styleId="Copyright">
    <w:name w:val="Copyright"/>
    <w:basedOn w:val="Normal"/>
    <w:next w:val="Normal"/>
    <w:link w:val="CopyrightChar"/>
    <w:rsid w:val="00D37B25"/>
    <w:pPr>
      <w:spacing w:line="288" w:lineRule="auto"/>
    </w:pPr>
    <w:rPr>
      <w:sz w:val="20"/>
      <w:szCs w:val="20"/>
    </w:rPr>
  </w:style>
  <w:style w:type="paragraph" w:customStyle="1" w:styleId="ReportTitle0">
    <w:name w:val="Report Title"/>
    <w:basedOn w:val="Normal"/>
    <w:next w:val="Normal"/>
    <w:link w:val="ReportTitleChar0"/>
    <w:rsid w:val="00D37B25"/>
    <w:pPr>
      <w:tabs>
        <w:tab w:val="center" w:pos="4598"/>
        <w:tab w:val="right" w:pos="9026"/>
      </w:tabs>
      <w:spacing w:before="240"/>
      <w:contextualSpacing/>
      <w:jc w:val="center"/>
    </w:pPr>
    <w:rPr>
      <w:rFonts w:eastAsiaTheme="majorEastAsia" w:cstheme="majorBidi"/>
      <w:b/>
      <w:noProof/>
      <w:color w:val="51626F"/>
      <w:sz w:val="72"/>
      <w:szCs w:val="72"/>
      <w:lang w:eastAsia="en-AU"/>
    </w:rPr>
  </w:style>
  <w:style w:type="table" w:customStyle="1" w:styleId="AERTable-Text">
    <w:name w:val="AER Table - Text"/>
    <w:basedOn w:val="TableNormal"/>
    <w:uiPriority w:val="99"/>
    <w:rsid w:val="00D37B25"/>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0"/>
    <w:link w:val="ReportDateChar"/>
    <w:rsid w:val="00D37B25"/>
    <w:rPr>
      <w:b w:val="0"/>
      <w:sz w:val="36"/>
      <w:szCs w:val="36"/>
    </w:rPr>
  </w:style>
  <w:style w:type="character" w:customStyle="1" w:styleId="ReportTitleChar0">
    <w:name w:val="Report Title Char"/>
    <w:basedOn w:val="Heading1Char"/>
    <w:link w:val="ReportTitle0"/>
    <w:rsid w:val="00D37B25"/>
    <w:rPr>
      <w:rFonts w:ascii="Arial" w:eastAsiaTheme="majorEastAsia" w:hAnsi="Arial" w:cstheme="majorBidi"/>
      <w:b/>
      <w:bCs w:val="0"/>
      <w:noProof/>
      <w:color w:val="51626F"/>
      <w:sz w:val="72"/>
      <w:szCs w:val="72"/>
      <w:lang w:eastAsia="en-AU"/>
    </w:rPr>
  </w:style>
  <w:style w:type="character" w:customStyle="1" w:styleId="ReportDateChar">
    <w:name w:val="Report Date Char"/>
    <w:basedOn w:val="ReportTitleChar0"/>
    <w:link w:val="ReportDate"/>
    <w:rsid w:val="00D37B25"/>
    <w:rPr>
      <w:rFonts w:ascii="Arial" w:eastAsiaTheme="majorEastAsia" w:hAnsi="Arial" w:cstheme="majorBidi"/>
      <w:b w:val="0"/>
      <w:bCs w:val="0"/>
      <w:noProof/>
      <w:color w:val="51626F"/>
      <w:sz w:val="36"/>
      <w:szCs w:val="36"/>
      <w:lang w:eastAsia="en-AU"/>
    </w:rPr>
  </w:style>
  <w:style w:type="character" w:customStyle="1" w:styleId="CopyrightChar">
    <w:name w:val="Copyright Char"/>
    <w:basedOn w:val="DefaultParagraphFont"/>
    <w:link w:val="Copyright"/>
    <w:rsid w:val="00D37B25"/>
    <w:rPr>
      <w:rFonts w:ascii="Arial" w:hAnsi="Arial"/>
      <w:sz w:val="20"/>
      <w:szCs w:val="20"/>
    </w:rPr>
  </w:style>
  <w:style w:type="paragraph" w:customStyle="1" w:styleId="Quotes">
    <w:name w:val="Quotes"/>
    <w:basedOn w:val="Normal"/>
    <w:rsid w:val="00D37B25"/>
    <w:pPr>
      <w:spacing w:before="120" w:after="120" w:line="240" w:lineRule="auto"/>
      <w:ind w:left="567" w:right="793"/>
    </w:pPr>
    <w:rPr>
      <w:rFonts w:eastAsia="Times New Roman" w:cs="Times New Roman"/>
      <w:sz w:val="20"/>
      <w:szCs w:val="20"/>
      <w:lang w:eastAsia="en-AU"/>
    </w:rPr>
  </w:style>
  <w:style w:type="character" w:styleId="PageNumber">
    <w:name w:val="page number"/>
    <w:basedOn w:val="DefaultParagraphFont"/>
    <w:rsid w:val="00D37B25"/>
  </w:style>
  <w:style w:type="paragraph" w:customStyle="1" w:styleId="StyleCopyrightBefore0pt">
    <w:name w:val="Style Copyright + Before:  0 pt"/>
    <w:basedOn w:val="Copyright"/>
    <w:rsid w:val="00D37B25"/>
    <w:pPr>
      <w:spacing w:before="120"/>
    </w:pPr>
    <w:rPr>
      <w:rFonts w:eastAsia="Times New Roman" w:cs="Times New Roman"/>
    </w:rPr>
  </w:style>
  <w:style w:type="paragraph" w:customStyle="1" w:styleId="NumberedChapterTitle">
    <w:name w:val="Numbered Chapter Title"/>
    <w:basedOn w:val="Chaptertitle"/>
    <w:qFormat/>
    <w:rsid w:val="00D37B25"/>
    <w:pPr>
      <w:pageBreakBefore/>
      <w:numPr>
        <w:numId w:val="38"/>
      </w:numPr>
      <w:tabs>
        <w:tab w:val="left" w:pos="680"/>
      </w:tabs>
      <w:ind w:left="680" w:hanging="680"/>
      <w:outlineLvl w:val="0"/>
    </w:pPr>
    <w:rPr>
      <w:rFonts w:ascii="Arial" w:hAnsi="Arial"/>
      <w:color w:val="000000" w:themeColor="text1"/>
    </w:rPr>
  </w:style>
  <w:style w:type="character" w:styleId="CommentReference">
    <w:name w:val="annotation reference"/>
    <w:basedOn w:val="DefaultParagraphFont"/>
    <w:uiPriority w:val="99"/>
    <w:semiHidden/>
    <w:unhideWhenUsed/>
    <w:rsid w:val="006E0ED0"/>
    <w:rPr>
      <w:sz w:val="16"/>
      <w:szCs w:val="16"/>
    </w:rPr>
  </w:style>
  <w:style w:type="paragraph" w:styleId="CommentText">
    <w:name w:val="annotation text"/>
    <w:basedOn w:val="Normal"/>
    <w:link w:val="CommentTextChar"/>
    <w:uiPriority w:val="99"/>
    <w:semiHidden/>
    <w:unhideWhenUsed/>
    <w:rsid w:val="006E0ED0"/>
    <w:pPr>
      <w:spacing w:line="240" w:lineRule="auto"/>
    </w:pPr>
    <w:rPr>
      <w:sz w:val="20"/>
      <w:szCs w:val="20"/>
    </w:rPr>
  </w:style>
  <w:style w:type="character" w:customStyle="1" w:styleId="CommentTextChar">
    <w:name w:val="Comment Text Char"/>
    <w:basedOn w:val="DefaultParagraphFont"/>
    <w:link w:val="CommentText"/>
    <w:uiPriority w:val="99"/>
    <w:semiHidden/>
    <w:rsid w:val="006E0ED0"/>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6E0ED0"/>
    <w:rPr>
      <w:b/>
      <w:bCs/>
    </w:rPr>
  </w:style>
  <w:style w:type="character" w:customStyle="1" w:styleId="CommentSubjectChar">
    <w:name w:val="Comment Subject Char"/>
    <w:basedOn w:val="CommentTextChar"/>
    <w:link w:val="CommentSubject"/>
    <w:uiPriority w:val="99"/>
    <w:semiHidden/>
    <w:rsid w:val="006E0ED0"/>
    <w:rPr>
      <w:rFonts w:ascii="Arial" w:hAnsi="Arial"/>
      <w:b/>
      <w:bCs/>
      <w:sz w:val="20"/>
      <w:szCs w:val="20"/>
    </w:rPr>
  </w:style>
  <w:style w:type="character" w:styleId="FollowedHyperlink">
    <w:name w:val="FollowedHyperlink"/>
    <w:basedOn w:val="DefaultParagraphFont"/>
    <w:uiPriority w:val="99"/>
    <w:semiHidden/>
    <w:unhideWhenUsed/>
    <w:rsid w:val="0043162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aer.gov.au/"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ERInquiry@aer.gov.au" TargetMode="Externa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aer.gov.au/networks-pipelines/guidelines-schemes-models-reviews/ring-fencing-waivers" TargetMode="Externa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003591"/>
      </a:dk2>
      <a:lt2>
        <a:srgbClr val="D5D6D2"/>
      </a:lt2>
      <a:accent1>
        <a:srgbClr val="51626F"/>
      </a:accent1>
      <a:accent2>
        <a:srgbClr val="4F2D7D"/>
      </a:accent2>
      <a:accent3>
        <a:srgbClr val="0098C3"/>
      </a:accent3>
      <a:accent4>
        <a:srgbClr val="A0CFEB"/>
      </a:accent4>
      <a:accent5>
        <a:srgbClr val="B71202"/>
      </a:accent5>
      <a:accent6>
        <a:srgbClr val="DC5034"/>
      </a:accent6>
      <a:hlink>
        <a:srgbClr val="0000FF"/>
      </a:hlink>
      <a:folHlink>
        <a:srgbClr val="800080"/>
      </a:folHlink>
    </a:clrScheme>
    <a:fontScheme name="ACCC">
      <a:majorFont>
        <a:latin typeface="Lucida Fax"/>
        <a:ea typeface=""/>
        <a:cs typeface=""/>
      </a:majorFont>
      <a:minorFont>
        <a:latin typeface="Arial"/>
        <a:ea typeface=""/>
        <a:cs typeface=""/>
      </a:minorFont>
    </a:fontScheme>
    <a:fmtScheme name="Apex">
      <a:fillStyleLst>
        <a:solidFill>
          <a:schemeClr val="phClr"/>
        </a:solidFill>
        <a:gradFill rotWithShape="1">
          <a:gsLst>
            <a:gs pos="20000">
              <a:schemeClr val="phClr">
                <a:tint val="9000"/>
              </a:schemeClr>
            </a:gs>
            <a:gs pos="100000">
              <a:schemeClr val="phClr">
                <a:tint val="70000"/>
                <a:satMod val="100000"/>
              </a:schemeClr>
            </a:gs>
          </a:gsLst>
          <a:path path="circle">
            <a:fillToRect l="-15000" t="-15000" r="115000" b="115000"/>
          </a:path>
        </a:gradFill>
        <a:gradFill rotWithShape="1">
          <a:gsLst>
            <a:gs pos="0">
              <a:schemeClr val="phClr">
                <a:shade val="60000"/>
              </a:schemeClr>
            </a:gs>
            <a:gs pos="33000">
              <a:schemeClr val="phClr">
                <a:tint val="86500"/>
              </a:schemeClr>
            </a:gs>
            <a:gs pos="46750">
              <a:schemeClr val="phClr">
                <a:tint val="71000"/>
                <a:satMod val="112000"/>
              </a:schemeClr>
            </a:gs>
            <a:gs pos="53000">
              <a:schemeClr val="phClr">
                <a:tint val="71000"/>
                <a:satMod val="112000"/>
              </a:schemeClr>
            </a:gs>
            <a:gs pos="68000">
              <a:schemeClr val="phClr">
                <a:tint val="86000"/>
              </a:schemeClr>
            </a:gs>
            <a:gs pos="100000">
              <a:schemeClr val="phClr">
                <a:shade val="60000"/>
              </a:schemeClr>
            </a:gs>
          </a:gsLst>
          <a:lin ang="8350000" scaled="1"/>
        </a:gradFill>
      </a:fillStyleLst>
      <a:lnStyleLst>
        <a:ln w="9525" cap="flat" cmpd="sng" algn="ctr">
          <a:solidFill>
            <a:schemeClr val="phClr">
              <a:shade val="48000"/>
              <a:satMod val="11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130000" dist="101600" dir="2700000" algn="tl" rotWithShape="0">
              <a:srgbClr val="000000">
                <a:alpha val="35000"/>
              </a:srgbClr>
            </a:outerShdw>
          </a:effectLst>
        </a:effectStyle>
        <a:effectStyle>
          <a:effectLst>
            <a:outerShdw blurRad="190500" dist="228600" dir="2700000" sy="90000" rotWithShape="0">
              <a:srgbClr val="000000">
                <a:alpha val="25500"/>
              </a:srgbClr>
            </a:outerShdw>
          </a:effectLst>
        </a:effectStyle>
        <a:effectStyle>
          <a:effectLst>
            <a:outerShdw blurRad="190500" dist="228600" dir="2700000" sy="90000" rotWithShape="0">
              <a:srgbClr val="000000">
                <a:alpha val="25500"/>
              </a:srgbClr>
            </a:outerShdw>
          </a:effectLst>
          <a:scene3d>
            <a:camera prst="orthographicFront" fov="0">
              <a:rot lat="0" lon="0" rev="0"/>
            </a:camera>
            <a:lightRig rig="soft" dir="tl">
              <a:rot lat="0" lon="0" rev="20100000"/>
            </a:lightRig>
          </a:scene3d>
          <a:sp3d>
            <a:bevelT w="50800" h="508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[pick the date]</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22D21CE-B31E-49D4-8E47-85BB4007E5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E06883D9</Template>
  <TotalTime>0</TotalTime>
  <Pages>13</Pages>
  <Words>3434</Words>
  <Characters>19580</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[Document title]</vt:lpstr>
    </vt:vector>
  </TitlesOfParts>
  <Company>ACCC</Company>
  <LinksUpToDate>false</LinksUpToDate>
  <CharactersWithSpaces>22969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title]</dc:title>
  <dc:subject>[subtitle]</dc:subject>
  <dc:creator>Mitchell, Sophie</dc:creator>
  <cp:lastModifiedBy>Johansen, Dale</cp:lastModifiedBy>
  <cp:revision>2</cp:revision>
  <cp:lastPrinted>2016-06-24T05:51:00Z</cp:lastPrinted>
  <dcterms:created xsi:type="dcterms:W3CDTF">2016-07-18T03:31:00Z</dcterms:created>
  <dcterms:modified xsi:type="dcterms:W3CDTF">2016-07-18T03:31:00Z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rrfile">
    <vt:lpwstr>\\cdchnas-evs02\home$\djoha\3.6 - attachment b - draft decision - energex ring fencing waiver application - eagle farm (D2016-00086168).docx</vt:lpwstr>
  </property>
</Properties>
</file>