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227B" w:rsidRDefault="00D4227B" w:rsidP="00D4227B">
      <w:pPr>
        <w:pStyle w:val="AERtitle1"/>
      </w:pPr>
      <w:bookmarkStart w:id="0" w:name="_GoBack"/>
      <w:bookmarkEnd w:id="0"/>
      <w:r>
        <w:rPr>
          <w:noProof/>
        </w:rPr>
        <w:drawing>
          <wp:anchor distT="0" distB="0" distL="114300" distR="114300" simplePos="0" relativeHeight="251664384" behindDoc="1" locked="0" layoutInCell="1" allowOverlap="1">
            <wp:simplePos x="0" y="0"/>
            <wp:positionH relativeFrom="column">
              <wp:posOffset>-916305</wp:posOffset>
            </wp:positionH>
            <wp:positionV relativeFrom="paragraph">
              <wp:posOffset>-935355</wp:posOffset>
            </wp:positionV>
            <wp:extent cx="7678420" cy="10781030"/>
            <wp:effectExtent l="19050" t="0" r="0" b="0"/>
            <wp:wrapNone/>
            <wp:docPr id="40" name="Picture 2" descr="AER-draft-br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R-draft-brown"/>
                    <pic:cNvPicPr>
                      <a:picLocks noChangeAspect="1" noChangeArrowheads="1"/>
                    </pic:cNvPicPr>
                  </pic:nvPicPr>
                  <pic:blipFill>
                    <a:blip r:embed="rId9" cstate="print"/>
                    <a:srcRect/>
                    <a:stretch>
                      <a:fillRect/>
                    </a:stretch>
                  </pic:blipFill>
                  <pic:spPr bwMode="auto">
                    <a:xfrm>
                      <a:off x="0" y="0"/>
                      <a:ext cx="7678420" cy="10781030"/>
                    </a:xfrm>
                    <a:prstGeom prst="rect">
                      <a:avLst/>
                    </a:prstGeom>
                    <a:noFill/>
                    <a:ln w="9525">
                      <a:noFill/>
                      <a:miter lim="800000"/>
                      <a:headEnd/>
                      <a:tailEnd/>
                    </a:ln>
                  </pic:spPr>
                </pic:pic>
              </a:graphicData>
            </a:graphic>
          </wp:anchor>
        </w:drawing>
      </w:r>
    </w:p>
    <w:p w:rsidR="00D4227B" w:rsidRDefault="00D4227B" w:rsidP="00D4227B">
      <w:pPr>
        <w:pStyle w:val="AERtitle1"/>
      </w:pPr>
    </w:p>
    <w:p w:rsidR="00D4227B" w:rsidRDefault="00D4227B" w:rsidP="00D4227B">
      <w:pPr>
        <w:pStyle w:val="AERtitle1"/>
      </w:pPr>
    </w:p>
    <w:p w:rsidR="00D4227B" w:rsidRDefault="00D4227B" w:rsidP="00D4227B">
      <w:pPr>
        <w:pStyle w:val="AERtitle1"/>
      </w:pPr>
    </w:p>
    <w:p w:rsidR="00D4227B" w:rsidRDefault="00D4227B" w:rsidP="00D4227B">
      <w:pPr>
        <w:pStyle w:val="AERtitle1"/>
      </w:pPr>
    </w:p>
    <w:p w:rsidR="00D4227B" w:rsidRDefault="00CC49D4" w:rsidP="00D4227B">
      <w:pPr>
        <w:pStyle w:val="AERtitle1"/>
      </w:pPr>
      <w:r>
        <w:rPr>
          <w:noProof/>
        </w:rPr>
        <w:drawing>
          <wp:anchor distT="0" distB="0" distL="114300" distR="114300" simplePos="0" relativeHeight="251661312" behindDoc="1" locked="0" layoutInCell="1" allowOverlap="1">
            <wp:simplePos x="0" y="0"/>
            <wp:positionH relativeFrom="column">
              <wp:posOffset>8280400</wp:posOffset>
            </wp:positionH>
            <wp:positionV relativeFrom="paragraph">
              <wp:posOffset>-946150</wp:posOffset>
            </wp:positionV>
            <wp:extent cx="7635875" cy="10784205"/>
            <wp:effectExtent l="19050" t="0" r="3175" b="0"/>
            <wp:wrapNone/>
            <wp:docPr id="2" name="Picture 2" descr="AER-final-or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R-final-orange"/>
                    <pic:cNvPicPr>
                      <a:picLocks noChangeAspect="1" noChangeArrowheads="1"/>
                    </pic:cNvPicPr>
                  </pic:nvPicPr>
                  <pic:blipFill>
                    <a:blip r:embed="rId10" cstate="print"/>
                    <a:srcRect/>
                    <a:stretch>
                      <a:fillRect/>
                    </a:stretch>
                  </pic:blipFill>
                  <pic:spPr bwMode="auto">
                    <a:xfrm>
                      <a:off x="0" y="0"/>
                      <a:ext cx="7635875" cy="10784205"/>
                    </a:xfrm>
                    <a:prstGeom prst="rect">
                      <a:avLst/>
                    </a:prstGeom>
                    <a:noFill/>
                    <a:ln w="9525">
                      <a:noFill/>
                      <a:miter lim="800000"/>
                      <a:headEnd/>
                      <a:tailEnd/>
                    </a:ln>
                  </pic:spPr>
                </pic:pic>
              </a:graphicData>
            </a:graphic>
          </wp:anchor>
        </w:drawing>
      </w:r>
      <w:r w:rsidR="00D4227B">
        <w:t>Better Regulation</w:t>
      </w:r>
    </w:p>
    <w:p w:rsidR="00D4227B" w:rsidRDefault="00D4227B" w:rsidP="00D4227B">
      <w:pPr>
        <w:pStyle w:val="AERtitle1"/>
      </w:pPr>
    </w:p>
    <w:p w:rsidR="00D4227B" w:rsidRDefault="00D4227B" w:rsidP="00D4227B">
      <w:pPr>
        <w:pStyle w:val="AERtitle1"/>
      </w:pPr>
      <w:r>
        <w:t>Draft</w:t>
      </w:r>
      <w:r w:rsidR="00804EE6">
        <w:t xml:space="preserve"> Expenditur</w:t>
      </w:r>
      <w:r w:rsidR="000D7F6C">
        <w:t>e Forecast Assessment Guideline</w:t>
      </w:r>
      <w:r w:rsidR="00804EE6">
        <w:t xml:space="preserve"> for Electricity Distribution</w:t>
      </w:r>
    </w:p>
    <w:p w:rsidR="00D4227B" w:rsidRDefault="00D4227B" w:rsidP="00D4227B"/>
    <w:p w:rsidR="00D4227B" w:rsidRDefault="00D4227B" w:rsidP="00D4227B"/>
    <w:p w:rsidR="00D4227B" w:rsidRPr="00F6235D" w:rsidRDefault="00D4227B" w:rsidP="00D4227B"/>
    <w:p w:rsidR="00D4227B" w:rsidRPr="00F6235D" w:rsidRDefault="00D4227B" w:rsidP="00D4227B">
      <w:pPr>
        <w:pStyle w:val="AERtitle2"/>
      </w:pPr>
      <w:r>
        <w:t>August 2013</w:t>
      </w:r>
    </w:p>
    <w:p w:rsidR="00D4227B" w:rsidRPr="00F6235D" w:rsidRDefault="00D4227B" w:rsidP="00D4227B">
      <w:r w:rsidRPr="00F6235D">
        <w:t xml:space="preserve"> </w:t>
      </w:r>
    </w:p>
    <w:p w:rsidR="00D4227B" w:rsidRPr="00EF0E19" w:rsidRDefault="00D4227B" w:rsidP="00D4227B">
      <w:pPr>
        <w:rPr>
          <w:rStyle w:val="AERtextbold"/>
        </w:rPr>
      </w:pPr>
      <w:r>
        <w:rPr>
          <w:rStyle w:val="AERtextbold"/>
        </w:rPr>
        <w:br w:type="page"/>
      </w:r>
    </w:p>
    <w:p w:rsidR="00D4227B" w:rsidRPr="00020884" w:rsidRDefault="00D4227B" w:rsidP="00020884">
      <w:pPr>
        <w:pStyle w:val="AERbodytext"/>
        <w:rPr>
          <w:rStyle w:val="AERtextbold"/>
        </w:rPr>
      </w:pPr>
      <w:r w:rsidRPr="00020884">
        <w:rPr>
          <w:rStyle w:val="AERtextbold"/>
        </w:rPr>
        <w:lastRenderedPageBreak/>
        <w:t xml:space="preserve">© </w:t>
      </w:r>
      <w:r w:rsidR="00B300CC">
        <w:rPr>
          <w:rStyle w:val="AERtextbold"/>
        </w:rPr>
        <w:t>Commonwealth of Australia 2013</w:t>
      </w:r>
    </w:p>
    <w:p w:rsidR="00D4227B" w:rsidRPr="00020884" w:rsidRDefault="00D4227B" w:rsidP="00020884">
      <w:pPr>
        <w:pStyle w:val="AERbodytext"/>
      </w:pPr>
      <w:r w:rsidRPr="00020884">
        <w:t>This work is copyright. Apart from any use permitted by the Copyright Act 1968, no part may be reproduced without permission of the Australian Competition and Consumer Commission. Requests and inquiries concerning reproduction and rights should be addressed to the Director Publishing, Australian Competition and Consumer Commission, GPO Box 3131, Canberra ACT 2601.</w:t>
      </w:r>
    </w:p>
    <w:p w:rsidR="00D4227B" w:rsidRPr="00020884" w:rsidRDefault="00D4227B" w:rsidP="00020884">
      <w:pPr>
        <w:pStyle w:val="AERbodytext"/>
      </w:pPr>
      <w:r w:rsidRPr="00020884">
        <w:t>Inquiries about this document should be addressed to:</w:t>
      </w:r>
    </w:p>
    <w:p w:rsidR="00D4227B" w:rsidRDefault="00D4227B" w:rsidP="00204A82">
      <w:pPr>
        <w:pStyle w:val="AERbodytextnospace"/>
      </w:pPr>
      <w:r>
        <w:t>Australian Energy Regulator</w:t>
      </w:r>
    </w:p>
    <w:p w:rsidR="00D4227B" w:rsidRDefault="00D4227B" w:rsidP="00204A82">
      <w:pPr>
        <w:pStyle w:val="AERbodytextnospace"/>
      </w:pPr>
      <w:r>
        <w:t>GPO Box 520</w:t>
      </w:r>
    </w:p>
    <w:p w:rsidR="00D4227B" w:rsidRDefault="00D4227B" w:rsidP="00204A82">
      <w:pPr>
        <w:pStyle w:val="AERbodytextnospace"/>
      </w:pPr>
      <w:r>
        <w:t>Melbourne  Vic  3001</w:t>
      </w:r>
    </w:p>
    <w:p w:rsidR="00D4227B" w:rsidRDefault="00D4227B" w:rsidP="00204A82">
      <w:pPr>
        <w:pStyle w:val="AERbodytextnospace"/>
      </w:pPr>
      <w:r>
        <w:t>Tel: (03) 9290 1444</w:t>
      </w:r>
    </w:p>
    <w:p w:rsidR="00D4227B" w:rsidRDefault="00D4227B" w:rsidP="00204A82">
      <w:pPr>
        <w:pStyle w:val="AERbodytextnospace"/>
      </w:pPr>
      <w:r>
        <w:t>Fax: (03) 9290 1457</w:t>
      </w:r>
    </w:p>
    <w:p w:rsidR="00D4227B" w:rsidRDefault="00D4227B" w:rsidP="00204A82">
      <w:pPr>
        <w:pStyle w:val="AERbodytextnospace"/>
      </w:pPr>
      <w:r>
        <w:t xml:space="preserve">Email: </w:t>
      </w:r>
      <w:hyperlink r:id="rId11" w:history="1">
        <w:r w:rsidRPr="003E184A">
          <w:rPr>
            <w:rStyle w:val="Hyperlink"/>
          </w:rPr>
          <w:t>AERInquiry@aer.gov.au</w:t>
        </w:r>
      </w:hyperlink>
    </w:p>
    <w:p w:rsidR="00020884" w:rsidRDefault="00020884" w:rsidP="00020884">
      <w:pPr>
        <w:pStyle w:val="AERbodytext"/>
      </w:pPr>
    </w:p>
    <w:p w:rsidR="00D4227B" w:rsidRPr="008F1A4A" w:rsidRDefault="00D4227B" w:rsidP="00204A82">
      <w:pPr>
        <w:pStyle w:val="AERbodytextnospace"/>
        <w:rPr>
          <w:rStyle w:val="AERtextbold"/>
        </w:rPr>
      </w:pPr>
      <w:r w:rsidRPr="008F1A4A">
        <w:rPr>
          <w:rStyle w:val="AERtextbold"/>
        </w:rPr>
        <w:t xml:space="preserve">Amendment record </w:t>
      </w:r>
    </w:p>
    <w:tbl>
      <w:tblPr>
        <w:tblStyle w:val="AERtable-text"/>
        <w:tblW w:w="5000" w:type="pct"/>
        <w:tblLook w:val="01E0" w:firstRow="1" w:lastRow="1" w:firstColumn="1" w:lastColumn="1" w:noHBand="0" w:noVBand="0"/>
      </w:tblPr>
      <w:tblGrid>
        <w:gridCol w:w="3080"/>
        <w:gridCol w:w="3081"/>
        <w:gridCol w:w="3081"/>
      </w:tblGrid>
      <w:tr w:rsidR="00D4227B" w:rsidTr="00D4227B">
        <w:trPr>
          <w:cnfStyle w:val="100000000000" w:firstRow="1" w:lastRow="0" w:firstColumn="0" w:lastColumn="0" w:oddVBand="0" w:evenVBand="0" w:oddHBand="0" w:evenHBand="0" w:firstRowFirstColumn="0" w:firstRowLastColumn="0" w:lastRowFirstColumn="0" w:lastRowLastColumn="0"/>
        </w:trPr>
        <w:tc>
          <w:tcPr>
            <w:tcW w:w="1666" w:type="pct"/>
          </w:tcPr>
          <w:p w:rsidR="00D4227B" w:rsidRPr="00D4227B" w:rsidRDefault="00D4227B" w:rsidP="00D4227B">
            <w:pPr>
              <w:pStyle w:val="AERtabletextleft"/>
            </w:pPr>
            <w:r w:rsidRPr="008F1A4A">
              <w:t>Version</w:t>
            </w:r>
          </w:p>
        </w:tc>
        <w:tc>
          <w:tcPr>
            <w:tcW w:w="1667" w:type="pct"/>
          </w:tcPr>
          <w:p w:rsidR="00D4227B" w:rsidRPr="00D4227B" w:rsidRDefault="00D4227B" w:rsidP="00D4227B">
            <w:pPr>
              <w:pStyle w:val="AERtabletextleft"/>
            </w:pPr>
            <w:r w:rsidRPr="008F1A4A">
              <w:t>Date</w:t>
            </w:r>
          </w:p>
        </w:tc>
        <w:tc>
          <w:tcPr>
            <w:tcW w:w="1667" w:type="pct"/>
          </w:tcPr>
          <w:p w:rsidR="00D4227B" w:rsidRPr="00D4227B" w:rsidRDefault="00D4227B" w:rsidP="00D4227B">
            <w:pPr>
              <w:pStyle w:val="AERtabletextleft"/>
            </w:pPr>
            <w:r w:rsidRPr="008F1A4A">
              <w:t>Pages</w:t>
            </w:r>
          </w:p>
        </w:tc>
      </w:tr>
      <w:tr w:rsidR="00D4227B" w:rsidTr="00D4227B">
        <w:tc>
          <w:tcPr>
            <w:tcW w:w="1666" w:type="pct"/>
          </w:tcPr>
          <w:p w:rsidR="00D4227B" w:rsidRPr="001B1E7F" w:rsidRDefault="00D4227B" w:rsidP="001B1E7F">
            <w:pPr>
              <w:pStyle w:val="AERtabletextleft"/>
            </w:pPr>
          </w:p>
        </w:tc>
        <w:tc>
          <w:tcPr>
            <w:tcW w:w="1667" w:type="pct"/>
          </w:tcPr>
          <w:p w:rsidR="00D4227B" w:rsidRPr="00F66980" w:rsidRDefault="00D4227B" w:rsidP="001B1E7F">
            <w:pPr>
              <w:pStyle w:val="AERtabletextleft"/>
              <w:rPr>
                <w:rStyle w:val="AERtexthighlight"/>
              </w:rPr>
            </w:pPr>
          </w:p>
        </w:tc>
        <w:tc>
          <w:tcPr>
            <w:tcW w:w="1667" w:type="pct"/>
          </w:tcPr>
          <w:p w:rsidR="00D4227B" w:rsidRPr="00F66980" w:rsidRDefault="00D4227B" w:rsidP="001B1E7F">
            <w:pPr>
              <w:pStyle w:val="AERtabletextleft"/>
              <w:rPr>
                <w:rStyle w:val="AERtexthighlight"/>
              </w:rPr>
            </w:pPr>
          </w:p>
        </w:tc>
      </w:tr>
    </w:tbl>
    <w:p w:rsidR="00D4227B" w:rsidRPr="003324F7" w:rsidRDefault="00D4227B" w:rsidP="00204A82">
      <w:pPr>
        <w:pStyle w:val="AERbodytext"/>
      </w:pPr>
    </w:p>
    <w:p w:rsidR="00D4227B" w:rsidRDefault="00D4227B">
      <w:pPr>
        <w:spacing w:after="0" w:line="240" w:lineRule="auto"/>
        <w:jc w:val="left"/>
        <w:rPr>
          <w:rFonts w:eastAsia="Times New Roman"/>
          <w:b/>
          <w:sz w:val="40"/>
          <w:szCs w:val="24"/>
          <w:lang w:eastAsia="en-AU"/>
        </w:rPr>
      </w:pPr>
      <w:r>
        <w:br w:type="page"/>
      </w:r>
    </w:p>
    <w:p w:rsidR="00AF3E95" w:rsidRDefault="00AF3E95" w:rsidP="00204A82">
      <w:pPr>
        <w:pStyle w:val="UnnumberedHeading"/>
      </w:pPr>
      <w:bookmarkStart w:id="1" w:name="_Toc361391046"/>
      <w:r>
        <w:lastRenderedPageBreak/>
        <w:t>Contents</w:t>
      </w:r>
      <w:bookmarkEnd w:id="1"/>
    </w:p>
    <w:p w:rsidR="00715488" w:rsidRDefault="00742E25">
      <w:pPr>
        <w:pStyle w:val="TOC1"/>
        <w:tabs>
          <w:tab w:val="right" w:leader="dot" w:pos="9016"/>
        </w:tabs>
        <w:rPr>
          <w:rFonts w:asciiTheme="minorHAnsi" w:eastAsiaTheme="minorEastAsia" w:hAnsiTheme="minorHAnsi" w:cstheme="minorBidi"/>
          <w:b w:val="0"/>
          <w:bCs w:val="0"/>
          <w:noProof/>
          <w:sz w:val="22"/>
          <w:szCs w:val="22"/>
          <w:lang w:eastAsia="en-AU"/>
        </w:rPr>
      </w:pPr>
      <w:r>
        <w:fldChar w:fldCharType="begin"/>
      </w:r>
      <w:r w:rsidR="00AF3E95">
        <w:instrText xml:space="preserve"> TOC \o "1-2" \h \z \u \t "Heading 7,1,Heading 8,2" </w:instrText>
      </w:r>
      <w:r>
        <w:fldChar w:fldCharType="separate"/>
      </w:r>
      <w:hyperlink w:anchor="_Toc361391046" w:history="1">
        <w:r w:rsidR="00715488" w:rsidRPr="00735A94">
          <w:rPr>
            <w:rStyle w:val="Hyperlink"/>
            <w:noProof/>
          </w:rPr>
          <w:t>Contents</w:t>
        </w:r>
        <w:r w:rsidR="00715488">
          <w:rPr>
            <w:noProof/>
            <w:webHidden/>
          </w:rPr>
          <w:tab/>
        </w:r>
        <w:r w:rsidR="00715488">
          <w:rPr>
            <w:noProof/>
            <w:webHidden/>
          </w:rPr>
          <w:fldChar w:fldCharType="begin"/>
        </w:r>
        <w:r w:rsidR="00715488">
          <w:rPr>
            <w:noProof/>
            <w:webHidden/>
          </w:rPr>
          <w:instrText xml:space="preserve"> PAGEREF _Toc361391046 \h </w:instrText>
        </w:r>
        <w:r w:rsidR="00715488">
          <w:rPr>
            <w:noProof/>
            <w:webHidden/>
          </w:rPr>
        </w:r>
        <w:r w:rsidR="00715488">
          <w:rPr>
            <w:noProof/>
            <w:webHidden/>
          </w:rPr>
          <w:fldChar w:fldCharType="separate"/>
        </w:r>
        <w:r w:rsidR="00C370FE">
          <w:rPr>
            <w:noProof/>
            <w:webHidden/>
          </w:rPr>
          <w:t>3</w:t>
        </w:r>
        <w:r w:rsidR="00715488">
          <w:rPr>
            <w:noProof/>
            <w:webHidden/>
          </w:rPr>
          <w:fldChar w:fldCharType="end"/>
        </w:r>
      </w:hyperlink>
    </w:p>
    <w:p w:rsidR="00715488" w:rsidRDefault="00303043">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361391047" w:history="1">
        <w:r w:rsidR="00715488" w:rsidRPr="00735A94">
          <w:rPr>
            <w:rStyle w:val="Hyperlink"/>
            <w:noProof/>
          </w:rPr>
          <w:t>1</w:t>
        </w:r>
        <w:r w:rsidR="00715488">
          <w:rPr>
            <w:rFonts w:asciiTheme="minorHAnsi" w:eastAsiaTheme="minorEastAsia" w:hAnsiTheme="minorHAnsi" w:cstheme="minorBidi"/>
            <w:b w:val="0"/>
            <w:bCs w:val="0"/>
            <w:noProof/>
            <w:sz w:val="22"/>
            <w:szCs w:val="22"/>
            <w:lang w:eastAsia="en-AU"/>
          </w:rPr>
          <w:tab/>
        </w:r>
        <w:r w:rsidR="00715488" w:rsidRPr="00735A94">
          <w:rPr>
            <w:rStyle w:val="Hyperlink"/>
            <w:noProof/>
          </w:rPr>
          <w:t>Nature and authority</w:t>
        </w:r>
        <w:r w:rsidR="00715488">
          <w:rPr>
            <w:noProof/>
            <w:webHidden/>
          </w:rPr>
          <w:tab/>
        </w:r>
        <w:r w:rsidR="00715488">
          <w:rPr>
            <w:noProof/>
            <w:webHidden/>
          </w:rPr>
          <w:fldChar w:fldCharType="begin"/>
        </w:r>
        <w:r w:rsidR="00715488">
          <w:rPr>
            <w:noProof/>
            <w:webHidden/>
          </w:rPr>
          <w:instrText xml:space="preserve"> PAGEREF _Toc361391047 \h </w:instrText>
        </w:r>
        <w:r w:rsidR="00715488">
          <w:rPr>
            <w:noProof/>
            <w:webHidden/>
          </w:rPr>
        </w:r>
        <w:r w:rsidR="00715488">
          <w:rPr>
            <w:noProof/>
            <w:webHidden/>
          </w:rPr>
          <w:fldChar w:fldCharType="separate"/>
        </w:r>
        <w:r w:rsidR="00C370FE">
          <w:rPr>
            <w:noProof/>
            <w:webHidden/>
          </w:rPr>
          <w:t>4</w:t>
        </w:r>
        <w:r w:rsidR="00715488">
          <w:rPr>
            <w:noProof/>
            <w:webHidden/>
          </w:rPr>
          <w:fldChar w:fldCharType="end"/>
        </w:r>
      </w:hyperlink>
    </w:p>
    <w:p w:rsidR="00715488" w:rsidRDefault="00303043">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61391048" w:history="1">
        <w:r w:rsidR="00715488" w:rsidRPr="00735A94">
          <w:rPr>
            <w:rStyle w:val="Hyperlink"/>
            <w:noProof/>
          </w:rPr>
          <w:t>1.1</w:t>
        </w:r>
        <w:r w:rsidR="00715488">
          <w:rPr>
            <w:rFonts w:asciiTheme="minorHAnsi" w:eastAsiaTheme="minorEastAsia" w:hAnsiTheme="minorHAnsi" w:cstheme="minorBidi"/>
            <w:iCs w:val="0"/>
            <w:noProof/>
            <w:sz w:val="22"/>
            <w:szCs w:val="22"/>
            <w:lang w:eastAsia="en-AU"/>
          </w:rPr>
          <w:tab/>
        </w:r>
        <w:r w:rsidR="00715488" w:rsidRPr="00735A94">
          <w:rPr>
            <w:rStyle w:val="Hyperlink"/>
            <w:noProof/>
          </w:rPr>
          <w:t>Introduction</w:t>
        </w:r>
        <w:r w:rsidR="00715488">
          <w:rPr>
            <w:noProof/>
            <w:webHidden/>
          </w:rPr>
          <w:tab/>
        </w:r>
        <w:r w:rsidR="00715488">
          <w:rPr>
            <w:noProof/>
            <w:webHidden/>
          </w:rPr>
          <w:fldChar w:fldCharType="begin"/>
        </w:r>
        <w:r w:rsidR="00715488">
          <w:rPr>
            <w:noProof/>
            <w:webHidden/>
          </w:rPr>
          <w:instrText xml:space="preserve"> PAGEREF _Toc361391048 \h </w:instrText>
        </w:r>
        <w:r w:rsidR="00715488">
          <w:rPr>
            <w:noProof/>
            <w:webHidden/>
          </w:rPr>
        </w:r>
        <w:r w:rsidR="00715488">
          <w:rPr>
            <w:noProof/>
            <w:webHidden/>
          </w:rPr>
          <w:fldChar w:fldCharType="separate"/>
        </w:r>
        <w:r w:rsidR="00C370FE">
          <w:rPr>
            <w:noProof/>
            <w:webHidden/>
          </w:rPr>
          <w:t>4</w:t>
        </w:r>
        <w:r w:rsidR="00715488">
          <w:rPr>
            <w:noProof/>
            <w:webHidden/>
          </w:rPr>
          <w:fldChar w:fldCharType="end"/>
        </w:r>
      </w:hyperlink>
    </w:p>
    <w:p w:rsidR="00715488" w:rsidRDefault="00303043">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61391049" w:history="1">
        <w:r w:rsidR="00715488" w:rsidRPr="00735A94">
          <w:rPr>
            <w:rStyle w:val="Hyperlink"/>
            <w:noProof/>
          </w:rPr>
          <w:t>1.2</w:t>
        </w:r>
        <w:r w:rsidR="00715488">
          <w:rPr>
            <w:rFonts w:asciiTheme="minorHAnsi" w:eastAsiaTheme="minorEastAsia" w:hAnsiTheme="minorHAnsi" w:cstheme="minorBidi"/>
            <w:iCs w:val="0"/>
            <w:noProof/>
            <w:sz w:val="22"/>
            <w:szCs w:val="22"/>
            <w:lang w:eastAsia="en-AU"/>
          </w:rPr>
          <w:tab/>
        </w:r>
        <w:r w:rsidR="00715488" w:rsidRPr="00735A94">
          <w:rPr>
            <w:rStyle w:val="Hyperlink"/>
            <w:noProof/>
          </w:rPr>
          <w:t>Authority</w:t>
        </w:r>
        <w:r w:rsidR="00715488">
          <w:rPr>
            <w:noProof/>
            <w:webHidden/>
          </w:rPr>
          <w:tab/>
        </w:r>
        <w:r w:rsidR="00715488">
          <w:rPr>
            <w:noProof/>
            <w:webHidden/>
          </w:rPr>
          <w:fldChar w:fldCharType="begin"/>
        </w:r>
        <w:r w:rsidR="00715488">
          <w:rPr>
            <w:noProof/>
            <w:webHidden/>
          </w:rPr>
          <w:instrText xml:space="preserve"> PAGEREF _Toc361391049 \h </w:instrText>
        </w:r>
        <w:r w:rsidR="00715488">
          <w:rPr>
            <w:noProof/>
            <w:webHidden/>
          </w:rPr>
        </w:r>
        <w:r w:rsidR="00715488">
          <w:rPr>
            <w:noProof/>
            <w:webHidden/>
          </w:rPr>
          <w:fldChar w:fldCharType="separate"/>
        </w:r>
        <w:r w:rsidR="00C370FE">
          <w:rPr>
            <w:noProof/>
            <w:webHidden/>
          </w:rPr>
          <w:t>4</w:t>
        </w:r>
        <w:r w:rsidR="00715488">
          <w:rPr>
            <w:noProof/>
            <w:webHidden/>
          </w:rPr>
          <w:fldChar w:fldCharType="end"/>
        </w:r>
      </w:hyperlink>
    </w:p>
    <w:p w:rsidR="00715488" w:rsidRDefault="00303043">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61391050" w:history="1">
        <w:r w:rsidR="00715488" w:rsidRPr="00735A94">
          <w:rPr>
            <w:rStyle w:val="Hyperlink"/>
            <w:noProof/>
          </w:rPr>
          <w:t>1.3</w:t>
        </w:r>
        <w:r w:rsidR="00715488">
          <w:rPr>
            <w:rFonts w:asciiTheme="minorHAnsi" w:eastAsiaTheme="minorEastAsia" w:hAnsiTheme="minorHAnsi" w:cstheme="minorBidi"/>
            <w:iCs w:val="0"/>
            <w:noProof/>
            <w:sz w:val="22"/>
            <w:szCs w:val="22"/>
            <w:lang w:eastAsia="en-AU"/>
          </w:rPr>
          <w:tab/>
        </w:r>
        <w:r w:rsidR="00715488" w:rsidRPr="00735A94">
          <w:rPr>
            <w:rStyle w:val="Hyperlink"/>
            <w:noProof/>
          </w:rPr>
          <w:t>Role of the guideline</w:t>
        </w:r>
        <w:r w:rsidR="00715488">
          <w:rPr>
            <w:noProof/>
            <w:webHidden/>
          </w:rPr>
          <w:tab/>
        </w:r>
        <w:r w:rsidR="00715488">
          <w:rPr>
            <w:noProof/>
            <w:webHidden/>
          </w:rPr>
          <w:fldChar w:fldCharType="begin"/>
        </w:r>
        <w:r w:rsidR="00715488">
          <w:rPr>
            <w:noProof/>
            <w:webHidden/>
          </w:rPr>
          <w:instrText xml:space="preserve"> PAGEREF _Toc361391050 \h </w:instrText>
        </w:r>
        <w:r w:rsidR="00715488">
          <w:rPr>
            <w:noProof/>
            <w:webHidden/>
          </w:rPr>
        </w:r>
        <w:r w:rsidR="00715488">
          <w:rPr>
            <w:noProof/>
            <w:webHidden/>
          </w:rPr>
          <w:fldChar w:fldCharType="separate"/>
        </w:r>
        <w:r w:rsidR="00C370FE">
          <w:rPr>
            <w:noProof/>
            <w:webHidden/>
          </w:rPr>
          <w:t>4</w:t>
        </w:r>
        <w:r w:rsidR="00715488">
          <w:rPr>
            <w:noProof/>
            <w:webHidden/>
          </w:rPr>
          <w:fldChar w:fldCharType="end"/>
        </w:r>
      </w:hyperlink>
    </w:p>
    <w:p w:rsidR="00715488" w:rsidRDefault="00303043">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61391051" w:history="1">
        <w:r w:rsidR="00715488" w:rsidRPr="00735A94">
          <w:rPr>
            <w:rStyle w:val="Hyperlink"/>
            <w:noProof/>
          </w:rPr>
          <w:t>1.4</w:t>
        </w:r>
        <w:r w:rsidR="00715488">
          <w:rPr>
            <w:rFonts w:asciiTheme="minorHAnsi" w:eastAsiaTheme="minorEastAsia" w:hAnsiTheme="minorHAnsi" w:cstheme="minorBidi"/>
            <w:iCs w:val="0"/>
            <w:noProof/>
            <w:sz w:val="22"/>
            <w:szCs w:val="22"/>
            <w:lang w:eastAsia="en-AU"/>
          </w:rPr>
          <w:tab/>
        </w:r>
        <w:r w:rsidR="00715488" w:rsidRPr="00735A94">
          <w:rPr>
            <w:rStyle w:val="Hyperlink"/>
            <w:noProof/>
          </w:rPr>
          <w:t>Definitions and interpretation</w:t>
        </w:r>
        <w:r w:rsidR="00715488">
          <w:rPr>
            <w:noProof/>
            <w:webHidden/>
          </w:rPr>
          <w:tab/>
        </w:r>
        <w:r w:rsidR="00715488">
          <w:rPr>
            <w:noProof/>
            <w:webHidden/>
          </w:rPr>
          <w:fldChar w:fldCharType="begin"/>
        </w:r>
        <w:r w:rsidR="00715488">
          <w:rPr>
            <w:noProof/>
            <w:webHidden/>
          </w:rPr>
          <w:instrText xml:space="preserve"> PAGEREF _Toc361391051 \h </w:instrText>
        </w:r>
        <w:r w:rsidR="00715488">
          <w:rPr>
            <w:noProof/>
            <w:webHidden/>
          </w:rPr>
        </w:r>
        <w:r w:rsidR="00715488">
          <w:rPr>
            <w:noProof/>
            <w:webHidden/>
          </w:rPr>
          <w:fldChar w:fldCharType="separate"/>
        </w:r>
        <w:r w:rsidR="00C370FE">
          <w:rPr>
            <w:noProof/>
            <w:webHidden/>
          </w:rPr>
          <w:t>4</w:t>
        </w:r>
        <w:r w:rsidR="00715488">
          <w:rPr>
            <w:noProof/>
            <w:webHidden/>
          </w:rPr>
          <w:fldChar w:fldCharType="end"/>
        </w:r>
      </w:hyperlink>
    </w:p>
    <w:p w:rsidR="00715488" w:rsidRDefault="00303043">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61391052" w:history="1">
        <w:r w:rsidR="00715488" w:rsidRPr="00735A94">
          <w:rPr>
            <w:rStyle w:val="Hyperlink"/>
            <w:noProof/>
          </w:rPr>
          <w:t>1.5</w:t>
        </w:r>
        <w:r w:rsidR="00715488">
          <w:rPr>
            <w:rFonts w:asciiTheme="minorHAnsi" w:eastAsiaTheme="minorEastAsia" w:hAnsiTheme="minorHAnsi" w:cstheme="minorBidi"/>
            <w:iCs w:val="0"/>
            <w:noProof/>
            <w:sz w:val="22"/>
            <w:szCs w:val="22"/>
            <w:lang w:eastAsia="en-AU"/>
          </w:rPr>
          <w:tab/>
        </w:r>
        <w:r w:rsidR="00715488" w:rsidRPr="00735A94">
          <w:rPr>
            <w:rStyle w:val="Hyperlink"/>
            <w:noProof/>
          </w:rPr>
          <w:t>Process for revision</w:t>
        </w:r>
        <w:r w:rsidR="00715488">
          <w:rPr>
            <w:noProof/>
            <w:webHidden/>
          </w:rPr>
          <w:tab/>
        </w:r>
        <w:r w:rsidR="00715488">
          <w:rPr>
            <w:noProof/>
            <w:webHidden/>
          </w:rPr>
          <w:fldChar w:fldCharType="begin"/>
        </w:r>
        <w:r w:rsidR="00715488">
          <w:rPr>
            <w:noProof/>
            <w:webHidden/>
          </w:rPr>
          <w:instrText xml:space="preserve"> PAGEREF _Toc361391052 \h </w:instrText>
        </w:r>
        <w:r w:rsidR="00715488">
          <w:rPr>
            <w:noProof/>
            <w:webHidden/>
          </w:rPr>
        </w:r>
        <w:r w:rsidR="00715488">
          <w:rPr>
            <w:noProof/>
            <w:webHidden/>
          </w:rPr>
          <w:fldChar w:fldCharType="separate"/>
        </w:r>
        <w:r w:rsidR="00C370FE">
          <w:rPr>
            <w:noProof/>
            <w:webHidden/>
          </w:rPr>
          <w:t>4</w:t>
        </w:r>
        <w:r w:rsidR="00715488">
          <w:rPr>
            <w:noProof/>
            <w:webHidden/>
          </w:rPr>
          <w:fldChar w:fldCharType="end"/>
        </w:r>
      </w:hyperlink>
    </w:p>
    <w:p w:rsidR="00715488" w:rsidRDefault="00303043">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61391053" w:history="1">
        <w:r w:rsidR="00715488" w:rsidRPr="00735A94">
          <w:rPr>
            <w:rStyle w:val="Hyperlink"/>
            <w:noProof/>
          </w:rPr>
          <w:t>1.6</w:t>
        </w:r>
        <w:r w:rsidR="00715488">
          <w:rPr>
            <w:rFonts w:asciiTheme="minorHAnsi" w:eastAsiaTheme="minorEastAsia" w:hAnsiTheme="minorHAnsi" w:cstheme="minorBidi"/>
            <w:iCs w:val="0"/>
            <w:noProof/>
            <w:sz w:val="22"/>
            <w:szCs w:val="22"/>
            <w:lang w:eastAsia="en-AU"/>
          </w:rPr>
          <w:tab/>
        </w:r>
        <w:r w:rsidR="00715488" w:rsidRPr="00735A94">
          <w:rPr>
            <w:rStyle w:val="Hyperlink"/>
            <w:noProof/>
          </w:rPr>
          <w:t>Version history and effective date</w:t>
        </w:r>
        <w:r w:rsidR="00715488">
          <w:rPr>
            <w:noProof/>
            <w:webHidden/>
          </w:rPr>
          <w:tab/>
        </w:r>
        <w:r w:rsidR="00715488">
          <w:rPr>
            <w:noProof/>
            <w:webHidden/>
          </w:rPr>
          <w:fldChar w:fldCharType="begin"/>
        </w:r>
        <w:r w:rsidR="00715488">
          <w:rPr>
            <w:noProof/>
            <w:webHidden/>
          </w:rPr>
          <w:instrText xml:space="preserve"> PAGEREF _Toc361391053 \h </w:instrText>
        </w:r>
        <w:r w:rsidR="00715488">
          <w:rPr>
            <w:noProof/>
            <w:webHidden/>
          </w:rPr>
        </w:r>
        <w:r w:rsidR="00715488">
          <w:rPr>
            <w:noProof/>
            <w:webHidden/>
          </w:rPr>
          <w:fldChar w:fldCharType="separate"/>
        </w:r>
        <w:r w:rsidR="00C370FE">
          <w:rPr>
            <w:noProof/>
            <w:webHidden/>
          </w:rPr>
          <w:t>4</w:t>
        </w:r>
        <w:r w:rsidR="00715488">
          <w:rPr>
            <w:noProof/>
            <w:webHidden/>
          </w:rPr>
          <w:fldChar w:fldCharType="end"/>
        </w:r>
      </w:hyperlink>
    </w:p>
    <w:p w:rsidR="00715488" w:rsidRDefault="00303043">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361391054" w:history="1">
        <w:r w:rsidR="00715488" w:rsidRPr="00735A94">
          <w:rPr>
            <w:rStyle w:val="Hyperlink"/>
            <w:noProof/>
          </w:rPr>
          <w:t>2</w:t>
        </w:r>
        <w:r w:rsidR="00715488">
          <w:rPr>
            <w:rFonts w:asciiTheme="minorHAnsi" w:eastAsiaTheme="minorEastAsia" w:hAnsiTheme="minorHAnsi" w:cstheme="minorBidi"/>
            <w:b w:val="0"/>
            <w:bCs w:val="0"/>
            <w:noProof/>
            <w:sz w:val="22"/>
            <w:szCs w:val="22"/>
            <w:lang w:eastAsia="en-AU"/>
          </w:rPr>
          <w:tab/>
        </w:r>
        <w:r w:rsidR="00715488" w:rsidRPr="00735A94">
          <w:rPr>
            <w:rStyle w:val="Hyperlink"/>
            <w:noProof/>
          </w:rPr>
          <w:t>Overview of the Guideline</w:t>
        </w:r>
        <w:r w:rsidR="00715488">
          <w:rPr>
            <w:noProof/>
            <w:webHidden/>
          </w:rPr>
          <w:tab/>
        </w:r>
        <w:r w:rsidR="00715488">
          <w:rPr>
            <w:noProof/>
            <w:webHidden/>
          </w:rPr>
          <w:fldChar w:fldCharType="begin"/>
        </w:r>
        <w:r w:rsidR="00715488">
          <w:rPr>
            <w:noProof/>
            <w:webHidden/>
          </w:rPr>
          <w:instrText xml:space="preserve"> PAGEREF _Toc361391054 \h </w:instrText>
        </w:r>
        <w:r w:rsidR="00715488">
          <w:rPr>
            <w:noProof/>
            <w:webHidden/>
          </w:rPr>
        </w:r>
        <w:r w:rsidR="00715488">
          <w:rPr>
            <w:noProof/>
            <w:webHidden/>
          </w:rPr>
          <w:fldChar w:fldCharType="separate"/>
        </w:r>
        <w:r w:rsidR="00C370FE">
          <w:rPr>
            <w:noProof/>
            <w:webHidden/>
          </w:rPr>
          <w:t>5</w:t>
        </w:r>
        <w:r w:rsidR="00715488">
          <w:rPr>
            <w:noProof/>
            <w:webHidden/>
          </w:rPr>
          <w:fldChar w:fldCharType="end"/>
        </w:r>
      </w:hyperlink>
    </w:p>
    <w:p w:rsidR="00715488" w:rsidRDefault="00303043">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61391055" w:history="1">
        <w:r w:rsidR="00715488" w:rsidRPr="00735A94">
          <w:rPr>
            <w:rStyle w:val="Hyperlink"/>
            <w:noProof/>
          </w:rPr>
          <w:t>2.1</w:t>
        </w:r>
        <w:r w:rsidR="00715488">
          <w:rPr>
            <w:rFonts w:asciiTheme="minorHAnsi" w:eastAsiaTheme="minorEastAsia" w:hAnsiTheme="minorHAnsi" w:cstheme="minorBidi"/>
            <w:iCs w:val="0"/>
            <w:noProof/>
            <w:sz w:val="22"/>
            <w:szCs w:val="22"/>
            <w:lang w:eastAsia="en-AU"/>
          </w:rPr>
          <w:tab/>
        </w:r>
        <w:r w:rsidR="00715488" w:rsidRPr="00735A94">
          <w:rPr>
            <w:rStyle w:val="Hyperlink"/>
            <w:noProof/>
          </w:rPr>
          <w:t>Introduction</w:t>
        </w:r>
        <w:r w:rsidR="00715488">
          <w:rPr>
            <w:noProof/>
            <w:webHidden/>
          </w:rPr>
          <w:tab/>
        </w:r>
        <w:r w:rsidR="00715488">
          <w:rPr>
            <w:noProof/>
            <w:webHidden/>
          </w:rPr>
          <w:fldChar w:fldCharType="begin"/>
        </w:r>
        <w:r w:rsidR="00715488">
          <w:rPr>
            <w:noProof/>
            <w:webHidden/>
          </w:rPr>
          <w:instrText xml:space="preserve"> PAGEREF _Toc361391055 \h </w:instrText>
        </w:r>
        <w:r w:rsidR="00715488">
          <w:rPr>
            <w:noProof/>
            <w:webHidden/>
          </w:rPr>
        </w:r>
        <w:r w:rsidR="00715488">
          <w:rPr>
            <w:noProof/>
            <w:webHidden/>
          </w:rPr>
          <w:fldChar w:fldCharType="separate"/>
        </w:r>
        <w:r w:rsidR="00C370FE">
          <w:rPr>
            <w:noProof/>
            <w:webHidden/>
          </w:rPr>
          <w:t>5</w:t>
        </w:r>
        <w:r w:rsidR="00715488">
          <w:rPr>
            <w:noProof/>
            <w:webHidden/>
          </w:rPr>
          <w:fldChar w:fldCharType="end"/>
        </w:r>
      </w:hyperlink>
    </w:p>
    <w:p w:rsidR="00715488" w:rsidRDefault="00303043">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61391056" w:history="1">
        <w:r w:rsidR="00715488" w:rsidRPr="00735A94">
          <w:rPr>
            <w:rStyle w:val="Hyperlink"/>
            <w:noProof/>
          </w:rPr>
          <w:t>2.2</w:t>
        </w:r>
        <w:r w:rsidR="00715488">
          <w:rPr>
            <w:rFonts w:asciiTheme="minorHAnsi" w:eastAsiaTheme="minorEastAsia" w:hAnsiTheme="minorHAnsi" w:cstheme="minorBidi"/>
            <w:iCs w:val="0"/>
            <w:noProof/>
            <w:sz w:val="22"/>
            <w:szCs w:val="22"/>
            <w:lang w:eastAsia="en-AU"/>
          </w:rPr>
          <w:tab/>
        </w:r>
        <w:r w:rsidR="00715488" w:rsidRPr="00735A94">
          <w:rPr>
            <w:rStyle w:val="Hyperlink"/>
            <w:noProof/>
          </w:rPr>
          <w:t>Structure of the Guideline</w:t>
        </w:r>
        <w:r w:rsidR="00715488">
          <w:rPr>
            <w:noProof/>
            <w:webHidden/>
          </w:rPr>
          <w:tab/>
        </w:r>
        <w:r w:rsidR="00715488">
          <w:rPr>
            <w:noProof/>
            <w:webHidden/>
          </w:rPr>
          <w:fldChar w:fldCharType="begin"/>
        </w:r>
        <w:r w:rsidR="00715488">
          <w:rPr>
            <w:noProof/>
            <w:webHidden/>
          </w:rPr>
          <w:instrText xml:space="preserve"> PAGEREF _Toc361391056 \h </w:instrText>
        </w:r>
        <w:r w:rsidR="00715488">
          <w:rPr>
            <w:noProof/>
            <w:webHidden/>
          </w:rPr>
        </w:r>
        <w:r w:rsidR="00715488">
          <w:rPr>
            <w:noProof/>
            <w:webHidden/>
          </w:rPr>
          <w:fldChar w:fldCharType="separate"/>
        </w:r>
        <w:r w:rsidR="00C370FE">
          <w:rPr>
            <w:noProof/>
            <w:webHidden/>
          </w:rPr>
          <w:t>5</w:t>
        </w:r>
        <w:r w:rsidR="00715488">
          <w:rPr>
            <w:noProof/>
            <w:webHidden/>
          </w:rPr>
          <w:fldChar w:fldCharType="end"/>
        </w:r>
      </w:hyperlink>
    </w:p>
    <w:p w:rsidR="00715488" w:rsidRDefault="00303043">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61391057" w:history="1">
        <w:r w:rsidR="00715488" w:rsidRPr="00735A94">
          <w:rPr>
            <w:rStyle w:val="Hyperlink"/>
            <w:noProof/>
          </w:rPr>
          <w:t>2.3</w:t>
        </w:r>
        <w:r w:rsidR="00715488">
          <w:rPr>
            <w:rFonts w:asciiTheme="minorHAnsi" w:eastAsiaTheme="minorEastAsia" w:hAnsiTheme="minorHAnsi" w:cstheme="minorBidi"/>
            <w:iCs w:val="0"/>
            <w:noProof/>
            <w:sz w:val="22"/>
            <w:szCs w:val="22"/>
            <w:lang w:eastAsia="en-AU"/>
          </w:rPr>
          <w:tab/>
        </w:r>
        <w:r w:rsidR="00715488" w:rsidRPr="00735A94">
          <w:rPr>
            <w:rStyle w:val="Hyperlink"/>
            <w:noProof/>
          </w:rPr>
          <w:t>Transitional issues</w:t>
        </w:r>
        <w:r w:rsidR="00715488">
          <w:rPr>
            <w:noProof/>
            <w:webHidden/>
          </w:rPr>
          <w:tab/>
        </w:r>
        <w:r w:rsidR="00715488">
          <w:rPr>
            <w:noProof/>
            <w:webHidden/>
          </w:rPr>
          <w:fldChar w:fldCharType="begin"/>
        </w:r>
        <w:r w:rsidR="00715488">
          <w:rPr>
            <w:noProof/>
            <w:webHidden/>
          </w:rPr>
          <w:instrText xml:space="preserve"> PAGEREF _Toc361391057 \h </w:instrText>
        </w:r>
        <w:r w:rsidR="00715488">
          <w:rPr>
            <w:noProof/>
            <w:webHidden/>
          </w:rPr>
        </w:r>
        <w:r w:rsidR="00715488">
          <w:rPr>
            <w:noProof/>
            <w:webHidden/>
          </w:rPr>
          <w:fldChar w:fldCharType="separate"/>
        </w:r>
        <w:r w:rsidR="00C370FE">
          <w:rPr>
            <w:noProof/>
            <w:webHidden/>
          </w:rPr>
          <w:t>5</w:t>
        </w:r>
        <w:r w:rsidR="00715488">
          <w:rPr>
            <w:noProof/>
            <w:webHidden/>
          </w:rPr>
          <w:fldChar w:fldCharType="end"/>
        </w:r>
      </w:hyperlink>
    </w:p>
    <w:p w:rsidR="00715488" w:rsidRDefault="00303043">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361391058" w:history="1">
        <w:r w:rsidR="00715488" w:rsidRPr="00735A94">
          <w:rPr>
            <w:rStyle w:val="Hyperlink"/>
            <w:noProof/>
          </w:rPr>
          <w:t>3</w:t>
        </w:r>
        <w:r w:rsidR="00715488">
          <w:rPr>
            <w:rFonts w:asciiTheme="minorHAnsi" w:eastAsiaTheme="minorEastAsia" w:hAnsiTheme="minorHAnsi" w:cstheme="minorBidi"/>
            <w:b w:val="0"/>
            <w:bCs w:val="0"/>
            <w:noProof/>
            <w:sz w:val="22"/>
            <w:szCs w:val="22"/>
            <w:lang w:eastAsia="en-AU"/>
          </w:rPr>
          <w:tab/>
        </w:r>
        <w:r w:rsidR="00715488" w:rsidRPr="00735A94">
          <w:rPr>
            <w:rStyle w:val="Hyperlink"/>
            <w:noProof/>
          </w:rPr>
          <w:t>Assessment approach</w:t>
        </w:r>
        <w:r w:rsidR="00715488">
          <w:rPr>
            <w:noProof/>
            <w:webHidden/>
          </w:rPr>
          <w:tab/>
        </w:r>
        <w:r w:rsidR="00715488">
          <w:rPr>
            <w:noProof/>
            <w:webHidden/>
          </w:rPr>
          <w:fldChar w:fldCharType="begin"/>
        </w:r>
        <w:r w:rsidR="00715488">
          <w:rPr>
            <w:noProof/>
            <w:webHidden/>
          </w:rPr>
          <w:instrText xml:space="preserve"> PAGEREF _Toc361391058 \h </w:instrText>
        </w:r>
        <w:r w:rsidR="00715488">
          <w:rPr>
            <w:noProof/>
            <w:webHidden/>
          </w:rPr>
        </w:r>
        <w:r w:rsidR="00715488">
          <w:rPr>
            <w:noProof/>
            <w:webHidden/>
          </w:rPr>
          <w:fldChar w:fldCharType="separate"/>
        </w:r>
        <w:r w:rsidR="00C370FE">
          <w:rPr>
            <w:noProof/>
            <w:webHidden/>
          </w:rPr>
          <w:t>6</w:t>
        </w:r>
        <w:r w:rsidR="00715488">
          <w:rPr>
            <w:noProof/>
            <w:webHidden/>
          </w:rPr>
          <w:fldChar w:fldCharType="end"/>
        </w:r>
      </w:hyperlink>
    </w:p>
    <w:p w:rsidR="00715488" w:rsidRDefault="00303043">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61391059" w:history="1">
        <w:r w:rsidR="00715488" w:rsidRPr="00735A94">
          <w:rPr>
            <w:rStyle w:val="Hyperlink"/>
            <w:noProof/>
          </w:rPr>
          <w:t>3.1</w:t>
        </w:r>
        <w:r w:rsidR="00715488">
          <w:rPr>
            <w:rFonts w:asciiTheme="minorHAnsi" w:eastAsiaTheme="minorEastAsia" w:hAnsiTheme="minorHAnsi" w:cstheme="minorBidi"/>
            <w:iCs w:val="0"/>
            <w:noProof/>
            <w:sz w:val="22"/>
            <w:szCs w:val="22"/>
            <w:lang w:eastAsia="en-AU"/>
          </w:rPr>
          <w:tab/>
        </w:r>
        <w:r w:rsidR="00715488" w:rsidRPr="00735A94">
          <w:rPr>
            <w:rStyle w:val="Hyperlink"/>
            <w:noProof/>
          </w:rPr>
          <w:t>The AER's task</w:t>
        </w:r>
        <w:r w:rsidR="00715488">
          <w:rPr>
            <w:noProof/>
            <w:webHidden/>
          </w:rPr>
          <w:tab/>
        </w:r>
        <w:r w:rsidR="00715488">
          <w:rPr>
            <w:noProof/>
            <w:webHidden/>
          </w:rPr>
          <w:fldChar w:fldCharType="begin"/>
        </w:r>
        <w:r w:rsidR="00715488">
          <w:rPr>
            <w:noProof/>
            <w:webHidden/>
          </w:rPr>
          <w:instrText xml:space="preserve"> PAGEREF _Toc361391059 \h </w:instrText>
        </w:r>
        <w:r w:rsidR="00715488">
          <w:rPr>
            <w:noProof/>
            <w:webHidden/>
          </w:rPr>
        </w:r>
        <w:r w:rsidR="00715488">
          <w:rPr>
            <w:noProof/>
            <w:webHidden/>
          </w:rPr>
          <w:fldChar w:fldCharType="separate"/>
        </w:r>
        <w:r w:rsidR="00C370FE">
          <w:rPr>
            <w:noProof/>
            <w:webHidden/>
          </w:rPr>
          <w:t>6</w:t>
        </w:r>
        <w:r w:rsidR="00715488">
          <w:rPr>
            <w:noProof/>
            <w:webHidden/>
          </w:rPr>
          <w:fldChar w:fldCharType="end"/>
        </w:r>
      </w:hyperlink>
    </w:p>
    <w:p w:rsidR="00715488" w:rsidRDefault="00303043">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61391060" w:history="1">
        <w:r w:rsidR="00715488" w:rsidRPr="00735A94">
          <w:rPr>
            <w:rStyle w:val="Hyperlink"/>
            <w:noProof/>
          </w:rPr>
          <w:t>3.2</w:t>
        </w:r>
        <w:r w:rsidR="00715488">
          <w:rPr>
            <w:rFonts w:asciiTheme="minorHAnsi" w:eastAsiaTheme="minorEastAsia" w:hAnsiTheme="minorHAnsi" w:cstheme="minorBidi"/>
            <w:iCs w:val="0"/>
            <w:noProof/>
            <w:sz w:val="22"/>
            <w:szCs w:val="22"/>
            <w:lang w:eastAsia="en-AU"/>
          </w:rPr>
          <w:tab/>
        </w:r>
        <w:r w:rsidR="00715488" w:rsidRPr="00735A94">
          <w:rPr>
            <w:rStyle w:val="Hyperlink"/>
            <w:noProof/>
          </w:rPr>
          <w:t>General approach</w:t>
        </w:r>
        <w:r w:rsidR="00715488">
          <w:rPr>
            <w:noProof/>
            <w:webHidden/>
          </w:rPr>
          <w:tab/>
        </w:r>
        <w:r w:rsidR="00715488">
          <w:rPr>
            <w:noProof/>
            <w:webHidden/>
          </w:rPr>
          <w:fldChar w:fldCharType="begin"/>
        </w:r>
        <w:r w:rsidR="00715488">
          <w:rPr>
            <w:noProof/>
            <w:webHidden/>
          </w:rPr>
          <w:instrText xml:space="preserve"> PAGEREF _Toc361391060 \h </w:instrText>
        </w:r>
        <w:r w:rsidR="00715488">
          <w:rPr>
            <w:noProof/>
            <w:webHidden/>
          </w:rPr>
        </w:r>
        <w:r w:rsidR="00715488">
          <w:rPr>
            <w:noProof/>
            <w:webHidden/>
          </w:rPr>
          <w:fldChar w:fldCharType="separate"/>
        </w:r>
        <w:r w:rsidR="00C370FE">
          <w:rPr>
            <w:noProof/>
            <w:webHidden/>
          </w:rPr>
          <w:t>7</w:t>
        </w:r>
        <w:r w:rsidR="00715488">
          <w:rPr>
            <w:noProof/>
            <w:webHidden/>
          </w:rPr>
          <w:fldChar w:fldCharType="end"/>
        </w:r>
      </w:hyperlink>
    </w:p>
    <w:p w:rsidR="00715488" w:rsidRDefault="00303043">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61391061" w:history="1">
        <w:r w:rsidR="00715488" w:rsidRPr="00735A94">
          <w:rPr>
            <w:rStyle w:val="Hyperlink"/>
            <w:noProof/>
          </w:rPr>
          <w:t>3.3</w:t>
        </w:r>
        <w:r w:rsidR="00715488">
          <w:rPr>
            <w:rFonts w:asciiTheme="minorHAnsi" w:eastAsiaTheme="minorEastAsia" w:hAnsiTheme="minorHAnsi" w:cstheme="minorBidi"/>
            <w:iCs w:val="0"/>
            <w:noProof/>
            <w:sz w:val="22"/>
            <w:szCs w:val="22"/>
            <w:lang w:eastAsia="en-AU"/>
          </w:rPr>
          <w:tab/>
        </w:r>
        <w:r w:rsidR="00715488" w:rsidRPr="00735A94">
          <w:rPr>
            <w:rStyle w:val="Hyperlink"/>
            <w:noProof/>
          </w:rPr>
          <w:t>Assessment techniques</w:t>
        </w:r>
        <w:r w:rsidR="00715488">
          <w:rPr>
            <w:noProof/>
            <w:webHidden/>
          </w:rPr>
          <w:tab/>
        </w:r>
        <w:r w:rsidR="00715488">
          <w:rPr>
            <w:noProof/>
            <w:webHidden/>
          </w:rPr>
          <w:fldChar w:fldCharType="begin"/>
        </w:r>
        <w:r w:rsidR="00715488">
          <w:rPr>
            <w:noProof/>
            <w:webHidden/>
          </w:rPr>
          <w:instrText xml:space="preserve"> PAGEREF _Toc361391061 \h </w:instrText>
        </w:r>
        <w:r w:rsidR="00715488">
          <w:rPr>
            <w:noProof/>
            <w:webHidden/>
          </w:rPr>
        </w:r>
        <w:r w:rsidR="00715488">
          <w:rPr>
            <w:noProof/>
            <w:webHidden/>
          </w:rPr>
          <w:fldChar w:fldCharType="separate"/>
        </w:r>
        <w:r w:rsidR="00C370FE">
          <w:rPr>
            <w:noProof/>
            <w:webHidden/>
          </w:rPr>
          <w:t>8</w:t>
        </w:r>
        <w:r w:rsidR="00715488">
          <w:rPr>
            <w:noProof/>
            <w:webHidden/>
          </w:rPr>
          <w:fldChar w:fldCharType="end"/>
        </w:r>
      </w:hyperlink>
    </w:p>
    <w:p w:rsidR="00715488" w:rsidRDefault="00303043">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361391062" w:history="1">
        <w:r w:rsidR="00715488" w:rsidRPr="00735A94">
          <w:rPr>
            <w:rStyle w:val="Hyperlink"/>
            <w:noProof/>
          </w:rPr>
          <w:t>4</w:t>
        </w:r>
        <w:r w:rsidR="00715488">
          <w:rPr>
            <w:rFonts w:asciiTheme="minorHAnsi" w:eastAsiaTheme="minorEastAsia" w:hAnsiTheme="minorHAnsi" w:cstheme="minorBidi"/>
            <w:b w:val="0"/>
            <w:bCs w:val="0"/>
            <w:noProof/>
            <w:sz w:val="22"/>
            <w:szCs w:val="22"/>
            <w:lang w:eastAsia="en-AU"/>
          </w:rPr>
          <w:tab/>
        </w:r>
        <w:r w:rsidR="00715488" w:rsidRPr="00735A94">
          <w:rPr>
            <w:rStyle w:val="Hyperlink"/>
            <w:noProof/>
          </w:rPr>
          <w:t>Capital expenditure assessment approach</w:t>
        </w:r>
        <w:r w:rsidR="00715488">
          <w:rPr>
            <w:noProof/>
            <w:webHidden/>
          </w:rPr>
          <w:tab/>
        </w:r>
        <w:r w:rsidR="00715488">
          <w:rPr>
            <w:noProof/>
            <w:webHidden/>
          </w:rPr>
          <w:fldChar w:fldCharType="begin"/>
        </w:r>
        <w:r w:rsidR="00715488">
          <w:rPr>
            <w:noProof/>
            <w:webHidden/>
          </w:rPr>
          <w:instrText xml:space="preserve"> PAGEREF _Toc361391062 \h </w:instrText>
        </w:r>
        <w:r w:rsidR="00715488">
          <w:rPr>
            <w:noProof/>
            <w:webHidden/>
          </w:rPr>
        </w:r>
        <w:r w:rsidR="00715488">
          <w:rPr>
            <w:noProof/>
            <w:webHidden/>
          </w:rPr>
          <w:fldChar w:fldCharType="separate"/>
        </w:r>
        <w:r w:rsidR="00C370FE">
          <w:rPr>
            <w:noProof/>
            <w:webHidden/>
          </w:rPr>
          <w:t>12</w:t>
        </w:r>
        <w:r w:rsidR="00715488">
          <w:rPr>
            <w:noProof/>
            <w:webHidden/>
          </w:rPr>
          <w:fldChar w:fldCharType="end"/>
        </w:r>
      </w:hyperlink>
    </w:p>
    <w:p w:rsidR="00715488" w:rsidRDefault="00303043">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61391063" w:history="1">
        <w:r w:rsidR="00715488" w:rsidRPr="00735A94">
          <w:rPr>
            <w:rStyle w:val="Hyperlink"/>
            <w:noProof/>
          </w:rPr>
          <w:t>4.1</w:t>
        </w:r>
        <w:r w:rsidR="00715488">
          <w:rPr>
            <w:rFonts w:asciiTheme="minorHAnsi" w:eastAsiaTheme="minorEastAsia" w:hAnsiTheme="minorHAnsi" w:cstheme="minorBidi"/>
            <w:iCs w:val="0"/>
            <w:noProof/>
            <w:sz w:val="22"/>
            <w:szCs w:val="22"/>
            <w:lang w:eastAsia="en-AU"/>
          </w:rPr>
          <w:tab/>
        </w:r>
        <w:r w:rsidR="00715488" w:rsidRPr="00735A94">
          <w:rPr>
            <w:rStyle w:val="Hyperlink"/>
            <w:noProof/>
          </w:rPr>
          <w:t>Replacement capex</w:t>
        </w:r>
        <w:r w:rsidR="00715488">
          <w:rPr>
            <w:noProof/>
            <w:webHidden/>
          </w:rPr>
          <w:tab/>
        </w:r>
        <w:r w:rsidR="00715488">
          <w:rPr>
            <w:noProof/>
            <w:webHidden/>
          </w:rPr>
          <w:fldChar w:fldCharType="begin"/>
        </w:r>
        <w:r w:rsidR="00715488">
          <w:rPr>
            <w:noProof/>
            <w:webHidden/>
          </w:rPr>
          <w:instrText xml:space="preserve"> PAGEREF _Toc361391063 \h </w:instrText>
        </w:r>
        <w:r w:rsidR="00715488">
          <w:rPr>
            <w:noProof/>
            <w:webHidden/>
          </w:rPr>
        </w:r>
        <w:r w:rsidR="00715488">
          <w:rPr>
            <w:noProof/>
            <w:webHidden/>
          </w:rPr>
          <w:fldChar w:fldCharType="separate"/>
        </w:r>
        <w:r w:rsidR="00C370FE">
          <w:rPr>
            <w:noProof/>
            <w:webHidden/>
          </w:rPr>
          <w:t>12</w:t>
        </w:r>
        <w:r w:rsidR="00715488">
          <w:rPr>
            <w:noProof/>
            <w:webHidden/>
          </w:rPr>
          <w:fldChar w:fldCharType="end"/>
        </w:r>
      </w:hyperlink>
    </w:p>
    <w:p w:rsidR="00715488" w:rsidRDefault="00303043">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61391064" w:history="1">
        <w:r w:rsidR="00715488" w:rsidRPr="00735A94">
          <w:rPr>
            <w:rStyle w:val="Hyperlink"/>
            <w:noProof/>
          </w:rPr>
          <w:t>4.2</w:t>
        </w:r>
        <w:r w:rsidR="00715488">
          <w:rPr>
            <w:rFonts w:asciiTheme="minorHAnsi" w:eastAsiaTheme="minorEastAsia" w:hAnsiTheme="minorHAnsi" w:cstheme="minorBidi"/>
            <w:iCs w:val="0"/>
            <w:noProof/>
            <w:sz w:val="22"/>
            <w:szCs w:val="22"/>
            <w:lang w:eastAsia="en-AU"/>
          </w:rPr>
          <w:tab/>
        </w:r>
        <w:r w:rsidR="00715488" w:rsidRPr="00735A94">
          <w:rPr>
            <w:rStyle w:val="Hyperlink"/>
            <w:noProof/>
          </w:rPr>
          <w:t>Augmentation capex</w:t>
        </w:r>
        <w:r w:rsidR="00715488">
          <w:rPr>
            <w:noProof/>
            <w:webHidden/>
          </w:rPr>
          <w:tab/>
        </w:r>
        <w:r w:rsidR="00715488">
          <w:rPr>
            <w:noProof/>
            <w:webHidden/>
          </w:rPr>
          <w:fldChar w:fldCharType="begin"/>
        </w:r>
        <w:r w:rsidR="00715488">
          <w:rPr>
            <w:noProof/>
            <w:webHidden/>
          </w:rPr>
          <w:instrText xml:space="preserve"> PAGEREF _Toc361391064 \h </w:instrText>
        </w:r>
        <w:r w:rsidR="00715488">
          <w:rPr>
            <w:noProof/>
            <w:webHidden/>
          </w:rPr>
        </w:r>
        <w:r w:rsidR="00715488">
          <w:rPr>
            <w:noProof/>
            <w:webHidden/>
          </w:rPr>
          <w:fldChar w:fldCharType="separate"/>
        </w:r>
        <w:r w:rsidR="00C370FE">
          <w:rPr>
            <w:noProof/>
            <w:webHidden/>
          </w:rPr>
          <w:t>13</w:t>
        </w:r>
        <w:r w:rsidR="00715488">
          <w:rPr>
            <w:noProof/>
            <w:webHidden/>
          </w:rPr>
          <w:fldChar w:fldCharType="end"/>
        </w:r>
      </w:hyperlink>
    </w:p>
    <w:p w:rsidR="00715488" w:rsidRDefault="00303043">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61391065" w:history="1">
        <w:r w:rsidR="00715488" w:rsidRPr="00735A94">
          <w:rPr>
            <w:rStyle w:val="Hyperlink"/>
            <w:noProof/>
          </w:rPr>
          <w:t>4.3</w:t>
        </w:r>
        <w:r w:rsidR="00715488">
          <w:rPr>
            <w:rFonts w:asciiTheme="minorHAnsi" w:eastAsiaTheme="minorEastAsia" w:hAnsiTheme="minorHAnsi" w:cstheme="minorBidi"/>
            <w:iCs w:val="0"/>
            <w:noProof/>
            <w:sz w:val="22"/>
            <w:szCs w:val="22"/>
            <w:lang w:eastAsia="en-AU"/>
          </w:rPr>
          <w:tab/>
        </w:r>
        <w:r w:rsidR="00715488" w:rsidRPr="00735A94">
          <w:rPr>
            <w:rStyle w:val="Hyperlink"/>
            <w:noProof/>
          </w:rPr>
          <w:t>Connections and customer driven works capex</w:t>
        </w:r>
        <w:r w:rsidR="00715488">
          <w:rPr>
            <w:noProof/>
            <w:webHidden/>
          </w:rPr>
          <w:tab/>
        </w:r>
        <w:r w:rsidR="00715488">
          <w:rPr>
            <w:noProof/>
            <w:webHidden/>
          </w:rPr>
          <w:fldChar w:fldCharType="begin"/>
        </w:r>
        <w:r w:rsidR="00715488">
          <w:rPr>
            <w:noProof/>
            <w:webHidden/>
          </w:rPr>
          <w:instrText xml:space="preserve"> PAGEREF _Toc361391065 \h </w:instrText>
        </w:r>
        <w:r w:rsidR="00715488">
          <w:rPr>
            <w:noProof/>
            <w:webHidden/>
          </w:rPr>
        </w:r>
        <w:r w:rsidR="00715488">
          <w:rPr>
            <w:noProof/>
            <w:webHidden/>
          </w:rPr>
          <w:fldChar w:fldCharType="separate"/>
        </w:r>
        <w:r w:rsidR="00C370FE">
          <w:rPr>
            <w:noProof/>
            <w:webHidden/>
          </w:rPr>
          <w:t>14</w:t>
        </w:r>
        <w:r w:rsidR="00715488">
          <w:rPr>
            <w:noProof/>
            <w:webHidden/>
          </w:rPr>
          <w:fldChar w:fldCharType="end"/>
        </w:r>
      </w:hyperlink>
    </w:p>
    <w:p w:rsidR="00715488" w:rsidRDefault="00303043">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61391066" w:history="1">
        <w:r w:rsidR="00715488" w:rsidRPr="00735A94">
          <w:rPr>
            <w:rStyle w:val="Hyperlink"/>
            <w:noProof/>
          </w:rPr>
          <w:t>4.4</w:t>
        </w:r>
        <w:r w:rsidR="00715488">
          <w:rPr>
            <w:rFonts w:asciiTheme="minorHAnsi" w:eastAsiaTheme="minorEastAsia" w:hAnsiTheme="minorHAnsi" w:cstheme="minorBidi"/>
            <w:iCs w:val="0"/>
            <w:noProof/>
            <w:sz w:val="22"/>
            <w:szCs w:val="22"/>
            <w:lang w:eastAsia="en-AU"/>
          </w:rPr>
          <w:tab/>
        </w:r>
        <w:r w:rsidR="00715488" w:rsidRPr="00735A94">
          <w:rPr>
            <w:rStyle w:val="Hyperlink"/>
            <w:noProof/>
          </w:rPr>
          <w:t>Non-network capex</w:t>
        </w:r>
        <w:r w:rsidR="00715488">
          <w:rPr>
            <w:noProof/>
            <w:webHidden/>
          </w:rPr>
          <w:tab/>
        </w:r>
        <w:r w:rsidR="00715488">
          <w:rPr>
            <w:noProof/>
            <w:webHidden/>
          </w:rPr>
          <w:fldChar w:fldCharType="begin"/>
        </w:r>
        <w:r w:rsidR="00715488">
          <w:rPr>
            <w:noProof/>
            <w:webHidden/>
          </w:rPr>
          <w:instrText xml:space="preserve"> PAGEREF _Toc361391066 \h </w:instrText>
        </w:r>
        <w:r w:rsidR="00715488">
          <w:rPr>
            <w:noProof/>
            <w:webHidden/>
          </w:rPr>
        </w:r>
        <w:r w:rsidR="00715488">
          <w:rPr>
            <w:noProof/>
            <w:webHidden/>
          </w:rPr>
          <w:fldChar w:fldCharType="separate"/>
        </w:r>
        <w:r w:rsidR="00C370FE">
          <w:rPr>
            <w:noProof/>
            <w:webHidden/>
          </w:rPr>
          <w:t>14</w:t>
        </w:r>
        <w:r w:rsidR="00715488">
          <w:rPr>
            <w:noProof/>
            <w:webHidden/>
          </w:rPr>
          <w:fldChar w:fldCharType="end"/>
        </w:r>
      </w:hyperlink>
    </w:p>
    <w:p w:rsidR="00715488" w:rsidRDefault="00303043">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361391067" w:history="1">
        <w:r w:rsidR="00715488" w:rsidRPr="00735A94">
          <w:rPr>
            <w:rStyle w:val="Hyperlink"/>
            <w:noProof/>
          </w:rPr>
          <w:t>5</w:t>
        </w:r>
        <w:r w:rsidR="00715488">
          <w:rPr>
            <w:rFonts w:asciiTheme="minorHAnsi" w:eastAsiaTheme="minorEastAsia" w:hAnsiTheme="minorHAnsi" w:cstheme="minorBidi"/>
            <w:b w:val="0"/>
            <w:bCs w:val="0"/>
            <w:noProof/>
            <w:sz w:val="22"/>
            <w:szCs w:val="22"/>
            <w:lang w:eastAsia="en-AU"/>
          </w:rPr>
          <w:tab/>
        </w:r>
        <w:r w:rsidR="00715488" w:rsidRPr="00735A94">
          <w:rPr>
            <w:rStyle w:val="Hyperlink"/>
            <w:noProof/>
          </w:rPr>
          <w:t>Operating expenditure assessment approach</w:t>
        </w:r>
        <w:r w:rsidR="00715488">
          <w:rPr>
            <w:noProof/>
            <w:webHidden/>
          </w:rPr>
          <w:tab/>
        </w:r>
        <w:r w:rsidR="00715488">
          <w:rPr>
            <w:noProof/>
            <w:webHidden/>
          </w:rPr>
          <w:fldChar w:fldCharType="begin"/>
        </w:r>
        <w:r w:rsidR="00715488">
          <w:rPr>
            <w:noProof/>
            <w:webHidden/>
          </w:rPr>
          <w:instrText xml:space="preserve"> PAGEREF _Toc361391067 \h </w:instrText>
        </w:r>
        <w:r w:rsidR="00715488">
          <w:rPr>
            <w:noProof/>
            <w:webHidden/>
          </w:rPr>
        </w:r>
        <w:r w:rsidR="00715488">
          <w:rPr>
            <w:noProof/>
            <w:webHidden/>
          </w:rPr>
          <w:fldChar w:fldCharType="separate"/>
        </w:r>
        <w:r w:rsidR="00C370FE">
          <w:rPr>
            <w:noProof/>
            <w:webHidden/>
          </w:rPr>
          <w:t>15</w:t>
        </w:r>
        <w:r w:rsidR="00715488">
          <w:rPr>
            <w:noProof/>
            <w:webHidden/>
          </w:rPr>
          <w:fldChar w:fldCharType="end"/>
        </w:r>
      </w:hyperlink>
    </w:p>
    <w:p w:rsidR="00715488" w:rsidRDefault="00303043">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61391068" w:history="1">
        <w:r w:rsidR="00715488" w:rsidRPr="00735A94">
          <w:rPr>
            <w:rStyle w:val="Hyperlink"/>
            <w:noProof/>
          </w:rPr>
          <w:t>5.1</w:t>
        </w:r>
        <w:r w:rsidR="00715488">
          <w:rPr>
            <w:rFonts w:asciiTheme="minorHAnsi" w:eastAsiaTheme="minorEastAsia" w:hAnsiTheme="minorHAnsi" w:cstheme="minorBidi"/>
            <w:iCs w:val="0"/>
            <w:noProof/>
            <w:sz w:val="22"/>
            <w:szCs w:val="22"/>
            <w:lang w:eastAsia="en-AU"/>
          </w:rPr>
          <w:tab/>
        </w:r>
        <w:r w:rsidR="00715488" w:rsidRPr="00735A94">
          <w:rPr>
            <w:rStyle w:val="Hyperlink"/>
            <w:noProof/>
          </w:rPr>
          <w:t>Base opex</w:t>
        </w:r>
        <w:r w:rsidR="00715488">
          <w:rPr>
            <w:noProof/>
            <w:webHidden/>
          </w:rPr>
          <w:tab/>
        </w:r>
        <w:r w:rsidR="00715488">
          <w:rPr>
            <w:noProof/>
            <w:webHidden/>
          </w:rPr>
          <w:fldChar w:fldCharType="begin"/>
        </w:r>
        <w:r w:rsidR="00715488">
          <w:rPr>
            <w:noProof/>
            <w:webHidden/>
          </w:rPr>
          <w:instrText xml:space="preserve"> PAGEREF _Toc361391068 \h </w:instrText>
        </w:r>
        <w:r w:rsidR="00715488">
          <w:rPr>
            <w:noProof/>
            <w:webHidden/>
          </w:rPr>
        </w:r>
        <w:r w:rsidR="00715488">
          <w:rPr>
            <w:noProof/>
            <w:webHidden/>
          </w:rPr>
          <w:fldChar w:fldCharType="separate"/>
        </w:r>
        <w:r w:rsidR="00C370FE">
          <w:rPr>
            <w:noProof/>
            <w:webHidden/>
          </w:rPr>
          <w:t>15</w:t>
        </w:r>
        <w:r w:rsidR="00715488">
          <w:rPr>
            <w:noProof/>
            <w:webHidden/>
          </w:rPr>
          <w:fldChar w:fldCharType="end"/>
        </w:r>
      </w:hyperlink>
    </w:p>
    <w:p w:rsidR="00715488" w:rsidRDefault="00303043">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61391069" w:history="1">
        <w:r w:rsidR="00715488" w:rsidRPr="00735A94">
          <w:rPr>
            <w:rStyle w:val="Hyperlink"/>
            <w:noProof/>
          </w:rPr>
          <w:t>5.2</w:t>
        </w:r>
        <w:r w:rsidR="00715488">
          <w:rPr>
            <w:rFonts w:asciiTheme="minorHAnsi" w:eastAsiaTheme="minorEastAsia" w:hAnsiTheme="minorHAnsi" w:cstheme="minorBidi"/>
            <w:iCs w:val="0"/>
            <w:noProof/>
            <w:sz w:val="22"/>
            <w:szCs w:val="22"/>
            <w:lang w:eastAsia="en-AU"/>
          </w:rPr>
          <w:tab/>
        </w:r>
        <w:r w:rsidR="00715488" w:rsidRPr="00735A94">
          <w:rPr>
            <w:rStyle w:val="Hyperlink"/>
            <w:noProof/>
          </w:rPr>
          <w:t>The rate of change</w:t>
        </w:r>
        <w:r w:rsidR="00715488">
          <w:rPr>
            <w:noProof/>
            <w:webHidden/>
          </w:rPr>
          <w:tab/>
        </w:r>
        <w:r w:rsidR="00715488">
          <w:rPr>
            <w:noProof/>
            <w:webHidden/>
          </w:rPr>
          <w:fldChar w:fldCharType="begin"/>
        </w:r>
        <w:r w:rsidR="00715488">
          <w:rPr>
            <w:noProof/>
            <w:webHidden/>
          </w:rPr>
          <w:instrText xml:space="preserve"> PAGEREF _Toc361391069 \h </w:instrText>
        </w:r>
        <w:r w:rsidR="00715488">
          <w:rPr>
            <w:noProof/>
            <w:webHidden/>
          </w:rPr>
        </w:r>
        <w:r w:rsidR="00715488">
          <w:rPr>
            <w:noProof/>
            <w:webHidden/>
          </w:rPr>
          <w:fldChar w:fldCharType="separate"/>
        </w:r>
        <w:r w:rsidR="00C370FE">
          <w:rPr>
            <w:noProof/>
            <w:webHidden/>
          </w:rPr>
          <w:t>16</w:t>
        </w:r>
        <w:r w:rsidR="00715488">
          <w:rPr>
            <w:noProof/>
            <w:webHidden/>
          </w:rPr>
          <w:fldChar w:fldCharType="end"/>
        </w:r>
      </w:hyperlink>
    </w:p>
    <w:p w:rsidR="00715488" w:rsidRDefault="00303043">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61391070" w:history="1">
        <w:r w:rsidR="00715488" w:rsidRPr="00735A94">
          <w:rPr>
            <w:rStyle w:val="Hyperlink"/>
            <w:noProof/>
          </w:rPr>
          <w:t>5.3</w:t>
        </w:r>
        <w:r w:rsidR="00715488">
          <w:rPr>
            <w:rFonts w:asciiTheme="minorHAnsi" w:eastAsiaTheme="minorEastAsia" w:hAnsiTheme="minorHAnsi" w:cstheme="minorBidi"/>
            <w:iCs w:val="0"/>
            <w:noProof/>
            <w:sz w:val="22"/>
            <w:szCs w:val="22"/>
            <w:lang w:eastAsia="en-AU"/>
          </w:rPr>
          <w:tab/>
        </w:r>
        <w:r w:rsidR="00715488" w:rsidRPr="00735A94">
          <w:rPr>
            <w:rStyle w:val="Hyperlink"/>
            <w:noProof/>
          </w:rPr>
          <w:t>Step changes</w:t>
        </w:r>
        <w:r w:rsidR="00715488">
          <w:rPr>
            <w:noProof/>
            <w:webHidden/>
          </w:rPr>
          <w:tab/>
        </w:r>
        <w:r w:rsidR="00715488">
          <w:rPr>
            <w:noProof/>
            <w:webHidden/>
          </w:rPr>
          <w:fldChar w:fldCharType="begin"/>
        </w:r>
        <w:r w:rsidR="00715488">
          <w:rPr>
            <w:noProof/>
            <w:webHidden/>
          </w:rPr>
          <w:instrText xml:space="preserve"> PAGEREF _Toc361391070 \h </w:instrText>
        </w:r>
        <w:r w:rsidR="00715488">
          <w:rPr>
            <w:noProof/>
            <w:webHidden/>
          </w:rPr>
        </w:r>
        <w:r w:rsidR="00715488">
          <w:rPr>
            <w:noProof/>
            <w:webHidden/>
          </w:rPr>
          <w:fldChar w:fldCharType="separate"/>
        </w:r>
        <w:r w:rsidR="00C370FE">
          <w:rPr>
            <w:noProof/>
            <w:webHidden/>
          </w:rPr>
          <w:t>16</w:t>
        </w:r>
        <w:r w:rsidR="00715488">
          <w:rPr>
            <w:noProof/>
            <w:webHidden/>
          </w:rPr>
          <w:fldChar w:fldCharType="end"/>
        </w:r>
      </w:hyperlink>
    </w:p>
    <w:p w:rsidR="00715488" w:rsidRDefault="00303043">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361391071" w:history="1">
        <w:r w:rsidR="00715488" w:rsidRPr="00735A94">
          <w:rPr>
            <w:rStyle w:val="Hyperlink"/>
            <w:noProof/>
          </w:rPr>
          <w:t>6</w:t>
        </w:r>
        <w:r w:rsidR="00715488">
          <w:rPr>
            <w:rFonts w:asciiTheme="minorHAnsi" w:eastAsiaTheme="minorEastAsia" w:hAnsiTheme="minorHAnsi" w:cstheme="minorBidi"/>
            <w:b w:val="0"/>
            <w:bCs w:val="0"/>
            <w:noProof/>
            <w:sz w:val="22"/>
            <w:szCs w:val="22"/>
            <w:lang w:eastAsia="en-AU"/>
          </w:rPr>
          <w:tab/>
        </w:r>
        <w:r w:rsidR="00715488" w:rsidRPr="00735A94">
          <w:rPr>
            <w:rStyle w:val="Hyperlink"/>
            <w:noProof/>
          </w:rPr>
          <w:t>Information requirements</w:t>
        </w:r>
        <w:r w:rsidR="00715488">
          <w:rPr>
            <w:noProof/>
            <w:webHidden/>
          </w:rPr>
          <w:tab/>
        </w:r>
        <w:r w:rsidR="00715488">
          <w:rPr>
            <w:noProof/>
            <w:webHidden/>
          </w:rPr>
          <w:fldChar w:fldCharType="begin"/>
        </w:r>
        <w:r w:rsidR="00715488">
          <w:rPr>
            <w:noProof/>
            <w:webHidden/>
          </w:rPr>
          <w:instrText xml:space="preserve"> PAGEREF _Toc361391071 \h </w:instrText>
        </w:r>
        <w:r w:rsidR="00715488">
          <w:rPr>
            <w:noProof/>
            <w:webHidden/>
          </w:rPr>
        </w:r>
        <w:r w:rsidR="00715488">
          <w:rPr>
            <w:noProof/>
            <w:webHidden/>
          </w:rPr>
          <w:fldChar w:fldCharType="separate"/>
        </w:r>
        <w:r w:rsidR="00C370FE">
          <w:rPr>
            <w:noProof/>
            <w:webHidden/>
          </w:rPr>
          <w:t>18</w:t>
        </w:r>
        <w:r w:rsidR="00715488">
          <w:rPr>
            <w:noProof/>
            <w:webHidden/>
          </w:rPr>
          <w:fldChar w:fldCharType="end"/>
        </w:r>
      </w:hyperlink>
    </w:p>
    <w:p w:rsidR="00715488" w:rsidRDefault="00303043">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61391072" w:history="1">
        <w:r w:rsidR="00715488" w:rsidRPr="00735A94">
          <w:rPr>
            <w:rStyle w:val="Hyperlink"/>
            <w:noProof/>
          </w:rPr>
          <w:t>6.1</w:t>
        </w:r>
        <w:r w:rsidR="00715488">
          <w:rPr>
            <w:rFonts w:asciiTheme="minorHAnsi" w:eastAsiaTheme="minorEastAsia" w:hAnsiTheme="minorHAnsi" w:cstheme="minorBidi"/>
            <w:iCs w:val="0"/>
            <w:noProof/>
            <w:sz w:val="22"/>
            <w:szCs w:val="22"/>
            <w:lang w:eastAsia="en-AU"/>
          </w:rPr>
          <w:tab/>
        </w:r>
        <w:r w:rsidR="00715488" w:rsidRPr="00735A94">
          <w:rPr>
            <w:rStyle w:val="Hyperlink"/>
            <w:noProof/>
          </w:rPr>
          <w:t>Capex</w:t>
        </w:r>
        <w:r w:rsidR="00715488">
          <w:rPr>
            <w:noProof/>
            <w:webHidden/>
          </w:rPr>
          <w:tab/>
        </w:r>
        <w:r w:rsidR="00715488">
          <w:rPr>
            <w:noProof/>
            <w:webHidden/>
          </w:rPr>
          <w:fldChar w:fldCharType="begin"/>
        </w:r>
        <w:r w:rsidR="00715488">
          <w:rPr>
            <w:noProof/>
            <w:webHidden/>
          </w:rPr>
          <w:instrText xml:space="preserve"> PAGEREF _Toc361391072 \h </w:instrText>
        </w:r>
        <w:r w:rsidR="00715488">
          <w:rPr>
            <w:noProof/>
            <w:webHidden/>
          </w:rPr>
        </w:r>
        <w:r w:rsidR="00715488">
          <w:rPr>
            <w:noProof/>
            <w:webHidden/>
          </w:rPr>
          <w:fldChar w:fldCharType="separate"/>
        </w:r>
        <w:r w:rsidR="00C370FE">
          <w:rPr>
            <w:noProof/>
            <w:webHidden/>
          </w:rPr>
          <w:t>18</w:t>
        </w:r>
        <w:r w:rsidR="00715488">
          <w:rPr>
            <w:noProof/>
            <w:webHidden/>
          </w:rPr>
          <w:fldChar w:fldCharType="end"/>
        </w:r>
      </w:hyperlink>
    </w:p>
    <w:p w:rsidR="00715488" w:rsidRDefault="00303043">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61391073" w:history="1">
        <w:r w:rsidR="00715488" w:rsidRPr="00735A94">
          <w:rPr>
            <w:rStyle w:val="Hyperlink"/>
            <w:noProof/>
          </w:rPr>
          <w:t>6.2</w:t>
        </w:r>
        <w:r w:rsidR="00715488">
          <w:rPr>
            <w:rFonts w:asciiTheme="minorHAnsi" w:eastAsiaTheme="minorEastAsia" w:hAnsiTheme="minorHAnsi" w:cstheme="minorBidi"/>
            <w:iCs w:val="0"/>
            <w:noProof/>
            <w:sz w:val="22"/>
            <w:szCs w:val="22"/>
            <w:lang w:eastAsia="en-AU"/>
          </w:rPr>
          <w:tab/>
        </w:r>
        <w:r w:rsidR="00715488" w:rsidRPr="00735A94">
          <w:rPr>
            <w:rStyle w:val="Hyperlink"/>
            <w:noProof/>
          </w:rPr>
          <w:t>Opex</w:t>
        </w:r>
        <w:r w:rsidR="00715488">
          <w:rPr>
            <w:noProof/>
            <w:webHidden/>
          </w:rPr>
          <w:tab/>
        </w:r>
        <w:r w:rsidR="00715488">
          <w:rPr>
            <w:noProof/>
            <w:webHidden/>
          </w:rPr>
          <w:fldChar w:fldCharType="begin"/>
        </w:r>
        <w:r w:rsidR="00715488">
          <w:rPr>
            <w:noProof/>
            <w:webHidden/>
          </w:rPr>
          <w:instrText xml:space="preserve"> PAGEREF _Toc361391073 \h </w:instrText>
        </w:r>
        <w:r w:rsidR="00715488">
          <w:rPr>
            <w:noProof/>
            <w:webHidden/>
          </w:rPr>
        </w:r>
        <w:r w:rsidR="00715488">
          <w:rPr>
            <w:noProof/>
            <w:webHidden/>
          </w:rPr>
          <w:fldChar w:fldCharType="separate"/>
        </w:r>
        <w:r w:rsidR="00C370FE">
          <w:rPr>
            <w:noProof/>
            <w:webHidden/>
          </w:rPr>
          <w:t>21</w:t>
        </w:r>
        <w:r w:rsidR="00715488">
          <w:rPr>
            <w:noProof/>
            <w:webHidden/>
          </w:rPr>
          <w:fldChar w:fldCharType="end"/>
        </w:r>
      </w:hyperlink>
    </w:p>
    <w:p w:rsidR="00715488" w:rsidRDefault="00303043">
      <w:pPr>
        <w:pStyle w:val="TOC1"/>
        <w:tabs>
          <w:tab w:val="right" w:leader="dot" w:pos="9016"/>
        </w:tabs>
        <w:rPr>
          <w:rFonts w:asciiTheme="minorHAnsi" w:eastAsiaTheme="minorEastAsia" w:hAnsiTheme="minorHAnsi" w:cstheme="minorBidi"/>
          <w:b w:val="0"/>
          <w:bCs w:val="0"/>
          <w:noProof/>
          <w:sz w:val="22"/>
          <w:szCs w:val="22"/>
          <w:lang w:eastAsia="en-AU"/>
        </w:rPr>
      </w:pPr>
      <w:hyperlink w:anchor="_Toc361391074" w:history="1">
        <w:r w:rsidR="00715488" w:rsidRPr="00735A94">
          <w:rPr>
            <w:rStyle w:val="Hyperlink"/>
            <w:noProof/>
          </w:rPr>
          <w:t>Glossary</w:t>
        </w:r>
        <w:r w:rsidR="00715488">
          <w:rPr>
            <w:noProof/>
            <w:webHidden/>
          </w:rPr>
          <w:tab/>
        </w:r>
        <w:r w:rsidR="00715488">
          <w:rPr>
            <w:noProof/>
            <w:webHidden/>
          </w:rPr>
          <w:fldChar w:fldCharType="begin"/>
        </w:r>
        <w:r w:rsidR="00715488">
          <w:rPr>
            <w:noProof/>
            <w:webHidden/>
          </w:rPr>
          <w:instrText xml:space="preserve"> PAGEREF _Toc361391074 \h </w:instrText>
        </w:r>
        <w:r w:rsidR="00715488">
          <w:rPr>
            <w:noProof/>
            <w:webHidden/>
          </w:rPr>
        </w:r>
        <w:r w:rsidR="00715488">
          <w:rPr>
            <w:noProof/>
            <w:webHidden/>
          </w:rPr>
          <w:fldChar w:fldCharType="separate"/>
        </w:r>
        <w:r w:rsidR="00C370FE">
          <w:rPr>
            <w:noProof/>
            <w:webHidden/>
          </w:rPr>
          <w:t>26</w:t>
        </w:r>
        <w:r w:rsidR="00715488">
          <w:rPr>
            <w:noProof/>
            <w:webHidden/>
          </w:rPr>
          <w:fldChar w:fldCharType="end"/>
        </w:r>
      </w:hyperlink>
    </w:p>
    <w:p w:rsidR="00AF3E95" w:rsidRPr="00AF3E95" w:rsidRDefault="00742E25" w:rsidP="00AF3E95">
      <w:pPr>
        <w:pStyle w:val="AERbodytext"/>
      </w:pPr>
      <w:r>
        <w:fldChar w:fldCharType="end"/>
      </w:r>
    </w:p>
    <w:p w:rsidR="009F7CE4" w:rsidRDefault="009F7CE4" w:rsidP="009F7CE4">
      <w:pPr>
        <w:pStyle w:val="AERbodytext"/>
        <w:numPr>
          <w:ilvl w:val="0"/>
          <w:numId w:val="0"/>
        </w:numPr>
      </w:pPr>
    </w:p>
    <w:p w:rsidR="00715488" w:rsidRDefault="00715488" w:rsidP="00715488">
      <w:pPr>
        <w:pStyle w:val="Heading1"/>
      </w:pPr>
      <w:bookmarkStart w:id="2" w:name="_Toc361390704"/>
      <w:bookmarkStart w:id="3" w:name="_Toc361391047"/>
      <w:r>
        <w:lastRenderedPageBreak/>
        <w:t>Nature and authority</w:t>
      </w:r>
      <w:bookmarkEnd w:id="2"/>
      <w:bookmarkEnd w:id="3"/>
    </w:p>
    <w:p w:rsidR="00715488" w:rsidRDefault="00715488" w:rsidP="00715488">
      <w:pPr>
        <w:pStyle w:val="Heading2"/>
      </w:pPr>
      <w:bookmarkStart w:id="4" w:name="_Toc361390648"/>
      <w:bookmarkStart w:id="5" w:name="_Toc361390705"/>
      <w:bookmarkStart w:id="6" w:name="_Toc361390706"/>
      <w:bookmarkStart w:id="7" w:name="_Toc361391048"/>
      <w:bookmarkEnd w:id="4"/>
      <w:bookmarkEnd w:id="5"/>
      <w:r>
        <w:t>Introduction</w:t>
      </w:r>
      <w:bookmarkEnd w:id="6"/>
      <w:bookmarkEnd w:id="7"/>
    </w:p>
    <w:p w:rsidR="00715488" w:rsidRDefault="00715488" w:rsidP="00715488">
      <w:pPr>
        <w:pStyle w:val="AERbodytext"/>
      </w:pPr>
      <w:r>
        <w:t xml:space="preserve">This publication sets out the Australian Energy Regulator's Draft </w:t>
      </w:r>
      <w:r>
        <w:rPr>
          <w:rStyle w:val="AERbody"/>
        </w:rPr>
        <w:t>Expenditure Forecast Assessment Guideline for electricity distribution</w:t>
      </w:r>
      <w:r>
        <w:t>.</w:t>
      </w:r>
    </w:p>
    <w:p w:rsidR="00715488" w:rsidRDefault="00715488" w:rsidP="00715488">
      <w:pPr>
        <w:pStyle w:val="Heading2"/>
      </w:pPr>
      <w:bookmarkStart w:id="8" w:name="_Toc361390707"/>
      <w:bookmarkStart w:id="9" w:name="_Toc361391049"/>
      <w:r>
        <w:t>Authority</w:t>
      </w:r>
      <w:bookmarkEnd w:id="8"/>
      <w:bookmarkEnd w:id="9"/>
    </w:p>
    <w:p w:rsidR="00715488" w:rsidRDefault="00715488" w:rsidP="00715488">
      <w:pPr>
        <w:pStyle w:val="AERbodytext"/>
      </w:pPr>
      <w:r w:rsidRPr="005866A8">
        <w:t xml:space="preserve">The </w:t>
      </w:r>
      <w:r w:rsidRPr="00D85F5F">
        <w:rPr>
          <w:rStyle w:val="AERbody"/>
        </w:rPr>
        <w:t>National Electricity Rules</w:t>
      </w:r>
      <w:r>
        <w:t xml:space="preserve"> (</w:t>
      </w:r>
      <w:r w:rsidRPr="00D85F5F">
        <w:rPr>
          <w:rStyle w:val="AERbody"/>
        </w:rPr>
        <w:t>NER</w:t>
      </w:r>
      <w:r>
        <w:t>)</w:t>
      </w:r>
      <w:r w:rsidRPr="005866A8">
        <w:t xml:space="preserve"> </w:t>
      </w:r>
      <w:proofErr w:type="gramStart"/>
      <w:r w:rsidRPr="005866A8">
        <w:t>require</w:t>
      </w:r>
      <w:proofErr w:type="gramEnd"/>
      <w:r w:rsidRPr="005866A8">
        <w:t xml:space="preserve"> the </w:t>
      </w:r>
      <w:r>
        <w:t>Australian Energy Regulator (</w:t>
      </w:r>
      <w:r w:rsidRPr="005866A8">
        <w:t>AER</w:t>
      </w:r>
      <w:r>
        <w:t>)</w:t>
      </w:r>
      <w:r w:rsidRPr="005866A8">
        <w:t xml:space="preserve"> to develop and publish </w:t>
      </w:r>
      <w:r w:rsidRPr="00D85F5F">
        <w:rPr>
          <w:rStyle w:val="AERbody"/>
        </w:rPr>
        <w:t>Expenditure Forecast Assessment Guidelines</w:t>
      </w:r>
      <w:r>
        <w:t>.</w:t>
      </w:r>
      <w:r>
        <w:rPr>
          <w:rStyle w:val="FootnoteReference"/>
        </w:rPr>
        <w:footnoteReference w:id="1"/>
      </w:r>
      <w:r w:rsidRPr="005866A8">
        <w:t xml:space="preserve"> </w:t>
      </w:r>
      <w:r>
        <w:t xml:space="preserve">This document is our Draft </w:t>
      </w:r>
      <w:r w:rsidRPr="00D85F5F">
        <w:rPr>
          <w:rStyle w:val="AERbody"/>
        </w:rPr>
        <w:t>Expenditure Forecast Assessment Guideline</w:t>
      </w:r>
      <w:r w:rsidRPr="00FC102E">
        <w:t xml:space="preserve"> </w:t>
      </w:r>
      <w:r>
        <w:t xml:space="preserve">for electricity distribution. </w:t>
      </w:r>
      <w:r w:rsidRPr="00EF7771">
        <w:t xml:space="preserve">The </w:t>
      </w:r>
      <w:r w:rsidRPr="00D85F5F">
        <w:rPr>
          <w:rStyle w:val="AERbody"/>
        </w:rPr>
        <w:t>Guideline</w:t>
      </w:r>
      <w:r w:rsidRPr="00EF7771">
        <w:t xml:space="preserve"> </w:t>
      </w:r>
      <w:r>
        <w:t>is</w:t>
      </w:r>
      <w:r w:rsidRPr="00EF7771">
        <w:t xml:space="preserve"> not binding on the AER (or anyone else). However, if </w:t>
      </w:r>
      <w:r>
        <w:t>we make</w:t>
      </w:r>
      <w:r w:rsidRPr="00EF7771">
        <w:t xml:space="preserve"> a distribution determination that is not in accordance with the </w:t>
      </w:r>
      <w:r w:rsidRPr="00D85F5F">
        <w:rPr>
          <w:rStyle w:val="AERbody"/>
        </w:rPr>
        <w:t>Guideline</w:t>
      </w:r>
      <w:r w:rsidRPr="00EF7771">
        <w:t xml:space="preserve">, </w:t>
      </w:r>
      <w:r>
        <w:t>our</w:t>
      </w:r>
      <w:r w:rsidRPr="00EF7771">
        <w:t xml:space="preserve"> reasons for the distribution determination</w:t>
      </w:r>
      <w:r>
        <w:t xml:space="preserve"> must include </w:t>
      </w:r>
      <w:r w:rsidRPr="00EF7771">
        <w:t xml:space="preserve">why </w:t>
      </w:r>
      <w:r>
        <w:t xml:space="preserve">we </w:t>
      </w:r>
      <w:r w:rsidRPr="00EF7771">
        <w:t xml:space="preserve">departed from the </w:t>
      </w:r>
      <w:r w:rsidRPr="00D85F5F">
        <w:rPr>
          <w:rStyle w:val="AERbody"/>
        </w:rPr>
        <w:t>Guideline</w:t>
      </w:r>
      <w:r w:rsidRPr="00EF7771">
        <w:t>.</w:t>
      </w:r>
      <w:r w:rsidRPr="00EF7771">
        <w:rPr>
          <w:rStyle w:val="FootnoteReference"/>
        </w:rPr>
        <w:footnoteReference w:id="2"/>
      </w:r>
    </w:p>
    <w:p w:rsidR="00076DDD" w:rsidRDefault="00076DDD" w:rsidP="00076DDD">
      <w:pPr>
        <w:pStyle w:val="AERbodytext"/>
      </w:pPr>
      <w:r>
        <w:t>Distribution network service providers (D</w:t>
      </w:r>
      <w:r w:rsidRPr="00FC102E">
        <w:t>NSPs</w:t>
      </w:r>
      <w:r>
        <w:t>) are not required to explain departures from the Guideline. However, they must provide with their regulatory proposals, a document complying with the Guideline</w:t>
      </w:r>
      <w:r w:rsidR="004D5537" w:rsidRPr="004D5537">
        <w:t xml:space="preserve"> or––if we deviate from the Guideline––the F&amp;A paper</w:t>
      </w:r>
      <w:r>
        <w:t>.</w:t>
      </w:r>
      <w:r w:rsidRPr="00533B91">
        <w:rPr>
          <w:rStyle w:val="FootnoteReference"/>
        </w:rPr>
        <w:footnoteReference w:id="3"/>
      </w:r>
      <w:r w:rsidRPr="00533B91">
        <w:rPr>
          <w:rStyle w:val="AERsuperscript"/>
        </w:rPr>
        <w:t xml:space="preserve"> </w:t>
      </w:r>
      <w:r w:rsidRPr="00533B91">
        <w:t xml:space="preserve">The NER allow us to require a </w:t>
      </w:r>
      <w:r>
        <w:t>D</w:t>
      </w:r>
      <w:r w:rsidRPr="00533B91">
        <w:t>NSP to resubmit its regulatory proposal if it doe</w:t>
      </w:r>
      <w:r>
        <w:t>s not comply with the Guideline</w:t>
      </w:r>
      <w:r w:rsidRPr="00533B91">
        <w:t>.</w:t>
      </w:r>
      <w:r w:rsidRPr="00533B91">
        <w:rPr>
          <w:rStyle w:val="FootnoteReference"/>
        </w:rPr>
        <w:footnoteReference w:id="4"/>
      </w:r>
    </w:p>
    <w:p w:rsidR="00715488" w:rsidRDefault="00715488" w:rsidP="00715488">
      <w:pPr>
        <w:pStyle w:val="Heading2"/>
      </w:pPr>
      <w:bookmarkStart w:id="10" w:name="_Toc361390708"/>
      <w:bookmarkStart w:id="11" w:name="_Toc361391050"/>
      <w:r w:rsidRPr="00EF7771">
        <w:t xml:space="preserve">Role of the </w:t>
      </w:r>
      <w:r w:rsidR="001C708F">
        <w:t>G</w:t>
      </w:r>
      <w:r>
        <w:t>uideline</w:t>
      </w:r>
      <w:bookmarkEnd w:id="10"/>
      <w:bookmarkEnd w:id="11"/>
    </w:p>
    <w:p w:rsidR="00715488" w:rsidRPr="00FC102E" w:rsidRDefault="00715488" w:rsidP="00715488">
      <w:r w:rsidRPr="00FC102E">
        <w:t xml:space="preserve">The </w:t>
      </w:r>
      <w:r w:rsidRPr="00D85F5F">
        <w:rPr>
          <w:rStyle w:val="AERbody"/>
        </w:rPr>
        <w:t>Guideline</w:t>
      </w:r>
      <w:r w:rsidRPr="00FC102E">
        <w:t xml:space="preserve"> must specify:</w:t>
      </w:r>
      <w:r w:rsidRPr="00FC102E">
        <w:rPr>
          <w:rStyle w:val="FootnoteReference"/>
        </w:rPr>
        <w:footnoteReference w:id="5"/>
      </w:r>
    </w:p>
    <w:p w:rsidR="00715488" w:rsidRPr="00FC102E" w:rsidRDefault="00715488" w:rsidP="00715488">
      <w:pPr>
        <w:pStyle w:val="AERbulletlistfirststyle"/>
      </w:pPr>
      <w:r w:rsidRPr="00FC102E">
        <w:t xml:space="preserve">the approach the AER proposes to use to assess the forecasts of operating expenditure (opex) and capital expenditure (capex) that form part of the regulatory proposals of DNSPs </w:t>
      </w:r>
    </w:p>
    <w:p w:rsidR="00715488" w:rsidRPr="00FC102E" w:rsidRDefault="00715488" w:rsidP="00715488">
      <w:pPr>
        <w:pStyle w:val="AERbulletlistfirststyle"/>
      </w:pPr>
      <w:proofErr w:type="gramStart"/>
      <w:r w:rsidRPr="00FC102E">
        <w:t>the</w:t>
      </w:r>
      <w:proofErr w:type="gramEnd"/>
      <w:r w:rsidRPr="00FC102E">
        <w:t xml:space="preserve"> information the AER requires for the purposes of that assessment.</w:t>
      </w:r>
    </w:p>
    <w:p w:rsidR="00715488" w:rsidRPr="00EF7771" w:rsidRDefault="00715488" w:rsidP="00715488">
      <w:pPr>
        <w:pStyle w:val="Heading2"/>
      </w:pPr>
      <w:bookmarkStart w:id="12" w:name="_Toc361390709"/>
      <w:bookmarkStart w:id="13" w:name="_Toc361391051"/>
      <w:r w:rsidRPr="00EF7771">
        <w:t>Definitions and interpretation</w:t>
      </w:r>
      <w:bookmarkEnd w:id="12"/>
      <w:bookmarkEnd w:id="13"/>
    </w:p>
    <w:p w:rsidR="00715488" w:rsidRPr="00DD0B5F" w:rsidRDefault="00715488" w:rsidP="00715488">
      <w:pPr>
        <w:pStyle w:val="AERbodytext"/>
      </w:pPr>
      <w:r w:rsidRPr="00DD0B5F">
        <w:t>In th</w:t>
      </w:r>
      <w:r>
        <w:t xml:space="preserve">is </w:t>
      </w:r>
      <w:r w:rsidR="00236D25">
        <w:t>G</w:t>
      </w:r>
      <w:r w:rsidRPr="00DD0B5F">
        <w:t>uideline the words and phrases have the meaning given to them in:</w:t>
      </w:r>
    </w:p>
    <w:p w:rsidR="00715488" w:rsidRPr="00DD0B5F" w:rsidRDefault="00715488" w:rsidP="00715488">
      <w:pPr>
        <w:pStyle w:val="AERbulletlistfirststyle"/>
      </w:pPr>
      <w:r w:rsidRPr="00DD0B5F">
        <w:t>the glossary, or</w:t>
      </w:r>
    </w:p>
    <w:p w:rsidR="00715488" w:rsidRPr="00DD0B5F" w:rsidRDefault="00715488" w:rsidP="00715488">
      <w:pPr>
        <w:pStyle w:val="AERbulletlistfirststyle"/>
      </w:pPr>
      <w:proofErr w:type="gramStart"/>
      <w:r w:rsidRPr="00DD0B5F">
        <w:t>if</w:t>
      </w:r>
      <w:proofErr w:type="gramEnd"/>
      <w:r w:rsidRPr="00DD0B5F">
        <w:t xml:space="preserve"> not defined in the glossary, the</w:t>
      </w:r>
      <w:r>
        <w:t xml:space="preserve"> NER</w:t>
      </w:r>
      <w:r w:rsidRPr="00DD0B5F">
        <w:t>.</w:t>
      </w:r>
    </w:p>
    <w:p w:rsidR="00715488" w:rsidRDefault="00715488" w:rsidP="00715488">
      <w:pPr>
        <w:pStyle w:val="Heading2"/>
      </w:pPr>
      <w:bookmarkStart w:id="14" w:name="_Toc361390710"/>
      <w:bookmarkStart w:id="15" w:name="_Toc361391052"/>
      <w:r>
        <w:t>Process for revision</w:t>
      </w:r>
      <w:bookmarkEnd w:id="14"/>
      <w:bookmarkEnd w:id="15"/>
    </w:p>
    <w:p w:rsidR="00715488" w:rsidRDefault="00715488" w:rsidP="00715488">
      <w:pPr>
        <w:pStyle w:val="AERbodytext"/>
      </w:pPr>
      <w:r w:rsidRPr="00EF7771">
        <w:t xml:space="preserve">The AER may amend the </w:t>
      </w:r>
      <w:r w:rsidRPr="00D85F5F">
        <w:rPr>
          <w:rStyle w:val="AERbody"/>
        </w:rPr>
        <w:t>Guideline</w:t>
      </w:r>
      <w:r w:rsidRPr="00EF7771">
        <w:t xml:space="preserve"> from time to time in accordance w</w:t>
      </w:r>
      <w:r>
        <w:t>ith the requirements of the NER.</w:t>
      </w:r>
      <w:r>
        <w:rPr>
          <w:rStyle w:val="FootnoteReference"/>
        </w:rPr>
        <w:footnoteReference w:id="6"/>
      </w:r>
      <w:r>
        <w:t xml:space="preserve"> </w:t>
      </w:r>
      <w:r w:rsidR="0090549A">
        <w:t>We</w:t>
      </w:r>
      <w:r>
        <w:t xml:space="preserve"> will review and amend the </w:t>
      </w:r>
      <w:r w:rsidRPr="00D85F5F">
        <w:rPr>
          <w:rStyle w:val="AERbody"/>
        </w:rPr>
        <w:t>Guideline</w:t>
      </w:r>
      <w:r w:rsidRPr="00FC102E">
        <w:t xml:space="preserve"> </w:t>
      </w:r>
      <w:r>
        <w:t xml:space="preserve">as </w:t>
      </w:r>
      <w:r w:rsidR="0090549A">
        <w:t xml:space="preserve">we </w:t>
      </w:r>
      <w:r>
        <w:t>consider appropriate.</w:t>
      </w:r>
    </w:p>
    <w:p w:rsidR="00715488" w:rsidRPr="00DD0B5F" w:rsidRDefault="00715488" w:rsidP="00715488">
      <w:pPr>
        <w:pStyle w:val="Heading2"/>
      </w:pPr>
      <w:bookmarkStart w:id="16" w:name="_Toc361390711"/>
      <w:bookmarkStart w:id="17" w:name="_Toc361391053"/>
      <w:r w:rsidRPr="00DD0B5F">
        <w:t>Version history and effective date</w:t>
      </w:r>
      <w:bookmarkEnd w:id="16"/>
      <w:bookmarkEnd w:id="17"/>
    </w:p>
    <w:p w:rsidR="00715488" w:rsidRDefault="00715488" w:rsidP="00715488">
      <w:pPr>
        <w:pStyle w:val="AERbodytext"/>
      </w:pPr>
      <w:r w:rsidRPr="00DD0B5F">
        <w:t xml:space="preserve">A version number and an effective date of issue will identify every version of </w:t>
      </w:r>
      <w:r>
        <w:t xml:space="preserve">the </w:t>
      </w:r>
      <w:r w:rsidRPr="00D85F5F">
        <w:rPr>
          <w:rStyle w:val="AERbody"/>
        </w:rPr>
        <w:t>Guideline</w:t>
      </w:r>
      <w:r w:rsidRPr="00DD0B5F">
        <w:t>.</w:t>
      </w:r>
    </w:p>
    <w:p w:rsidR="00715488" w:rsidRDefault="00715488" w:rsidP="00715488">
      <w:pPr>
        <w:pStyle w:val="Heading1"/>
      </w:pPr>
      <w:bookmarkStart w:id="18" w:name="_Toc361390712"/>
      <w:bookmarkStart w:id="19" w:name="_Toc361391054"/>
      <w:r>
        <w:lastRenderedPageBreak/>
        <w:t>Overview of the Guideline</w:t>
      </w:r>
      <w:bookmarkEnd w:id="18"/>
      <w:bookmarkEnd w:id="19"/>
    </w:p>
    <w:p w:rsidR="00715488" w:rsidRPr="00DA0F05" w:rsidRDefault="00715488" w:rsidP="00715488">
      <w:pPr>
        <w:pStyle w:val="AERbodytext"/>
      </w:pPr>
      <w:r>
        <w:t xml:space="preserve">This </w:t>
      </w:r>
      <w:r w:rsidRPr="00D85F5F">
        <w:rPr>
          <w:rStyle w:val="AERbody"/>
        </w:rPr>
        <w:t>Guideline</w:t>
      </w:r>
      <w:r w:rsidRPr="00FC102E">
        <w:t xml:space="preserve"> </w:t>
      </w:r>
      <w:r>
        <w:t xml:space="preserve">sets out the AER's approach to assessing and setting distribution expenditure forecasts, and the information we require to do so. </w:t>
      </w:r>
    </w:p>
    <w:p w:rsidR="00715488" w:rsidRDefault="00715488" w:rsidP="00715488">
      <w:pPr>
        <w:pStyle w:val="Heading2"/>
      </w:pPr>
      <w:bookmarkStart w:id="20" w:name="_Toc361390713"/>
      <w:bookmarkStart w:id="21" w:name="_Toc361391055"/>
      <w:r>
        <w:t>Introduction</w:t>
      </w:r>
      <w:bookmarkEnd w:id="20"/>
      <w:bookmarkEnd w:id="21"/>
    </w:p>
    <w:p w:rsidR="00715488" w:rsidRDefault="00715488" w:rsidP="00715488">
      <w:r>
        <w:t>The NER require DNSPs and the AER to engage on a DNSP's expenditure forecasting methodology to ensure that both the AER and the DNSP are aware, in advance, of the information the AER requires to assess the DNSP's proposal. To help facilitate this, we must set out the types of assessments we will undertake and the information we will require to do so. This Guideline indicates our likely assessment approach for capex and opex, the techniques we propose to use and the information we will require from DNSPs.</w:t>
      </w:r>
    </w:p>
    <w:p w:rsidR="00715488" w:rsidRDefault="00715488" w:rsidP="00715488">
      <w:r>
        <w:t>Many of the techniques here and their associated data are common to expenditure assessments under the NER and our annual benchmarking reports. We must consider these benchmarking reports when assessing regulatory proposals.</w:t>
      </w:r>
    </w:p>
    <w:p w:rsidR="00715488" w:rsidRDefault="00715488" w:rsidP="00715488">
      <w:r>
        <w:t xml:space="preserve">This </w:t>
      </w:r>
      <w:r w:rsidRPr="00D85F5F">
        <w:rPr>
          <w:rStyle w:val="AERbody"/>
        </w:rPr>
        <w:t>Guideline</w:t>
      </w:r>
      <w:r>
        <w:t xml:space="preserve"> focuses on expenditure assessment for standard control services. However, we also review expenditure forecasts for alternative control services. At the framework and approach stage, we will consider the assessment approach and techniques we will likely apply to alternative control services once we have formed a view on the likely classification of distribution services. We expect we will use the same techniques to assess both alternative control services and standard control services.</w:t>
      </w:r>
    </w:p>
    <w:p w:rsidR="00715488" w:rsidRDefault="00715488" w:rsidP="00715488">
      <w:pPr>
        <w:pStyle w:val="Heading2"/>
      </w:pPr>
      <w:bookmarkStart w:id="22" w:name="_Toc361390714"/>
      <w:bookmarkStart w:id="23" w:name="_Toc361391056"/>
      <w:r>
        <w:t>Structure of the Guideline</w:t>
      </w:r>
      <w:bookmarkEnd w:id="22"/>
      <w:bookmarkEnd w:id="23"/>
    </w:p>
    <w:p w:rsidR="00715488" w:rsidRDefault="00715488" w:rsidP="00715488">
      <w:r>
        <w:t xml:space="preserve">This Guideline sets out: </w:t>
      </w:r>
    </w:p>
    <w:p w:rsidR="00715488" w:rsidRDefault="00715488" w:rsidP="00715488">
      <w:pPr>
        <w:pStyle w:val="AERbulletlistfirststyle"/>
      </w:pPr>
      <w:r>
        <w:t xml:space="preserve">our task and general assessment approach under the regulatory framework </w:t>
      </w:r>
    </w:p>
    <w:p w:rsidR="00715488" w:rsidRDefault="00715488" w:rsidP="00715488">
      <w:pPr>
        <w:pStyle w:val="AERbulletlistfirststyle"/>
      </w:pPr>
      <w:r>
        <w:t>our assessment techniques</w:t>
      </w:r>
    </w:p>
    <w:p w:rsidR="00715488" w:rsidRDefault="00715488" w:rsidP="00715488">
      <w:pPr>
        <w:pStyle w:val="AERbulletlistfirststyle"/>
      </w:pPr>
      <w:r>
        <w:t>our approach to assessing capex and opex</w:t>
      </w:r>
    </w:p>
    <w:p w:rsidR="00715488" w:rsidRDefault="00715488" w:rsidP="00715488">
      <w:pPr>
        <w:pStyle w:val="AERbulletlistfirststyle"/>
      </w:pPr>
      <w:proofErr w:type="gramStart"/>
      <w:r>
        <w:t>the</w:t>
      </w:r>
      <w:proofErr w:type="gramEnd"/>
      <w:r>
        <w:t xml:space="preserve"> information we require for expenditure assessment. </w:t>
      </w:r>
    </w:p>
    <w:p w:rsidR="00715488" w:rsidRDefault="00715488" w:rsidP="00715488">
      <w:pPr>
        <w:pStyle w:val="Heading2"/>
      </w:pPr>
      <w:bookmarkStart w:id="24" w:name="_Toc361390715"/>
      <w:bookmarkStart w:id="25" w:name="_Toc361391057"/>
      <w:r>
        <w:t>Transitional issues</w:t>
      </w:r>
      <w:bookmarkEnd w:id="24"/>
      <w:bookmarkEnd w:id="25"/>
    </w:p>
    <w:p w:rsidR="00715488" w:rsidRPr="00D5543D" w:rsidRDefault="00715488" w:rsidP="00715488">
      <w:pPr>
        <w:pStyle w:val="AERbodytext"/>
      </w:pPr>
      <w:r>
        <w:t xml:space="preserve">The NER require us to indicate how (if practicable) we will deal with transitional issues if a guideline </w:t>
      </w:r>
      <w:r w:rsidRPr="00B55377">
        <w:t xml:space="preserve">indicates </w:t>
      </w:r>
      <w:r>
        <w:t>we</w:t>
      </w:r>
      <w:r w:rsidRPr="00B55377">
        <w:t xml:space="preserve"> may change </w:t>
      </w:r>
      <w:r>
        <w:t xml:space="preserve">our </w:t>
      </w:r>
      <w:r w:rsidRPr="00B55377">
        <w:t>regulatory approach in future distribution determinations</w:t>
      </w:r>
      <w:r>
        <w:t>.</w:t>
      </w:r>
      <w:r>
        <w:rPr>
          <w:rStyle w:val="FootnoteReference"/>
        </w:rPr>
        <w:footnoteReference w:id="7"/>
      </w:r>
      <w:r>
        <w:t xml:space="preserve"> While this </w:t>
      </w:r>
      <w:r w:rsidRPr="00D85F5F">
        <w:rPr>
          <w:rStyle w:val="AERbody"/>
        </w:rPr>
        <w:t>Guideline</w:t>
      </w:r>
      <w:r>
        <w:t xml:space="preserve"> indicates we may change our assessment approach in some ways, we do not consider transitional issues arise as a result. </w:t>
      </w:r>
    </w:p>
    <w:p w:rsidR="00715488" w:rsidRPr="00373A42" w:rsidRDefault="00715488" w:rsidP="00715488">
      <w:pPr>
        <w:pStyle w:val="Heading1"/>
      </w:pPr>
      <w:bookmarkStart w:id="26" w:name="_Toc361390716"/>
      <w:bookmarkStart w:id="27" w:name="_Toc361391058"/>
      <w:r>
        <w:lastRenderedPageBreak/>
        <w:t>Assessment approach</w:t>
      </w:r>
      <w:bookmarkEnd w:id="26"/>
      <w:bookmarkEnd w:id="27"/>
      <w:r w:rsidRPr="00373A42">
        <w:t xml:space="preserve"> </w:t>
      </w:r>
    </w:p>
    <w:p w:rsidR="00715488" w:rsidRDefault="00715488" w:rsidP="00715488">
      <w:r>
        <w:t>This section outlines our task under the regulatory framework and our general assessment approach given these requirements. It then explains the regulatory techniques we intend to use for expenditure assessment. The explanatory statement for this Guideline considers these matters in detail.</w:t>
      </w:r>
    </w:p>
    <w:p w:rsidR="00715488" w:rsidRDefault="00715488" w:rsidP="00715488">
      <w:pPr>
        <w:pStyle w:val="Heading2"/>
      </w:pPr>
      <w:bookmarkStart w:id="28" w:name="_Toc361390717"/>
      <w:bookmarkStart w:id="29" w:name="_Toc361391059"/>
      <w:r>
        <w:t>The AER's task</w:t>
      </w:r>
      <w:bookmarkEnd w:id="28"/>
      <w:bookmarkEnd w:id="29"/>
    </w:p>
    <w:p w:rsidR="00715488" w:rsidRDefault="00715488" w:rsidP="00715488">
      <w:pPr>
        <w:pStyle w:val="AERbodytext"/>
        <w:rPr>
          <w:rStyle w:val="AERbody"/>
        </w:rPr>
      </w:pPr>
      <w:r>
        <w:t xml:space="preserve">The </w:t>
      </w:r>
      <w:r w:rsidRPr="00D85F5F">
        <w:rPr>
          <w:rStyle w:val="AERbody"/>
        </w:rPr>
        <w:t>National Electricity Law</w:t>
      </w:r>
      <w:r>
        <w:t xml:space="preserve"> (</w:t>
      </w:r>
      <w:r w:rsidRPr="00D85F5F">
        <w:rPr>
          <w:rStyle w:val="AERbody"/>
        </w:rPr>
        <w:t>NEL</w:t>
      </w:r>
      <w:r>
        <w:t xml:space="preserve">) requires </w:t>
      </w:r>
      <w:r>
        <w:rPr>
          <w:rStyle w:val="AERbody"/>
        </w:rPr>
        <w:t xml:space="preserve">us to perform our economic regulatory functions </w:t>
      </w:r>
      <w:r w:rsidRPr="002A2539">
        <w:rPr>
          <w:rStyle w:val="AERbody"/>
        </w:rPr>
        <w:t>in a manner that will or is likely to contribute to the achievement of the national electricity objective (</w:t>
      </w:r>
      <w:r w:rsidRPr="00D85F5F">
        <w:rPr>
          <w:rStyle w:val="AERbody"/>
        </w:rPr>
        <w:t>NEO</w:t>
      </w:r>
      <w:r w:rsidRPr="002A2539">
        <w:rPr>
          <w:rStyle w:val="AERbody"/>
        </w:rPr>
        <w:t>)</w:t>
      </w:r>
      <w:r>
        <w:rPr>
          <w:rStyle w:val="AERbody"/>
        </w:rPr>
        <w:t>.</w:t>
      </w:r>
      <w:r>
        <w:rPr>
          <w:rStyle w:val="FootnoteReference"/>
        </w:rPr>
        <w:footnoteReference w:id="8"/>
      </w:r>
      <w:r>
        <w:rPr>
          <w:rStyle w:val="AERbody"/>
        </w:rPr>
        <w:t xml:space="preserve"> The NEO is:</w:t>
      </w:r>
      <w:r>
        <w:rPr>
          <w:rStyle w:val="FootnoteReference"/>
        </w:rPr>
        <w:footnoteReference w:id="9"/>
      </w:r>
    </w:p>
    <w:p w:rsidR="00715488" w:rsidRPr="008E522D" w:rsidRDefault="00715488" w:rsidP="00715488">
      <w:pPr>
        <w:pStyle w:val="AERquote"/>
      </w:pPr>
      <w:r w:rsidRPr="00715488">
        <w:rPr>
          <w:rStyle w:val="AERbody"/>
        </w:rPr>
        <w:t>…</w:t>
      </w:r>
      <w:r w:rsidRPr="008E522D">
        <w:t>to promote efficient investment in, and efficient operation</w:t>
      </w:r>
      <w:r w:rsidRPr="00715488">
        <w:rPr>
          <w:rStyle w:val="AERbody"/>
        </w:rPr>
        <w:t xml:space="preserve"> </w:t>
      </w:r>
      <w:r w:rsidRPr="008E522D">
        <w:t>and use of, electricity services for the long term interests of consumers of electricity</w:t>
      </w:r>
      <w:r w:rsidRPr="00715488">
        <w:rPr>
          <w:rStyle w:val="AERbody"/>
        </w:rPr>
        <w:t xml:space="preserve"> </w:t>
      </w:r>
      <w:r w:rsidRPr="008E522D">
        <w:t>with respect to—</w:t>
      </w:r>
    </w:p>
    <w:p w:rsidR="00715488" w:rsidRPr="008E522D" w:rsidRDefault="00715488" w:rsidP="00715488">
      <w:pPr>
        <w:pStyle w:val="AERquoteindent1"/>
      </w:pPr>
      <w:r>
        <w:t xml:space="preserve">(a) </w:t>
      </w:r>
      <w:proofErr w:type="gramStart"/>
      <w:r w:rsidRPr="008E522D">
        <w:t>price</w:t>
      </w:r>
      <w:proofErr w:type="gramEnd"/>
      <w:r w:rsidRPr="008E522D">
        <w:t>, quality, safety, reliability and security of supply of electricity; and</w:t>
      </w:r>
    </w:p>
    <w:p w:rsidR="00715488" w:rsidRPr="00715488" w:rsidRDefault="00715488" w:rsidP="00715488">
      <w:pPr>
        <w:pStyle w:val="AERquoteindent1"/>
        <w:rPr>
          <w:rStyle w:val="AERbody"/>
        </w:rPr>
      </w:pPr>
      <w:r>
        <w:t xml:space="preserve">(b) </w:t>
      </w:r>
      <w:proofErr w:type="gramStart"/>
      <w:r w:rsidRPr="008E522D">
        <w:t>the</w:t>
      </w:r>
      <w:proofErr w:type="gramEnd"/>
      <w:r w:rsidRPr="008E522D">
        <w:t xml:space="preserve"> reliability, safety and security of the national electricity system.</w:t>
      </w:r>
    </w:p>
    <w:p w:rsidR="00715488" w:rsidRDefault="00715488" w:rsidP="00715488">
      <w:pPr>
        <w:pStyle w:val="AERbodytext"/>
      </w:pPr>
      <w:r>
        <w:t>In essence, the NEO places an overarching requirement on the AER to make distribution determinations that will deliver efficient outcomes to the benefit of consumers in the long term. The revenue and pricing principles support the NEO and ensure a framework for efficient network investment exists, irrespective of how the regulatory regime and the industry evolve.</w:t>
      </w:r>
      <w:r>
        <w:rPr>
          <w:rStyle w:val="FootnoteReference"/>
        </w:rPr>
        <w:footnoteReference w:id="10"/>
      </w:r>
      <w:r>
        <w:t xml:space="preserve"> We must take the revenue and pricing principles into account </w:t>
      </w:r>
      <w:r w:rsidRPr="00A179AA">
        <w:t>when</w:t>
      </w:r>
      <w:r>
        <w:t>ever we exercise discretion in making those parts of a regulatory determination relating to direct control network services.</w:t>
      </w:r>
      <w:r w:rsidRPr="00A179AA">
        <w:rPr>
          <w:rStyle w:val="FootnoteReference"/>
        </w:rPr>
        <w:footnoteReference w:id="11"/>
      </w:r>
    </w:p>
    <w:p w:rsidR="00715488" w:rsidRDefault="00715488" w:rsidP="00715488">
      <w:pPr>
        <w:pStyle w:val="AERbodytext"/>
      </w:pPr>
      <w:r>
        <w:t>T</w:t>
      </w:r>
      <w:r w:rsidRPr="0064100E">
        <w:t>he incentive based regulatory framework</w:t>
      </w:r>
      <w:r>
        <w:t xml:space="preserve"> aims to facilitate the NEO and the revenue and pricing principles by ensuring </w:t>
      </w:r>
      <w:r w:rsidR="00185AAB">
        <w:t>D</w:t>
      </w:r>
      <w:r>
        <w:t xml:space="preserve">NSPs are appropriately incentivised to provide, and are compensated for providing, electricity services </w:t>
      </w:r>
      <w:r w:rsidRPr="00333F26">
        <w:rPr>
          <w:rStyle w:val="AERbody"/>
        </w:rPr>
        <w:t>efficiently</w:t>
      </w:r>
      <w:r>
        <w:t xml:space="preserve"> so that consumers receive the level of service they expect at the least cost. It does this by rewarding </w:t>
      </w:r>
      <w:r w:rsidRPr="00A375C4">
        <w:t xml:space="preserve">DNSPs for </w:t>
      </w:r>
      <w:r>
        <w:t>maintaining service standards</w:t>
      </w:r>
      <w:r w:rsidRPr="00A375C4">
        <w:t xml:space="preserve"> </w:t>
      </w:r>
      <w:r>
        <w:t xml:space="preserve">while </w:t>
      </w:r>
      <w:r w:rsidRPr="00A375C4">
        <w:t xml:space="preserve">spending less </w:t>
      </w:r>
      <w:r>
        <w:t xml:space="preserve">in a regulatory control period </w:t>
      </w:r>
      <w:r w:rsidRPr="00A375C4">
        <w:t xml:space="preserve">than the expenditure </w:t>
      </w:r>
      <w:r>
        <w:t>allowance</w:t>
      </w:r>
      <w:r w:rsidRPr="00A375C4">
        <w:t xml:space="preserve"> </w:t>
      </w:r>
      <w:r>
        <w:t>that we determine. For this reason, we must consider whether DNSPs are responding to incentives and providing distribution services efficiently.</w:t>
      </w:r>
    </w:p>
    <w:p w:rsidR="00715488" w:rsidRPr="00B3630D" w:rsidRDefault="00715488" w:rsidP="00715488">
      <w:pPr>
        <w:pStyle w:val="AERbodytext"/>
      </w:pPr>
      <w:r>
        <w:t>The NER set out specific requirements to ensure we assess</w:t>
      </w:r>
      <w:r w:rsidRPr="00470140">
        <w:t xml:space="preserve"> and determine expenditure proposals in accordance with the NEL, and hence give effect to the NEO.</w:t>
      </w:r>
      <w:r>
        <w:t xml:space="preserve"> When we make a distribution determination, we must decide whether or not we are satisfied that a DNSP's proposed total capex forecast and total opex forecast reasonably reflect the capex criteria and opex criteria (collectively, </w:t>
      </w:r>
      <w:r w:rsidRPr="00D85F5F">
        <w:rPr>
          <w:rStyle w:val="AERbody"/>
        </w:rPr>
        <w:t>the expenditure criteria</w:t>
      </w:r>
      <w:r>
        <w:t xml:space="preserve">). These criteria </w:t>
      </w:r>
      <w:r w:rsidRPr="00B3630D">
        <w:t>are:</w:t>
      </w:r>
      <w:r w:rsidRPr="00B3630D">
        <w:rPr>
          <w:rStyle w:val="FootnoteReference"/>
        </w:rPr>
        <w:footnoteReference w:id="12"/>
      </w:r>
    </w:p>
    <w:p w:rsidR="00715488" w:rsidRPr="00E268DF" w:rsidRDefault="00715488" w:rsidP="00715488">
      <w:pPr>
        <w:pStyle w:val="AERnumberedlist2first"/>
      </w:pPr>
      <w:r w:rsidRPr="00E268DF">
        <w:t>the efficient costs of achieving the</w:t>
      </w:r>
      <w:r>
        <w:t xml:space="preserve"> capex and opex objectives</w:t>
      </w:r>
    </w:p>
    <w:p w:rsidR="00715488" w:rsidRPr="00E268DF" w:rsidRDefault="00715488" w:rsidP="00715488">
      <w:pPr>
        <w:pStyle w:val="AERnumberedlist2first"/>
      </w:pPr>
      <w:r w:rsidRPr="00E268DF">
        <w:t>the costs that a prudent operator would require to achieve the</w:t>
      </w:r>
      <w:r>
        <w:t xml:space="preserve"> capex and opex objectives</w:t>
      </w:r>
    </w:p>
    <w:p w:rsidR="00715488" w:rsidRDefault="00715488" w:rsidP="00715488">
      <w:pPr>
        <w:pStyle w:val="AERnumberedlist2first"/>
      </w:pPr>
      <w:proofErr w:type="gramStart"/>
      <w:r w:rsidRPr="00E268DF">
        <w:t>a</w:t>
      </w:r>
      <w:proofErr w:type="gramEnd"/>
      <w:r w:rsidRPr="00E268DF">
        <w:t xml:space="preserve"> realistic expectation of the demand forecast and cost inputs requir</w:t>
      </w:r>
      <w:r>
        <w:t>ed to achieve the capex</w:t>
      </w:r>
      <w:r w:rsidRPr="00E268DF">
        <w:t xml:space="preserve"> </w:t>
      </w:r>
      <w:r>
        <w:t xml:space="preserve">and opex </w:t>
      </w:r>
      <w:r w:rsidRPr="00E268DF">
        <w:t>objectives.</w:t>
      </w:r>
    </w:p>
    <w:p w:rsidR="00715488" w:rsidRDefault="00715488" w:rsidP="00715488">
      <w:pPr>
        <w:pStyle w:val="AERbodytext"/>
      </w:pPr>
    </w:p>
    <w:p w:rsidR="00715488" w:rsidRPr="00715488" w:rsidRDefault="00715488" w:rsidP="00715488">
      <w:pPr>
        <w:pStyle w:val="AERbodytext"/>
      </w:pPr>
      <w:r>
        <w:t>When considering whether forecasts reasonably reflect the expenditure criteria,</w:t>
      </w:r>
      <w:r w:rsidRPr="00715488">
        <w:t xml:space="preserve"> we must have regard to the capex and opex factors (collectively, </w:t>
      </w:r>
      <w:r w:rsidRPr="00715488">
        <w:rPr>
          <w:rStyle w:val="AERbody"/>
        </w:rPr>
        <w:t>the expenditure factors</w:t>
      </w:r>
      <w:r w:rsidRPr="00715488">
        <w:t>).</w:t>
      </w:r>
      <w:r w:rsidRPr="00715488">
        <w:rPr>
          <w:rStyle w:val="FootnoteReference"/>
        </w:rPr>
        <w:footnoteReference w:id="13"/>
      </w:r>
      <w:r w:rsidRPr="00715488">
        <w:t xml:space="preserve"> </w:t>
      </w:r>
    </w:p>
    <w:p w:rsidR="00715488" w:rsidRPr="00715488" w:rsidRDefault="00715488" w:rsidP="00715488">
      <w:pPr>
        <w:pStyle w:val="AERbodytext"/>
      </w:pPr>
      <w:r>
        <w:t xml:space="preserve">If </w:t>
      </w:r>
      <w:r w:rsidRPr="00715488">
        <w:t>satisfied, we must accept the DNSP's forecast.</w:t>
      </w:r>
      <w:r w:rsidRPr="00715488">
        <w:rPr>
          <w:rStyle w:val="FootnoteReference"/>
        </w:rPr>
        <w:footnoteReference w:id="14"/>
      </w:r>
      <w:r w:rsidRPr="00715488">
        <w:t xml:space="preserve"> If we are not satisfied, we must not accept the forecast</w:t>
      </w:r>
      <w:r w:rsidRPr="00715488">
        <w:rPr>
          <w:rStyle w:val="FootnoteReference"/>
        </w:rPr>
        <w:footnoteReference w:id="15"/>
      </w:r>
      <w:r w:rsidRPr="00715488">
        <w:t xml:space="preserve"> and estimate a total forecast that we are satisfied reasonably reflects the expenditure criteria.</w:t>
      </w:r>
      <w:r w:rsidRPr="00715488">
        <w:rPr>
          <w:rStyle w:val="FootnoteReference"/>
        </w:rPr>
        <w:footnoteReference w:id="16"/>
      </w:r>
      <w:r w:rsidRPr="00715488">
        <w:t xml:space="preserve"> That is, we must either amend the DNSP's estimate or substitute it with our own estimate. </w:t>
      </w:r>
    </w:p>
    <w:p w:rsidR="00715488" w:rsidRDefault="00715488" w:rsidP="00715488">
      <w:pPr>
        <w:pStyle w:val="Heading2"/>
      </w:pPr>
      <w:bookmarkStart w:id="30" w:name="_Ref358952336"/>
      <w:bookmarkStart w:id="31" w:name="_Toc361390718"/>
      <w:bookmarkStart w:id="32" w:name="_Toc361391060"/>
      <w:r>
        <w:t>General approach</w:t>
      </w:r>
      <w:bookmarkEnd w:id="30"/>
      <w:bookmarkEnd w:id="31"/>
      <w:bookmarkEnd w:id="32"/>
    </w:p>
    <w:p w:rsidR="00715488" w:rsidRDefault="00715488" w:rsidP="00715488">
      <w:pPr>
        <w:pStyle w:val="AERbodytext"/>
      </w:pPr>
      <w:r>
        <w:t>For both</w:t>
      </w:r>
      <w:r w:rsidRPr="00E9747C">
        <w:t xml:space="preserve"> capex and opex proposals, we use the same </w:t>
      </w:r>
      <w:r>
        <w:t>general</w:t>
      </w:r>
      <w:r w:rsidRPr="00E9747C">
        <w:t xml:space="preserve"> approach to either accept a </w:t>
      </w:r>
      <w:r w:rsidR="00DA7B2D">
        <w:t>DNSP</w:t>
      </w:r>
      <w:r w:rsidRPr="00E9747C">
        <w:t xml:space="preserve">'s proposal, or not accept it and </w:t>
      </w:r>
      <w:r>
        <w:t xml:space="preserve">substitute it with </w:t>
      </w:r>
      <w:r w:rsidRPr="00E9747C">
        <w:t>an alternative estimate. In doing so, we will examine</w:t>
      </w:r>
      <w:r>
        <w:t xml:space="preserve"> the </w:t>
      </w:r>
      <w:r w:rsidR="00DA7B2D">
        <w:t>DNSP</w:t>
      </w:r>
      <w:r>
        <w:t xml:space="preserve">'s proposal and other relevant information. We will apply a range of techniques that typically involve comparing the </w:t>
      </w:r>
      <w:r w:rsidR="00185AAB">
        <w:t>D</w:t>
      </w:r>
      <w:r>
        <w:t xml:space="preserve">NSPs' forecasts with estimates that we develop from </w:t>
      </w:r>
      <w:r w:rsidR="00E95A98">
        <w:t xml:space="preserve">relevant </w:t>
      </w:r>
      <w:r>
        <w:t>information sources.</w:t>
      </w:r>
      <w:r w:rsidR="00D72334">
        <w:t xml:space="preserve"> </w:t>
      </w:r>
    </w:p>
    <w:p w:rsidR="00715488" w:rsidRPr="00030923" w:rsidRDefault="00715488" w:rsidP="00715488">
      <w:pPr>
        <w:pStyle w:val="AERbodytext"/>
      </w:pPr>
      <w:r>
        <w:t>I</w:t>
      </w:r>
      <w:r w:rsidRPr="00030923">
        <w:t xml:space="preserve">f a </w:t>
      </w:r>
      <w:r w:rsidR="00DA7B2D">
        <w:t>DNSP</w:t>
      </w:r>
      <w:r w:rsidRPr="00030923">
        <w:t xml:space="preserve">'s total capex or opex forecast </w:t>
      </w:r>
      <w:r>
        <w:t xml:space="preserve">is </w:t>
      </w:r>
      <w:r w:rsidRPr="00030923">
        <w:t>(</w:t>
      </w:r>
      <w:r>
        <w:t>or</w:t>
      </w:r>
      <w:r w:rsidRPr="00030923">
        <w:t xml:space="preserve"> components of these forecasts</w:t>
      </w:r>
      <w:r>
        <w:t xml:space="preserve"> are</w:t>
      </w:r>
      <w:r w:rsidRPr="00030923">
        <w:t xml:space="preserve">) greater than estimates </w:t>
      </w:r>
      <w:r>
        <w:t xml:space="preserve">we </w:t>
      </w:r>
      <w:r w:rsidRPr="00030923">
        <w:t xml:space="preserve">develop using our assessment techniques and </w:t>
      </w:r>
      <w:r>
        <w:t>there is</w:t>
      </w:r>
      <w:r w:rsidRPr="00030923">
        <w:t xml:space="preserve"> no satisfactory explanation for this difference, we will form the view that the </w:t>
      </w:r>
      <w:r w:rsidR="00DA7B2D">
        <w:t>DNSP</w:t>
      </w:r>
      <w:r w:rsidRPr="00030923">
        <w:t xml:space="preserve">'s estimate does not reasonably reflect the expenditure criteria. In this case, we will amend the </w:t>
      </w:r>
      <w:r w:rsidR="00DA7B2D">
        <w:t>DNSP</w:t>
      </w:r>
      <w:r w:rsidRPr="00030923">
        <w:t>'s forecast or substitute our own estimate that reasonably reflect</w:t>
      </w:r>
      <w:r>
        <w:t>s</w:t>
      </w:r>
      <w:r w:rsidRPr="00030923">
        <w:t xml:space="preserve"> the expenditure criteria. </w:t>
      </w:r>
    </w:p>
    <w:p w:rsidR="00715488" w:rsidRDefault="00715488" w:rsidP="00715488">
      <w:pPr>
        <w:pStyle w:val="AERbodytext"/>
      </w:pPr>
      <w:r>
        <w:t xml:space="preserve">Our general approach is not significantly different from what we have applied in the past. However, we will use a broader range of assessment techniques and collect consistent data to facilitate our assessment. Consistent with our past approach, we will generally develop an efficient starting point or underlying efficient level of expenditure that we will then adjust for changes in demand forecasts, input costs and other efficient increases or decreases in expenditure. This will allow us to determine a total forecast that we are satisfied reasonably reflects the expenditure criteria. </w:t>
      </w:r>
    </w:p>
    <w:p w:rsidR="00715488" w:rsidRDefault="00715488" w:rsidP="00715488">
      <w:pPr>
        <w:pStyle w:val="AERbodytext"/>
      </w:pPr>
      <w:r>
        <w:t xml:space="preserve">For recurrent expenditure, we prefer to use revealed (past actual) costs as the starting point for determining efficient forecasts. Where a </w:t>
      </w:r>
      <w:r w:rsidR="00DA7B2D">
        <w:t>DNSP</w:t>
      </w:r>
      <w:r>
        <w:t xml:space="preserve"> has operated under an effective incentive framework, actual past expenditure should be a good indicator of the efficient expenditure the </w:t>
      </w:r>
      <w:r w:rsidR="00DA7B2D">
        <w:t>DNSP</w:t>
      </w:r>
      <w:r>
        <w:t xml:space="preserve"> requires in the future. </w:t>
      </w:r>
      <w:r w:rsidRPr="00AF36AD">
        <w:t xml:space="preserve">The ex ante incentive regime provides an incentive to reduce expenditure because </w:t>
      </w:r>
      <w:r w:rsidR="00185AAB">
        <w:t>D</w:t>
      </w:r>
      <w:r w:rsidRPr="00AF36AD">
        <w:t xml:space="preserve">NSPs can retain </w:t>
      </w:r>
      <w:r>
        <w:t>a portion of</w:t>
      </w:r>
      <w:r w:rsidRPr="00AF36AD">
        <w:t xml:space="preserve"> cost savings </w:t>
      </w:r>
      <w:r>
        <w:t xml:space="preserve">(i.e. by spending less than the AER's allowance) </w:t>
      </w:r>
      <w:r w:rsidRPr="00AF36AD">
        <w:t xml:space="preserve">made during the regulatory control period. </w:t>
      </w:r>
    </w:p>
    <w:p w:rsidR="00715488" w:rsidRDefault="00715488" w:rsidP="00715488">
      <w:pPr>
        <w:pStyle w:val="AERbodytext"/>
      </w:pPr>
      <w:r>
        <w:t>Consequently</w:t>
      </w:r>
      <w:r w:rsidRPr="00AF36AD">
        <w:t xml:space="preserve"> </w:t>
      </w:r>
      <w:r>
        <w:t>we apply various incentive schemes (the efficiency benefit sharing scheme (EBSS), service target performance incentive scheme</w:t>
      </w:r>
      <w:r w:rsidR="001C708F">
        <w:t xml:space="preserve"> (STPIS)</w:t>
      </w:r>
      <w:r w:rsidR="00877201">
        <w:t xml:space="preserve"> </w:t>
      </w:r>
      <w:r>
        <w:t xml:space="preserve">and, going forward, the capital expenditure sharing scheme (CESS)) to </w:t>
      </w:r>
      <w:r w:rsidRPr="00AF36AD">
        <w:t xml:space="preserve">provide </w:t>
      </w:r>
      <w:r w:rsidR="00185AAB">
        <w:t>D</w:t>
      </w:r>
      <w:r w:rsidRPr="00AF36AD">
        <w:t xml:space="preserve">NSPs </w:t>
      </w:r>
      <w:r>
        <w:t xml:space="preserve">with </w:t>
      </w:r>
      <w:r w:rsidRPr="00AF36AD">
        <w:t>a continuous incentive</w:t>
      </w:r>
      <w:r>
        <w:t xml:space="preserve"> to improve their efficiency in supplying electricity services to the standard demanded by consumers</w:t>
      </w:r>
      <w:r w:rsidRPr="00AF36AD">
        <w:t xml:space="preserve">. </w:t>
      </w:r>
    </w:p>
    <w:p w:rsidR="004D47F4" w:rsidRDefault="004D47F4" w:rsidP="00715488">
      <w:pPr>
        <w:pStyle w:val="AERbodytext"/>
      </w:pPr>
      <w:r>
        <w:t xml:space="preserve">While we examine revealed costs in the first instance, we need to test whether </w:t>
      </w:r>
      <w:r w:rsidR="00FF5455">
        <w:t>D</w:t>
      </w:r>
      <w:r>
        <w:t xml:space="preserve">NSPs responded to the incentive framework in place. For this reason, we will </w:t>
      </w:r>
      <w:r w:rsidR="00877201">
        <w:t xml:space="preserve">assess the efficiency of base year expenditures using our techniques, beginning with economic benchmarking and category analysis, to determine if it is appropriate for us to rely on a DNSP's revealed costs. That is, whether the DNSP's past performance was efficient relative to its peers and consistent with historical trends. </w:t>
      </w:r>
    </w:p>
    <w:p w:rsidR="00715488" w:rsidRDefault="00715488" w:rsidP="00715488">
      <w:pPr>
        <w:pStyle w:val="AERbodytext"/>
        <w:rPr>
          <w:rStyle w:val="AERbody"/>
        </w:rPr>
      </w:pPr>
      <w:r>
        <w:lastRenderedPageBreak/>
        <w:t xml:space="preserve">We rely on revealed costs for opex to a much greater extent than for capex because we assume that opex is largely recurrent. </w:t>
      </w:r>
      <w:r>
        <w:rPr>
          <w:rStyle w:val="AERbody"/>
        </w:rPr>
        <w:t>Past actual expenditure may not be an appropriate starting point for capex given it is largely non-recurrent or 'lumpy', and so past expenditures or work volumes may not be indicative of future volumes</w:t>
      </w:r>
      <w:r w:rsidR="001E4A4F">
        <w:rPr>
          <w:rStyle w:val="AERbody"/>
        </w:rPr>
        <w:t xml:space="preserve"> (particularly for transmission)</w:t>
      </w:r>
      <w:r>
        <w:rPr>
          <w:rStyle w:val="AERbody"/>
        </w:rPr>
        <w:t xml:space="preserve">. For non-recurrent expenditure, we will attempt to normalise for work volumes and examine per unit costs (including through benchmarking across </w:t>
      </w:r>
      <w:r w:rsidR="00FF5455">
        <w:rPr>
          <w:rStyle w:val="AERbody"/>
        </w:rPr>
        <w:t>D</w:t>
      </w:r>
      <w:r>
        <w:rPr>
          <w:rStyle w:val="AERbody"/>
        </w:rPr>
        <w:t>NSPs) when forming a view on forecast unit costs. Other drivers of capex (such as replacement expenditure and connections works) may be recurrent. For such expenditure, we will attempt to identify trends in revealed volumes and costs as an indicator of forecast requirements.</w:t>
      </w:r>
    </w:p>
    <w:p w:rsidR="00715488" w:rsidRDefault="00715488" w:rsidP="00715488">
      <w:pPr>
        <w:pStyle w:val="AERbodytext"/>
        <w:rPr>
          <w:rStyle w:val="AERbody"/>
        </w:rPr>
      </w:pPr>
      <w:r>
        <w:rPr>
          <w:rStyle w:val="AERbody"/>
        </w:rPr>
        <w:t xml:space="preserve">However, capex is not currently subject to an incentive scheme like the EBSS. This means that although past actual expenditures and volumes may indicate the particular </w:t>
      </w:r>
      <w:r w:rsidR="00DA7B2D">
        <w:rPr>
          <w:rStyle w:val="AERbody"/>
        </w:rPr>
        <w:t>DNSP</w:t>
      </w:r>
      <w:r>
        <w:rPr>
          <w:rStyle w:val="AERbody"/>
        </w:rPr>
        <w:t>'s likely future expenditure, we cannot presume they are efficient. We are implementing a CESS which may mitigate this issue to some extent</w:t>
      </w:r>
      <w:r w:rsidR="001E4A4F">
        <w:rPr>
          <w:rStyle w:val="AERbody"/>
        </w:rPr>
        <w:t xml:space="preserve"> in the future</w:t>
      </w:r>
      <w:r>
        <w:rPr>
          <w:rStyle w:val="AERbody"/>
        </w:rPr>
        <w:t xml:space="preserve">. Consequently, and because of the presence of non-recurrent expenditures, our assessment approach is typically more involved for capex than for opex. It may be necessary to review projects and programs to inform our opinion on total forecast capex (especially for transmission). </w:t>
      </w:r>
    </w:p>
    <w:p w:rsidR="00B211FA" w:rsidRDefault="00B211FA" w:rsidP="00B211FA">
      <w:r w:rsidRPr="00C70AE2">
        <w:t xml:space="preserve">When considering whether capex and opex forecasts reasonably reflect the expenditure criteria, we apply </w:t>
      </w:r>
      <w:r>
        <w:t xml:space="preserve">certain assessment approaches and use a variety of assessment techniques. Some of the approaches </w:t>
      </w:r>
      <w:r w:rsidRPr="005316E1">
        <w:t>are specific to capex or opex</w:t>
      </w:r>
      <w:r>
        <w:t>. Others</w:t>
      </w:r>
      <w:r w:rsidRPr="005316E1">
        <w:t xml:space="preserve"> are common to capex and opex assessment</w:t>
      </w:r>
      <w:r>
        <w:t>. For example, for both capex and opex, we will always consider whether:</w:t>
      </w:r>
    </w:p>
    <w:p w:rsidR="00B211FA" w:rsidRPr="00B211FA" w:rsidRDefault="00B211FA" w:rsidP="00B211FA">
      <w:pPr>
        <w:pStyle w:val="AERbulletlistfirststyle"/>
      </w:pPr>
      <w:r>
        <w:t xml:space="preserve">forecasts are </w:t>
      </w:r>
      <w:r w:rsidRPr="00B211FA">
        <w:t>supported by economic analysis</w:t>
      </w:r>
      <w:r w:rsidR="00EA0082">
        <w:t xml:space="preserve"> that demonstrate forecasts are prudent and efficient</w:t>
      </w:r>
    </w:p>
    <w:p w:rsidR="00B211FA" w:rsidRPr="00B211FA" w:rsidRDefault="00B211FA" w:rsidP="00B211FA">
      <w:pPr>
        <w:pStyle w:val="AERbulletlistfirststyle"/>
      </w:pPr>
      <w:r w:rsidRPr="0010361E">
        <w:t>related party margins impact on forecast expenditure</w:t>
      </w:r>
    </w:p>
    <w:p w:rsidR="00B211FA" w:rsidRPr="00B211FA" w:rsidRDefault="00B211FA" w:rsidP="00B211FA">
      <w:pPr>
        <w:pStyle w:val="AERbulletlistfirststyle"/>
      </w:pPr>
      <w:r>
        <w:t xml:space="preserve">adjustments are required for </w:t>
      </w:r>
      <w:r w:rsidRPr="00B211FA">
        <w:t>real price escalation</w:t>
      </w:r>
    </w:p>
    <w:p w:rsidR="00B211FA" w:rsidRPr="00B211FA" w:rsidRDefault="00B211FA" w:rsidP="00B211FA">
      <w:pPr>
        <w:pStyle w:val="AERbulletlistfirststyle"/>
      </w:pPr>
      <w:proofErr w:type="gramStart"/>
      <w:r>
        <w:t>adjustments</w:t>
      </w:r>
      <w:proofErr w:type="gramEnd"/>
      <w:r>
        <w:t xml:space="preserve"> are required for </w:t>
      </w:r>
      <w:r w:rsidRPr="00B211FA">
        <w:t>efficient increases or decreases in expenditure (step changes).</w:t>
      </w:r>
    </w:p>
    <w:p w:rsidR="00715488" w:rsidRDefault="00715488" w:rsidP="00715488">
      <w:r>
        <w:rPr>
          <w:rStyle w:val="AERbody"/>
        </w:rPr>
        <w:t xml:space="preserve">Our future approach for both opex and capex will place greater reliance on benchmarking techniques than we have in the past. </w:t>
      </w:r>
      <w:r>
        <w:t xml:space="preserve">Sections </w:t>
      </w:r>
      <w:r>
        <w:fldChar w:fldCharType="begin"/>
      </w:r>
      <w:r>
        <w:instrText xml:space="preserve"> REF _Ref358966543 \r \h </w:instrText>
      </w:r>
      <w:r>
        <w:fldChar w:fldCharType="separate"/>
      </w:r>
      <w:r w:rsidR="00C370FE">
        <w:t>4</w:t>
      </w:r>
      <w:r>
        <w:fldChar w:fldCharType="end"/>
      </w:r>
      <w:r>
        <w:t xml:space="preserve"> and </w:t>
      </w:r>
      <w:r>
        <w:fldChar w:fldCharType="begin"/>
      </w:r>
      <w:r>
        <w:instrText xml:space="preserve"> REF _Ref358966554 \r \h </w:instrText>
      </w:r>
      <w:r>
        <w:fldChar w:fldCharType="separate"/>
      </w:r>
      <w:r w:rsidR="00C370FE">
        <w:t>5</w:t>
      </w:r>
      <w:r>
        <w:fldChar w:fldCharType="end"/>
      </w:r>
      <w:r>
        <w:t xml:space="preserve"> provide further detail on our assessment approaches for capex and opex.</w:t>
      </w:r>
    </w:p>
    <w:p w:rsidR="00715488" w:rsidRDefault="00715488" w:rsidP="00715488">
      <w:pPr>
        <w:pStyle w:val="Heading2"/>
      </w:pPr>
      <w:bookmarkStart w:id="33" w:name="_Ref358954339"/>
      <w:bookmarkStart w:id="34" w:name="_Toc361390719"/>
      <w:bookmarkStart w:id="35" w:name="_Toc361391061"/>
      <w:r>
        <w:t>Assessment techniques</w:t>
      </w:r>
      <w:bookmarkEnd w:id="33"/>
      <w:bookmarkEnd w:id="34"/>
      <w:bookmarkEnd w:id="35"/>
    </w:p>
    <w:p w:rsidR="004D47F4" w:rsidRPr="003C161E" w:rsidRDefault="004D47F4" w:rsidP="004D47F4">
      <w:r w:rsidRPr="003C161E">
        <w:t xml:space="preserve">When we assess capex and opex forecasts, </w:t>
      </w:r>
      <w:r>
        <w:t>we may use a number of</w:t>
      </w:r>
      <w:r w:rsidRPr="003C161E">
        <w:t xml:space="preserve"> assessment techniques</w:t>
      </w:r>
      <w:r>
        <w:t>, often in combination</w:t>
      </w:r>
      <w:r w:rsidRPr="003C161E">
        <w:t>. The extent to which we use each technique will vary depending on the expenditure proposal</w:t>
      </w:r>
      <w:r>
        <w:t xml:space="preserve"> we are assessing, but in general, we will follow an assessment filtering process. That is, we will apply high level techniques in the first instance and apply more detailed techniques as required</w:t>
      </w:r>
      <w:r w:rsidRPr="003C161E">
        <w:t xml:space="preserve">. </w:t>
      </w:r>
      <w:r>
        <w:t xml:space="preserve">For example, for the first pass assessment, we will likely use high level economic and category level benchmarking to determine relative efficiency and </w:t>
      </w:r>
      <w:r w:rsidRPr="003C161E">
        <w:t xml:space="preserve">target areas for further review. </w:t>
      </w:r>
      <w:r>
        <w:t>We will, however, also use benchmarking techniques beyond the first pass assessment.</w:t>
      </w:r>
    </w:p>
    <w:p w:rsidR="004D47F4" w:rsidRDefault="004D47F4" w:rsidP="004D47F4">
      <w:pPr>
        <w:pStyle w:val="AERbodytext"/>
      </w:pPr>
      <w:r>
        <w:t xml:space="preserve">The first pass assessment will indicate the extent to which we need to investigate a </w:t>
      </w:r>
      <w:r w:rsidR="00DA7B2D">
        <w:t>DNSP</w:t>
      </w:r>
      <w:r>
        <w:t xml:space="preserve">'s proposal further. Typically, </w:t>
      </w:r>
      <w:r w:rsidRPr="003C161E">
        <w:t xml:space="preserve">we will </w:t>
      </w:r>
      <w:r>
        <w:t>apply</w:t>
      </w:r>
      <w:r w:rsidRPr="003C161E">
        <w:t xml:space="preserve"> predictive modelling, trend analysis and governance or methodology reviews </w:t>
      </w:r>
      <w:r>
        <w:t>before delving into detailed techniques such as cost benefit analysis and project or program review.</w:t>
      </w:r>
      <w:r w:rsidRPr="003C161E">
        <w:t xml:space="preserve"> </w:t>
      </w:r>
      <w:r>
        <w:t xml:space="preserve">While we intend to move away from detailed techniques such as project review, we are likely to rely on them in some cases, particularly to assess capex for </w:t>
      </w:r>
      <w:r w:rsidR="00DA7B2D">
        <w:t>transmission network service providers</w:t>
      </w:r>
      <w:r>
        <w:t xml:space="preserve">. </w:t>
      </w:r>
    </w:p>
    <w:p w:rsidR="00715488" w:rsidRDefault="00B211FA" w:rsidP="001C708F">
      <w:pPr>
        <w:pStyle w:val="AERbodytext"/>
      </w:pPr>
      <w:r>
        <w:lastRenderedPageBreak/>
        <w:t xml:space="preserve">Our assessment techniques may complement each other in terms of the information they provide, so we can use them in combination when forming a view on expenditure proposals. Accordingly, we have a holistic approach to using our assessment techniques. </w:t>
      </w:r>
      <w:r w:rsidR="009E1BE7">
        <w:t>This means we</w:t>
      </w:r>
      <w:r w:rsidR="00606E79">
        <w:t xml:space="preserve"> </w:t>
      </w:r>
      <w:r w:rsidR="00715488">
        <w:t xml:space="preserve">intend to give ourselves the ability to use all of these techniques, and refine them over time. </w:t>
      </w:r>
      <w:r w:rsidR="00715488" w:rsidRPr="00482C16">
        <w:t xml:space="preserve"> </w:t>
      </w:r>
      <w:r w:rsidR="00715488">
        <w:t xml:space="preserve">Depending on the assessment technique, we may be able to use it to assess expenditure in different ways––some </w:t>
      </w:r>
      <w:r w:rsidR="00613EFC">
        <w:t xml:space="preserve">techniques </w:t>
      </w:r>
      <w:r w:rsidR="00715488">
        <w:t>may be more robust than others</w:t>
      </w:r>
      <w:r w:rsidR="00613EFC">
        <w:t>, at least initially</w:t>
      </w:r>
      <w:r w:rsidR="00076DDD">
        <w:t>.</w:t>
      </w:r>
      <w:r w:rsidR="00613EFC">
        <w:t xml:space="preserve"> </w:t>
      </w:r>
      <w:r w:rsidR="00076DDD">
        <w:t>We will take this</w:t>
      </w:r>
      <w:r w:rsidR="00613EFC">
        <w:t xml:space="preserve"> into account in terms of the reliance </w:t>
      </w:r>
      <w:r w:rsidR="00076DDD">
        <w:t xml:space="preserve">we </w:t>
      </w:r>
      <w:r w:rsidR="00613EFC">
        <w:t>placed on the</w:t>
      </w:r>
      <w:r w:rsidR="00076DDD">
        <w:t>m</w:t>
      </w:r>
      <w:r w:rsidR="00715488">
        <w:t xml:space="preserve">. </w:t>
      </w:r>
    </w:p>
    <w:p w:rsidR="009E1BE7" w:rsidRDefault="00715488" w:rsidP="009E1BE7">
      <w:pPr>
        <w:pStyle w:val="AERbodytext"/>
      </w:pPr>
      <w:r>
        <w:t xml:space="preserve">Therefore, when considering which techniques are the most appropriate for determining allowances that reasonably reflect the expenditure criteria, </w:t>
      </w:r>
      <w:r w:rsidR="009E1BE7">
        <w:t xml:space="preserve">we </w:t>
      </w:r>
      <w:r w:rsidR="00613EFC">
        <w:t>would</w:t>
      </w:r>
      <w:r w:rsidR="009E1BE7">
        <w:t xml:space="preserve"> consider</w:t>
      </w:r>
      <w:r>
        <w:t xml:space="preserve"> best practice regulatory principles. Equally, when deciding the extent to which we rely on a </w:t>
      </w:r>
      <w:r w:rsidR="00DA7B2D">
        <w:t>DNSP</w:t>
      </w:r>
      <w:r>
        <w:t xml:space="preserve">'s forecasting techniques, we </w:t>
      </w:r>
      <w:r w:rsidR="00613EFC">
        <w:t xml:space="preserve">would </w:t>
      </w:r>
      <w:r>
        <w:t xml:space="preserve">consider these principles. The explanatory statement for this Guideline explains this further. </w:t>
      </w:r>
      <w:r w:rsidR="009E1BE7">
        <w:t xml:space="preserve">This section explains our assessment techniques, which are: </w:t>
      </w:r>
    </w:p>
    <w:p w:rsidR="009E1BE7" w:rsidRPr="004D47F4" w:rsidRDefault="009E1BE7" w:rsidP="009E1BE7">
      <w:pPr>
        <w:pStyle w:val="AERbulletlistfirststyle"/>
      </w:pPr>
      <w:r>
        <w:t>b</w:t>
      </w:r>
      <w:r w:rsidRPr="004D47F4">
        <w:t>enchmarking (economic techniques and category analysis)</w:t>
      </w:r>
    </w:p>
    <w:p w:rsidR="009E1BE7" w:rsidRPr="004D47F4" w:rsidRDefault="009E1BE7" w:rsidP="009E1BE7">
      <w:pPr>
        <w:pStyle w:val="AERbulletlistfirststyle"/>
      </w:pPr>
      <w:r>
        <w:t>methodology review</w:t>
      </w:r>
    </w:p>
    <w:p w:rsidR="009E1BE7" w:rsidRDefault="009E1BE7" w:rsidP="009E1BE7">
      <w:pPr>
        <w:pStyle w:val="AERbulletlistfirststyle"/>
      </w:pPr>
      <w:r>
        <w:t>governance and policy review</w:t>
      </w:r>
    </w:p>
    <w:p w:rsidR="009E1BE7" w:rsidRPr="004D47F4" w:rsidRDefault="009E1BE7" w:rsidP="009E1BE7">
      <w:pPr>
        <w:pStyle w:val="AERbulletlistfirststyle"/>
      </w:pPr>
      <w:r w:rsidRPr="004D47F4">
        <w:t>predictive modelling</w:t>
      </w:r>
    </w:p>
    <w:p w:rsidR="009E1BE7" w:rsidRPr="004D47F4" w:rsidRDefault="009E1BE7" w:rsidP="009E1BE7">
      <w:pPr>
        <w:pStyle w:val="AERbulletlistfirststyle"/>
      </w:pPr>
      <w:r w:rsidRPr="004E428B">
        <w:t>trend analysis</w:t>
      </w:r>
    </w:p>
    <w:p w:rsidR="009E1BE7" w:rsidRDefault="009E1BE7" w:rsidP="009E1BE7">
      <w:pPr>
        <w:pStyle w:val="AERbulletlistfirststyle"/>
      </w:pPr>
      <w:r w:rsidRPr="00E06376">
        <w:t>cost benefit analysis</w:t>
      </w:r>
    </w:p>
    <w:p w:rsidR="00715488" w:rsidRDefault="009E1BE7" w:rsidP="00715488">
      <w:pPr>
        <w:pStyle w:val="AERbulletlistfirststyle"/>
      </w:pPr>
      <w:proofErr w:type="gramStart"/>
      <w:r w:rsidRPr="004D47F4">
        <w:t>detailed</w:t>
      </w:r>
      <w:proofErr w:type="gramEnd"/>
      <w:r w:rsidRPr="004D47F4">
        <w:t xml:space="preserve"> project review (including engineering review).</w:t>
      </w:r>
    </w:p>
    <w:p w:rsidR="004D47F4" w:rsidRPr="003C0311" w:rsidRDefault="004D47F4" w:rsidP="004D47F4">
      <w:pPr>
        <w:pStyle w:val="Heading3"/>
      </w:pPr>
      <w:r w:rsidRPr="003C0311">
        <w:t>Benchmarking</w:t>
      </w:r>
    </w:p>
    <w:p w:rsidR="004D47F4" w:rsidRDefault="004D47F4" w:rsidP="004D47F4">
      <w:pPr>
        <w:pStyle w:val="AERbodytext"/>
      </w:pPr>
      <w:r>
        <w:t xml:space="preserve">We intend to incorporate more benchmarking into our expenditure assessment. </w:t>
      </w:r>
      <w:r w:rsidRPr="003C0311">
        <w:t>Benchmarking compar</w:t>
      </w:r>
      <w:r>
        <w:t>es</w:t>
      </w:r>
      <w:r w:rsidRPr="003C0311">
        <w:t xml:space="preserve"> standardised measurements from alternative sources. </w:t>
      </w:r>
      <w:r w:rsidR="00BE166F">
        <w:t>We are likely to apply several types of benchmarking.</w:t>
      </w:r>
    </w:p>
    <w:p w:rsidR="009E1BE7" w:rsidRDefault="009E1BE7" w:rsidP="009E1BE7">
      <w:pPr>
        <w:pStyle w:val="HeadingBoldBlue"/>
      </w:pPr>
      <w:r>
        <w:t>Economic benchmarking</w:t>
      </w:r>
    </w:p>
    <w:p w:rsidR="009E1BE7" w:rsidRPr="00715488" w:rsidRDefault="009E1BE7" w:rsidP="009E1BE7">
      <w:pPr>
        <w:pStyle w:val="AERbodytext"/>
      </w:pPr>
      <w:r>
        <w:t xml:space="preserve">We have </w:t>
      </w:r>
      <w:r w:rsidRPr="00715488">
        <w:t xml:space="preserve">not previously used economic benchmarking techniques to assess expenditure, but now intend to do so. Economic benchmarking applies economic theory to measure the efficiency of a </w:t>
      </w:r>
      <w:r w:rsidR="00DA7B2D">
        <w:t>DNSP</w:t>
      </w:r>
      <w:r w:rsidRPr="00715488">
        <w:t xml:space="preserve">'s use of inputs to produce outputs, having regard to environmental factors. It will enable us to compare the performance of a </w:t>
      </w:r>
      <w:r w:rsidR="00DA7B2D">
        <w:t>DNSP</w:t>
      </w:r>
      <w:r w:rsidRPr="00715488">
        <w:t xml:space="preserve"> with its own past performance or the performance of other </w:t>
      </w:r>
      <w:r w:rsidR="00FF5455">
        <w:t>D</w:t>
      </w:r>
      <w:r>
        <w:t>NSP</w:t>
      </w:r>
      <w:r w:rsidRPr="00715488">
        <w:t>s. We intend to apply a range of economic benchmarking techniques, including:</w:t>
      </w:r>
    </w:p>
    <w:p w:rsidR="009E1BE7" w:rsidRDefault="009E1BE7" w:rsidP="009E1BE7">
      <w:pPr>
        <w:pStyle w:val="AERbulletlistfirststyle"/>
      </w:pPr>
      <w:r>
        <w:t>multilateral total factor productivity</w:t>
      </w:r>
    </w:p>
    <w:p w:rsidR="009E1BE7" w:rsidRDefault="009E1BE7" w:rsidP="009E1BE7">
      <w:pPr>
        <w:pStyle w:val="AERbulletlistfirststyle"/>
      </w:pPr>
      <w:r>
        <w:t>data envelopment analysis</w:t>
      </w:r>
    </w:p>
    <w:p w:rsidR="009E1BE7" w:rsidRDefault="009E1BE7" w:rsidP="009E1BE7">
      <w:pPr>
        <w:pStyle w:val="AERbulletlistfirststyle"/>
      </w:pPr>
      <w:proofErr w:type="gramStart"/>
      <w:r>
        <w:t>econometric</w:t>
      </w:r>
      <w:proofErr w:type="gramEnd"/>
      <w:r>
        <w:t xml:space="preserve"> modelling.</w:t>
      </w:r>
    </w:p>
    <w:p w:rsidR="004D47F4" w:rsidRDefault="004D47F4" w:rsidP="004D47F4">
      <w:pPr>
        <w:pStyle w:val="HeadingBoldBlue"/>
      </w:pPr>
      <w:r>
        <w:t>Category level benchmarking</w:t>
      </w:r>
    </w:p>
    <w:p w:rsidR="004D47F4" w:rsidRPr="003C0311" w:rsidRDefault="004D47F4" w:rsidP="004D47F4">
      <w:pPr>
        <w:pStyle w:val="AERbodytext"/>
      </w:pPr>
      <w:r>
        <w:t>We</w:t>
      </w:r>
      <w:r w:rsidRPr="003C0311">
        <w:t xml:space="preserve"> </w:t>
      </w:r>
      <w:r>
        <w:t xml:space="preserve">will likely </w:t>
      </w:r>
      <w:r w:rsidRPr="003C0311">
        <w:t xml:space="preserve">benchmark across </w:t>
      </w:r>
      <w:r w:rsidR="00FF5455">
        <w:t>D</w:t>
      </w:r>
      <w:r>
        <w:t xml:space="preserve">NSPs by expenditure categories </w:t>
      </w:r>
      <w:r w:rsidRPr="003C0311">
        <w:t xml:space="preserve">on a number of </w:t>
      </w:r>
      <w:r>
        <w:t xml:space="preserve">levels </w:t>
      </w:r>
      <w:r w:rsidRPr="003C0311">
        <w:t>including:</w:t>
      </w:r>
    </w:p>
    <w:p w:rsidR="004D47F4" w:rsidRPr="003C0311" w:rsidRDefault="004D47F4" w:rsidP="004D47F4">
      <w:pPr>
        <w:pStyle w:val="AERbulletlistfirststyle"/>
      </w:pPr>
      <w:r>
        <w:t>total capex and total opex</w:t>
      </w:r>
    </w:p>
    <w:p w:rsidR="004D47F4" w:rsidRDefault="004D47F4" w:rsidP="004D47F4">
      <w:pPr>
        <w:pStyle w:val="AERbulletlistfirststyle"/>
      </w:pPr>
      <w:r>
        <w:lastRenderedPageBreak/>
        <w:t>high level categories (drivers) of expenditure (for example customer driven capex or maintenance opex)</w:t>
      </w:r>
    </w:p>
    <w:p w:rsidR="004D47F4" w:rsidRDefault="004D47F4" w:rsidP="004D47F4">
      <w:pPr>
        <w:pStyle w:val="AERbulletlistfirststyle"/>
      </w:pPr>
      <w:proofErr w:type="gramStart"/>
      <w:r>
        <w:t>subcategories</w:t>
      </w:r>
      <w:proofErr w:type="gramEnd"/>
      <w:r>
        <w:t xml:space="preserve"> of expenditure.</w:t>
      </w:r>
    </w:p>
    <w:p w:rsidR="004D47F4" w:rsidRDefault="004D47F4" w:rsidP="004D47F4">
      <w:pPr>
        <w:pStyle w:val="AERbodytext"/>
      </w:pPr>
      <w:r>
        <w:t>We may benchmark further at the following low levels:</w:t>
      </w:r>
    </w:p>
    <w:p w:rsidR="004D47F4" w:rsidRPr="003C0311" w:rsidRDefault="004D47F4" w:rsidP="004D47F4">
      <w:pPr>
        <w:pStyle w:val="AERbulletlistfirststyle"/>
      </w:pPr>
      <w:r>
        <w:t>u</w:t>
      </w:r>
      <w:r w:rsidRPr="003C0311">
        <w:t>nit costs associated with given works (</w:t>
      </w:r>
      <w:r>
        <w:t>for example</w:t>
      </w:r>
      <w:r w:rsidR="009E1BE7">
        <w:t>,</w:t>
      </w:r>
      <w:r w:rsidRPr="003C0311">
        <w:t xml:space="preserve"> the direct labour and material cost </w:t>
      </w:r>
      <w:r>
        <w:t xml:space="preserve">required </w:t>
      </w:r>
      <w:r w:rsidRPr="003C0311">
        <w:t xml:space="preserve">to replace a wood </w:t>
      </w:r>
      <w:r>
        <w:t>p</w:t>
      </w:r>
      <w:r w:rsidRPr="003C0311">
        <w:t xml:space="preserve">ole) </w:t>
      </w:r>
    </w:p>
    <w:p w:rsidR="004D47F4" w:rsidRDefault="004D47F4" w:rsidP="004D47F4">
      <w:pPr>
        <w:pStyle w:val="AERbulletlistfirststyle"/>
      </w:pPr>
      <w:proofErr w:type="gramStart"/>
      <w:r>
        <w:t>u</w:t>
      </w:r>
      <w:r w:rsidRPr="003C0311">
        <w:t>nit</w:t>
      </w:r>
      <w:proofErr w:type="gramEnd"/>
      <w:r w:rsidRPr="003C0311">
        <w:t xml:space="preserve"> volumes associated with given works (</w:t>
      </w:r>
      <w:r>
        <w:t>for example</w:t>
      </w:r>
      <w:r w:rsidR="009E1BE7">
        <w:t>,</w:t>
      </w:r>
      <w:r w:rsidRPr="003C0311">
        <w:t xml:space="preserve"> </w:t>
      </w:r>
      <w:r w:rsidR="008A1B07">
        <w:t xml:space="preserve">kilometres of conductor </w:t>
      </w:r>
      <w:r w:rsidRPr="003C0311">
        <w:t>replaced per year).</w:t>
      </w:r>
    </w:p>
    <w:p w:rsidR="00BE166F" w:rsidRPr="00C370FE" w:rsidRDefault="00BE166F" w:rsidP="00C370FE">
      <w:pPr>
        <w:pStyle w:val="HeadingBoldBlue"/>
        <w:rPr>
          <w:rStyle w:val="AERbody"/>
          <w:color w:val="365F91" w:themeColor="accent1" w:themeShade="BF"/>
          <w:sz w:val="22"/>
        </w:rPr>
      </w:pPr>
      <w:r w:rsidRPr="00C370FE">
        <w:rPr>
          <w:rStyle w:val="AERbody"/>
          <w:color w:val="365F91" w:themeColor="accent1" w:themeShade="BF"/>
          <w:sz w:val="22"/>
        </w:rPr>
        <w:t>Aggregated category benchmarking</w:t>
      </w:r>
    </w:p>
    <w:p w:rsidR="00BE166F" w:rsidRPr="00BE166F" w:rsidRDefault="00BE166F" w:rsidP="00BE166F">
      <w:pPr>
        <w:pStyle w:val="AERbodytext"/>
        <w:rPr>
          <w:rStyle w:val="AERbody"/>
        </w:rPr>
      </w:pPr>
      <w:r w:rsidRPr="00BE166F">
        <w:rPr>
          <w:rStyle w:val="AERbody"/>
        </w:rPr>
        <w:t>In addition to detailed category benchmarks</w:t>
      </w:r>
      <w:r w:rsidR="00613EFC">
        <w:rPr>
          <w:rStyle w:val="AERbody"/>
        </w:rPr>
        <w:t>,</w:t>
      </w:r>
      <w:r w:rsidRPr="00BE166F">
        <w:rPr>
          <w:rStyle w:val="AERbody"/>
        </w:rPr>
        <w:t xml:space="preserve"> we </w:t>
      </w:r>
      <w:r>
        <w:rPr>
          <w:rStyle w:val="AERbody"/>
        </w:rPr>
        <w:t>are likely to</w:t>
      </w:r>
      <w:r w:rsidRPr="00BE166F">
        <w:rPr>
          <w:rStyle w:val="AERbody"/>
        </w:rPr>
        <w:t xml:space="preserve"> continue to use aggregated category benchmarks of the type found in recent AER publications.</w:t>
      </w:r>
      <w:r>
        <w:rPr>
          <w:rStyle w:val="AERbody"/>
        </w:rPr>
        <w:t xml:space="preserve"> Aggregated category benchmarking captures information such as how much a </w:t>
      </w:r>
      <w:r w:rsidR="00DA7B2D">
        <w:rPr>
          <w:rStyle w:val="AERbody"/>
        </w:rPr>
        <w:t>DNSP</w:t>
      </w:r>
      <w:r>
        <w:rPr>
          <w:rStyle w:val="AERbody"/>
        </w:rPr>
        <w:t xml:space="preserve"> spends per kilometre of line length or the </w:t>
      </w:r>
      <w:r w:rsidR="00076DDD">
        <w:rPr>
          <w:rStyle w:val="AERbody"/>
        </w:rPr>
        <w:t>number of connections</w:t>
      </w:r>
      <w:r>
        <w:rPr>
          <w:rStyle w:val="AERbody"/>
        </w:rPr>
        <w:t>.</w:t>
      </w:r>
      <w:r w:rsidR="00076DDD">
        <w:rPr>
          <w:rStyle w:val="AERbody"/>
        </w:rPr>
        <w:t xml:space="preserve"> </w:t>
      </w:r>
      <w:r w:rsidRPr="0057319A">
        <w:t xml:space="preserve">We intend to improve these benchmarks by capturing the effects of scale and density on </w:t>
      </w:r>
      <w:r w:rsidR="00DA7B2D">
        <w:t>DNSP</w:t>
      </w:r>
      <w:r w:rsidRPr="0057319A">
        <w:t xml:space="preserve"> expenditures. </w:t>
      </w:r>
    </w:p>
    <w:p w:rsidR="0044763E" w:rsidRDefault="0044763E" w:rsidP="00715488">
      <w:pPr>
        <w:pStyle w:val="Heading3"/>
      </w:pPr>
      <w:r>
        <w:t>Methodology review</w:t>
      </w:r>
    </w:p>
    <w:p w:rsidR="00ED4030" w:rsidRPr="00AE7D27" w:rsidRDefault="00ED4030" w:rsidP="00ED4030">
      <w:pPr>
        <w:pStyle w:val="AERbodytext"/>
      </w:pPr>
      <w:r w:rsidRPr="00AE7D27">
        <w:t xml:space="preserve">We will assess the methodology the </w:t>
      </w:r>
      <w:r w:rsidR="00DA7B2D">
        <w:t>DNSP</w:t>
      </w:r>
      <w:r w:rsidRPr="00AE7D27">
        <w:t xml:space="preserve"> utilises to derive its expenditure forecasts</w:t>
      </w:r>
      <w:r>
        <w:t>, including</w:t>
      </w:r>
      <w:r w:rsidRPr="00AE7D27">
        <w:t xml:space="preserve"> assumptions, inputs and models. Similar to the governance framework review, we </w:t>
      </w:r>
      <w:r>
        <w:t>will assess</w:t>
      </w:r>
      <w:r w:rsidRPr="00AE7D27">
        <w:t xml:space="preserve"> whether the </w:t>
      </w:r>
      <w:r w:rsidR="00DA7B2D">
        <w:t>DNSP</w:t>
      </w:r>
      <w:r>
        <w:t xml:space="preserve">'s </w:t>
      </w:r>
      <w:r w:rsidRPr="00AE7D27">
        <w:t xml:space="preserve">methodology is a reasonable basis for developing expenditure forecasts that </w:t>
      </w:r>
      <w:r>
        <w:t>reasonably reflect</w:t>
      </w:r>
      <w:r w:rsidRPr="00AE7D27">
        <w:t xml:space="preserve"> the NER criteria.</w:t>
      </w:r>
      <w:r w:rsidRPr="001C200C">
        <w:rPr>
          <w:rStyle w:val="AERsuperscript"/>
        </w:rPr>
        <w:footnoteReference w:id="17"/>
      </w:r>
      <w:r>
        <w:t xml:space="preserve"> </w:t>
      </w:r>
    </w:p>
    <w:p w:rsidR="0044763E" w:rsidRPr="0044763E" w:rsidRDefault="00ED4030" w:rsidP="00ED4030">
      <w:pPr>
        <w:pStyle w:val="AERbodytext"/>
      </w:pPr>
      <w:r>
        <w:t xml:space="preserve">We expect </w:t>
      </w:r>
      <w:r w:rsidR="00FF5455">
        <w:t>D</w:t>
      </w:r>
      <w:r>
        <w:t>NSPs to justify and explain how their forecasting methodology results in a prudent and efficient forecast, so i</w:t>
      </w:r>
      <w:r w:rsidRPr="00AE7D27">
        <w:t xml:space="preserve">f </w:t>
      </w:r>
      <w:proofErr w:type="gramStart"/>
      <w:r>
        <w:t xml:space="preserve">a methodology (or </w:t>
      </w:r>
      <w:r w:rsidRPr="00AE7D27">
        <w:t xml:space="preserve">aspects of </w:t>
      </w:r>
      <w:r>
        <w:t xml:space="preserve">it) </w:t>
      </w:r>
      <w:r w:rsidRPr="00AE7D27">
        <w:t>do</w:t>
      </w:r>
      <w:proofErr w:type="gramEnd"/>
      <w:r w:rsidRPr="00AE7D27">
        <w:t xml:space="preserve"> not appear reasonable, we will </w:t>
      </w:r>
      <w:r>
        <w:t xml:space="preserve">require further justification from </w:t>
      </w:r>
      <w:r w:rsidRPr="00AE7D27">
        <w:t xml:space="preserve">the </w:t>
      </w:r>
      <w:r w:rsidR="00DA7B2D">
        <w:t>DNSP</w:t>
      </w:r>
      <w:r>
        <w:t>.</w:t>
      </w:r>
      <w:r w:rsidRPr="00AE7D27">
        <w:t xml:space="preserve"> If </w:t>
      </w:r>
      <w:r>
        <w:t>we are not satisfied with further justification</w:t>
      </w:r>
      <w:r w:rsidRPr="00AE7D27">
        <w:t xml:space="preserve">, we will adjust the methodology such that it is a reasonable basis for developing expenditure forecasts that </w:t>
      </w:r>
      <w:r>
        <w:t>reasonably reflect</w:t>
      </w:r>
      <w:r w:rsidRPr="00AE7D27">
        <w:t xml:space="preserve"> the NER criteria.</w:t>
      </w:r>
      <w:r w:rsidRPr="00AE7D27">
        <w:rPr>
          <w:rStyle w:val="FootnoteReference"/>
        </w:rPr>
        <w:footnoteReference w:id="18"/>
      </w:r>
    </w:p>
    <w:p w:rsidR="006C3FF8" w:rsidRDefault="006C3FF8" w:rsidP="006C3FF8">
      <w:pPr>
        <w:pStyle w:val="Heading3"/>
      </w:pPr>
      <w:r>
        <w:t>Governance and policy review</w:t>
      </w:r>
    </w:p>
    <w:p w:rsidR="006C3FF8" w:rsidRDefault="006C3FF8" w:rsidP="006C3FF8">
      <w:pPr>
        <w:pStyle w:val="AERbodytext"/>
      </w:pPr>
      <w:r>
        <w:t xml:space="preserve">We will continue to use governance reviews, usually as a holistic assessment of a </w:t>
      </w:r>
      <w:r w:rsidR="00DA7B2D">
        <w:t>DNSP</w:t>
      </w:r>
      <w:r>
        <w:t xml:space="preserve">'s internal processes compared with industry best practice. We typically review processes including governance, strategic planning, risk management, asset management and prioritisation. A favourable governance review will not of itself satisfy the AER that a </w:t>
      </w:r>
      <w:r w:rsidR="00DA7B2D">
        <w:t>DNSP</w:t>
      </w:r>
      <w:r>
        <w:t xml:space="preserve">'s proposed expenditure reasonably reflects the expenditure criteria. </w:t>
      </w:r>
      <w:r w:rsidR="008A1B07">
        <w:t xml:space="preserve">A governance review </w:t>
      </w:r>
      <w:r>
        <w:t xml:space="preserve">may, however, indicate a </w:t>
      </w:r>
      <w:r w:rsidR="00DA7B2D">
        <w:t>DNSP</w:t>
      </w:r>
      <w:r>
        <w:t>'s likely overall efficiency and areas for further analysis.</w:t>
      </w:r>
    </w:p>
    <w:p w:rsidR="006C3FF8" w:rsidRDefault="006C3FF8" w:rsidP="006C3FF8">
      <w:pPr>
        <w:pStyle w:val="Heading3"/>
      </w:pPr>
      <w:r>
        <w:t>Trend analysis</w:t>
      </w:r>
    </w:p>
    <w:p w:rsidR="006C3FF8" w:rsidRPr="003A6070" w:rsidRDefault="006C3FF8" w:rsidP="006C3FF8">
      <w:pPr>
        <w:pStyle w:val="AERbodytext"/>
      </w:pPr>
      <w:r>
        <w:t xml:space="preserve">The AER will continue to use trend analysis to forecast future expenditure levels on the basis of historical information. In particular, we will apply this technique for the base-step-trend opex assessment described in section </w:t>
      </w:r>
      <w:r>
        <w:fldChar w:fldCharType="begin"/>
      </w:r>
      <w:r>
        <w:instrText xml:space="preserve"> REF _Ref358966554 \r \h </w:instrText>
      </w:r>
      <w:r>
        <w:fldChar w:fldCharType="separate"/>
      </w:r>
      <w:r w:rsidR="00C370FE">
        <w:t>5</w:t>
      </w:r>
      <w:r>
        <w:fldChar w:fldCharType="end"/>
      </w:r>
      <w:r>
        <w:t>. However, trend analysis is also useful for capex assessment where expenditure categories exhibit relatively consistent levels of expenditure over a time series.</w:t>
      </w:r>
    </w:p>
    <w:p w:rsidR="00715488" w:rsidRPr="003C0311" w:rsidRDefault="00715488" w:rsidP="00715488">
      <w:pPr>
        <w:pStyle w:val="Heading3"/>
      </w:pPr>
      <w:r>
        <w:lastRenderedPageBreak/>
        <w:t>Predictive</w:t>
      </w:r>
      <w:r w:rsidRPr="003C0311">
        <w:t xml:space="preserve"> modelling</w:t>
      </w:r>
    </w:p>
    <w:p w:rsidR="00715488" w:rsidRDefault="00715488" w:rsidP="00715488">
      <w:pPr>
        <w:pStyle w:val="AERbodytext"/>
      </w:pPr>
      <w:r w:rsidRPr="003C0311">
        <w:t xml:space="preserve">The AER will use statistical analysis and econometric modelling to help determine the expected efficient costs over the regulatory </w:t>
      </w:r>
      <w:r>
        <w:t xml:space="preserve">control </w:t>
      </w:r>
      <w:r w:rsidRPr="003C0311">
        <w:t xml:space="preserve">period associated with the </w:t>
      </w:r>
      <w:r>
        <w:t xml:space="preserve">demand for distribution </w:t>
      </w:r>
      <w:r w:rsidRPr="003C0311">
        <w:t>services associated with different categories of works</w:t>
      </w:r>
      <w:r>
        <w:t xml:space="preserve">. </w:t>
      </w:r>
    </w:p>
    <w:p w:rsidR="00715488" w:rsidRPr="00746308" w:rsidRDefault="00715488" w:rsidP="00715488">
      <w:pPr>
        <w:pStyle w:val="AERbodytext"/>
        <w:rPr>
          <w:rStyle w:val="AERbody"/>
        </w:rPr>
      </w:pPr>
      <w:r w:rsidRPr="00746308">
        <w:rPr>
          <w:rStyle w:val="AERbody"/>
        </w:rPr>
        <w:t>T</w:t>
      </w:r>
      <w:r>
        <w:rPr>
          <w:rStyle w:val="AERbody"/>
        </w:rPr>
        <w:t>he t</w:t>
      </w:r>
      <w:r w:rsidRPr="00746308">
        <w:rPr>
          <w:rStyle w:val="AERbody"/>
        </w:rPr>
        <w:t xml:space="preserve">wo models </w:t>
      </w:r>
      <w:r>
        <w:rPr>
          <w:rStyle w:val="AERbody"/>
        </w:rPr>
        <w:t xml:space="preserve">we </w:t>
      </w:r>
      <w:r w:rsidRPr="00746308">
        <w:rPr>
          <w:rStyle w:val="AERbody"/>
        </w:rPr>
        <w:t xml:space="preserve">developed and intend to use for this purpose are the repex model (condition based modelling to forecast asset replacement activities) and the augex model (asset utilisation modelling to forecast network augmentation requirements). </w:t>
      </w:r>
    </w:p>
    <w:p w:rsidR="004D47F4" w:rsidRPr="003C0311" w:rsidRDefault="004D47F4" w:rsidP="004D47F4">
      <w:pPr>
        <w:pStyle w:val="Heading3"/>
      </w:pPr>
      <w:r>
        <w:t>Cost benefit analysis</w:t>
      </w:r>
    </w:p>
    <w:p w:rsidR="004D47F4" w:rsidRPr="003C0311" w:rsidRDefault="004D47F4" w:rsidP="004D47F4">
      <w:pPr>
        <w:pStyle w:val="AERbodytext"/>
      </w:pPr>
      <w:r w:rsidRPr="003C0311">
        <w:t xml:space="preserve">The AER </w:t>
      </w:r>
      <w:r>
        <w:t>may</w:t>
      </w:r>
      <w:r w:rsidRPr="003C0311">
        <w:t xml:space="preserve"> assess </w:t>
      </w:r>
      <w:r>
        <w:t xml:space="preserve">whether </w:t>
      </w:r>
      <w:r w:rsidRPr="003C0311">
        <w:t xml:space="preserve">forecast expenditure is expected to be the lowest cost </w:t>
      </w:r>
      <w:r>
        <w:t xml:space="preserve">option </w:t>
      </w:r>
      <w:r w:rsidRPr="003C0311">
        <w:t>relative to other opti</w:t>
      </w:r>
      <w:r>
        <w:t>ons in net present value terms. This technique indicates (all else being equal) the relative efficiency of the different options. C</w:t>
      </w:r>
      <w:r w:rsidRPr="003C0311">
        <w:t xml:space="preserve">ost </w:t>
      </w:r>
      <w:r>
        <w:t xml:space="preserve">benefit </w:t>
      </w:r>
      <w:r w:rsidRPr="003C0311">
        <w:t xml:space="preserve">analysis </w:t>
      </w:r>
      <w:r>
        <w:t xml:space="preserve">is a technique that we will </w:t>
      </w:r>
      <w:r w:rsidRPr="00FF38DF">
        <w:t>likely use to analyse projects and expenditure</w:t>
      </w:r>
      <w:r>
        <w:t xml:space="preserve"> categories, for example: </w:t>
      </w:r>
    </w:p>
    <w:p w:rsidR="004D47F4" w:rsidRPr="003C0311" w:rsidRDefault="004D47F4" w:rsidP="004D47F4">
      <w:pPr>
        <w:pStyle w:val="AERbulletlistfirststyle"/>
      </w:pPr>
      <w:r>
        <w:t>e</w:t>
      </w:r>
      <w:r w:rsidRPr="003C0311">
        <w:t>xpenditure decisions for groups of assets that materially affect forecast expenditure (typically set out in asset management plan</w:t>
      </w:r>
      <w:r w:rsidR="00F051F3">
        <w:t>s</w:t>
      </w:r>
      <w:r w:rsidRPr="003C0311">
        <w:t xml:space="preserve"> and justified via a business case)</w:t>
      </w:r>
    </w:p>
    <w:p w:rsidR="004D47F4" w:rsidRDefault="004D47F4" w:rsidP="004D47F4">
      <w:pPr>
        <w:pStyle w:val="AERbulletlistfirststyle"/>
      </w:pPr>
      <w:proofErr w:type="gramStart"/>
      <w:r>
        <w:t>e</w:t>
      </w:r>
      <w:r w:rsidRPr="003C0311">
        <w:t>xpenditure</w:t>
      </w:r>
      <w:proofErr w:type="gramEnd"/>
      <w:r w:rsidRPr="003C0311">
        <w:t xml:space="preserve"> decisions for individual projects</w:t>
      </w:r>
      <w:r>
        <w:t xml:space="preserve"> or programs</w:t>
      </w:r>
      <w:r w:rsidRPr="003C0311">
        <w:t xml:space="preserve"> that materially affect forecast expenditure (typically justified via a business case)</w:t>
      </w:r>
      <w:r>
        <w:t>.</w:t>
      </w:r>
      <w:r w:rsidRPr="003C0311">
        <w:t xml:space="preserve"> </w:t>
      </w:r>
    </w:p>
    <w:p w:rsidR="004D47F4" w:rsidRDefault="004D47F4" w:rsidP="004D47F4">
      <w:pPr>
        <w:pStyle w:val="AERbodytext"/>
      </w:pPr>
      <w:r>
        <w:t xml:space="preserve">However, </w:t>
      </w:r>
      <w:r w:rsidRPr="00FF38DF">
        <w:t xml:space="preserve">the </w:t>
      </w:r>
      <w:r>
        <w:t xml:space="preserve">relative efficiency </w:t>
      </w:r>
      <w:r w:rsidRPr="00FF38DF">
        <w:t xml:space="preserve">principle applies equally to </w:t>
      </w:r>
      <w:r>
        <w:t>higher level drivers of expenditure (for example replacement capex) or to capex or opex in total.</w:t>
      </w:r>
    </w:p>
    <w:p w:rsidR="00715488" w:rsidRPr="003C0311" w:rsidRDefault="00715488" w:rsidP="00715488">
      <w:pPr>
        <w:pStyle w:val="Heading3"/>
      </w:pPr>
      <w:r>
        <w:t xml:space="preserve">Detailed </w:t>
      </w:r>
      <w:r w:rsidR="006C3FF8">
        <w:t>project</w:t>
      </w:r>
      <w:r w:rsidRPr="003C0311">
        <w:t xml:space="preserve"> review</w:t>
      </w:r>
      <w:r w:rsidR="004D2D01">
        <w:t xml:space="preserve"> (including engineering review)</w:t>
      </w:r>
    </w:p>
    <w:p w:rsidR="00715488" w:rsidRDefault="00715488" w:rsidP="00715488">
      <w:pPr>
        <w:pStyle w:val="AERbodytext"/>
      </w:pPr>
      <w:r w:rsidRPr="003C0311">
        <w:t xml:space="preserve">The AER </w:t>
      </w:r>
      <w:r>
        <w:t xml:space="preserve">may </w:t>
      </w:r>
      <w:r w:rsidRPr="003C0311">
        <w:t xml:space="preserve">undertake detailed review </w:t>
      </w:r>
      <w:r>
        <w:t>(including engineering review)</w:t>
      </w:r>
      <w:r w:rsidRPr="003C0311">
        <w:t xml:space="preserve"> of </w:t>
      </w:r>
      <w:r>
        <w:t>certain</w:t>
      </w:r>
      <w:r w:rsidRPr="003C0311">
        <w:t xml:space="preserve"> </w:t>
      </w:r>
      <w:r w:rsidR="004D2D01">
        <w:t xml:space="preserve">project and program </w:t>
      </w:r>
      <w:r w:rsidRPr="003C0311">
        <w:t xml:space="preserve">expenditure. </w:t>
      </w:r>
      <w:r>
        <w:t>Usually, detailed review involves 'drilling down' to specific projects or programs of work when further scrutiny is required. We may target specific areas for assessment, or sample projects or programs at random.</w:t>
      </w:r>
      <w:r w:rsidR="004D2D01">
        <w:t xml:space="preserve"> </w:t>
      </w:r>
    </w:p>
    <w:p w:rsidR="00715488" w:rsidRPr="003C0311" w:rsidRDefault="00715488" w:rsidP="00715488">
      <w:pPr>
        <w:pStyle w:val="AERbodytext"/>
      </w:pPr>
      <w:r>
        <w:t xml:space="preserve">Such detailed </w:t>
      </w:r>
      <w:r w:rsidRPr="003C0311">
        <w:t>review</w:t>
      </w:r>
      <w:r>
        <w:t>s</w:t>
      </w:r>
      <w:r w:rsidRPr="003C0311">
        <w:t xml:space="preserve"> will </w:t>
      </w:r>
      <w:r>
        <w:t>likely focus</w:t>
      </w:r>
      <w:r w:rsidRPr="003C0311">
        <w:t xml:space="preserve"> on specialised technical areas (</w:t>
      </w:r>
      <w:r>
        <w:t>for example</w:t>
      </w:r>
      <w:r w:rsidRPr="003C0311">
        <w:t xml:space="preserve"> augmentation requirements given demand forecasts and network capacity) and </w:t>
      </w:r>
      <w:r>
        <w:t xml:space="preserve">will </w:t>
      </w:r>
      <w:r w:rsidR="004D2D01">
        <w:t xml:space="preserve">often </w:t>
      </w:r>
      <w:r>
        <w:t xml:space="preserve">be </w:t>
      </w:r>
      <w:r w:rsidRPr="003C0311">
        <w:t xml:space="preserve">undertaken </w:t>
      </w:r>
      <w:r w:rsidR="004D2D01">
        <w:t>with the assistance of</w:t>
      </w:r>
      <w:r w:rsidRPr="003C0311">
        <w:t xml:space="preserve"> subject matter experts (</w:t>
      </w:r>
      <w:r>
        <w:t>for example</w:t>
      </w:r>
      <w:r w:rsidRPr="003C0311">
        <w:t xml:space="preserve"> engineers </w:t>
      </w:r>
      <w:r>
        <w:t>that specialise</w:t>
      </w:r>
      <w:r w:rsidRPr="003C0311">
        <w:t xml:space="preserve"> in the area concerned). </w:t>
      </w:r>
      <w:r>
        <w:t xml:space="preserve">Typically, the scope and form of detailed </w:t>
      </w:r>
      <w:r w:rsidR="004D2D01">
        <w:t>project and program</w:t>
      </w:r>
      <w:r>
        <w:t xml:space="preserve"> reviews will be informed by other techniques described in this section, including category level benchmarking and economic benchmarking.</w:t>
      </w:r>
    </w:p>
    <w:p w:rsidR="00715488" w:rsidRDefault="00715488" w:rsidP="00715488">
      <w:pPr>
        <w:pStyle w:val="Heading1"/>
      </w:pPr>
      <w:bookmarkStart w:id="36" w:name="_Toc359581763"/>
      <w:bookmarkStart w:id="37" w:name="_Toc359581764"/>
      <w:bookmarkStart w:id="38" w:name="_Toc359581765"/>
      <w:bookmarkStart w:id="39" w:name="_Toc359581766"/>
      <w:bookmarkStart w:id="40" w:name="_Toc359581767"/>
      <w:bookmarkStart w:id="41" w:name="_Ref358966543"/>
      <w:bookmarkStart w:id="42" w:name="_Toc361390720"/>
      <w:bookmarkStart w:id="43" w:name="_Toc361391062"/>
      <w:bookmarkEnd w:id="36"/>
      <w:bookmarkEnd w:id="37"/>
      <w:bookmarkEnd w:id="38"/>
      <w:bookmarkEnd w:id="39"/>
      <w:bookmarkEnd w:id="40"/>
      <w:r w:rsidRPr="00B56B60">
        <w:lastRenderedPageBreak/>
        <w:t>Capital expenditure assessment approach</w:t>
      </w:r>
      <w:bookmarkEnd w:id="41"/>
      <w:bookmarkEnd w:id="42"/>
      <w:bookmarkEnd w:id="43"/>
    </w:p>
    <w:p w:rsidR="00715488" w:rsidRPr="00715488" w:rsidRDefault="00715488" w:rsidP="00715488">
      <w:pPr>
        <w:pStyle w:val="AERbodytext"/>
      </w:pPr>
      <w:r>
        <w:t xml:space="preserve">The AER's </w:t>
      </w:r>
      <w:r w:rsidRPr="00715488">
        <w:t>general approach to assessing total forecast capex will not be significantly different from our approach in the past. However, we intend to use a broader range of assessment techniques and to collect consistent data to aid us with our assessment. We will likely use top down economic benchmarking techniques to compare a DNSP's performance with that of others. We will consider, for example, whether the DNSP is improving productivity and efficiency relative to its past performance and to other</w:t>
      </w:r>
      <w:r w:rsidR="00F051F3">
        <w:t xml:space="preserve"> DNSPs</w:t>
      </w:r>
      <w:r w:rsidRPr="00715488">
        <w:t>. Once we know a DNSP's change in productivity over time, we can drill down into greater detail to examine what is driving the change.</w:t>
      </w:r>
    </w:p>
    <w:p w:rsidR="00715488" w:rsidRPr="00715488" w:rsidRDefault="00715488" w:rsidP="00715488">
      <w:pPr>
        <w:pStyle w:val="AERbodytext"/>
      </w:pPr>
      <w:r>
        <w:t>We will also</w:t>
      </w:r>
      <w:r w:rsidRPr="00715488">
        <w:t xml:space="preserve"> examine the volumes and costs applicable to drivers of capex. This means we will split capex into high level, standardised subcategories that reflect primary drivers of capex. These subcategories will likely be: </w:t>
      </w:r>
    </w:p>
    <w:p w:rsidR="00715488" w:rsidRDefault="00715488" w:rsidP="00715488">
      <w:pPr>
        <w:pStyle w:val="AERbulletlistfirststyle"/>
      </w:pPr>
      <w:r>
        <w:t>replacement capex</w:t>
      </w:r>
    </w:p>
    <w:p w:rsidR="00715488" w:rsidRDefault="00715488" w:rsidP="00715488">
      <w:pPr>
        <w:pStyle w:val="AERbulletlistfirststyle"/>
      </w:pPr>
      <w:r>
        <w:t>augmentation capex</w:t>
      </w:r>
    </w:p>
    <w:p w:rsidR="00715488" w:rsidRDefault="00715488" w:rsidP="00715488">
      <w:pPr>
        <w:pStyle w:val="AERbulletlistfirststyle"/>
      </w:pPr>
      <w:r>
        <w:t>connection and customer driven works capex</w:t>
      </w:r>
    </w:p>
    <w:p w:rsidR="00715488" w:rsidRDefault="00715488" w:rsidP="00715488">
      <w:pPr>
        <w:pStyle w:val="AERbulletlistfirststyle"/>
      </w:pPr>
      <w:proofErr w:type="gramStart"/>
      <w:r>
        <w:t>non-network</w:t>
      </w:r>
      <w:proofErr w:type="gramEnd"/>
      <w:r>
        <w:t xml:space="preserve"> capex.</w:t>
      </w:r>
    </w:p>
    <w:p w:rsidR="00715488" w:rsidRDefault="00715488" w:rsidP="00715488">
      <w:pPr>
        <w:pStyle w:val="AERbodytext"/>
      </w:pPr>
      <w:r>
        <w:t xml:space="preserve">The sections below detail our likely assessment approach specific to each driver. We may further disaggregate these drivers into standardised lower level subcategories. Disaggregating expenditure into categories is helpful because it allows us to understand how particular categories of expenditure affect the total capex forecast. It is also necessary because some types of capex tend to be less recurrent than others. Some categories might be more demand-dependent, for example, or may require particular consideration of cost inputs. </w:t>
      </w:r>
    </w:p>
    <w:p w:rsidR="00715488" w:rsidRDefault="00715488" w:rsidP="00715488">
      <w:pPr>
        <w:pStyle w:val="AERbodytext"/>
      </w:pPr>
      <w:r>
        <w:t>By considering expenditure at the category level, we can examine the prudence and efficiency of a DNSP's proposed expenditure in these categories. In particular, using standardised categories allows direct comparison with other DNSPs, which helps us to form a view on whether the total forecast capex reasonably reflects the capex criteria.</w:t>
      </w:r>
    </w:p>
    <w:p w:rsidR="00715488" w:rsidRDefault="00715488" w:rsidP="00715488">
      <w:pPr>
        <w:pStyle w:val="AERbodytext"/>
      </w:pPr>
      <w:r>
        <w:t>We will require a range of data to support our assessment of total forecast capex. We expect DNSPs to submit regulatory proposals that include:</w:t>
      </w:r>
    </w:p>
    <w:p w:rsidR="00715488" w:rsidRPr="002A454B" w:rsidRDefault="00715488" w:rsidP="00715488">
      <w:pPr>
        <w:pStyle w:val="AERbulletlistfirststyle"/>
      </w:pPr>
      <w:proofErr w:type="gramStart"/>
      <w:r>
        <w:t>e</w:t>
      </w:r>
      <w:r w:rsidRPr="002A454B">
        <w:t>conomic</w:t>
      </w:r>
      <w:proofErr w:type="gramEnd"/>
      <w:r w:rsidRPr="002A454B">
        <w:t xml:space="preserve"> analysis demonstrating the forecast expenditure is prudent and efficient. This should include documentation and underlying data sufficient to support the economic analysis </w:t>
      </w:r>
    </w:p>
    <w:p w:rsidR="00715488" w:rsidRDefault="00715488" w:rsidP="00715488">
      <w:pPr>
        <w:pStyle w:val="AERbulletlistfirststyle"/>
      </w:pPr>
      <w:r>
        <w:t xml:space="preserve">reasons for costs for given expenditure categories and types of work differing from historical expenditure and/or costs of other DNSPs </w:t>
      </w:r>
    </w:p>
    <w:p w:rsidR="00715488" w:rsidRDefault="00715488" w:rsidP="00715488">
      <w:pPr>
        <w:pStyle w:val="AERbulletlistfirststyle"/>
      </w:pPr>
      <w:proofErr w:type="gramStart"/>
      <w:r>
        <w:t>consideration</w:t>
      </w:r>
      <w:proofErr w:type="gramEnd"/>
      <w:r>
        <w:t xml:space="preserve"> of potential work and efficiency trade-offs between capex and opex.</w:t>
      </w:r>
    </w:p>
    <w:p w:rsidR="00715488" w:rsidRDefault="00715488" w:rsidP="00715488">
      <w:pPr>
        <w:pStyle w:val="AERbodytext"/>
      </w:pPr>
      <w:r>
        <w:t>S</w:t>
      </w:r>
      <w:r w:rsidRPr="006B1881">
        <w:t xml:space="preserve">ection </w:t>
      </w:r>
      <w:r w:rsidRPr="006B1881">
        <w:fldChar w:fldCharType="begin"/>
      </w:r>
      <w:r w:rsidRPr="006B1881">
        <w:instrText xml:space="preserve"> REF _Ref358969067 \r \h </w:instrText>
      </w:r>
      <w:r>
        <w:instrText xml:space="preserve"> \* MERGEFORMAT </w:instrText>
      </w:r>
      <w:r w:rsidRPr="006B1881">
        <w:fldChar w:fldCharType="separate"/>
      </w:r>
      <w:r w:rsidR="00C370FE">
        <w:t>6</w:t>
      </w:r>
      <w:r w:rsidRPr="006B1881">
        <w:fldChar w:fldCharType="end"/>
      </w:r>
      <w:r w:rsidRPr="006B1881">
        <w:t xml:space="preserve"> </w:t>
      </w:r>
      <w:r>
        <w:t>further details the information the AER will require to assess total forecast capex.</w:t>
      </w:r>
    </w:p>
    <w:p w:rsidR="00715488" w:rsidRDefault="00715488" w:rsidP="00715488">
      <w:pPr>
        <w:pStyle w:val="Heading2"/>
      </w:pPr>
      <w:bookmarkStart w:id="44" w:name="_Toc361390721"/>
      <w:bookmarkStart w:id="45" w:name="_Toc361391063"/>
      <w:r>
        <w:t>Replacement capex</w:t>
      </w:r>
      <w:bookmarkEnd w:id="44"/>
      <w:bookmarkEnd w:id="45"/>
    </w:p>
    <w:p w:rsidR="00715488" w:rsidRDefault="00715488" w:rsidP="00715488">
      <w:pPr>
        <w:pStyle w:val="AERbodytext"/>
      </w:pPr>
      <w:r>
        <w:t xml:space="preserve">Replacement capex is typically </w:t>
      </w:r>
      <w:r w:rsidR="00F051F3">
        <w:t xml:space="preserve">incurred </w:t>
      </w:r>
      <w:r>
        <w:t>to address deterioration of assets, including works driven by reliability deterioration or as a result of an assessment of increasing risk. This capex driver is closely related to maintenance opex, so we will expect DNSPs to identify and explain potential work and efficiency trade-offs between these two expenditure categories.</w:t>
      </w:r>
    </w:p>
    <w:p w:rsidR="00715488" w:rsidRPr="00813821" w:rsidRDefault="00715488" w:rsidP="00715488">
      <w:pPr>
        <w:pStyle w:val="AERbodytext"/>
      </w:pPr>
      <w:r>
        <w:lastRenderedPageBreak/>
        <w:t xml:space="preserve">We </w:t>
      </w:r>
      <w:r w:rsidRPr="00813821">
        <w:t xml:space="preserve">will </w:t>
      </w:r>
      <w:r>
        <w:t xml:space="preserve">likely </w:t>
      </w:r>
      <w:r w:rsidRPr="00813821">
        <w:t xml:space="preserve">assess the level of forecast replacement </w:t>
      </w:r>
      <w:r>
        <w:t>capex by:</w:t>
      </w:r>
    </w:p>
    <w:p w:rsidR="00715488" w:rsidRDefault="00715488" w:rsidP="00715488">
      <w:pPr>
        <w:pStyle w:val="AERbulletlistfirststyle"/>
      </w:pPr>
      <w:r>
        <w:t>analysing information supporting the DNSP's building block proposal</w:t>
      </w:r>
    </w:p>
    <w:p w:rsidR="00715488" w:rsidRDefault="00715488" w:rsidP="00715488">
      <w:pPr>
        <w:pStyle w:val="AERbulletlistfirststyle"/>
      </w:pPr>
      <w:r>
        <w:t>benchmarking the DNSP's forecast capex with historical expenditure and/or the expenditure of other DNSPs</w:t>
      </w:r>
    </w:p>
    <w:p w:rsidR="00715488" w:rsidRPr="00813821" w:rsidRDefault="00715488" w:rsidP="00715488">
      <w:pPr>
        <w:pStyle w:val="AERbulletlistfirststyle"/>
      </w:pPr>
      <w:r>
        <w:t>replacement expenditure modelling</w:t>
      </w:r>
    </w:p>
    <w:p w:rsidR="00715488" w:rsidRDefault="00715488" w:rsidP="00715488">
      <w:pPr>
        <w:pStyle w:val="AERbulletlistfirststyle"/>
      </w:pPr>
      <w:proofErr w:type="gramStart"/>
      <w:r>
        <w:t>detailed</w:t>
      </w:r>
      <w:proofErr w:type="gramEnd"/>
      <w:r>
        <w:t xml:space="preserve"> project review.</w:t>
      </w:r>
    </w:p>
    <w:p w:rsidR="00715488" w:rsidRPr="00813821" w:rsidRDefault="00715488" w:rsidP="00715488">
      <w:pPr>
        <w:pStyle w:val="AERbodytext"/>
      </w:pPr>
      <w:r>
        <w:t xml:space="preserve">A key input into the analysis will be the outputs from </w:t>
      </w:r>
      <w:r w:rsidRPr="00813821">
        <w:t xml:space="preserve">modelling condition or age based replacement rates of assets. This </w:t>
      </w:r>
      <w:r>
        <w:t xml:space="preserve">approach will </w:t>
      </w:r>
      <w:r w:rsidRPr="00813821">
        <w:t xml:space="preserve">estimate the efficient volumes </w:t>
      </w:r>
      <w:r>
        <w:t xml:space="preserve">and cost </w:t>
      </w:r>
      <w:r w:rsidRPr="00813821">
        <w:t xml:space="preserve">of replacement works required during each year of the regulatory </w:t>
      </w:r>
      <w:r>
        <w:t xml:space="preserve">control </w:t>
      </w:r>
      <w:r w:rsidRPr="00813821">
        <w:t>period</w:t>
      </w:r>
      <w:r>
        <w:t>, and to target more detailed project reviews. Replacement expenditure modelling typically involves consideration of:</w:t>
      </w:r>
    </w:p>
    <w:p w:rsidR="00715488" w:rsidRPr="00813821" w:rsidRDefault="00715488" w:rsidP="00715488">
      <w:pPr>
        <w:pStyle w:val="AERbulletlistfirststyle"/>
      </w:pPr>
      <w:r>
        <w:t>t</w:t>
      </w:r>
      <w:r w:rsidRPr="00813821">
        <w:t xml:space="preserve">he </w:t>
      </w:r>
      <w:r>
        <w:t>D</w:t>
      </w:r>
      <w:r w:rsidRPr="00813821">
        <w:t>NSP</w:t>
      </w:r>
      <w:r>
        <w:t>'</w:t>
      </w:r>
      <w:r w:rsidRPr="00813821">
        <w:t>s historic</w:t>
      </w:r>
      <w:r>
        <w:t>al</w:t>
      </w:r>
      <w:r w:rsidRPr="00813821">
        <w:t xml:space="preserve"> and forecast mean standard lives of different asset categories</w:t>
      </w:r>
    </w:p>
    <w:p w:rsidR="00715488" w:rsidRDefault="00715488" w:rsidP="00715488">
      <w:pPr>
        <w:pStyle w:val="AERbulletlistfirststyle"/>
      </w:pPr>
      <w:proofErr w:type="gramStart"/>
      <w:r>
        <w:t>t</w:t>
      </w:r>
      <w:r w:rsidRPr="00813821">
        <w:t>he</w:t>
      </w:r>
      <w:proofErr w:type="gramEnd"/>
      <w:r w:rsidRPr="00813821">
        <w:t xml:space="preserve"> change </w:t>
      </w:r>
      <w:r>
        <w:t xml:space="preserve">over </w:t>
      </w:r>
      <w:r w:rsidRPr="00813821">
        <w:t xml:space="preserve">time in the </w:t>
      </w:r>
      <w:r w:rsidR="008A1B07">
        <w:t xml:space="preserve">distribution </w:t>
      </w:r>
      <w:r w:rsidRPr="00813821">
        <w:t xml:space="preserve">of different categories of the </w:t>
      </w:r>
      <w:r>
        <w:t>D</w:t>
      </w:r>
      <w:r w:rsidRPr="00813821">
        <w:t>NSP</w:t>
      </w:r>
      <w:r>
        <w:t>'</w:t>
      </w:r>
      <w:r w:rsidRPr="00813821">
        <w:t xml:space="preserve">s assets.  </w:t>
      </w:r>
    </w:p>
    <w:p w:rsidR="00715488" w:rsidRDefault="00715488" w:rsidP="00715488">
      <w:pPr>
        <w:pStyle w:val="Heading2"/>
      </w:pPr>
      <w:bookmarkStart w:id="46" w:name="_Toc361390722"/>
      <w:bookmarkStart w:id="47" w:name="_Toc361391064"/>
      <w:r>
        <w:t>Augmentation capex</w:t>
      </w:r>
      <w:bookmarkEnd w:id="46"/>
      <w:bookmarkEnd w:id="47"/>
    </w:p>
    <w:p w:rsidR="00715488" w:rsidRDefault="00715488" w:rsidP="00715488">
      <w:pPr>
        <w:pStyle w:val="AERbodytext"/>
      </w:pPr>
      <w:r>
        <w:t>Augmentation capex is typically triggered by a need to build, upgrade or replace network assets to address changes in demand for distribution services or to maintain quality, reliability and security of supply in accordance with legislated requirements.</w:t>
      </w:r>
    </w:p>
    <w:p w:rsidR="00715488" w:rsidRDefault="00715488" w:rsidP="00715488">
      <w:pPr>
        <w:pStyle w:val="AERbodytext"/>
      </w:pPr>
      <w:r>
        <w:t>We expect to assess augmentation capex broadly in line with past practice. This may involve assessing a DNSP's capital governance framework and augmentation forecasting methodology. We may also conduct detailed review of projects and infer the findings from such reviews to other projects. However, we also expect to model the cost per mega volt ampere (</w:t>
      </w:r>
      <w:r w:rsidRPr="00D85F5F">
        <w:rPr>
          <w:rStyle w:val="AERbody"/>
        </w:rPr>
        <w:t>MVA</w:t>
      </w:r>
      <w:r>
        <w:t xml:space="preserve">) of capacity for different types of augmentation projects. We may then consider these modelled costs when determining the prudent and efficient level of augmentation expenditure. </w:t>
      </w:r>
    </w:p>
    <w:p w:rsidR="00715488" w:rsidRDefault="00715488" w:rsidP="00715488">
      <w:pPr>
        <w:pStyle w:val="AERbodytext"/>
      </w:pPr>
      <w:r>
        <w:t>When we assess augmentation capex, we typically consider a DNSP's demand forecasts, the proposed projects and programs to meet forecast demand and the associated forecast capex.</w:t>
      </w:r>
    </w:p>
    <w:p w:rsidR="00715488" w:rsidRPr="00867F9B" w:rsidRDefault="00715488" w:rsidP="00715488">
      <w:pPr>
        <w:pStyle w:val="Heading3"/>
      </w:pPr>
      <w:r w:rsidRPr="00867F9B">
        <w:t>Demand forecasts</w:t>
      </w:r>
    </w:p>
    <w:p w:rsidR="00715488" w:rsidRDefault="00715488" w:rsidP="00715488">
      <w:pPr>
        <w:pStyle w:val="AERbodytext"/>
      </w:pPr>
      <w:r>
        <w:t>We must form a view about whether a DNSP's demand forecasts are realistic. In doing so, we will likely examine:</w:t>
      </w:r>
    </w:p>
    <w:p w:rsidR="00715488" w:rsidRDefault="00715488" w:rsidP="00715488">
      <w:pPr>
        <w:pStyle w:val="AERbulletlistfirststyle"/>
      </w:pPr>
      <w:r>
        <w:t>global and spatial peak demand at different probabilities of exceedance (</w:t>
      </w:r>
      <w:r w:rsidRPr="00D85F5F">
        <w:rPr>
          <w:rStyle w:val="AERbody"/>
        </w:rPr>
        <w:t>PoE</w:t>
      </w:r>
      <w:r>
        <w:t>) in megawatt (</w:t>
      </w:r>
      <w:r w:rsidRPr="00D85F5F">
        <w:rPr>
          <w:rStyle w:val="AERbody"/>
        </w:rPr>
        <w:t>MW</w:t>
      </w:r>
      <w:r>
        <w:t>) and MVA including:</w:t>
      </w:r>
    </w:p>
    <w:p w:rsidR="00715488" w:rsidRDefault="00715488" w:rsidP="00715488">
      <w:pPr>
        <w:pStyle w:val="AERbulletlistsecondstyle"/>
      </w:pPr>
      <w:r>
        <w:t>coincident peak demand</w:t>
      </w:r>
    </w:p>
    <w:p w:rsidR="00715488" w:rsidRDefault="00715488" w:rsidP="00715488">
      <w:pPr>
        <w:pStyle w:val="AERbulletlistsecondstyle"/>
      </w:pPr>
      <w:r>
        <w:t>non-coincident peak demand</w:t>
      </w:r>
    </w:p>
    <w:p w:rsidR="00715488" w:rsidRDefault="00715488" w:rsidP="00715488">
      <w:pPr>
        <w:pStyle w:val="AERbulletlistsecondstyle"/>
      </w:pPr>
      <w:r>
        <w:t>power factors</w:t>
      </w:r>
    </w:p>
    <w:p w:rsidR="00715488" w:rsidRDefault="00715488" w:rsidP="00715488">
      <w:pPr>
        <w:pStyle w:val="AERbulletlistsecondstyle"/>
      </w:pPr>
      <w:r>
        <w:t>coincidence factors</w:t>
      </w:r>
    </w:p>
    <w:p w:rsidR="00715488" w:rsidRDefault="00715488" w:rsidP="00715488">
      <w:pPr>
        <w:pStyle w:val="AERbulletlistfirststyle"/>
      </w:pPr>
      <w:r>
        <w:t>the relationship between any PoE demand forecasts used as an input into the capex forecasts and 10 per cent and 50 per cent PoE demand forecasts</w:t>
      </w:r>
    </w:p>
    <w:p w:rsidR="00715488" w:rsidRDefault="00715488" w:rsidP="00715488">
      <w:pPr>
        <w:pStyle w:val="AERbulletlistfirststyle"/>
      </w:pPr>
      <w:r>
        <w:lastRenderedPageBreak/>
        <w:t xml:space="preserve">the model(s) the DNSP used to derive the demand forecasts, and any inputs into these models such as: </w:t>
      </w:r>
    </w:p>
    <w:p w:rsidR="00715488" w:rsidRDefault="00715488" w:rsidP="00715488">
      <w:pPr>
        <w:pStyle w:val="AERbulletlistsecondstyle"/>
      </w:pPr>
      <w:r>
        <w:t>economic indicators and forecasts</w:t>
      </w:r>
    </w:p>
    <w:p w:rsidR="00715488" w:rsidRDefault="00715488" w:rsidP="00715488">
      <w:pPr>
        <w:pStyle w:val="AERbulletlistsecondstyle"/>
      </w:pPr>
      <w:proofErr w:type="gramStart"/>
      <w:r>
        <w:t>temperature</w:t>
      </w:r>
      <w:proofErr w:type="gramEnd"/>
      <w:r>
        <w:t xml:space="preserve"> measures and forecasts.</w:t>
      </w:r>
    </w:p>
    <w:p w:rsidR="00715488" w:rsidRPr="00867F9B" w:rsidRDefault="00715488" w:rsidP="00715488">
      <w:pPr>
        <w:pStyle w:val="Heading3"/>
      </w:pPr>
      <w:r w:rsidRPr="00867F9B">
        <w:t>Proposed projects</w:t>
      </w:r>
      <w:r>
        <w:t xml:space="preserve"> and programs </w:t>
      </w:r>
    </w:p>
    <w:p w:rsidR="00715488" w:rsidRDefault="00715488" w:rsidP="00715488">
      <w:pPr>
        <w:pStyle w:val="AERbodytext"/>
      </w:pPr>
      <w:r>
        <w:t>When considering the proposed projects and programs to meet forecast demand and the associated forecast capex, we will likely have regard to:</w:t>
      </w:r>
    </w:p>
    <w:p w:rsidR="00715488" w:rsidRDefault="00715488" w:rsidP="00715488">
      <w:pPr>
        <w:pStyle w:val="AERbulletlistfirststyle"/>
      </w:pPr>
      <w:r>
        <w:t xml:space="preserve">the network constraints that require rectification due to demand forecasts including those related to capacity (MVA) and voltage </w:t>
      </w:r>
    </w:p>
    <w:p w:rsidR="00715488" w:rsidRDefault="00715488" w:rsidP="00715488">
      <w:pPr>
        <w:pStyle w:val="AERbulletlistfirststyle"/>
      </w:pPr>
      <w:r>
        <w:t>any regulatory investment test undertaken by the DNSP in relation to the proposed works</w:t>
      </w:r>
    </w:p>
    <w:p w:rsidR="00715488" w:rsidRDefault="00715488" w:rsidP="00715488">
      <w:pPr>
        <w:pStyle w:val="AERbulletlistfirststyle"/>
      </w:pPr>
      <w:r>
        <w:t>the options considered to meet the forecast demand, including non-network alternatives and demand side participation</w:t>
      </w:r>
    </w:p>
    <w:p w:rsidR="00715488" w:rsidRDefault="00715488" w:rsidP="00715488">
      <w:pPr>
        <w:pStyle w:val="AERbulletlistfirststyle"/>
      </w:pPr>
      <w:proofErr w:type="gramStart"/>
      <w:r>
        <w:t>the</w:t>
      </w:r>
      <w:proofErr w:type="gramEnd"/>
      <w:r>
        <w:t xml:space="preserve"> previous methods used by the DNSP or another DNSP to meet demand growth of a similar nature, and the costs associated with these works, bearing in mind that better approaches might have become available.</w:t>
      </w:r>
    </w:p>
    <w:p w:rsidR="00715488" w:rsidRPr="00626B75" w:rsidRDefault="00715488" w:rsidP="00715488">
      <w:pPr>
        <w:pStyle w:val="Heading2"/>
      </w:pPr>
      <w:bookmarkStart w:id="48" w:name="_Toc361390723"/>
      <w:bookmarkStart w:id="49" w:name="_Toc361391065"/>
      <w:r>
        <w:t>Connections and customer driven works capex</w:t>
      </w:r>
      <w:bookmarkEnd w:id="48"/>
      <w:bookmarkEnd w:id="49"/>
    </w:p>
    <w:p w:rsidR="00715488" w:rsidRDefault="00715488" w:rsidP="00715488">
      <w:pPr>
        <w:pStyle w:val="AERbodytext"/>
      </w:pPr>
      <w:r>
        <w:t>Connections and customer driven works capex typically relates to cost of connecting customers to the network and other customer driven works. We will likely use a combination of techniques to assess forecast connection and customer driven works capex, but focus on benchmarking costs per customer and trend analysis for appropriate classes of work.</w:t>
      </w:r>
    </w:p>
    <w:p w:rsidR="00715488" w:rsidRDefault="00715488" w:rsidP="00715488">
      <w:pPr>
        <w:pStyle w:val="Heading2"/>
      </w:pPr>
      <w:bookmarkStart w:id="50" w:name="_Toc361390724"/>
      <w:bookmarkStart w:id="51" w:name="_Toc361391066"/>
      <w:r>
        <w:t>Non-network capex</w:t>
      </w:r>
      <w:bookmarkEnd w:id="50"/>
      <w:bookmarkEnd w:id="51"/>
    </w:p>
    <w:p w:rsidR="00715488" w:rsidRDefault="00715488" w:rsidP="00715488">
      <w:pPr>
        <w:pStyle w:val="AERbodytext"/>
      </w:pPr>
      <w:r>
        <w:t>Non-network capex is for activities not directly associated with the distribution network. We will likely assess non-network capex by disaggregating it into a range of subcategories:</w:t>
      </w:r>
    </w:p>
    <w:p w:rsidR="00715488" w:rsidRDefault="00715488" w:rsidP="00715488">
      <w:pPr>
        <w:pStyle w:val="AERbulletlistfirststyle"/>
      </w:pPr>
      <w:r>
        <w:t>IT and communications</w:t>
      </w:r>
    </w:p>
    <w:p w:rsidR="00715488" w:rsidRDefault="00715488" w:rsidP="00715488">
      <w:pPr>
        <w:pStyle w:val="AERbulletlistfirststyle"/>
      </w:pPr>
      <w:r>
        <w:t>vehicles</w:t>
      </w:r>
    </w:p>
    <w:p w:rsidR="00715488" w:rsidRDefault="00715488" w:rsidP="00715488">
      <w:pPr>
        <w:pStyle w:val="AERbulletlistfirststyle"/>
      </w:pPr>
      <w:r>
        <w:t>plant and equipment</w:t>
      </w:r>
    </w:p>
    <w:p w:rsidR="00715488" w:rsidRDefault="00715488" w:rsidP="00715488">
      <w:pPr>
        <w:pStyle w:val="AERbulletlistfirststyle"/>
      </w:pPr>
      <w:r>
        <w:t>buildings and property</w:t>
      </w:r>
    </w:p>
    <w:p w:rsidR="00715488" w:rsidRDefault="00715488" w:rsidP="00715488">
      <w:pPr>
        <w:pStyle w:val="AERbulletlistfirststyle"/>
      </w:pPr>
      <w:proofErr w:type="gramStart"/>
      <w:r>
        <w:t>other</w:t>
      </w:r>
      <w:proofErr w:type="gramEnd"/>
      <w:r>
        <w:t>.</w:t>
      </w:r>
    </w:p>
    <w:p w:rsidR="00715488" w:rsidRPr="00AE22EE" w:rsidRDefault="00715488" w:rsidP="00715488">
      <w:pPr>
        <w:pStyle w:val="AERbodytext"/>
        <w:rPr>
          <w:rStyle w:val="AERbody"/>
        </w:rPr>
      </w:pPr>
      <w:r>
        <w:t xml:space="preserve">We may assess non-network expenditure that is more </w:t>
      </w:r>
      <w:r w:rsidRPr="00AE22EE">
        <w:rPr>
          <w:rStyle w:val="AERbody"/>
        </w:rPr>
        <w:t xml:space="preserve">recurrent separately to less recurrent </w:t>
      </w:r>
      <w:r>
        <w:rPr>
          <w:rStyle w:val="AERbody"/>
        </w:rPr>
        <w:t xml:space="preserve">expenditure. We </w:t>
      </w:r>
      <w:r w:rsidRPr="00AE22EE">
        <w:rPr>
          <w:rStyle w:val="AERbody"/>
        </w:rPr>
        <w:t xml:space="preserve">may </w:t>
      </w:r>
      <w:r>
        <w:rPr>
          <w:rStyle w:val="AERbody"/>
        </w:rPr>
        <w:t xml:space="preserve">also examine </w:t>
      </w:r>
      <w:r w:rsidRPr="00AE22EE">
        <w:rPr>
          <w:rStyle w:val="AERbody"/>
        </w:rPr>
        <w:t xml:space="preserve">total </w:t>
      </w:r>
      <w:r>
        <w:rPr>
          <w:rStyle w:val="AERbody"/>
        </w:rPr>
        <w:t xml:space="preserve">expenditure </w:t>
      </w:r>
      <w:r w:rsidRPr="00AE22EE">
        <w:rPr>
          <w:rStyle w:val="AERbody"/>
        </w:rPr>
        <w:t>(</w:t>
      </w:r>
      <w:r>
        <w:rPr>
          <w:rStyle w:val="AERbody"/>
        </w:rPr>
        <w:t>capex and opex</w:t>
      </w:r>
      <w:r w:rsidRPr="00AE22EE">
        <w:rPr>
          <w:rStyle w:val="AERbody"/>
        </w:rPr>
        <w:t xml:space="preserve"> combined)</w:t>
      </w:r>
      <w:r>
        <w:rPr>
          <w:rStyle w:val="AERbody"/>
        </w:rPr>
        <w:t xml:space="preserve"> when assessing non-network capex. As we have done in the past, we will likely assess SCADA and network control expenditure in this category.</w:t>
      </w:r>
    </w:p>
    <w:p w:rsidR="00715488" w:rsidRDefault="00715488" w:rsidP="00715488">
      <w:pPr>
        <w:pStyle w:val="Heading1"/>
      </w:pPr>
      <w:bookmarkStart w:id="52" w:name="_Toc361390664"/>
      <w:bookmarkStart w:id="53" w:name="_Toc361390725"/>
      <w:bookmarkStart w:id="54" w:name="_Ref358966554"/>
      <w:bookmarkStart w:id="55" w:name="_Toc361390726"/>
      <w:bookmarkStart w:id="56" w:name="_Toc361391067"/>
      <w:bookmarkEnd w:id="52"/>
      <w:bookmarkEnd w:id="53"/>
      <w:r w:rsidRPr="00B56B60">
        <w:lastRenderedPageBreak/>
        <w:t>Operating expenditure assessment approach</w:t>
      </w:r>
      <w:bookmarkEnd w:id="54"/>
      <w:bookmarkEnd w:id="55"/>
      <w:bookmarkEnd w:id="56"/>
    </w:p>
    <w:p w:rsidR="00715488" w:rsidRDefault="00715488" w:rsidP="00715488">
      <w:pPr>
        <w:pStyle w:val="AERbodytext"/>
      </w:pPr>
      <w:r w:rsidRPr="007C5B0A">
        <w:t xml:space="preserve">The AER's general approach to assessing total forecast </w:t>
      </w:r>
      <w:r>
        <w:t>o</w:t>
      </w:r>
      <w:r w:rsidRPr="007C5B0A">
        <w:t xml:space="preserve">pex will not be significantly different </w:t>
      </w:r>
      <w:r>
        <w:t>from our past approach</w:t>
      </w:r>
      <w:r w:rsidRPr="007C5B0A">
        <w:t xml:space="preserve">. However, we intend to </w:t>
      </w:r>
      <w:r>
        <w:t xml:space="preserve">use </w:t>
      </w:r>
      <w:r w:rsidRPr="007C5B0A">
        <w:t xml:space="preserve">a broader range of assessment techniques and collect consistent data to aid us with our assessment. </w:t>
      </w:r>
      <w:r>
        <w:t>We prefer a ‘base-step-trend’ approach to forecasting most opex categories. However, when appropriate, we may forecast some opex categories using other forecasting techniques, such as an efficient benchmark amount.</w:t>
      </w:r>
    </w:p>
    <w:p w:rsidR="00715488" w:rsidRDefault="00715488" w:rsidP="00715488">
      <w:pPr>
        <w:pStyle w:val="AERbodytext"/>
      </w:pPr>
      <w:r>
        <w:t xml:space="preserve">Using the base-step-trend forecasting approach, we will determine forecast opex in year </w:t>
      </w:r>
      <w:r w:rsidRPr="00A70570">
        <w:rPr>
          <w:rStyle w:val="AERtextitalic"/>
        </w:rPr>
        <w:t>t</w:t>
      </w:r>
      <w:r>
        <w:t xml:space="preserve"> as:</w:t>
      </w:r>
    </w:p>
    <w:p w:rsidR="00693402" w:rsidRDefault="00D90701" w:rsidP="0021176A">
      <w:pPr>
        <w:pStyle w:val="AERbodytext"/>
      </w:pPr>
      <w:r>
        <w:rPr>
          <w:noProof/>
          <w:lang w:eastAsia="en-AU"/>
        </w:rPr>
        <w:drawing>
          <wp:inline distT="0" distB="0" distL="0" distR="0">
            <wp:extent cx="5723890" cy="5226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23890" cy="522605"/>
                    </a:xfrm>
                    <a:prstGeom prst="rect">
                      <a:avLst/>
                    </a:prstGeom>
                    <a:noFill/>
                    <a:ln>
                      <a:noFill/>
                    </a:ln>
                  </pic:spPr>
                </pic:pic>
              </a:graphicData>
            </a:graphic>
          </wp:inline>
        </w:drawing>
      </w:r>
    </w:p>
    <w:p w:rsidR="00715488" w:rsidRPr="00295917" w:rsidRDefault="00715488" w:rsidP="00693402">
      <w:pPr>
        <w:pStyle w:val="AERbodytext"/>
        <w:numPr>
          <w:ilvl w:val="0"/>
          <w:numId w:val="0"/>
        </w:numPr>
      </w:pPr>
      <w:proofErr w:type="gramStart"/>
      <w:r>
        <w:t>where</w:t>
      </w:r>
      <w:proofErr w:type="gramEnd"/>
      <w:r>
        <w:t>:</w:t>
      </w:r>
    </w:p>
    <w:p w:rsidR="00715488" w:rsidRPr="00295917" w:rsidRDefault="00715488" w:rsidP="00715488">
      <w:pPr>
        <w:pStyle w:val="AERbulletlistfirststyle"/>
      </w:pPr>
      <w:r w:rsidRPr="00A70570">
        <w:rPr>
          <w:rStyle w:val="AERtextitalic"/>
        </w:rPr>
        <w:t>b</w:t>
      </w:r>
      <w:r>
        <w:t xml:space="preserve"> is the base year</w:t>
      </w:r>
    </w:p>
    <w:p w:rsidR="00715488" w:rsidRPr="00693402" w:rsidRDefault="00715488" w:rsidP="00715488">
      <w:pPr>
        <w:pStyle w:val="AERbulletlistfirststyle"/>
        <w:rPr>
          <w:rStyle w:val="AERtextitalic"/>
          <w:i w:val="0"/>
        </w:rPr>
      </w:pPr>
      <w:r w:rsidRPr="00A70570">
        <w:rPr>
          <w:rStyle w:val="AERtextitalic"/>
        </w:rPr>
        <w:t>rate of change</w:t>
      </w:r>
      <w:r w:rsidRPr="00273D8B">
        <w:rPr>
          <w:rStyle w:val="AERsubscript"/>
        </w:rPr>
        <w:t>i</w:t>
      </w:r>
      <w:r w:rsidRPr="00A70570">
        <w:rPr>
          <w:rStyle w:val="AERtextitalic"/>
        </w:rPr>
        <w:t xml:space="preserve"> </w:t>
      </w:r>
      <w:r w:rsidRPr="00295917">
        <w:t xml:space="preserve">is the annual </w:t>
      </w:r>
      <w:r w:rsidR="0021176A">
        <w:t xml:space="preserve">percentage </w:t>
      </w:r>
      <w:r w:rsidRPr="00295917">
        <w:t xml:space="preserve">rate of change in year </w:t>
      </w:r>
      <w:proofErr w:type="spellStart"/>
      <w:r w:rsidRPr="00A70570">
        <w:rPr>
          <w:rStyle w:val="AERtextitalic"/>
        </w:rPr>
        <w:t>i</w:t>
      </w:r>
      <w:proofErr w:type="spellEnd"/>
    </w:p>
    <w:p w:rsidR="00A25A49" w:rsidRPr="0021176A" w:rsidRDefault="00A25A49" w:rsidP="00A25A49">
      <w:pPr>
        <w:pStyle w:val="AERbulletlistfirststyle"/>
      </w:pPr>
      <w:r w:rsidRPr="0021176A">
        <w:rPr>
          <w:rStyle w:val="AERtextitalic"/>
        </w:rPr>
        <w:t xml:space="preserve">deemed final year </w:t>
      </w:r>
      <w:proofErr w:type="spellStart"/>
      <w:r w:rsidRPr="0021176A">
        <w:rPr>
          <w:rStyle w:val="AERtextitalic"/>
        </w:rPr>
        <w:t>opex</w:t>
      </w:r>
      <w:proofErr w:type="spellEnd"/>
      <w:r w:rsidRPr="0021176A">
        <w:rPr>
          <w:rStyle w:val="AERtextitalic"/>
        </w:rPr>
        <w:t xml:space="preserve"> </w:t>
      </w:r>
      <w:r w:rsidRPr="0021176A">
        <w:t>is the deemed actual opex in the final year of the preceding regulatory control period</w:t>
      </w:r>
    </w:p>
    <w:p w:rsidR="00693402" w:rsidRPr="00295917" w:rsidRDefault="00693402" w:rsidP="00715488">
      <w:pPr>
        <w:pStyle w:val="AERbulletlistfirststyle"/>
      </w:pPr>
      <w:r>
        <w:rPr>
          <w:rStyle w:val="AERtextitalic"/>
        </w:rPr>
        <w:t xml:space="preserve">efficiency adjustment </w:t>
      </w:r>
      <w:r>
        <w:rPr>
          <w:rStyle w:val="AERbody"/>
        </w:rPr>
        <w:t xml:space="preserve">is the difference between efficient </w:t>
      </w:r>
      <w:proofErr w:type="spellStart"/>
      <w:r>
        <w:rPr>
          <w:rStyle w:val="AERbody"/>
        </w:rPr>
        <w:t>opex</w:t>
      </w:r>
      <w:proofErr w:type="spellEnd"/>
      <w:r>
        <w:rPr>
          <w:rStyle w:val="AERbody"/>
        </w:rPr>
        <w:t xml:space="preserve"> and base year</w:t>
      </w:r>
      <w:r w:rsidR="00275FEE">
        <w:rPr>
          <w:rStyle w:val="AERbody"/>
        </w:rPr>
        <w:t xml:space="preserve"> </w:t>
      </w:r>
      <w:proofErr w:type="spellStart"/>
      <w:r w:rsidR="00275FEE">
        <w:rPr>
          <w:rStyle w:val="AERbody"/>
        </w:rPr>
        <w:t>opex</w:t>
      </w:r>
      <w:proofErr w:type="spellEnd"/>
    </w:p>
    <w:p w:rsidR="00715488" w:rsidRPr="00744CF9" w:rsidRDefault="00715488" w:rsidP="00715488">
      <w:pPr>
        <w:pStyle w:val="AERbulletlistfirststyle"/>
        <w:rPr>
          <w:rStyle w:val="AERtextitalic"/>
          <w:i w:val="0"/>
        </w:rPr>
      </w:pPr>
      <w:proofErr w:type="gramStart"/>
      <w:r w:rsidRPr="00A70570">
        <w:rPr>
          <w:rStyle w:val="AERtextitalic"/>
        </w:rPr>
        <w:t>step</w:t>
      </w:r>
      <w:proofErr w:type="gramEnd"/>
      <w:r w:rsidRPr="00A70570">
        <w:rPr>
          <w:rStyle w:val="AERtextitalic"/>
        </w:rPr>
        <w:t xml:space="preserve"> </w:t>
      </w:r>
      <w:proofErr w:type="spellStart"/>
      <w:r w:rsidRPr="00A70570">
        <w:rPr>
          <w:rStyle w:val="AERtextitalic"/>
        </w:rPr>
        <w:t>changes</w:t>
      </w:r>
      <w:r w:rsidRPr="00273D8B">
        <w:rPr>
          <w:rStyle w:val="AERsubscript"/>
        </w:rPr>
        <w:t>t</w:t>
      </w:r>
      <w:proofErr w:type="spellEnd"/>
      <w:r w:rsidRPr="00A70570">
        <w:rPr>
          <w:rStyle w:val="AERtextitalic"/>
        </w:rPr>
        <w:t xml:space="preserve"> </w:t>
      </w:r>
      <w:r w:rsidRPr="00295917">
        <w:t xml:space="preserve">is the determined step changes in </w:t>
      </w:r>
      <w:r w:rsidRPr="00A70570">
        <w:rPr>
          <w:rStyle w:val="AERbody"/>
        </w:rPr>
        <w:t>year</w:t>
      </w:r>
      <w:r w:rsidRPr="00A70570">
        <w:rPr>
          <w:rStyle w:val="AERtextitalic"/>
        </w:rPr>
        <w:t xml:space="preserve"> t.</w:t>
      </w:r>
    </w:p>
    <w:p w:rsidR="00744CF9" w:rsidRPr="00744CF9" w:rsidRDefault="00744CF9" w:rsidP="00744CF9">
      <w:pPr>
        <w:pStyle w:val="AERbodytext"/>
      </w:pPr>
      <w:r>
        <w:t>Under this forecasting approach t</w:t>
      </w:r>
      <w:r w:rsidRPr="00744CF9">
        <w:t>he product of the ann</w:t>
      </w:r>
      <w:r>
        <w:t>ual rates of change accounts for changes in real prices, output growth and productivity in the forecast regulatory control period. The addition of step changes accounts for any other efficient costs not captured in base opex.</w:t>
      </w:r>
    </w:p>
    <w:p w:rsidR="00715488" w:rsidRPr="00204A82" w:rsidRDefault="00715488" w:rsidP="00715488">
      <w:pPr>
        <w:pStyle w:val="Heading2"/>
      </w:pPr>
      <w:bookmarkStart w:id="57" w:name="_Toc361390727"/>
      <w:bookmarkStart w:id="58" w:name="_Toc361391068"/>
      <w:r>
        <w:t>B</w:t>
      </w:r>
      <w:r w:rsidRPr="00204A82">
        <w:t xml:space="preserve">ase </w:t>
      </w:r>
      <w:proofErr w:type="spellStart"/>
      <w:r w:rsidRPr="00204A82">
        <w:t>opex</w:t>
      </w:r>
      <w:bookmarkEnd w:id="57"/>
      <w:bookmarkEnd w:id="58"/>
      <w:proofErr w:type="spellEnd"/>
    </w:p>
    <w:p w:rsidR="00715488" w:rsidRDefault="00715488" w:rsidP="00715488">
      <w:pPr>
        <w:pStyle w:val="AERbodytext"/>
      </w:pPr>
      <w:r>
        <w:t>The 'r</w:t>
      </w:r>
      <w:r w:rsidRPr="004D4814">
        <w:t>evealed cost</w:t>
      </w:r>
      <w:r>
        <w:t>'</w:t>
      </w:r>
      <w:r w:rsidRPr="004D4814">
        <w:t xml:space="preserve"> </w:t>
      </w:r>
      <w:r>
        <w:t xml:space="preserve">approach </w:t>
      </w:r>
      <w:r w:rsidRPr="004D4814">
        <w:t xml:space="preserve">is </w:t>
      </w:r>
      <w:r>
        <w:t>our</w:t>
      </w:r>
      <w:r w:rsidRPr="004D4814">
        <w:t xml:space="preserve"> preferred approach to </w:t>
      </w:r>
      <w:r>
        <w:t>determining</w:t>
      </w:r>
      <w:r w:rsidRPr="004D4814">
        <w:t xml:space="preserve"> </w:t>
      </w:r>
      <w:r>
        <w:t xml:space="preserve">base </w:t>
      </w:r>
      <w:r w:rsidRPr="004D4814">
        <w:t>opex.</w:t>
      </w:r>
      <w:r>
        <w:t xml:space="preserve"> If actual expenditure in the base year reasonably reflects the opex criteria, we will set base opex equal to actual expenditure for those cost categories forecast using the revealed cost approach. We will use</w:t>
      </w:r>
      <w:r w:rsidRPr="00F11776">
        <w:t xml:space="preserve"> a combination of </w:t>
      </w:r>
      <w:r>
        <w:t>technique</w:t>
      </w:r>
      <w:r w:rsidRPr="00F11776">
        <w:t>s</w:t>
      </w:r>
      <w:r>
        <w:t xml:space="preserve"> to assess whether base opex reasonably reflects the opex criteria. </w:t>
      </w:r>
    </w:p>
    <w:p w:rsidR="00715488" w:rsidRPr="005D0C15" w:rsidRDefault="00715488" w:rsidP="00715488">
      <w:pPr>
        <w:pStyle w:val="AERbodytext"/>
        <w:rPr>
          <w:rStyle w:val="AERbody"/>
        </w:rPr>
      </w:pPr>
      <w:r>
        <w:t>We intend not to rely on the expenditure of a particular base year when we identify material inefficiencies in that expenditure. In this case, we may depart from the revealed cost approach by adjusting the base year or substituting an appropriate base year. When determining whether to</w:t>
      </w:r>
      <w:r w:rsidRPr="005D0C15">
        <w:rPr>
          <w:rStyle w:val="AERbody"/>
        </w:rPr>
        <w:t xml:space="preserve"> </w:t>
      </w:r>
      <w:r>
        <w:rPr>
          <w:rStyle w:val="AERbody"/>
        </w:rPr>
        <w:t xml:space="preserve">adjust or substitute </w:t>
      </w:r>
      <w:r w:rsidRPr="005D0C15">
        <w:rPr>
          <w:rStyle w:val="AERbody"/>
        </w:rPr>
        <w:t xml:space="preserve">base year expenditure, we will also have regard to </w:t>
      </w:r>
      <w:r>
        <w:rPr>
          <w:rStyle w:val="AERbody"/>
        </w:rPr>
        <w:t xml:space="preserve">whether </w:t>
      </w:r>
      <w:r w:rsidRPr="005D0C15">
        <w:rPr>
          <w:rStyle w:val="AERbody"/>
        </w:rPr>
        <w:t>reward</w:t>
      </w:r>
      <w:r>
        <w:rPr>
          <w:rStyle w:val="AERbody"/>
        </w:rPr>
        <w:t xml:space="preserve">s or </w:t>
      </w:r>
      <w:r w:rsidRPr="005D0C15">
        <w:rPr>
          <w:rStyle w:val="AERbody"/>
        </w:rPr>
        <w:t xml:space="preserve">penalties accrued under the </w:t>
      </w:r>
      <w:r>
        <w:rPr>
          <w:rStyle w:val="AERbody"/>
        </w:rPr>
        <w:t>EBSS</w:t>
      </w:r>
      <w:r w:rsidRPr="005D0C15">
        <w:rPr>
          <w:rStyle w:val="AERbody"/>
        </w:rPr>
        <w:t xml:space="preserve"> will provide </w:t>
      </w:r>
      <w:r>
        <w:rPr>
          <w:rStyle w:val="AERbody"/>
        </w:rPr>
        <w:t xml:space="preserve">for </w:t>
      </w:r>
      <w:r w:rsidRPr="005D0C15">
        <w:rPr>
          <w:rStyle w:val="AERbody"/>
        </w:rPr>
        <w:t xml:space="preserve">the </w:t>
      </w:r>
      <w:r>
        <w:rPr>
          <w:rStyle w:val="AERbody"/>
        </w:rPr>
        <w:t>D</w:t>
      </w:r>
      <w:r w:rsidRPr="005D0C15">
        <w:rPr>
          <w:rStyle w:val="AERbody"/>
        </w:rPr>
        <w:t>NSP and its customers</w:t>
      </w:r>
      <w:r>
        <w:rPr>
          <w:rStyle w:val="AERbody"/>
        </w:rPr>
        <w:t xml:space="preserve"> to fairly share efficiency gains or losses</w:t>
      </w:r>
      <w:r w:rsidRPr="005D0C15">
        <w:rPr>
          <w:rStyle w:val="AERbody"/>
        </w:rPr>
        <w:t>.</w:t>
      </w:r>
    </w:p>
    <w:p w:rsidR="00715488" w:rsidRDefault="00715488" w:rsidP="00715488">
      <w:pPr>
        <w:pStyle w:val="AERbodytext"/>
      </w:pPr>
      <w:r>
        <w:t>We will likely apply all of our assessment techniques to identify the presence of material inefficiencies in the chosen base year, and in determining an alternative.</w:t>
      </w:r>
      <w:r w:rsidR="00DA7B2D">
        <w:t xml:space="preserve"> </w:t>
      </w:r>
      <w:r>
        <w:t>S</w:t>
      </w:r>
      <w:r w:rsidRPr="00C748D7">
        <w:t xml:space="preserve">ection </w:t>
      </w:r>
      <w:r>
        <w:fldChar w:fldCharType="begin"/>
      </w:r>
      <w:r>
        <w:instrText xml:space="preserve"> REF _Ref358967074 \r \h </w:instrText>
      </w:r>
      <w:r>
        <w:fldChar w:fldCharType="separate"/>
      </w:r>
      <w:r w:rsidR="00C370FE">
        <w:t>6</w:t>
      </w:r>
      <w:r>
        <w:fldChar w:fldCharType="end"/>
      </w:r>
      <w:r w:rsidRPr="00C748D7">
        <w:t xml:space="preserve"> </w:t>
      </w:r>
      <w:r>
        <w:t>details t</w:t>
      </w:r>
      <w:r w:rsidRPr="00F11776">
        <w:t xml:space="preserve">he information </w:t>
      </w:r>
      <w:r w:rsidRPr="00C748D7">
        <w:t>we will require to assess base opex.</w:t>
      </w:r>
    </w:p>
    <w:p w:rsidR="0021176A" w:rsidRPr="00533B91" w:rsidRDefault="003F5ADB" w:rsidP="0021176A">
      <w:pPr>
        <w:pStyle w:val="AERbodytext"/>
      </w:pPr>
      <w:r>
        <w:t xml:space="preserve">The EBSS </w:t>
      </w:r>
      <w:r w:rsidRPr="00533B91">
        <w:t>assume</w:t>
      </w:r>
      <w:r>
        <w:t>s</w:t>
      </w:r>
      <w:r w:rsidRPr="00533B91">
        <w:t xml:space="preserve"> no cumulative efficiency gain</w:t>
      </w:r>
      <w:r>
        <w:t>s</w:t>
      </w:r>
      <w:r w:rsidRPr="00533B91">
        <w:t xml:space="preserve"> </w:t>
      </w:r>
      <w:r>
        <w:t>are</w:t>
      </w:r>
      <w:r w:rsidRPr="00533B91">
        <w:t xml:space="preserve"> made after the base year</w:t>
      </w:r>
      <w:r>
        <w:t xml:space="preserve">. This allows the NSP to retain incremental efficiency gains made after the base year for five years, the same as other years. This also requires the same assumption to be made when forecasting opex. </w:t>
      </w:r>
      <w:r w:rsidR="0021176A" w:rsidRPr="00533B91">
        <w:t xml:space="preserve">For this reason, we will </w:t>
      </w:r>
      <w:r>
        <w:t>deem</w:t>
      </w:r>
      <w:r w:rsidR="0021176A" w:rsidRPr="00533B91">
        <w:t xml:space="preserve"> final year expenditure </w:t>
      </w:r>
      <w:r>
        <w:t>to be</w:t>
      </w:r>
      <w:r w:rsidR="0021176A" w:rsidRPr="00533B91">
        <w:t xml:space="preserve"> equal to:</w:t>
      </w:r>
    </w:p>
    <w:p w:rsidR="0021176A" w:rsidRPr="00533B91" w:rsidRDefault="0021176A" w:rsidP="0021176A">
      <w:pPr>
        <w:pStyle w:val="AERbodytext"/>
      </w:pPr>
      <w:r w:rsidRPr="0021176A">
        <w:rPr>
          <w:noProof/>
          <w:lang w:eastAsia="en-AU"/>
        </w:rPr>
        <w:lastRenderedPageBreak/>
        <w:drawing>
          <wp:inline distT="0" distB="0" distL="0" distR="0" wp14:anchorId="178E8173" wp14:editId="5108CF8D">
            <wp:extent cx="5731510" cy="33322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31510" cy="333227"/>
                    </a:xfrm>
                    <a:prstGeom prst="rect">
                      <a:avLst/>
                    </a:prstGeom>
                    <a:noFill/>
                    <a:ln>
                      <a:noFill/>
                    </a:ln>
                  </pic:spPr>
                </pic:pic>
              </a:graphicData>
            </a:graphic>
          </wp:inline>
        </w:drawing>
      </w:r>
    </w:p>
    <w:p w:rsidR="0021176A" w:rsidRPr="00533B91" w:rsidRDefault="0021176A" w:rsidP="0021176A">
      <w:pPr>
        <w:pStyle w:val="AERbodytext"/>
      </w:pPr>
      <w:r>
        <w:t>w</w:t>
      </w:r>
      <w:r w:rsidRPr="00533B91">
        <w:t>here:</w:t>
      </w:r>
    </w:p>
    <w:p w:rsidR="0021176A" w:rsidRPr="00533B91" w:rsidRDefault="0021176A" w:rsidP="0021176A">
      <w:pPr>
        <w:pStyle w:val="AERbulletlistfirststyle"/>
      </w:pPr>
      <w:proofErr w:type="spellStart"/>
      <w:r w:rsidRPr="00533B91">
        <w:t>F</w:t>
      </w:r>
      <w:r w:rsidRPr="00533B91">
        <w:rPr>
          <w:rStyle w:val="AERsubscript"/>
        </w:rPr>
        <w:t>f</w:t>
      </w:r>
      <w:proofErr w:type="spellEnd"/>
      <w:r w:rsidRPr="00533B91">
        <w:t xml:space="preserve"> is the determined opex allowance for the final year of the preceding regulatory control period</w:t>
      </w:r>
    </w:p>
    <w:p w:rsidR="0021176A" w:rsidRPr="00533B91" w:rsidRDefault="0021176A" w:rsidP="0021176A">
      <w:pPr>
        <w:pStyle w:val="AERbulletlistfirststyle"/>
      </w:pPr>
      <w:proofErr w:type="spellStart"/>
      <w:r w:rsidRPr="00533B91">
        <w:t>F</w:t>
      </w:r>
      <w:r w:rsidRPr="00533B91">
        <w:rPr>
          <w:rStyle w:val="AERsubscript"/>
        </w:rPr>
        <w:t>b</w:t>
      </w:r>
      <w:proofErr w:type="spellEnd"/>
      <w:r w:rsidRPr="00533B91">
        <w:t xml:space="preserve"> is the determined opex allowance for the base year </w:t>
      </w:r>
    </w:p>
    <w:p w:rsidR="0021176A" w:rsidRPr="0021176A" w:rsidRDefault="0021176A" w:rsidP="0021176A">
      <w:pPr>
        <w:pStyle w:val="AERbulletlistfirststyle"/>
      </w:pPr>
      <w:proofErr w:type="spellStart"/>
      <w:r w:rsidRPr="0021176A">
        <w:t>A</w:t>
      </w:r>
      <w:r w:rsidRPr="003F5ADB">
        <w:rPr>
          <w:rStyle w:val="AERsubscript"/>
        </w:rPr>
        <w:t>b</w:t>
      </w:r>
      <w:proofErr w:type="spellEnd"/>
      <w:r w:rsidRPr="0021176A">
        <w:t xml:space="preserve"> is the amount of actual opex in the base year.</w:t>
      </w:r>
    </w:p>
    <w:p w:rsidR="00715488" w:rsidRPr="00204A82" w:rsidRDefault="00715488" w:rsidP="00715488">
      <w:pPr>
        <w:pStyle w:val="Heading2"/>
      </w:pPr>
      <w:bookmarkStart w:id="59" w:name="_Toc359581772"/>
      <w:bookmarkStart w:id="60" w:name="_Toc359581773"/>
      <w:bookmarkStart w:id="61" w:name="_Toc359581774"/>
      <w:bookmarkStart w:id="62" w:name="_Toc359581775"/>
      <w:bookmarkStart w:id="63" w:name="_Toc359581776"/>
      <w:bookmarkStart w:id="64" w:name="_Toc361390728"/>
      <w:bookmarkStart w:id="65" w:name="_Toc361391069"/>
      <w:bookmarkEnd w:id="59"/>
      <w:bookmarkEnd w:id="60"/>
      <w:bookmarkEnd w:id="61"/>
      <w:bookmarkEnd w:id="62"/>
      <w:bookmarkEnd w:id="63"/>
      <w:r>
        <w:t>T</w:t>
      </w:r>
      <w:r w:rsidRPr="00204A82">
        <w:t>he rate of change</w:t>
      </w:r>
      <w:bookmarkEnd w:id="64"/>
      <w:bookmarkEnd w:id="65"/>
    </w:p>
    <w:p w:rsidR="00715488" w:rsidRPr="004D4814" w:rsidRDefault="00715488" w:rsidP="00715488">
      <w:pPr>
        <w:pStyle w:val="AERbodytext"/>
      </w:pPr>
      <w:r>
        <w:t xml:space="preserve">We will forecast opex for the forecast regulatory control period by applying an annual rate of change for each year </w:t>
      </w:r>
      <w:r w:rsidR="003F5ADB">
        <w:t>of th</w:t>
      </w:r>
      <w:r w:rsidR="00E24138">
        <w:t>e</w:t>
      </w:r>
      <w:r w:rsidR="003F5ADB">
        <w:t xml:space="preserve"> </w:t>
      </w:r>
      <w:r w:rsidR="000E79C4">
        <w:t xml:space="preserve">forecast </w:t>
      </w:r>
      <w:r w:rsidR="003F5ADB">
        <w:t>regulatory control period</w:t>
      </w:r>
      <w:r>
        <w:t>. We will determine the annual</w:t>
      </w:r>
      <w:r w:rsidRPr="004D4814">
        <w:t xml:space="preserve"> </w:t>
      </w:r>
      <w:r>
        <w:t xml:space="preserve">rate of change for year </w:t>
      </w:r>
      <w:r w:rsidRPr="003C60D5">
        <w:rPr>
          <w:rStyle w:val="AERtextitalic"/>
        </w:rPr>
        <w:t>t</w:t>
      </w:r>
      <w:r>
        <w:t xml:space="preserve"> as:</w:t>
      </w:r>
    </w:p>
    <w:p w:rsidR="00715488" w:rsidRDefault="00715488" w:rsidP="00715488">
      <w:pPr>
        <w:pStyle w:val="AERbodytext"/>
      </w:pPr>
      <w:r w:rsidRPr="00715488">
        <w:rPr>
          <w:noProof/>
          <w:lang w:eastAsia="en-AU"/>
        </w:rPr>
        <w:drawing>
          <wp:inline distT="0" distB="0" distL="0" distR="0" wp14:anchorId="22E0CFED" wp14:editId="25958420">
            <wp:extent cx="5731510" cy="160548"/>
            <wp:effectExtent l="0" t="0" r="0" b="0"/>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srcRect/>
                    <a:stretch>
                      <a:fillRect/>
                    </a:stretch>
                  </pic:blipFill>
                  <pic:spPr bwMode="auto">
                    <a:xfrm>
                      <a:off x="0" y="0"/>
                      <a:ext cx="5731510" cy="160548"/>
                    </a:xfrm>
                    <a:prstGeom prst="rect">
                      <a:avLst/>
                    </a:prstGeom>
                    <a:noFill/>
                    <a:ln w="9525">
                      <a:noFill/>
                      <a:miter lim="800000"/>
                      <a:headEnd/>
                      <a:tailEnd/>
                    </a:ln>
                  </pic:spPr>
                </pic:pic>
              </a:graphicData>
            </a:graphic>
          </wp:inline>
        </w:drawing>
      </w:r>
    </w:p>
    <w:p w:rsidR="00715488" w:rsidRPr="00204A82" w:rsidRDefault="00715488" w:rsidP="00715488">
      <w:pPr>
        <w:pStyle w:val="Heading3"/>
      </w:pPr>
      <w:r w:rsidRPr="00204A82">
        <w:t>Output growth</w:t>
      </w:r>
    </w:p>
    <w:p w:rsidR="00715488" w:rsidRPr="004D4814" w:rsidRDefault="00715488" w:rsidP="00715488">
      <w:pPr>
        <w:pStyle w:val="AERbodytext"/>
      </w:pPr>
      <w:r>
        <w:t xml:space="preserve">Forecast output growth is the forecast annual increase in the output measures </w:t>
      </w:r>
      <w:r w:rsidRPr="004D4814">
        <w:t xml:space="preserve">used </w:t>
      </w:r>
      <w:r>
        <w:t>to</w:t>
      </w:r>
      <w:r w:rsidRPr="004D4814">
        <w:t xml:space="preserve"> </w:t>
      </w:r>
      <w:r>
        <w:t>forecast</w:t>
      </w:r>
      <w:r w:rsidRPr="004D4814">
        <w:t xml:space="preserve"> productivity </w:t>
      </w:r>
      <w:r>
        <w:t xml:space="preserve">growth. If the productivity measure includes economies of scale then they </w:t>
      </w:r>
      <w:r w:rsidRPr="004D4814">
        <w:t xml:space="preserve">should not be </w:t>
      </w:r>
      <w:r>
        <w:t>removed from output growth.</w:t>
      </w:r>
    </w:p>
    <w:p w:rsidR="00715488" w:rsidRPr="00204A82" w:rsidRDefault="00715488" w:rsidP="00715488">
      <w:pPr>
        <w:pStyle w:val="Heading3"/>
      </w:pPr>
      <w:r w:rsidRPr="00204A82">
        <w:t>Real price growth</w:t>
      </w:r>
    </w:p>
    <w:p w:rsidR="00715488" w:rsidRDefault="00715488" w:rsidP="00715488">
      <w:pPr>
        <w:pStyle w:val="AERbodytext"/>
      </w:pPr>
      <w:r>
        <w:t xml:space="preserve">Forecast real price growth is the forecast annual increase in the real price measures </w:t>
      </w:r>
      <w:r w:rsidRPr="004D4814">
        <w:t xml:space="preserve">used </w:t>
      </w:r>
      <w:r>
        <w:t>to</w:t>
      </w:r>
      <w:r w:rsidRPr="004D4814">
        <w:t xml:space="preserve"> </w:t>
      </w:r>
      <w:r>
        <w:t>forecast</w:t>
      </w:r>
      <w:r w:rsidRPr="004D4814">
        <w:t xml:space="preserve"> productivity </w:t>
      </w:r>
      <w:r>
        <w:t xml:space="preserve">growth. If the productivity measure includes </w:t>
      </w:r>
      <w:r w:rsidRPr="006E1960">
        <w:t>labour productivity</w:t>
      </w:r>
      <w:r>
        <w:t xml:space="preserve"> then real price growth s</w:t>
      </w:r>
      <w:r w:rsidRPr="006E1960">
        <w:t>hould not be adjusted to remove labour productivity</w:t>
      </w:r>
      <w:r>
        <w:t>.</w:t>
      </w:r>
    </w:p>
    <w:p w:rsidR="00715488" w:rsidRPr="00204A82" w:rsidRDefault="00715488" w:rsidP="00715488">
      <w:pPr>
        <w:pStyle w:val="Heading3"/>
      </w:pPr>
      <w:r w:rsidRPr="00204A82">
        <w:t>Productivity</w:t>
      </w:r>
    </w:p>
    <w:p w:rsidR="00715488" w:rsidRDefault="00715488" w:rsidP="00715488">
      <w:pPr>
        <w:pStyle w:val="AERbodytext"/>
      </w:pPr>
      <w:r>
        <w:t>In assessing forecast productivity, we will likely consider (but may not be limited to):</w:t>
      </w:r>
    </w:p>
    <w:p w:rsidR="00715488" w:rsidRDefault="00715488" w:rsidP="00715488">
      <w:pPr>
        <w:pStyle w:val="AERbulletlistfirststyle"/>
      </w:pPr>
      <w:r>
        <w:t xml:space="preserve">forecast output growth </w:t>
      </w:r>
    </w:p>
    <w:p w:rsidR="00715488" w:rsidRDefault="00715488" w:rsidP="00715488">
      <w:pPr>
        <w:pStyle w:val="AERbulletlistfirststyle"/>
      </w:pPr>
      <w:r>
        <w:t>forecast changes in DNSP specific business conditions</w:t>
      </w:r>
    </w:p>
    <w:p w:rsidR="00715488" w:rsidRDefault="00715488" w:rsidP="00715488">
      <w:pPr>
        <w:pStyle w:val="AERbulletlistfirststyle"/>
      </w:pPr>
      <w:r>
        <w:t>forecast technological change</w:t>
      </w:r>
    </w:p>
    <w:p w:rsidR="00715488" w:rsidRDefault="00715488" w:rsidP="00715488">
      <w:pPr>
        <w:pStyle w:val="AERbulletlistfirststyle"/>
      </w:pPr>
      <w:r>
        <w:t>how close the DNSP under consideration is to the efficient frontier in our benchmarking analysis</w:t>
      </w:r>
    </w:p>
    <w:p w:rsidR="00715488" w:rsidRDefault="00715488" w:rsidP="00715488">
      <w:pPr>
        <w:pStyle w:val="AERbulletlistfirststyle"/>
      </w:pPr>
      <w:r>
        <w:t>historical productivity performance</w:t>
      </w:r>
    </w:p>
    <w:p w:rsidR="00715488" w:rsidRDefault="00715488" w:rsidP="00715488">
      <w:pPr>
        <w:pStyle w:val="AERbulletlistfirststyle"/>
      </w:pPr>
      <w:proofErr w:type="gramStart"/>
      <w:r>
        <w:t>any</w:t>
      </w:r>
      <w:proofErr w:type="gramEnd"/>
      <w:r>
        <w:t xml:space="preserve"> difference between industry average productivity change and the rate of productivity change at the efficient frontier.</w:t>
      </w:r>
    </w:p>
    <w:p w:rsidR="00715488" w:rsidRPr="00204A82" w:rsidRDefault="00715488" w:rsidP="00715488">
      <w:pPr>
        <w:pStyle w:val="Heading2"/>
      </w:pPr>
      <w:bookmarkStart w:id="66" w:name="_Toc361390729"/>
      <w:bookmarkStart w:id="67" w:name="_Toc361391070"/>
      <w:r>
        <w:t>S</w:t>
      </w:r>
      <w:r w:rsidRPr="00204A82">
        <w:t>tep changes</w:t>
      </w:r>
      <w:bookmarkEnd w:id="66"/>
      <w:bookmarkEnd w:id="67"/>
    </w:p>
    <w:p w:rsidR="00715488" w:rsidRPr="004D4814" w:rsidRDefault="00715488" w:rsidP="00715488">
      <w:pPr>
        <w:pStyle w:val="AERbodytext"/>
      </w:pPr>
      <w:r>
        <w:t>Step changes m</w:t>
      </w:r>
      <w:r w:rsidRPr="004D4814">
        <w:t xml:space="preserve">ust be </w:t>
      </w:r>
      <w:r>
        <w:t xml:space="preserve">made </w:t>
      </w:r>
      <w:r w:rsidRPr="004D4814">
        <w:t>only for changes in outputs not captured by the output growth variable</w:t>
      </w:r>
      <w:r>
        <w:t>. Step changes s</w:t>
      </w:r>
      <w:r w:rsidRPr="004D4814">
        <w:t xml:space="preserve">hould only </w:t>
      </w:r>
      <w:r>
        <w:t xml:space="preserve">include the forecast costs of </w:t>
      </w:r>
      <w:r w:rsidRPr="004D4814">
        <w:t>non-discretionary changes in inputs</w:t>
      </w:r>
      <w:r>
        <w:t xml:space="preserve">, other than capex/opex trade-offs. The drivers for the step change should be external to the control of the DNSP. </w:t>
      </w:r>
    </w:p>
    <w:p w:rsidR="00715488" w:rsidRPr="00295917" w:rsidRDefault="00715488" w:rsidP="00715488">
      <w:r>
        <w:lastRenderedPageBreak/>
        <w:t xml:space="preserve">If it is efficient to substitute capex with opex, a step change may be included for these costs (capex/opex trade-offs). Step changes should not </w:t>
      </w:r>
      <w:r w:rsidRPr="004D4814">
        <w:t xml:space="preserve">double count </w:t>
      </w:r>
      <w:r>
        <w:t xml:space="preserve">the cost of increased regulatory burden over time, which forecast </w:t>
      </w:r>
      <w:r w:rsidRPr="004D4814">
        <w:t xml:space="preserve">productivity </w:t>
      </w:r>
      <w:r>
        <w:t xml:space="preserve">growth may already account for. </w:t>
      </w:r>
    </w:p>
    <w:p w:rsidR="00715488" w:rsidRPr="00B56B60" w:rsidRDefault="00715488" w:rsidP="00715488">
      <w:pPr>
        <w:pStyle w:val="Heading1"/>
      </w:pPr>
      <w:bookmarkStart w:id="68" w:name="_Ref358967074"/>
      <w:bookmarkStart w:id="69" w:name="_Ref358969067"/>
      <w:bookmarkStart w:id="70" w:name="_Toc361390730"/>
      <w:bookmarkStart w:id="71" w:name="_Toc361391071"/>
      <w:r w:rsidRPr="00B56B60">
        <w:lastRenderedPageBreak/>
        <w:t>Information requirements</w:t>
      </w:r>
      <w:bookmarkEnd w:id="68"/>
      <w:bookmarkEnd w:id="69"/>
      <w:bookmarkEnd w:id="70"/>
      <w:bookmarkEnd w:id="71"/>
    </w:p>
    <w:p w:rsidR="00715488" w:rsidRPr="00715488" w:rsidRDefault="00715488" w:rsidP="00715488">
      <w:pPr>
        <w:pStyle w:val="AERbodytext"/>
      </w:pPr>
      <w:r>
        <w:t>Th</w:t>
      </w:r>
      <w:r w:rsidRPr="00715488">
        <w:t xml:space="preserve">is </w:t>
      </w:r>
      <w:r w:rsidRPr="00715488">
        <w:rPr>
          <w:rStyle w:val="AERbody"/>
        </w:rPr>
        <w:t>Guideline</w:t>
      </w:r>
      <w:r w:rsidRPr="00715488">
        <w:t xml:space="preserve"> must specify our information requirements for expenditure assessment. The regulatory information notice (</w:t>
      </w:r>
      <w:r w:rsidRPr="00715488">
        <w:rPr>
          <w:rStyle w:val="AERbody"/>
        </w:rPr>
        <w:t>RIN</w:t>
      </w:r>
      <w:r w:rsidRPr="00715488">
        <w:t xml:space="preserve">) issued in advance of a DNSP lodging its regulatory proposal will specify the exact information we require. In general, however, </w:t>
      </w:r>
      <w:r w:rsidR="00F051F3">
        <w:t>we</w:t>
      </w:r>
      <w:r w:rsidRPr="00715488">
        <w:t xml:space="preserve"> require all the data that facilitate the application of our assessment approach and our assessment techniques. However, we will not require a DNSP to provide information relating to other DNSPs.</w:t>
      </w:r>
    </w:p>
    <w:p w:rsidR="00715488" w:rsidRPr="00715488" w:rsidRDefault="00715488" w:rsidP="00715488">
      <w:pPr>
        <w:pStyle w:val="AERbodytext"/>
      </w:pPr>
      <w:r>
        <w:t xml:space="preserve">We will require </w:t>
      </w:r>
      <w:r w:rsidRPr="00715488">
        <w:t>forecast information on an ongoing basis, but will typically request historical information in annual RINs. The following sections indicate (at a high level) our likely information requirements for capex</w:t>
      </w:r>
      <w:r w:rsidR="0079093C">
        <w:t xml:space="preserve"> and</w:t>
      </w:r>
      <w:r w:rsidR="0079093C" w:rsidRPr="00715488">
        <w:t xml:space="preserve"> </w:t>
      </w:r>
      <w:r w:rsidRPr="00715488">
        <w:t xml:space="preserve">opex. </w:t>
      </w:r>
    </w:p>
    <w:p w:rsidR="00715488" w:rsidRDefault="00715488" w:rsidP="00715488">
      <w:pPr>
        <w:pStyle w:val="Heading2"/>
      </w:pPr>
      <w:bookmarkStart w:id="72" w:name="_Toc358985027"/>
      <w:bookmarkStart w:id="73" w:name="_Toc361390731"/>
      <w:bookmarkStart w:id="74" w:name="_Toc361391072"/>
      <w:r>
        <w:t>Capex</w:t>
      </w:r>
      <w:bookmarkEnd w:id="72"/>
      <w:bookmarkEnd w:id="73"/>
      <w:bookmarkEnd w:id="74"/>
    </w:p>
    <w:p w:rsidR="00715488" w:rsidRDefault="00715488" w:rsidP="00715488">
      <w:pPr>
        <w:pStyle w:val="AERbodytext"/>
      </w:pPr>
      <w:r>
        <w:t>We</w:t>
      </w:r>
      <w:r w:rsidRPr="00CB0C2A">
        <w:t xml:space="preserve"> will require a range of information from </w:t>
      </w:r>
      <w:r>
        <w:t>D</w:t>
      </w:r>
      <w:r w:rsidRPr="00CB0C2A">
        <w:t>NSP</w:t>
      </w:r>
      <w:r>
        <w:t>s</w:t>
      </w:r>
      <w:r w:rsidRPr="00CB0C2A">
        <w:t xml:space="preserve"> to enable </w:t>
      </w:r>
      <w:r>
        <w:t xml:space="preserve">our </w:t>
      </w:r>
      <w:r w:rsidRPr="00CB0C2A">
        <w:t xml:space="preserve">assessment of different categories of expenditure </w:t>
      </w:r>
      <w:r>
        <w:t xml:space="preserve">applying </w:t>
      </w:r>
      <w:r w:rsidRPr="00CB0C2A">
        <w:t>different assessment</w:t>
      </w:r>
      <w:r>
        <w:t xml:space="preserve"> techniques</w:t>
      </w:r>
      <w:r w:rsidRPr="00CB0C2A">
        <w:t xml:space="preserve">. This </w:t>
      </w:r>
      <w:r>
        <w:t xml:space="preserve">information </w:t>
      </w:r>
      <w:r w:rsidR="008A1B07">
        <w:t xml:space="preserve">will </w:t>
      </w:r>
      <w:r w:rsidRPr="00CB0C2A">
        <w:t>include:</w:t>
      </w:r>
    </w:p>
    <w:p w:rsidR="00715488" w:rsidRDefault="00715488" w:rsidP="00715488">
      <w:pPr>
        <w:pStyle w:val="AERnumberedlist2first"/>
      </w:pPr>
      <w:r>
        <w:t>expenditure split by key capex driver (high level expenditure category), namely:</w:t>
      </w:r>
    </w:p>
    <w:p w:rsidR="00715488" w:rsidRDefault="00715488" w:rsidP="00715488">
      <w:pPr>
        <w:pStyle w:val="AERnumberedlist2second"/>
      </w:pPr>
      <w:r>
        <w:t>replacement</w:t>
      </w:r>
    </w:p>
    <w:p w:rsidR="00715488" w:rsidRDefault="00715488" w:rsidP="00715488">
      <w:pPr>
        <w:pStyle w:val="AERnumberedlist2second"/>
      </w:pPr>
      <w:r>
        <w:t>reinforcement</w:t>
      </w:r>
    </w:p>
    <w:p w:rsidR="00715488" w:rsidRDefault="00715488" w:rsidP="00715488">
      <w:pPr>
        <w:pStyle w:val="AERnumberedlist2second"/>
      </w:pPr>
      <w:r>
        <w:t>connections and customer driven works</w:t>
      </w:r>
    </w:p>
    <w:p w:rsidR="00715488" w:rsidRDefault="00715488" w:rsidP="00715488">
      <w:pPr>
        <w:pStyle w:val="AERnumberedlist2second"/>
      </w:pPr>
      <w:r>
        <w:t>non-network</w:t>
      </w:r>
    </w:p>
    <w:p w:rsidR="00715488" w:rsidRDefault="00715488" w:rsidP="00715488">
      <w:pPr>
        <w:pStyle w:val="AERnumberedlist2first"/>
      </w:pPr>
      <w:r>
        <w:t>expenditure split by subcategory under each high level expenditure category</w:t>
      </w:r>
    </w:p>
    <w:p w:rsidR="00715488" w:rsidRPr="00805FA7" w:rsidRDefault="00715488" w:rsidP="00715488">
      <w:pPr>
        <w:pStyle w:val="AERnumberedlist2first"/>
      </w:pPr>
      <w:proofErr w:type="gramStart"/>
      <w:r>
        <w:t>methods</w:t>
      </w:r>
      <w:proofErr w:type="gramEnd"/>
      <w:r>
        <w:t xml:space="preserve"> of calculating, and calculations of any allowances for </w:t>
      </w:r>
      <w:r w:rsidRPr="00805FA7" w:rsidDel="00B4344A">
        <w:t>real cost escalation.</w:t>
      </w:r>
    </w:p>
    <w:p w:rsidR="00715488" w:rsidRDefault="00715488" w:rsidP="00715488">
      <w:pPr>
        <w:pStyle w:val="AERbodytext"/>
      </w:pPr>
      <w:r>
        <w:t>For assessing expenditure by high level expenditure category or subcategory, we will require information on:</w:t>
      </w:r>
    </w:p>
    <w:p w:rsidR="00715488" w:rsidRPr="002A454B" w:rsidRDefault="00715488" w:rsidP="00715488">
      <w:pPr>
        <w:pStyle w:val="AERnumberedlist2first"/>
      </w:pPr>
      <w:r>
        <w:t>f</w:t>
      </w:r>
      <w:r w:rsidRPr="002A454B">
        <w:t xml:space="preserve">orecast expenditure overall and by key asset category supported by forecasts of volumes and unit costs for key expenditure works categories: </w:t>
      </w:r>
    </w:p>
    <w:p w:rsidR="00715488" w:rsidRDefault="00715488" w:rsidP="00715488">
      <w:pPr>
        <w:pStyle w:val="AERnumberedlist2first"/>
      </w:pPr>
      <w:r>
        <w:t>the methodology the DNSP used to develop the expenditure forecasts</w:t>
      </w:r>
    </w:p>
    <w:p w:rsidR="00715488" w:rsidRDefault="00715488" w:rsidP="00715488">
      <w:pPr>
        <w:pStyle w:val="AERnumberedlist2first"/>
      </w:pPr>
      <w:r>
        <w:t>e</w:t>
      </w:r>
      <w:r w:rsidRPr="00E87383">
        <w:t>conomic analysis demonstrating the efficiency and prudency of</w:t>
      </w:r>
      <w:r>
        <w:t xml:space="preserve"> all material forecast operating and maintenance expenditure, including:</w:t>
      </w:r>
    </w:p>
    <w:p w:rsidR="00715488" w:rsidRDefault="00715488" w:rsidP="00715488">
      <w:pPr>
        <w:pStyle w:val="AERnumberedlist2second"/>
      </w:pPr>
      <w:r w:rsidRPr="00E87383">
        <w:t xml:space="preserve">key decisions contained </w:t>
      </w:r>
      <w:r>
        <w:t>in</w:t>
      </w:r>
      <w:r w:rsidRPr="00E87383">
        <w:t xml:space="preserve"> </w:t>
      </w:r>
      <w:r>
        <w:t xml:space="preserve">asset </w:t>
      </w:r>
      <w:r w:rsidRPr="00E87383">
        <w:t>management plans, or likely to be made as a result of the plans</w:t>
      </w:r>
      <w:r>
        <w:t xml:space="preserve"> </w:t>
      </w:r>
    </w:p>
    <w:p w:rsidR="00715488" w:rsidRPr="00E87383" w:rsidRDefault="00715488" w:rsidP="00715488">
      <w:pPr>
        <w:pStyle w:val="AERnumberedlist2second"/>
      </w:pPr>
      <w:r w:rsidRPr="00E87383">
        <w:t>demonstration that any material change in expenditure relative to historic expenditure levels is efficient (</w:t>
      </w:r>
      <w:r>
        <w:t xml:space="preserve">for example, </w:t>
      </w:r>
      <w:r w:rsidRPr="00E87383">
        <w:t>any step changes)</w:t>
      </w:r>
    </w:p>
    <w:p w:rsidR="00FF5455" w:rsidRDefault="00715488" w:rsidP="00715488">
      <w:pPr>
        <w:pStyle w:val="AERnumberedlist2first"/>
      </w:pPr>
      <w:proofErr w:type="gramStart"/>
      <w:r>
        <w:t>g</w:t>
      </w:r>
      <w:r w:rsidRPr="00CB0C2A">
        <w:t>overnance</w:t>
      </w:r>
      <w:proofErr w:type="gramEnd"/>
      <w:r w:rsidRPr="00CB0C2A">
        <w:t xml:space="preserve"> plans relating to capital expenditure and evidence where they have </w:t>
      </w:r>
      <w:r>
        <w:t>or</w:t>
      </w:r>
      <w:r w:rsidRPr="00CB0C2A">
        <w:t xml:space="preserve"> have not been followed</w:t>
      </w:r>
      <w:r>
        <w:t>.</w:t>
      </w:r>
      <w:r w:rsidRPr="00CB0C2A">
        <w:t xml:space="preserve"> </w:t>
      </w:r>
      <w:r>
        <w:t xml:space="preserve">Where governance plans have not been followed </w:t>
      </w:r>
      <w:r w:rsidR="00FF5455">
        <w:t>D</w:t>
      </w:r>
      <w:r>
        <w:t>NSPs should explain why and the expected impact on expenditure as a result.</w:t>
      </w:r>
    </w:p>
    <w:p w:rsidR="00715488" w:rsidRDefault="00715488" w:rsidP="00715488">
      <w:pPr>
        <w:pStyle w:val="AERnumberedlist2first"/>
      </w:pPr>
      <w:r>
        <w:lastRenderedPageBreak/>
        <w:t>p</w:t>
      </w:r>
      <w:r w:rsidRPr="00E87383">
        <w:t xml:space="preserve">lanning and strategy documentation for key capex categories and activities (including asset management plans) </w:t>
      </w:r>
    </w:p>
    <w:p w:rsidR="00715488" w:rsidRPr="00CB0C2A" w:rsidRDefault="00715488" w:rsidP="00715488">
      <w:pPr>
        <w:pStyle w:val="AERnumberedlist2first"/>
      </w:pPr>
      <w:r>
        <w:t>i</w:t>
      </w:r>
      <w:r w:rsidRPr="00CB0C2A">
        <w:t xml:space="preserve">nformation explaining why any material difference in benchmark costs for key </w:t>
      </w:r>
      <w:r>
        <w:t xml:space="preserve">work </w:t>
      </w:r>
      <w:r w:rsidRPr="00CB0C2A">
        <w:t xml:space="preserve">categories relevant to other </w:t>
      </w:r>
      <w:r>
        <w:t>D</w:t>
      </w:r>
      <w:r w:rsidRPr="00CB0C2A">
        <w:t>NSPs is efficient</w:t>
      </w:r>
    </w:p>
    <w:p w:rsidR="00715488" w:rsidRPr="00CB0C2A" w:rsidRDefault="00715488" w:rsidP="00715488">
      <w:pPr>
        <w:pStyle w:val="AERnumberedlist2first"/>
      </w:pPr>
      <w:r>
        <w:t>i</w:t>
      </w:r>
      <w:r w:rsidRPr="00CB0C2A">
        <w:t>nformation demonstrating any material change in expenditure relative to historic</w:t>
      </w:r>
      <w:r>
        <w:t>al</w:t>
      </w:r>
      <w:r w:rsidRPr="00CB0C2A">
        <w:t xml:space="preserve"> expenditure levels is efficient </w:t>
      </w:r>
      <w:r>
        <w:t xml:space="preserve">and prudent </w:t>
      </w:r>
      <w:r w:rsidRPr="00CB0C2A">
        <w:t>(</w:t>
      </w:r>
      <w:r>
        <w:t xml:space="preserve">for example, </w:t>
      </w:r>
      <w:r w:rsidRPr="00CB0C2A">
        <w:t>any step changes)</w:t>
      </w:r>
    </w:p>
    <w:p w:rsidR="00715488" w:rsidRPr="00CB0C2A" w:rsidRDefault="00715488" w:rsidP="00715488">
      <w:pPr>
        <w:pStyle w:val="AERnumberedlist2first"/>
      </w:pPr>
      <w:proofErr w:type="gramStart"/>
      <w:r>
        <w:t>i</w:t>
      </w:r>
      <w:r w:rsidRPr="00CB0C2A">
        <w:t>nformation</w:t>
      </w:r>
      <w:proofErr w:type="gramEnd"/>
      <w:r w:rsidRPr="00CB0C2A">
        <w:t xml:space="preserve"> explaining why any material difference in benchmark costs for key works </w:t>
      </w:r>
      <w:r>
        <w:t xml:space="preserve">categories </w:t>
      </w:r>
      <w:r w:rsidRPr="00CB0C2A">
        <w:t xml:space="preserve">relevant to other </w:t>
      </w:r>
      <w:r>
        <w:t>D</w:t>
      </w:r>
      <w:r w:rsidRPr="00CB0C2A">
        <w:t>NSPs is efficient</w:t>
      </w:r>
      <w:r>
        <w:t xml:space="preserve"> and prudent</w:t>
      </w:r>
      <w:r w:rsidRPr="00CB0C2A">
        <w:t>.</w:t>
      </w:r>
    </w:p>
    <w:p w:rsidR="00715488" w:rsidRPr="00CB0C2A" w:rsidRDefault="00715488" w:rsidP="00715488">
      <w:pPr>
        <w:pStyle w:val="AERbodytext"/>
      </w:pPr>
      <w:r>
        <w:t>For assessing</w:t>
      </w:r>
      <w:r w:rsidRPr="00CB0C2A">
        <w:t xml:space="preserve"> replacement </w:t>
      </w:r>
      <w:r>
        <w:t>capex,</w:t>
      </w:r>
      <w:r w:rsidRPr="00CB0C2A">
        <w:t xml:space="preserve"> </w:t>
      </w:r>
      <w:r>
        <w:t xml:space="preserve">we </w:t>
      </w:r>
      <w:r w:rsidRPr="00CB0C2A">
        <w:t xml:space="preserve">will require </w:t>
      </w:r>
      <w:r>
        <w:t xml:space="preserve">the above information, plus </w:t>
      </w:r>
      <w:r w:rsidRPr="00CB0C2A">
        <w:t>specific data for modelling</w:t>
      </w:r>
      <w:r>
        <w:t>,</w:t>
      </w:r>
      <w:r w:rsidRPr="00CB0C2A">
        <w:t xml:space="preserve"> including:</w:t>
      </w:r>
    </w:p>
    <w:p w:rsidR="00715488" w:rsidRDefault="00715488" w:rsidP="00715488">
      <w:pPr>
        <w:pStyle w:val="AERnumberedlist2first"/>
      </w:pPr>
      <w:r>
        <w:t>t</w:t>
      </w:r>
      <w:r w:rsidRPr="00CB0C2A">
        <w:t xml:space="preserve">he total quantum of assets </w:t>
      </w:r>
      <w:r>
        <w:t xml:space="preserve">added and disposed of </w:t>
      </w:r>
      <w:r w:rsidRPr="00CB0C2A">
        <w:t>by key asset category</w:t>
      </w:r>
    </w:p>
    <w:p w:rsidR="00715488" w:rsidRPr="00CB0C2A" w:rsidRDefault="00715488" w:rsidP="00715488">
      <w:pPr>
        <w:pStyle w:val="AERnumberedlist2first"/>
      </w:pPr>
      <w:r>
        <w:t>the average value of assets added in each category for each regulatory year</w:t>
      </w:r>
    </w:p>
    <w:p w:rsidR="00715488" w:rsidRPr="00CB0C2A" w:rsidRDefault="00715488" w:rsidP="00715488">
      <w:pPr>
        <w:pStyle w:val="AERnumberedlist2first"/>
      </w:pPr>
      <w:r>
        <w:t>t</w:t>
      </w:r>
      <w:r w:rsidRPr="00CB0C2A">
        <w:t>he age distribution of assets by key asset category</w:t>
      </w:r>
    </w:p>
    <w:p w:rsidR="00715488" w:rsidRPr="00CB0C2A" w:rsidRDefault="00715488" w:rsidP="00715488">
      <w:pPr>
        <w:pStyle w:val="AERnumberedlist2first"/>
      </w:pPr>
      <w:r>
        <w:t>t</w:t>
      </w:r>
      <w:r w:rsidRPr="00CB0C2A">
        <w:t>he historical number of assets replaced in past years by given key category of asset</w:t>
      </w:r>
    </w:p>
    <w:p w:rsidR="00715488" w:rsidRDefault="00715488" w:rsidP="00715488">
      <w:pPr>
        <w:pStyle w:val="AERnumberedlist2first"/>
      </w:pPr>
      <w:r>
        <w:t>t</w:t>
      </w:r>
      <w:r w:rsidRPr="00CB0C2A">
        <w:t>he expected mean and standard deviation of asset lives by key asset category</w:t>
      </w:r>
    </w:p>
    <w:p w:rsidR="00715488" w:rsidRPr="00CB0C2A" w:rsidRDefault="00715488" w:rsidP="00715488">
      <w:pPr>
        <w:pStyle w:val="AERnumberedlist2first"/>
      </w:pPr>
      <w:proofErr w:type="gramStart"/>
      <w:r>
        <w:t>the</w:t>
      </w:r>
      <w:proofErr w:type="gramEnd"/>
      <w:r>
        <w:t xml:space="preserve"> expected costs associated with replacing assets in each category.</w:t>
      </w:r>
    </w:p>
    <w:p w:rsidR="00715488" w:rsidRPr="00CB0C2A" w:rsidRDefault="00715488" w:rsidP="00715488">
      <w:pPr>
        <w:pStyle w:val="AERbodytext"/>
      </w:pPr>
      <w:r>
        <w:t>For assessing</w:t>
      </w:r>
      <w:r w:rsidRPr="00CB0C2A">
        <w:t xml:space="preserve"> </w:t>
      </w:r>
      <w:r>
        <w:t>augmentation</w:t>
      </w:r>
      <w:r w:rsidRPr="00CB0C2A">
        <w:t xml:space="preserve"> </w:t>
      </w:r>
      <w:r>
        <w:t>capex,</w:t>
      </w:r>
      <w:r w:rsidRPr="00CB0C2A">
        <w:t xml:space="preserve"> </w:t>
      </w:r>
      <w:r>
        <w:t xml:space="preserve">we </w:t>
      </w:r>
      <w:r w:rsidRPr="00CB0C2A">
        <w:t xml:space="preserve">will require </w:t>
      </w:r>
      <w:r>
        <w:t xml:space="preserve">the above information, plus </w:t>
      </w:r>
      <w:r w:rsidRPr="00CB0C2A">
        <w:t>specific data for modelling</w:t>
      </w:r>
      <w:r>
        <w:t>,</w:t>
      </w:r>
      <w:r w:rsidRPr="00CB0C2A">
        <w:t xml:space="preserve"> including:</w:t>
      </w:r>
    </w:p>
    <w:p w:rsidR="00715488" w:rsidRPr="00CB0C2A" w:rsidRDefault="00715488" w:rsidP="00715488">
      <w:pPr>
        <w:pStyle w:val="AERnumberedlist2first"/>
      </w:pPr>
      <w:r w:rsidRPr="00CB0C2A">
        <w:t xml:space="preserve">demand forecasts of the </w:t>
      </w:r>
      <w:r>
        <w:t>D</w:t>
      </w:r>
      <w:r w:rsidRPr="00CB0C2A">
        <w:t>NSP</w:t>
      </w:r>
      <w:r>
        <w:t>,</w:t>
      </w:r>
      <w:r w:rsidRPr="00CB0C2A">
        <w:t xml:space="preserve"> </w:t>
      </w:r>
      <w:r>
        <w:t xml:space="preserve">the </w:t>
      </w:r>
      <w:r w:rsidRPr="00CB0C2A">
        <w:t>models underpinning these demand forecasts</w:t>
      </w:r>
      <w:r>
        <w:t xml:space="preserve"> and the following demand forecasting data:</w:t>
      </w:r>
    </w:p>
    <w:p w:rsidR="00715488" w:rsidRPr="00CB0C2A" w:rsidRDefault="00715488" w:rsidP="00715488">
      <w:pPr>
        <w:pStyle w:val="AERnumberedlist2second"/>
      </w:pPr>
      <w:r>
        <w:t>g</w:t>
      </w:r>
      <w:r w:rsidRPr="00CB0C2A">
        <w:t>lobal and spatial peak demand at different probabilities of ex</w:t>
      </w:r>
      <w:r>
        <w:t>c</w:t>
      </w:r>
      <w:r w:rsidRPr="00CB0C2A">
        <w:t>eedance (PoE) in MW and MVA including:</w:t>
      </w:r>
    </w:p>
    <w:p w:rsidR="00715488" w:rsidRPr="00CB0C2A" w:rsidRDefault="00715488" w:rsidP="00715488">
      <w:pPr>
        <w:pStyle w:val="AERnumberedlist2third"/>
      </w:pPr>
      <w:r>
        <w:t>c</w:t>
      </w:r>
      <w:r w:rsidRPr="00CB0C2A">
        <w:t>oincident peak demand</w:t>
      </w:r>
    </w:p>
    <w:p w:rsidR="00715488" w:rsidRPr="00CB0C2A" w:rsidRDefault="00715488" w:rsidP="00715488">
      <w:pPr>
        <w:pStyle w:val="AERnumberedlist2third"/>
      </w:pPr>
      <w:r>
        <w:t>n</w:t>
      </w:r>
      <w:r w:rsidRPr="00CB0C2A">
        <w:t>on-coincident peak demand</w:t>
      </w:r>
    </w:p>
    <w:p w:rsidR="00715488" w:rsidRPr="00CB0C2A" w:rsidRDefault="00715488" w:rsidP="00715488">
      <w:pPr>
        <w:pStyle w:val="AERnumberedlist2third"/>
      </w:pPr>
      <w:r>
        <w:t>p</w:t>
      </w:r>
      <w:r w:rsidRPr="00CB0C2A">
        <w:t>ower factors</w:t>
      </w:r>
    </w:p>
    <w:p w:rsidR="00715488" w:rsidRPr="00CB0C2A" w:rsidRDefault="00715488" w:rsidP="00715488">
      <w:pPr>
        <w:pStyle w:val="AERnumberedlist2third"/>
      </w:pPr>
      <w:r>
        <w:t>c</w:t>
      </w:r>
      <w:r w:rsidRPr="00CB0C2A">
        <w:t>oincidence factors</w:t>
      </w:r>
    </w:p>
    <w:p w:rsidR="00715488" w:rsidRPr="00CB0C2A" w:rsidRDefault="00715488" w:rsidP="00715488">
      <w:pPr>
        <w:pStyle w:val="AERnumberedlist2second"/>
      </w:pPr>
      <w:r>
        <w:t>t</w:t>
      </w:r>
      <w:r w:rsidRPr="00CB0C2A">
        <w:t xml:space="preserve">he relationship between any PoE demand forecasts used as </w:t>
      </w:r>
      <w:r>
        <w:t>a</w:t>
      </w:r>
      <w:r w:rsidRPr="00CB0C2A">
        <w:t xml:space="preserve">n input into the </w:t>
      </w:r>
      <w:r>
        <w:t>capex</w:t>
      </w:r>
      <w:r w:rsidRPr="00CB0C2A">
        <w:t xml:space="preserve"> forecasts and the 10</w:t>
      </w:r>
      <w:r>
        <w:t xml:space="preserve"> per cent</w:t>
      </w:r>
      <w:r w:rsidRPr="00CB0C2A">
        <w:t xml:space="preserve"> and 50</w:t>
      </w:r>
      <w:r>
        <w:t xml:space="preserve"> per cent</w:t>
      </w:r>
      <w:r w:rsidRPr="00CB0C2A">
        <w:t xml:space="preserve"> PoE demand forecasts</w:t>
      </w:r>
    </w:p>
    <w:p w:rsidR="00715488" w:rsidRPr="00CB0C2A" w:rsidRDefault="00715488" w:rsidP="00715488">
      <w:pPr>
        <w:pStyle w:val="AERnumberedlist2second"/>
      </w:pPr>
      <w:proofErr w:type="gramStart"/>
      <w:r>
        <w:t>t</w:t>
      </w:r>
      <w:r w:rsidRPr="00CB0C2A">
        <w:t>he</w:t>
      </w:r>
      <w:proofErr w:type="gramEnd"/>
      <w:r w:rsidRPr="00CB0C2A">
        <w:t xml:space="preserve"> model or models </w:t>
      </w:r>
      <w:r>
        <w:t xml:space="preserve">that </w:t>
      </w:r>
      <w:r w:rsidRPr="00CB0C2A">
        <w:t xml:space="preserve">the </w:t>
      </w:r>
      <w:r>
        <w:t>D</w:t>
      </w:r>
      <w:r w:rsidRPr="00CB0C2A">
        <w:t>NSP used to derive the demand forecasts and any inputs into these models.</w:t>
      </w:r>
    </w:p>
    <w:p w:rsidR="00715488" w:rsidRPr="00CB0C2A" w:rsidRDefault="00715488" w:rsidP="00715488">
      <w:pPr>
        <w:pStyle w:val="AERnumberedlist2second"/>
      </w:pPr>
      <w:proofErr w:type="gramStart"/>
      <w:r>
        <w:t>a</w:t>
      </w:r>
      <w:proofErr w:type="gramEnd"/>
      <w:r w:rsidRPr="00CB0C2A">
        <w:t xml:space="preserve"> full explanation of the calculation and/or selection of inputs into any models and of any assumptions made</w:t>
      </w:r>
      <w:r>
        <w:t>.</w:t>
      </w:r>
      <w:r w:rsidRPr="00CB0C2A">
        <w:t xml:space="preserve"> </w:t>
      </w:r>
    </w:p>
    <w:p w:rsidR="00715488" w:rsidRPr="00CB0C2A" w:rsidRDefault="00715488" w:rsidP="00715488">
      <w:pPr>
        <w:pStyle w:val="AERnumberedlist2first"/>
      </w:pPr>
      <w:r w:rsidRPr="00CB0C2A">
        <w:lastRenderedPageBreak/>
        <w:t>specific data on augmentation expenditure required as a result of forecast increases in demand including:</w:t>
      </w:r>
    </w:p>
    <w:p w:rsidR="00715488" w:rsidRPr="00CB0C2A" w:rsidRDefault="00715488" w:rsidP="00C370FE">
      <w:pPr>
        <w:pStyle w:val="AERnumberedlist2second"/>
        <w:numPr>
          <w:ilvl w:val="5"/>
          <w:numId w:val="17"/>
        </w:numPr>
      </w:pPr>
      <w:r>
        <w:t>i</w:t>
      </w:r>
      <w:r w:rsidRPr="00CB0C2A">
        <w:t xml:space="preserve">ssues </w:t>
      </w:r>
      <w:r>
        <w:t xml:space="preserve">that the </w:t>
      </w:r>
      <w:r w:rsidRPr="00CB0C2A">
        <w:t>augmentation is required to address</w:t>
      </w:r>
      <w:r>
        <w:t xml:space="preserve">, </w:t>
      </w:r>
      <w:r w:rsidRPr="00CB0C2A">
        <w:t xml:space="preserve"> </w:t>
      </w:r>
      <w:r>
        <w:t xml:space="preserve">which </w:t>
      </w:r>
      <w:r w:rsidRPr="00CB0C2A">
        <w:t>may include</w:t>
      </w:r>
      <w:r>
        <w:t>:</w:t>
      </w:r>
    </w:p>
    <w:p w:rsidR="00715488" w:rsidRPr="00CB0C2A" w:rsidRDefault="00715488" w:rsidP="00715488">
      <w:pPr>
        <w:pStyle w:val="AERnumberedlist2third"/>
        <w:numPr>
          <w:ilvl w:val="6"/>
          <w:numId w:val="12"/>
        </w:numPr>
      </w:pPr>
      <w:r>
        <w:t>c</w:t>
      </w:r>
      <w:r w:rsidRPr="00CB0C2A">
        <w:t>apacity constraints</w:t>
      </w:r>
    </w:p>
    <w:p w:rsidR="00715488" w:rsidRPr="00CB0C2A" w:rsidRDefault="00715488" w:rsidP="00715488">
      <w:pPr>
        <w:pStyle w:val="AERnumberedlist2third"/>
      </w:pPr>
      <w:r>
        <w:t>v</w:t>
      </w:r>
      <w:r w:rsidRPr="00CB0C2A">
        <w:t>oltage constraints</w:t>
      </w:r>
    </w:p>
    <w:p w:rsidR="00715488" w:rsidRPr="00CB0C2A" w:rsidRDefault="00715488" w:rsidP="00715488">
      <w:pPr>
        <w:pStyle w:val="AERnumberedlist2third"/>
      </w:pPr>
      <w:r>
        <w:t>l</w:t>
      </w:r>
      <w:r w:rsidRPr="00CB0C2A">
        <w:t>oad movement</w:t>
      </w:r>
    </w:p>
    <w:p w:rsidR="00715488" w:rsidRPr="00CB0C2A" w:rsidRDefault="00715488" w:rsidP="00715488">
      <w:pPr>
        <w:pStyle w:val="AERnumberedlist2third"/>
      </w:pPr>
      <w:r>
        <w:t>s</w:t>
      </w:r>
      <w:r w:rsidRPr="00CB0C2A">
        <w:t>ecurity</w:t>
      </w:r>
    </w:p>
    <w:p w:rsidR="00715488" w:rsidRPr="00CB0C2A" w:rsidRDefault="00715488" w:rsidP="00715488">
      <w:pPr>
        <w:pStyle w:val="AERnumberedlist2third"/>
      </w:pPr>
      <w:r>
        <w:t>o</w:t>
      </w:r>
      <w:r w:rsidRPr="00CB0C2A">
        <w:t>perational efficiency</w:t>
      </w:r>
    </w:p>
    <w:p w:rsidR="00715488" w:rsidRPr="00CB0C2A" w:rsidRDefault="00715488" w:rsidP="00715488">
      <w:pPr>
        <w:pStyle w:val="AERnumberedlist2third"/>
      </w:pPr>
      <w:r>
        <w:t>c</w:t>
      </w:r>
      <w:r w:rsidRPr="00CB0C2A">
        <w:t>ompliance with regulations</w:t>
      </w:r>
    </w:p>
    <w:p w:rsidR="00715488" w:rsidRPr="00CB0C2A" w:rsidRDefault="00715488" w:rsidP="00715488">
      <w:pPr>
        <w:pStyle w:val="AERnumberedlist2third"/>
      </w:pPr>
      <w:r>
        <w:t>l</w:t>
      </w:r>
      <w:r w:rsidRPr="00CB0C2A">
        <w:t>and and easements requirements</w:t>
      </w:r>
    </w:p>
    <w:p w:rsidR="00715488" w:rsidRPr="00CB0C2A" w:rsidRDefault="00715488" w:rsidP="00715488">
      <w:pPr>
        <w:pStyle w:val="AERnumberedlist2second"/>
      </w:pPr>
      <w:proofErr w:type="gramStart"/>
      <w:r>
        <w:t>h</w:t>
      </w:r>
      <w:r w:rsidRPr="00CB0C2A">
        <w:t>istoric</w:t>
      </w:r>
      <w:r>
        <w:t>al</w:t>
      </w:r>
      <w:proofErr w:type="gramEnd"/>
      <w:r w:rsidRPr="00CB0C2A">
        <w:t xml:space="preserve"> and forecast information on the various segments of the </w:t>
      </w:r>
      <w:r>
        <w:t>D</w:t>
      </w:r>
      <w:r w:rsidRPr="00CB0C2A">
        <w:t xml:space="preserve">NSP’s network related to demand, utilisation and augmentation cost. This </w:t>
      </w:r>
      <w:r>
        <w:t xml:space="preserve">information </w:t>
      </w:r>
      <w:r w:rsidRPr="00CB0C2A">
        <w:t>may include:</w:t>
      </w:r>
    </w:p>
    <w:p w:rsidR="00715488" w:rsidRPr="00CB0C2A" w:rsidRDefault="00715488" w:rsidP="00715488">
      <w:pPr>
        <w:pStyle w:val="AERnumberedlist2third"/>
        <w:numPr>
          <w:ilvl w:val="6"/>
          <w:numId w:val="13"/>
        </w:numPr>
      </w:pPr>
      <w:r w:rsidRPr="00CB0C2A">
        <w:t>voltage, and primary type of area supplied by the segment (CBD, urban, or rural)</w:t>
      </w:r>
    </w:p>
    <w:p w:rsidR="00715488" w:rsidRPr="00CB0C2A" w:rsidRDefault="00715488" w:rsidP="00715488">
      <w:pPr>
        <w:pStyle w:val="AERnumberedlist2third"/>
      </w:pPr>
      <w:r w:rsidRPr="00CB0C2A">
        <w:t>maximum demand at each network segment (historical and forecast)</w:t>
      </w:r>
    </w:p>
    <w:p w:rsidR="00715488" w:rsidRPr="00CB0C2A" w:rsidRDefault="00715488" w:rsidP="00715488">
      <w:pPr>
        <w:pStyle w:val="AERnumberedlist2third"/>
      </w:pPr>
      <w:r w:rsidRPr="00CB0C2A">
        <w:t>various measures of capacity at each network segment</w:t>
      </w:r>
    </w:p>
    <w:p w:rsidR="00715488" w:rsidRPr="00CB0C2A" w:rsidRDefault="00715488" w:rsidP="00715488">
      <w:pPr>
        <w:pStyle w:val="AERnumberedlist2third"/>
      </w:pPr>
      <w:r w:rsidRPr="00CB0C2A">
        <w:t xml:space="preserve">current utilisation of assets in the network segment </w:t>
      </w:r>
    </w:p>
    <w:p w:rsidR="00715488" w:rsidRPr="00CB0C2A" w:rsidRDefault="00715488" w:rsidP="00715488">
      <w:pPr>
        <w:pStyle w:val="AERnumberedlist2third"/>
      </w:pPr>
      <w:r w:rsidRPr="00CB0C2A">
        <w:t>utilisation thresholds of assets in the network segment</w:t>
      </w:r>
    </w:p>
    <w:p w:rsidR="00715488" w:rsidRPr="00CB0C2A" w:rsidRDefault="00715488" w:rsidP="00715488">
      <w:pPr>
        <w:pStyle w:val="AERnumberedlist2third"/>
      </w:pPr>
      <w:r w:rsidRPr="00CB0C2A">
        <w:t>capacity factors</w:t>
      </w:r>
    </w:p>
    <w:p w:rsidR="00715488" w:rsidRPr="00CB0C2A" w:rsidRDefault="00715488" w:rsidP="00715488">
      <w:pPr>
        <w:pStyle w:val="AERnumberedlist2third"/>
      </w:pPr>
      <w:r w:rsidRPr="00CB0C2A">
        <w:t>capacity unit costs</w:t>
      </w:r>
    </w:p>
    <w:p w:rsidR="00715488" w:rsidRPr="00CB0C2A" w:rsidRDefault="00715488" w:rsidP="00715488">
      <w:pPr>
        <w:pStyle w:val="AERnumberedlist2second"/>
      </w:pPr>
      <w:proofErr w:type="gramStart"/>
      <w:r>
        <w:t>historical</w:t>
      </w:r>
      <w:proofErr w:type="gramEnd"/>
      <w:r w:rsidRPr="00CB0C2A">
        <w:t xml:space="preserve"> and forecast costs associated with </w:t>
      </w:r>
      <w:r>
        <w:t xml:space="preserve">the </w:t>
      </w:r>
      <w:r w:rsidRPr="00CB0C2A">
        <w:t xml:space="preserve">unit cost </w:t>
      </w:r>
      <w:r>
        <w:t xml:space="preserve">of </w:t>
      </w:r>
      <w:r w:rsidRPr="00CB0C2A">
        <w:t>key augmentation inputs</w:t>
      </w:r>
      <w:r>
        <w:t>,</w:t>
      </w:r>
      <w:r w:rsidRPr="00CB0C2A">
        <w:t xml:space="preserve"> by category of augmentation. This </w:t>
      </w:r>
      <w:r>
        <w:t xml:space="preserve">information </w:t>
      </w:r>
      <w:r w:rsidRPr="00CB0C2A">
        <w:t xml:space="preserve">may include </w:t>
      </w:r>
      <w:r>
        <w:t xml:space="preserve">the </w:t>
      </w:r>
      <w:r w:rsidRPr="00CB0C2A">
        <w:t xml:space="preserve">costs </w:t>
      </w:r>
      <w:r>
        <w:t>of</w:t>
      </w:r>
      <w:r w:rsidRPr="00CB0C2A">
        <w:t>:</w:t>
      </w:r>
    </w:p>
    <w:p w:rsidR="00715488" w:rsidRPr="00CB0C2A" w:rsidRDefault="00715488" w:rsidP="00715488">
      <w:pPr>
        <w:pStyle w:val="AERnumberedlist2third"/>
        <w:numPr>
          <w:ilvl w:val="6"/>
          <w:numId w:val="14"/>
        </w:numPr>
      </w:pPr>
      <w:r>
        <w:t>t</w:t>
      </w:r>
      <w:r w:rsidRPr="00CB0C2A">
        <w:t>ransformers</w:t>
      </w:r>
    </w:p>
    <w:p w:rsidR="00715488" w:rsidRPr="00CB0C2A" w:rsidRDefault="00715488" w:rsidP="00715488">
      <w:pPr>
        <w:pStyle w:val="AERnumberedlist2third"/>
      </w:pPr>
      <w:r>
        <w:t>s</w:t>
      </w:r>
      <w:r w:rsidRPr="00CB0C2A">
        <w:t>witchgear</w:t>
      </w:r>
    </w:p>
    <w:p w:rsidR="00715488" w:rsidRDefault="00715488" w:rsidP="00715488">
      <w:pPr>
        <w:pStyle w:val="AERnumberedlist2third"/>
      </w:pPr>
      <w:r>
        <w:t>f</w:t>
      </w:r>
      <w:r w:rsidRPr="00CB0C2A">
        <w:t xml:space="preserve">uses </w:t>
      </w:r>
    </w:p>
    <w:p w:rsidR="00715488" w:rsidRPr="00CB0C2A" w:rsidRDefault="00715488" w:rsidP="00715488">
      <w:pPr>
        <w:pStyle w:val="AERnumberedlist2third"/>
      </w:pPr>
      <w:r>
        <w:t>s</w:t>
      </w:r>
      <w:r w:rsidRPr="00CB0C2A">
        <w:t>afety</w:t>
      </w:r>
    </w:p>
    <w:p w:rsidR="00715488" w:rsidRPr="00CB0C2A" w:rsidRDefault="00715488" w:rsidP="00715488">
      <w:pPr>
        <w:pStyle w:val="AERnumberedlist2third"/>
      </w:pPr>
      <w:r>
        <w:t>l</w:t>
      </w:r>
      <w:r w:rsidRPr="00CB0C2A">
        <w:t>ine works including conductors and insulators</w:t>
      </w:r>
    </w:p>
    <w:p w:rsidR="00715488" w:rsidRPr="00CB0C2A" w:rsidRDefault="00715488" w:rsidP="00715488">
      <w:pPr>
        <w:pStyle w:val="AERnumberedlist2third"/>
      </w:pPr>
      <w:proofErr w:type="gramStart"/>
      <w:r>
        <w:t>civil</w:t>
      </w:r>
      <w:proofErr w:type="gramEnd"/>
      <w:r>
        <w:t xml:space="preserve"> works.</w:t>
      </w:r>
    </w:p>
    <w:p w:rsidR="00715488" w:rsidRPr="00CB0C2A" w:rsidRDefault="00715488" w:rsidP="00715488">
      <w:pPr>
        <w:pStyle w:val="AERbodytext"/>
      </w:pPr>
      <w:r>
        <w:t>For assessing</w:t>
      </w:r>
      <w:r w:rsidRPr="00CB0C2A">
        <w:t xml:space="preserve"> connections and customer driven works expenditure</w:t>
      </w:r>
      <w:r>
        <w:t xml:space="preserve">, we </w:t>
      </w:r>
      <w:r w:rsidRPr="00CB0C2A">
        <w:t xml:space="preserve">will require the information </w:t>
      </w:r>
      <w:r>
        <w:t>on forecast volumes and costs for a number of standardised categories of works.</w:t>
      </w:r>
    </w:p>
    <w:p w:rsidR="00715488" w:rsidRDefault="00715488" w:rsidP="00715488">
      <w:pPr>
        <w:pStyle w:val="AERbodytext"/>
      </w:pPr>
      <w:r>
        <w:lastRenderedPageBreak/>
        <w:t>For assessing</w:t>
      </w:r>
      <w:r w:rsidRPr="00CB0C2A">
        <w:t xml:space="preserve"> </w:t>
      </w:r>
      <w:r>
        <w:t>non-network</w:t>
      </w:r>
      <w:r w:rsidRPr="00CB0C2A">
        <w:t xml:space="preserve"> expenditure</w:t>
      </w:r>
      <w:r>
        <w:t xml:space="preserve">, we </w:t>
      </w:r>
      <w:r w:rsidRPr="00CB0C2A">
        <w:t xml:space="preserve">will require the information </w:t>
      </w:r>
      <w:r>
        <w:t>on forecast volumes and costs for a number of standardised categories of works.</w:t>
      </w:r>
    </w:p>
    <w:p w:rsidR="00715488" w:rsidRPr="0032779A" w:rsidRDefault="00715488" w:rsidP="00715488">
      <w:pPr>
        <w:pStyle w:val="AERbodytext"/>
      </w:pPr>
      <w:r w:rsidRPr="0032779A">
        <w:t xml:space="preserve">For assessment using economic benchmarking techniques, we will require a backcast dataset (from 2004) of: </w:t>
      </w:r>
    </w:p>
    <w:p w:rsidR="00715488" w:rsidRDefault="00715488" w:rsidP="00715488">
      <w:pPr>
        <w:pStyle w:val="AERnumberedlist2first"/>
      </w:pPr>
      <w:r>
        <w:t>the costs and quantities of the DNSP's inputs, which incorporate:</w:t>
      </w:r>
    </w:p>
    <w:p w:rsidR="00715488" w:rsidRDefault="00715488" w:rsidP="00715488">
      <w:pPr>
        <w:pStyle w:val="AERnumberedlist2second"/>
      </w:pPr>
      <w:r>
        <w:t>overhead lines</w:t>
      </w:r>
    </w:p>
    <w:p w:rsidR="00715488" w:rsidRDefault="00715488" w:rsidP="00715488">
      <w:pPr>
        <w:pStyle w:val="AERnumberedlist2second"/>
      </w:pPr>
      <w:r>
        <w:t>underground cables</w:t>
      </w:r>
    </w:p>
    <w:p w:rsidR="00715488" w:rsidRDefault="00715488" w:rsidP="00715488">
      <w:pPr>
        <w:pStyle w:val="AERnumberedlist2second"/>
      </w:pPr>
      <w:r>
        <w:t>transformers and other capital</w:t>
      </w:r>
    </w:p>
    <w:p w:rsidR="00715488" w:rsidRDefault="00715488" w:rsidP="00715488">
      <w:pPr>
        <w:pStyle w:val="AERnumberedlist2second"/>
      </w:pPr>
      <w:r>
        <w:t>opex</w:t>
      </w:r>
    </w:p>
    <w:p w:rsidR="00715488" w:rsidRPr="0032779A" w:rsidRDefault="00715488" w:rsidP="00715488">
      <w:pPr>
        <w:pStyle w:val="AERnumberedlist2second"/>
      </w:pPr>
      <w:r>
        <w:t>regulated asset base parameters including depreciation and return on investment</w:t>
      </w:r>
    </w:p>
    <w:p w:rsidR="00715488" w:rsidRDefault="00715488" w:rsidP="00715488">
      <w:pPr>
        <w:pStyle w:val="AERnumberedlist2first"/>
      </w:pPr>
      <w:r>
        <w:t>data on o</w:t>
      </w:r>
      <w:r w:rsidRPr="0032779A">
        <w:t>utputs</w:t>
      </w:r>
      <w:r>
        <w:t>, including:</w:t>
      </w:r>
    </w:p>
    <w:p w:rsidR="00715488" w:rsidRDefault="00715488" w:rsidP="00715488">
      <w:pPr>
        <w:pStyle w:val="AERnumberedlist2second"/>
        <w:numPr>
          <w:ilvl w:val="5"/>
          <w:numId w:val="10"/>
        </w:numPr>
      </w:pPr>
      <w:r>
        <w:t>customer numbers</w:t>
      </w:r>
    </w:p>
    <w:p w:rsidR="00715488" w:rsidRDefault="00715488" w:rsidP="00715488">
      <w:pPr>
        <w:pStyle w:val="AERnumberedlist2second"/>
      </w:pPr>
      <w:r>
        <w:t>energy delivered</w:t>
      </w:r>
    </w:p>
    <w:p w:rsidR="00715488" w:rsidRDefault="00715488" w:rsidP="00715488">
      <w:pPr>
        <w:pStyle w:val="AERnumberedlist2second"/>
      </w:pPr>
      <w:r>
        <w:t>peak demand</w:t>
      </w:r>
    </w:p>
    <w:p w:rsidR="00715488" w:rsidRDefault="00715488" w:rsidP="00715488">
      <w:pPr>
        <w:pStyle w:val="AERnumberedlist2second"/>
      </w:pPr>
      <w:r>
        <w:t>system capacity by line length</w:t>
      </w:r>
    </w:p>
    <w:p w:rsidR="00715488" w:rsidRDefault="00715488" w:rsidP="00715488">
      <w:pPr>
        <w:pStyle w:val="AERnumberedlist2second"/>
      </w:pPr>
      <w:r>
        <w:t>network reliability</w:t>
      </w:r>
    </w:p>
    <w:p w:rsidR="00715488" w:rsidRPr="0032779A" w:rsidRDefault="00715488" w:rsidP="00715488">
      <w:pPr>
        <w:pStyle w:val="AERnumberedlist2second"/>
      </w:pPr>
      <w:r>
        <w:t>revenues</w:t>
      </w:r>
    </w:p>
    <w:p w:rsidR="00715488" w:rsidRDefault="00715488" w:rsidP="00715488">
      <w:pPr>
        <w:pStyle w:val="AERnumberedlist2first"/>
      </w:pPr>
      <w:r>
        <w:t>e</w:t>
      </w:r>
      <w:r w:rsidRPr="0032779A">
        <w:t>nvironmental factors</w:t>
      </w:r>
      <w:r>
        <w:t xml:space="preserve"> such as:</w:t>
      </w:r>
    </w:p>
    <w:p w:rsidR="00715488" w:rsidRPr="0032779A" w:rsidRDefault="00715488" w:rsidP="00715488">
      <w:pPr>
        <w:pStyle w:val="AERnumberedlist2second"/>
        <w:numPr>
          <w:ilvl w:val="5"/>
          <w:numId w:val="11"/>
        </w:numPr>
      </w:pPr>
      <w:r>
        <w:t>line length</w:t>
      </w:r>
    </w:p>
    <w:p w:rsidR="00715488" w:rsidRPr="000B37CA" w:rsidRDefault="00715488" w:rsidP="00715488">
      <w:pPr>
        <w:pStyle w:val="AERnumberedlist2second"/>
      </w:pPr>
      <w:r>
        <w:t>t</w:t>
      </w:r>
      <w:r w:rsidRPr="000B37CA">
        <w:t>errain factors including bushfire risk, the rural proportion of networks and vegetation encroachment</w:t>
      </w:r>
    </w:p>
    <w:p w:rsidR="00715488" w:rsidRDefault="00715488" w:rsidP="00715488">
      <w:pPr>
        <w:pStyle w:val="AERnumberedlist2second"/>
      </w:pPr>
      <w:proofErr w:type="gramStart"/>
      <w:r>
        <w:t>customer</w:t>
      </w:r>
      <w:proofErr w:type="gramEnd"/>
      <w:r>
        <w:t>, energy and peak demand density</w:t>
      </w:r>
      <w:r w:rsidR="00EB0959">
        <w:t>.</w:t>
      </w:r>
    </w:p>
    <w:p w:rsidR="00715488" w:rsidRPr="0032779A" w:rsidRDefault="00715488" w:rsidP="00715488">
      <w:pPr>
        <w:pStyle w:val="AERbodytext"/>
      </w:pPr>
      <w:r w:rsidRPr="0032779A">
        <w:t xml:space="preserve">We will also require </w:t>
      </w:r>
      <w:r w:rsidR="00F051F3">
        <w:t>these</w:t>
      </w:r>
      <w:r w:rsidR="00F051F3" w:rsidRPr="0032779A">
        <w:t xml:space="preserve"> </w:t>
      </w:r>
      <w:r w:rsidRPr="0032779A">
        <w:t>data annually on an ongoing basis.</w:t>
      </w:r>
    </w:p>
    <w:p w:rsidR="00715488" w:rsidRDefault="00715488" w:rsidP="00715488">
      <w:pPr>
        <w:pStyle w:val="Heading2"/>
      </w:pPr>
      <w:bookmarkStart w:id="75" w:name="_Toc359581781"/>
      <w:bookmarkStart w:id="76" w:name="_Toc359581782"/>
      <w:bookmarkStart w:id="77" w:name="_Toc359581783"/>
      <w:bookmarkStart w:id="78" w:name="_Toc359581784"/>
      <w:bookmarkStart w:id="79" w:name="_Toc359581785"/>
      <w:bookmarkStart w:id="80" w:name="_Toc359581786"/>
      <w:bookmarkStart w:id="81" w:name="_Toc359581787"/>
      <w:bookmarkStart w:id="82" w:name="_Toc359581788"/>
      <w:bookmarkStart w:id="83" w:name="_Toc359581789"/>
      <w:bookmarkStart w:id="84" w:name="_Toc359581790"/>
      <w:bookmarkStart w:id="85" w:name="_Toc358985028"/>
      <w:bookmarkStart w:id="86" w:name="_Toc361390732"/>
      <w:bookmarkStart w:id="87" w:name="_Toc361391073"/>
      <w:bookmarkEnd w:id="75"/>
      <w:bookmarkEnd w:id="76"/>
      <w:bookmarkEnd w:id="77"/>
      <w:bookmarkEnd w:id="78"/>
      <w:bookmarkEnd w:id="79"/>
      <w:bookmarkEnd w:id="80"/>
      <w:bookmarkEnd w:id="81"/>
      <w:bookmarkEnd w:id="82"/>
      <w:bookmarkEnd w:id="83"/>
      <w:bookmarkEnd w:id="84"/>
      <w:r>
        <w:t>Opex</w:t>
      </w:r>
      <w:bookmarkEnd w:id="85"/>
      <w:bookmarkEnd w:id="86"/>
      <w:bookmarkEnd w:id="87"/>
    </w:p>
    <w:p w:rsidR="00715488" w:rsidRPr="0032779A" w:rsidRDefault="00715488" w:rsidP="00715488">
      <w:pPr>
        <w:pStyle w:val="AERbodytext"/>
      </w:pPr>
      <w:r>
        <w:t>For opex, we will require all information that will enable us</w:t>
      </w:r>
      <w:r w:rsidR="00DA7B2D">
        <w:t xml:space="preserve"> </w:t>
      </w:r>
      <w:r>
        <w:t xml:space="preserve">to </w:t>
      </w:r>
      <w:r w:rsidRPr="0032779A">
        <w:t xml:space="preserve">conduct a base-step-trend assessment of a DNSP's expenditure. This </w:t>
      </w:r>
      <w:r>
        <w:t xml:space="preserve">information </w:t>
      </w:r>
      <w:r w:rsidRPr="0032779A">
        <w:t>will include:</w:t>
      </w:r>
    </w:p>
    <w:p w:rsidR="00715488" w:rsidRDefault="00715488" w:rsidP="00715488">
      <w:pPr>
        <w:pStyle w:val="AERnumberedlist2first"/>
      </w:pPr>
      <w:r>
        <w:t>expenditure split by each opex and maintenance activity, namely:</w:t>
      </w:r>
    </w:p>
    <w:p w:rsidR="00715488" w:rsidRDefault="00715488" w:rsidP="00715488">
      <w:pPr>
        <w:pStyle w:val="AERnumberedlist2second"/>
      </w:pPr>
      <w:r>
        <w:t>maintenance</w:t>
      </w:r>
    </w:p>
    <w:p w:rsidR="00715488" w:rsidRDefault="00715488" w:rsidP="00715488">
      <w:pPr>
        <w:pStyle w:val="AERnumberedlist2second"/>
      </w:pPr>
      <w:r>
        <w:t>emergency response</w:t>
      </w:r>
    </w:p>
    <w:p w:rsidR="00715488" w:rsidRDefault="00715488" w:rsidP="00715488">
      <w:pPr>
        <w:pStyle w:val="AERnumberedlist2second"/>
      </w:pPr>
      <w:r>
        <w:lastRenderedPageBreak/>
        <w:t>vegetation management</w:t>
      </w:r>
    </w:p>
    <w:p w:rsidR="00715488" w:rsidRDefault="00715488" w:rsidP="00715488">
      <w:pPr>
        <w:pStyle w:val="AERnumberedlist2second"/>
      </w:pPr>
      <w:r>
        <w:t>overheads</w:t>
      </w:r>
    </w:p>
    <w:p w:rsidR="00715488" w:rsidRDefault="00715488" w:rsidP="00715488">
      <w:pPr>
        <w:pStyle w:val="AERnumberedlist2first"/>
      </w:pPr>
      <w:r>
        <w:t>expenditure split by driver</w:t>
      </w:r>
    </w:p>
    <w:p w:rsidR="00715488" w:rsidDel="00B4344A" w:rsidRDefault="00715488" w:rsidP="00715488">
      <w:pPr>
        <w:pStyle w:val="AERnumberedlist2first"/>
      </w:pPr>
      <w:r>
        <w:t xml:space="preserve">identification of all </w:t>
      </w:r>
      <w:r w:rsidDel="00B4344A">
        <w:t>non-recurrent expenditure</w:t>
      </w:r>
    </w:p>
    <w:p w:rsidR="00715488" w:rsidDel="00B4344A" w:rsidRDefault="00715488" w:rsidP="00715488">
      <w:pPr>
        <w:pStyle w:val="AERnumberedlist2first"/>
      </w:pPr>
      <w:r>
        <w:t xml:space="preserve">identification of and justifications for </w:t>
      </w:r>
      <w:r w:rsidDel="00B4344A">
        <w:t>movement in provisions</w:t>
      </w:r>
    </w:p>
    <w:p w:rsidR="00715488" w:rsidDel="00B4344A" w:rsidRDefault="00715488" w:rsidP="00715488">
      <w:pPr>
        <w:pStyle w:val="AERnumberedlist2first"/>
      </w:pPr>
      <w:r>
        <w:t xml:space="preserve">identification of and justification for any </w:t>
      </w:r>
      <w:r w:rsidDel="00B4344A">
        <w:t>step changes</w:t>
      </w:r>
    </w:p>
    <w:p w:rsidR="00715488" w:rsidRPr="00805FA7" w:rsidRDefault="00715488" w:rsidP="00715488">
      <w:pPr>
        <w:pStyle w:val="AERnumberedlist2first"/>
      </w:pPr>
      <w:proofErr w:type="gramStart"/>
      <w:r>
        <w:t>methods</w:t>
      </w:r>
      <w:proofErr w:type="gramEnd"/>
      <w:r>
        <w:t xml:space="preserve"> of calculating and calculations of any allowances for </w:t>
      </w:r>
      <w:r w:rsidRPr="00805FA7" w:rsidDel="00B4344A">
        <w:t>real cost escalation.</w:t>
      </w:r>
    </w:p>
    <w:p w:rsidR="00715488" w:rsidRDefault="00715488" w:rsidP="00715488">
      <w:pPr>
        <w:pStyle w:val="AERbodytext"/>
      </w:pPr>
      <w:r>
        <w:t>For assessing expenditure by activity and for step changes, we will require information on:</w:t>
      </w:r>
    </w:p>
    <w:p w:rsidR="00715488" w:rsidRDefault="00715488" w:rsidP="00715488">
      <w:pPr>
        <w:pStyle w:val="AERnumberedlist2first"/>
      </w:pPr>
      <w:r>
        <w:t>f</w:t>
      </w:r>
      <w:r w:rsidRPr="00CB0C2A">
        <w:t xml:space="preserve">orecast expenditure overall and by </w:t>
      </w:r>
      <w:r>
        <w:t xml:space="preserve">individual opex categories, </w:t>
      </w:r>
      <w:r w:rsidRPr="00CB0C2A">
        <w:t xml:space="preserve">supported by forecasts of volumes and unit costs for </w:t>
      </w:r>
      <w:r>
        <w:t>these categories</w:t>
      </w:r>
    </w:p>
    <w:p w:rsidR="00715488" w:rsidRPr="00CB0C2A" w:rsidRDefault="00715488" w:rsidP="00715488">
      <w:pPr>
        <w:pStyle w:val="AERnumberedlist2first"/>
      </w:pPr>
      <w:r>
        <w:t>t</w:t>
      </w:r>
      <w:r w:rsidRPr="00E87383">
        <w:t xml:space="preserve">he methodology </w:t>
      </w:r>
      <w:r>
        <w:t xml:space="preserve">the DNSP </w:t>
      </w:r>
      <w:r w:rsidRPr="00E87383">
        <w:t>used to develop the expenditure forecasts</w:t>
      </w:r>
    </w:p>
    <w:p w:rsidR="00715488" w:rsidRPr="00CB0C2A" w:rsidRDefault="00715488" w:rsidP="00715488">
      <w:pPr>
        <w:pStyle w:val="AERnumberedlist2first"/>
      </w:pPr>
      <w:r>
        <w:t xml:space="preserve">planning and strategy documentation </w:t>
      </w:r>
      <w:r w:rsidRPr="00CB0C2A">
        <w:t xml:space="preserve">for key </w:t>
      </w:r>
      <w:r>
        <w:t>opex</w:t>
      </w:r>
      <w:r w:rsidRPr="00CB0C2A">
        <w:t xml:space="preserve"> categories</w:t>
      </w:r>
      <w:r>
        <w:t xml:space="preserve"> and activities </w:t>
      </w:r>
    </w:p>
    <w:p w:rsidR="00715488" w:rsidRDefault="00715488" w:rsidP="00715488">
      <w:pPr>
        <w:pStyle w:val="AERnumberedlist2first"/>
      </w:pPr>
      <w:r>
        <w:t>e</w:t>
      </w:r>
      <w:r w:rsidRPr="00E87383">
        <w:t>conomic analysis demonstrating the efficiency and prudency of</w:t>
      </w:r>
      <w:r>
        <w:t xml:space="preserve"> all material forecast operating and maintenance expenditure, including:</w:t>
      </w:r>
    </w:p>
    <w:p w:rsidR="00715488" w:rsidRDefault="00715488" w:rsidP="00715488">
      <w:pPr>
        <w:pStyle w:val="AERnumberedlist2second"/>
      </w:pPr>
      <w:r w:rsidRPr="00E87383">
        <w:t xml:space="preserve">key decisions contained </w:t>
      </w:r>
      <w:r>
        <w:t>in</w:t>
      </w:r>
      <w:r w:rsidRPr="00E87383">
        <w:t xml:space="preserve"> </w:t>
      </w:r>
      <w:r>
        <w:t xml:space="preserve">asset </w:t>
      </w:r>
      <w:r w:rsidRPr="00E87383">
        <w:t>management plans, or likely to be made as a result of the plans</w:t>
      </w:r>
      <w:r>
        <w:t xml:space="preserve"> </w:t>
      </w:r>
    </w:p>
    <w:p w:rsidR="00715488" w:rsidRPr="00E87383" w:rsidRDefault="00715488" w:rsidP="00715488">
      <w:pPr>
        <w:pStyle w:val="AERnumberedlist2second"/>
      </w:pPr>
      <w:r w:rsidRPr="00E87383">
        <w:t>demonstration that any material change in expenditure relative to historic expenditure levels is efficient (</w:t>
      </w:r>
      <w:r>
        <w:t xml:space="preserve">for example, </w:t>
      </w:r>
      <w:r w:rsidRPr="00E87383">
        <w:t>any step changes)</w:t>
      </w:r>
    </w:p>
    <w:p w:rsidR="00715488" w:rsidRPr="00CB0C2A" w:rsidRDefault="00715488" w:rsidP="00715488">
      <w:pPr>
        <w:pStyle w:val="AERnumberedlist2first"/>
      </w:pPr>
      <w:proofErr w:type="gramStart"/>
      <w:r>
        <w:t>i</w:t>
      </w:r>
      <w:r w:rsidRPr="00CB0C2A">
        <w:t>nformation</w:t>
      </w:r>
      <w:proofErr w:type="gramEnd"/>
      <w:r w:rsidRPr="00CB0C2A">
        <w:t xml:space="preserve"> explaining why any material difference in benchmark costs for key work</w:t>
      </w:r>
      <w:r>
        <w:t xml:space="preserve"> categories</w:t>
      </w:r>
      <w:r w:rsidRPr="00CB0C2A">
        <w:t xml:space="preserve"> relevant to other </w:t>
      </w:r>
      <w:r>
        <w:t>D</w:t>
      </w:r>
      <w:r w:rsidRPr="00CB0C2A">
        <w:t>NSPs is efficient.</w:t>
      </w:r>
    </w:p>
    <w:p w:rsidR="00715488" w:rsidRPr="00715488" w:rsidRDefault="00715488" w:rsidP="00715488">
      <w:pPr>
        <w:pStyle w:val="AERbodytext"/>
      </w:pPr>
      <w:r>
        <w:t>For assessing</w:t>
      </w:r>
      <w:r w:rsidRPr="00715488">
        <w:t xml:space="preserve"> maintenance opex, we will require the above information, plus information on:</w:t>
      </w:r>
    </w:p>
    <w:p w:rsidR="00715488" w:rsidRDefault="00715488" w:rsidP="00715488">
      <w:pPr>
        <w:pStyle w:val="AERnumberedlist2first"/>
      </w:pPr>
      <w:r>
        <w:t>expenditure on the same asset categories reported for the purposes of replacement capex, separated into routine and non-routine expenditures</w:t>
      </w:r>
    </w:p>
    <w:p w:rsidR="00715488" w:rsidRDefault="00715488" w:rsidP="00715488">
      <w:pPr>
        <w:pStyle w:val="AERnumberedlist2first"/>
      </w:pPr>
      <w:r>
        <w:t>supporting data explaining the volume of activities undertaken in the current regulatory control period and intended for the forthcoming regulatory control period for routine and non-routine activities, including:</w:t>
      </w:r>
    </w:p>
    <w:p w:rsidR="00715488" w:rsidRDefault="00715488" w:rsidP="00715488">
      <w:pPr>
        <w:pStyle w:val="AERnumberedlist2second"/>
      </w:pPr>
      <w:r>
        <w:t>intervals for regular or planned inspections and maintenance</w:t>
      </w:r>
    </w:p>
    <w:p w:rsidR="00715488" w:rsidRDefault="00715488" w:rsidP="00715488">
      <w:pPr>
        <w:pStyle w:val="AERnumberedlist2second"/>
      </w:pPr>
      <w:r>
        <w:t>changes in the number and types of asset being serviced</w:t>
      </w:r>
    </w:p>
    <w:p w:rsidR="00715488" w:rsidRDefault="00715488" w:rsidP="00715488">
      <w:pPr>
        <w:pStyle w:val="AERnumberedlist2second"/>
      </w:pPr>
      <w:r>
        <w:t>changes in the actual or identified condition of assets, including age data, failure rates and failure modes</w:t>
      </w:r>
    </w:p>
    <w:p w:rsidR="00715488" w:rsidRDefault="00715488" w:rsidP="00715488">
      <w:pPr>
        <w:pStyle w:val="AERnumberedlist2second"/>
      </w:pPr>
      <w:r>
        <w:t>impacts arising from changes to legal obligations</w:t>
      </w:r>
    </w:p>
    <w:p w:rsidR="00715488" w:rsidRDefault="00715488" w:rsidP="00715488">
      <w:pPr>
        <w:pStyle w:val="AERnumberedlist2second"/>
      </w:pPr>
      <w:proofErr w:type="gramStart"/>
      <w:r>
        <w:lastRenderedPageBreak/>
        <w:t>other</w:t>
      </w:r>
      <w:proofErr w:type="gramEnd"/>
      <w:r>
        <w:t xml:space="preserve"> changes including changed approaches to risk management and condition monitoring.</w:t>
      </w:r>
    </w:p>
    <w:p w:rsidR="00715488" w:rsidRPr="001C511A" w:rsidRDefault="00715488" w:rsidP="00715488">
      <w:pPr>
        <w:pStyle w:val="AERbodytext"/>
      </w:pPr>
      <w:r>
        <w:t>For assessing emergency response expenditure</w:t>
      </w:r>
      <w:r w:rsidRPr="001C511A">
        <w:t>,</w:t>
      </w:r>
      <w:r w:rsidR="00DA7B2D">
        <w:t xml:space="preserve"> </w:t>
      </w:r>
      <w:r>
        <w:t xml:space="preserve">we will require </w:t>
      </w:r>
      <w:r w:rsidRPr="001C511A">
        <w:t xml:space="preserve">the </w:t>
      </w:r>
      <w:r>
        <w:t xml:space="preserve">above </w:t>
      </w:r>
      <w:r w:rsidRPr="001C511A">
        <w:t>information</w:t>
      </w:r>
      <w:r>
        <w:t>, and information on</w:t>
      </w:r>
      <w:r w:rsidRPr="001C511A">
        <w:t>:</w:t>
      </w:r>
    </w:p>
    <w:p w:rsidR="00715488" w:rsidRPr="001C511A" w:rsidRDefault="00715488" w:rsidP="00715488">
      <w:pPr>
        <w:pStyle w:val="AERnumberedlist2first"/>
      </w:pPr>
      <w:r>
        <w:t>e</w:t>
      </w:r>
      <w:r w:rsidRPr="001C511A">
        <w:t>xpenditure on the same asset categories reported for the purposes of replacement capital expenditure</w:t>
      </w:r>
    </w:p>
    <w:p w:rsidR="00715488" w:rsidRPr="001C511A" w:rsidRDefault="00715488" w:rsidP="00715488">
      <w:pPr>
        <w:pStyle w:val="AERnumberedlist2first"/>
      </w:pPr>
      <w:r>
        <w:t>s</w:t>
      </w:r>
      <w:r w:rsidRPr="001C511A">
        <w:t xml:space="preserve">upporting data explaining the volume of activities undertaken in the current regulatory control period and </w:t>
      </w:r>
      <w:r>
        <w:t xml:space="preserve">intended </w:t>
      </w:r>
      <w:r w:rsidRPr="001C511A">
        <w:t>for the forthcoming regulatory control period, including:</w:t>
      </w:r>
    </w:p>
    <w:p w:rsidR="00715488" w:rsidRPr="001C511A" w:rsidRDefault="00715488" w:rsidP="00715488">
      <w:pPr>
        <w:pStyle w:val="AERnumberedlist2second"/>
      </w:pPr>
      <w:r w:rsidRPr="001C511A">
        <w:t>changes in the number</w:t>
      </w:r>
      <w:r>
        <w:t>s</w:t>
      </w:r>
      <w:r w:rsidRPr="001C511A">
        <w:t xml:space="preserve"> and type</w:t>
      </w:r>
      <w:r>
        <w:t>s</w:t>
      </w:r>
      <w:r w:rsidRPr="001C511A">
        <w:t xml:space="preserve"> of asset being serviced</w:t>
      </w:r>
    </w:p>
    <w:p w:rsidR="00715488" w:rsidRDefault="00715488" w:rsidP="00715488">
      <w:pPr>
        <w:pStyle w:val="AERnumberedlist2second"/>
      </w:pPr>
      <w:r w:rsidRPr="001C511A">
        <w:t>changes in the actual or identified condition of assets</w:t>
      </w:r>
    </w:p>
    <w:p w:rsidR="00715488" w:rsidRDefault="00715488" w:rsidP="00715488">
      <w:pPr>
        <w:pStyle w:val="AERnumberedlist2second"/>
      </w:pPr>
      <w:r>
        <w:t xml:space="preserve">detailed information on the </w:t>
      </w:r>
      <w:r w:rsidRPr="001C511A">
        <w:t>failure rates and modes</w:t>
      </w:r>
      <w:r>
        <w:t xml:space="preserve"> by asset type</w:t>
      </w:r>
    </w:p>
    <w:p w:rsidR="00715488" w:rsidRDefault="00715488" w:rsidP="00715488">
      <w:pPr>
        <w:pStyle w:val="AERnumberedlist2second"/>
      </w:pPr>
      <w:r>
        <w:t>relationships with reported reliability outcomes (for example, SAIDI and SAIFI)</w:t>
      </w:r>
    </w:p>
    <w:p w:rsidR="00715488" w:rsidRPr="00CB0C2A" w:rsidRDefault="00715488" w:rsidP="00715488">
      <w:pPr>
        <w:pStyle w:val="AERbodytext"/>
      </w:pPr>
      <w:r>
        <w:t>For assessing</w:t>
      </w:r>
      <w:r w:rsidRPr="00CB0C2A">
        <w:t xml:space="preserve"> </w:t>
      </w:r>
      <w:r>
        <w:t>vegetation management expenditure,</w:t>
      </w:r>
      <w:r w:rsidRPr="00805FA7">
        <w:t xml:space="preserve"> </w:t>
      </w:r>
      <w:r>
        <w:t>we will require the above information plus</w:t>
      </w:r>
      <w:r w:rsidRPr="001C511A">
        <w:t xml:space="preserve"> information </w:t>
      </w:r>
      <w:r>
        <w:t>on</w:t>
      </w:r>
      <w:r w:rsidRPr="001C511A">
        <w:t>:</w:t>
      </w:r>
      <w:r>
        <w:t xml:space="preserve"> </w:t>
      </w:r>
    </w:p>
    <w:p w:rsidR="00715488" w:rsidRDefault="00715488" w:rsidP="00715488">
      <w:pPr>
        <w:pStyle w:val="AERnumberedlist2first"/>
      </w:pPr>
      <w:r>
        <w:t>expenditure</w:t>
      </w:r>
      <w:r w:rsidRPr="0039135D">
        <w:t xml:space="preserve"> separated into </w:t>
      </w:r>
      <w:r>
        <w:t>tree trimming, inspection and audit activities</w:t>
      </w:r>
    </w:p>
    <w:p w:rsidR="00715488" w:rsidRPr="001C511A" w:rsidRDefault="00715488" w:rsidP="00715488">
      <w:pPr>
        <w:pStyle w:val="AERnumberedlist2first"/>
      </w:pPr>
      <w:r>
        <w:t>s</w:t>
      </w:r>
      <w:r w:rsidRPr="001C511A">
        <w:t>upporting data explaining the volume of activities undertaken in the current regulatory control period and for the forthcoming regulatory control period, including:</w:t>
      </w:r>
    </w:p>
    <w:p w:rsidR="00715488" w:rsidRDefault="00715488" w:rsidP="00715488">
      <w:pPr>
        <w:pStyle w:val="AERnumberedlist2second"/>
      </w:pPr>
      <w:r>
        <w:t>length (in kilometres) of overhead lines/ conductor</w:t>
      </w:r>
    </w:p>
    <w:p w:rsidR="00715488" w:rsidRDefault="00715488" w:rsidP="00715488">
      <w:pPr>
        <w:pStyle w:val="AERnumberedlist2second"/>
      </w:pPr>
      <w:r>
        <w:t>for each defined 'vegetation management area' of the network</w:t>
      </w:r>
    </w:p>
    <w:p w:rsidR="00715488" w:rsidRDefault="00715488" w:rsidP="00715488">
      <w:pPr>
        <w:pStyle w:val="AERnumberedlist2third"/>
      </w:pPr>
      <w:r>
        <w:t>number and types of tree</w:t>
      </w:r>
    </w:p>
    <w:p w:rsidR="00715488" w:rsidRDefault="00715488" w:rsidP="00715488">
      <w:pPr>
        <w:pStyle w:val="AERnumberedlist2third"/>
      </w:pPr>
      <w:r>
        <w:t>vegetation growth rates</w:t>
      </w:r>
    </w:p>
    <w:p w:rsidR="00715488" w:rsidRDefault="00715488" w:rsidP="00715488">
      <w:pPr>
        <w:pStyle w:val="AERnumberedlist2third"/>
      </w:pPr>
      <w:r>
        <w:t>rainfall and other material weather factors</w:t>
      </w:r>
    </w:p>
    <w:p w:rsidR="00715488" w:rsidRDefault="00715488" w:rsidP="00715488">
      <w:pPr>
        <w:pStyle w:val="AERnumberedlist2third"/>
      </w:pPr>
      <w:r>
        <w:t>clearance cycles</w:t>
      </w:r>
    </w:p>
    <w:p w:rsidR="00715488" w:rsidRDefault="00715488" w:rsidP="00715488">
      <w:pPr>
        <w:pStyle w:val="AERnumberedlist2second"/>
      </w:pPr>
      <w:r>
        <w:t>data on fire starts and outages due to vegetation contact</w:t>
      </w:r>
    </w:p>
    <w:p w:rsidR="00715488" w:rsidRDefault="00715488" w:rsidP="00715488">
      <w:pPr>
        <w:pStyle w:val="AERnumberedlist2second"/>
      </w:pPr>
      <w:r>
        <w:t>impact of new or changing legal obligations</w:t>
      </w:r>
    </w:p>
    <w:p w:rsidR="00715488" w:rsidRDefault="00715488" w:rsidP="00715488">
      <w:pPr>
        <w:pStyle w:val="AERnumberedlist2second"/>
      </w:pPr>
      <w:r>
        <w:t>information on audit outcomes (for example, compliance and non-compliance with standards)</w:t>
      </w:r>
    </w:p>
    <w:p w:rsidR="00715488" w:rsidRPr="00CB0C2A" w:rsidRDefault="00715488" w:rsidP="00715488">
      <w:pPr>
        <w:pStyle w:val="AERbodytext"/>
      </w:pPr>
      <w:r>
        <w:t>For assessing</w:t>
      </w:r>
      <w:r w:rsidRPr="00CB0C2A">
        <w:t xml:space="preserve"> </w:t>
      </w:r>
      <w:r>
        <w:t>overheads,</w:t>
      </w:r>
      <w:r w:rsidRPr="00805FA7">
        <w:t xml:space="preserve"> </w:t>
      </w:r>
      <w:r>
        <w:t xml:space="preserve">we will require the above </w:t>
      </w:r>
      <w:r w:rsidR="00F86009">
        <w:t>information</w:t>
      </w:r>
      <w:r>
        <w:t>, and information on</w:t>
      </w:r>
      <w:r w:rsidRPr="001C511A">
        <w:t>:</w:t>
      </w:r>
      <w:r>
        <w:t xml:space="preserve"> </w:t>
      </w:r>
    </w:p>
    <w:p w:rsidR="00715488" w:rsidRDefault="00715488" w:rsidP="00715488">
      <w:pPr>
        <w:pStyle w:val="AERnumberedlist2first"/>
      </w:pPr>
      <w:r>
        <w:t>expenditure</w:t>
      </w:r>
      <w:r w:rsidRPr="0039135D">
        <w:t xml:space="preserve"> separated into </w:t>
      </w:r>
      <w:r>
        <w:t>major cost categories, including:</w:t>
      </w:r>
    </w:p>
    <w:p w:rsidR="00715488" w:rsidRDefault="00715488" w:rsidP="00715488">
      <w:pPr>
        <w:pStyle w:val="AERnumberedlist2second"/>
      </w:pPr>
      <w:r>
        <w:t>system planning</w:t>
      </w:r>
    </w:p>
    <w:p w:rsidR="00715488" w:rsidRDefault="00715488" w:rsidP="00715488">
      <w:pPr>
        <w:pStyle w:val="AERnumberedlist2second"/>
      </w:pPr>
      <w:r>
        <w:t>customer services and billing</w:t>
      </w:r>
    </w:p>
    <w:p w:rsidR="00715488" w:rsidRDefault="00715488" w:rsidP="00715488">
      <w:pPr>
        <w:pStyle w:val="AERnumberedlist2second"/>
      </w:pPr>
      <w:r>
        <w:lastRenderedPageBreak/>
        <w:t>legal and secretariat functions</w:t>
      </w:r>
    </w:p>
    <w:p w:rsidR="00715488" w:rsidRDefault="00715488" w:rsidP="00715488">
      <w:pPr>
        <w:pStyle w:val="AERnumberedlist2second"/>
      </w:pPr>
      <w:r>
        <w:t xml:space="preserve">human </w:t>
      </w:r>
      <w:r w:rsidR="00F051F3">
        <w:t>r</w:t>
      </w:r>
      <w:r>
        <w:t>esources</w:t>
      </w:r>
    </w:p>
    <w:p w:rsidR="00715488" w:rsidRDefault="00715488" w:rsidP="00715488">
      <w:pPr>
        <w:pStyle w:val="AERnumberedlist2second"/>
      </w:pPr>
      <w:r>
        <w:t>finance</w:t>
      </w:r>
    </w:p>
    <w:p w:rsidR="00715488" w:rsidRPr="001C511A" w:rsidRDefault="00715488" w:rsidP="00715488">
      <w:pPr>
        <w:pStyle w:val="AERnumberedlist2first"/>
      </w:pPr>
      <w:r>
        <w:t>s</w:t>
      </w:r>
      <w:r w:rsidRPr="001C511A">
        <w:t xml:space="preserve">upporting data explaining the </w:t>
      </w:r>
      <w:r>
        <w:t xml:space="preserve">workload of each of these </w:t>
      </w:r>
      <w:r w:rsidRPr="001C511A">
        <w:t xml:space="preserve">activities undertaken in the current regulatory control period and </w:t>
      </w:r>
      <w:r>
        <w:t xml:space="preserve">intended </w:t>
      </w:r>
      <w:r w:rsidRPr="001C511A">
        <w:t>for the forthcoming regulatory control period, including:</w:t>
      </w:r>
    </w:p>
    <w:p w:rsidR="00715488" w:rsidRDefault="00715488" w:rsidP="00C370FE">
      <w:pPr>
        <w:pStyle w:val="AERnumberedlist2second"/>
        <w:numPr>
          <w:ilvl w:val="5"/>
          <w:numId w:val="18"/>
        </w:numPr>
      </w:pPr>
      <w:r>
        <w:t>the size and complexity of the business</w:t>
      </w:r>
    </w:p>
    <w:p w:rsidR="00715488" w:rsidRDefault="00715488" w:rsidP="00715488">
      <w:pPr>
        <w:pStyle w:val="AERnumberedlist2second"/>
      </w:pPr>
      <w:r>
        <w:t>the number of employees</w:t>
      </w:r>
    </w:p>
    <w:p w:rsidR="00715488" w:rsidRDefault="00715488" w:rsidP="00715488">
      <w:pPr>
        <w:pStyle w:val="AERnumberedlist2second"/>
      </w:pPr>
      <w:r>
        <w:t>new or changed legal obligations</w:t>
      </w:r>
    </w:p>
    <w:p w:rsidR="00715488" w:rsidRDefault="00715488" w:rsidP="00715488">
      <w:pPr>
        <w:pStyle w:val="AERnumberedlist2first"/>
      </w:pPr>
      <w:r>
        <w:t>s</w:t>
      </w:r>
      <w:r w:rsidRPr="001C511A">
        <w:t xml:space="preserve">upporting data explaining </w:t>
      </w:r>
      <w:r>
        <w:t>how the reporting of these costs affects information presented for  the above categories of direct expenditure, including:</w:t>
      </w:r>
    </w:p>
    <w:p w:rsidR="00715488" w:rsidRPr="00D4317F" w:rsidRDefault="00715488" w:rsidP="00C370FE">
      <w:pPr>
        <w:pStyle w:val="AERnumberedlist2second"/>
        <w:numPr>
          <w:ilvl w:val="5"/>
          <w:numId w:val="19"/>
        </w:numPr>
      </w:pPr>
      <w:proofErr w:type="gramStart"/>
      <w:r>
        <w:t>f</w:t>
      </w:r>
      <w:r w:rsidRPr="00D4317F">
        <w:t>ull</w:t>
      </w:r>
      <w:proofErr w:type="gramEnd"/>
      <w:r w:rsidRPr="00D4317F">
        <w:t xml:space="preserve"> details of </w:t>
      </w:r>
      <w:r>
        <w:t xml:space="preserve">the DNSP's </w:t>
      </w:r>
      <w:r w:rsidRPr="00D4317F">
        <w:t>cost allocation policies and practices</w:t>
      </w:r>
      <w:r>
        <w:t xml:space="preserve">. We require this information </w:t>
      </w:r>
      <w:r w:rsidRPr="00D4317F">
        <w:t xml:space="preserve">in addition to the </w:t>
      </w:r>
      <w:r>
        <w:t>D</w:t>
      </w:r>
      <w:r w:rsidRPr="00D4317F">
        <w:t xml:space="preserve">NSP's approved </w:t>
      </w:r>
      <w:r>
        <w:t xml:space="preserve">cost allocation method </w:t>
      </w:r>
      <w:r w:rsidRPr="00D4317F">
        <w:t xml:space="preserve">and at a level of detail to enable </w:t>
      </w:r>
      <w:r>
        <w:t xml:space="preserve">us to </w:t>
      </w:r>
      <w:r w:rsidRPr="00D4317F">
        <w:t>reproduc</w:t>
      </w:r>
      <w:r>
        <w:t>e</w:t>
      </w:r>
      <w:r w:rsidRPr="00D4317F">
        <w:t xml:space="preserve"> allocations of all non-directly attributable costs to direct cost categories.</w:t>
      </w:r>
    </w:p>
    <w:p w:rsidR="00715488" w:rsidRDefault="00715488" w:rsidP="00715488">
      <w:pPr>
        <w:pStyle w:val="AERnumberedlist2second"/>
      </w:pPr>
      <w:proofErr w:type="gramStart"/>
      <w:r>
        <w:t>d</w:t>
      </w:r>
      <w:r w:rsidRPr="0032779A">
        <w:t>etails</w:t>
      </w:r>
      <w:proofErr w:type="gramEnd"/>
      <w:r w:rsidRPr="0032779A">
        <w:t xml:space="preserve"> of </w:t>
      </w:r>
      <w:r>
        <w:t xml:space="preserve">the DNSP's </w:t>
      </w:r>
      <w:r w:rsidRPr="0032779A">
        <w:t xml:space="preserve">capitalisation policies and practices. </w:t>
      </w:r>
      <w:r>
        <w:t>We require t</w:t>
      </w:r>
      <w:r w:rsidRPr="0032779A">
        <w:t xml:space="preserve">his information at a level of detail to enable </w:t>
      </w:r>
      <w:r>
        <w:t xml:space="preserve">us to </w:t>
      </w:r>
      <w:r w:rsidRPr="0032779A">
        <w:t>reproduc</w:t>
      </w:r>
      <w:r>
        <w:t xml:space="preserve">e </w:t>
      </w:r>
      <w:r w:rsidRPr="0032779A">
        <w:t>amounts capitalised or expensed to direct cost categories.</w:t>
      </w:r>
    </w:p>
    <w:p w:rsidR="00715488" w:rsidRPr="00715488" w:rsidRDefault="00715488" w:rsidP="00715488">
      <w:pPr>
        <w:pStyle w:val="AERbodytext"/>
      </w:pPr>
      <w:r>
        <w:t xml:space="preserve">For </w:t>
      </w:r>
      <w:r w:rsidRPr="00715488">
        <w:t xml:space="preserve">assessment using economic benchmarking techniques, we will require a backcast dataset (from 2004) of: </w:t>
      </w:r>
    </w:p>
    <w:p w:rsidR="00715488" w:rsidRDefault="00715488" w:rsidP="00715488">
      <w:pPr>
        <w:pStyle w:val="AERnumberedlist2first"/>
      </w:pPr>
      <w:r>
        <w:t>the costs and quantities of the DNSP's inputs, which incorporate:</w:t>
      </w:r>
    </w:p>
    <w:p w:rsidR="00715488" w:rsidRDefault="00715488" w:rsidP="00715488">
      <w:pPr>
        <w:pStyle w:val="AERnumberedlist2second"/>
      </w:pPr>
      <w:r>
        <w:t>overhead lines</w:t>
      </w:r>
    </w:p>
    <w:p w:rsidR="00715488" w:rsidRDefault="00715488" w:rsidP="00715488">
      <w:pPr>
        <w:pStyle w:val="AERnumberedlist2second"/>
      </w:pPr>
      <w:r>
        <w:t>underground cables</w:t>
      </w:r>
    </w:p>
    <w:p w:rsidR="00715488" w:rsidRDefault="00715488" w:rsidP="00715488">
      <w:pPr>
        <w:pStyle w:val="AERnumberedlist2second"/>
      </w:pPr>
      <w:r>
        <w:t>transformers and other capital</w:t>
      </w:r>
    </w:p>
    <w:p w:rsidR="00715488" w:rsidRDefault="00715488" w:rsidP="00715488">
      <w:pPr>
        <w:pStyle w:val="AERnumberedlist2second"/>
      </w:pPr>
      <w:r>
        <w:t>opex</w:t>
      </w:r>
    </w:p>
    <w:p w:rsidR="00715488" w:rsidRPr="0032779A" w:rsidRDefault="00715488" w:rsidP="00715488">
      <w:pPr>
        <w:pStyle w:val="AERnumberedlist2second"/>
      </w:pPr>
      <w:r>
        <w:t>regulated asset base parameters including depreciation and return on investment</w:t>
      </w:r>
    </w:p>
    <w:p w:rsidR="00715488" w:rsidRDefault="00715488" w:rsidP="00715488">
      <w:pPr>
        <w:pStyle w:val="AERnumberedlist2first"/>
      </w:pPr>
      <w:r>
        <w:t>data on o</w:t>
      </w:r>
      <w:r w:rsidRPr="0032779A">
        <w:t>utputs</w:t>
      </w:r>
      <w:r>
        <w:t>, including:</w:t>
      </w:r>
    </w:p>
    <w:p w:rsidR="00715488" w:rsidRDefault="00715488" w:rsidP="00715488">
      <w:pPr>
        <w:pStyle w:val="AERnumberedlist2second"/>
        <w:numPr>
          <w:ilvl w:val="5"/>
          <w:numId w:val="8"/>
        </w:numPr>
      </w:pPr>
      <w:r>
        <w:t>customer numbers</w:t>
      </w:r>
    </w:p>
    <w:p w:rsidR="00715488" w:rsidRDefault="00715488" w:rsidP="00715488">
      <w:pPr>
        <w:pStyle w:val="AERnumberedlist2second"/>
      </w:pPr>
      <w:r>
        <w:t>energy delivered</w:t>
      </w:r>
    </w:p>
    <w:p w:rsidR="00715488" w:rsidRDefault="00715488" w:rsidP="00715488">
      <w:pPr>
        <w:pStyle w:val="AERnumberedlist2second"/>
      </w:pPr>
      <w:r>
        <w:t>peak demand</w:t>
      </w:r>
    </w:p>
    <w:p w:rsidR="00715488" w:rsidRDefault="00715488" w:rsidP="00715488">
      <w:pPr>
        <w:pStyle w:val="AERnumberedlist2second"/>
      </w:pPr>
      <w:r>
        <w:t>system capacity by line length</w:t>
      </w:r>
    </w:p>
    <w:p w:rsidR="00715488" w:rsidRDefault="00715488" w:rsidP="00715488">
      <w:pPr>
        <w:pStyle w:val="AERnumberedlist2second"/>
      </w:pPr>
      <w:r>
        <w:t>network reliability</w:t>
      </w:r>
    </w:p>
    <w:p w:rsidR="00715488" w:rsidRPr="0032779A" w:rsidRDefault="00715488" w:rsidP="00715488">
      <w:pPr>
        <w:pStyle w:val="AERnumberedlist2second"/>
      </w:pPr>
      <w:r>
        <w:lastRenderedPageBreak/>
        <w:t>revenues</w:t>
      </w:r>
    </w:p>
    <w:p w:rsidR="00715488" w:rsidRDefault="00715488" w:rsidP="00715488">
      <w:pPr>
        <w:pStyle w:val="AERnumberedlist2first"/>
      </w:pPr>
      <w:r>
        <w:t>e</w:t>
      </w:r>
      <w:r w:rsidRPr="0032779A">
        <w:t>nvironmental factors</w:t>
      </w:r>
      <w:r>
        <w:t xml:space="preserve"> such as:</w:t>
      </w:r>
    </w:p>
    <w:p w:rsidR="00715488" w:rsidRPr="0032779A" w:rsidRDefault="00EB0959" w:rsidP="00715488">
      <w:pPr>
        <w:pStyle w:val="AERnumberedlist2second"/>
        <w:numPr>
          <w:ilvl w:val="5"/>
          <w:numId w:val="9"/>
        </w:numPr>
      </w:pPr>
      <w:r>
        <w:t>l</w:t>
      </w:r>
      <w:r w:rsidR="00715488">
        <w:t>ine length</w:t>
      </w:r>
    </w:p>
    <w:p w:rsidR="00715488" w:rsidRPr="000B37CA" w:rsidRDefault="00715488" w:rsidP="00715488">
      <w:pPr>
        <w:pStyle w:val="AERnumberedlist2second"/>
      </w:pPr>
      <w:r>
        <w:t>t</w:t>
      </w:r>
      <w:r w:rsidRPr="000B37CA">
        <w:t>errain factors including bushfire risk, the rural proportion of networks and vegetation encroachment</w:t>
      </w:r>
    </w:p>
    <w:p w:rsidR="00715488" w:rsidRDefault="00EB0959" w:rsidP="00715488">
      <w:pPr>
        <w:pStyle w:val="AERnumberedlist2second"/>
      </w:pPr>
      <w:proofErr w:type="gramStart"/>
      <w:r>
        <w:t>c</w:t>
      </w:r>
      <w:r w:rsidR="00715488">
        <w:t>ustomer</w:t>
      </w:r>
      <w:proofErr w:type="gramEnd"/>
      <w:r w:rsidR="00715488">
        <w:t>, energy and peak demand density</w:t>
      </w:r>
      <w:r>
        <w:t>.</w:t>
      </w:r>
    </w:p>
    <w:p w:rsidR="00715488" w:rsidRPr="00715488" w:rsidRDefault="00715488" w:rsidP="00715488">
      <w:pPr>
        <w:pStyle w:val="AERbodytext"/>
      </w:pPr>
      <w:r w:rsidRPr="0032779A">
        <w:t xml:space="preserve">We will also require </w:t>
      </w:r>
      <w:r w:rsidR="00F051F3">
        <w:t>these</w:t>
      </w:r>
      <w:r w:rsidR="00F051F3" w:rsidRPr="0032779A">
        <w:t xml:space="preserve"> </w:t>
      </w:r>
      <w:r w:rsidRPr="0032779A">
        <w:t>data annually on an ongoing basis.</w:t>
      </w:r>
    </w:p>
    <w:p w:rsidR="00715488" w:rsidRPr="00715488" w:rsidRDefault="00715488" w:rsidP="00715488">
      <w:pPr>
        <w:pStyle w:val="UnnumberedHeading"/>
      </w:pPr>
      <w:bookmarkStart w:id="88" w:name="_Toc361390733"/>
      <w:bookmarkStart w:id="89" w:name="_Toc361391074"/>
      <w:r>
        <w:lastRenderedPageBreak/>
        <w:t>Glossary</w:t>
      </w:r>
      <w:bookmarkEnd w:id="88"/>
      <w:bookmarkEnd w:id="89"/>
    </w:p>
    <w:p w:rsidR="00715488" w:rsidRDefault="00715488" w:rsidP="00715488">
      <w:pPr>
        <w:pStyle w:val="AERbodytext"/>
      </w:pPr>
      <w:r>
        <w:t xml:space="preserve">This </w:t>
      </w:r>
      <w:r w:rsidRPr="006704DC">
        <w:rPr>
          <w:rStyle w:val="AERbody"/>
        </w:rPr>
        <w:t>Guideline</w:t>
      </w:r>
      <w:r>
        <w:t xml:space="preserve"> uses the following terms.</w:t>
      </w:r>
    </w:p>
    <w:tbl>
      <w:tblPr>
        <w:tblStyle w:val="AERtable-text"/>
        <w:tblW w:w="0" w:type="auto"/>
        <w:tblLook w:val="04A0" w:firstRow="1" w:lastRow="0" w:firstColumn="1" w:lastColumn="0" w:noHBand="0" w:noVBand="1"/>
      </w:tblPr>
      <w:tblGrid>
        <w:gridCol w:w="3510"/>
        <w:gridCol w:w="5732"/>
      </w:tblGrid>
      <w:tr w:rsidR="00715488" w:rsidTr="000442D8">
        <w:trPr>
          <w:cnfStyle w:val="100000000000" w:firstRow="1" w:lastRow="0" w:firstColumn="0" w:lastColumn="0" w:oddVBand="0" w:evenVBand="0" w:oddHBand="0" w:evenHBand="0" w:firstRowFirstColumn="0" w:firstRowLastColumn="0" w:lastRowFirstColumn="0" w:lastRowLastColumn="0"/>
        </w:trPr>
        <w:tc>
          <w:tcPr>
            <w:tcW w:w="3510" w:type="dxa"/>
          </w:tcPr>
          <w:p w:rsidR="00715488" w:rsidRPr="00715488" w:rsidRDefault="00715488" w:rsidP="00715488">
            <w:pPr>
              <w:pStyle w:val="AERtabletextleft"/>
            </w:pPr>
            <w:r>
              <w:t>Term</w:t>
            </w:r>
          </w:p>
        </w:tc>
        <w:tc>
          <w:tcPr>
            <w:tcW w:w="5732" w:type="dxa"/>
          </w:tcPr>
          <w:p w:rsidR="00715488" w:rsidRPr="00715488" w:rsidRDefault="00715488" w:rsidP="00715488">
            <w:pPr>
              <w:pStyle w:val="AERtabletextleft"/>
            </w:pPr>
            <w:r>
              <w:t>Definition</w:t>
            </w:r>
          </w:p>
        </w:tc>
      </w:tr>
      <w:tr w:rsidR="00715488" w:rsidTr="000442D8">
        <w:tc>
          <w:tcPr>
            <w:tcW w:w="3510" w:type="dxa"/>
          </w:tcPr>
          <w:p w:rsidR="00715488" w:rsidRPr="00715488" w:rsidRDefault="00715488" w:rsidP="00715488">
            <w:pPr>
              <w:pStyle w:val="AERtabletextleft"/>
            </w:pPr>
            <w:r w:rsidRPr="001B05F3">
              <w:t>AER</w:t>
            </w:r>
          </w:p>
        </w:tc>
        <w:tc>
          <w:tcPr>
            <w:tcW w:w="5732" w:type="dxa"/>
          </w:tcPr>
          <w:p w:rsidR="00715488" w:rsidRPr="00715488" w:rsidRDefault="00715488" w:rsidP="00715488">
            <w:pPr>
              <w:pStyle w:val="AERtabletextleft"/>
            </w:pPr>
            <w:r w:rsidRPr="001B05F3">
              <w:t>Australian Energy Regulator</w:t>
            </w:r>
          </w:p>
        </w:tc>
      </w:tr>
      <w:tr w:rsidR="00715488" w:rsidTr="000442D8">
        <w:trPr>
          <w:cnfStyle w:val="000000010000" w:firstRow="0" w:lastRow="0" w:firstColumn="0" w:lastColumn="0" w:oddVBand="0" w:evenVBand="0" w:oddHBand="0" w:evenHBand="1" w:firstRowFirstColumn="0" w:firstRowLastColumn="0" w:lastRowFirstColumn="0" w:lastRowLastColumn="0"/>
        </w:trPr>
        <w:tc>
          <w:tcPr>
            <w:tcW w:w="3510" w:type="dxa"/>
          </w:tcPr>
          <w:p w:rsidR="00715488" w:rsidRPr="00715488" w:rsidRDefault="00715488" w:rsidP="00715488">
            <w:pPr>
              <w:pStyle w:val="AERtabletextleft"/>
            </w:pPr>
            <w:r w:rsidRPr="001B05F3">
              <w:t>CAM</w:t>
            </w:r>
          </w:p>
        </w:tc>
        <w:tc>
          <w:tcPr>
            <w:tcW w:w="5732" w:type="dxa"/>
          </w:tcPr>
          <w:p w:rsidR="00715488" w:rsidRPr="00715488" w:rsidRDefault="00715488" w:rsidP="00715488">
            <w:pPr>
              <w:pStyle w:val="AERtabletextleft"/>
            </w:pPr>
            <w:r w:rsidRPr="001B05F3">
              <w:t>Cost Allocation Method</w:t>
            </w:r>
          </w:p>
        </w:tc>
      </w:tr>
      <w:tr w:rsidR="00715488" w:rsidTr="000442D8">
        <w:tc>
          <w:tcPr>
            <w:tcW w:w="3510" w:type="dxa"/>
          </w:tcPr>
          <w:p w:rsidR="00715488" w:rsidRPr="00715488" w:rsidRDefault="00715488" w:rsidP="00715488">
            <w:pPr>
              <w:pStyle w:val="AERtabletextleft"/>
            </w:pPr>
            <w:r w:rsidRPr="001B05F3">
              <w:t>CBD</w:t>
            </w:r>
          </w:p>
        </w:tc>
        <w:tc>
          <w:tcPr>
            <w:tcW w:w="5732" w:type="dxa"/>
          </w:tcPr>
          <w:p w:rsidR="00715488" w:rsidRPr="00715488" w:rsidRDefault="00715488" w:rsidP="00715488">
            <w:pPr>
              <w:pStyle w:val="AERtabletextleft"/>
            </w:pPr>
            <w:r w:rsidRPr="001B05F3">
              <w:t>Central Business District</w:t>
            </w:r>
          </w:p>
        </w:tc>
      </w:tr>
      <w:tr w:rsidR="00715488" w:rsidTr="000442D8">
        <w:trPr>
          <w:cnfStyle w:val="000000010000" w:firstRow="0" w:lastRow="0" w:firstColumn="0" w:lastColumn="0" w:oddVBand="0" w:evenVBand="0" w:oddHBand="0" w:evenHBand="1" w:firstRowFirstColumn="0" w:firstRowLastColumn="0" w:lastRowFirstColumn="0" w:lastRowLastColumn="0"/>
        </w:trPr>
        <w:tc>
          <w:tcPr>
            <w:tcW w:w="3510" w:type="dxa"/>
          </w:tcPr>
          <w:p w:rsidR="00715488" w:rsidRPr="00715488" w:rsidRDefault="00715488" w:rsidP="00715488">
            <w:pPr>
              <w:pStyle w:val="AERtabletextleft"/>
            </w:pPr>
            <w:r w:rsidRPr="001B05F3">
              <w:t>DNSP</w:t>
            </w:r>
          </w:p>
        </w:tc>
        <w:tc>
          <w:tcPr>
            <w:tcW w:w="5732" w:type="dxa"/>
          </w:tcPr>
          <w:p w:rsidR="00715488" w:rsidRPr="00715488" w:rsidRDefault="00715488" w:rsidP="00715488">
            <w:pPr>
              <w:pStyle w:val="AERtabletextleft"/>
            </w:pPr>
            <w:r w:rsidRPr="001B05F3">
              <w:t>Distribution Network Service Provider</w:t>
            </w:r>
          </w:p>
        </w:tc>
      </w:tr>
      <w:tr w:rsidR="00715488" w:rsidTr="000442D8">
        <w:tc>
          <w:tcPr>
            <w:tcW w:w="3510" w:type="dxa"/>
          </w:tcPr>
          <w:p w:rsidR="00715488" w:rsidRPr="00715488" w:rsidRDefault="00715488" w:rsidP="00715488">
            <w:pPr>
              <w:pStyle w:val="AERtabletextleft"/>
            </w:pPr>
            <w:r w:rsidRPr="001B05F3">
              <w:t>EBSS</w:t>
            </w:r>
          </w:p>
        </w:tc>
        <w:tc>
          <w:tcPr>
            <w:tcW w:w="5732" w:type="dxa"/>
          </w:tcPr>
          <w:p w:rsidR="00715488" w:rsidRPr="00715488" w:rsidRDefault="00715488" w:rsidP="00715488">
            <w:pPr>
              <w:pStyle w:val="AERtabletextleft"/>
            </w:pPr>
            <w:r w:rsidRPr="001B05F3">
              <w:t>Efficiency Benefit Sharing Scheme</w:t>
            </w:r>
          </w:p>
        </w:tc>
      </w:tr>
      <w:tr w:rsidR="00715488" w:rsidTr="000442D8">
        <w:trPr>
          <w:cnfStyle w:val="000000010000" w:firstRow="0" w:lastRow="0" w:firstColumn="0" w:lastColumn="0" w:oddVBand="0" w:evenVBand="0" w:oddHBand="0" w:evenHBand="1" w:firstRowFirstColumn="0" w:firstRowLastColumn="0" w:lastRowFirstColumn="0" w:lastRowLastColumn="0"/>
        </w:trPr>
        <w:tc>
          <w:tcPr>
            <w:tcW w:w="3510" w:type="dxa"/>
          </w:tcPr>
          <w:p w:rsidR="00715488" w:rsidRPr="00715488" w:rsidRDefault="00715488" w:rsidP="00715488">
            <w:pPr>
              <w:pStyle w:val="AERtabletextleft"/>
            </w:pPr>
            <w:r>
              <w:t>Guideline</w:t>
            </w:r>
          </w:p>
        </w:tc>
        <w:tc>
          <w:tcPr>
            <w:tcW w:w="5732" w:type="dxa"/>
          </w:tcPr>
          <w:p w:rsidR="00715488" w:rsidRPr="00715488" w:rsidRDefault="00715488" w:rsidP="00715488">
            <w:pPr>
              <w:pStyle w:val="AERtabletextleft"/>
            </w:pPr>
            <w:r>
              <w:t xml:space="preserve">Draft </w:t>
            </w:r>
            <w:r w:rsidRPr="00715488">
              <w:t>Expenditure Forecast Assessment Guideline for electricity distribution</w:t>
            </w:r>
          </w:p>
        </w:tc>
      </w:tr>
      <w:tr w:rsidR="00715488" w:rsidTr="000442D8">
        <w:tc>
          <w:tcPr>
            <w:tcW w:w="3510" w:type="dxa"/>
          </w:tcPr>
          <w:p w:rsidR="00715488" w:rsidRPr="00715488" w:rsidRDefault="00715488" w:rsidP="00715488">
            <w:pPr>
              <w:pStyle w:val="AERtabletextleft"/>
            </w:pPr>
            <w:r w:rsidRPr="001B05F3">
              <w:t>IT</w:t>
            </w:r>
          </w:p>
        </w:tc>
        <w:tc>
          <w:tcPr>
            <w:tcW w:w="5732" w:type="dxa"/>
          </w:tcPr>
          <w:p w:rsidR="00715488" w:rsidRPr="00715488" w:rsidRDefault="00715488" w:rsidP="00715488">
            <w:pPr>
              <w:pStyle w:val="AERtabletextleft"/>
            </w:pPr>
            <w:r w:rsidRPr="001B05F3">
              <w:t>Information Technology</w:t>
            </w:r>
          </w:p>
        </w:tc>
      </w:tr>
      <w:tr w:rsidR="00715488" w:rsidTr="000442D8">
        <w:trPr>
          <w:cnfStyle w:val="000000010000" w:firstRow="0" w:lastRow="0" w:firstColumn="0" w:lastColumn="0" w:oddVBand="0" w:evenVBand="0" w:oddHBand="0" w:evenHBand="1" w:firstRowFirstColumn="0" w:firstRowLastColumn="0" w:lastRowFirstColumn="0" w:lastRowLastColumn="0"/>
        </w:trPr>
        <w:tc>
          <w:tcPr>
            <w:tcW w:w="3510" w:type="dxa"/>
          </w:tcPr>
          <w:p w:rsidR="00715488" w:rsidRPr="00715488" w:rsidRDefault="00715488" w:rsidP="00715488">
            <w:pPr>
              <w:pStyle w:val="AERtabletextleft"/>
            </w:pPr>
            <w:r w:rsidRPr="001B05F3">
              <w:t>MVA</w:t>
            </w:r>
          </w:p>
        </w:tc>
        <w:tc>
          <w:tcPr>
            <w:tcW w:w="5732" w:type="dxa"/>
          </w:tcPr>
          <w:p w:rsidR="00715488" w:rsidRPr="00715488" w:rsidRDefault="00715488" w:rsidP="00715488">
            <w:pPr>
              <w:pStyle w:val="AERtabletextleft"/>
            </w:pPr>
            <w:r w:rsidRPr="001B05F3">
              <w:t>Mega volt ampere</w:t>
            </w:r>
          </w:p>
        </w:tc>
      </w:tr>
      <w:tr w:rsidR="00715488" w:rsidTr="000442D8">
        <w:tc>
          <w:tcPr>
            <w:tcW w:w="3510" w:type="dxa"/>
          </w:tcPr>
          <w:p w:rsidR="00715488" w:rsidRPr="00715488" w:rsidRDefault="00715488" w:rsidP="00715488">
            <w:pPr>
              <w:pStyle w:val="AERtabletextleft"/>
            </w:pPr>
            <w:r w:rsidRPr="001B05F3">
              <w:t>MW</w:t>
            </w:r>
          </w:p>
        </w:tc>
        <w:tc>
          <w:tcPr>
            <w:tcW w:w="5732" w:type="dxa"/>
          </w:tcPr>
          <w:p w:rsidR="00715488" w:rsidRPr="00715488" w:rsidRDefault="00715488" w:rsidP="00715488">
            <w:pPr>
              <w:pStyle w:val="AERtabletextleft"/>
            </w:pPr>
            <w:r w:rsidRPr="001B05F3">
              <w:t>Megawatt</w:t>
            </w:r>
          </w:p>
        </w:tc>
      </w:tr>
      <w:tr w:rsidR="00715488" w:rsidTr="000442D8">
        <w:trPr>
          <w:cnfStyle w:val="000000010000" w:firstRow="0" w:lastRow="0" w:firstColumn="0" w:lastColumn="0" w:oddVBand="0" w:evenVBand="0" w:oddHBand="0" w:evenHBand="1" w:firstRowFirstColumn="0" w:firstRowLastColumn="0" w:lastRowFirstColumn="0" w:lastRowLastColumn="0"/>
        </w:trPr>
        <w:tc>
          <w:tcPr>
            <w:tcW w:w="3510" w:type="dxa"/>
          </w:tcPr>
          <w:p w:rsidR="00715488" w:rsidRPr="00715488" w:rsidRDefault="00715488" w:rsidP="00715488">
            <w:pPr>
              <w:pStyle w:val="AERtabletextleft"/>
            </w:pPr>
            <w:r w:rsidRPr="001B05F3">
              <w:t>NEL</w:t>
            </w:r>
          </w:p>
        </w:tc>
        <w:tc>
          <w:tcPr>
            <w:tcW w:w="5732" w:type="dxa"/>
          </w:tcPr>
          <w:p w:rsidR="00715488" w:rsidRPr="00715488" w:rsidRDefault="00715488" w:rsidP="00715488">
            <w:pPr>
              <w:pStyle w:val="AERtabletextleft"/>
            </w:pPr>
            <w:r w:rsidRPr="001B05F3">
              <w:t>National Electricity Law</w:t>
            </w:r>
          </w:p>
        </w:tc>
      </w:tr>
      <w:tr w:rsidR="00715488" w:rsidTr="000442D8">
        <w:tc>
          <w:tcPr>
            <w:tcW w:w="3510" w:type="dxa"/>
          </w:tcPr>
          <w:p w:rsidR="00715488" w:rsidRPr="00715488" w:rsidRDefault="00715488" w:rsidP="00715488">
            <w:pPr>
              <w:pStyle w:val="AERtabletextleft"/>
            </w:pPr>
            <w:r w:rsidRPr="001B05F3">
              <w:t>NEO</w:t>
            </w:r>
          </w:p>
        </w:tc>
        <w:tc>
          <w:tcPr>
            <w:tcW w:w="5732" w:type="dxa"/>
          </w:tcPr>
          <w:p w:rsidR="00715488" w:rsidRPr="00715488" w:rsidRDefault="00715488" w:rsidP="00715488">
            <w:pPr>
              <w:pStyle w:val="AERtabletextleft"/>
            </w:pPr>
            <w:r w:rsidRPr="001B05F3">
              <w:t>National Electricity Objective</w:t>
            </w:r>
          </w:p>
        </w:tc>
      </w:tr>
      <w:tr w:rsidR="00715488" w:rsidTr="000442D8">
        <w:trPr>
          <w:cnfStyle w:val="000000010000" w:firstRow="0" w:lastRow="0" w:firstColumn="0" w:lastColumn="0" w:oddVBand="0" w:evenVBand="0" w:oddHBand="0" w:evenHBand="1" w:firstRowFirstColumn="0" w:firstRowLastColumn="0" w:lastRowFirstColumn="0" w:lastRowLastColumn="0"/>
        </w:trPr>
        <w:tc>
          <w:tcPr>
            <w:tcW w:w="3510" w:type="dxa"/>
          </w:tcPr>
          <w:p w:rsidR="00715488" w:rsidRPr="00715488" w:rsidRDefault="00715488" w:rsidP="00715488">
            <w:pPr>
              <w:pStyle w:val="AERtabletextleft"/>
            </w:pPr>
            <w:r w:rsidRPr="001B05F3">
              <w:t>NER</w:t>
            </w:r>
          </w:p>
        </w:tc>
        <w:tc>
          <w:tcPr>
            <w:tcW w:w="5732" w:type="dxa"/>
          </w:tcPr>
          <w:p w:rsidR="00715488" w:rsidRPr="00715488" w:rsidRDefault="00715488" w:rsidP="00715488">
            <w:pPr>
              <w:pStyle w:val="AERtabletextleft"/>
            </w:pPr>
            <w:r w:rsidRPr="001B05F3">
              <w:t>National Electricity Rules</w:t>
            </w:r>
          </w:p>
        </w:tc>
      </w:tr>
      <w:tr w:rsidR="00715488" w:rsidTr="000442D8">
        <w:tc>
          <w:tcPr>
            <w:tcW w:w="3510" w:type="dxa"/>
          </w:tcPr>
          <w:p w:rsidR="00715488" w:rsidRPr="00715488" w:rsidRDefault="00715488" w:rsidP="00715488">
            <w:pPr>
              <w:pStyle w:val="AERtabletextleft"/>
            </w:pPr>
            <w:r w:rsidRPr="001B05F3">
              <w:t>NSP</w:t>
            </w:r>
          </w:p>
        </w:tc>
        <w:tc>
          <w:tcPr>
            <w:tcW w:w="5732" w:type="dxa"/>
          </w:tcPr>
          <w:p w:rsidR="00715488" w:rsidRPr="00715488" w:rsidRDefault="00715488" w:rsidP="00715488">
            <w:pPr>
              <w:pStyle w:val="AERtabletextleft"/>
            </w:pPr>
            <w:r w:rsidRPr="001B05F3">
              <w:t xml:space="preserve">Network Service </w:t>
            </w:r>
            <w:r w:rsidRPr="00715488">
              <w:t>Provider</w:t>
            </w:r>
          </w:p>
        </w:tc>
      </w:tr>
      <w:tr w:rsidR="0090549A" w:rsidTr="000442D8">
        <w:trPr>
          <w:cnfStyle w:val="000000010000" w:firstRow="0" w:lastRow="0" w:firstColumn="0" w:lastColumn="0" w:oddVBand="0" w:evenVBand="0" w:oddHBand="0" w:evenHBand="1" w:firstRowFirstColumn="0" w:firstRowLastColumn="0" w:lastRowFirstColumn="0" w:lastRowLastColumn="0"/>
        </w:trPr>
        <w:tc>
          <w:tcPr>
            <w:tcW w:w="3510" w:type="dxa"/>
          </w:tcPr>
          <w:p w:rsidR="0090549A" w:rsidRPr="001B05F3" w:rsidRDefault="0090549A" w:rsidP="00715488">
            <w:pPr>
              <w:pStyle w:val="AERtabletextleft"/>
            </w:pPr>
            <w:r>
              <w:t>PoE</w:t>
            </w:r>
          </w:p>
        </w:tc>
        <w:tc>
          <w:tcPr>
            <w:tcW w:w="5732" w:type="dxa"/>
          </w:tcPr>
          <w:p w:rsidR="0090549A" w:rsidRPr="001B05F3" w:rsidRDefault="0090549A" w:rsidP="00715488">
            <w:pPr>
              <w:pStyle w:val="AERtabletextleft"/>
            </w:pPr>
            <w:r>
              <w:t>Probability of Exceedance</w:t>
            </w:r>
          </w:p>
        </w:tc>
      </w:tr>
      <w:tr w:rsidR="00715488" w:rsidTr="000442D8">
        <w:tc>
          <w:tcPr>
            <w:tcW w:w="3510" w:type="dxa"/>
          </w:tcPr>
          <w:p w:rsidR="00715488" w:rsidRPr="00715488" w:rsidRDefault="00715488" w:rsidP="00715488">
            <w:pPr>
              <w:pStyle w:val="AERtabletextleft"/>
            </w:pPr>
            <w:r w:rsidRPr="001B05F3">
              <w:t>RIN</w:t>
            </w:r>
          </w:p>
        </w:tc>
        <w:tc>
          <w:tcPr>
            <w:tcW w:w="5732" w:type="dxa"/>
          </w:tcPr>
          <w:p w:rsidR="00715488" w:rsidRPr="00715488" w:rsidRDefault="00715488" w:rsidP="00715488">
            <w:pPr>
              <w:pStyle w:val="AERtabletextleft"/>
            </w:pPr>
            <w:r w:rsidRPr="001B05F3">
              <w:t>Regulatory Information Notice</w:t>
            </w:r>
          </w:p>
        </w:tc>
      </w:tr>
      <w:tr w:rsidR="00715488" w:rsidTr="000442D8">
        <w:trPr>
          <w:cnfStyle w:val="000000010000" w:firstRow="0" w:lastRow="0" w:firstColumn="0" w:lastColumn="0" w:oddVBand="0" w:evenVBand="0" w:oddHBand="0" w:evenHBand="1" w:firstRowFirstColumn="0" w:firstRowLastColumn="0" w:lastRowFirstColumn="0" w:lastRowLastColumn="0"/>
        </w:trPr>
        <w:tc>
          <w:tcPr>
            <w:tcW w:w="3510" w:type="dxa"/>
          </w:tcPr>
          <w:p w:rsidR="00715488" w:rsidRPr="00715488" w:rsidRDefault="00715488" w:rsidP="00715488">
            <w:pPr>
              <w:pStyle w:val="AERtabletextleft"/>
            </w:pPr>
            <w:r w:rsidRPr="001B05F3">
              <w:t>SAIDI</w:t>
            </w:r>
          </w:p>
        </w:tc>
        <w:tc>
          <w:tcPr>
            <w:tcW w:w="5732" w:type="dxa"/>
          </w:tcPr>
          <w:p w:rsidR="00715488" w:rsidRPr="00715488" w:rsidRDefault="00715488" w:rsidP="00715488">
            <w:pPr>
              <w:pStyle w:val="AERtabletextleft"/>
            </w:pPr>
            <w:r w:rsidRPr="001B05F3">
              <w:t>System Average Interruption Duration Index</w:t>
            </w:r>
          </w:p>
        </w:tc>
      </w:tr>
      <w:tr w:rsidR="00715488" w:rsidTr="000442D8">
        <w:tc>
          <w:tcPr>
            <w:tcW w:w="3510" w:type="dxa"/>
          </w:tcPr>
          <w:p w:rsidR="00715488" w:rsidRPr="00715488" w:rsidRDefault="00715488" w:rsidP="00715488">
            <w:pPr>
              <w:pStyle w:val="AERtabletextleft"/>
            </w:pPr>
            <w:r w:rsidRPr="001B05F3">
              <w:t>SAIFI</w:t>
            </w:r>
          </w:p>
        </w:tc>
        <w:tc>
          <w:tcPr>
            <w:tcW w:w="5732" w:type="dxa"/>
          </w:tcPr>
          <w:p w:rsidR="00715488" w:rsidRPr="00715488" w:rsidRDefault="00715488" w:rsidP="00715488">
            <w:pPr>
              <w:pStyle w:val="AERtabletextleft"/>
            </w:pPr>
            <w:r w:rsidRPr="001B05F3">
              <w:t>System Average Interruption Frequency Index</w:t>
            </w:r>
          </w:p>
        </w:tc>
      </w:tr>
      <w:tr w:rsidR="00715488" w:rsidTr="000442D8">
        <w:trPr>
          <w:cnfStyle w:val="000000010000" w:firstRow="0" w:lastRow="0" w:firstColumn="0" w:lastColumn="0" w:oddVBand="0" w:evenVBand="0" w:oddHBand="0" w:evenHBand="1" w:firstRowFirstColumn="0" w:firstRowLastColumn="0" w:lastRowFirstColumn="0" w:lastRowLastColumn="0"/>
        </w:trPr>
        <w:tc>
          <w:tcPr>
            <w:tcW w:w="3510" w:type="dxa"/>
          </w:tcPr>
          <w:p w:rsidR="00715488" w:rsidRPr="00715488" w:rsidRDefault="00715488" w:rsidP="00715488">
            <w:pPr>
              <w:pStyle w:val="AERtabletextleft"/>
            </w:pPr>
            <w:r w:rsidRPr="001B05F3">
              <w:t>SCADA</w:t>
            </w:r>
          </w:p>
        </w:tc>
        <w:tc>
          <w:tcPr>
            <w:tcW w:w="5732" w:type="dxa"/>
          </w:tcPr>
          <w:p w:rsidR="00715488" w:rsidRPr="00715488" w:rsidRDefault="00715488" w:rsidP="00715488">
            <w:pPr>
              <w:pStyle w:val="AERtabletextleft"/>
            </w:pPr>
            <w:r w:rsidRPr="001B05F3">
              <w:t>Supervisory Control and Data Acquisition</w:t>
            </w:r>
          </w:p>
        </w:tc>
      </w:tr>
    </w:tbl>
    <w:p w:rsidR="00715488" w:rsidRDefault="00715488" w:rsidP="00715488">
      <w:pPr>
        <w:pStyle w:val="AERbodytext"/>
      </w:pPr>
    </w:p>
    <w:p w:rsidR="00D4227B" w:rsidRPr="003324F7" w:rsidRDefault="00D4227B" w:rsidP="00DB0A4A">
      <w:pPr>
        <w:pStyle w:val="AERbodytext"/>
        <w:numPr>
          <w:ilvl w:val="0"/>
          <w:numId w:val="0"/>
        </w:numPr>
      </w:pPr>
    </w:p>
    <w:sectPr w:rsidR="00D4227B" w:rsidRPr="003324F7" w:rsidSect="00034DEC">
      <w:footerReference w:type="even"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5FEE" w:rsidRPr="00AB4345" w:rsidRDefault="00275FEE" w:rsidP="00AB4345">
      <w:r>
        <w:separator/>
      </w:r>
    </w:p>
  </w:endnote>
  <w:endnote w:type="continuationSeparator" w:id="0">
    <w:p w:rsidR="00275FEE" w:rsidRPr="00AB4345" w:rsidRDefault="00275FEE" w:rsidP="00AB4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Gautami">
    <w:panose1 w:val="02000500000000000000"/>
    <w:charset w:val="00"/>
    <w:family w:val="auto"/>
    <w:pitch w:val="variable"/>
    <w:sig w:usb0="002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4882516"/>
      <w:docPartObj>
        <w:docPartGallery w:val="Page Numbers (Bottom of Page)"/>
        <w:docPartUnique/>
      </w:docPartObj>
    </w:sdtPr>
    <w:sdtEndPr/>
    <w:sdtContent>
      <w:p w:rsidR="00275FEE" w:rsidRDefault="00275FEE" w:rsidP="00456081">
        <w:pPr>
          <w:pStyle w:val="Footer"/>
          <w:tabs>
            <w:tab w:val="clear" w:pos="4513"/>
          </w:tabs>
        </w:pPr>
        <w:r>
          <w:fldChar w:fldCharType="begin"/>
        </w:r>
        <w:r>
          <w:instrText xml:space="preserve"> PAGE   \* MERGEFORMAT </w:instrText>
        </w:r>
        <w:r>
          <w:fldChar w:fldCharType="separate"/>
        </w:r>
        <w:r>
          <w:rPr>
            <w:noProof/>
          </w:rPr>
          <w:t>2</w:t>
        </w:r>
        <w:r>
          <w:rPr>
            <w:noProof/>
          </w:rPr>
          <w:fldChar w:fldCharType="end"/>
        </w:r>
        <w:r>
          <w:tab/>
        </w:r>
        <w:r w:rsidRPr="00210880">
          <w:rPr>
            <w:rStyle w:val="AERbody"/>
          </w:rPr>
          <w:t xml:space="preserve">Attachment heading </w:t>
        </w:r>
        <w:r>
          <w:rPr>
            <w:rStyle w:val="AERbody"/>
          </w:rPr>
          <w:t>| D</w:t>
        </w:r>
        <w:r w:rsidRPr="00210880">
          <w:rPr>
            <w:rStyle w:val="AERbody"/>
          </w:rPr>
          <w:t>istribution/trans</w:t>
        </w:r>
        <w:r>
          <w:rPr>
            <w:rStyle w:val="AERbody"/>
          </w:rPr>
          <w:t>mission determination heading</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FEE" w:rsidRPr="00210880" w:rsidRDefault="00275FEE" w:rsidP="00456081">
    <w:pPr>
      <w:pStyle w:val="Footer"/>
      <w:tabs>
        <w:tab w:val="clear" w:pos="4513"/>
      </w:tabs>
      <w:rPr>
        <w:rStyle w:val="AERbody"/>
      </w:rPr>
    </w:pPr>
    <w:r w:rsidRPr="00020884">
      <w:rPr>
        <w:rStyle w:val="AERtextblue"/>
      </w:rPr>
      <w:t>Better Regulation |</w:t>
    </w:r>
    <w:r>
      <w:rPr>
        <w:rStyle w:val="AERbody"/>
      </w:rPr>
      <w:t xml:space="preserve"> </w:t>
    </w:r>
    <w:r w:rsidRPr="00020884">
      <w:rPr>
        <w:rStyle w:val="AERtextorange"/>
      </w:rPr>
      <w:t>Draft</w:t>
    </w:r>
    <w:r>
      <w:rPr>
        <w:rStyle w:val="AERtextorange"/>
      </w:rPr>
      <w:t xml:space="preserve"> Expenditure Forecast Assessment Guideline</w:t>
    </w:r>
    <w:r w:rsidRPr="00020884">
      <w:rPr>
        <w:rStyle w:val="AERtextorange"/>
      </w:rPr>
      <w:t xml:space="preserve"> </w:t>
    </w:r>
    <w:r>
      <w:rPr>
        <w:rStyle w:val="AERtextorange"/>
      </w:rPr>
      <w:t>for Electricity Distribution</w:t>
    </w:r>
    <w:r w:rsidRPr="00210880">
      <w:rPr>
        <w:rStyle w:val="AERbody"/>
      </w:rPr>
      <w:tab/>
    </w:r>
    <w:r w:rsidRPr="00210880">
      <w:rPr>
        <w:rStyle w:val="AERbody"/>
      </w:rPr>
      <w:fldChar w:fldCharType="begin"/>
    </w:r>
    <w:r w:rsidRPr="00210880">
      <w:rPr>
        <w:rStyle w:val="AERbody"/>
      </w:rPr>
      <w:instrText xml:space="preserve"> PAGE   \* MERGEFORMAT </w:instrText>
    </w:r>
    <w:r w:rsidRPr="00210880">
      <w:rPr>
        <w:rStyle w:val="AERbody"/>
      </w:rPr>
      <w:fldChar w:fldCharType="separate"/>
    </w:r>
    <w:r w:rsidR="00303043">
      <w:rPr>
        <w:rStyle w:val="AERbody"/>
        <w:noProof/>
      </w:rPr>
      <w:t>26</w:t>
    </w:r>
    <w:r w:rsidRPr="00210880">
      <w:rPr>
        <w:rStyle w:val="AERbody"/>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5FEE" w:rsidRPr="00AB4345" w:rsidRDefault="00275FEE" w:rsidP="00AB4345">
      <w:r>
        <w:separator/>
      </w:r>
    </w:p>
  </w:footnote>
  <w:footnote w:type="continuationSeparator" w:id="0">
    <w:p w:rsidR="00275FEE" w:rsidRPr="00AB4345" w:rsidRDefault="00275FEE" w:rsidP="00AB4345">
      <w:r>
        <w:continuationSeparator/>
      </w:r>
    </w:p>
  </w:footnote>
  <w:footnote w:id="1">
    <w:p w:rsidR="00275FEE" w:rsidRDefault="00275FEE" w:rsidP="00715488">
      <w:pPr>
        <w:pStyle w:val="FootnoteText"/>
      </w:pPr>
      <w:r>
        <w:rPr>
          <w:rStyle w:val="FootnoteReference"/>
        </w:rPr>
        <w:footnoteRef/>
      </w:r>
      <w:r>
        <w:t xml:space="preserve"> </w:t>
      </w:r>
      <w:r>
        <w:tab/>
        <w:t>NER, clause 6.2.8(a</w:t>
      </w:r>
      <w:proofErr w:type="gramStart"/>
      <w:r>
        <w:t>)(</w:t>
      </w:r>
      <w:proofErr w:type="gramEnd"/>
      <w:r>
        <w:t>1).</w:t>
      </w:r>
    </w:p>
  </w:footnote>
  <w:footnote w:id="2">
    <w:p w:rsidR="00275FEE" w:rsidRDefault="00275FEE" w:rsidP="00715488">
      <w:pPr>
        <w:pStyle w:val="FootnoteText"/>
      </w:pPr>
      <w:r>
        <w:rPr>
          <w:rStyle w:val="FootnoteReference"/>
        </w:rPr>
        <w:footnoteRef/>
      </w:r>
      <w:r>
        <w:t xml:space="preserve"> </w:t>
      </w:r>
      <w:r>
        <w:tab/>
      </w:r>
      <w:proofErr w:type="gramStart"/>
      <w:r>
        <w:t>NER, clause 6.2.8(c).</w:t>
      </w:r>
      <w:proofErr w:type="gramEnd"/>
    </w:p>
  </w:footnote>
  <w:footnote w:id="3">
    <w:p w:rsidR="00275FEE" w:rsidRDefault="00275FEE" w:rsidP="00076DDD">
      <w:pPr>
        <w:pStyle w:val="FootnoteText"/>
      </w:pPr>
      <w:r>
        <w:rPr>
          <w:rStyle w:val="FootnoteReference"/>
        </w:rPr>
        <w:footnoteRef/>
      </w:r>
      <w:r>
        <w:t xml:space="preserve"> </w:t>
      </w:r>
      <w:r>
        <w:tab/>
        <w:t>NER, clauses 6.8.2(c2)</w:t>
      </w:r>
    </w:p>
  </w:footnote>
  <w:footnote w:id="4">
    <w:p w:rsidR="00275FEE" w:rsidRDefault="00275FEE" w:rsidP="00076DDD">
      <w:pPr>
        <w:pStyle w:val="FootnoteText"/>
      </w:pPr>
      <w:r>
        <w:rPr>
          <w:rStyle w:val="FootnoteReference"/>
        </w:rPr>
        <w:footnoteRef/>
      </w:r>
      <w:r>
        <w:t xml:space="preserve"> </w:t>
      </w:r>
      <w:r>
        <w:tab/>
      </w:r>
      <w:proofErr w:type="gramStart"/>
      <w:r w:rsidRPr="003434E6">
        <w:t>NER, clause 6.</w:t>
      </w:r>
      <w:r>
        <w:t>9</w:t>
      </w:r>
      <w:r w:rsidRPr="003434E6">
        <w:t>.1.</w:t>
      </w:r>
      <w:proofErr w:type="gramEnd"/>
    </w:p>
  </w:footnote>
  <w:footnote w:id="5">
    <w:p w:rsidR="00275FEE" w:rsidRDefault="00275FEE" w:rsidP="00715488">
      <w:pPr>
        <w:pStyle w:val="FootnoteText"/>
      </w:pPr>
      <w:r>
        <w:rPr>
          <w:rStyle w:val="FootnoteReference"/>
        </w:rPr>
        <w:footnoteRef/>
      </w:r>
      <w:r>
        <w:t xml:space="preserve"> </w:t>
      </w:r>
      <w:r>
        <w:tab/>
      </w:r>
      <w:proofErr w:type="gramStart"/>
      <w:r w:rsidRPr="00415DDE">
        <w:t>NER, clause 6.4.5(a).</w:t>
      </w:r>
      <w:proofErr w:type="gramEnd"/>
    </w:p>
  </w:footnote>
  <w:footnote w:id="6">
    <w:p w:rsidR="00275FEE" w:rsidRDefault="00275FEE" w:rsidP="00715488">
      <w:pPr>
        <w:pStyle w:val="FootnoteText"/>
      </w:pPr>
      <w:r>
        <w:rPr>
          <w:rStyle w:val="FootnoteReference"/>
        </w:rPr>
        <w:footnoteRef/>
      </w:r>
      <w:r>
        <w:t xml:space="preserve"> </w:t>
      </w:r>
      <w:r>
        <w:tab/>
      </w:r>
      <w:proofErr w:type="gramStart"/>
      <w:r>
        <w:t>NER, clauses 6.2.8(e), (f).</w:t>
      </w:r>
      <w:proofErr w:type="gramEnd"/>
    </w:p>
  </w:footnote>
  <w:footnote w:id="7">
    <w:p w:rsidR="00275FEE" w:rsidRDefault="00275FEE" w:rsidP="00715488">
      <w:pPr>
        <w:pStyle w:val="FootnoteText"/>
      </w:pPr>
      <w:r>
        <w:rPr>
          <w:rStyle w:val="FootnoteReference"/>
        </w:rPr>
        <w:footnoteRef/>
      </w:r>
      <w:r>
        <w:t xml:space="preserve"> </w:t>
      </w:r>
      <w:r>
        <w:tab/>
      </w:r>
      <w:proofErr w:type="gramStart"/>
      <w:r>
        <w:t>NER, clause 6.2.8(d).</w:t>
      </w:r>
      <w:proofErr w:type="gramEnd"/>
    </w:p>
  </w:footnote>
  <w:footnote w:id="8">
    <w:p w:rsidR="00275FEE" w:rsidRDefault="00275FEE" w:rsidP="00715488">
      <w:pPr>
        <w:pStyle w:val="FootnoteText"/>
      </w:pPr>
      <w:r>
        <w:rPr>
          <w:rStyle w:val="FootnoteReference"/>
        </w:rPr>
        <w:footnoteRef/>
      </w:r>
      <w:r>
        <w:t xml:space="preserve"> </w:t>
      </w:r>
      <w:r>
        <w:tab/>
        <w:t xml:space="preserve">NEL, </w:t>
      </w:r>
      <w:proofErr w:type="gramStart"/>
      <w:r>
        <w:t>section16(</w:t>
      </w:r>
      <w:proofErr w:type="gramEnd"/>
      <w:r>
        <w:t>1)(a).</w:t>
      </w:r>
    </w:p>
  </w:footnote>
  <w:footnote w:id="9">
    <w:p w:rsidR="00275FEE" w:rsidRDefault="00275FEE" w:rsidP="00715488">
      <w:pPr>
        <w:pStyle w:val="FootnoteText"/>
      </w:pPr>
      <w:r>
        <w:rPr>
          <w:rStyle w:val="FootnoteReference"/>
        </w:rPr>
        <w:footnoteRef/>
      </w:r>
      <w:r>
        <w:t xml:space="preserve"> </w:t>
      </w:r>
      <w:r>
        <w:tab/>
      </w:r>
      <w:proofErr w:type="gramStart"/>
      <w:r>
        <w:t>NEL, section 7.</w:t>
      </w:r>
      <w:proofErr w:type="gramEnd"/>
    </w:p>
  </w:footnote>
  <w:footnote w:id="10">
    <w:p w:rsidR="00275FEE" w:rsidRDefault="00275FEE" w:rsidP="00715488">
      <w:pPr>
        <w:pStyle w:val="FootnoteText"/>
      </w:pPr>
      <w:r>
        <w:rPr>
          <w:rStyle w:val="FootnoteReference"/>
        </w:rPr>
        <w:footnoteRef/>
      </w:r>
      <w:r>
        <w:t xml:space="preserve"> </w:t>
      </w:r>
      <w:r>
        <w:tab/>
        <w:t xml:space="preserve">Second reading speech, National Electricity (South Australia) (New National Electricity Law––Miscellaneous Amendments) Amendment Bill 2007, </w:t>
      </w:r>
      <w:r w:rsidRPr="00AE328A">
        <w:t>Parliament of South Australia,</w:t>
      </w:r>
      <w:r>
        <w:t xml:space="preserve">  Hansard of the House of Assembly, 27 September 2007, p. 965.</w:t>
      </w:r>
    </w:p>
  </w:footnote>
  <w:footnote w:id="11">
    <w:p w:rsidR="00275FEE" w:rsidRDefault="00275FEE" w:rsidP="00715488">
      <w:pPr>
        <w:pStyle w:val="FootnoteText"/>
      </w:pPr>
      <w:r>
        <w:rPr>
          <w:rStyle w:val="FootnoteReference"/>
        </w:rPr>
        <w:footnoteRef/>
      </w:r>
      <w:r>
        <w:t xml:space="preserve"> </w:t>
      </w:r>
      <w:r>
        <w:tab/>
        <w:t>NEL, section 16(2</w:t>
      </w:r>
      <w:proofErr w:type="gramStart"/>
      <w:r>
        <w:t>)(</w:t>
      </w:r>
      <w:proofErr w:type="gramEnd"/>
      <w:r>
        <w:t>a)(i).</w:t>
      </w:r>
    </w:p>
  </w:footnote>
  <w:footnote w:id="12">
    <w:p w:rsidR="00275FEE" w:rsidRDefault="00275FEE" w:rsidP="00715488">
      <w:pPr>
        <w:pStyle w:val="FootnoteText"/>
      </w:pPr>
      <w:r>
        <w:rPr>
          <w:rStyle w:val="FootnoteReference"/>
        </w:rPr>
        <w:footnoteRef/>
      </w:r>
      <w:r>
        <w:t xml:space="preserve"> </w:t>
      </w:r>
      <w:r>
        <w:tab/>
      </w:r>
      <w:proofErr w:type="gramStart"/>
      <w:r>
        <w:t>NER, clauses 6.5.6(c), 6.5.7(c).</w:t>
      </w:r>
      <w:proofErr w:type="gramEnd"/>
    </w:p>
  </w:footnote>
  <w:footnote w:id="13">
    <w:p w:rsidR="00275FEE" w:rsidRDefault="00275FEE" w:rsidP="00715488">
      <w:pPr>
        <w:pStyle w:val="FootnoteText"/>
      </w:pPr>
      <w:r>
        <w:rPr>
          <w:rStyle w:val="FootnoteReference"/>
        </w:rPr>
        <w:footnoteRef/>
      </w:r>
      <w:r>
        <w:t xml:space="preserve"> </w:t>
      </w:r>
      <w:r>
        <w:tab/>
      </w:r>
      <w:proofErr w:type="gramStart"/>
      <w:r>
        <w:t>NER, clauses 6.5.6(e), 6.5.7(e).</w:t>
      </w:r>
      <w:proofErr w:type="gramEnd"/>
    </w:p>
  </w:footnote>
  <w:footnote w:id="14">
    <w:p w:rsidR="00275FEE" w:rsidRDefault="00275FEE" w:rsidP="00715488">
      <w:pPr>
        <w:pStyle w:val="FootnoteText"/>
      </w:pPr>
      <w:r>
        <w:rPr>
          <w:rStyle w:val="FootnoteReference"/>
        </w:rPr>
        <w:footnoteRef/>
      </w:r>
      <w:r>
        <w:t xml:space="preserve"> </w:t>
      </w:r>
      <w:r>
        <w:tab/>
        <w:t>NER, clauses 6.5.6(c), 6.5.7(c), 6.12.1(3</w:t>
      </w:r>
      <w:proofErr w:type="gramStart"/>
      <w:r>
        <w:t>)(</w:t>
      </w:r>
      <w:proofErr w:type="gramEnd"/>
      <w:r>
        <w:t>i), 6.12.1(4)(i).</w:t>
      </w:r>
    </w:p>
  </w:footnote>
  <w:footnote w:id="15">
    <w:p w:rsidR="00275FEE" w:rsidRDefault="00275FEE" w:rsidP="00715488">
      <w:pPr>
        <w:pStyle w:val="FootnoteText"/>
      </w:pPr>
      <w:r>
        <w:rPr>
          <w:rStyle w:val="FootnoteReference"/>
        </w:rPr>
        <w:footnoteRef/>
      </w:r>
      <w:r>
        <w:t xml:space="preserve"> </w:t>
      </w:r>
      <w:r>
        <w:tab/>
      </w:r>
      <w:proofErr w:type="gramStart"/>
      <w:r>
        <w:t>NER, clauses 6.5.6(d), 6.5.7(d).</w:t>
      </w:r>
      <w:proofErr w:type="gramEnd"/>
    </w:p>
  </w:footnote>
  <w:footnote w:id="16">
    <w:p w:rsidR="00275FEE" w:rsidRDefault="00275FEE" w:rsidP="00715488">
      <w:pPr>
        <w:pStyle w:val="FootnoteText"/>
      </w:pPr>
      <w:r>
        <w:rPr>
          <w:rStyle w:val="FootnoteReference"/>
        </w:rPr>
        <w:footnoteRef/>
      </w:r>
      <w:r>
        <w:t xml:space="preserve"> </w:t>
      </w:r>
      <w:r>
        <w:tab/>
        <w:t>NER, clauses 6.12.1(3</w:t>
      </w:r>
      <w:proofErr w:type="gramStart"/>
      <w:r>
        <w:t>)(</w:t>
      </w:r>
      <w:proofErr w:type="gramEnd"/>
      <w:r>
        <w:t>ii), 6.12.1(4)(ii).</w:t>
      </w:r>
    </w:p>
  </w:footnote>
  <w:footnote w:id="17">
    <w:p w:rsidR="00275FEE" w:rsidRDefault="00275FEE" w:rsidP="00ED4030">
      <w:pPr>
        <w:pStyle w:val="FootnoteText"/>
      </w:pPr>
      <w:r>
        <w:rPr>
          <w:rStyle w:val="FootnoteReference"/>
        </w:rPr>
        <w:footnoteRef/>
      </w:r>
      <w:r>
        <w:t xml:space="preserve"> </w:t>
      </w:r>
      <w:r>
        <w:tab/>
        <w:t xml:space="preserve">NER, </w:t>
      </w:r>
      <w:proofErr w:type="gramStart"/>
      <w:r>
        <w:t>clauses  6.5.6</w:t>
      </w:r>
      <w:proofErr w:type="gramEnd"/>
      <w:r>
        <w:t>(c), 6.5.7(c).</w:t>
      </w:r>
    </w:p>
  </w:footnote>
  <w:footnote w:id="18">
    <w:p w:rsidR="00275FEE" w:rsidRDefault="00275FEE" w:rsidP="00ED4030">
      <w:pPr>
        <w:pStyle w:val="FootnoteText"/>
      </w:pPr>
      <w:r>
        <w:rPr>
          <w:rStyle w:val="FootnoteReference"/>
        </w:rPr>
        <w:footnoteRef/>
      </w:r>
      <w:r>
        <w:t xml:space="preserve"> </w:t>
      </w:r>
      <w:r>
        <w:tab/>
        <w:t xml:space="preserve">NER, </w:t>
      </w:r>
      <w:proofErr w:type="gramStart"/>
      <w:r>
        <w:t>clauses  6.5.6</w:t>
      </w:r>
      <w:proofErr w:type="gramEnd"/>
      <w:r>
        <w:t>(c), 6.5.7(c).</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C7FA6"/>
    <w:multiLevelType w:val="hybridMultilevel"/>
    <w:tmpl w:val="1A7E9E04"/>
    <w:lvl w:ilvl="0" w:tplc="A356B254">
      <w:start w:val="1"/>
      <w:numFmt w:val="bullet"/>
      <w:pStyle w:val="AERbulletlistsecondstyle"/>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
    <w:nsid w:val="13597CF9"/>
    <w:multiLevelType w:val="multilevel"/>
    <w:tmpl w:val="B478DFE6"/>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357"/>
        </w:tabs>
        <w:ind w:left="357" w:hanging="357"/>
      </w:pPr>
      <w:rPr>
        <w:rFonts w:hint="default"/>
      </w:rPr>
    </w:lvl>
    <w:lvl w:ilvl="5">
      <w:start w:val="1"/>
      <w:numFmt w:val="lowerLetter"/>
      <w:lvlRestart w:val="2"/>
      <w:lvlText w:val="(%6)"/>
      <w:lvlJc w:val="left"/>
      <w:pPr>
        <w:tabs>
          <w:tab w:val="num" w:pos="720"/>
        </w:tabs>
        <w:ind w:left="720" w:hanging="363"/>
      </w:pPr>
      <w:rPr>
        <w:rFonts w:hint="default"/>
      </w:rPr>
    </w:lvl>
    <w:lvl w:ilvl="6">
      <w:start w:val="1"/>
      <w:numFmt w:val="lowerRoman"/>
      <w:lvlRestart w:val="3"/>
      <w:lvlText w:val="(%7)"/>
      <w:lvlJc w:val="left"/>
      <w:pPr>
        <w:tabs>
          <w:tab w:val="num" w:pos="1077"/>
        </w:tabs>
        <w:ind w:left="1077" w:hanging="357"/>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2FB612CC"/>
    <w:multiLevelType w:val="multilevel"/>
    <w:tmpl w:val="950A1C52"/>
    <w:styleLink w:val="AERHeadings"/>
    <w:lvl w:ilvl="0">
      <w:start w:val="1"/>
      <w:numFmt w:val="none"/>
      <w:pStyle w:val="UnnumberedHeading"/>
      <w:lvlText w:val="%1"/>
      <w:lvlJc w:val="left"/>
      <w:pPr>
        <w:tabs>
          <w:tab w:val="num" w:pos="0"/>
        </w:tabs>
        <w:ind w:left="0" w:firstLine="0"/>
      </w:pPr>
      <w:rPr>
        <w:rFonts w:hint="default"/>
      </w:rPr>
    </w:lvl>
    <w:lvl w:ilvl="1">
      <w:start w:val="1"/>
      <w:numFmt w:val="decimal"/>
      <w:pStyle w:val="Heading1"/>
      <w:lvlText w:val="%1%2"/>
      <w:lvlJc w:val="left"/>
      <w:pPr>
        <w:tabs>
          <w:tab w:val="num" w:pos="0"/>
        </w:tabs>
        <w:ind w:left="0" w:hanging="851"/>
      </w:pPr>
      <w:rPr>
        <w:rFonts w:hint="default"/>
      </w:rPr>
    </w:lvl>
    <w:lvl w:ilvl="2">
      <w:start w:val="1"/>
      <w:numFmt w:val="decimal"/>
      <w:pStyle w:val="Heading2"/>
      <w:lvlText w:val="%1%2.%3"/>
      <w:lvlJc w:val="left"/>
      <w:pPr>
        <w:tabs>
          <w:tab w:val="num" w:pos="0"/>
        </w:tabs>
        <w:ind w:left="0" w:hanging="851"/>
      </w:pPr>
      <w:rPr>
        <w:rFonts w:hint="default"/>
      </w:rPr>
    </w:lvl>
    <w:lvl w:ilvl="3">
      <w:start w:val="1"/>
      <w:numFmt w:val="decimal"/>
      <w:pStyle w:val="Heading3"/>
      <w:lvlText w:val="%2.%3.%4"/>
      <w:lvlJc w:val="left"/>
      <w:pPr>
        <w:tabs>
          <w:tab w:val="num" w:pos="0"/>
        </w:tabs>
        <w:ind w:left="0" w:hanging="851"/>
      </w:pPr>
      <w:rPr>
        <w:rFonts w:hint="default"/>
      </w:rPr>
    </w:lvl>
    <w:lvl w:ilvl="4">
      <w:start w:val="1"/>
      <w:numFmt w:val="upperLetter"/>
      <w:lvlRestart w:val="1"/>
      <w:pStyle w:val="Heading7"/>
      <w:lvlText w:val="%5"/>
      <w:lvlJc w:val="left"/>
      <w:pPr>
        <w:tabs>
          <w:tab w:val="num" w:pos="0"/>
        </w:tabs>
        <w:ind w:left="0" w:hanging="851"/>
      </w:pPr>
      <w:rPr>
        <w:rFonts w:hint="default"/>
      </w:rPr>
    </w:lvl>
    <w:lvl w:ilvl="5">
      <w:start w:val="1"/>
      <w:numFmt w:val="decimal"/>
      <w:pStyle w:val="Heading8"/>
      <w:lvlText w:val="%5.%6"/>
      <w:lvlJc w:val="left"/>
      <w:pPr>
        <w:tabs>
          <w:tab w:val="num" w:pos="0"/>
        </w:tabs>
        <w:ind w:left="0" w:hanging="851"/>
      </w:pPr>
      <w:rPr>
        <w:rFonts w:hint="default"/>
      </w:rPr>
    </w:lvl>
    <w:lvl w:ilvl="6">
      <w:start w:val="1"/>
      <w:numFmt w:val="decimal"/>
      <w:pStyle w:val="Heading9"/>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3">
    <w:nsid w:val="31AA058E"/>
    <w:multiLevelType w:val="hybridMultilevel"/>
    <w:tmpl w:val="3C70101E"/>
    <w:lvl w:ilvl="0" w:tplc="B336B1FC">
      <w:start w:val="1"/>
      <w:numFmt w:val="bullet"/>
      <w:pStyle w:val="AERbulletlistthirdstyle"/>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4">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3AF336BC"/>
    <w:multiLevelType w:val="hybridMultilevel"/>
    <w:tmpl w:val="955A02CC"/>
    <w:lvl w:ilvl="0" w:tplc="C90C7928">
      <w:start w:val="1"/>
      <w:numFmt w:val="bullet"/>
      <w:pStyle w:val="AERbulletlistfirststyle"/>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51487971"/>
    <w:multiLevelType w:val="multilevel"/>
    <w:tmpl w:val="B478DFE6"/>
    <w:styleLink w:val="AERnumberedlist"/>
    <w:lvl w:ilvl="0">
      <w:start w:val="1"/>
      <w:numFmt w:val="none"/>
      <w:pStyle w:val="AERbodytext"/>
      <w:lvlText w:val="%1"/>
      <w:lvlJc w:val="left"/>
      <w:pPr>
        <w:tabs>
          <w:tab w:val="num" w:pos="0"/>
        </w:tabs>
        <w:ind w:left="0" w:firstLine="0"/>
      </w:pPr>
      <w:rPr>
        <w:rFonts w:hint="default"/>
      </w:rPr>
    </w:lvl>
    <w:lvl w:ilvl="1">
      <w:start w:val="1"/>
      <w:numFmt w:val="decimal"/>
      <w:pStyle w:val="AERnumberedlistfirststyle"/>
      <w:lvlText w:val="%2."/>
      <w:lvlJc w:val="left"/>
      <w:pPr>
        <w:tabs>
          <w:tab w:val="num" w:pos="357"/>
        </w:tabs>
        <w:ind w:left="357" w:hanging="357"/>
      </w:pPr>
      <w:rPr>
        <w:rFonts w:hint="default"/>
      </w:rPr>
    </w:lvl>
    <w:lvl w:ilvl="2">
      <w:start w:val="1"/>
      <w:numFmt w:val="lowerLetter"/>
      <w:pStyle w:val="AERnumberedlistsecondstyle"/>
      <w:lvlText w:val="%3."/>
      <w:lvlJc w:val="left"/>
      <w:pPr>
        <w:tabs>
          <w:tab w:val="num" w:pos="720"/>
        </w:tabs>
        <w:ind w:left="720" w:hanging="363"/>
      </w:pPr>
      <w:rPr>
        <w:rFonts w:hint="default"/>
      </w:rPr>
    </w:lvl>
    <w:lvl w:ilvl="3">
      <w:start w:val="1"/>
      <w:numFmt w:val="lowerRoman"/>
      <w:pStyle w:val="AERnumberedlistthirdstyle"/>
      <w:lvlText w:val="%4."/>
      <w:lvlJc w:val="left"/>
      <w:pPr>
        <w:tabs>
          <w:tab w:val="num" w:pos="1077"/>
        </w:tabs>
        <w:ind w:left="1077" w:hanging="357"/>
      </w:pPr>
      <w:rPr>
        <w:rFonts w:hint="default"/>
      </w:rPr>
    </w:lvl>
    <w:lvl w:ilvl="4">
      <w:start w:val="1"/>
      <w:numFmt w:val="decimal"/>
      <w:lvlRestart w:val="1"/>
      <w:pStyle w:val="AERnumberedlist2first"/>
      <w:lvlText w:val="(%5)"/>
      <w:lvlJc w:val="left"/>
      <w:pPr>
        <w:tabs>
          <w:tab w:val="num" w:pos="357"/>
        </w:tabs>
        <w:ind w:left="357" w:hanging="357"/>
      </w:pPr>
      <w:rPr>
        <w:rFonts w:hint="default"/>
      </w:rPr>
    </w:lvl>
    <w:lvl w:ilvl="5">
      <w:start w:val="1"/>
      <w:numFmt w:val="lowerLetter"/>
      <w:lvlRestart w:val="2"/>
      <w:pStyle w:val="AERnumberedlist2second"/>
      <w:lvlText w:val="(%6)"/>
      <w:lvlJc w:val="left"/>
      <w:pPr>
        <w:tabs>
          <w:tab w:val="num" w:pos="720"/>
        </w:tabs>
        <w:ind w:left="720" w:hanging="363"/>
      </w:pPr>
      <w:rPr>
        <w:rFonts w:hint="default"/>
      </w:rPr>
    </w:lvl>
    <w:lvl w:ilvl="6">
      <w:start w:val="1"/>
      <w:numFmt w:val="lowerRoman"/>
      <w:lvlRestart w:val="3"/>
      <w:pStyle w:val="AERnumberedlist2third"/>
      <w:lvlText w:val="(%7)"/>
      <w:lvlJc w:val="left"/>
      <w:pPr>
        <w:tabs>
          <w:tab w:val="num" w:pos="1077"/>
        </w:tabs>
        <w:ind w:left="1077" w:hanging="357"/>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743E3868"/>
    <w:multiLevelType w:val="hybridMultilevel"/>
    <w:tmpl w:val="36B67602"/>
    <w:lvl w:ilvl="0" w:tplc="FF005388">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7AEA3AE1"/>
    <w:multiLevelType w:val="hybridMultilevel"/>
    <w:tmpl w:val="52969776"/>
    <w:lvl w:ilvl="0" w:tplc="1B665800">
      <w:start w:val="1"/>
      <w:numFmt w:val="bullet"/>
      <w:pStyle w:val="AERquotebullet1"/>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3"/>
  </w:num>
  <w:num w:numId="4">
    <w:abstractNumId w:val="8"/>
  </w:num>
  <w:num w:numId="5">
    <w:abstractNumId w:val="0"/>
  </w:num>
  <w:num w:numId="6">
    <w:abstractNumId w:val="6"/>
  </w:num>
  <w:num w:numId="7">
    <w:abstractNumId w:val="4"/>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7"/>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oNotTrackFormatting/>
  <w:documentProtection w:formatting="1" w:enforcement="1" w:cryptProviderType="rsaFull" w:cryptAlgorithmClass="hash" w:cryptAlgorithmType="typeAny" w:cryptAlgorithmSid="4" w:cryptSpinCount="100000" w:hash="xtNMq0ysWFyxgYvtXeddtrbEGyk=" w:salt="qtEi3+UbAY4oag3XWVMEPA=="/>
  <w:defaultTabStop w:val="720"/>
  <w:drawingGridHorizontalSpacing w:val="100"/>
  <w:displayHorizontalDrawingGridEvery w:val="2"/>
  <w:characterSpacingControl w:val="doNotCompress"/>
  <w:hdrShapeDefaults>
    <o:shapedefaults v:ext="edit" spidmax="147457"/>
  </w:hdrShapeDefaults>
  <w:footnotePr>
    <w:footnote w:id="-1"/>
    <w:footnote w:id="0"/>
  </w:footnotePr>
  <w:endnotePr>
    <w:endnote w:id="-1"/>
    <w:endnote w:id="0"/>
  </w:endnotePr>
  <w:compat>
    <w:compatSetting w:name="compatibilityMode" w:uri="http://schemas.microsoft.com/office/word" w:val="12"/>
  </w:compat>
  <w:docVars>
    <w:docVar w:name="currentname" w:val="H:\TRIMDATA\TRIM\TEMP\HPTRIM.3452\D13 98015  Expenditure forecast assessment guidelines - The Draft Guidelines FINAL - distribution(5).DOCX"/>
  </w:docVars>
  <w:rsids>
    <w:rsidRoot w:val="000C052F"/>
    <w:rsid w:val="000026CA"/>
    <w:rsid w:val="000040E9"/>
    <w:rsid w:val="0001105B"/>
    <w:rsid w:val="00015406"/>
    <w:rsid w:val="00020884"/>
    <w:rsid w:val="00022606"/>
    <w:rsid w:val="00034940"/>
    <w:rsid w:val="00034DEC"/>
    <w:rsid w:val="00040599"/>
    <w:rsid w:val="00040749"/>
    <w:rsid w:val="00041638"/>
    <w:rsid w:val="00041DD9"/>
    <w:rsid w:val="00042FE4"/>
    <w:rsid w:val="000442D8"/>
    <w:rsid w:val="000531EA"/>
    <w:rsid w:val="00055D2A"/>
    <w:rsid w:val="00076DDD"/>
    <w:rsid w:val="000823C3"/>
    <w:rsid w:val="00092AEA"/>
    <w:rsid w:val="000935DC"/>
    <w:rsid w:val="00094767"/>
    <w:rsid w:val="000955FB"/>
    <w:rsid w:val="000A1CC2"/>
    <w:rsid w:val="000A5342"/>
    <w:rsid w:val="000B1012"/>
    <w:rsid w:val="000B15CA"/>
    <w:rsid w:val="000B53EB"/>
    <w:rsid w:val="000C052F"/>
    <w:rsid w:val="000C1ED5"/>
    <w:rsid w:val="000C2C3C"/>
    <w:rsid w:val="000C3430"/>
    <w:rsid w:val="000C68CC"/>
    <w:rsid w:val="000D03C2"/>
    <w:rsid w:val="000D03D4"/>
    <w:rsid w:val="000D04B1"/>
    <w:rsid w:val="000D3667"/>
    <w:rsid w:val="000D401F"/>
    <w:rsid w:val="000D7F6C"/>
    <w:rsid w:val="000E1A25"/>
    <w:rsid w:val="000E2EEB"/>
    <w:rsid w:val="000E498D"/>
    <w:rsid w:val="000E79C4"/>
    <w:rsid w:val="000F2CD5"/>
    <w:rsid w:val="000F3A6A"/>
    <w:rsid w:val="00101C01"/>
    <w:rsid w:val="001033B3"/>
    <w:rsid w:val="00105636"/>
    <w:rsid w:val="00114228"/>
    <w:rsid w:val="00115220"/>
    <w:rsid w:val="001179DF"/>
    <w:rsid w:val="0012682E"/>
    <w:rsid w:val="00131FCF"/>
    <w:rsid w:val="001327D9"/>
    <w:rsid w:val="00136676"/>
    <w:rsid w:val="001449F9"/>
    <w:rsid w:val="00151298"/>
    <w:rsid w:val="001543D2"/>
    <w:rsid w:val="00174026"/>
    <w:rsid w:val="00184E29"/>
    <w:rsid w:val="001856EE"/>
    <w:rsid w:val="00185AAB"/>
    <w:rsid w:val="00192217"/>
    <w:rsid w:val="00194C3C"/>
    <w:rsid w:val="001A0E05"/>
    <w:rsid w:val="001A1965"/>
    <w:rsid w:val="001A2BB4"/>
    <w:rsid w:val="001A2D54"/>
    <w:rsid w:val="001A3219"/>
    <w:rsid w:val="001B05F3"/>
    <w:rsid w:val="001B1E7F"/>
    <w:rsid w:val="001B444C"/>
    <w:rsid w:val="001C12E5"/>
    <w:rsid w:val="001C51AA"/>
    <w:rsid w:val="001C708F"/>
    <w:rsid w:val="001E0EBE"/>
    <w:rsid w:val="001E4A4F"/>
    <w:rsid w:val="001E4EE7"/>
    <w:rsid w:val="00200A1B"/>
    <w:rsid w:val="00204A82"/>
    <w:rsid w:val="00204BC7"/>
    <w:rsid w:val="0020711E"/>
    <w:rsid w:val="00210880"/>
    <w:rsid w:val="0021176A"/>
    <w:rsid w:val="002152DD"/>
    <w:rsid w:val="002257B9"/>
    <w:rsid w:val="00230C1A"/>
    <w:rsid w:val="0023137D"/>
    <w:rsid w:val="00231EAA"/>
    <w:rsid w:val="00236D25"/>
    <w:rsid w:val="00237C69"/>
    <w:rsid w:val="00237D90"/>
    <w:rsid w:val="00241EF7"/>
    <w:rsid w:val="00247A10"/>
    <w:rsid w:val="00252CC8"/>
    <w:rsid w:val="00253B50"/>
    <w:rsid w:val="00255D29"/>
    <w:rsid w:val="00256BB2"/>
    <w:rsid w:val="00266710"/>
    <w:rsid w:val="00266895"/>
    <w:rsid w:val="00273088"/>
    <w:rsid w:val="00273D8B"/>
    <w:rsid w:val="00274381"/>
    <w:rsid w:val="00275FEE"/>
    <w:rsid w:val="002805B8"/>
    <w:rsid w:val="00281615"/>
    <w:rsid w:val="00283204"/>
    <w:rsid w:val="002938CE"/>
    <w:rsid w:val="002A189F"/>
    <w:rsid w:val="002A2539"/>
    <w:rsid w:val="002A454B"/>
    <w:rsid w:val="002A6762"/>
    <w:rsid w:val="002B4C6B"/>
    <w:rsid w:val="002B6640"/>
    <w:rsid w:val="002B6FC6"/>
    <w:rsid w:val="002C4DF3"/>
    <w:rsid w:val="002C6C7E"/>
    <w:rsid w:val="002C6E93"/>
    <w:rsid w:val="002C7560"/>
    <w:rsid w:val="002D61AC"/>
    <w:rsid w:val="002E211E"/>
    <w:rsid w:val="002E79FA"/>
    <w:rsid w:val="002F1E24"/>
    <w:rsid w:val="002F21B6"/>
    <w:rsid w:val="00303043"/>
    <w:rsid w:val="00303452"/>
    <w:rsid w:val="00314CD5"/>
    <w:rsid w:val="00325D25"/>
    <w:rsid w:val="0032779A"/>
    <w:rsid w:val="003318D0"/>
    <w:rsid w:val="003324F7"/>
    <w:rsid w:val="00332B51"/>
    <w:rsid w:val="003333D0"/>
    <w:rsid w:val="00333F26"/>
    <w:rsid w:val="00334F88"/>
    <w:rsid w:val="003430A6"/>
    <w:rsid w:val="00346120"/>
    <w:rsid w:val="00366090"/>
    <w:rsid w:val="003707DB"/>
    <w:rsid w:val="00373A42"/>
    <w:rsid w:val="00375AEC"/>
    <w:rsid w:val="00376236"/>
    <w:rsid w:val="0037652C"/>
    <w:rsid w:val="003800E4"/>
    <w:rsid w:val="00380FF5"/>
    <w:rsid w:val="00390963"/>
    <w:rsid w:val="00392CAB"/>
    <w:rsid w:val="003949B4"/>
    <w:rsid w:val="0039537B"/>
    <w:rsid w:val="00395C87"/>
    <w:rsid w:val="00397FD6"/>
    <w:rsid w:val="003A3424"/>
    <w:rsid w:val="003A6070"/>
    <w:rsid w:val="003A6174"/>
    <w:rsid w:val="003C60D5"/>
    <w:rsid w:val="003D66C6"/>
    <w:rsid w:val="003E4CD8"/>
    <w:rsid w:val="003F50D2"/>
    <w:rsid w:val="003F5ADB"/>
    <w:rsid w:val="004030AB"/>
    <w:rsid w:val="0040481F"/>
    <w:rsid w:val="00412282"/>
    <w:rsid w:val="00415DDE"/>
    <w:rsid w:val="00417DA2"/>
    <w:rsid w:val="004256BA"/>
    <w:rsid w:val="00431999"/>
    <w:rsid w:val="00431E97"/>
    <w:rsid w:val="00435682"/>
    <w:rsid w:val="004365A7"/>
    <w:rsid w:val="00440ACB"/>
    <w:rsid w:val="0044763E"/>
    <w:rsid w:val="00451BA8"/>
    <w:rsid w:val="00454B0B"/>
    <w:rsid w:val="00456081"/>
    <w:rsid w:val="0046490F"/>
    <w:rsid w:val="00464F5D"/>
    <w:rsid w:val="00464FAF"/>
    <w:rsid w:val="00470140"/>
    <w:rsid w:val="00473A01"/>
    <w:rsid w:val="00474FBD"/>
    <w:rsid w:val="00482C16"/>
    <w:rsid w:val="00491D7D"/>
    <w:rsid w:val="00494A37"/>
    <w:rsid w:val="0049671D"/>
    <w:rsid w:val="004A0C9D"/>
    <w:rsid w:val="004A22EA"/>
    <w:rsid w:val="004B4E04"/>
    <w:rsid w:val="004C1523"/>
    <w:rsid w:val="004C32F3"/>
    <w:rsid w:val="004C3F45"/>
    <w:rsid w:val="004D2D01"/>
    <w:rsid w:val="004D3F10"/>
    <w:rsid w:val="004D47F4"/>
    <w:rsid w:val="004D5537"/>
    <w:rsid w:val="004D6BE9"/>
    <w:rsid w:val="004E2E2D"/>
    <w:rsid w:val="004E40EF"/>
    <w:rsid w:val="004E73F7"/>
    <w:rsid w:val="004F7302"/>
    <w:rsid w:val="004F76A0"/>
    <w:rsid w:val="00500E7F"/>
    <w:rsid w:val="005157D0"/>
    <w:rsid w:val="0052179D"/>
    <w:rsid w:val="0052638E"/>
    <w:rsid w:val="00530C84"/>
    <w:rsid w:val="0053694A"/>
    <w:rsid w:val="005446B6"/>
    <w:rsid w:val="005456A9"/>
    <w:rsid w:val="0054793A"/>
    <w:rsid w:val="00555D52"/>
    <w:rsid w:val="005566D7"/>
    <w:rsid w:val="00561F7F"/>
    <w:rsid w:val="005626E0"/>
    <w:rsid w:val="00566B35"/>
    <w:rsid w:val="005732CC"/>
    <w:rsid w:val="00575422"/>
    <w:rsid w:val="005866A8"/>
    <w:rsid w:val="005938C6"/>
    <w:rsid w:val="00593DA4"/>
    <w:rsid w:val="005958FD"/>
    <w:rsid w:val="00596990"/>
    <w:rsid w:val="005A0431"/>
    <w:rsid w:val="005A0EF6"/>
    <w:rsid w:val="005A4884"/>
    <w:rsid w:val="005B2265"/>
    <w:rsid w:val="005B3752"/>
    <w:rsid w:val="005B4FC6"/>
    <w:rsid w:val="005B61C2"/>
    <w:rsid w:val="005B6898"/>
    <w:rsid w:val="005B69E6"/>
    <w:rsid w:val="005C0CEE"/>
    <w:rsid w:val="005C1EC9"/>
    <w:rsid w:val="005C2ED2"/>
    <w:rsid w:val="005D26B7"/>
    <w:rsid w:val="005D42E8"/>
    <w:rsid w:val="005D4AA1"/>
    <w:rsid w:val="005E5E7A"/>
    <w:rsid w:val="00600136"/>
    <w:rsid w:val="0060146C"/>
    <w:rsid w:val="0060207D"/>
    <w:rsid w:val="006039F2"/>
    <w:rsid w:val="006051D3"/>
    <w:rsid w:val="006061B0"/>
    <w:rsid w:val="00606ABB"/>
    <w:rsid w:val="00606E79"/>
    <w:rsid w:val="0060732E"/>
    <w:rsid w:val="006076A9"/>
    <w:rsid w:val="00613EFC"/>
    <w:rsid w:val="0062210F"/>
    <w:rsid w:val="006245E3"/>
    <w:rsid w:val="00627DEA"/>
    <w:rsid w:val="00631B4C"/>
    <w:rsid w:val="0064100E"/>
    <w:rsid w:val="0064241E"/>
    <w:rsid w:val="00643012"/>
    <w:rsid w:val="006544C9"/>
    <w:rsid w:val="006544EA"/>
    <w:rsid w:val="00655D48"/>
    <w:rsid w:val="00656E89"/>
    <w:rsid w:val="0066569F"/>
    <w:rsid w:val="00670076"/>
    <w:rsid w:val="00681414"/>
    <w:rsid w:val="0069004B"/>
    <w:rsid w:val="00692E12"/>
    <w:rsid w:val="00693402"/>
    <w:rsid w:val="006970D7"/>
    <w:rsid w:val="006A7A3D"/>
    <w:rsid w:val="006B08EB"/>
    <w:rsid w:val="006B1881"/>
    <w:rsid w:val="006B481F"/>
    <w:rsid w:val="006C3FF8"/>
    <w:rsid w:val="006C56FF"/>
    <w:rsid w:val="006D0F13"/>
    <w:rsid w:val="006D5969"/>
    <w:rsid w:val="006D6A8D"/>
    <w:rsid w:val="006E540F"/>
    <w:rsid w:val="006E75A3"/>
    <w:rsid w:val="006F60CE"/>
    <w:rsid w:val="006F638E"/>
    <w:rsid w:val="00703E42"/>
    <w:rsid w:val="00715488"/>
    <w:rsid w:val="00725062"/>
    <w:rsid w:val="00725243"/>
    <w:rsid w:val="007262F8"/>
    <w:rsid w:val="00736186"/>
    <w:rsid w:val="007368AD"/>
    <w:rsid w:val="00742E25"/>
    <w:rsid w:val="00744CF9"/>
    <w:rsid w:val="00746308"/>
    <w:rsid w:val="00751D2A"/>
    <w:rsid w:val="00752ADA"/>
    <w:rsid w:val="00755095"/>
    <w:rsid w:val="00765269"/>
    <w:rsid w:val="00776B84"/>
    <w:rsid w:val="00776CCB"/>
    <w:rsid w:val="00777574"/>
    <w:rsid w:val="00783C42"/>
    <w:rsid w:val="0079093C"/>
    <w:rsid w:val="00796A07"/>
    <w:rsid w:val="007A0A42"/>
    <w:rsid w:val="007A11A3"/>
    <w:rsid w:val="007A1760"/>
    <w:rsid w:val="007A545E"/>
    <w:rsid w:val="007B637C"/>
    <w:rsid w:val="007C108E"/>
    <w:rsid w:val="007C5B0A"/>
    <w:rsid w:val="007C6592"/>
    <w:rsid w:val="007D529E"/>
    <w:rsid w:val="007D6972"/>
    <w:rsid w:val="007E6549"/>
    <w:rsid w:val="007F10E3"/>
    <w:rsid w:val="007F2C0E"/>
    <w:rsid w:val="007F4410"/>
    <w:rsid w:val="007F6BB3"/>
    <w:rsid w:val="00800813"/>
    <w:rsid w:val="0080258E"/>
    <w:rsid w:val="00802C58"/>
    <w:rsid w:val="00803AF9"/>
    <w:rsid w:val="00804AEB"/>
    <w:rsid w:val="00804EE6"/>
    <w:rsid w:val="00813821"/>
    <w:rsid w:val="00826541"/>
    <w:rsid w:val="00833A00"/>
    <w:rsid w:val="0083479C"/>
    <w:rsid w:val="00836D17"/>
    <w:rsid w:val="00840A55"/>
    <w:rsid w:val="00841E25"/>
    <w:rsid w:val="00843A89"/>
    <w:rsid w:val="008446B2"/>
    <w:rsid w:val="008464CD"/>
    <w:rsid w:val="008515EE"/>
    <w:rsid w:val="00854C4E"/>
    <w:rsid w:val="00861C4E"/>
    <w:rsid w:val="008627BF"/>
    <w:rsid w:val="00865261"/>
    <w:rsid w:val="00866D21"/>
    <w:rsid w:val="00867F9B"/>
    <w:rsid w:val="00871EA1"/>
    <w:rsid w:val="00877201"/>
    <w:rsid w:val="00883DDA"/>
    <w:rsid w:val="00891FF9"/>
    <w:rsid w:val="00893367"/>
    <w:rsid w:val="00893D8E"/>
    <w:rsid w:val="00897676"/>
    <w:rsid w:val="008A1B07"/>
    <w:rsid w:val="008A47D7"/>
    <w:rsid w:val="008C3B67"/>
    <w:rsid w:val="008C3F48"/>
    <w:rsid w:val="008D299B"/>
    <w:rsid w:val="008D49B4"/>
    <w:rsid w:val="008D7498"/>
    <w:rsid w:val="008E0A9F"/>
    <w:rsid w:val="008E522D"/>
    <w:rsid w:val="0090233F"/>
    <w:rsid w:val="00902FA7"/>
    <w:rsid w:val="0090549A"/>
    <w:rsid w:val="00910F97"/>
    <w:rsid w:val="009174DB"/>
    <w:rsid w:val="00920828"/>
    <w:rsid w:val="00922825"/>
    <w:rsid w:val="009301EC"/>
    <w:rsid w:val="0093249B"/>
    <w:rsid w:val="00932E96"/>
    <w:rsid w:val="009418E6"/>
    <w:rsid w:val="00941C25"/>
    <w:rsid w:val="0094235F"/>
    <w:rsid w:val="0094279F"/>
    <w:rsid w:val="0094408C"/>
    <w:rsid w:val="00946B98"/>
    <w:rsid w:val="0095052A"/>
    <w:rsid w:val="0096445B"/>
    <w:rsid w:val="009658F0"/>
    <w:rsid w:val="00967C90"/>
    <w:rsid w:val="00971C63"/>
    <w:rsid w:val="00976581"/>
    <w:rsid w:val="009935CF"/>
    <w:rsid w:val="00993CA3"/>
    <w:rsid w:val="009A1399"/>
    <w:rsid w:val="009A16F9"/>
    <w:rsid w:val="009A4AE9"/>
    <w:rsid w:val="009A6018"/>
    <w:rsid w:val="009B278C"/>
    <w:rsid w:val="009B53F8"/>
    <w:rsid w:val="009C0D1A"/>
    <w:rsid w:val="009C2366"/>
    <w:rsid w:val="009C54C8"/>
    <w:rsid w:val="009C5FE0"/>
    <w:rsid w:val="009C6984"/>
    <w:rsid w:val="009C6C63"/>
    <w:rsid w:val="009C71D5"/>
    <w:rsid w:val="009D1143"/>
    <w:rsid w:val="009D5E17"/>
    <w:rsid w:val="009E08C0"/>
    <w:rsid w:val="009E1BE7"/>
    <w:rsid w:val="009E32E2"/>
    <w:rsid w:val="009F08C1"/>
    <w:rsid w:val="009F7CE4"/>
    <w:rsid w:val="00A066D0"/>
    <w:rsid w:val="00A11162"/>
    <w:rsid w:val="00A1546D"/>
    <w:rsid w:val="00A179AA"/>
    <w:rsid w:val="00A2093A"/>
    <w:rsid w:val="00A20CD6"/>
    <w:rsid w:val="00A25A49"/>
    <w:rsid w:val="00A31794"/>
    <w:rsid w:val="00A43227"/>
    <w:rsid w:val="00A4466F"/>
    <w:rsid w:val="00A46CCD"/>
    <w:rsid w:val="00A51463"/>
    <w:rsid w:val="00A64B49"/>
    <w:rsid w:val="00A65133"/>
    <w:rsid w:val="00A652C5"/>
    <w:rsid w:val="00A70570"/>
    <w:rsid w:val="00A730DB"/>
    <w:rsid w:val="00A7784A"/>
    <w:rsid w:val="00A85C5A"/>
    <w:rsid w:val="00A91B7A"/>
    <w:rsid w:val="00A96A08"/>
    <w:rsid w:val="00A975A2"/>
    <w:rsid w:val="00AA0161"/>
    <w:rsid w:val="00AB1D08"/>
    <w:rsid w:val="00AB3D4A"/>
    <w:rsid w:val="00AB4345"/>
    <w:rsid w:val="00AB5BD7"/>
    <w:rsid w:val="00AC0135"/>
    <w:rsid w:val="00AC070D"/>
    <w:rsid w:val="00AC413D"/>
    <w:rsid w:val="00AD0616"/>
    <w:rsid w:val="00AD34FF"/>
    <w:rsid w:val="00AD42EA"/>
    <w:rsid w:val="00AD4DE6"/>
    <w:rsid w:val="00AE22EE"/>
    <w:rsid w:val="00AE30CF"/>
    <w:rsid w:val="00AF30D0"/>
    <w:rsid w:val="00AF3E95"/>
    <w:rsid w:val="00AF7AF7"/>
    <w:rsid w:val="00B15FE9"/>
    <w:rsid w:val="00B211FA"/>
    <w:rsid w:val="00B22506"/>
    <w:rsid w:val="00B300CC"/>
    <w:rsid w:val="00B34A81"/>
    <w:rsid w:val="00B41F2D"/>
    <w:rsid w:val="00B45838"/>
    <w:rsid w:val="00B47399"/>
    <w:rsid w:val="00B51883"/>
    <w:rsid w:val="00B531D0"/>
    <w:rsid w:val="00B5500C"/>
    <w:rsid w:val="00B55377"/>
    <w:rsid w:val="00B56B60"/>
    <w:rsid w:val="00B60939"/>
    <w:rsid w:val="00B61D31"/>
    <w:rsid w:val="00B61FD4"/>
    <w:rsid w:val="00B674DB"/>
    <w:rsid w:val="00B7044C"/>
    <w:rsid w:val="00B7500A"/>
    <w:rsid w:val="00B76D88"/>
    <w:rsid w:val="00B82E8D"/>
    <w:rsid w:val="00B82F65"/>
    <w:rsid w:val="00B8616A"/>
    <w:rsid w:val="00B8738E"/>
    <w:rsid w:val="00B9264D"/>
    <w:rsid w:val="00B94E5D"/>
    <w:rsid w:val="00B95B5B"/>
    <w:rsid w:val="00BA55F6"/>
    <w:rsid w:val="00BA62AE"/>
    <w:rsid w:val="00BB03E4"/>
    <w:rsid w:val="00BB3FA1"/>
    <w:rsid w:val="00BB62BB"/>
    <w:rsid w:val="00BC05C5"/>
    <w:rsid w:val="00BC5E9B"/>
    <w:rsid w:val="00BC77CC"/>
    <w:rsid w:val="00BD04BE"/>
    <w:rsid w:val="00BD41FC"/>
    <w:rsid w:val="00BD438C"/>
    <w:rsid w:val="00BE166F"/>
    <w:rsid w:val="00BE23F6"/>
    <w:rsid w:val="00BE3B2B"/>
    <w:rsid w:val="00BE6F28"/>
    <w:rsid w:val="00BF29FA"/>
    <w:rsid w:val="00C017C1"/>
    <w:rsid w:val="00C04D2B"/>
    <w:rsid w:val="00C050A7"/>
    <w:rsid w:val="00C05890"/>
    <w:rsid w:val="00C210A3"/>
    <w:rsid w:val="00C30BA3"/>
    <w:rsid w:val="00C312A0"/>
    <w:rsid w:val="00C3293F"/>
    <w:rsid w:val="00C370FE"/>
    <w:rsid w:val="00C41CD7"/>
    <w:rsid w:val="00C737C5"/>
    <w:rsid w:val="00C748D7"/>
    <w:rsid w:val="00C86000"/>
    <w:rsid w:val="00CA0996"/>
    <w:rsid w:val="00CA22C0"/>
    <w:rsid w:val="00CA3540"/>
    <w:rsid w:val="00CA6D8A"/>
    <w:rsid w:val="00CA6DED"/>
    <w:rsid w:val="00CB0C2A"/>
    <w:rsid w:val="00CB1968"/>
    <w:rsid w:val="00CB5116"/>
    <w:rsid w:val="00CC1E3A"/>
    <w:rsid w:val="00CC49D4"/>
    <w:rsid w:val="00CD7CF6"/>
    <w:rsid w:val="00CE1E2C"/>
    <w:rsid w:val="00CE6F5A"/>
    <w:rsid w:val="00CE75B0"/>
    <w:rsid w:val="00CF42CF"/>
    <w:rsid w:val="00D102E9"/>
    <w:rsid w:val="00D1688F"/>
    <w:rsid w:val="00D2117F"/>
    <w:rsid w:val="00D246E3"/>
    <w:rsid w:val="00D25317"/>
    <w:rsid w:val="00D4227B"/>
    <w:rsid w:val="00D47C65"/>
    <w:rsid w:val="00D47C6A"/>
    <w:rsid w:val="00D5543D"/>
    <w:rsid w:val="00D55708"/>
    <w:rsid w:val="00D56617"/>
    <w:rsid w:val="00D56DEE"/>
    <w:rsid w:val="00D66E8B"/>
    <w:rsid w:val="00D705AE"/>
    <w:rsid w:val="00D72334"/>
    <w:rsid w:val="00D7340E"/>
    <w:rsid w:val="00D85715"/>
    <w:rsid w:val="00D85F5F"/>
    <w:rsid w:val="00D8706C"/>
    <w:rsid w:val="00D90701"/>
    <w:rsid w:val="00D97D73"/>
    <w:rsid w:val="00DA2A29"/>
    <w:rsid w:val="00DA4C62"/>
    <w:rsid w:val="00DA7B2D"/>
    <w:rsid w:val="00DB0A4A"/>
    <w:rsid w:val="00DB4CEE"/>
    <w:rsid w:val="00DB6A17"/>
    <w:rsid w:val="00DB7A7D"/>
    <w:rsid w:val="00DD0B5F"/>
    <w:rsid w:val="00DD36AF"/>
    <w:rsid w:val="00DD4041"/>
    <w:rsid w:val="00DD5520"/>
    <w:rsid w:val="00DD64D3"/>
    <w:rsid w:val="00DE0247"/>
    <w:rsid w:val="00DF7127"/>
    <w:rsid w:val="00E00F76"/>
    <w:rsid w:val="00E07311"/>
    <w:rsid w:val="00E11FF0"/>
    <w:rsid w:val="00E17058"/>
    <w:rsid w:val="00E179B8"/>
    <w:rsid w:val="00E2049A"/>
    <w:rsid w:val="00E21E75"/>
    <w:rsid w:val="00E24138"/>
    <w:rsid w:val="00E2540D"/>
    <w:rsid w:val="00E369E7"/>
    <w:rsid w:val="00E43581"/>
    <w:rsid w:val="00E519DC"/>
    <w:rsid w:val="00E51C4F"/>
    <w:rsid w:val="00E5666D"/>
    <w:rsid w:val="00E61780"/>
    <w:rsid w:val="00E62BBE"/>
    <w:rsid w:val="00E63B20"/>
    <w:rsid w:val="00E6538D"/>
    <w:rsid w:val="00E731D6"/>
    <w:rsid w:val="00E73F28"/>
    <w:rsid w:val="00E753E8"/>
    <w:rsid w:val="00E807DA"/>
    <w:rsid w:val="00E84E3A"/>
    <w:rsid w:val="00E86F14"/>
    <w:rsid w:val="00E91DCF"/>
    <w:rsid w:val="00E95A98"/>
    <w:rsid w:val="00EA0082"/>
    <w:rsid w:val="00EA05AF"/>
    <w:rsid w:val="00EA2BA1"/>
    <w:rsid w:val="00EA393F"/>
    <w:rsid w:val="00EA5CE3"/>
    <w:rsid w:val="00EB0959"/>
    <w:rsid w:val="00EB3C1E"/>
    <w:rsid w:val="00EB5BDF"/>
    <w:rsid w:val="00EC11E7"/>
    <w:rsid w:val="00EC1EF3"/>
    <w:rsid w:val="00EC43B9"/>
    <w:rsid w:val="00ED2ECB"/>
    <w:rsid w:val="00ED4030"/>
    <w:rsid w:val="00ED4D69"/>
    <w:rsid w:val="00ED797B"/>
    <w:rsid w:val="00EE362F"/>
    <w:rsid w:val="00EE5733"/>
    <w:rsid w:val="00EF0E19"/>
    <w:rsid w:val="00EF2D6B"/>
    <w:rsid w:val="00EF7771"/>
    <w:rsid w:val="00F0212E"/>
    <w:rsid w:val="00F051F3"/>
    <w:rsid w:val="00F05B94"/>
    <w:rsid w:val="00F114AE"/>
    <w:rsid w:val="00F25BB8"/>
    <w:rsid w:val="00F43CA0"/>
    <w:rsid w:val="00F46994"/>
    <w:rsid w:val="00F47A39"/>
    <w:rsid w:val="00F47C15"/>
    <w:rsid w:val="00F513A3"/>
    <w:rsid w:val="00F55030"/>
    <w:rsid w:val="00F66980"/>
    <w:rsid w:val="00F677BB"/>
    <w:rsid w:val="00F70BF0"/>
    <w:rsid w:val="00F7183E"/>
    <w:rsid w:val="00F73D1D"/>
    <w:rsid w:val="00F73DAF"/>
    <w:rsid w:val="00F74E22"/>
    <w:rsid w:val="00F7529B"/>
    <w:rsid w:val="00F7696F"/>
    <w:rsid w:val="00F8209B"/>
    <w:rsid w:val="00F86009"/>
    <w:rsid w:val="00FA0576"/>
    <w:rsid w:val="00FA689D"/>
    <w:rsid w:val="00FB1977"/>
    <w:rsid w:val="00FB50B4"/>
    <w:rsid w:val="00FC102E"/>
    <w:rsid w:val="00FD3ABB"/>
    <w:rsid w:val="00FD4B97"/>
    <w:rsid w:val="00FD732C"/>
    <w:rsid w:val="00FE299E"/>
    <w:rsid w:val="00FE55EB"/>
    <w:rsid w:val="00FE686B"/>
    <w:rsid w:val="00FF144E"/>
    <w:rsid w:val="00FF363F"/>
    <w:rsid w:val="00FF38DF"/>
    <w:rsid w:val="00FF545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74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utami" w:eastAsia="Calibri" w:hAnsi="Gautami" w:cs="Times New Roman"/>
        <w:lang w:val="en-AU" w:eastAsia="en-AU" w:bidi="ar-SA"/>
      </w:rPr>
    </w:rPrDefault>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9" w:unhideWhenUsed="0" w:qFormat="1"/>
    <w:lsdException w:name="heading 2" w:locked="0" w:semiHidden="0" w:uiPriority="9" w:unhideWhenUsed="0" w:qFormat="1"/>
    <w:lsdException w:name="heading 3" w:locked="0" w:semiHidden="0" w:uiPriority="9" w:unhideWhenUsed="0" w:qFormat="1"/>
    <w:lsdException w:name="heading 4" w:locked="0" w:semiHidden="0" w:uiPriority="9" w:unhideWhenUsed="0" w:qFormat="1"/>
    <w:lsdException w:name="heading 5" w:locked="0" w:uiPriority="9" w:qFormat="1"/>
    <w:lsdException w:name="heading 6" w:locked="0" w:uiPriority="9" w:qFormat="1"/>
    <w:lsdException w:name="heading 7" w:locked="0" w:uiPriority="9" w:qFormat="1"/>
    <w:lsdException w:name="heading 8" w:locked="0" w:uiPriority="9" w:qFormat="1"/>
    <w:lsdException w:name="heading 9" w:locked="0" w:uiPriority="9" w:qFormat="1"/>
    <w:lsdException w:name="toc 1" w:locked="0" w:uiPriority="39" w:qFormat="1"/>
    <w:lsdException w:name="toc 2" w:locked="0" w:uiPriority="39" w:qFormat="1"/>
    <w:lsdException w:name="toc 3" w:locked="0"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locked="0" w:qFormat="1"/>
    <w:lsdException w:name="header" w:locked="0"/>
    <w:lsdException w:name="footer" w:locked="0" w:qFormat="1"/>
    <w:lsdException w:name="caption" w:locked="0" w:uiPriority="35" w:qFormat="1"/>
    <w:lsdException w:name="footnote reference" w:locked="0"/>
    <w:lsdException w:name="page number" w:locked="0" w:uiPriority="0"/>
    <w:lsdException w:name="Title" w:uiPriority="10"/>
    <w:lsdException w:name="Default Paragraph Font" w:locked="0" w:uiPriority="1"/>
    <w:lsdException w:name="Subtitle" w:uiPriority="11" w:qFormat="1"/>
    <w:lsdException w:name="Hyperlink" w:locked="0"/>
    <w:lsdException w:name="Strong" w:uiPriority="22" w:qFormat="1"/>
    <w:lsdException w:name="Emphasis" w:uiPriority="20" w:qFormat="1"/>
    <w:lsdException w:name="HTML Top of Form" w:locked="0"/>
    <w:lsdException w:name="HTML Bottom of Form" w:locked="0"/>
    <w:lsdException w:name="Normal Table" w:locked="0"/>
    <w:lsdException w:name="No List" w:locked="0"/>
    <w:lsdException w:name="Table Grid" w:locked="0" w:semiHidden="0" w:uiPriority="59" w:unhideWhenUsed="0"/>
    <w:lsdException w:name="No Spacing"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semiHidden/>
    <w:qFormat/>
    <w:rsid w:val="005A0431"/>
    <w:pPr>
      <w:spacing w:after="240" w:line="288" w:lineRule="auto"/>
      <w:jc w:val="both"/>
    </w:pPr>
    <w:rPr>
      <w:lang w:eastAsia="en-US"/>
    </w:rPr>
  </w:style>
  <w:style w:type="paragraph" w:styleId="Heading1">
    <w:name w:val="heading 1"/>
    <w:next w:val="AERbodytext"/>
    <w:link w:val="Heading1Char"/>
    <w:uiPriority w:val="9"/>
    <w:qFormat/>
    <w:rsid w:val="004E73F7"/>
    <w:pPr>
      <w:keepNext/>
      <w:keepLines/>
      <w:pageBreakBefore/>
      <w:numPr>
        <w:ilvl w:val="1"/>
        <w:numId w:val="1"/>
      </w:numPr>
      <w:spacing w:before="120" w:after="120" w:line="288" w:lineRule="auto"/>
      <w:jc w:val="both"/>
      <w:outlineLvl w:val="0"/>
    </w:pPr>
    <w:rPr>
      <w:rFonts w:eastAsia="Times New Roman"/>
      <w:b/>
      <w:bCs/>
      <w:color w:val="E36C0A"/>
      <w:sz w:val="36"/>
      <w:szCs w:val="28"/>
      <w:lang w:eastAsia="en-US"/>
    </w:rPr>
  </w:style>
  <w:style w:type="paragraph" w:styleId="Heading2">
    <w:name w:val="heading 2"/>
    <w:basedOn w:val="Heading1"/>
    <w:next w:val="AERbodytext"/>
    <w:link w:val="Heading2Char"/>
    <w:uiPriority w:val="9"/>
    <w:qFormat/>
    <w:rsid w:val="000A1CC2"/>
    <w:pPr>
      <w:pageBreakBefore w:val="0"/>
      <w:numPr>
        <w:ilvl w:val="2"/>
      </w:numPr>
      <w:outlineLvl w:val="1"/>
    </w:pPr>
    <w:rPr>
      <w:bCs w:val="0"/>
      <w:sz w:val="28"/>
      <w:szCs w:val="26"/>
    </w:rPr>
  </w:style>
  <w:style w:type="paragraph" w:styleId="Heading3">
    <w:name w:val="heading 3"/>
    <w:basedOn w:val="Heading2"/>
    <w:next w:val="AERbodytext"/>
    <w:link w:val="Heading3Char"/>
    <w:uiPriority w:val="9"/>
    <w:qFormat/>
    <w:rsid w:val="000A1CC2"/>
    <w:pPr>
      <w:numPr>
        <w:ilvl w:val="3"/>
      </w:numPr>
      <w:outlineLvl w:val="2"/>
    </w:pPr>
    <w:rPr>
      <w:bCs/>
      <w:sz w:val="24"/>
    </w:rPr>
  </w:style>
  <w:style w:type="paragraph" w:styleId="Heading4">
    <w:name w:val="heading 4"/>
    <w:basedOn w:val="AERbodytext"/>
    <w:next w:val="AERbodytext"/>
    <w:link w:val="Heading4Char"/>
    <w:uiPriority w:val="9"/>
    <w:qFormat/>
    <w:rsid w:val="005A0431"/>
    <w:pPr>
      <w:keepNext/>
      <w:numPr>
        <w:numId w:val="0"/>
      </w:numPr>
      <w:outlineLvl w:val="3"/>
    </w:pPr>
    <w:rPr>
      <w:b/>
      <w:iCs/>
      <w:color w:val="FF0000"/>
      <w:sz w:val="22"/>
    </w:rPr>
  </w:style>
  <w:style w:type="paragraph" w:styleId="Heading5">
    <w:name w:val="heading 5"/>
    <w:basedOn w:val="Heading4"/>
    <w:next w:val="AERbodytext"/>
    <w:link w:val="Heading5Char"/>
    <w:uiPriority w:val="9"/>
    <w:qFormat/>
    <w:rsid w:val="005A0431"/>
    <w:pPr>
      <w:numPr>
        <w:ilvl w:val="5"/>
      </w:numPr>
      <w:outlineLvl w:val="4"/>
    </w:pPr>
    <w:rPr>
      <w:i/>
      <w:sz w:val="20"/>
    </w:rPr>
  </w:style>
  <w:style w:type="paragraph" w:styleId="Heading6">
    <w:name w:val="heading 6"/>
    <w:basedOn w:val="Heading5"/>
    <w:next w:val="AERbodytext"/>
    <w:link w:val="Heading6Char"/>
    <w:uiPriority w:val="9"/>
    <w:qFormat/>
    <w:rsid w:val="005A0431"/>
    <w:pPr>
      <w:numPr>
        <w:ilvl w:val="6"/>
      </w:numPr>
      <w:outlineLvl w:val="5"/>
    </w:pPr>
    <w:rPr>
      <w:b w:val="0"/>
      <w:iCs w:val="0"/>
    </w:rPr>
  </w:style>
  <w:style w:type="paragraph" w:styleId="Heading7">
    <w:name w:val="heading 7"/>
    <w:basedOn w:val="UnnumberedHeading"/>
    <w:next w:val="AERbodytext"/>
    <w:link w:val="Heading7Char"/>
    <w:uiPriority w:val="9"/>
    <w:qFormat/>
    <w:rsid w:val="00303452"/>
    <w:pPr>
      <w:numPr>
        <w:ilvl w:val="4"/>
      </w:numPr>
      <w:outlineLvl w:val="6"/>
    </w:pPr>
    <w:rPr>
      <w:iCs/>
      <w:szCs w:val="24"/>
    </w:rPr>
  </w:style>
  <w:style w:type="paragraph" w:styleId="Heading8">
    <w:name w:val="heading 8"/>
    <w:basedOn w:val="Heading7"/>
    <w:next w:val="AERbodytext"/>
    <w:link w:val="Heading8Char"/>
    <w:uiPriority w:val="9"/>
    <w:qFormat/>
    <w:rsid w:val="00303452"/>
    <w:pPr>
      <w:pageBreakBefore w:val="0"/>
      <w:numPr>
        <w:ilvl w:val="5"/>
      </w:numPr>
      <w:outlineLvl w:val="7"/>
    </w:pPr>
    <w:rPr>
      <w:sz w:val="28"/>
      <w:szCs w:val="20"/>
    </w:rPr>
  </w:style>
  <w:style w:type="paragraph" w:styleId="Heading9">
    <w:name w:val="heading 9"/>
    <w:basedOn w:val="Heading8"/>
    <w:next w:val="AERbodytext"/>
    <w:link w:val="Heading9Char"/>
    <w:uiPriority w:val="9"/>
    <w:qFormat/>
    <w:rsid w:val="00303452"/>
    <w:pPr>
      <w:numPr>
        <w:ilvl w:val="6"/>
      </w:numPr>
      <w:outlineLvl w:val="8"/>
    </w:pPr>
    <w:rPr>
      <w:iCs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ERHeadings">
    <w:name w:val="AER Headings"/>
    <w:uiPriority w:val="99"/>
    <w:rsid w:val="004E73F7"/>
    <w:pPr>
      <w:numPr>
        <w:numId w:val="1"/>
      </w:numPr>
    </w:pPr>
  </w:style>
  <w:style w:type="character" w:customStyle="1" w:styleId="Heading1Char">
    <w:name w:val="Heading 1 Char"/>
    <w:basedOn w:val="DefaultParagraphFont"/>
    <w:link w:val="Heading1"/>
    <w:uiPriority w:val="9"/>
    <w:rsid w:val="004E73F7"/>
    <w:rPr>
      <w:rFonts w:eastAsia="Times New Roman"/>
      <w:b/>
      <w:bCs/>
      <w:color w:val="E36C0A"/>
      <w:sz w:val="36"/>
      <w:szCs w:val="28"/>
      <w:lang w:eastAsia="en-US"/>
    </w:rPr>
  </w:style>
  <w:style w:type="character" w:customStyle="1" w:styleId="Heading2Char">
    <w:name w:val="Heading 2 Char"/>
    <w:basedOn w:val="DefaultParagraphFont"/>
    <w:link w:val="Heading2"/>
    <w:uiPriority w:val="9"/>
    <w:rsid w:val="000A1CC2"/>
    <w:rPr>
      <w:rFonts w:eastAsia="Times New Roman"/>
      <w:b/>
      <w:color w:val="E36C0A"/>
      <w:sz w:val="28"/>
      <w:szCs w:val="26"/>
      <w:lang w:eastAsia="en-US"/>
    </w:rPr>
  </w:style>
  <w:style w:type="character" w:customStyle="1" w:styleId="Heading3Char">
    <w:name w:val="Heading 3 Char"/>
    <w:basedOn w:val="DefaultParagraphFont"/>
    <w:link w:val="Heading3"/>
    <w:uiPriority w:val="9"/>
    <w:rsid w:val="000A1CC2"/>
    <w:rPr>
      <w:rFonts w:eastAsia="Times New Roman"/>
      <w:b/>
      <w:bCs/>
      <w:color w:val="E36C0A"/>
      <w:sz w:val="24"/>
      <w:szCs w:val="26"/>
      <w:lang w:eastAsia="en-US"/>
    </w:rPr>
  </w:style>
  <w:style w:type="character" w:customStyle="1" w:styleId="Heading4Char">
    <w:name w:val="Heading 4 Char"/>
    <w:basedOn w:val="DefaultParagraphFont"/>
    <w:link w:val="Heading4"/>
    <w:uiPriority w:val="9"/>
    <w:rsid w:val="005A0431"/>
    <w:rPr>
      <w:rFonts w:eastAsia="Times New Roman"/>
      <w:b/>
      <w:iCs/>
      <w:color w:val="FF0000"/>
      <w:sz w:val="22"/>
      <w:szCs w:val="24"/>
      <w:lang w:eastAsia="en-US"/>
    </w:rPr>
  </w:style>
  <w:style w:type="character" w:customStyle="1" w:styleId="Heading5Char">
    <w:name w:val="Heading 5 Char"/>
    <w:basedOn w:val="DefaultParagraphFont"/>
    <w:link w:val="Heading5"/>
    <w:uiPriority w:val="9"/>
    <w:rsid w:val="005A0431"/>
    <w:rPr>
      <w:rFonts w:eastAsia="Times New Roman"/>
      <w:b/>
      <w:i/>
      <w:iCs/>
      <w:color w:val="FF0000"/>
      <w:szCs w:val="24"/>
      <w:lang w:eastAsia="en-US"/>
    </w:rPr>
  </w:style>
  <w:style w:type="character" w:customStyle="1" w:styleId="Heading6Char">
    <w:name w:val="Heading 6 Char"/>
    <w:basedOn w:val="DefaultParagraphFont"/>
    <w:link w:val="Heading6"/>
    <w:uiPriority w:val="9"/>
    <w:rsid w:val="005A0431"/>
    <w:rPr>
      <w:rFonts w:eastAsia="Times New Roman"/>
      <w:i/>
      <w:color w:val="FF0000"/>
      <w:szCs w:val="24"/>
      <w:lang w:eastAsia="en-US"/>
    </w:rPr>
  </w:style>
  <w:style w:type="character" w:customStyle="1" w:styleId="Heading7Char">
    <w:name w:val="Heading 7 Char"/>
    <w:basedOn w:val="DefaultParagraphFont"/>
    <w:link w:val="Heading7"/>
    <w:uiPriority w:val="9"/>
    <w:rsid w:val="00303452"/>
    <w:rPr>
      <w:rFonts w:eastAsia="Times New Roman"/>
      <w:b/>
      <w:bCs/>
      <w:iCs/>
      <w:color w:val="E36C0A"/>
      <w:sz w:val="36"/>
      <w:szCs w:val="24"/>
      <w:lang w:eastAsia="en-US"/>
    </w:rPr>
  </w:style>
  <w:style w:type="character" w:customStyle="1" w:styleId="Heading8Char">
    <w:name w:val="Heading 8 Char"/>
    <w:basedOn w:val="DefaultParagraphFont"/>
    <w:link w:val="Heading8"/>
    <w:uiPriority w:val="9"/>
    <w:rsid w:val="00303452"/>
    <w:rPr>
      <w:rFonts w:eastAsia="Times New Roman"/>
      <w:b/>
      <w:bCs/>
      <w:iCs/>
      <w:color w:val="E36C0A"/>
      <w:sz w:val="28"/>
      <w:lang w:eastAsia="en-US"/>
    </w:rPr>
  </w:style>
  <w:style w:type="character" w:customStyle="1" w:styleId="Heading9Char">
    <w:name w:val="Heading 9 Char"/>
    <w:basedOn w:val="DefaultParagraphFont"/>
    <w:link w:val="Heading9"/>
    <w:uiPriority w:val="9"/>
    <w:rsid w:val="00303452"/>
    <w:rPr>
      <w:rFonts w:eastAsia="Times New Roman"/>
      <w:b/>
      <w:bCs/>
      <w:color w:val="E36C0A"/>
      <w:sz w:val="24"/>
      <w:lang w:eastAsia="en-US"/>
    </w:rPr>
  </w:style>
  <w:style w:type="paragraph" w:styleId="Caption">
    <w:name w:val="caption"/>
    <w:basedOn w:val="AERbodytext"/>
    <w:next w:val="AERbodytext"/>
    <w:uiPriority w:val="35"/>
    <w:qFormat/>
    <w:rsid w:val="00DA4C62"/>
    <w:pPr>
      <w:keepNext/>
      <w:numPr>
        <w:numId w:val="0"/>
      </w:numPr>
      <w:tabs>
        <w:tab w:val="left" w:pos="1440"/>
      </w:tabs>
      <w:spacing w:before="120" w:after="120"/>
      <w:ind w:left="1440" w:hanging="1440"/>
    </w:pPr>
    <w:rPr>
      <w:b/>
      <w:bCs/>
      <w:szCs w:val="18"/>
    </w:rPr>
  </w:style>
  <w:style w:type="character" w:customStyle="1" w:styleId="AERbody">
    <w:name w:val="AER body"/>
    <w:basedOn w:val="DefaultParagraphFont"/>
    <w:qFormat/>
    <w:rsid w:val="00971C63"/>
    <w:rPr>
      <w:rFonts w:ascii="Gautami" w:hAnsi="Gautami"/>
      <w:color w:val="auto"/>
      <w:sz w:val="20"/>
    </w:rPr>
  </w:style>
  <w:style w:type="paragraph" w:customStyle="1" w:styleId="AERbodytext">
    <w:name w:val="AER body text"/>
    <w:link w:val="AERbodytextChar"/>
    <w:qFormat/>
    <w:rsid w:val="000E1A25"/>
    <w:pPr>
      <w:numPr>
        <w:numId w:val="6"/>
      </w:numPr>
      <w:spacing w:after="240" w:line="288" w:lineRule="auto"/>
      <w:jc w:val="both"/>
    </w:pPr>
    <w:rPr>
      <w:rFonts w:eastAsia="Times New Roman"/>
      <w:szCs w:val="24"/>
      <w:lang w:eastAsia="en-US"/>
    </w:rPr>
  </w:style>
  <w:style w:type="paragraph" w:customStyle="1" w:styleId="AERbodytextindent1">
    <w:name w:val="AER body text (indent 1)"/>
    <w:basedOn w:val="AERbodytext"/>
    <w:qFormat/>
    <w:rsid w:val="008D49B4"/>
    <w:pPr>
      <w:numPr>
        <w:numId w:val="0"/>
      </w:numPr>
      <w:ind w:left="357"/>
    </w:pPr>
  </w:style>
  <w:style w:type="paragraph" w:customStyle="1" w:styleId="AERbodytextindent2">
    <w:name w:val="AER body text (indent 2)"/>
    <w:basedOn w:val="AERbodytextindent1"/>
    <w:qFormat/>
    <w:rsid w:val="00BC05C5"/>
    <w:pPr>
      <w:ind w:left="709"/>
    </w:pPr>
  </w:style>
  <w:style w:type="paragraph" w:customStyle="1" w:styleId="AERbodytextindent3">
    <w:name w:val="AER body text (indent 3)"/>
    <w:basedOn w:val="AERbodytext"/>
    <w:qFormat/>
    <w:rsid w:val="008D49B4"/>
    <w:pPr>
      <w:numPr>
        <w:numId w:val="0"/>
      </w:numPr>
      <w:ind w:left="1077"/>
    </w:pPr>
  </w:style>
  <w:style w:type="paragraph" w:customStyle="1" w:styleId="AERbulletlistfirststyle">
    <w:name w:val="AER bullet list (first style)"/>
    <w:basedOn w:val="AERbodytext"/>
    <w:qFormat/>
    <w:rsid w:val="005732CC"/>
    <w:pPr>
      <w:numPr>
        <w:numId w:val="2"/>
      </w:numPr>
      <w:tabs>
        <w:tab w:val="left" w:pos="357"/>
      </w:tabs>
      <w:spacing w:after="200"/>
      <w:ind w:left="357" w:hanging="357"/>
    </w:pPr>
  </w:style>
  <w:style w:type="paragraph" w:customStyle="1" w:styleId="AERbulletlistsecondstyle">
    <w:name w:val="AER bullet list (second style)"/>
    <w:basedOn w:val="AERbodytext"/>
    <w:qFormat/>
    <w:rsid w:val="005732CC"/>
    <w:pPr>
      <w:numPr>
        <w:numId w:val="5"/>
      </w:numPr>
      <w:tabs>
        <w:tab w:val="left" w:pos="709"/>
      </w:tabs>
      <w:spacing w:after="200"/>
      <w:ind w:left="714" w:hanging="357"/>
    </w:pPr>
  </w:style>
  <w:style w:type="paragraph" w:customStyle="1" w:styleId="AERbulletlistthirdstyle">
    <w:name w:val="AER bullet list (third style)"/>
    <w:basedOn w:val="AERbodytext"/>
    <w:qFormat/>
    <w:rsid w:val="005732CC"/>
    <w:pPr>
      <w:numPr>
        <w:numId w:val="3"/>
      </w:numPr>
      <w:tabs>
        <w:tab w:val="left" w:pos="1077"/>
      </w:tabs>
      <w:spacing w:after="200"/>
      <w:ind w:left="1071" w:hanging="357"/>
    </w:pPr>
  </w:style>
  <w:style w:type="character" w:customStyle="1" w:styleId="AERtextconfidential">
    <w:name w:val="AER text confidential"/>
    <w:qFormat/>
    <w:rsid w:val="00971C63"/>
    <w:rPr>
      <w:bdr w:val="none" w:sz="0" w:space="0" w:color="auto"/>
      <w:shd w:val="clear" w:color="auto" w:fill="CCFFFF"/>
    </w:rPr>
  </w:style>
  <w:style w:type="paragraph" w:customStyle="1" w:styleId="AERnumberedlistfirststyle">
    <w:name w:val="AER numbered list (first style)"/>
    <w:basedOn w:val="AERbodytext"/>
    <w:qFormat/>
    <w:rsid w:val="005732CC"/>
    <w:pPr>
      <w:numPr>
        <w:ilvl w:val="1"/>
      </w:numPr>
      <w:spacing w:after="200"/>
    </w:pPr>
  </w:style>
  <w:style w:type="paragraph" w:customStyle="1" w:styleId="AERnumberedlistsecondstyle">
    <w:name w:val="AER numbered list (second style)"/>
    <w:basedOn w:val="AERnumberedlistfirststyle"/>
    <w:qFormat/>
    <w:rsid w:val="005732CC"/>
    <w:pPr>
      <w:numPr>
        <w:ilvl w:val="2"/>
      </w:numPr>
    </w:pPr>
  </w:style>
  <w:style w:type="paragraph" w:customStyle="1" w:styleId="AERnumberedlistthirdstyle">
    <w:name w:val="AER numbered list (third style)"/>
    <w:basedOn w:val="AERnumberedlistsecondstyle"/>
    <w:qFormat/>
    <w:rsid w:val="005732CC"/>
    <w:pPr>
      <w:numPr>
        <w:ilvl w:val="3"/>
      </w:numPr>
    </w:pPr>
  </w:style>
  <w:style w:type="paragraph" w:customStyle="1" w:styleId="AERquote">
    <w:name w:val="AER quote"/>
    <w:next w:val="AERbodytext"/>
    <w:qFormat/>
    <w:rsid w:val="002938CE"/>
    <w:pPr>
      <w:tabs>
        <w:tab w:val="num" w:pos="709"/>
      </w:tabs>
      <w:spacing w:after="160" w:line="288" w:lineRule="auto"/>
      <w:ind w:left="709" w:right="720"/>
      <w:jc w:val="both"/>
    </w:pPr>
    <w:rPr>
      <w:rFonts w:eastAsia="Times New Roman"/>
      <w:color w:val="000000"/>
      <w:sz w:val="16"/>
      <w:szCs w:val="24"/>
      <w:lang w:eastAsia="en-US"/>
    </w:rPr>
  </w:style>
  <w:style w:type="paragraph" w:customStyle="1" w:styleId="AERquoteindent1">
    <w:name w:val="AER quote (indent 1)"/>
    <w:basedOn w:val="AERquote"/>
    <w:qFormat/>
    <w:rsid w:val="003A6174"/>
    <w:pPr>
      <w:tabs>
        <w:tab w:val="clear" w:pos="709"/>
        <w:tab w:val="num" w:pos="1077"/>
      </w:tabs>
      <w:ind w:left="1077" w:right="1440"/>
    </w:pPr>
  </w:style>
  <w:style w:type="paragraph" w:customStyle="1" w:styleId="AERquoteindent2">
    <w:name w:val="AER quote (indent 2)"/>
    <w:basedOn w:val="AERquoteindent1"/>
    <w:qFormat/>
    <w:rsid w:val="003A6174"/>
    <w:pPr>
      <w:tabs>
        <w:tab w:val="clear" w:pos="1077"/>
        <w:tab w:val="left" w:pos="1440"/>
      </w:tabs>
      <w:ind w:left="1440" w:right="1797"/>
    </w:pPr>
  </w:style>
  <w:style w:type="paragraph" w:customStyle="1" w:styleId="AERquoteindent3">
    <w:name w:val="AER quote (indent 3)"/>
    <w:basedOn w:val="AERquoteindent2"/>
    <w:qFormat/>
    <w:rsid w:val="003A6174"/>
    <w:pPr>
      <w:tabs>
        <w:tab w:val="clear" w:pos="1440"/>
        <w:tab w:val="left" w:pos="1803"/>
      </w:tabs>
      <w:ind w:left="1803" w:right="2160"/>
    </w:pPr>
  </w:style>
  <w:style w:type="paragraph" w:customStyle="1" w:styleId="AERquotebullet1">
    <w:name w:val="AER quote bullet 1"/>
    <w:basedOn w:val="Normal"/>
    <w:qFormat/>
    <w:rsid w:val="003A6174"/>
    <w:pPr>
      <w:numPr>
        <w:numId w:val="4"/>
      </w:numPr>
      <w:tabs>
        <w:tab w:val="left" w:pos="1077"/>
      </w:tabs>
      <w:spacing w:line="200" w:lineRule="atLeast"/>
      <w:ind w:left="1077" w:right="663" w:hanging="357"/>
    </w:pPr>
    <w:rPr>
      <w:rFonts w:eastAsia="Times New Roman"/>
      <w:sz w:val="16"/>
      <w:szCs w:val="16"/>
    </w:rPr>
  </w:style>
  <w:style w:type="paragraph" w:customStyle="1" w:styleId="AERrevisionbox">
    <w:name w:val="AER revision box"/>
    <w:basedOn w:val="AERbodytext"/>
    <w:qFormat/>
    <w:rsid w:val="00971C63"/>
    <w:pPr>
      <w:pBdr>
        <w:top w:val="single" w:sz="4" w:space="1" w:color="auto"/>
        <w:left w:val="single" w:sz="4" w:space="4" w:color="auto"/>
        <w:bottom w:val="single" w:sz="4" w:space="1" w:color="auto"/>
        <w:right w:val="single" w:sz="4" w:space="4" w:color="auto"/>
      </w:pBdr>
      <w:shd w:val="clear" w:color="auto" w:fill="E0E0E0"/>
    </w:pPr>
  </w:style>
  <w:style w:type="character" w:customStyle="1" w:styleId="AERsubscript">
    <w:name w:val="AER subscript"/>
    <w:qFormat/>
    <w:rsid w:val="00971C63"/>
    <w:rPr>
      <w:rFonts w:ascii="Gautami" w:hAnsi="Gautami"/>
      <w:vertAlign w:val="subscript"/>
    </w:rPr>
  </w:style>
  <w:style w:type="character" w:customStyle="1" w:styleId="AERsuperscript">
    <w:name w:val="AER superscript"/>
    <w:qFormat/>
    <w:rsid w:val="00971C63"/>
    <w:rPr>
      <w:rFonts w:ascii="Gautami" w:hAnsi="Gautami"/>
      <w:vertAlign w:val="superscript"/>
    </w:rPr>
  </w:style>
  <w:style w:type="paragraph" w:customStyle="1" w:styleId="AERtablesource">
    <w:name w:val="AER table source"/>
    <w:next w:val="AERbodytext"/>
    <w:qFormat/>
    <w:rsid w:val="00474FBD"/>
    <w:pPr>
      <w:tabs>
        <w:tab w:val="left" w:pos="794"/>
      </w:tabs>
      <w:spacing w:before="40" w:after="240"/>
      <w:ind w:left="794" w:hanging="794"/>
      <w:contextualSpacing/>
      <w:jc w:val="both"/>
    </w:pPr>
    <w:rPr>
      <w:rFonts w:eastAsia="Times New Roman"/>
      <w:sz w:val="16"/>
      <w:szCs w:val="24"/>
      <w:lang w:eastAsia="en-US"/>
    </w:rPr>
  </w:style>
  <w:style w:type="table" w:customStyle="1" w:styleId="AERtable-text">
    <w:name w:val="AER table - text"/>
    <w:basedOn w:val="TableNormal"/>
    <w:uiPriority w:val="99"/>
    <w:rsid w:val="00C04D2B"/>
    <w:pPr>
      <w:spacing w:before="120" w:after="80"/>
    </w:pPr>
    <w:rPr>
      <w:sz w:val="16"/>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customStyle="1" w:styleId="AERtabletextleft">
    <w:name w:val="AER table text left"/>
    <w:qFormat/>
    <w:rsid w:val="00BC05C5"/>
    <w:pPr>
      <w:spacing w:before="80" w:after="120" w:line="288" w:lineRule="auto"/>
    </w:pPr>
    <w:rPr>
      <w:rFonts w:eastAsia="Times New Roman"/>
      <w:sz w:val="16"/>
      <w:szCs w:val="24"/>
      <w:lang w:eastAsia="en-US"/>
    </w:rPr>
  </w:style>
  <w:style w:type="character" w:customStyle="1" w:styleId="AERtextbold">
    <w:name w:val="AER text bold"/>
    <w:qFormat/>
    <w:rsid w:val="00971C63"/>
    <w:rPr>
      <w:b/>
    </w:rPr>
  </w:style>
  <w:style w:type="character" w:customStyle="1" w:styleId="AERtextbolditalics">
    <w:name w:val="AER text bold italics"/>
    <w:basedOn w:val="AERtextbold"/>
    <w:qFormat/>
    <w:rsid w:val="00971C63"/>
    <w:rPr>
      <w:b/>
      <w:i/>
    </w:rPr>
  </w:style>
  <w:style w:type="character" w:customStyle="1" w:styleId="AERtextboldunderline">
    <w:name w:val="AER text bold underline"/>
    <w:qFormat/>
    <w:rsid w:val="00971C63"/>
    <w:rPr>
      <w:b/>
      <w:u w:val="single"/>
    </w:rPr>
  </w:style>
  <w:style w:type="character" w:customStyle="1" w:styleId="AERtexthighlight">
    <w:name w:val="AER text highlight"/>
    <w:qFormat/>
    <w:rsid w:val="005566D7"/>
    <w:rPr>
      <w:bdr w:val="none" w:sz="0" w:space="0" w:color="auto"/>
      <w:shd w:val="clear" w:color="auto" w:fill="FFFF00"/>
    </w:rPr>
  </w:style>
  <w:style w:type="character" w:customStyle="1" w:styleId="AERtextitalic">
    <w:name w:val="AER text italic"/>
    <w:qFormat/>
    <w:rsid w:val="00971C63"/>
    <w:rPr>
      <w:i/>
    </w:rPr>
  </w:style>
  <w:style w:type="character" w:customStyle="1" w:styleId="AERtextunderline">
    <w:name w:val="AER text underline"/>
    <w:qFormat/>
    <w:rsid w:val="00971C63"/>
    <w:rPr>
      <w:u w:val="single"/>
    </w:r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AERbodytext"/>
    <w:link w:val="FootnoteTextChar"/>
    <w:uiPriority w:val="99"/>
    <w:qFormat/>
    <w:rsid w:val="00DD5520"/>
    <w:pPr>
      <w:numPr>
        <w:numId w:val="0"/>
      </w:numPr>
      <w:tabs>
        <w:tab w:val="left" w:pos="426"/>
      </w:tabs>
      <w:spacing w:after="0" w:line="240" w:lineRule="auto"/>
      <w:ind w:left="426" w:hanging="426"/>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D5520"/>
    <w:rPr>
      <w:rFonts w:ascii="Gautami" w:eastAsia="Times New Roman" w:hAnsi="Gautami" w:cs="Times New Roman"/>
      <w:sz w:val="16"/>
      <w:szCs w:val="20"/>
    </w:rPr>
  </w:style>
  <w:style w:type="character" w:styleId="FootnoteReference">
    <w:name w:val="footnote reference"/>
    <w:aliases w:val="(NECG) Footnote Reference,(NECG) Footnote Reference1,(NECG) Footnote Reference2,o,Style 3,Style 12,fr,Appel note de bas de p,Style 124,(NECG) Footnote Reference3,(NECG) Footnote Reference4,(NECG) Footnote Reference5"/>
    <w:basedOn w:val="DefaultParagraphFont"/>
    <w:uiPriority w:val="99"/>
    <w:unhideWhenUsed/>
    <w:rsid w:val="003800E4"/>
    <w:rPr>
      <w:vertAlign w:val="superscript"/>
    </w:rPr>
  </w:style>
  <w:style w:type="paragraph" w:styleId="Header">
    <w:name w:val="header"/>
    <w:basedOn w:val="Normal"/>
    <w:link w:val="HeaderChar"/>
    <w:uiPriority w:val="99"/>
    <w:unhideWhenUsed/>
    <w:rsid w:val="00380F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0FF5"/>
  </w:style>
  <w:style w:type="paragraph" w:styleId="Footer">
    <w:name w:val="footer"/>
    <w:basedOn w:val="Normal"/>
    <w:link w:val="FooterChar"/>
    <w:uiPriority w:val="99"/>
    <w:qFormat/>
    <w:rsid w:val="007368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68AD"/>
    <w:rPr>
      <w:rFonts w:ascii="Gautami" w:hAnsi="Gautami"/>
      <w:sz w:val="20"/>
    </w:rPr>
  </w:style>
  <w:style w:type="paragraph" w:customStyle="1" w:styleId="UnnumberedHeading">
    <w:name w:val="Unnumbered Heading"/>
    <w:basedOn w:val="Heading1"/>
    <w:next w:val="AERbodytext"/>
    <w:link w:val="UnnumberedHeadingChar"/>
    <w:qFormat/>
    <w:rsid w:val="004E73F7"/>
    <w:pPr>
      <w:numPr>
        <w:ilvl w:val="0"/>
      </w:numPr>
    </w:pPr>
  </w:style>
  <w:style w:type="table" w:styleId="TableGrid">
    <w:name w:val="Table Grid"/>
    <w:basedOn w:val="TableNormal"/>
    <w:uiPriority w:val="59"/>
    <w:rsid w:val="00500E7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AERnumberedlist">
    <w:name w:val="AER numbered list"/>
    <w:uiPriority w:val="99"/>
    <w:rsid w:val="000E1A25"/>
    <w:pPr>
      <w:numPr>
        <w:numId w:val="6"/>
      </w:numPr>
    </w:pPr>
  </w:style>
  <w:style w:type="numbering" w:customStyle="1" w:styleId="OldAERheadings">
    <w:name w:val="Old AER headings"/>
    <w:uiPriority w:val="99"/>
    <w:locked/>
    <w:rsid w:val="008515EE"/>
    <w:pPr>
      <w:numPr>
        <w:numId w:val="7"/>
      </w:numPr>
    </w:pPr>
  </w:style>
  <w:style w:type="character" w:customStyle="1" w:styleId="AERtextorange">
    <w:name w:val="AER text orange"/>
    <w:uiPriority w:val="1"/>
    <w:qFormat/>
    <w:rsid w:val="00DB6A17"/>
    <w:rPr>
      <w:color w:val="E36C0A"/>
    </w:rPr>
  </w:style>
  <w:style w:type="paragraph" w:customStyle="1" w:styleId="AERtitle1">
    <w:name w:val="AER title 1"/>
    <w:qFormat/>
    <w:rsid w:val="000A1CC2"/>
    <w:pPr>
      <w:spacing w:after="240" w:line="288" w:lineRule="auto"/>
      <w:jc w:val="center"/>
    </w:pPr>
    <w:rPr>
      <w:rFonts w:eastAsia="Times New Roman"/>
      <w:b/>
      <w:sz w:val="40"/>
      <w:szCs w:val="24"/>
    </w:rPr>
  </w:style>
  <w:style w:type="paragraph" w:customStyle="1" w:styleId="AERtitle2">
    <w:name w:val="AER title 2"/>
    <w:qFormat/>
    <w:rsid w:val="000A1CC2"/>
    <w:pPr>
      <w:spacing w:after="240" w:line="288" w:lineRule="auto"/>
      <w:jc w:val="center"/>
    </w:pPr>
    <w:rPr>
      <w:rFonts w:eastAsia="Times New Roman"/>
      <w:sz w:val="32"/>
      <w:szCs w:val="24"/>
      <w:lang w:eastAsia="en-US"/>
    </w:rPr>
  </w:style>
  <w:style w:type="paragraph" w:styleId="ListParagraph">
    <w:name w:val="List Paragraph"/>
    <w:basedOn w:val="Normal"/>
    <w:uiPriority w:val="34"/>
    <w:semiHidden/>
    <w:unhideWhenUsed/>
    <w:qFormat/>
    <w:locked/>
    <w:rsid w:val="005D26B7"/>
    <w:pPr>
      <w:ind w:left="720"/>
      <w:contextualSpacing/>
    </w:pPr>
  </w:style>
  <w:style w:type="character" w:customStyle="1" w:styleId="AERtextblue">
    <w:name w:val="AER text blue"/>
    <w:uiPriority w:val="1"/>
    <w:qFormat/>
    <w:rsid w:val="00D2117F"/>
    <w:rPr>
      <w:color w:val="365F91"/>
    </w:rPr>
  </w:style>
  <w:style w:type="character" w:customStyle="1" w:styleId="UnnumberedHeadingChar">
    <w:name w:val="Unnumbered Heading Char"/>
    <w:basedOn w:val="Heading1Char"/>
    <w:link w:val="UnnumberedHeading"/>
    <w:rsid w:val="004E73F7"/>
    <w:rPr>
      <w:rFonts w:eastAsia="Times New Roman"/>
      <w:b/>
      <w:bCs/>
      <w:color w:val="E36C0A"/>
      <w:sz w:val="36"/>
      <w:szCs w:val="28"/>
      <w:lang w:eastAsia="en-US"/>
    </w:rPr>
  </w:style>
  <w:style w:type="table" w:customStyle="1" w:styleId="AERtable-numbers">
    <w:name w:val="AER table - numbers"/>
    <w:basedOn w:val="TableNormal"/>
    <w:uiPriority w:val="99"/>
    <w:rsid w:val="00C04D2B"/>
    <w:pPr>
      <w:spacing w:before="120" w:after="80"/>
      <w:jc w:val="right"/>
    </w:pPr>
    <w:rPr>
      <w:sz w:val="16"/>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locked/>
    <w:rsid w:val="00B82E8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bodytextnospace">
    <w:name w:val="AER body text no space"/>
    <w:basedOn w:val="AERbodytext"/>
    <w:qFormat/>
    <w:rsid w:val="00BC05C5"/>
    <w:pPr>
      <w:spacing w:after="0"/>
    </w:pPr>
  </w:style>
  <w:style w:type="paragraph" w:customStyle="1" w:styleId="AERtabletextright">
    <w:name w:val="AER table text right"/>
    <w:basedOn w:val="AERtabletextleft"/>
    <w:qFormat/>
    <w:rsid w:val="00435682"/>
    <w:pPr>
      <w:spacing w:before="120" w:after="80"/>
      <w:jc w:val="right"/>
    </w:pPr>
  </w:style>
  <w:style w:type="paragraph" w:styleId="TOCHeading">
    <w:name w:val="TOC Heading"/>
    <w:basedOn w:val="Heading1"/>
    <w:next w:val="Normal"/>
    <w:uiPriority w:val="39"/>
    <w:semiHidden/>
    <w:unhideWhenUsed/>
    <w:qFormat/>
    <w:locked/>
    <w:rsid w:val="00AF3E95"/>
    <w:pPr>
      <w:pageBreakBefore w:val="0"/>
      <w:numPr>
        <w:ilvl w:val="0"/>
        <w:numId w:val="0"/>
      </w:numPr>
      <w:spacing w:before="480" w:after="0" w:line="276" w:lineRule="auto"/>
      <w:jc w:val="left"/>
      <w:outlineLvl w:val="9"/>
    </w:pPr>
    <w:rPr>
      <w:rFonts w:ascii="Cambria" w:hAnsi="Cambria"/>
      <w:color w:val="365F91"/>
      <w:sz w:val="28"/>
      <w:lang w:val="en-US"/>
    </w:rPr>
  </w:style>
  <w:style w:type="paragraph" w:styleId="TOC1">
    <w:name w:val="toc 1"/>
    <w:basedOn w:val="Normal"/>
    <w:next w:val="Normal"/>
    <w:autoRedefine/>
    <w:uiPriority w:val="39"/>
    <w:unhideWhenUsed/>
    <w:qFormat/>
    <w:rsid w:val="00AF3E95"/>
    <w:pPr>
      <w:spacing w:before="240" w:after="120"/>
      <w:jc w:val="left"/>
    </w:pPr>
    <w:rPr>
      <w:b/>
      <w:bCs/>
    </w:rPr>
  </w:style>
  <w:style w:type="paragraph" w:styleId="TOC2">
    <w:name w:val="toc 2"/>
    <w:basedOn w:val="Normal"/>
    <w:next w:val="Normal"/>
    <w:autoRedefine/>
    <w:uiPriority w:val="39"/>
    <w:unhideWhenUsed/>
    <w:qFormat/>
    <w:rsid w:val="00AF3E95"/>
    <w:pPr>
      <w:spacing w:before="120" w:after="0"/>
      <w:ind w:left="200"/>
      <w:jc w:val="left"/>
    </w:pPr>
    <w:rPr>
      <w:iCs/>
    </w:rPr>
  </w:style>
  <w:style w:type="paragraph" w:styleId="TOC3">
    <w:name w:val="toc 3"/>
    <w:basedOn w:val="Normal"/>
    <w:next w:val="Normal"/>
    <w:autoRedefine/>
    <w:uiPriority w:val="39"/>
    <w:unhideWhenUsed/>
    <w:qFormat/>
    <w:rsid w:val="00AF3E95"/>
    <w:pPr>
      <w:spacing w:after="0"/>
      <w:ind w:left="400"/>
      <w:jc w:val="left"/>
    </w:pPr>
  </w:style>
  <w:style w:type="character" w:styleId="Hyperlink">
    <w:name w:val="Hyperlink"/>
    <w:basedOn w:val="DefaultParagraphFont"/>
    <w:uiPriority w:val="99"/>
    <w:unhideWhenUsed/>
    <w:rsid w:val="00AF3E95"/>
    <w:rPr>
      <w:color w:val="0000FF"/>
      <w:u w:val="single"/>
    </w:rPr>
  </w:style>
  <w:style w:type="paragraph" w:styleId="BalloonText">
    <w:name w:val="Balloon Text"/>
    <w:basedOn w:val="Normal"/>
    <w:link w:val="BalloonTextChar"/>
    <w:uiPriority w:val="99"/>
    <w:semiHidden/>
    <w:unhideWhenUsed/>
    <w:locked/>
    <w:rsid w:val="00AF3E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E95"/>
    <w:rPr>
      <w:rFonts w:ascii="Tahoma" w:hAnsi="Tahoma" w:cs="Tahoma"/>
      <w:sz w:val="16"/>
      <w:szCs w:val="16"/>
    </w:rPr>
  </w:style>
  <w:style w:type="paragraph" w:styleId="TOC4">
    <w:name w:val="toc 4"/>
    <w:basedOn w:val="Normal"/>
    <w:next w:val="Normal"/>
    <w:autoRedefine/>
    <w:uiPriority w:val="39"/>
    <w:semiHidden/>
    <w:locked/>
    <w:rsid w:val="00AF3E95"/>
    <w:pPr>
      <w:spacing w:after="0"/>
      <w:ind w:left="600"/>
      <w:jc w:val="left"/>
    </w:pPr>
    <w:rPr>
      <w:rFonts w:ascii="Calibri" w:hAnsi="Calibri"/>
    </w:rPr>
  </w:style>
  <w:style w:type="paragraph" w:styleId="TOC5">
    <w:name w:val="toc 5"/>
    <w:basedOn w:val="Normal"/>
    <w:next w:val="Normal"/>
    <w:autoRedefine/>
    <w:uiPriority w:val="39"/>
    <w:semiHidden/>
    <w:locked/>
    <w:rsid w:val="00AF3E95"/>
    <w:pPr>
      <w:spacing w:after="0"/>
      <w:ind w:left="800"/>
      <w:jc w:val="left"/>
    </w:pPr>
    <w:rPr>
      <w:rFonts w:ascii="Calibri" w:hAnsi="Calibri"/>
    </w:rPr>
  </w:style>
  <w:style w:type="paragraph" w:styleId="TOC6">
    <w:name w:val="toc 6"/>
    <w:basedOn w:val="Normal"/>
    <w:next w:val="Normal"/>
    <w:autoRedefine/>
    <w:uiPriority w:val="39"/>
    <w:semiHidden/>
    <w:locked/>
    <w:rsid w:val="00AF3E95"/>
    <w:pPr>
      <w:spacing w:after="0"/>
      <w:ind w:left="1000"/>
      <w:jc w:val="left"/>
    </w:pPr>
    <w:rPr>
      <w:rFonts w:ascii="Calibri" w:hAnsi="Calibri"/>
    </w:rPr>
  </w:style>
  <w:style w:type="paragraph" w:styleId="TOC7">
    <w:name w:val="toc 7"/>
    <w:basedOn w:val="Normal"/>
    <w:next w:val="Normal"/>
    <w:autoRedefine/>
    <w:uiPriority w:val="39"/>
    <w:semiHidden/>
    <w:locked/>
    <w:rsid w:val="00AF3E95"/>
    <w:pPr>
      <w:spacing w:after="0"/>
      <w:ind w:left="1200"/>
      <w:jc w:val="left"/>
    </w:pPr>
    <w:rPr>
      <w:rFonts w:ascii="Calibri" w:hAnsi="Calibri"/>
    </w:rPr>
  </w:style>
  <w:style w:type="paragraph" w:styleId="TOC8">
    <w:name w:val="toc 8"/>
    <w:basedOn w:val="Normal"/>
    <w:next w:val="Normal"/>
    <w:autoRedefine/>
    <w:uiPriority w:val="39"/>
    <w:semiHidden/>
    <w:locked/>
    <w:rsid w:val="00AF3E95"/>
    <w:pPr>
      <w:spacing w:after="0"/>
      <w:ind w:left="1400"/>
      <w:jc w:val="left"/>
    </w:pPr>
    <w:rPr>
      <w:rFonts w:ascii="Calibri" w:hAnsi="Calibri"/>
    </w:rPr>
  </w:style>
  <w:style w:type="paragraph" w:styleId="TOC9">
    <w:name w:val="toc 9"/>
    <w:basedOn w:val="Normal"/>
    <w:next w:val="Normal"/>
    <w:autoRedefine/>
    <w:uiPriority w:val="39"/>
    <w:semiHidden/>
    <w:locked/>
    <w:rsid w:val="00AF3E95"/>
    <w:pPr>
      <w:spacing w:after="0"/>
      <w:ind w:left="1600"/>
      <w:jc w:val="left"/>
    </w:pPr>
    <w:rPr>
      <w:rFonts w:ascii="Calibri" w:hAnsi="Calibri"/>
    </w:rPr>
  </w:style>
  <w:style w:type="character" w:styleId="CommentReference">
    <w:name w:val="annotation reference"/>
    <w:basedOn w:val="DefaultParagraphFont"/>
    <w:uiPriority w:val="99"/>
    <w:semiHidden/>
    <w:unhideWhenUsed/>
    <w:locked/>
    <w:rsid w:val="00BE6F28"/>
    <w:rPr>
      <w:sz w:val="16"/>
      <w:szCs w:val="16"/>
    </w:rPr>
  </w:style>
  <w:style w:type="paragraph" w:styleId="CommentText">
    <w:name w:val="annotation text"/>
    <w:basedOn w:val="Normal"/>
    <w:link w:val="CommentTextChar"/>
    <w:uiPriority w:val="99"/>
    <w:semiHidden/>
    <w:unhideWhenUsed/>
    <w:locked/>
    <w:rsid w:val="00BE6F28"/>
    <w:pPr>
      <w:spacing w:line="240" w:lineRule="auto"/>
    </w:pPr>
  </w:style>
  <w:style w:type="character" w:customStyle="1" w:styleId="CommentTextChar">
    <w:name w:val="Comment Text Char"/>
    <w:basedOn w:val="DefaultParagraphFont"/>
    <w:link w:val="CommentText"/>
    <w:uiPriority w:val="99"/>
    <w:semiHidden/>
    <w:rsid w:val="00BE6F28"/>
  </w:style>
  <w:style w:type="paragraph" w:styleId="CommentSubject">
    <w:name w:val="annotation subject"/>
    <w:basedOn w:val="CommentText"/>
    <w:next w:val="CommentText"/>
    <w:link w:val="CommentSubjectChar"/>
    <w:uiPriority w:val="99"/>
    <w:semiHidden/>
    <w:unhideWhenUsed/>
    <w:locked/>
    <w:rsid w:val="00BE6F28"/>
    <w:rPr>
      <w:b/>
      <w:bCs/>
    </w:rPr>
  </w:style>
  <w:style w:type="character" w:customStyle="1" w:styleId="CommentSubjectChar">
    <w:name w:val="Comment Subject Char"/>
    <w:basedOn w:val="CommentTextChar"/>
    <w:link w:val="CommentSubject"/>
    <w:uiPriority w:val="99"/>
    <w:semiHidden/>
    <w:rsid w:val="00BE6F28"/>
    <w:rPr>
      <w:b/>
      <w:bCs/>
    </w:rPr>
  </w:style>
  <w:style w:type="character" w:customStyle="1" w:styleId="AERtextsize8">
    <w:name w:val="AER text size 8"/>
    <w:uiPriority w:val="1"/>
    <w:qFormat/>
    <w:rsid w:val="0020711E"/>
    <w:rPr>
      <w:sz w:val="16"/>
    </w:rPr>
  </w:style>
  <w:style w:type="character" w:customStyle="1" w:styleId="AERtextsize10">
    <w:name w:val="AER text size 10"/>
    <w:uiPriority w:val="1"/>
    <w:qFormat/>
    <w:rsid w:val="0020711E"/>
    <w:rPr>
      <w:sz w:val="20"/>
    </w:rPr>
  </w:style>
  <w:style w:type="paragraph" w:customStyle="1" w:styleId="AERnumberedlist2first">
    <w:name w:val="AER numbered list 2 first"/>
    <w:basedOn w:val="AERbodytext"/>
    <w:qFormat/>
    <w:rsid w:val="000E1A25"/>
    <w:pPr>
      <w:numPr>
        <w:ilvl w:val="4"/>
      </w:numPr>
    </w:pPr>
  </w:style>
  <w:style w:type="paragraph" w:customStyle="1" w:styleId="AERnumberedlist2second">
    <w:name w:val="AER numbered list 2 second"/>
    <w:basedOn w:val="AERnumberedlist2first"/>
    <w:qFormat/>
    <w:rsid w:val="000E1A25"/>
    <w:pPr>
      <w:numPr>
        <w:ilvl w:val="5"/>
      </w:numPr>
    </w:pPr>
  </w:style>
  <w:style w:type="paragraph" w:customStyle="1" w:styleId="AERnumberedlist2third">
    <w:name w:val="AER numbered list 2 third"/>
    <w:basedOn w:val="AERnumberedlist2second"/>
    <w:qFormat/>
    <w:rsid w:val="000E1A25"/>
    <w:pPr>
      <w:numPr>
        <w:ilvl w:val="6"/>
      </w:numPr>
    </w:pPr>
  </w:style>
  <w:style w:type="paragraph" w:customStyle="1" w:styleId="HeadingBoldBlue">
    <w:name w:val="Heading Bold Blue"/>
    <w:basedOn w:val="AERbodytext"/>
    <w:next w:val="AERbodytext"/>
    <w:link w:val="HeadingBoldBlueChar"/>
    <w:qFormat/>
    <w:rsid w:val="00BD04BE"/>
    <w:pPr>
      <w:keepNext/>
    </w:pPr>
    <w:rPr>
      <w:b/>
      <w:color w:val="365F91" w:themeColor="accent1" w:themeShade="BF"/>
      <w:sz w:val="22"/>
    </w:rPr>
  </w:style>
  <w:style w:type="paragraph" w:customStyle="1" w:styleId="HeadingBoldItalic">
    <w:name w:val="Heading Bold Italic"/>
    <w:basedOn w:val="AERbodytext"/>
    <w:next w:val="AERbodytext"/>
    <w:qFormat/>
    <w:rsid w:val="00A46CCD"/>
    <w:rPr>
      <w:b/>
      <w:i/>
    </w:rPr>
  </w:style>
  <w:style w:type="character" w:customStyle="1" w:styleId="AERbodytextChar">
    <w:name w:val="AER body text Char"/>
    <w:basedOn w:val="DefaultParagraphFont"/>
    <w:link w:val="AERbodytext"/>
    <w:rsid w:val="00BD04BE"/>
    <w:rPr>
      <w:rFonts w:eastAsia="Times New Roman"/>
      <w:szCs w:val="24"/>
      <w:lang w:eastAsia="en-US"/>
    </w:rPr>
  </w:style>
  <w:style w:type="character" w:customStyle="1" w:styleId="HeadingBoldBlueChar">
    <w:name w:val="Heading Bold Blue Char"/>
    <w:basedOn w:val="AERbodytextChar"/>
    <w:link w:val="HeadingBoldBlue"/>
    <w:rsid w:val="00BD04BE"/>
    <w:rPr>
      <w:rFonts w:eastAsia="Times New Roman"/>
      <w:b/>
      <w:color w:val="365F91" w:themeColor="accent1" w:themeShade="BF"/>
      <w:sz w:val="22"/>
      <w:szCs w:val="24"/>
      <w:lang w:eastAsia="en-US"/>
    </w:rPr>
  </w:style>
  <w:style w:type="paragraph" w:customStyle="1" w:styleId="HeadingItalic">
    <w:name w:val="Heading Italic"/>
    <w:basedOn w:val="AERbodytext"/>
    <w:next w:val="AERbodytext"/>
    <w:qFormat/>
    <w:rsid w:val="00A46CCD"/>
    <w:rPr>
      <w:i/>
    </w:rPr>
  </w:style>
  <w:style w:type="character" w:styleId="PageNumber">
    <w:name w:val="page number"/>
    <w:basedOn w:val="DefaultParagraphFont"/>
    <w:rsid w:val="00CC49D4"/>
    <w:rPr>
      <w:rFonts w:ascii="Gautami" w:hAnsi="Gautami"/>
      <w:sz w:val="18"/>
    </w:rPr>
  </w:style>
  <w:style w:type="paragraph" w:styleId="Revision">
    <w:name w:val="Revision"/>
    <w:hidden/>
    <w:uiPriority w:val="99"/>
    <w:semiHidden/>
    <w:rsid w:val="00034DEC"/>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ERHeadings">
    <w:name w:val="AERHeadings"/>
    <w:pPr>
      <w:numPr>
        <w:numId w:val="1"/>
      </w:numPr>
    </w:pPr>
  </w:style>
  <w:style w:type="numbering" w:customStyle="1" w:styleId="Heading1Char">
    <w:name w:val="OldAERheadings"/>
    <w:pPr>
      <w:numPr>
        <w:numId w:val="7"/>
      </w:numPr>
    </w:pPr>
  </w:style>
  <w:style w:type="numbering" w:customStyle="1" w:styleId="Heading2Char">
    <w:name w:val="AERnumberedlist"/>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4560918">
      <w:bodyDiv w:val="1"/>
      <w:marLeft w:val="0"/>
      <w:marRight w:val="0"/>
      <w:marTop w:val="0"/>
      <w:marBottom w:val="0"/>
      <w:divBdr>
        <w:top w:val="none" w:sz="0" w:space="0" w:color="auto"/>
        <w:left w:val="none" w:sz="0" w:space="0" w:color="auto"/>
        <w:bottom w:val="none" w:sz="0" w:space="0" w:color="auto"/>
        <w:right w:val="none" w:sz="0" w:space="0" w:color="auto"/>
      </w:divBdr>
      <w:divsChild>
        <w:div w:id="1191214667">
          <w:marLeft w:val="547"/>
          <w:marRight w:val="0"/>
          <w:marTop w:val="154"/>
          <w:marBottom w:val="0"/>
          <w:divBdr>
            <w:top w:val="none" w:sz="0" w:space="0" w:color="auto"/>
            <w:left w:val="none" w:sz="0" w:space="0" w:color="auto"/>
            <w:bottom w:val="none" w:sz="0" w:space="0" w:color="auto"/>
            <w:right w:val="none" w:sz="0" w:space="0" w:color="auto"/>
          </w:divBdr>
        </w:div>
        <w:div w:id="971863162">
          <w:marLeft w:val="547"/>
          <w:marRight w:val="0"/>
          <w:marTop w:val="154"/>
          <w:marBottom w:val="0"/>
          <w:divBdr>
            <w:top w:val="none" w:sz="0" w:space="0" w:color="auto"/>
            <w:left w:val="none" w:sz="0" w:space="0" w:color="auto"/>
            <w:bottom w:val="none" w:sz="0" w:space="0" w:color="auto"/>
            <w:right w:val="none" w:sz="0" w:space="0" w:color="auto"/>
          </w:divBdr>
        </w:div>
        <w:div w:id="650787923">
          <w:marLeft w:val="547"/>
          <w:marRight w:val="0"/>
          <w:marTop w:val="154"/>
          <w:marBottom w:val="0"/>
          <w:divBdr>
            <w:top w:val="none" w:sz="0" w:space="0" w:color="auto"/>
            <w:left w:val="none" w:sz="0" w:space="0" w:color="auto"/>
            <w:bottom w:val="none" w:sz="0" w:space="0" w:color="auto"/>
            <w:right w:val="none" w:sz="0" w:space="0" w:color="auto"/>
          </w:divBdr>
        </w:div>
        <w:div w:id="1419982345">
          <w:marLeft w:val="547"/>
          <w:marRight w:val="0"/>
          <w:marTop w:val="154"/>
          <w:marBottom w:val="0"/>
          <w:divBdr>
            <w:top w:val="none" w:sz="0" w:space="0" w:color="auto"/>
            <w:left w:val="none" w:sz="0" w:space="0" w:color="auto"/>
            <w:bottom w:val="none" w:sz="0" w:space="0" w:color="auto"/>
            <w:right w:val="none" w:sz="0" w:space="0" w:color="auto"/>
          </w:divBdr>
        </w:div>
      </w:divsChild>
    </w:div>
    <w:div w:id="993216248">
      <w:bodyDiv w:val="1"/>
      <w:marLeft w:val="0"/>
      <w:marRight w:val="0"/>
      <w:marTop w:val="0"/>
      <w:marBottom w:val="0"/>
      <w:divBdr>
        <w:top w:val="none" w:sz="0" w:space="0" w:color="auto"/>
        <w:left w:val="none" w:sz="0" w:space="0" w:color="auto"/>
        <w:bottom w:val="none" w:sz="0" w:space="0" w:color="auto"/>
        <w:right w:val="none" w:sz="0" w:space="0" w:color="auto"/>
      </w:divBdr>
    </w:div>
    <w:div w:id="1469200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ERInquiry@aer.gov.a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0B0AAA-57A4-4138-B184-948A21526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4F2C7A41.dotm</Template>
  <TotalTime>0</TotalTime>
  <Pages>26</Pages>
  <Words>7201</Words>
  <Characters>41049</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
    </vt:vector>
  </TitlesOfParts>
  <Company>ACCC</Company>
  <LinksUpToDate>false</LinksUpToDate>
  <CharactersWithSpaces>48154</CharactersWithSpaces>
  <SharedDoc>false</SharedDoc>
  <HLinks>
    <vt:vector size="108" baseType="variant">
      <vt:variant>
        <vt:i4>1048636</vt:i4>
      </vt:variant>
      <vt:variant>
        <vt:i4>104</vt:i4>
      </vt:variant>
      <vt:variant>
        <vt:i4>0</vt:i4>
      </vt:variant>
      <vt:variant>
        <vt:i4>5</vt:i4>
      </vt:variant>
      <vt:variant>
        <vt:lpwstr/>
      </vt:variant>
      <vt:variant>
        <vt:lpwstr>_Toc322596469</vt:lpwstr>
      </vt:variant>
      <vt:variant>
        <vt:i4>1048636</vt:i4>
      </vt:variant>
      <vt:variant>
        <vt:i4>98</vt:i4>
      </vt:variant>
      <vt:variant>
        <vt:i4>0</vt:i4>
      </vt:variant>
      <vt:variant>
        <vt:i4>5</vt:i4>
      </vt:variant>
      <vt:variant>
        <vt:lpwstr/>
      </vt:variant>
      <vt:variant>
        <vt:lpwstr>_Toc322596468</vt:lpwstr>
      </vt:variant>
      <vt:variant>
        <vt:i4>1048636</vt:i4>
      </vt:variant>
      <vt:variant>
        <vt:i4>92</vt:i4>
      </vt:variant>
      <vt:variant>
        <vt:i4>0</vt:i4>
      </vt:variant>
      <vt:variant>
        <vt:i4>5</vt:i4>
      </vt:variant>
      <vt:variant>
        <vt:lpwstr/>
      </vt:variant>
      <vt:variant>
        <vt:lpwstr>_Toc322596467</vt:lpwstr>
      </vt:variant>
      <vt:variant>
        <vt:i4>1048636</vt:i4>
      </vt:variant>
      <vt:variant>
        <vt:i4>86</vt:i4>
      </vt:variant>
      <vt:variant>
        <vt:i4>0</vt:i4>
      </vt:variant>
      <vt:variant>
        <vt:i4>5</vt:i4>
      </vt:variant>
      <vt:variant>
        <vt:lpwstr/>
      </vt:variant>
      <vt:variant>
        <vt:lpwstr>_Toc322596466</vt:lpwstr>
      </vt:variant>
      <vt:variant>
        <vt:i4>1048636</vt:i4>
      </vt:variant>
      <vt:variant>
        <vt:i4>80</vt:i4>
      </vt:variant>
      <vt:variant>
        <vt:i4>0</vt:i4>
      </vt:variant>
      <vt:variant>
        <vt:i4>5</vt:i4>
      </vt:variant>
      <vt:variant>
        <vt:lpwstr/>
      </vt:variant>
      <vt:variant>
        <vt:lpwstr>_Toc322596465</vt:lpwstr>
      </vt:variant>
      <vt:variant>
        <vt:i4>1048636</vt:i4>
      </vt:variant>
      <vt:variant>
        <vt:i4>74</vt:i4>
      </vt:variant>
      <vt:variant>
        <vt:i4>0</vt:i4>
      </vt:variant>
      <vt:variant>
        <vt:i4>5</vt:i4>
      </vt:variant>
      <vt:variant>
        <vt:lpwstr/>
      </vt:variant>
      <vt:variant>
        <vt:lpwstr>_Toc322596464</vt:lpwstr>
      </vt:variant>
      <vt:variant>
        <vt:i4>1048636</vt:i4>
      </vt:variant>
      <vt:variant>
        <vt:i4>68</vt:i4>
      </vt:variant>
      <vt:variant>
        <vt:i4>0</vt:i4>
      </vt:variant>
      <vt:variant>
        <vt:i4>5</vt:i4>
      </vt:variant>
      <vt:variant>
        <vt:lpwstr/>
      </vt:variant>
      <vt:variant>
        <vt:lpwstr>_Toc322596463</vt:lpwstr>
      </vt:variant>
      <vt:variant>
        <vt:i4>1048636</vt:i4>
      </vt:variant>
      <vt:variant>
        <vt:i4>62</vt:i4>
      </vt:variant>
      <vt:variant>
        <vt:i4>0</vt:i4>
      </vt:variant>
      <vt:variant>
        <vt:i4>5</vt:i4>
      </vt:variant>
      <vt:variant>
        <vt:lpwstr/>
      </vt:variant>
      <vt:variant>
        <vt:lpwstr>_Toc322596462</vt:lpwstr>
      </vt:variant>
      <vt:variant>
        <vt:i4>1048636</vt:i4>
      </vt:variant>
      <vt:variant>
        <vt:i4>56</vt:i4>
      </vt:variant>
      <vt:variant>
        <vt:i4>0</vt:i4>
      </vt:variant>
      <vt:variant>
        <vt:i4>5</vt:i4>
      </vt:variant>
      <vt:variant>
        <vt:lpwstr/>
      </vt:variant>
      <vt:variant>
        <vt:lpwstr>_Toc322596461</vt:lpwstr>
      </vt:variant>
      <vt:variant>
        <vt:i4>1048636</vt:i4>
      </vt:variant>
      <vt:variant>
        <vt:i4>50</vt:i4>
      </vt:variant>
      <vt:variant>
        <vt:i4>0</vt:i4>
      </vt:variant>
      <vt:variant>
        <vt:i4>5</vt:i4>
      </vt:variant>
      <vt:variant>
        <vt:lpwstr/>
      </vt:variant>
      <vt:variant>
        <vt:lpwstr>_Toc322596460</vt:lpwstr>
      </vt:variant>
      <vt:variant>
        <vt:i4>1245244</vt:i4>
      </vt:variant>
      <vt:variant>
        <vt:i4>44</vt:i4>
      </vt:variant>
      <vt:variant>
        <vt:i4>0</vt:i4>
      </vt:variant>
      <vt:variant>
        <vt:i4>5</vt:i4>
      </vt:variant>
      <vt:variant>
        <vt:lpwstr/>
      </vt:variant>
      <vt:variant>
        <vt:lpwstr>_Toc322596459</vt:lpwstr>
      </vt:variant>
      <vt:variant>
        <vt:i4>1245244</vt:i4>
      </vt:variant>
      <vt:variant>
        <vt:i4>38</vt:i4>
      </vt:variant>
      <vt:variant>
        <vt:i4>0</vt:i4>
      </vt:variant>
      <vt:variant>
        <vt:i4>5</vt:i4>
      </vt:variant>
      <vt:variant>
        <vt:lpwstr/>
      </vt:variant>
      <vt:variant>
        <vt:lpwstr>_Toc322596458</vt:lpwstr>
      </vt:variant>
      <vt:variant>
        <vt:i4>1245244</vt:i4>
      </vt:variant>
      <vt:variant>
        <vt:i4>32</vt:i4>
      </vt:variant>
      <vt:variant>
        <vt:i4>0</vt:i4>
      </vt:variant>
      <vt:variant>
        <vt:i4>5</vt:i4>
      </vt:variant>
      <vt:variant>
        <vt:lpwstr/>
      </vt:variant>
      <vt:variant>
        <vt:lpwstr>_Toc322596457</vt:lpwstr>
      </vt:variant>
      <vt:variant>
        <vt:i4>1245244</vt:i4>
      </vt:variant>
      <vt:variant>
        <vt:i4>26</vt:i4>
      </vt:variant>
      <vt:variant>
        <vt:i4>0</vt:i4>
      </vt:variant>
      <vt:variant>
        <vt:i4>5</vt:i4>
      </vt:variant>
      <vt:variant>
        <vt:lpwstr/>
      </vt:variant>
      <vt:variant>
        <vt:lpwstr>_Toc322596456</vt:lpwstr>
      </vt:variant>
      <vt:variant>
        <vt:i4>1245244</vt:i4>
      </vt:variant>
      <vt:variant>
        <vt:i4>20</vt:i4>
      </vt:variant>
      <vt:variant>
        <vt:i4>0</vt:i4>
      </vt:variant>
      <vt:variant>
        <vt:i4>5</vt:i4>
      </vt:variant>
      <vt:variant>
        <vt:lpwstr/>
      </vt:variant>
      <vt:variant>
        <vt:lpwstr>_Toc322596455</vt:lpwstr>
      </vt:variant>
      <vt:variant>
        <vt:i4>1245244</vt:i4>
      </vt:variant>
      <vt:variant>
        <vt:i4>14</vt:i4>
      </vt:variant>
      <vt:variant>
        <vt:i4>0</vt:i4>
      </vt:variant>
      <vt:variant>
        <vt:i4>5</vt:i4>
      </vt:variant>
      <vt:variant>
        <vt:lpwstr/>
      </vt:variant>
      <vt:variant>
        <vt:lpwstr>_Toc322596454</vt:lpwstr>
      </vt:variant>
      <vt:variant>
        <vt:i4>1245244</vt:i4>
      </vt:variant>
      <vt:variant>
        <vt:i4>8</vt:i4>
      </vt:variant>
      <vt:variant>
        <vt:i4>0</vt:i4>
      </vt:variant>
      <vt:variant>
        <vt:i4>5</vt:i4>
      </vt:variant>
      <vt:variant>
        <vt:lpwstr/>
      </vt:variant>
      <vt:variant>
        <vt:lpwstr>_Toc322596453</vt:lpwstr>
      </vt:variant>
      <vt:variant>
        <vt:i4>1245244</vt:i4>
      </vt:variant>
      <vt:variant>
        <vt:i4>2</vt:i4>
      </vt:variant>
      <vt:variant>
        <vt:i4>0</vt:i4>
      </vt:variant>
      <vt:variant>
        <vt:i4>5</vt:i4>
      </vt:variant>
      <vt:variant>
        <vt:lpwstr/>
      </vt:variant>
      <vt:variant>
        <vt:lpwstr>_Toc322596452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Expenditure forecast assessment guideline - distribution</dc:title>
  <dc:subject/>
  <dc:creator>AER</dc:creator>
  <cp:keywords/>
  <cp:lastModifiedBy>Sam Sutton</cp:lastModifiedBy>
  <cp:revision>3</cp:revision>
  <cp:lastPrinted>2012-05-03T01:13:00Z</cp:lastPrinted>
  <dcterms:created xsi:type="dcterms:W3CDTF">2013-08-08T23:27:00Z</dcterms:created>
  <dcterms:modified xsi:type="dcterms:W3CDTF">2013-08-08T23:27:00Z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rrfile">
    <vt:lpwstr>H:\TRIMDATA\TRIM\TEMP\HPTRIM.3452\D13 98015  Expenditure forecast assessment guidelines - The Draft Guidelines FINAL - distribution(5).DOCX</vt:lpwstr>
  </property>
  <property fmtid="{D5CDD505-2E9C-101B-9397-08002B2CF9AE}" pid="3" name="_MarkAsFinal">
    <vt:bool>true</vt:bool>
  </property>
</Properties>
</file>