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D35" w:rsidRPr="007A4D40" w:rsidRDefault="00DA56E3" w:rsidP="008E712F">
      <w:pPr>
        <w:pStyle w:val="Subtitle"/>
        <w:spacing w:before="3600" w:after="0"/>
        <w:jc w:val="center"/>
        <w:rPr>
          <w:rFonts w:ascii="Arial" w:hAnsi="Arial" w:cs="Arial"/>
          <w:color w:val="auto"/>
          <w:sz w:val="28"/>
          <w:szCs w:val="28"/>
        </w:rPr>
      </w:pPr>
      <w:bookmarkStart w:id="0" w:name="_GoBack"/>
      <w:bookmarkEnd w:id="0"/>
      <w:r>
        <w:rPr>
          <w:rFonts w:ascii="Arial" w:hAnsi="Arial" w:cs="Arial"/>
          <w:noProof/>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0pt;margin-top:-1in;width:601pt;height:850pt;z-index:-251658752">
            <v:imagedata r:id="rId9" o:title="AER-final-orange"/>
          </v:shape>
        </w:pict>
      </w:r>
      <w:r w:rsidR="00124229" w:rsidRPr="007A4D40">
        <w:rPr>
          <w:rFonts w:ascii="Arial" w:hAnsi="Arial" w:cs="Arial"/>
          <w:color w:val="auto"/>
          <w:sz w:val="28"/>
          <w:szCs w:val="28"/>
        </w:rPr>
        <w:t>DRAFT</w:t>
      </w:r>
    </w:p>
    <w:p w:rsidR="00750D7E" w:rsidRPr="00C9036A" w:rsidRDefault="00750D7E" w:rsidP="00750D7E">
      <w:pPr>
        <w:pStyle w:val="AERtitle10"/>
        <w:rPr>
          <w:rFonts w:ascii="Arial" w:hAnsi="Arial" w:cs="Arial"/>
        </w:rPr>
      </w:pPr>
    </w:p>
    <w:p w:rsidR="00750D7E" w:rsidRPr="00C9036A" w:rsidRDefault="00750D7E" w:rsidP="00750D7E">
      <w:pPr>
        <w:pStyle w:val="AERtitle10"/>
        <w:rPr>
          <w:rFonts w:ascii="Arial" w:hAnsi="Arial" w:cs="Arial"/>
        </w:rPr>
      </w:pPr>
    </w:p>
    <w:p w:rsidR="00750D7E" w:rsidRPr="00C9036A" w:rsidRDefault="00750D7E" w:rsidP="00750D7E">
      <w:pPr>
        <w:pStyle w:val="AERtitle10"/>
        <w:rPr>
          <w:rFonts w:ascii="Arial" w:hAnsi="Arial" w:cs="Arial"/>
        </w:rPr>
      </w:pPr>
      <w:r w:rsidRPr="00C9036A">
        <w:rPr>
          <w:rFonts w:ascii="Arial" w:hAnsi="Arial" w:cs="Arial"/>
        </w:rPr>
        <w:t>Explanatory statement</w:t>
      </w:r>
    </w:p>
    <w:p w:rsidR="00645030" w:rsidRPr="00C9036A" w:rsidRDefault="00645030" w:rsidP="00750D7E">
      <w:pPr>
        <w:pStyle w:val="AERtitle10"/>
        <w:rPr>
          <w:rFonts w:ascii="Arial" w:hAnsi="Arial" w:cs="Arial"/>
          <w:sz w:val="32"/>
        </w:rPr>
      </w:pPr>
      <w:r w:rsidRPr="00C9036A">
        <w:rPr>
          <w:rFonts w:ascii="Arial" w:hAnsi="Arial" w:cs="Arial"/>
          <w:sz w:val="32"/>
        </w:rPr>
        <w:t xml:space="preserve">Electricity </w:t>
      </w:r>
      <w:r w:rsidR="00804DAB" w:rsidRPr="00C9036A">
        <w:rPr>
          <w:rFonts w:ascii="Arial" w:hAnsi="Arial" w:cs="Arial"/>
          <w:sz w:val="32"/>
        </w:rPr>
        <w:t>T</w:t>
      </w:r>
      <w:r w:rsidRPr="00C9036A">
        <w:rPr>
          <w:rFonts w:ascii="Arial" w:hAnsi="Arial" w:cs="Arial"/>
          <w:sz w:val="32"/>
        </w:rPr>
        <w:t xml:space="preserve">ransmission </w:t>
      </w:r>
      <w:r w:rsidR="00804DAB" w:rsidRPr="00C9036A">
        <w:rPr>
          <w:rFonts w:ascii="Arial" w:hAnsi="Arial" w:cs="Arial"/>
          <w:sz w:val="32"/>
        </w:rPr>
        <w:t>N</w:t>
      </w:r>
      <w:r w:rsidRPr="00C9036A">
        <w:rPr>
          <w:rFonts w:ascii="Arial" w:hAnsi="Arial" w:cs="Arial"/>
          <w:sz w:val="32"/>
        </w:rPr>
        <w:t xml:space="preserve">etwork </w:t>
      </w:r>
      <w:r w:rsidR="00804DAB" w:rsidRPr="00C9036A">
        <w:rPr>
          <w:rFonts w:ascii="Arial" w:hAnsi="Arial" w:cs="Arial"/>
          <w:sz w:val="32"/>
        </w:rPr>
        <w:t>S</w:t>
      </w:r>
      <w:r w:rsidRPr="00C9036A">
        <w:rPr>
          <w:rFonts w:ascii="Arial" w:hAnsi="Arial" w:cs="Arial"/>
          <w:sz w:val="32"/>
        </w:rPr>
        <w:t xml:space="preserve">ervice </w:t>
      </w:r>
      <w:r w:rsidR="00804DAB" w:rsidRPr="00C9036A">
        <w:rPr>
          <w:rFonts w:ascii="Arial" w:hAnsi="Arial" w:cs="Arial"/>
          <w:sz w:val="32"/>
        </w:rPr>
        <w:t>P</w:t>
      </w:r>
      <w:r w:rsidRPr="00C9036A">
        <w:rPr>
          <w:rFonts w:ascii="Arial" w:hAnsi="Arial" w:cs="Arial"/>
          <w:sz w:val="32"/>
        </w:rPr>
        <w:t>roviders</w:t>
      </w:r>
      <w:r w:rsidR="00804122" w:rsidRPr="00C9036A">
        <w:rPr>
          <w:rFonts w:ascii="Arial" w:hAnsi="Arial" w:cs="Arial"/>
          <w:sz w:val="32"/>
        </w:rPr>
        <w:br/>
      </w:r>
      <w:r w:rsidR="00804122" w:rsidRPr="00C9036A">
        <w:rPr>
          <w:rFonts w:ascii="Arial" w:hAnsi="Arial" w:cs="Arial"/>
          <w:sz w:val="32"/>
        </w:rPr>
        <w:br/>
      </w:r>
      <w:r w:rsidRPr="00C9036A">
        <w:rPr>
          <w:rFonts w:ascii="Arial" w:hAnsi="Arial" w:cs="Arial"/>
          <w:sz w:val="32"/>
        </w:rPr>
        <w:t xml:space="preserve">Information </w:t>
      </w:r>
      <w:r w:rsidR="00430453" w:rsidRPr="00C9036A">
        <w:rPr>
          <w:rFonts w:ascii="Arial" w:hAnsi="Arial" w:cs="Arial"/>
          <w:sz w:val="32"/>
        </w:rPr>
        <w:t>guideline</w:t>
      </w:r>
      <w:r w:rsidR="00124229" w:rsidRPr="00C9036A">
        <w:rPr>
          <w:rFonts w:ascii="Arial" w:hAnsi="Arial" w:cs="Arial"/>
          <w:sz w:val="32"/>
        </w:rPr>
        <w:t xml:space="preserve"> (Version 2)</w:t>
      </w:r>
      <w:r w:rsidR="00B94952" w:rsidRPr="00C9036A">
        <w:rPr>
          <w:rFonts w:ascii="Arial" w:hAnsi="Arial" w:cs="Arial"/>
          <w:sz w:val="32"/>
        </w:rPr>
        <w:t xml:space="preserve"> </w:t>
      </w:r>
    </w:p>
    <w:p w:rsidR="00875A38" w:rsidRPr="008E712F" w:rsidRDefault="007F3AF7" w:rsidP="008E712F">
      <w:pPr>
        <w:pStyle w:val="Subtitle"/>
        <w:spacing w:before="3600" w:after="0"/>
        <w:jc w:val="center"/>
        <w:rPr>
          <w:rFonts w:ascii="Arial" w:hAnsi="Arial" w:cs="Arial"/>
          <w:color w:val="auto"/>
          <w:sz w:val="32"/>
          <w:szCs w:val="32"/>
        </w:rPr>
      </w:pPr>
      <w:r w:rsidRPr="008E712F">
        <w:rPr>
          <w:rFonts w:ascii="Arial" w:hAnsi="Arial" w:cs="Arial"/>
          <w:color w:val="auto"/>
          <w:sz w:val="32"/>
          <w:szCs w:val="32"/>
        </w:rPr>
        <w:t xml:space="preserve">December </w:t>
      </w:r>
      <w:r w:rsidR="00AE6E52" w:rsidRPr="008E712F">
        <w:rPr>
          <w:rFonts w:ascii="Arial" w:hAnsi="Arial" w:cs="Arial"/>
          <w:color w:val="auto"/>
          <w:sz w:val="32"/>
          <w:szCs w:val="32"/>
        </w:rPr>
        <w:t>201</w:t>
      </w:r>
      <w:r w:rsidRPr="008E712F">
        <w:rPr>
          <w:rFonts w:ascii="Arial" w:hAnsi="Arial" w:cs="Arial"/>
          <w:color w:val="auto"/>
          <w:sz w:val="32"/>
          <w:szCs w:val="32"/>
        </w:rPr>
        <w:t>4</w:t>
      </w:r>
    </w:p>
    <w:p w:rsidR="00793119" w:rsidRPr="00C9036A" w:rsidRDefault="00793119" w:rsidP="00553D45">
      <w:pPr>
        <w:pStyle w:val="AERbodytext"/>
        <w:rPr>
          <w:rFonts w:cs="Arial"/>
        </w:rPr>
      </w:pPr>
    </w:p>
    <w:p w:rsidR="00972D35" w:rsidRPr="00C9036A" w:rsidRDefault="00972D35" w:rsidP="00553D45">
      <w:pPr>
        <w:pStyle w:val="AERbodytext"/>
        <w:rPr>
          <w:rFonts w:cs="Arial"/>
        </w:rPr>
        <w:sectPr w:rsidR="00972D35" w:rsidRPr="00C9036A" w:rsidSect="00B853FD">
          <w:pgSz w:w="11906" w:h="16838" w:code="9"/>
          <w:pgMar w:top="1440" w:right="1797" w:bottom="1440" w:left="1797" w:header="709" w:footer="709" w:gutter="0"/>
          <w:cols w:space="708"/>
          <w:docGrid w:linePitch="360"/>
        </w:sectPr>
      </w:pPr>
    </w:p>
    <w:p w:rsidR="00750D7E" w:rsidRPr="00C9036A" w:rsidRDefault="00750D7E" w:rsidP="008E712F">
      <w:pPr>
        <w:pStyle w:val="AERbodytext"/>
        <w:numPr>
          <w:ilvl w:val="0"/>
          <w:numId w:val="17"/>
        </w:numPr>
        <w:spacing w:before="0" w:after="240" w:line="288" w:lineRule="auto"/>
        <w:jc w:val="both"/>
        <w:rPr>
          <w:rFonts w:cs="Arial"/>
        </w:rPr>
      </w:pPr>
      <w:r w:rsidRPr="00C9036A">
        <w:rPr>
          <w:rFonts w:cs="Arial"/>
        </w:rPr>
        <w:lastRenderedPageBreak/>
        <w:t xml:space="preserve">© Commonwealth of Australia 2014 </w:t>
      </w:r>
    </w:p>
    <w:p w:rsidR="00750D7E" w:rsidRPr="00C9036A" w:rsidRDefault="00750D7E" w:rsidP="00750D7E">
      <w:pPr>
        <w:rPr>
          <w:rFonts w:cs="Arial"/>
        </w:rPr>
      </w:pPr>
      <w:r w:rsidRPr="00C9036A">
        <w:rPr>
          <w:rFonts w:cs="Arial"/>
        </w:rPr>
        <w:t>This work is copyright. In addition to any use permitted under the Copyright Act 1968, all material contained within this work is provided under a Creative Commons Attribution 3.0 Australia licence, with the exception of:</w:t>
      </w:r>
    </w:p>
    <w:p w:rsidR="00750D7E" w:rsidRPr="00C9036A" w:rsidRDefault="00750D7E" w:rsidP="008E712F">
      <w:pPr>
        <w:pStyle w:val="AERbulletlistfirststyle"/>
        <w:numPr>
          <w:ilvl w:val="0"/>
          <w:numId w:val="14"/>
        </w:numPr>
        <w:tabs>
          <w:tab w:val="left" w:pos="357"/>
        </w:tabs>
        <w:spacing w:before="0" w:after="200" w:line="288" w:lineRule="auto"/>
        <w:ind w:left="357" w:hanging="357"/>
        <w:jc w:val="both"/>
        <w:rPr>
          <w:rFonts w:cs="Arial"/>
        </w:rPr>
      </w:pPr>
      <w:r w:rsidRPr="00C9036A">
        <w:rPr>
          <w:rFonts w:cs="Arial"/>
        </w:rPr>
        <w:t>the Commonwealth Coat of Arms</w:t>
      </w:r>
    </w:p>
    <w:p w:rsidR="00750D7E" w:rsidRPr="00C9036A" w:rsidRDefault="00750D7E" w:rsidP="008E712F">
      <w:pPr>
        <w:pStyle w:val="AERbulletlistfirststyle"/>
        <w:numPr>
          <w:ilvl w:val="0"/>
          <w:numId w:val="14"/>
        </w:numPr>
        <w:tabs>
          <w:tab w:val="left" w:pos="357"/>
        </w:tabs>
        <w:spacing w:before="0" w:after="200" w:line="288" w:lineRule="auto"/>
        <w:ind w:left="357" w:hanging="357"/>
        <w:jc w:val="both"/>
        <w:rPr>
          <w:rFonts w:cs="Arial"/>
        </w:rPr>
      </w:pPr>
      <w:r w:rsidRPr="00C9036A">
        <w:rPr>
          <w:rFonts w:cs="Arial"/>
        </w:rPr>
        <w:t>the ACCC and AER logos</w:t>
      </w:r>
    </w:p>
    <w:p w:rsidR="00750D7E" w:rsidRPr="00C9036A" w:rsidRDefault="00750D7E" w:rsidP="008E712F">
      <w:pPr>
        <w:pStyle w:val="AERbulletlistfirststyle"/>
        <w:numPr>
          <w:ilvl w:val="0"/>
          <w:numId w:val="14"/>
        </w:numPr>
        <w:tabs>
          <w:tab w:val="left" w:pos="357"/>
        </w:tabs>
        <w:spacing w:before="0" w:after="200" w:line="288" w:lineRule="auto"/>
        <w:ind w:left="357" w:hanging="357"/>
        <w:jc w:val="both"/>
        <w:rPr>
          <w:rFonts w:cs="Arial"/>
        </w:rPr>
      </w:pPr>
      <w:r w:rsidRPr="00C9036A">
        <w:rPr>
          <w:rFonts w:cs="Arial"/>
        </w:rPr>
        <w:t>any illustration, diagram, photograph or graphic over which the Australian Competition and Consumer Commission does not hold copyright, but which may be part of or contained within this publication.</w:t>
      </w:r>
    </w:p>
    <w:p w:rsidR="00750D7E" w:rsidRPr="00C9036A" w:rsidRDefault="00750D7E" w:rsidP="00750D7E">
      <w:pPr>
        <w:rPr>
          <w:rFonts w:cs="Arial"/>
        </w:rPr>
      </w:pPr>
      <w:r w:rsidRPr="00C9036A">
        <w:rPr>
          <w:rFonts w:cs="Arial"/>
        </w:rPr>
        <w:t>The details of the relevant licence conditions are available on the Creative Commons website, as is the full legal code for the CC BY 3.0 AU licence.</w:t>
      </w:r>
    </w:p>
    <w:p w:rsidR="00750D7E" w:rsidRPr="00C9036A" w:rsidRDefault="00750D7E" w:rsidP="00750D7E">
      <w:pPr>
        <w:rPr>
          <w:rFonts w:cs="Arial"/>
        </w:rPr>
      </w:pPr>
      <w:r w:rsidRPr="00C9036A">
        <w:rPr>
          <w:rFonts w:cs="Arial"/>
        </w:rPr>
        <w:t xml:space="preserve">Requests and inquiries concerning reproduction and rights should be addressed to the Director, Corporate Communications, ACCC, GPO Box 3131, Canberra ACT 2601, or </w:t>
      </w:r>
      <w:hyperlink r:id="rId10" w:history="1">
        <w:r w:rsidRPr="00C9036A">
          <w:rPr>
            <w:rStyle w:val="Hyperlink"/>
            <w:rFonts w:cs="Arial"/>
          </w:rPr>
          <w:t>publishing.unit@accc.gov.au</w:t>
        </w:r>
      </w:hyperlink>
      <w:r w:rsidRPr="00C9036A">
        <w:rPr>
          <w:rFonts w:cs="Arial"/>
        </w:rPr>
        <w:t xml:space="preserve"> .</w:t>
      </w:r>
    </w:p>
    <w:p w:rsidR="00750D7E" w:rsidRPr="00C9036A" w:rsidRDefault="00750D7E" w:rsidP="00750D7E">
      <w:pPr>
        <w:rPr>
          <w:rFonts w:cs="Arial"/>
        </w:rPr>
      </w:pPr>
    </w:p>
    <w:p w:rsidR="00750D7E" w:rsidRPr="00C9036A" w:rsidRDefault="00750D7E" w:rsidP="00750D7E">
      <w:pPr>
        <w:rPr>
          <w:rFonts w:cs="Arial"/>
        </w:rPr>
      </w:pPr>
    </w:p>
    <w:p w:rsidR="00750D7E" w:rsidRPr="00C9036A" w:rsidRDefault="00750D7E" w:rsidP="00750D7E">
      <w:pPr>
        <w:rPr>
          <w:rFonts w:cs="Arial"/>
        </w:rPr>
      </w:pPr>
      <w:r w:rsidRPr="00C9036A">
        <w:rPr>
          <w:rFonts w:cs="Arial"/>
        </w:rPr>
        <w:t>AER reference:   53668</w:t>
      </w:r>
    </w:p>
    <w:p w:rsidR="00324296" w:rsidRPr="00C9036A" w:rsidRDefault="00324296" w:rsidP="00793119">
      <w:pPr>
        <w:pStyle w:val="Copyrighttext"/>
        <w:rPr>
          <w:rFonts w:cs="Arial"/>
        </w:rPr>
        <w:sectPr w:rsidR="00324296" w:rsidRPr="00C9036A" w:rsidSect="00B853FD">
          <w:headerReference w:type="default" r:id="rId11"/>
          <w:footerReference w:type="default" r:id="rId12"/>
          <w:pgSz w:w="11906" w:h="16838" w:code="9"/>
          <w:pgMar w:top="1440" w:right="1797" w:bottom="1440" w:left="1797" w:header="709" w:footer="709" w:gutter="0"/>
          <w:cols w:space="708"/>
          <w:docGrid w:linePitch="360"/>
        </w:sectPr>
      </w:pPr>
    </w:p>
    <w:p w:rsidR="00972D35" w:rsidRPr="00C9036A" w:rsidRDefault="00972D35" w:rsidP="008E712F">
      <w:pPr>
        <w:pStyle w:val="UnnumberedHeading"/>
        <w:numPr>
          <w:ilvl w:val="0"/>
          <w:numId w:val="13"/>
        </w:numPr>
        <w:rPr>
          <w:rFonts w:ascii="Arial" w:hAnsi="Arial" w:cs="Arial"/>
        </w:rPr>
      </w:pPr>
      <w:bookmarkStart w:id="1" w:name="_Toc405965513"/>
      <w:r w:rsidRPr="00C9036A">
        <w:rPr>
          <w:rFonts w:ascii="Arial" w:hAnsi="Arial" w:cs="Arial"/>
        </w:rPr>
        <w:lastRenderedPageBreak/>
        <w:t>Contents</w:t>
      </w:r>
      <w:bookmarkEnd w:id="1"/>
    </w:p>
    <w:p w:rsidR="008A5C04" w:rsidRDefault="00096901">
      <w:pPr>
        <w:pStyle w:val="TOC1"/>
        <w:rPr>
          <w:rFonts w:asciiTheme="minorHAnsi" w:eastAsiaTheme="minorEastAsia" w:hAnsiTheme="minorHAnsi" w:cstheme="minorBidi"/>
          <w:lang w:val="en-AU" w:eastAsia="en-AU"/>
        </w:rPr>
      </w:pPr>
      <w:r w:rsidRPr="00C9036A">
        <w:rPr>
          <w:rFonts w:cs="Arial"/>
          <w:b/>
          <w:bCs/>
          <w:caps/>
          <w:smallCaps/>
        </w:rPr>
        <w:fldChar w:fldCharType="begin"/>
      </w:r>
      <w:r w:rsidRPr="00C9036A">
        <w:rPr>
          <w:rFonts w:cs="Arial"/>
          <w:smallCaps/>
        </w:rPr>
        <w:instrText xml:space="preserve"> TOC \t "Unnumbered Heading,1,Guideline heading,1,Guideline 1.2,2" </w:instrText>
      </w:r>
      <w:r w:rsidRPr="00C9036A">
        <w:rPr>
          <w:rFonts w:cs="Arial"/>
          <w:b/>
          <w:bCs/>
          <w:caps/>
          <w:smallCaps/>
        </w:rPr>
        <w:fldChar w:fldCharType="separate"/>
      </w:r>
      <w:r w:rsidR="008A5C04" w:rsidRPr="001B1338">
        <w:rPr>
          <w:rFonts w:cs="Arial"/>
        </w:rPr>
        <w:t>Contents</w:t>
      </w:r>
      <w:r w:rsidR="008A5C04">
        <w:tab/>
      </w:r>
      <w:r w:rsidR="008A5C04">
        <w:fldChar w:fldCharType="begin"/>
      </w:r>
      <w:r w:rsidR="008A5C04">
        <w:instrText xml:space="preserve"> PAGEREF _Toc405965513 \h </w:instrText>
      </w:r>
      <w:r w:rsidR="008A5C04">
        <w:fldChar w:fldCharType="separate"/>
      </w:r>
      <w:r w:rsidR="008B2D07">
        <w:t>iii</w:t>
      </w:r>
      <w:r w:rsidR="008A5C04">
        <w:fldChar w:fldCharType="end"/>
      </w:r>
    </w:p>
    <w:p w:rsidR="008A5C04" w:rsidRDefault="008A5C04">
      <w:pPr>
        <w:pStyle w:val="TOC1"/>
        <w:rPr>
          <w:rFonts w:asciiTheme="minorHAnsi" w:eastAsiaTheme="minorEastAsia" w:hAnsiTheme="minorHAnsi" w:cstheme="minorBidi"/>
          <w:lang w:val="en-AU" w:eastAsia="en-AU"/>
        </w:rPr>
      </w:pPr>
      <w:r w:rsidRPr="001B1338">
        <w:rPr>
          <w:rFonts w:cs="Arial"/>
        </w:rPr>
        <w:t>Shortened forms</w:t>
      </w:r>
      <w:r>
        <w:tab/>
      </w:r>
      <w:r>
        <w:fldChar w:fldCharType="begin"/>
      </w:r>
      <w:r>
        <w:instrText xml:space="preserve"> PAGEREF _Toc405965514 \h </w:instrText>
      </w:r>
      <w:r>
        <w:fldChar w:fldCharType="separate"/>
      </w:r>
      <w:r w:rsidR="008B2D07">
        <w:t>iv</w:t>
      </w:r>
      <w:r>
        <w:fldChar w:fldCharType="end"/>
      </w:r>
    </w:p>
    <w:p w:rsidR="008A5C04" w:rsidRDefault="008A5C04">
      <w:pPr>
        <w:pStyle w:val="TOC1"/>
        <w:rPr>
          <w:rFonts w:asciiTheme="minorHAnsi" w:eastAsiaTheme="minorEastAsia" w:hAnsiTheme="minorHAnsi" w:cstheme="minorBidi"/>
          <w:lang w:val="en-AU" w:eastAsia="en-AU"/>
        </w:rPr>
      </w:pPr>
      <w:r w:rsidRPr="001B1338">
        <w:rPr>
          <w:rFonts w:cs="Arial"/>
        </w:rPr>
        <w:t>Request for submissions</w:t>
      </w:r>
      <w:r>
        <w:tab/>
      </w:r>
      <w:r>
        <w:fldChar w:fldCharType="begin"/>
      </w:r>
      <w:r>
        <w:instrText xml:space="preserve"> PAGEREF _Toc405965515 \h </w:instrText>
      </w:r>
      <w:r>
        <w:fldChar w:fldCharType="separate"/>
      </w:r>
      <w:r w:rsidR="008B2D07">
        <w:t>1</w:t>
      </w:r>
      <w:r>
        <w:fldChar w:fldCharType="end"/>
      </w:r>
    </w:p>
    <w:p w:rsidR="008A5C04" w:rsidRDefault="008A5C04">
      <w:pPr>
        <w:pStyle w:val="TOC1"/>
        <w:rPr>
          <w:rFonts w:asciiTheme="minorHAnsi" w:eastAsiaTheme="minorEastAsia" w:hAnsiTheme="minorHAnsi" w:cstheme="minorBidi"/>
          <w:lang w:val="en-AU" w:eastAsia="en-AU"/>
        </w:rPr>
      </w:pPr>
      <w:r w:rsidRPr="001B1338">
        <w:rPr>
          <w:rFonts w:cs="Arial"/>
        </w:rPr>
        <w:t>1.</w:t>
      </w:r>
      <w:r>
        <w:rPr>
          <w:rFonts w:asciiTheme="minorHAnsi" w:eastAsiaTheme="minorEastAsia" w:hAnsiTheme="minorHAnsi" w:cstheme="minorBidi"/>
          <w:lang w:val="en-AU" w:eastAsia="en-AU"/>
        </w:rPr>
        <w:tab/>
      </w:r>
      <w:r w:rsidRPr="001B1338">
        <w:rPr>
          <w:rFonts w:cs="Arial"/>
        </w:rPr>
        <w:t>Summary</w:t>
      </w:r>
      <w:r>
        <w:tab/>
      </w:r>
      <w:r>
        <w:fldChar w:fldCharType="begin"/>
      </w:r>
      <w:r>
        <w:instrText xml:space="preserve"> PAGEREF _Toc405965516 \h </w:instrText>
      </w:r>
      <w:r>
        <w:fldChar w:fldCharType="separate"/>
      </w:r>
      <w:r w:rsidR="008B2D07">
        <w:t>2</w:t>
      </w:r>
      <w:r>
        <w:fldChar w:fldCharType="end"/>
      </w:r>
    </w:p>
    <w:p w:rsidR="008A5C04" w:rsidRDefault="008A5C04">
      <w:pPr>
        <w:pStyle w:val="TOC1"/>
        <w:rPr>
          <w:rFonts w:asciiTheme="minorHAnsi" w:eastAsiaTheme="minorEastAsia" w:hAnsiTheme="minorHAnsi" w:cstheme="minorBidi"/>
          <w:lang w:val="en-AU" w:eastAsia="en-AU"/>
        </w:rPr>
      </w:pPr>
      <w:r w:rsidRPr="001B1338">
        <w:rPr>
          <w:rFonts w:cs="Arial"/>
        </w:rPr>
        <w:t>2.</w:t>
      </w:r>
      <w:r>
        <w:rPr>
          <w:rFonts w:asciiTheme="minorHAnsi" w:eastAsiaTheme="minorEastAsia" w:hAnsiTheme="minorHAnsi" w:cstheme="minorBidi"/>
          <w:lang w:val="en-AU" w:eastAsia="en-AU"/>
        </w:rPr>
        <w:tab/>
      </w:r>
      <w:r w:rsidRPr="001B1338">
        <w:rPr>
          <w:rFonts w:cs="Arial"/>
        </w:rPr>
        <w:t>Current TNSP annual reporting framework</w:t>
      </w:r>
      <w:r>
        <w:tab/>
      </w:r>
      <w:r>
        <w:fldChar w:fldCharType="begin"/>
      </w:r>
      <w:r>
        <w:instrText xml:space="preserve"> PAGEREF _Toc405965517 \h </w:instrText>
      </w:r>
      <w:r>
        <w:fldChar w:fldCharType="separate"/>
      </w:r>
      <w:r w:rsidR="008B2D07">
        <w:t>4</w:t>
      </w:r>
      <w:r>
        <w:fldChar w:fldCharType="end"/>
      </w:r>
    </w:p>
    <w:p w:rsidR="008A5C04" w:rsidRDefault="008A5C04">
      <w:pPr>
        <w:pStyle w:val="TOC2"/>
        <w:rPr>
          <w:rFonts w:asciiTheme="minorHAnsi" w:eastAsiaTheme="minorEastAsia" w:hAnsiTheme="minorHAnsi" w:cstheme="minorBidi"/>
          <w:lang w:eastAsia="en-AU"/>
        </w:rPr>
      </w:pPr>
      <w:r>
        <w:t>2.1</w:t>
      </w:r>
      <w:r>
        <w:rPr>
          <w:rFonts w:asciiTheme="minorHAnsi" w:eastAsiaTheme="minorEastAsia" w:hAnsiTheme="minorHAnsi" w:cstheme="minorBidi"/>
          <w:lang w:eastAsia="en-AU"/>
        </w:rPr>
        <w:tab/>
      </w:r>
      <w:r>
        <w:t>Information Guideline</w:t>
      </w:r>
      <w:r>
        <w:tab/>
      </w:r>
      <w:r>
        <w:fldChar w:fldCharType="begin"/>
      </w:r>
      <w:r>
        <w:instrText xml:space="preserve"> PAGEREF _Toc405965518 \h </w:instrText>
      </w:r>
      <w:r>
        <w:fldChar w:fldCharType="separate"/>
      </w:r>
      <w:r w:rsidR="008B2D07">
        <w:t>4</w:t>
      </w:r>
      <w:r>
        <w:fldChar w:fldCharType="end"/>
      </w:r>
    </w:p>
    <w:p w:rsidR="008A5C04" w:rsidRDefault="008A5C04">
      <w:pPr>
        <w:pStyle w:val="TOC2"/>
        <w:rPr>
          <w:rFonts w:asciiTheme="minorHAnsi" w:eastAsiaTheme="minorEastAsia" w:hAnsiTheme="minorHAnsi" w:cstheme="minorBidi"/>
          <w:lang w:eastAsia="en-AU"/>
        </w:rPr>
      </w:pPr>
      <w:r>
        <w:t>2.2</w:t>
      </w:r>
      <w:r>
        <w:rPr>
          <w:rFonts w:asciiTheme="minorHAnsi" w:eastAsiaTheme="minorEastAsia" w:hAnsiTheme="minorHAnsi" w:cstheme="minorBidi"/>
          <w:lang w:eastAsia="en-AU"/>
        </w:rPr>
        <w:tab/>
      </w:r>
      <w:r>
        <w:t>Better Regulation RINs</w:t>
      </w:r>
      <w:r>
        <w:tab/>
      </w:r>
      <w:r>
        <w:fldChar w:fldCharType="begin"/>
      </w:r>
      <w:r>
        <w:instrText xml:space="preserve"> PAGEREF _Toc405965519 \h </w:instrText>
      </w:r>
      <w:r>
        <w:fldChar w:fldCharType="separate"/>
      </w:r>
      <w:r w:rsidR="008B2D07">
        <w:t>6</w:t>
      </w:r>
      <w:r>
        <w:fldChar w:fldCharType="end"/>
      </w:r>
    </w:p>
    <w:p w:rsidR="008A5C04" w:rsidRDefault="008A5C04">
      <w:pPr>
        <w:pStyle w:val="TOC2"/>
        <w:rPr>
          <w:rFonts w:asciiTheme="minorHAnsi" w:eastAsiaTheme="minorEastAsia" w:hAnsiTheme="minorHAnsi" w:cstheme="minorBidi"/>
          <w:lang w:eastAsia="en-AU"/>
        </w:rPr>
      </w:pPr>
      <w:r>
        <w:t>2.3</w:t>
      </w:r>
      <w:r>
        <w:rPr>
          <w:rFonts w:asciiTheme="minorHAnsi" w:eastAsiaTheme="minorEastAsia" w:hAnsiTheme="minorHAnsi" w:cstheme="minorBidi"/>
          <w:lang w:eastAsia="en-AU"/>
        </w:rPr>
        <w:tab/>
      </w:r>
      <w:r>
        <w:t>2013-14 annual reporting</w:t>
      </w:r>
      <w:r>
        <w:tab/>
      </w:r>
      <w:r>
        <w:fldChar w:fldCharType="begin"/>
      </w:r>
      <w:r>
        <w:instrText xml:space="preserve"> PAGEREF _Toc405965520 \h </w:instrText>
      </w:r>
      <w:r>
        <w:fldChar w:fldCharType="separate"/>
      </w:r>
      <w:r w:rsidR="008B2D07">
        <w:t>7</w:t>
      </w:r>
      <w:r>
        <w:fldChar w:fldCharType="end"/>
      </w:r>
    </w:p>
    <w:p w:rsidR="008A5C04" w:rsidRDefault="008A5C04">
      <w:pPr>
        <w:pStyle w:val="TOC1"/>
        <w:rPr>
          <w:rFonts w:asciiTheme="minorHAnsi" w:eastAsiaTheme="minorEastAsia" w:hAnsiTheme="minorHAnsi" w:cstheme="minorBidi"/>
          <w:lang w:val="en-AU" w:eastAsia="en-AU"/>
        </w:rPr>
      </w:pPr>
      <w:r w:rsidRPr="001B1338">
        <w:rPr>
          <w:rFonts w:cs="Arial"/>
        </w:rPr>
        <w:t>3.</w:t>
      </w:r>
      <w:r>
        <w:rPr>
          <w:rFonts w:asciiTheme="minorHAnsi" w:eastAsiaTheme="minorEastAsia" w:hAnsiTheme="minorHAnsi" w:cstheme="minorBidi"/>
          <w:lang w:val="en-AU" w:eastAsia="en-AU"/>
        </w:rPr>
        <w:tab/>
      </w:r>
      <w:r w:rsidRPr="001B1338">
        <w:rPr>
          <w:rFonts w:cs="Arial"/>
        </w:rPr>
        <w:t>Review of Information Guideline</w:t>
      </w:r>
      <w:r>
        <w:tab/>
      </w:r>
      <w:r>
        <w:fldChar w:fldCharType="begin"/>
      </w:r>
      <w:r>
        <w:instrText xml:space="preserve"> PAGEREF _Toc405965521 \h </w:instrText>
      </w:r>
      <w:r>
        <w:fldChar w:fldCharType="separate"/>
      </w:r>
      <w:r w:rsidR="008B2D07">
        <w:t>8</w:t>
      </w:r>
      <w:r>
        <w:fldChar w:fldCharType="end"/>
      </w:r>
    </w:p>
    <w:p w:rsidR="008A5C04" w:rsidRDefault="008A5C04">
      <w:pPr>
        <w:pStyle w:val="TOC1"/>
        <w:rPr>
          <w:rFonts w:asciiTheme="minorHAnsi" w:eastAsiaTheme="minorEastAsia" w:hAnsiTheme="minorHAnsi" w:cstheme="minorBidi"/>
          <w:lang w:val="en-AU" w:eastAsia="en-AU"/>
        </w:rPr>
      </w:pPr>
      <w:r w:rsidRPr="001B1338">
        <w:rPr>
          <w:rFonts w:cs="Arial"/>
        </w:rPr>
        <w:t>4.</w:t>
      </w:r>
      <w:r>
        <w:rPr>
          <w:rFonts w:asciiTheme="minorHAnsi" w:eastAsiaTheme="minorEastAsia" w:hAnsiTheme="minorHAnsi" w:cstheme="minorBidi"/>
          <w:lang w:val="en-AU" w:eastAsia="en-AU"/>
        </w:rPr>
        <w:tab/>
      </w:r>
      <w:r w:rsidRPr="001B1338">
        <w:rPr>
          <w:rFonts w:cs="Arial"/>
        </w:rPr>
        <w:t>Proposed amendments to the Information Guideline</w:t>
      </w:r>
      <w:r>
        <w:tab/>
      </w:r>
      <w:r>
        <w:fldChar w:fldCharType="begin"/>
      </w:r>
      <w:r>
        <w:instrText xml:space="preserve"> PAGEREF _Toc405965522 \h </w:instrText>
      </w:r>
      <w:r>
        <w:fldChar w:fldCharType="separate"/>
      </w:r>
      <w:r w:rsidR="008B2D07">
        <w:t>9</w:t>
      </w:r>
      <w:r>
        <w:fldChar w:fldCharType="end"/>
      </w:r>
    </w:p>
    <w:p w:rsidR="008A5C04" w:rsidRDefault="008A5C04">
      <w:pPr>
        <w:pStyle w:val="TOC2"/>
        <w:rPr>
          <w:rFonts w:asciiTheme="minorHAnsi" w:eastAsiaTheme="minorEastAsia" w:hAnsiTheme="minorHAnsi" w:cstheme="minorBidi"/>
          <w:lang w:eastAsia="en-AU"/>
        </w:rPr>
      </w:pPr>
      <w:r>
        <w:t>4.1</w:t>
      </w:r>
      <w:r>
        <w:rPr>
          <w:rFonts w:asciiTheme="minorHAnsi" w:eastAsiaTheme="minorEastAsia" w:hAnsiTheme="minorHAnsi" w:cstheme="minorBidi"/>
          <w:lang w:eastAsia="en-AU"/>
        </w:rPr>
        <w:tab/>
      </w:r>
      <w:r>
        <w:t>Removal of reporting requirements duplicated in Regulatory Information Instruments</w:t>
      </w:r>
      <w:r>
        <w:tab/>
      </w:r>
      <w:r>
        <w:fldChar w:fldCharType="begin"/>
      </w:r>
      <w:r>
        <w:instrText xml:space="preserve"> PAGEREF _Toc405965523 \h </w:instrText>
      </w:r>
      <w:r>
        <w:fldChar w:fldCharType="separate"/>
      </w:r>
      <w:r w:rsidR="008B2D07">
        <w:t>9</w:t>
      </w:r>
      <w:r>
        <w:fldChar w:fldCharType="end"/>
      </w:r>
    </w:p>
    <w:p w:rsidR="008A5C04" w:rsidRDefault="008A5C04">
      <w:pPr>
        <w:pStyle w:val="TOC2"/>
        <w:rPr>
          <w:rFonts w:asciiTheme="minorHAnsi" w:eastAsiaTheme="minorEastAsia" w:hAnsiTheme="minorHAnsi" w:cstheme="minorBidi"/>
          <w:lang w:eastAsia="en-AU"/>
        </w:rPr>
      </w:pPr>
      <w:r>
        <w:t>4.2</w:t>
      </w:r>
      <w:r>
        <w:rPr>
          <w:rFonts w:asciiTheme="minorHAnsi" w:eastAsiaTheme="minorEastAsia" w:hAnsiTheme="minorHAnsi" w:cstheme="minorBidi"/>
          <w:lang w:eastAsia="en-AU"/>
        </w:rPr>
        <w:tab/>
      </w:r>
      <w:r>
        <w:t>Removal of redundant reporting requirements</w:t>
      </w:r>
      <w:r>
        <w:tab/>
      </w:r>
      <w:r>
        <w:fldChar w:fldCharType="begin"/>
      </w:r>
      <w:r>
        <w:instrText xml:space="preserve"> PAGEREF _Toc405965524 \h </w:instrText>
      </w:r>
      <w:r>
        <w:fldChar w:fldCharType="separate"/>
      </w:r>
      <w:r w:rsidR="008B2D07">
        <w:t>10</w:t>
      </w:r>
      <w:r>
        <w:fldChar w:fldCharType="end"/>
      </w:r>
    </w:p>
    <w:p w:rsidR="008A5C04" w:rsidRDefault="008A5C04">
      <w:pPr>
        <w:pStyle w:val="TOC2"/>
        <w:rPr>
          <w:rFonts w:asciiTheme="minorHAnsi" w:eastAsiaTheme="minorEastAsia" w:hAnsiTheme="minorHAnsi" w:cstheme="minorBidi"/>
          <w:lang w:eastAsia="en-AU"/>
        </w:rPr>
      </w:pPr>
      <w:r>
        <w:t>4.3</w:t>
      </w:r>
      <w:r>
        <w:rPr>
          <w:rFonts w:asciiTheme="minorHAnsi" w:eastAsiaTheme="minorEastAsia" w:hAnsiTheme="minorHAnsi" w:cstheme="minorBidi"/>
          <w:lang w:eastAsia="en-AU"/>
        </w:rPr>
        <w:tab/>
      </w:r>
      <w:r>
        <w:t>Consequential amendments</w:t>
      </w:r>
      <w:r>
        <w:tab/>
      </w:r>
      <w:r>
        <w:fldChar w:fldCharType="begin"/>
      </w:r>
      <w:r>
        <w:instrText xml:space="preserve"> PAGEREF _Toc405965525 \h </w:instrText>
      </w:r>
      <w:r>
        <w:fldChar w:fldCharType="separate"/>
      </w:r>
      <w:r w:rsidR="008B2D07">
        <w:t>11</w:t>
      </w:r>
      <w:r>
        <w:fldChar w:fldCharType="end"/>
      </w:r>
    </w:p>
    <w:p w:rsidR="00B853FD" w:rsidRPr="00C9036A" w:rsidRDefault="00096901" w:rsidP="00F33789">
      <w:pPr>
        <w:pStyle w:val="TOC1"/>
        <w:rPr>
          <w:rFonts w:cs="Arial"/>
        </w:rPr>
        <w:sectPr w:rsidR="00B853FD" w:rsidRPr="00C9036A" w:rsidSect="00962097">
          <w:footerReference w:type="default" r:id="rId13"/>
          <w:footerReference w:type="first" r:id="rId14"/>
          <w:pgSz w:w="11906" w:h="16838" w:code="9"/>
          <w:pgMar w:top="1440" w:right="1797" w:bottom="1440" w:left="1797" w:header="709" w:footer="709" w:gutter="0"/>
          <w:pgNumType w:fmt="lowerRoman" w:start="3"/>
          <w:cols w:space="708"/>
          <w:docGrid w:linePitch="360"/>
        </w:sectPr>
      </w:pPr>
      <w:r w:rsidRPr="00C9036A">
        <w:rPr>
          <w:rFonts w:cs="Arial"/>
          <w:b/>
          <w:bCs/>
          <w:caps/>
          <w:smallCaps/>
        </w:rPr>
        <w:fldChar w:fldCharType="end"/>
      </w:r>
    </w:p>
    <w:p w:rsidR="00750D7E" w:rsidRPr="00C9036A" w:rsidRDefault="00750D7E" w:rsidP="008E712F">
      <w:pPr>
        <w:pStyle w:val="UnnumberedHeading"/>
        <w:numPr>
          <w:ilvl w:val="0"/>
          <w:numId w:val="13"/>
        </w:numPr>
        <w:rPr>
          <w:rFonts w:ascii="Arial" w:hAnsi="Arial" w:cs="Arial"/>
        </w:rPr>
      </w:pPr>
      <w:bookmarkStart w:id="2" w:name="_Toc362596349"/>
      <w:bookmarkStart w:id="3" w:name="_Toc405896235"/>
      <w:bookmarkStart w:id="4" w:name="_Toc405965514"/>
      <w:r w:rsidRPr="00C9036A">
        <w:rPr>
          <w:rFonts w:ascii="Arial" w:hAnsi="Arial" w:cs="Arial"/>
        </w:rPr>
        <w:lastRenderedPageBreak/>
        <w:t>Shortened forms</w:t>
      </w:r>
      <w:bookmarkEnd w:id="2"/>
      <w:bookmarkEnd w:id="3"/>
      <w:bookmarkEnd w:id="4"/>
    </w:p>
    <w:tbl>
      <w:tblPr>
        <w:tblW w:w="5000" w:type="pct"/>
        <w:tblBorders>
          <w:bottom w:val="single" w:sz="4" w:space="0" w:color="365F91"/>
        </w:tblBorders>
        <w:tblLayout w:type="fixed"/>
        <w:tblLook w:val="04A0" w:firstRow="1" w:lastRow="0" w:firstColumn="1" w:lastColumn="0" w:noHBand="0" w:noVBand="1"/>
      </w:tblPr>
      <w:tblGrid>
        <w:gridCol w:w="2586"/>
        <w:gridCol w:w="5942"/>
      </w:tblGrid>
      <w:tr w:rsidR="00750D7E" w:rsidRPr="00C9036A" w:rsidTr="00F43C3B">
        <w:tc>
          <w:tcPr>
            <w:tcW w:w="1516" w:type="pct"/>
            <w:shd w:val="clear" w:color="auto" w:fill="365F91"/>
            <w:vAlign w:val="center"/>
          </w:tcPr>
          <w:p w:rsidR="00750D7E" w:rsidRPr="00C9036A" w:rsidRDefault="00750D7E" w:rsidP="00750D7E">
            <w:pPr>
              <w:pStyle w:val="AERtabletextleft"/>
              <w:rPr>
                <w:rFonts w:ascii="Arial" w:eastAsia="Calibri" w:hAnsi="Arial" w:cs="Arial"/>
                <w:b/>
                <w:color w:val="FFFFFF"/>
                <w:sz w:val="18"/>
                <w:szCs w:val="18"/>
              </w:rPr>
            </w:pPr>
            <w:r w:rsidRPr="00C9036A">
              <w:rPr>
                <w:rFonts w:ascii="Arial" w:eastAsia="Calibri" w:hAnsi="Arial" w:cs="Arial"/>
                <w:b/>
                <w:color w:val="FFFFFF"/>
                <w:sz w:val="18"/>
                <w:szCs w:val="18"/>
              </w:rPr>
              <w:t>Shortened term</w:t>
            </w:r>
          </w:p>
        </w:tc>
        <w:tc>
          <w:tcPr>
            <w:tcW w:w="3484" w:type="pct"/>
            <w:shd w:val="clear" w:color="auto" w:fill="365F91"/>
            <w:vAlign w:val="center"/>
          </w:tcPr>
          <w:p w:rsidR="00750D7E" w:rsidRPr="00C9036A" w:rsidRDefault="00750D7E" w:rsidP="00750D7E">
            <w:pPr>
              <w:pStyle w:val="AERtabletextleft"/>
              <w:rPr>
                <w:rFonts w:ascii="Arial" w:eastAsia="Calibri" w:hAnsi="Arial" w:cs="Arial"/>
                <w:b/>
                <w:color w:val="FFFFFF"/>
                <w:sz w:val="18"/>
                <w:szCs w:val="18"/>
              </w:rPr>
            </w:pPr>
            <w:r w:rsidRPr="00C9036A">
              <w:rPr>
                <w:rFonts w:ascii="Arial" w:eastAsia="Calibri" w:hAnsi="Arial" w:cs="Arial"/>
                <w:b/>
                <w:color w:val="FFFFFF"/>
                <w:sz w:val="18"/>
                <w:szCs w:val="18"/>
              </w:rPr>
              <w:t>Full title</w:t>
            </w:r>
          </w:p>
        </w:tc>
      </w:tr>
      <w:tr w:rsidR="00750D7E" w:rsidRPr="00C9036A" w:rsidTr="00F43C3B">
        <w:tc>
          <w:tcPr>
            <w:tcW w:w="1516" w:type="pct"/>
            <w:shd w:val="clear" w:color="auto" w:fill="auto"/>
            <w:noWrap/>
            <w:vAlign w:val="center"/>
          </w:tcPr>
          <w:p w:rsidR="00750D7E" w:rsidRPr="00C9036A" w:rsidRDefault="00750D7E" w:rsidP="00750D7E">
            <w:pPr>
              <w:pStyle w:val="AERtabletextleft"/>
              <w:rPr>
                <w:rFonts w:ascii="Arial" w:eastAsia="Calibri" w:hAnsi="Arial" w:cs="Arial"/>
                <w:sz w:val="18"/>
                <w:szCs w:val="18"/>
              </w:rPr>
            </w:pPr>
            <w:r w:rsidRPr="00C9036A">
              <w:rPr>
                <w:rFonts w:ascii="Arial" w:eastAsia="Calibri" w:hAnsi="Arial" w:cs="Arial"/>
                <w:sz w:val="18"/>
                <w:szCs w:val="18"/>
              </w:rPr>
              <w:t>AEMC</w:t>
            </w:r>
          </w:p>
        </w:tc>
        <w:tc>
          <w:tcPr>
            <w:tcW w:w="3484" w:type="pct"/>
            <w:shd w:val="clear" w:color="auto" w:fill="auto"/>
            <w:noWrap/>
            <w:vAlign w:val="center"/>
          </w:tcPr>
          <w:p w:rsidR="00750D7E" w:rsidRPr="00C9036A" w:rsidRDefault="00750D7E" w:rsidP="00750D7E">
            <w:pPr>
              <w:pStyle w:val="AERtabletextleft"/>
              <w:rPr>
                <w:rFonts w:ascii="Arial" w:eastAsia="Calibri" w:hAnsi="Arial" w:cs="Arial"/>
                <w:sz w:val="18"/>
                <w:szCs w:val="18"/>
              </w:rPr>
            </w:pPr>
            <w:r w:rsidRPr="00C9036A">
              <w:rPr>
                <w:rFonts w:ascii="Arial" w:eastAsia="Calibri" w:hAnsi="Arial" w:cs="Arial"/>
                <w:sz w:val="18"/>
                <w:szCs w:val="18"/>
              </w:rPr>
              <w:t>Australian Energy Market Commission</w:t>
            </w:r>
          </w:p>
        </w:tc>
      </w:tr>
      <w:tr w:rsidR="00750D7E" w:rsidRPr="00C9036A" w:rsidTr="00F43C3B">
        <w:tc>
          <w:tcPr>
            <w:tcW w:w="1516" w:type="pct"/>
            <w:shd w:val="clear" w:color="auto" w:fill="DBE5F1"/>
            <w:noWrap/>
            <w:vAlign w:val="center"/>
          </w:tcPr>
          <w:p w:rsidR="00750D7E" w:rsidRPr="00C9036A" w:rsidRDefault="00750D7E" w:rsidP="00750D7E">
            <w:pPr>
              <w:pStyle w:val="AERtabletextleft"/>
              <w:rPr>
                <w:rFonts w:ascii="Arial" w:eastAsia="Calibri" w:hAnsi="Arial" w:cs="Arial"/>
                <w:sz w:val="18"/>
                <w:szCs w:val="18"/>
              </w:rPr>
            </w:pPr>
            <w:r w:rsidRPr="00C9036A">
              <w:rPr>
                <w:rFonts w:ascii="Arial" w:eastAsia="Calibri" w:hAnsi="Arial" w:cs="Arial"/>
                <w:sz w:val="18"/>
                <w:szCs w:val="18"/>
              </w:rPr>
              <w:t>AEMO</w:t>
            </w:r>
          </w:p>
        </w:tc>
        <w:tc>
          <w:tcPr>
            <w:tcW w:w="3484" w:type="pct"/>
            <w:shd w:val="clear" w:color="auto" w:fill="DBE5F1"/>
            <w:noWrap/>
            <w:vAlign w:val="center"/>
          </w:tcPr>
          <w:p w:rsidR="00750D7E" w:rsidRPr="00C9036A" w:rsidRDefault="00750D7E" w:rsidP="00750D7E">
            <w:pPr>
              <w:pStyle w:val="AERtabletextleft"/>
              <w:rPr>
                <w:rFonts w:ascii="Arial" w:eastAsia="Calibri" w:hAnsi="Arial" w:cs="Arial"/>
                <w:sz w:val="18"/>
                <w:szCs w:val="18"/>
              </w:rPr>
            </w:pPr>
            <w:r w:rsidRPr="00C9036A">
              <w:rPr>
                <w:rFonts w:ascii="Arial" w:eastAsia="Calibri" w:hAnsi="Arial" w:cs="Arial"/>
                <w:sz w:val="18"/>
                <w:szCs w:val="18"/>
              </w:rPr>
              <w:t>Australian Energy Market Operator</w:t>
            </w:r>
          </w:p>
        </w:tc>
      </w:tr>
      <w:tr w:rsidR="00750D7E" w:rsidRPr="00C9036A" w:rsidTr="00F43C3B">
        <w:tc>
          <w:tcPr>
            <w:tcW w:w="1516" w:type="pct"/>
            <w:shd w:val="clear" w:color="auto" w:fill="auto"/>
            <w:noWrap/>
            <w:vAlign w:val="center"/>
          </w:tcPr>
          <w:p w:rsidR="00750D7E" w:rsidRPr="00C9036A" w:rsidRDefault="00750D7E" w:rsidP="00750D7E">
            <w:pPr>
              <w:pStyle w:val="AERtabletextleft"/>
              <w:rPr>
                <w:rFonts w:ascii="Arial" w:eastAsia="Calibri" w:hAnsi="Arial" w:cs="Arial"/>
                <w:sz w:val="18"/>
                <w:szCs w:val="18"/>
              </w:rPr>
            </w:pPr>
            <w:r w:rsidRPr="00C9036A">
              <w:rPr>
                <w:rFonts w:ascii="Arial" w:eastAsia="Calibri" w:hAnsi="Arial" w:cs="Arial"/>
                <w:sz w:val="18"/>
                <w:szCs w:val="18"/>
              </w:rPr>
              <w:t>AER</w:t>
            </w:r>
          </w:p>
        </w:tc>
        <w:tc>
          <w:tcPr>
            <w:tcW w:w="3484" w:type="pct"/>
            <w:shd w:val="clear" w:color="auto" w:fill="auto"/>
            <w:noWrap/>
            <w:vAlign w:val="center"/>
          </w:tcPr>
          <w:p w:rsidR="00750D7E" w:rsidRPr="00C9036A" w:rsidRDefault="00750D7E" w:rsidP="00750D7E">
            <w:pPr>
              <w:pStyle w:val="AERtabletextleft"/>
              <w:rPr>
                <w:rFonts w:ascii="Arial" w:eastAsia="Calibri" w:hAnsi="Arial" w:cs="Arial"/>
                <w:sz w:val="18"/>
                <w:szCs w:val="18"/>
              </w:rPr>
            </w:pPr>
            <w:r w:rsidRPr="00C9036A">
              <w:rPr>
                <w:rFonts w:ascii="Arial" w:eastAsia="Calibri" w:hAnsi="Arial" w:cs="Arial"/>
                <w:sz w:val="18"/>
                <w:szCs w:val="18"/>
              </w:rPr>
              <w:t>Australian Energy Regulator</w:t>
            </w:r>
          </w:p>
        </w:tc>
      </w:tr>
      <w:tr w:rsidR="00750D7E" w:rsidRPr="00C9036A" w:rsidTr="00F43C3B">
        <w:tc>
          <w:tcPr>
            <w:tcW w:w="1516" w:type="pct"/>
            <w:shd w:val="clear" w:color="auto" w:fill="DBE5F1"/>
            <w:noWrap/>
            <w:vAlign w:val="center"/>
          </w:tcPr>
          <w:p w:rsidR="00750D7E" w:rsidRPr="00C9036A" w:rsidRDefault="00750D7E" w:rsidP="00750D7E">
            <w:pPr>
              <w:pStyle w:val="AERtabletextleft"/>
              <w:rPr>
                <w:rFonts w:ascii="Arial" w:eastAsia="Calibri" w:hAnsi="Arial" w:cs="Arial"/>
                <w:sz w:val="18"/>
                <w:szCs w:val="18"/>
              </w:rPr>
            </w:pPr>
            <w:r w:rsidRPr="00C9036A">
              <w:rPr>
                <w:rFonts w:ascii="Arial" w:eastAsia="Calibri" w:hAnsi="Arial" w:cs="Arial"/>
                <w:sz w:val="18"/>
                <w:szCs w:val="18"/>
              </w:rPr>
              <w:t>Information Guideline</w:t>
            </w:r>
          </w:p>
        </w:tc>
        <w:tc>
          <w:tcPr>
            <w:tcW w:w="3484" w:type="pct"/>
            <w:shd w:val="clear" w:color="auto" w:fill="DBE5F1"/>
            <w:noWrap/>
            <w:vAlign w:val="center"/>
          </w:tcPr>
          <w:p w:rsidR="00750D7E" w:rsidRPr="00C9036A" w:rsidRDefault="00750D7E" w:rsidP="00750D7E">
            <w:pPr>
              <w:pStyle w:val="AERtabletextleft"/>
              <w:rPr>
                <w:rFonts w:ascii="Arial" w:eastAsia="Calibri" w:hAnsi="Arial" w:cs="Arial"/>
                <w:sz w:val="18"/>
                <w:szCs w:val="18"/>
              </w:rPr>
            </w:pPr>
            <w:r w:rsidRPr="00C9036A">
              <w:rPr>
                <w:rFonts w:ascii="Arial" w:eastAsia="Calibri" w:hAnsi="Arial" w:cs="Arial"/>
                <w:sz w:val="18"/>
                <w:szCs w:val="18"/>
              </w:rPr>
              <w:t>AER's, '</w:t>
            </w:r>
            <w:r w:rsidRPr="00C9036A">
              <w:rPr>
                <w:rStyle w:val="AERtextitalic"/>
                <w:rFonts w:ascii="Arial" w:eastAsia="Calibri" w:hAnsi="Arial" w:cs="Arial"/>
                <w:sz w:val="18"/>
                <w:szCs w:val="18"/>
              </w:rPr>
              <w:t>Electricity</w:t>
            </w:r>
            <w:r w:rsidRPr="00C9036A">
              <w:rPr>
                <w:rFonts w:ascii="Arial" w:eastAsia="Calibri" w:hAnsi="Arial" w:cs="Arial"/>
                <w:sz w:val="18"/>
                <w:szCs w:val="18"/>
              </w:rPr>
              <w:t xml:space="preserve"> </w:t>
            </w:r>
            <w:r w:rsidRPr="00C9036A">
              <w:rPr>
                <w:rStyle w:val="AERtextitalic"/>
                <w:rFonts w:ascii="Arial" w:eastAsia="Calibri" w:hAnsi="Arial" w:cs="Arial"/>
                <w:sz w:val="18"/>
                <w:szCs w:val="18"/>
              </w:rPr>
              <w:t>transmission networks service providers - Information</w:t>
            </w:r>
            <w:r w:rsidRPr="00C9036A">
              <w:rPr>
                <w:rFonts w:ascii="Arial" w:eastAsia="Calibri" w:hAnsi="Arial" w:cs="Arial"/>
                <w:sz w:val="18"/>
                <w:szCs w:val="18"/>
              </w:rPr>
              <w:t xml:space="preserve"> </w:t>
            </w:r>
            <w:r w:rsidRPr="00C9036A">
              <w:rPr>
                <w:rStyle w:val="AERtextitalic"/>
                <w:rFonts w:ascii="Arial" w:eastAsia="Calibri" w:hAnsi="Arial" w:cs="Arial"/>
                <w:sz w:val="18"/>
                <w:szCs w:val="18"/>
              </w:rPr>
              <w:t>Guidelines</w:t>
            </w:r>
            <w:r w:rsidRPr="00C9036A">
              <w:rPr>
                <w:rFonts w:ascii="Arial" w:eastAsia="Calibri" w:hAnsi="Arial" w:cs="Arial"/>
                <w:sz w:val="18"/>
                <w:szCs w:val="18"/>
              </w:rPr>
              <w:t xml:space="preserve">', September 2007  </w:t>
            </w:r>
          </w:p>
        </w:tc>
      </w:tr>
      <w:tr w:rsidR="00750D7E" w:rsidRPr="00C9036A" w:rsidTr="00F43C3B">
        <w:tc>
          <w:tcPr>
            <w:tcW w:w="1516" w:type="pct"/>
            <w:shd w:val="clear" w:color="auto" w:fill="auto"/>
            <w:noWrap/>
            <w:vAlign w:val="center"/>
          </w:tcPr>
          <w:p w:rsidR="00750D7E" w:rsidRPr="00C9036A" w:rsidRDefault="00750D7E" w:rsidP="00750D7E">
            <w:pPr>
              <w:pStyle w:val="AERtabletextleft"/>
              <w:rPr>
                <w:rFonts w:ascii="Arial" w:eastAsia="Calibri" w:hAnsi="Arial" w:cs="Arial"/>
                <w:sz w:val="18"/>
                <w:szCs w:val="18"/>
              </w:rPr>
            </w:pPr>
            <w:r w:rsidRPr="00C9036A">
              <w:rPr>
                <w:rFonts w:ascii="Arial" w:eastAsia="Calibri" w:hAnsi="Arial" w:cs="Arial"/>
                <w:sz w:val="18"/>
                <w:szCs w:val="18"/>
              </w:rPr>
              <w:t>NEL</w:t>
            </w:r>
          </w:p>
        </w:tc>
        <w:tc>
          <w:tcPr>
            <w:tcW w:w="3484" w:type="pct"/>
            <w:shd w:val="clear" w:color="auto" w:fill="auto"/>
            <w:noWrap/>
            <w:vAlign w:val="center"/>
          </w:tcPr>
          <w:p w:rsidR="00750D7E" w:rsidRPr="00C9036A" w:rsidRDefault="00750D7E" w:rsidP="00750D7E">
            <w:pPr>
              <w:pStyle w:val="AERtabletextleft"/>
              <w:rPr>
                <w:rFonts w:ascii="Arial" w:eastAsia="Calibri" w:hAnsi="Arial" w:cs="Arial"/>
                <w:sz w:val="18"/>
                <w:szCs w:val="18"/>
              </w:rPr>
            </w:pPr>
            <w:r w:rsidRPr="00C9036A">
              <w:rPr>
                <w:rFonts w:ascii="Arial" w:eastAsia="Calibri" w:hAnsi="Arial" w:cs="Arial"/>
                <w:sz w:val="18"/>
                <w:szCs w:val="18"/>
              </w:rPr>
              <w:t>National Electricity Law</w:t>
            </w:r>
          </w:p>
        </w:tc>
      </w:tr>
      <w:tr w:rsidR="00750D7E" w:rsidRPr="00C9036A" w:rsidTr="00F43C3B">
        <w:tc>
          <w:tcPr>
            <w:tcW w:w="1516" w:type="pct"/>
            <w:shd w:val="clear" w:color="auto" w:fill="DBE5F1"/>
            <w:noWrap/>
            <w:vAlign w:val="center"/>
          </w:tcPr>
          <w:p w:rsidR="00750D7E" w:rsidRPr="00C9036A" w:rsidRDefault="00750D7E" w:rsidP="00750D7E">
            <w:pPr>
              <w:pStyle w:val="AERtabletextleft"/>
              <w:rPr>
                <w:rFonts w:ascii="Arial" w:eastAsia="Calibri" w:hAnsi="Arial" w:cs="Arial"/>
                <w:sz w:val="18"/>
                <w:szCs w:val="18"/>
              </w:rPr>
            </w:pPr>
            <w:r w:rsidRPr="00C9036A">
              <w:rPr>
                <w:rFonts w:ascii="Arial" w:eastAsia="Calibri" w:hAnsi="Arial" w:cs="Arial"/>
                <w:sz w:val="18"/>
                <w:szCs w:val="18"/>
              </w:rPr>
              <w:t>NEM</w:t>
            </w:r>
          </w:p>
        </w:tc>
        <w:tc>
          <w:tcPr>
            <w:tcW w:w="3484" w:type="pct"/>
            <w:shd w:val="clear" w:color="auto" w:fill="DBE5F1"/>
            <w:noWrap/>
            <w:vAlign w:val="center"/>
          </w:tcPr>
          <w:p w:rsidR="00750D7E" w:rsidRPr="00C9036A" w:rsidRDefault="00750D7E" w:rsidP="00750D7E">
            <w:pPr>
              <w:pStyle w:val="AERtabletextleft"/>
              <w:rPr>
                <w:rFonts w:ascii="Arial" w:eastAsia="Calibri" w:hAnsi="Arial" w:cs="Arial"/>
                <w:sz w:val="18"/>
                <w:szCs w:val="18"/>
              </w:rPr>
            </w:pPr>
            <w:r w:rsidRPr="00C9036A">
              <w:rPr>
                <w:rFonts w:ascii="Arial" w:eastAsia="Calibri" w:hAnsi="Arial" w:cs="Arial"/>
                <w:sz w:val="18"/>
                <w:szCs w:val="18"/>
              </w:rPr>
              <w:t>National Electricity Market</w:t>
            </w:r>
          </w:p>
        </w:tc>
      </w:tr>
      <w:tr w:rsidR="00750D7E" w:rsidRPr="00C9036A" w:rsidTr="00F43C3B">
        <w:tc>
          <w:tcPr>
            <w:tcW w:w="1516" w:type="pct"/>
            <w:shd w:val="clear" w:color="auto" w:fill="auto"/>
            <w:noWrap/>
            <w:vAlign w:val="center"/>
          </w:tcPr>
          <w:p w:rsidR="00750D7E" w:rsidRPr="00C9036A" w:rsidRDefault="00750D7E" w:rsidP="00750D7E">
            <w:pPr>
              <w:pStyle w:val="AERtabletextleft"/>
              <w:rPr>
                <w:rFonts w:ascii="Arial" w:eastAsia="Calibri" w:hAnsi="Arial" w:cs="Arial"/>
                <w:sz w:val="18"/>
                <w:szCs w:val="18"/>
              </w:rPr>
            </w:pPr>
            <w:r w:rsidRPr="00C9036A">
              <w:rPr>
                <w:rFonts w:ascii="Arial" w:eastAsia="Calibri" w:hAnsi="Arial" w:cs="Arial"/>
                <w:sz w:val="18"/>
                <w:szCs w:val="18"/>
              </w:rPr>
              <w:t>NEO</w:t>
            </w:r>
          </w:p>
        </w:tc>
        <w:tc>
          <w:tcPr>
            <w:tcW w:w="3484" w:type="pct"/>
            <w:shd w:val="clear" w:color="auto" w:fill="auto"/>
            <w:noWrap/>
            <w:vAlign w:val="center"/>
          </w:tcPr>
          <w:p w:rsidR="00750D7E" w:rsidRPr="00C9036A" w:rsidRDefault="00750D7E" w:rsidP="00750D7E">
            <w:pPr>
              <w:pStyle w:val="AERtabletextleft"/>
              <w:rPr>
                <w:rFonts w:ascii="Arial" w:eastAsia="Calibri" w:hAnsi="Arial" w:cs="Arial"/>
                <w:sz w:val="18"/>
                <w:szCs w:val="18"/>
              </w:rPr>
            </w:pPr>
            <w:r w:rsidRPr="00C9036A">
              <w:rPr>
                <w:rFonts w:ascii="Arial" w:eastAsia="Calibri" w:hAnsi="Arial" w:cs="Arial"/>
                <w:sz w:val="18"/>
                <w:szCs w:val="18"/>
              </w:rPr>
              <w:t>National Electricity Objective</w:t>
            </w:r>
          </w:p>
        </w:tc>
      </w:tr>
      <w:tr w:rsidR="00750D7E" w:rsidRPr="00C9036A" w:rsidTr="00F43C3B">
        <w:tc>
          <w:tcPr>
            <w:tcW w:w="1516" w:type="pct"/>
            <w:shd w:val="clear" w:color="auto" w:fill="DBE5F1"/>
            <w:noWrap/>
            <w:vAlign w:val="center"/>
          </w:tcPr>
          <w:p w:rsidR="00750D7E" w:rsidRPr="00C9036A" w:rsidRDefault="00750D7E" w:rsidP="00750D7E">
            <w:pPr>
              <w:pStyle w:val="AERtabletextleft"/>
              <w:rPr>
                <w:rFonts w:ascii="Arial" w:eastAsia="Calibri" w:hAnsi="Arial" w:cs="Arial"/>
                <w:sz w:val="18"/>
                <w:szCs w:val="18"/>
              </w:rPr>
            </w:pPr>
            <w:r w:rsidRPr="00C9036A">
              <w:rPr>
                <w:rFonts w:ascii="Arial" w:eastAsia="Calibri" w:hAnsi="Arial" w:cs="Arial"/>
                <w:sz w:val="18"/>
                <w:szCs w:val="18"/>
              </w:rPr>
              <w:t>NER</w:t>
            </w:r>
          </w:p>
        </w:tc>
        <w:tc>
          <w:tcPr>
            <w:tcW w:w="3484" w:type="pct"/>
            <w:shd w:val="clear" w:color="auto" w:fill="DBE5F1"/>
            <w:noWrap/>
            <w:vAlign w:val="center"/>
          </w:tcPr>
          <w:p w:rsidR="00750D7E" w:rsidRPr="00C9036A" w:rsidRDefault="00750D7E" w:rsidP="00750D7E">
            <w:pPr>
              <w:pStyle w:val="AERtabletextleft"/>
              <w:rPr>
                <w:rFonts w:ascii="Arial" w:eastAsia="Calibri" w:hAnsi="Arial" w:cs="Arial"/>
                <w:sz w:val="18"/>
                <w:szCs w:val="18"/>
              </w:rPr>
            </w:pPr>
            <w:r w:rsidRPr="00C9036A">
              <w:rPr>
                <w:rFonts w:ascii="Arial" w:eastAsia="Calibri" w:hAnsi="Arial" w:cs="Arial"/>
                <w:sz w:val="18"/>
                <w:szCs w:val="18"/>
              </w:rPr>
              <w:t>National Electricity Rules</w:t>
            </w:r>
          </w:p>
        </w:tc>
      </w:tr>
      <w:tr w:rsidR="00750D7E" w:rsidRPr="00C9036A" w:rsidTr="00F43C3B">
        <w:tc>
          <w:tcPr>
            <w:tcW w:w="1516" w:type="pct"/>
            <w:shd w:val="clear" w:color="auto" w:fill="auto"/>
            <w:noWrap/>
            <w:vAlign w:val="center"/>
          </w:tcPr>
          <w:p w:rsidR="00750D7E" w:rsidRPr="00C9036A" w:rsidRDefault="00750D7E" w:rsidP="00750D7E">
            <w:pPr>
              <w:pStyle w:val="AERtabletextleft"/>
              <w:rPr>
                <w:rFonts w:ascii="Arial" w:eastAsia="Calibri" w:hAnsi="Arial" w:cs="Arial"/>
                <w:sz w:val="18"/>
                <w:szCs w:val="18"/>
              </w:rPr>
            </w:pPr>
            <w:r w:rsidRPr="00C9036A">
              <w:rPr>
                <w:rFonts w:ascii="Arial" w:eastAsia="Calibri" w:hAnsi="Arial" w:cs="Arial"/>
                <w:sz w:val="18"/>
                <w:szCs w:val="18"/>
              </w:rPr>
              <w:t>NSP</w:t>
            </w:r>
          </w:p>
        </w:tc>
        <w:tc>
          <w:tcPr>
            <w:tcW w:w="3484" w:type="pct"/>
            <w:shd w:val="clear" w:color="auto" w:fill="auto"/>
            <w:noWrap/>
            <w:vAlign w:val="center"/>
          </w:tcPr>
          <w:p w:rsidR="00750D7E" w:rsidRPr="00C9036A" w:rsidRDefault="00750D7E" w:rsidP="00750D7E">
            <w:pPr>
              <w:pStyle w:val="AERtabletextleft"/>
              <w:rPr>
                <w:rFonts w:ascii="Arial" w:eastAsia="Calibri" w:hAnsi="Arial" w:cs="Arial"/>
                <w:sz w:val="18"/>
                <w:szCs w:val="18"/>
              </w:rPr>
            </w:pPr>
            <w:r w:rsidRPr="00C9036A">
              <w:rPr>
                <w:rFonts w:ascii="Arial" w:eastAsia="Calibri" w:hAnsi="Arial" w:cs="Arial"/>
                <w:sz w:val="18"/>
                <w:szCs w:val="18"/>
              </w:rPr>
              <w:t>Network service provider</w:t>
            </w:r>
          </w:p>
        </w:tc>
      </w:tr>
      <w:tr w:rsidR="00750D7E" w:rsidRPr="00C9036A" w:rsidTr="00F43C3B">
        <w:tc>
          <w:tcPr>
            <w:tcW w:w="1516" w:type="pct"/>
            <w:shd w:val="clear" w:color="auto" w:fill="DBE5F1"/>
            <w:noWrap/>
            <w:vAlign w:val="center"/>
          </w:tcPr>
          <w:p w:rsidR="00750D7E" w:rsidRPr="00C9036A" w:rsidRDefault="00750D7E" w:rsidP="00750D7E">
            <w:pPr>
              <w:pStyle w:val="AERtabletextleft"/>
              <w:rPr>
                <w:rFonts w:ascii="Arial" w:eastAsia="Calibri" w:hAnsi="Arial" w:cs="Arial"/>
                <w:sz w:val="18"/>
                <w:szCs w:val="18"/>
              </w:rPr>
            </w:pPr>
            <w:r w:rsidRPr="00C9036A">
              <w:rPr>
                <w:rFonts w:ascii="Arial" w:eastAsia="Calibri" w:hAnsi="Arial" w:cs="Arial"/>
                <w:sz w:val="18"/>
                <w:szCs w:val="18"/>
              </w:rPr>
              <w:t>RIN</w:t>
            </w:r>
          </w:p>
        </w:tc>
        <w:tc>
          <w:tcPr>
            <w:tcW w:w="3484" w:type="pct"/>
            <w:shd w:val="clear" w:color="auto" w:fill="DBE5F1"/>
            <w:noWrap/>
            <w:vAlign w:val="center"/>
          </w:tcPr>
          <w:p w:rsidR="00750D7E" w:rsidRPr="00C9036A" w:rsidRDefault="00750D7E" w:rsidP="00750D7E">
            <w:pPr>
              <w:pStyle w:val="AERtabletextleft"/>
              <w:rPr>
                <w:rFonts w:ascii="Arial" w:eastAsia="Calibri" w:hAnsi="Arial" w:cs="Arial"/>
                <w:sz w:val="18"/>
                <w:szCs w:val="18"/>
              </w:rPr>
            </w:pPr>
            <w:r w:rsidRPr="00C9036A">
              <w:rPr>
                <w:rFonts w:ascii="Arial" w:eastAsia="Calibri" w:hAnsi="Arial" w:cs="Arial"/>
                <w:sz w:val="18"/>
                <w:szCs w:val="18"/>
              </w:rPr>
              <w:t>Regulatory information notice</w:t>
            </w:r>
          </w:p>
        </w:tc>
      </w:tr>
      <w:tr w:rsidR="00750D7E" w:rsidRPr="00C9036A" w:rsidTr="00F43C3B">
        <w:tc>
          <w:tcPr>
            <w:tcW w:w="1516" w:type="pct"/>
            <w:shd w:val="clear" w:color="auto" w:fill="auto"/>
            <w:noWrap/>
            <w:vAlign w:val="center"/>
          </w:tcPr>
          <w:p w:rsidR="00750D7E" w:rsidRPr="00C9036A" w:rsidRDefault="00750D7E" w:rsidP="00750D7E">
            <w:pPr>
              <w:pStyle w:val="AERtabletextleft"/>
              <w:rPr>
                <w:rFonts w:ascii="Arial" w:eastAsia="Calibri" w:hAnsi="Arial" w:cs="Arial"/>
                <w:sz w:val="18"/>
                <w:szCs w:val="18"/>
              </w:rPr>
            </w:pPr>
            <w:r w:rsidRPr="00C9036A">
              <w:rPr>
                <w:rFonts w:ascii="Arial" w:eastAsia="Calibri" w:hAnsi="Arial" w:cs="Arial"/>
                <w:sz w:val="18"/>
                <w:szCs w:val="18"/>
              </w:rPr>
              <w:t>TNSP</w:t>
            </w:r>
          </w:p>
        </w:tc>
        <w:tc>
          <w:tcPr>
            <w:tcW w:w="3484" w:type="pct"/>
            <w:shd w:val="clear" w:color="auto" w:fill="auto"/>
            <w:noWrap/>
            <w:vAlign w:val="center"/>
          </w:tcPr>
          <w:p w:rsidR="00750D7E" w:rsidRPr="00C9036A" w:rsidRDefault="00750D7E" w:rsidP="00750D7E">
            <w:pPr>
              <w:pStyle w:val="AERtabletextleft"/>
              <w:rPr>
                <w:rFonts w:ascii="Arial" w:eastAsia="Calibri" w:hAnsi="Arial" w:cs="Arial"/>
                <w:sz w:val="18"/>
                <w:szCs w:val="18"/>
              </w:rPr>
            </w:pPr>
            <w:r w:rsidRPr="00C9036A">
              <w:rPr>
                <w:rFonts w:ascii="Arial" w:eastAsia="Calibri" w:hAnsi="Arial" w:cs="Arial"/>
                <w:sz w:val="18"/>
                <w:szCs w:val="18"/>
              </w:rPr>
              <w:t>Transmission network service provider</w:t>
            </w:r>
          </w:p>
        </w:tc>
      </w:tr>
    </w:tbl>
    <w:p w:rsidR="00750D7E" w:rsidRPr="00C9036A" w:rsidRDefault="00750D7E" w:rsidP="00750D7E">
      <w:pPr>
        <w:pStyle w:val="AERbodytext"/>
        <w:rPr>
          <w:rStyle w:val="AERbody"/>
          <w:rFonts w:ascii="Arial" w:hAnsi="Arial" w:cs="Arial"/>
        </w:rPr>
      </w:pPr>
    </w:p>
    <w:p w:rsidR="007018B0" w:rsidRPr="00C9036A" w:rsidRDefault="007018B0" w:rsidP="00553D45">
      <w:pPr>
        <w:pStyle w:val="AERbodytext"/>
        <w:rPr>
          <w:rFonts w:cs="Arial"/>
        </w:rPr>
      </w:pPr>
    </w:p>
    <w:p w:rsidR="007018B0" w:rsidRPr="00C9036A" w:rsidRDefault="007018B0" w:rsidP="00553D45">
      <w:pPr>
        <w:pStyle w:val="AERbodytext"/>
        <w:rPr>
          <w:rFonts w:cs="Arial"/>
        </w:rPr>
      </w:pPr>
    </w:p>
    <w:p w:rsidR="007018B0" w:rsidRPr="00C9036A" w:rsidRDefault="007018B0" w:rsidP="00553D45">
      <w:pPr>
        <w:pStyle w:val="AERbodytext"/>
        <w:rPr>
          <w:rFonts w:cs="Arial"/>
        </w:rPr>
        <w:sectPr w:rsidR="007018B0" w:rsidRPr="00C9036A" w:rsidSect="00962097">
          <w:headerReference w:type="even" r:id="rId15"/>
          <w:headerReference w:type="default" r:id="rId16"/>
          <w:headerReference w:type="first" r:id="rId17"/>
          <w:pgSz w:w="11906" w:h="16838" w:code="9"/>
          <w:pgMar w:top="1440" w:right="1797" w:bottom="1440" w:left="1797" w:header="709" w:footer="709" w:gutter="0"/>
          <w:pgNumType w:fmt="lowerRoman"/>
          <w:cols w:space="708"/>
          <w:docGrid w:linePitch="360"/>
        </w:sectPr>
      </w:pPr>
    </w:p>
    <w:p w:rsidR="00750D7E" w:rsidRPr="00C9036A" w:rsidRDefault="00750D7E" w:rsidP="008E712F">
      <w:pPr>
        <w:pStyle w:val="UnnumberedHeading"/>
        <w:numPr>
          <w:ilvl w:val="0"/>
          <w:numId w:val="13"/>
        </w:numPr>
        <w:rPr>
          <w:rFonts w:ascii="Arial" w:hAnsi="Arial" w:cs="Arial"/>
        </w:rPr>
      </w:pPr>
      <w:bookmarkStart w:id="5" w:name="_Toc363806224"/>
      <w:bookmarkStart w:id="6" w:name="_Toc405896236"/>
      <w:bookmarkStart w:id="7" w:name="_Toc405965515"/>
      <w:r w:rsidRPr="00C9036A">
        <w:rPr>
          <w:rFonts w:ascii="Arial" w:hAnsi="Arial" w:cs="Arial"/>
        </w:rPr>
        <w:lastRenderedPageBreak/>
        <w:t>Request for submissions</w:t>
      </w:r>
      <w:bookmarkEnd w:id="5"/>
      <w:bookmarkEnd w:id="6"/>
      <w:bookmarkEnd w:id="7"/>
    </w:p>
    <w:p w:rsidR="00750D7E" w:rsidRPr="00C9036A" w:rsidRDefault="00750D7E" w:rsidP="008E712F">
      <w:pPr>
        <w:pStyle w:val="AERbodytext"/>
        <w:numPr>
          <w:ilvl w:val="0"/>
          <w:numId w:val="11"/>
        </w:numPr>
        <w:spacing w:before="0" w:after="240" w:line="288" w:lineRule="auto"/>
        <w:jc w:val="both"/>
        <w:rPr>
          <w:rFonts w:cs="Arial"/>
        </w:rPr>
      </w:pPr>
      <w:r w:rsidRPr="00C9036A">
        <w:rPr>
          <w:rFonts w:cs="Arial"/>
        </w:rPr>
        <w:t xml:space="preserve">This Explanatory Statement sets out the Australian Energy Regulator's (AER) proposed approach to revising the Electricity Transmission Network Service Providers Information Guidelines (Information Guideline). </w:t>
      </w:r>
    </w:p>
    <w:p w:rsidR="00750D7E" w:rsidRPr="00C9036A" w:rsidRDefault="00750D7E" w:rsidP="008E712F">
      <w:pPr>
        <w:pStyle w:val="AERbodytext"/>
        <w:numPr>
          <w:ilvl w:val="0"/>
          <w:numId w:val="11"/>
        </w:numPr>
        <w:spacing w:before="0" w:after="240" w:line="288" w:lineRule="auto"/>
        <w:jc w:val="both"/>
        <w:rPr>
          <w:rFonts w:cs="Arial"/>
        </w:rPr>
      </w:pPr>
      <w:r w:rsidRPr="00C9036A">
        <w:rPr>
          <w:rFonts w:cs="Arial"/>
        </w:rPr>
        <w:t xml:space="preserve">Consistent with the transmission consultation procedures in Chapter 6A of the National Electricity Rules (NER) we are now inviting submissions from interested parties on our proposed amendments to the Information Guideline by close of business, </w:t>
      </w:r>
      <w:r w:rsidRPr="00C9036A">
        <w:rPr>
          <w:rStyle w:val="AERtextbold"/>
          <w:rFonts w:cs="Arial"/>
        </w:rPr>
        <w:t>Wednesday 4 February 2015</w:t>
      </w:r>
      <w:r w:rsidRPr="00C9036A">
        <w:rPr>
          <w:rFonts w:cs="Arial"/>
        </w:rPr>
        <w:t>.</w:t>
      </w:r>
    </w:p>
    <w:p w:rsidR="00750D7E" w:rsidRPr="00C9036A" w:rsidRDefault="00750D7E" w:rsidP="008E712F">
      <w:pPr>
        <w:pStyle w:val="AERbodytext"/>
        <w:numPr>
          <w:ilvl w:val="0"/>
          <w:numId w:val="11"/>
        </w:numPr>
        <w:spacing w:before="0" w:after="240" w:line="288" w:lineRule="auto"/>
        <w:jc w:val="both"/>
        <w:rPr>
          <w:rFonts w:cs="Arial"/>
        </w:rPr>
      </w:pPr>
      <w:r w:rsidRPr="00C9036A">
        <w:rPr>
          <w:rFonts w:cs="Arial"/>
        </w:rPr>
        <w:t xml:space="preserve">We prefer that all submissions sent in an electronic format are in Microsoft Word or other text readable document form. Submissions should be sent electronically to </w:t>
      </w:r>
      <w:hyperlink r:id="rId18" w:history="1">
        <w:r w:rsidRPr="00C9036A">
          <w:rPr>
            <w:rStyle w:val="Hyperlink"/>
            <w:rFonts w:cs="Arial"/>
          </w:rPr>
          <w:t>AERInquiry@aer.gov.au</w:t>
        </w:r>
      </w:hyperlink>
      <w:r w:rsidRPr="00C9036A">
        <w:rPr>
          <w:rStyle w:val="Hyperlink"/>
          <w:rFonts w:cs="Arial"/>
        </w:rPr>
        <w:t>.</w:t>
      </w:r>
    </w:p>
    <w:p w:rsidR="00750D7E" w:rsidRPr="00C9036A" w:rsidRDefault="00750D7E" w:rsidP="008E712F">
      <w:pPr>
        <w:pStyle w:val="AERbodytext"/>
        <w:numPr>
          <w:ilvl w:val="0"/>
          <w:numId w:val="11"/>
        </w:numPr>
        <w:spacing w:before="0" w:after="240" w:line="288" w:lineRule="auto"/>
        <w:jc w:val="both"/>
        <w:rPr>
          <w:rFonts w:cs="Arial"/>
        </w:rPr>
      </w:pPr>
      <w:r w:rsidRPr="00C9036A">
        <w:rPr>
          <w:rFonts w:cs="Arial"/>
        </w:rPr>
        <w:t>Alternatively, submissions can be sent to:</w:t>
      </w:r>
    </w:p>
    <w:p w:rsidR="00750D7E" w:rsidRPr="00C9036A" w:rsidRDefault="00750D7E" w:rsidP="008E712F">
      <w:pPr>
        <w:pStyle w:val="AERbodytextnospace"/>
        <w:numPr>
          <w:ilvl w:val="0"/>
          <w:numId w:val="17"/>
        </w:numPr>
        <w:rPr>
          <w:rFonts w:ascii="Arial" w:hAnsi="Arial" w:cs="Arial"/>
          <w:sz w:val="22"/>
        </w:rPr>
      </w:pPr>
      <w:r w:rsidRPr="00C9036A">
        <w:rPr>
          <w:rFonts w:ascii="Arial" w:hAnsi="Arial" w:cs="Arial"/>
          <w:sz w:val="22"/>
        </w:rPr>
        <w:t>Mr Warwick Anderson</w:t>
      </w:r>
    </w:p>
    <w:p w:rsidR="00750D7E" w:rsidRPr="00C9036A" w:rsidRDefault="00750D7E" w:rsidP="008E712F">
      <w:pPr>
        <w:pStyle w:val="AERbodytextnospace"/>
        <w:numPr>
          <w:ilvl w:val="0"/>
          <w:numId w:val="17"/>
        </w:numPr>
        <w:rPr>
          <w:rFonts w:ascii="Arial" w:hAnsi="Arial" w:cs="Arial"/>
          <w:sz w:val="22"/>
        </w:rPr>
      </w:pPr>
      <w:r w:rsidRPr="00C9036A">
        <w:rPr>
          <w:rFonts w:ascii="Arial" w:hAnsi="Arial" w:cs="Arial"/>
          <w:sz w:val="22"/>
        </w:rPr>
        <w:t>General Manager, Networks Finance and Reporting Branch</w:t>
      </w:r>
    </w:p>
    <w:p w:rsidR="00750D7E" w:rsidRPr="00C9036A" w:rsidRDefault="00750D7E" w:rsidP="008E712F">
      <w:pPr>
        <w:pStyle w:val="AERbodytextnospace"/>
        <w:numPr>
          <w:ilvl w:val="0"/>
          <w:numId w:val="17"/>
        </w:numPr>
        <w:rPr>
          <w:rFonts w:ascii="Arial" w:hAnsi="Arial" w:cs="Arial"/>
          <w:sz w:val="22"/>
        </w:rPr>
      </w:pPr>
      <w:r w:rsidRPr="00C9036A">
        <w:rPr>
          <w:rFonts w:ascii="Arial" w:hAnsi="Arial" w:cs="Arial"/>
          <w:sz w:val="22"/>
        </w:rPr>
        <w:t>Australian Energy Regulator</w:t>
      </w:r>
    </w:p>
    <w:p w:rsidR="00750D7E" w:rsidRPr="00C9036A" w:rsidRDefault="00750D7E" w:rsidP="008E712F">
      <w:pPr>
        <w:pStyle w:val="AERbodytextnospace"/>
        <w:numPr>
          <w:ilvl w:val="0"/>
          <w:numId w:val="17"/>
        </w:numPr>
        <w:rPr>
          <w:rFonts w:ascii="Arial" w:hAnsi="Arial" w:cs="Arial"/>
          <w:sz w:val="22"/>
        </w:rPr>
      </w:pPr>
      <w:r w:rsidRPr="00C9036A">
        <w:rPr>
          <w:rFonts w:ascii="Arial" w:hAnsi="Arial" w:cs="Arial"/>
          <w:sz w:val="22"/>
        </w:rPr>
        <w:t>GPO Box 3131</w:t>
      </w:r>
    </w:p>
    <w:p w:rsidR="00750D7E" w:rsidRPr="00C9036A" w:rsidRDefault="00750D7E" w:rsidP="008E712F">
      <w:pPr>
        <w:pStyle w:val="AERbodytextnospace"/>
        <w:numPr>
          <w:ilvl w:val="0"/>
          <w:numId w:val="17"/>
        </w:numPr>
        <w:spacing w:after="240"/>
        <w:rPr>
          <w:rFonts w:ascii="Arial" w:hAnsi="Arial" w:cs="Arial"/>
          <w:sz w:val="22"/>
        </w:rPr>
      </w:pPr>
      <w:r w:rsidRPr="00C9036A">
        <w:rPr>
          <w:rFonts w:ascii="Arial" w:hAnsi="Arial" w:cs="Arial"/>
          <w:sz w:val="22"/>
        </w:rPr>
        <w:t>Canberra ACT 2601</w:t>
      </w:r>
    </w:p>
    <w:p w:rsidR="00750D7E" w:rsidRPr="00C9036A" w:rsidRDefault="00750D7E" w:rsidP="008E712F">
      <w:pPr>
        <w:pStyle w:val="AERbodytext"/>
        <w:numPr>
          <w:ilvl w:val="0"/>
          <w:numId w:val="17"/>
        </w:numPr>
        <w:spacing w:before="0" w:after="240" w:line="288" w:lineRule="auto"/>
        <w:jc w:val="both"/>
        <w:rPr>
          <w:rFonts w:cs="Arial"/>
        </w:rPr>
      </w:pPr>
      <w:r w:rsidRPr="00C9036A">
        <w:rPr>
          <w:rFonts w:cs="Arial"/>
        </w:rPr>
        <w:t xml:space="preserve">We prefer that all submissions be publicly available to facilitate an informed and transparent consultative process. Submissions will be treated as public documents unless otherwise requested. </w:t>
      </w:r>
    </w:p>
    <w:p w:rsidR="00750D7E" w:rsidRPr="00C9036A" w:rsidRDefault="00750D7E" w:rsidP="008E712F">
      <w:pPr>
        <w:pStyle w:val="AERbodytext"/>
        <w:numPr>
          <w:ilvl w:val="0"/>
          <w:numId w:val="17"/>
        </w:numPr>
        <w:spacing w:before="0" w:after="240" w:line="288" w:lineRule="auto"/>
        <w:jc w:val="both"/>
        <w:rPr>
          <w:rFonts w:cs="Arial"/>
        </w:rPr>
      </w:pPr>
      <w:r w:rsidRPr="00C9036A">
        <w:rPr>
          <w:rFonts w:cs="Arial"/>
        </w:rPr>
        <w:t>Parties wishing to submit confidential information are requested to:</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r w:rsidRPr="00C9036A">
        <w:rPr>
          <w:rFonts w:cs="Arial"/>
        </w:rPr>
        <w:t>clearly identify the information that is the subject of the confidentiality claim</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proofErr w:type="gramStart"/>
      <w:r w:rsidRPr="00C9036A">
        <w:rPr>
          <w:rFonts w:cs="Arial"/>
        </w:rPr>
        <w:t>provide</w:t>
      </w:r>
      <w:proofErr w:type="gramEnd"/>
      <w:r w:rsidRPr="00C9036A">
        <w:rPr>
          <w:rFonts w:cs="Arial"/>
        </w:rPr>
        <w:t xml:space="preserve"> a non-confidential version of the submission in a form suitable for publication.</w:t>
      </w:r>
    </w:p>
    <w:p w:rsidR="00750D7E" w:rsidRDefault="00750D7E" w:rsidP="008E712F">
      <w:pPr>
        <w:pStyle w:val="AERbodytext"/>
        <w:numPr>
          <w:ilvl w:val="0"/>
          <w:numId w:val="17"/>
        </w:numPr>
        <w:spacing w:before="0" w:after="240" w:line="288" w:lineRule="auto"/>
        <w:jc w:val="both"/>
        <w:rPr>
          <w:rFonts w:cs="Arial"/>
        </w:rPr>
      </w:pPr>
      <w:r w:rsidRPr="00C9036A">
        <w:rPr>
          <w:rFonts w:cs="Arial"/>
        </w:rPr>
        <w:t xml:space="preserve">All non-confidential submissions will be placed on our </w:t>
      </w:r>
      <w:hyperlink r:id="rId19" w:history="1">
        <w:r w:rsidRPr="00C9036A">
          <w:rPr>
            <w:rStyle w:val="Hyperlink"/>
            <w:rFonts w:cs="Arial"/>
          </w:rPr>
          <w:t>website</w:t>
        </w:r>
      </w:hyperlink>
      <w:r w:rsidRPr="00C9036A">
        <w:rPr>
          <w:rFonts w:cs="Arial"/>
        </w:rPr>
        <w:t xml:space="preserve">. For further information regarding our use and disclosure of information provided to us, see the </w:t>
      </w:r>
      <w:hyperlink r:id="rId20" w:history="1">
        <w:r w:rsidRPr="00C9036A">
          <w:rPr>
            <w:rStyle w:val="Hyperlink"/>
            <w:rFonts w:cs="Arial"/>
          </w:rPr>
          <w:t>ACCC/AER Information Policy, June 2014</w:t>
        </w:r>
      </w:hyperlink>
      <w:r w:rsidRPr="00C9036A">
        <w:rPr>
          <w:rFonts w:cs="Arial"/>
        </w:rPr>
        <w:t xml:space="preserve"> and the</w:t>
      </w:r>
      <w:r w:rsidRPr="00C9036A">
        <w:rPr>
          <w:rStyle w:val="Hyperlink"/>
          <w:rFonts w:cs="Arial"/>
        </w:rPr>
        <w:t xml:space="preserve"> </w:t>
      </w:r>
      <w:hyperlink r:id="rId21" w:history="1">
        <w:r w:rsidRPr="00C9036A">
          <w:rPr>
            <w:rStyle w:val="Hyperlink"/>
            <w:rFonts w:cs="Arial"/>
          </w:rPr>
          <w:t>AER's Confidentiality Guideline</w:t>
        </w:r>
      </w:hyperlink>
      <w:r w:rsidRPr="00C9036A">
        <w:rPr>
          <w:rStyle w:val="Hyperlink"/>
          <w:rFonts w:cs="Arial"/>
        </w:rPr>
        <w:t xml:space="preserve"> </w:t>
      </w:r>
      <w:r w:rsidRPr="00C9036A">
        <w:rPr>
          <w:rFonts w:cs="Arial"/>
        </w:rPr>
        <w:t>.</w:t>
      </w:r>
    </w:p>
    <w:p w:rsidR="00434D4B" w:rsidRDefault="00434D4B" w:rsidP="00434D4B">
      <w:pPr>
        <w:pStyle w:val="AERbodytext"/>
        <w:spacing w:before="0" w:after="240" w:line="288" w:lineRule="auto"/>
        <w:jc w:val="both"/>
        <w:rPr>
          <w:rFonts w:cs="Arial"/>
        </w:rPr>
      </w:pPr>
    </w:p>
    <w:p w:rsidR="00434D4B" w:rsidRDefault="00434D4B" w:rsidP="00434D4B">
      <w:pPr>
        <w:pStyle w:val="AERbodytext"/>
        <w:spacing w:before="0" w:after="240" w:line="288" w:lineRule="auto"/>
        <w:jc w:val="both"/>
        <w:rPr>
          <w:rFonts w:cs="Arial"/>
        </w:rPr>
      </w:pPr>
    </w:p>
    <w:p w:rsidR="00434D4B" w:rsidRPr="00C9036A" w:rsidRDefault="00434D4B" w:rsidP="00434D4B">
      <w:pPr>
        <w:pStyle w:val="AERbodytext"/>
        <w:spacing w:before="0" w:after="240" w:line="288" w:lineRule="auto"/>
        <w:jc w:val="both"/>
        <w:rPr>
          <w:rFonts w:cs="Arial"/>
        </w:rPr>
      </w:pPr>
    </w:p>
    <w:p w:rsidR="00750D7E" w:rsidRPr="00C9036A" w:rsidRDefault="00750D7E" w:rsidP="008E712F">
      <w:pPr>
        <w:pStyle w:val="AERbodytext"/>
        <w:numPr>
          <w:ilvl w:val="0"/>
          <w:numId w:val="11"/>
        </w:numPr>
        <w:spacing w:before="0" w:after="240" w:line="288" w:lineRule="auto"/>
        <w:jc w:val="both"/>
        <w:rPr>
          <w:rFonts w:cs="Arial"/>
        </w:rPr>
      </w:pPr>
    </w:p>
    <w:p w:rsidR="00750D7E" w:rsidRPr="00C9036A" w:rsidRDefault="00750D7E" w:rsidP="00434D4B">
      <w:pPr>
        <w:pStyle w:val="Guidelineheading"/>
        <w:spacing w:before="0" w:after="240" w:line="288" w:lineRule="auto"/>
        <w:rPr>
          <w:rFonts w:ascii="Arial" w:hAnsi="Arial" w:cs="Arial"/>
        </w:rPr>
      </w:pPr>
      <w:bookmarkStart w:id="8" w:name="_Toc405896237"/>
      <w:bookmarkStart w:id="9" w:name="_Toc405965516"/>
      <w:r w:rsidRPr="00C9036A">
        <w:rPr>
          <w:rFonts w:ascii="Arial" w:hAnsi="Arial" w:cs="Arial"/>
        </w:rPr>
        <w:lastRenderedPageBreak/>
        <w:t>Summary</w:t>
      </w:r>
      <w:bookmarkEnd w:id="8"/>
      <w:bookmarkEnd w:id="9"/>
    </w:p>
    <w:p w:rsidR="00750D7E" w:rsidRPr="00C9036A" w:rsidRDefault="00750D7E" w:rsidP="00434D4B">
      <w:pPr>
        <w:numPr>
          <w:ilvl w:val="0"/>
          <w:numId w:val="11"/>
        </w:numPr>
        <w:spacing w:before="0" w:after="240" w:line="288" w:lineRule="auto"/>
        <w:jc w:val="both"/>
        <w:rPr>
          <w:rFonts w:cs="Arial"/>
        </w:rPr>
      </w:pPr>
      <w:r w:rsidRPr="00C9036A">
        <w:rPr>
          <w:rFonts w:cs="Arial"/>
        </w:rPr>
        <w:t xml:space="preserve">The Australian Energy Regulator (AER) is Australia’s independent national energy market regulator. Our role is to promote the national electricity and gas objectives. Enshrined in the Electricity and Gas Laws, these objectives focus us on promoting the long term interests of consumers. </w:t>
      </w:r>
    </w:p>
    <w:p w:rsidR="00750D7E" w:rsidRPr="00C9036A" w:rsidRDefault="00750D7E" w:rsidP="008E712F">
      <w:pPr>
        <w:pStyle w:val="AERbodytext"/>
        <w:numPr>
          <w:ilvl w:val="0"/>
          <w:numId w:val="11"/>
        </w:numPr>
        <w:spacing w:before="0" w:after="240" w:line="288" w:lineRule="auto"/>
        <w:jc w:val="both"/>
        <w:rPr>
          <w:rFonts w:cs="Arial"/>
        </w:rPr>
      </w:pPr>
      <w:r w:rsidRPr="00C9036A">
        <w:rPr>
          <w:rFonts w:cs="Arial"/>
        </w:rPr>
        <w:t xml:space="preserve">We are responsible for the economic regulation of electricity and gas monopoly network service providers. We regulate these service providers by establishing the prices that they can charge their customers for the conveyance of gas and electricity through their networks. These prices are based on an analysis of the efficient levels of capital and operating expenditures and a benchmark rate of return over a five year forecast period. We also monitor the compliance of each service provider with its pricing determination and </w:t>
      </w:r>
      <w:proofErr w:type="gramStart"/>
      <w:r w:rsidRPr="00C9036A">
        <w:rPr>
          <w:rFonts w:cs="Arial"/>
        </w:rPr>
        <w:t>has</w:t>
      </w:r>
      <w:proofErr w:type="gramEnd"/>
      <w:r w:rsidRPr="00C9036A">
        <w:rPr>
          <w:rFonts w:cs="Arial"/>
        </w:rPr>
        <w:t xml:space="preserve"> the power to publish reports on the service provider’s performance during the period covered by the pricing determination. </w:t>
      </w:r>
    </w:p>
    <w:p w:rsidR="00750D7E" w:rsidRPr="00C9036A" w:rsidRDefault="00750D7E" w:rsidP="008E712F">
      <w:pPr>
        <w:pStyle w:val="AERbodytext"/>
        <w:numPr>
          <w:ilvl w:val="0"/>
          <w:numId w:val="11"/>
        </w:numPr>
        <w:spacing w:before="0" w:after="240" w:line="288" w:lineRule="auto"/>
        <w:jc w:val="both"/>
        <w:rPr>
          <w:rFonts w:cs="Arial"/>
        </w:rPr>
      </w:pPr>
      <w:r w:rsidRPr="00C9036A">
        <w:rPr>
          <w:rFonts w:cs="Arial"/>
        </w:rPr>
        <w:t xml:space="preserve">Policy makers have recognised the information asymmetry which exists between service providers and the regulator by providing us with strong information gathering powers to allow us to have access to timely, accurate and verifiable cost information about the industry’s costs. For electricity transmission network service providers (TNSPs) we have the power under the National Electricity Law (NEL) to issue Regulatory Information Instruments such as regulatory information notices (RINs) to obtain information we consider reasonably necessary for the performance or exercise of </w:t>
      </w:r>
      <w:proofErr w:type="gramStart"/>
      <w:r w:rsidRPr="00C9036A">
        <w:rPr>
          <w:rFonts w:cs="Arial"/>
        </w:rPr>
        <w:t>our  functions</w:t>
      </w:r>
      <w:proofErr w:type="gramEnd"/>
      <w:r w:rsidRPr="00C9036A">
        <w:rPr>
          <w:rFonts w:cs="Arial"/>
        </w:rPr>
        <w:t xml:space="preserve"> or powers.</w:t>
      </w:r>
      <w:r w:rsidRPr="00C9036A">
        <w:rPr>
          <w:rStyle w:val="FootnoteReference"/>
          <w:rFonts w:cs="Arial"/>
        </w:rPr>
        <w:footnoteReference w:id="1"/>
      </w:r>
      <w:r w:rsidRPr="00C9036A">
        <w:rPr>
          <w:rFonts w:cs="Arial"/>
        </w:rPr>
        <w:t xml:space="preserve"> Chapter 6A of the National Electricity Rules (NER) also specifically provides for the development of an information guideline setting out the data requirements TNSPs must provide to us on an annual basis.</w:t>
      </w:r>
    </w:p>
    <w:p w:rsidR="00750D7E" w:rsidRPr="00C9036A" w:rsidRDefault="00750D7E" w:rsidP="008E712F">
      <w:pPr>
        <w:pStyle w:val="AERbodytext"/>
        <w:numPr>
          <w:ilvl w:val="0"/>
          <w:numId w:val="11"/>
        </w:numPr>
        <w:spacing w:before="0" w:after="240" w:line="288" w:lineRule="auto"/>
        <w:jc w:val="both"/>
        <w:rPr>
          <w:rFonts w:cs="Arial"/>
        </w:rPr>
      </w:pPr>
      <w:r w:rsidRPr="00C9036A">
        <w:rPr>
          <w:rFonts w:cs="Arial"/>
        </w:rPr>
        <w:t xml:space="preserve">We first developed and published the </w:t>
      </w:r>
      <w:r w:rsidRPr="00C9036A">
        <w:rPr>
          <w:rStyle w:val="AERtextitalic"/>
          <w:rFonts w:cs="Arial"/>
        </w:rPr>
        <w:t>'Electricity transmission network service providers - Information guidelines’</w:t>
      </w:r>
      <w:r w:rsidRPr="00C9036A">
        <w:rPr>
          <w:rFonts w:cs="Arial"/>
        </w:rPr>
        <w:t xml:space="preserve"> (Information Guideline) in </w:t>
      </w:r>
      <w:r w:rsidRPr="00C9036A">
        <w:rPr>
          <w:rFonts w:eastAsia="Calibri" w:cs="Arial"/>
          <w:lang w:val="en-GB"/>
        </w:rPr>
        <w:t>September 2007</w:t>
      </w:r>
      <w:r w:rsidRPr="00C9036A">
        <w:rPr>
          <w:rFonts w:eastAsia="Calibri" w:cs="Arial"/>
        </w:rPr>
        <w:t>.</w:t>
      </w:r>
      <w:r w:rsidRPr="00C9036A">
        <w:rPr>
          <w:rStyle w:val="FootnoteReference"/>
          <w:rFonts w:cs="Arial"/>
        </w:rPr>
        <w:footnoteReference w:id="2"/>
      </w:r>
      <w:r w:rsidRPr="00C9036A">
        <w:rPr>
          <w:rFonts w:eastAsia="Calibri" w:cs="Arial"/>
        </w:rPr>
        <w:t xml:space="preserve"> Under Chapter 6A of the NER this </w:t>
      </w:r>
      <w:r w:rsidRPr="00C9036A">
        <w:rPr>
          <w:rFonts w:eastAsia="Calibri" w:cs="Arial"/>
          <w:lang w:val="en-GB"/>
        </w:rPr>
        <w:t xml:space="preserve">Information Guideline must be in force at all times </w:t>
      </w:r>
      <w:r w:rsidRPr="00C9036A">
        <w:rPr>
          <w:rFonts w:eastAsia="Calibri" w:cs="Arial"/>
        </w:rPr>
        <w:t>and is</w:t>
      </w:r>
      <w:r w:rsidRPr="00C9036A">
        <w:rPr>
          <w:rFonts w:eastAsia="Calibri" w:cs="Arial"/>
          <w:lang w:val="en-GB"/>
        </w:rPr>
        <w:t xml:space="preserve"> binding on both the AER and each TNSP to which they apply.</w:t>
      </w:r>
      <w:r w:rsidRPr="00C9036A">
        <w:rPr>
          <w:rStyle w:val="AERsuperscript"/>
          <w:rFonts w:ascii="Arial" w:eastAsia="Calibri" w:hAnsi="Arial" w:cs="Arial"/>
          <w:lang w:val="en-GB"/>
        </w:rPr>
        <w:footnoteReference w:id="3"/>
      </w:r>
      <w:r w:rsidRPr="00C9036A">
        <w:rPr>
          <w:rFonts w:eastAsia="Calibri" w:cs="Arial"/>
        </w:rPr>
        <w:t xml:space="preserve"> </w:t>
      </w:r>
    </w:p>
    <w:p w:rsidR="00750D7E" w:rsidRPr="00C9036A" w:rsidRDefault="00750D7E" w:rsidP="00BF7D97">
      <w:pPr>
        <w:spacing w:before="0" w:after="240" w:line="288" w:lineRule="auto"/>
        <w:rPr>
          <w:rFonts w:cs="Arial"/>
        </w:rPr>
      </w:pPr>
      <w:r w:rsidRPr="00C9036A">
        <w:rPr>
          <w:rFonts w:cs="Arial"/>
        </w:rPr>
        <w:t>Prior to the implementation of our Better Regulation</w:t>
      </w:r>
      <w:r w:rsidRPr="00C9036A">
        <w:rPr>
          <w:rStyle w:val="FootnoteReference"/>
          <w:rFonts w:cs="Arial"/>
        </w:rPr>
        <w:footnoteReference w:id="4"/>
      </w:r>
      <w:r w:rsidRPr="00C9036A">
        <w:rPr>
          <w:rFonts w:cs="Arial"/>
        </w:rPr>
        <w:t xml:space="preserve"> program in late 2013 TNSPs provided all annual reporting information to </w:t>
      </w:r>
      <w:proofErr w:type="gramStart"/>
      <w:r w:rsidRPr="00C9036A">
        <w:rPr>
          <w:rFonts w:cs="Arial"/>
        </w:rPr>
        <w:t>us  under</w:t>
      </w:r>
      <w:proofErr w:type="gramEnd"/>
      <w:r w:rsidRPr="00C9036A">
        <w:rPr>
          <w:rFonts w:cs="Arial"/>
        </w:rPr>
        <w:t xml:space="preserve"> the Information Guideline. This changed after the AER released its </w:t>
      </w:r>
      <w:r w:rsidRPr="00C9036A">
        <w:rPr>
          <w:rStyle w:val="AERtextitalic"/>
          <w:rFonts w:cs="Arial"/>
        </w:rPr>
        <w:t>Expenditure Forecast Assessment Guideline</w:t>
      </w:r>
      <w:r w:rsidRPr="00C9036A">
        <w:rPr>
          <w:rStyle w:val="FootnoteReference"/>
          <w:rFonts w:cs="Arial"/>
        </w:rPr>
        <w:footnoteReference w:id="5"/>
      </w:r>
      <w:r w:rsidRPr="00C9036A">
        <w:rPr>
          <w:rFonts w:cs="Arial"/>
        </w:rPr>
        <w:t xml:space="preserve"> and sought to collect certain benchmarking and category analysis data from some </w:t>
      </w:r>
      <w:r w:rsidRPr="00C9036A">
        <w:rPr>
          <w:rFonts w:cs="Arial"/>
        </w:rPr>
        <w:lastRenderedPageBreak/>
        <w:t xml:space="preserve">TNSPs to assist in the assessing of expenditure (through the issuing of Better Regulation RINs). </w:t>
      </w:r>
    </w:p>
    <w:p w:rsidR="00750D7E" w:rsidRPr="00C9036A" w:rsidRDefault="00750D7E" w:rsidP="00BF7D97">
      <w:pPr>
        <w:spacing w:before="0" w:after="240" w:line="288" w:lineRule="auto"/>
        <w:rPr>
          <w:rFonts w:cs="Arial"/>
        </w:rPr>
      </w:pPr>
      <w:r w:rsidRPr="00C9036A">
        <w:rPr>
          <w:rFonts w:cs="Arial"/>
        </w:rPr>
        <w:t>In a recent review of the Information Guideline we found some reporting obligations are now duplicated (either directly or indirectly) in the Better Regulation RINs. Further, other reporting requirements were found to be redundant or not aligned with the current regulatory framework and the AER’s approach to annual reporting for other electricity distribution and gas businesses.</w:t>
      </w:r>
    </w:p>
    <w:p w:rsidR="00750D7E" w:rsidRPr="00C9036A" w:rsidRDefault="00750D7E" w:rsidP="00BF7D97">
      <w:pPr>
        <w:spacing w:before="0" w:after="240" w:line="288" w:lineRule="auto"/>
        <w:rPr>
          <w:rFonts w:cs="Arial"/>
        </w:rPr>
      </w:pPr>
      <w:r w:rsidRPr="00C9036A">
        <w:rPr>
          <w:rFonts w:cs="Arial"/>
        </w:rPr>
        <w:t xml:space="preserve">To address these issues we propose rationalising the annual reporting requirements for TNSPs by amending the Information Guideline. </w:t>
      </w:r>
    </w:p>
    <w:p w:rsidR="00750D7E" w:rsidRPr="00C9036A" w:rsidRDefault="00750D7E" w:rsidP="00BF7D97">
      <w:pPr>
        <w:spacing w:before="0" w:after="240" w:line="288" w:lineRule="auto"/>
        <w:rPr>
          <w:rFonts w:cs="Arial"/>
        </w:rPr>
      </w:pPr>
      <w:r w:rsidRPr="00C9036A">
        <w:rPr>
          <w:rFonts w:cs="Arial"/>
        </w:rPr>
        <w:t>Our proposed amendments will:</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r w:rsidRPr="00C9036A">
        <w:rPr>
          <w:rFonts w:cs="Arial"/>
        </w:rPr>
        <w:t xml:space="preserve">Remove reporting obligations which are duplicated in the Better Regulation RINs.  </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r w:rsidRPr="00C9036A">
        <w:rPr>
          <w:rFonts w:cs="Arial"/>
        </w:rPr>
        <w:t>Remove redundant reporting requirements.</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r w:rsidRPr="00C9036A">
        <w:rPr>
          <w:rFonts w:cs="Arial"/>
        </w:rPr>
        <w:t>Make consequential changes to better reflect the current regulatory framework and the AER's current approach towards reporting requirements for other gas and electricity businesses.</w:t>
      </w:r>
    </w:p>
    <w:p w:rsidR="00750D7E" w:rsidRDefault="00750D7E" w:rsidP="008E712F">
      <w:pPr>
        <w:pStyle w:val="AERbodytext"/>
        <w:numPr>
          <w:ilvl w:val="0"/>
          <w:numId w:val="17"/>
        </w:numPr>
        <w:spacing w:before="0" w:after="240" w:line="288" w:lineRule="auto"/>
        <w:jc w:val="both"/>
        <w:rPr>
          <w:rStyle w:val="AERbody"/>
          <w:rFonts w:ascii="Arial" w:eastAsia="Calibri" w:hAnsi="Arial" w:cs="Arial"/>
          <w:sz w:val="22"/>
        </w:rPr>
      </w:pPr>
      <w:r w:rsidRPr="00C9036A">
        <w:rPr>
          <w:rStyle w:val="AERbody"/>
          <w:rFonts w:ascii="Arial" w:eastAsia="Calibri" w:hAnsi="Arial" w:cs="Arial"/>
          <w:sz w:val="22"/>
        </w:rPr>
        <w:t xml:space="preserve">We are not proposing to impose any new reporting obligations on TNSPs. Therefore, we consider that </w:t>
      </w:r>
      <w:r w:rsidRPr="00C9036A">
        <w:rPr>
          <w:rStyle w:val="AERbody"/>
          <w:rFonts w:ascii="Arial" w:hAnsi="Arial" w:cs="Arial"/>
          <w:sz w:val="22"/>
        </w:rPr>
        <w:t xml:space="preserve">these proposed amendments will reduce </w:t>
      </w:r>
      <w:r w:rsidRPr="00C9036A">
        <w:rPr>
          <w:rStyle w:val="AERbody"/>
          <w:rFonts w:ascii="Arial" w:eastAsia="Calibri" w:hAnsi="Arial" w:cs="Arial"/>
          <w:sz w:val="22"/>
        </w:rPr>
        <w:t xml:space="preserve">the compliance burden on TNSPs and improve reporting efficiency, thereby contributing towards the achievement of the </w:t>
      </w:r>
      <w:r w:rsidRPr="00C9036A">
        <w:rPr>
          <w:rStyle w:val="AERbody"/>
          <w:rFonts w:ascii="Arial" w:hAnsi="Arial" w:cs="Arial"/>
          <w:sz w:val="22"/>
        </w:rPr>
        <w:t>National Electricity Objective (NEO)</w:t>
      </w:r>
      <w:r w:rsidRPr="00C9036A">
        <w:rPr>
          <w:rStyle w:val="AERbody"/>
          <w:rFonts w:ascii="Arial" w:eastAsia="Calibri" w:hAnsi="Arial" w:cs="Arial"/>
          <w:sz w:val="22"/>
        </w:rPr>
        <w:t>.</w:t>
      </w:r>
      <w:r w:rsidRPr="00C9036A">
        <w:rPr>
          <w:rStyle w:val="AERsuperscript"/>
          <w:rFonts w:ascii="Arial" w:eastAsia="Calibri" w:hAnsi="Arial" w:cs="Arial"/>
        </w:rPr>
        <w:footnoteReference w:id="6"/>
      </w:r>
      <w:r w:rsidRPr="00C9036A">
        <w:rPr>
          <w:rStyle w:val="AERbody"/>
          <w:rFonts w:ascii="Arial" w:eastAsia="Calibri" w:hAnsi="Arial" w:cs="Arial"/>
          <w:sz w:val="22"/>
        </w:rPr>
        <w:t xml:space="preserve"> </w:t>
      </w:r>
    </w:p>
    <w:p w:rsidR="00434D4B" w:rsidRDefault="00434D4B" w:rsidP="00434D4B">
      <w:pPr>
        <w:pStyle w:val="AERbodytext"/>
        <w:spacing w:before="0" w:after="240" w:line="288" w:lineRule="auto"/>
        <w:jc w:val="both"/>
        <w:rPr>
          <w:rStyle w:val="AERbody"/>
          <w:rFonts w:ascii="Arial" w:eastAsia="Calibri" w:hAnsi="Arial" w:cs="Arial"/>
          <w:sz w:val="22"/>
        </w:rPr>
      </w:pPr>
    </w:p>
    <w:p w:rsidR="00434D4B" w:rsidRDefault="00434D4B" w:rsidP="00434D4B">
      <w:pPr>
        <w:pStyle w:val="AERbodytext"/>
        <w:spacing w:before="0" w:after="240" w:line="288" w:lineRule="auto"/>
        <w:jc w:val="both"/>
        <w:rPr>
          <w:rStyle w:val="AERbody"/>
          <w:rFonts w:ascii="Arial" w:eastAsia="Calibri" w:hAnsi="Arial" w:cs="Arial"/>
          <w:sz w:val="22"/>
        </w:rPr>
      </w:pPr>
    </w:p>
    <w:p w:rsidR="00434D4B" w:rsidRDefault="00434D4B" w:rsidP="00434D4B">
      <w:pPr>
        <w:pStyle w:val="AERbodytext"/>
        <w:spacing w:before="0" w:after="240" w:line="288" w:lineRule="auto"/>
        <w:jc w:val="both"/>
        <w:rPr>
          <w:rStyle w:val="AERbody"/>
          <w:rFonts w:ascii="Arial" w:eastAsia="Calibri" w:hAnsi="Arial" w:cs="Arial"/>
          <w:sz w:val="22"/>
        </w:rPr>
      </w:pPr>
    </w:p>
    <w:p w:rsidR="00434D4B" w:rsidRDefault="00434D4B" w:rsidP="00434D4B">
      <w:pPr>
        <w:pStyle w:val="AERbodytext"/>
        <w:spacing w:before="0" w:after="240" w:line="288" w:lineRule="auto"/>
        <w:jc w:val="both"/>
        <w:rPr>
          <w:rStyle w:val="AERbody"/>
          <w:rFonts w:ascii="Arial" w:eastAsia="Calibri" w:hAnsi="Arial" w:cs="Arial"/>
          <w:sz w:val="22"/>
        </w:rPr>
      </w:pPr>
    </w:p>
    <w:p w:rsidR="00434D4B" w:rsidRDefault="00434D4B" w:rsidP="00434D4B">
      <w:pPr>
        <w:pStyle w:val="AERbodytext"/>
        <w:spacing w:before="0" w:after="240" w:line="288" w:lineRule="auto"/>
        <w:jc w:val="both"/>
        <w:rPr>
          <w:rStyle w:val="AERbody"/>
          <w:rFonts w:ascii="Arial" w:eastAsia="Calibri" w:hAnsi="Arial" w:cs="Arial"/>
          <w:sz w:val="22"/>
        </w:rPr>
      </w:pPr>
    </w:p>
    <w:p w:rsidR="00434D4B" w:rsidRDefault="00434D4B" w:rsidP="00434D4B">
      <w:pPr>
        <w:pStyle w:val="AERbodytext"/>
        <w:spacing w:before="0" w:after="240" w:line="288" w:lineRule="auto"/>
        <w:jc w:val="both"/>
        <w:rPr>
          <w:rStyle w:val="AERbody"/>
          <w:rFonts w:ascii="Arial" w:eastAsia="Calibri" w:hAnsi="Arial" w:cs="Arial"/>
          <w:sz w:val="22"/>
        </w:rPr>
      </w:pPr>
    </w:p>
    <w:p w:rsidR="00434D4B" w:rsidRDefault="00434D4B" w:rsidP="00434D4B">
      <w:pPr>
        <w:pStyle w:val="AERbodytext"/>
        <w:spacing w:before="0" w:after="240" w:line="288" w:lineRule="auto"/>
        <w:jc w:val="both"/>
        <w:rPr>
          <w:rStyle w:val="AERbody"/>
          <w:rFonts w:ascii="Arial" w:eastAsia="Calibri" w:hAnsi="Arial" w:cs="Arial"/>
          <w:sz w:val="22"/>
        </w:rPr>
      </w:pPr>
    </w:p>
    <w:p w:rsidR="00434D4B" w:rsidRDefault="00434D4B" w:rsidP="00434D4B">
      <w:pPr>
        <w:pStyle w:val="AERbodytext"/>
        <w:spacing w:before="0" w:after="240" w:line="288" w:lineRule="auto"/>
        <w:jc w:val="both"/>
        <w:rPr>
          <w:rStyle w:val="AERbody"/>
          <w:rFonts w:ascii="Arial" w:eastAsia="Calibri" w:hAnsi="Arial" w:cs="Arial"/>
          <w:sz w:val="22"/>
        </w:rPr>
      </w:pPr>
    </w:p>
    <w:p w:rsidR="00434D4B" w:rsidRPr="00C9036A" w:rsidRDefault="00434D4B" w:rsidP="00434D4B">
      <w:pPr>
        <w:pStyle w:val="AERbodytext"/>
        <w:spacing w:before="0" w:after="240" w:line="288" w:lineRule="auto"/>
        <w:jc w:val="both"/>
        <w:rPr>
          <w:rStyle w:val="AERbody"/>
          <w:rFonts w:ascii="Arial" w:eastAsia="Calibri" w:hAnsi="Arial" w:cs="Arial"/>
          <w:sz w:val="22"/>
        </w:rPr>
      </w:pPr>
    </w:p>
    <w:p w:rsidR="00750D7E" w:rsidRPr="00C9036A" w:rsidRDefault="00750D7E" w:rsidP="00434D4B">
      <w:pPr>
        <w:pStyle w:val="Guidelineheading"/>
        <w:spacing w:before="0" w:after="240" w:line="288" w:lineRule="auto"/>
        <w:rPr>
          <w:rFonts w:ascii="Arial" w:hAnsi="Arial" w:cs="Arial"/>
        </w:rPr>
      </w:pPr>
      <w:bookmarkStart w:id="10" w:name="_Toc405896238"/>
      <w:bookmarkStart w:id="11" w:name="_Toc405965517"/>
      <w:r w:rsidRPr="00C9036A">
        <w:rPr>
          <w:rFonts w:ascii="Arial" w:hAnsi="Arial" w:cs="Arial"/>
        </w:rPr>
        <w:lastRenderedPageBreak/>
        <w:t>Current TNSP annual reporting framework</w:t>
      </w:r>
      <w:bookmarkEnd w:id="10"/>
      <w:bookmarkEnd w:id="11"/>
    </w:p>
    <w:p w:rsidR="00750D7E" w:rsidRPr="00C9036A" w:rsidRDefault="00750D7E" w:rsidP="00434D4B">
      <w:pPr>
        <w:spacing w:before="0" w:after="240" w:line="288" w:lineRule="auto"/>
        <w:rPr>
          <w:rFonts w:cs="Arial"/>
        </w:rPr>
      </w:pPr>
      <w:r w:rsidRPr="00C9036A">
        <w:rPr>
          <w:rFonts w:cs="Arial"/>
        </w:rPr>
        <w:t>There are currently seven electricity TNSPs, including two interconnectors, in the National Electricity Market (NEM):</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proofErr w:type="spellStart"/>
      <w:r w:rsidRPr="00C9036A">
        <w:rPr>
          <w:rFonts w:cs="Arial"/>
        </w:rPr>
        <w:t>ElectraNet</w:t>
      </w:r>
      <w:proofErr w:type="spellEnd"/>
      <w:r w:rsidRPr="00C9036A">
        <w:rPr>
          <w:rFonts w:cs="Arial"/>
        </w:rPr>
        <w:t xml:space="preserve"> (South Australia) </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proofErr w:type="spellStart"/>
      <w:r w:rsidRPr="00C9036A">
        <w:rPr>
          <w:rFonts w:cs="Arial"/>
        </w:rPr>
        <w:t>Powerlink</w:t>
      </w:r>
      <w:proofErr w:type="spellEnd"/>
      <w:r w:rsidRPr="00C9036A">
        <w:rPr>
          <w:rFonts w:cs="Arial"/>
        </w:rPr>
        <w:t xml:space="preserve"> (Queensland) </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r w:rsidRPr="00C9036A">
        <w:rPr>
          <w:rFonts w:cs="Arial"/>
        </w:rPr>
        <w:t xml:space="preserve">AusNet Services (Victoria) </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r w:rsidRPr="00C9036A">
        <w:rPr>
          <w:rFonts w:cs="Arial"/>
        </w:rPr>
        <w:t xml:space="preserve">TasNetworks formally </w:t>
      </w:r>
      <w:proofErr w:type="spellStart"/>
      <w:r w:rsidRPr="00C9036A">
        <w:rPr>
          <w:rFonts w:cs="Arial"/>
        </w:rPr>
        <w:t>Transend</w:t>
      </w:r>
      <w:proofErr w:type="spellEnd"/>
      <w:r w:rsidRPr="00C9036A">
        <w:rPr>
          <w:rFonts w:cs="Arial"/>
        </w:rPr>
        <w:t xml:space="preserve"> (Tasmania) </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proofErr w:type="spellStart"/>
      <w:r w:rsidRPr="00C9036A">
        <w:rPr>
          <w:rFonts w:cs="Arial"/>
        </w:rPr>
        <w:t>TransGrid</w:t>
      </w:r>
      <w:proofErr w:type="spellEnd"/>
      <w:r w:rsidRPr="00C9036A">
        <w:rPr>
          <w:rFonts w:cs="Arial"/>
        </w:rPr>
        <w:t xml:space="preserve"> (New South Wales) </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proofErr w:type="spellStart"/>
      <w:r w:rsidRPr="00C9036A">
        <w:rPr>
          <w:rFonts w:cs="Arial"/>
        </w:rPr>
        <w:t>Directlink</w:t>
      </w:r>
      <w:proofErr w:type="spellEnd"/>
      <w:r w:rsidRPr="00C9036A">
        <w:rPr>
          <w:rFonts w:cs="Arial"/>
        </w:rPr>
        <w:t xml:space="preserve"> (interconnect between Queensland and New South Wales) </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proofErr w:type="spellStart"/>
      <w:r w:rsidRPr="00C9036A">
        <w:rPr>
          <w:rFonts w:cs="Arial"/>
        </w:rPr>
        <w:t>Murraylink</w:t>
      </w:r>
      <w:proofErr w:type="spellEnd"/>
      <w:r w:rsidRPr="00C9036A">
        <w:rPr>
          <w:rFonts w:cs="Arial"/>
        </w:rPr>
        <w:t xml:space="preserve"> (interconnect between Victoria and South Australia). </w:t>
      </w:r>
    </w:p>
    <w:p w:rsidR="00750D7E" w:rsidRPr="00C9036A" w:rsidRDefault="00750D7E" w:rsidP="008E712F">
      <w:pPr>
        <w:pStyle w:val="AERbodytext"/>
        <w:numPr>
          <w:ilvl w:val="0"/>
          <w:numId w:val="17"/>
        </w:numPr>
        <w:spacing w:before="0" w:after="240" w:line="288" w:lineRule="auto"/>
        <w:jc w:val="both"/>
        <w:rPr>
          <w:rStyle w:val="AERbody"/>
          <w:rFonts w:ascii="Arial" w:hAnsi="Arial" w:cs="Arial"/>
          <w:sz w:val="22"/>
        </w:rPr>
      </w:pPr>
      <w:r w:rsidRPr="00C9036A">
        <w:rPr>
          <w:rStyle w:val="AERbody"/>
          <w:rFonts w:ascii="Arial" w:hAnsi="Arial" w:cs="Arial"/>
          <w:sz w:val="22"/>
        </w:rPr>
        <w:t>All TNSPs report to the AER on an annual basis primarily through the provision of an annual statement. In addition TNSPs, with the exception of the two interconnectors (</w:t>
      </w:r>
      <w:proofErr w:type="spellStart"/>
      <w:r w:rsidRPr="00C9036A">
        <w:rPr>
          <w:rStyle w:val="AERbody"/>
          <w:rFonts w:ascii="Arial" w:hAnsi="Arial" w:cs="Arial"/>
          <w:sz w:val="22"/>
        </w:rPr>
        <w:t>Directlink</w:t>
      </w:r>
      <w:proofErr w:type="spellEnd"/>
      <w:r w:rsidRPr="00C9036A">
        <w:rPr>
          <w:rStyle w:val="AERbody"/>
          <w:rFonts w:ascii="Arial" w:hAnsi="Arial" w:cs="Arial"/>
          <w:sz w:val="22"/>
        </w:rPr>
        <w:t xml:space="preserve"> and </w:t>
      </w:r>
      <w:proofErr w:type="spellStart"/>
      <w:r w:rsidRPr="00C9036A">
        <w:rPr>
          <w:rStyle w:val="AERbody"/>
          <w:rFonts w:ascii="Arial" w:hAnsi="Arial" w:cs="Arial"/>
          <w:sz w:val="22"/>
        </w:rPr>
        <w:t>Murraylink</w:t>
      </w:r>
      <w:proofErr w:type="spellEnd"/>
      <w:r w:rsidRPr="00C9036A">
        <w:rPr>
          <w:rStyle w:val="AERbody"/>
          <w:rFonts w:ascii="Arial" w:hAnsi="Arial" w:cs="Arial"/>
          <w:sz w:val="22"/>
        </w:rPr>
        <w:t>), are also required to comply with Better Regulation RINs.</w:t>
      </w:r>
      <w:r w:rsidRPr="00C9036A">
        <w:rPr>
          <w:rStyle w:val="AERsuperscript"/>
          <w:rFonts w:ascii="Arial" w:hAnsi="Arial" w:cs="Arial"/>
        </w:rPr>
        <w:footnoteReference w:id="7"/>
      </w:r>
      <w:r w:rsidRPr="00C9036A">
        <w:rPr>
          <w:rStyle w:val="AERsuperscript"/>
          <w:rFonts w:ascii="Arial" w:hAnsi="Arial" w:cs="Arial"/>
        </w:rPr>
        <w:t xml:space="preserve"> </w:t>
      </w:r>
      <w:r w:rsidRPr="00C9036A">
        <w:rPr>
          <w:rStyle w:val="AERbody"/>
          <w:rFonts w:ascii="Arial" w:hAnsi="Arial" w:cs="Arial"/>
          <w:sz w:val="22"/>
        </w:rPr>
        <w:t xml:space="preserve"> </w:t>
      </w:r>
    </w:p>
    <w:p w:rsidR="00750D7E" w:rsidRPr="00C9036A" w:rsidRDefault="00750D7E" w:rsidP="00434D4B">
      <w:pPr>
        <w:pStyle w:val="Guideline12"/>
        <w:spacing w:before="0" w:after="240" w:line="288" w:lineRule="auto"/>
        <w:rPr>
          <w:sz w:val="28"/>
          <w:szCs w:val="28"/>
        </w:rPr>
      </w:pPr>
      <w:bookmarkStart w:id="12" w:name="_Toc405896239"/>
      <w:bookmarkStart w:id="13" w:name="_Toc405965518"/>
      <w:r w:rsidRPr="00C9036A">
        <w:rPr>
          <w:sz w:val="28"/>
          <w:szCs w:val="28"/>
        </w:rPr>
        <w:t>Information Guideline</w:t>
      </w:r>
      <w:bookmarkEnd w:id="12"/>
      <w:bookmarkEnd w:id="13"/>
    </w:p>
    <w:p w:rsidR="00750D7E" w:rsidRPr="00C9036A" w:rsidRDefault="00750D7E" w:rsidP="00434D4B">
      <w:pPr>
        <w:spacing w:before="0" w:after="240" w:line="288" w:lineRule="auto"/>
        <w:rPr>
          <w:rFonts w:cs="Arial"/>
        </w:rPr>
      </w:pPr>
      <w:r w:rsidRPr="00C9036A">
        <w:rPr>
          <w:rFonts w:cs="Arial"/>
        </w:rPr>
        <w:t>Since September 2007 the AER has collected data from TNSPs in accordance with the AER’s Information Guideline.</w:t>
      </w:r>
      <w:r w:rsidRPr="00C9036A">
        <w:rPr>
          <w:rStyle w:val="AERsuperscript"/>
          <w:rFonts w:ascii="Arial" w:hAnsi="Arial" w:cs="Arial"/>
        </w:rPr>
        <w:footnoteReference w:id="8"/>
      </w:r>
      <w:r w:rsidRPr="00C9036A">
        <w:rPr>
          <w:rStyle w:val="AERsuperscript"/>
          <w:rFonts w:ascii="Arial" w:hAnsi="Arial" w:cs="Arial"/>
        </w:rPr>
        <w:t xml:space="preserve"> </w:t>
      </w:r>
      <w:r w:rsidRPr="00C9036A">
        <w:rPr>
          <w:rFonts w:cs="Arial"/>
        </w:rPr>
        <w:t xml:space="preserve">This guideline was developed in accordance with Chapter 6A of the NER. </w:t>
      </w:r>
    </w:p>
    <w:p w:rsidR="00750D7E" w:rsidRPr="00C9036A" w:rsidRDefault="00750D7E" w:rsidP="00BF7D97">
      <w:pPr>
        <w:spacing w:before="0" w:after="240" w:line="288" w:lineRule="auto"/>
        <w:rPr>
          <w:rFonts w:cs="Arial"/>
        </w:rPr>
      </w:pPr>
      <w:r w:rsidRPr="00C9036A">
        <w:rPr>
          <w:rFonts w:cs="Arial"/>
        </w:rPr>
        <w:t>Clause 6A.17 of the NER requires TNSPs to submit annual statements to the AER that:</w:t>
      </w:r>
      <w:r w:rsidRPr="00C9036A">
        <w:rPr>
          <w:rStyle w:val="AERsuperscript"/>
          <w:rFonts w:ascii="Arial" w:hAnsi="Arial" w:cs="Arial"/>
        </w:rPr>
        <w:footnoteReference w:id="9"/>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r w:rsidRPr="00C9036A">
        <w:rPr>
          <w:rFonts w:cs="Arial"/>
        </w:rPr>
        <w:t>provide a true and fair statement of their financial and operating performance;</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r w:rsidRPr="00C9036A">
        <w:rPr>
          <w:rFonts w:cs="Arial"/>
        </w:rPr>
        <w:t>are certified in accordance with the Information Guideline; and</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proofErr w:type="gramStart"/>
      <w:r w:rsidRPr="00C9036A">
        <w:rPr>
          <w:rFonts w:cs="Arial"/>
        </w:rPr>
        <w:t>otherwise</w:t>
      </w:r>
      <w:proofErr w:type="gramEnd"/>
      <w:r w:rsidRPr="00C9036A">
        <w:rPr>
          <w:rFonts w:cs="Arial"/>
        </w:rPr>
        <w:t xml:space="preserve"> comply with the requirements of cl. 6A.17.1 of the NER and the Information Guideline.</w:t>
      </w:r>
    </w:p>
    <w:p w:rsidR="00750D7E" w:rsidRPr="00C9036A" w:rsidRDefault="00750D7E" w:rsidP="00BF7D97">
      <w:pPr>
        <w:spacing w:before="0" w:after="240" w:line="288" w:lineRule="auto"/>
        <w:rPr>
          <w:rFonts w:cs="Arial"/>
        </w:rPr>
      </w:pPr>
      <w:r w:rsidRPr="00C9036A">
        <w:rPr>
          <w:rFonts w:cs="Arial"/>
        </w:rPr>
        <w:t xml:space="preserve">Under clause 6A.17.1 (d) any information collected under the Information Guideline may be used for the following purposes: </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r w:rsidRPr="00C9036A">
        <w:rPr>
          <w:rFonts w:cs="Arial"/>
        </w:rPr>
        <w:lastRenderedPageBreak/>
        <w:t>to monitor, report on and enforce the compliance of the TNSP with the total revenue cap for the TNSP for a regulatory control period, the maximum allowed revenue for the TNSP for each regulatory year, and any requirements that are imposed on the TNSP under a transmission determination;</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r w:rsidRPr="00C9036A">
        <w:rPr>
          <w:rFonts w:cs="Arial"/>
        </w:rPr>
        <w:t>to monitor, report on and enforce compliance with the provider’s Cost Allocation Methodology (CAM);</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r w:rsidRPr="00C9036A">
        <w:rPr>
          <w:rFonts w:cs="Arial"/>
        </w:rPr>
        <w:t>as an input regarding the financial, economic and operational performance of the TNSP, to inform the AER’s decision-making for the making of revenue determinations or other regulatory controls to apply in future regulatory control periods;</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r w:rsidRPr="00C9036A">
        <w:rPr>
          <w:rFonts w:cs="Arial"/>
        </w:rPr>
        <w:t>to monitor and report on the performance of the TNSP under any incentive scheme that applies to it under clauses 6A.6.5 (efficiency benefit sharing scheme), 6A.6.5A (capital expenditure sharing scheme), 6A.7.4 (service target performance incentive scheme) or 6A.7.5 (small scale incentive scheme); and</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proofErr w:type="gramStart"/>
      <w:r w:rsidRPr="00C9036A">
        <w:rPr>
          <w:rFonts w:cs="Arial"/>
        </w:rPr>
        <w:t>for</w:t>
      </w:r>
      <w:proofErr w:type="gramEnd"/>
      <w:r w:rsidRPr="00C9036A">
        <w:rPr>
          <w:rFonts w:cs="Arial"/>
        </w:rPr>
        <w:t xml:space="preserve"> the preparation of a network service provider performance report.</w:t>
      </w:r>
    </w:p>
    <w:p w:rsidR="00750D7E" w:rsidRPr="00C9036A" w:rsidRDefault="00750D7E" w:rsidP="00BF7D97">
      <w:pPr>
        <w:spacing w:before="0" w:after="240" w:line="288" w:lineRule="auto"/>
        <w:rPr>
          <w:rFonts w:cs="Arial"/>
          <w:lang w:val="en-GB"/>
        </w:rPr>
      </w:pPr>
      <w:r w:rsidRPr="00C9036A">
        <w:rPr>
          <w:rFonts w:cs="Arial"/>
        </w:rPr>
        <w:t>The Information Guideline is binding on both the AER and each TNSP to which they apply.</w:t>
      </w:r>
      <w:r w:rsidRPr="00C9036A">
        <w:rPr>
          <w:rStyle w:val="AERsuperscript"/>
          <w:rFonts w:ascii="Arial" w:hAnsi="Arial" w:cs="Arial"/>
        </w:rPr>
        <w:footnoteReference w:id="10"/>
      </w:r>
      <w:r w:rsidRPr="00C9036A">
        <w:rPr>
          <w:rFonts w:cs="Arial"/>
        </w:rPr>
        <w:t xml:space="preserve"> </w:t>
      </w:r>
    </w:p>
    <w:p w:rsidR="00750D7E" w:rsidRPr="00C9036A" w:rsidRDefault="00BF7D97" w:rsidP="00434D4B">
      <w:pPr>
        <w:pStyle w:val="Style1"/>
        <w:spacing w:before="0" w:after="240" w:line="288" w:lineRule="auto"/>
      </w:pPr>
      <w:bookmarkStart w:id="14" w:name="_Toc405896240"/>
      <w:r w:rsidRPr="00C9036A">
        <w:t>2.2.1</w:t>
      </w:r>
      <w:r w:rsidRPr="00C9036A">
        <w:tab/>
      </w:r>
      <w:r w:rsidR="00750D7E" w:rsidRPr="00C9036A">
        <w:t>Content of the Information Guideline</w:t>
      </w:r>
      <w:bookmarkEnd w:id="14"/>
    </w:p>
    <w:p w:rsidR="00750D7E" w:rsidRPr="00C9036A" w:rsidRDefault="00750D7E" w:rsidP="00434D4B">
      <w:pPr>
        <w:spacing w:before="0" w:after="240" w:line="288" w:lineRule="auto"/>
        <w:rPr>
          <w:rFonts w:cs="Arial"/>
        </w:rPr>
      </w:pPr>
      <w:r w:rsidRPr="00C9036A">
        <w:rPr>
          <w:rFonts w:cs="Arial"/>
        </w:rPr>
        <w:t>Clause 6A.17 sets out the requirements underlying the collection of information to be contained in a TNSP’s certified annual statement and covers a range of specified provisions relating to the content of the Information Guideline. For example, the Information Guideline must include the manner and form in which TNSPs submit certified annual statements to the AER, including the date each year by which those statements must be submitted.</w:t>
      </w:r>
      <w:r w:rsidRPr="00C9036A">
        <w:rPr>
          <w:rStyle w:val="AERsuperscript"/>
          <w:rFonts w:ascii="Arial" w:hAnsi="Arial" w:cs="Arial"/>
        </w:rPr>
        <w:footnoteReference w:id="11"/>
      </w:r>
      <w:r w:rsidRPr="00C9036A">
        <w:rPr>
          <w:rStyle w:val="AERsuperscript"/>
          <w:rFonts w:ascii="Arial" w:hAnsi="Arial" w:cs="Arial"/>
        </w:rPr>
        <w:t xml:space="preserve"> </w:t>
      </w:r>
      <w:r w:rsidRPr="00C9036A">
        <w:rPr>
          <w:rFonts w:cs="Arial"/>
        </w:rPr>
        <w:t xml:space="preserve">The guideline may also cover other matters such as requirements relating to prudent discounts and cost pass throughs. </w:t>
      </w:r>
    </w:p>
    <w:p w:rsidR="00750D7E" w:rsidRPr="00C9036A" w:rsidRDefault="00750D7E" w:rsidP="00BF7D97">
      <w:pPr>
        <w:spacing w:before="0" w:after="240" w:line="288" w:lineRule="auto"/>
        <w:rPr>
          <w:rFonts w:cs="Arial"/>
        </w:rPr>
      </w:pPr>
      <w:r w:rsidRPr="00C9036A">
        <w:rPr>
          <w:rFonts w:cs="Arial"/>
        </w:rPr>
        <w:t>The Information Guideline currently includes the following data requirements.</w:t>
      </w:r>
    </w:p>
    <w:p w:rsidR="00750D7E" w:rsidRPr="00C9036A" w:rsidRDefault="00750D7E" w:rsidP="008E712F">
      <w:pPr>
        <w:pStyle w:val="HeadingBoldBlue"/>
        <w:numPr>
          <w:ilvl w:val="0"/>
          <w:numId w:val="17"/>
        </w:numPr>
        <w:jc w:val="both"/>
        <w:rPr>
          <w:rFonts w:ascii="Arial" w:hAnsi="Arial" w:cs="Arial"/>
        </w:rPr>
      </w:pPr>
      <w:r w:rsidRPr="00C9036A">
        <w:rPr>
          <w:rFonts w:ascii="Arial" w:hAnsi="Arial" w:cs="Arial"/>
        </w:rPr>
        <w:t>Financial information</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r w:rsidRPr="00C9036A">
        <w:rPr>
          <w:rFonts w:cs="Arial"/>
        </w:rPr>
        <w:t xml:space="preserve">Regulatory and disaggregation financial statements (income, balance sheet, cash flow); </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r w:rsidRPr="00C9036A">
        <w:rPr>
          <w:rFonts w:cs="Arial"/>
        </w:rPr>
        <w:t>Operations and maintenance expenditure disaggregation including causal and non-causal allocations;</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r w:rsidRPr="00C9036A">
        <w:rPr>
          <w:rFonts w:cs="Arial"/>
        </w:rPr>
        <w:lastRenderedPageBreak/>
        <w:t>Historic operating and capital expenditure;</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r w:rsidRPr="00C9036A">
        <w:rPr>
          <w:rFonts w:cs="Arial"/>
        </w:rPr>
        <w:t>Prescribed transmission services – regulatory adjustments, price reduction/recovery, prudent discount, revenue analysis, pass throughs;</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r w:rsidRPr="00C9036A">
        <w:rPr>
          <w:rFonts w:cs="Arial"/>
        </w:rPr>
        <w:t>Asset statements – disaggregation statement, reconciliation, asset aging schedule;</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r w:rsidRPr="00C9036A">
        <w:rPr>
          <w:rFonts w:cs="Arial"/>
        </w:rPr>
        <w:t>Provisions – summary and reconciliation;</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r w:rsidRPr="00C9036A">
        <w:rPr>
          <w:rFonts w:cs="Arial"/>
        </w:rPr>
        <w:t>Related party transactions;</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r w:rsidRPr="00C9036A">
        <w:rPr>
          <w:rFonts w:cs="Arial"/>
        </w:rPr>
        <w:t>Revenue reconciliation.</w:t>
      </w:r>
    </w:p>
    <w:p w:rsidR="00750D7E" w:rsidRPr="00C9036A" w:rsidRDefault="00750D7E" w:rsidP="008E712F">
      <w:pPr>
        <w:pStyle w:val="HeadingBoldBlue"/>
        <w:numPr>
          <w:ilvl w:val="0"/>
          <w:numId w:val="17"/>
        </w:numPr>
        <w:jc w:val="both"/>
        <w:rPr>
          <w:rFonts w:ascii="Arial" w:hAnsi="Arial" w:cs="Arial"/>
        </w:rPr>
      </w:pPr>
      <w:r w:rsidRPr="00C9036A">
        <w:rPr>
          <w:rFonts w:ascii="Arial" w:hAnsi="Arial" w:cs="Arial"/>
        </w:rPr>
        <w:t>Non-financial information</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r w:rsidRPr="00C9036A">
        <w:rPr>
          <w:rFonts w:cs="Arial"/>
        </w:rPr>
        <w:t>Current map of the network; and</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r w:rsidRPr="00C9036A">
        <w:rPr>
          <w:rFonts w:cs="Arial"/>
        </w:rPr>
        <w:t>One year demand forecast.</w:t>
      </w:r>
    </w:p>
    <w:p w:rsidR="00750D7E" w:rsidRPr="00C9036A" w:rsidRDefault="00750D7E" w:rsidP="008E712F">
      <w:pPr>
        <w:pStyle w:val="HeadingBoldBlue"/>
        <w:numPr>
          <w:ilvl w:val="0"/>
          <w:numId w:val="17"/>
        </w:numPr>
        <w:jc w:val="both"/>
        <w:rPr>
          <w:rFonts w:ascii="Arial" w:hAnsi="Arial" w:cs="Arial"/>
        </w:rPr>
      </w:pPr>
      <w:r w:rsidRPr="00C9036A">
        <w:rPr>
          <w:rFonts w:ascii="Arial" w:hAnsi="Arial" w:cs="Arial"/>
        </w:rPr>
        <w:t>Service performance information</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r w:rsidRPr="00C9036A">
        <w:rPr>
          <w:rFonts w:cs="Arial"/>
        </w:rPr>
        <w:t>Inputs – performance against the service target performance incentive scheme parameters, exclusions as defined under the scheme;</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r w:rsidRPr="00C9036A">
        <w:rPr>
          <w:rFonts w:cs="Arial"/>
        </w:rPr>
        <w:t>S-factor results;</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r w:rsidRPr="00C9036A">
        <w:rPr>
          <w:rFonts w:cs="Arial"/>
        </w:rPr>
        <w:t>Revenue impact calculation;</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r w:rsidRPr="00C9036A">
        <w:rPr>
          <w:rFonts w:cs="Arial"/>
        </w:rPr>
        <w:t>Outcomes – total performance, s-factor, financial incentives.</w:t>
      </w:r>
    </w:p>
    <w:p w:rsidR="00750D7E" w:rsidRPr="00C9036A" w:rsidRDefault="00750D7E" w:rsidP="008E712F">
      <w:pPr>
        <w:pStyle w:val="HeadingBoldBlue"/>
        <w:numPr>
          <w:ilvl w:val="0"/>
          <w:numId w:val="17"/>
        </w:numPr>
        <w:jc w:val="both"/>
        <w:rPr>
          <w:rFonts w:ascii="Arial" w:hAnsi="Arial" w:cs="Arial"/>
        </w:rPr>
      </w:pPr>
      <w:r w:rsidRPr="00C9036A">
        <w:rPr>
          <w:rFonts w:ascii="Arial" w:hAnsi="Arial" w:cs="Arial"/>
        </w:rPr>
        <w:t>Assurance requirements</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r w:rsidRPr="00C9036A">
        <w:rPr>
          <w:rFonts w:cs="Arial"/>
        </w:rPr>
        <w:t xml:space="preserve">An audit of financial information covering the basis and application of the CAM, arithmetic accuracy and reconciliation of statutory financial statements. </w:t>
      </w:r>
    </w:p>
    <w:p w:rsidR="00750D7E" w:rsidRPr="00C9036A" w:rsidRDefault="00750D7E" w:rsidP="008E712F">
      <w:pPr>
        <w:pStyle w:val="AERbulletlistfirststyle"/>
        <w:numPr>
          <w:ilvl w:val="0"/>
          <w:numId w:val="14"/>
        </w:numPr>
        <w:tabs>
          <w:tab w:val="left" w:pos="357"/>
        </w:tabs>
        <w:spacing w:before="0" w:after="240" w:line="288" w:lineRule="auto"/>
        <w:ind w:left="357" w:hanging="357"/>
        <w:jc w:val="both"/>
        <w:rPr>
          <w:rFonts w:cs="Arial"/>
        </w:rPr>
      </w:pPr>
      <w:r w:rsidRPr="00C9036A">
        <w:rPr>
          <w:rFonts w:cs="Arial"/>
        </w:rPr>
        <w:t>A directors’ responsibility statement (examples are set out in Appendix C of the Information Guideline).</w:t>
      </w:r>
    </w:p>
    <w:p w:rsidR="00750D7E" w:rsidRPr="00C9036A" w:rsidRDefault="00750D7E" w:rsidP="00434D4B">
      <w:pPr>
        <w:pStyle w:val="Guideline12"/>
        <w:spacing w:before="0" w:after="240" w:line="288" w:lineRule="auto"/>
        <w:rPr>
          <w:sz w:val="28"/>
          <w:szCs w:val="28"/>
        </w:rPr>
      </w:pPr>
      <w:bookmarkStart w:id="15" w:name="_Toc405896241"/>
      <w:bookmarkStart w:id="16" w:name="_Toc405965519"/>
      <w:r w:rsidRPr="00C9036A">
        <w:rPr>
          <w:sz w:val="28"/>
          <w:szCs w:val="28"/>
        </w:rPr>
        <w:t>Better Regulation RINs</w:t>
      </w:r>
      <w:bookmarkEnd w:id="15"/>
      <w:bookmarkEnd w:id="16"/>
    </w:p>
    <w:p w:rsidR="00750D7E" w:rsidRPr="00C9036A" w:rsidRDefault="00750D7E" w:rsidP="00434D4B">
      <w:pPr>
        <w:spacing w:before="0" w:after="240" w:line="288" w:lineRule="auto"/>
        <w:rPr>
          <w:rFonts w:cs="Arial"/>
        </w:rPr>
      </w:pPr>
      <w:r w:rsidRPr="00C9036A">
        <w:rPr>
          <w:rFonts w:cs="Arial"/>
        </w:rPr>
        <w:t xml:space="preserve">In 2013 as part of our Better Regulation program we developed and released the </w:t>
      </w:r>
      <w:r w:rsidRPr="00C9036A">
        <w:rPr>
          <w:rStyle w:val="AERtextitalic"/>
          <w:rFonts w:cs="Arial"/>
        </w:rPr>
        <w:t>Expenditure Forecast Assessment Guideline</w:t>
      </w:r>
      <w:r w:rsidRPr="00C9036A">
        <w:rPr>
          <w:rFonts w:cs="Arial"/>
        </w:rPr>
        <w:t>.</w:t>
      </w:r>
      <w:r w:rsidRPr="00C9036A">
        <w:rPr>
          <w:rStyle w:val="AERsuperscript"/>
          <w:rFonts w:ascii="Arial" w:hAnsi="Arial" w:cs="Arial"/>
        </w:rPr>
        <w:footnoteReference w:id="12"/>
      </w:r>
      <w:r w:rsidRPr="00C9036A">
        <w:rPr>
          <w:rFonts w:cs="Arial"/>
        </w:rPr>
        <w:t xml:space="preserve"> This guideline describes the process, techniques and associated data requirements for our approach to setting efficient expenditure allowances for network businesses. As part of this process we also developed Economic Benchmarking and Category Analysis information requirements (to be collected through RINs). The information provided in response to those RINs is </w:t>
      </w:r>
      <w:r w:rsidRPr="00C9036A">
        <w:rPr>
          <w:rFonts w:cs="Arial"/>
        </w:rPr>
        <w:lastRenderedPageBreak/>
        <w:t xml:space="preserve">used by us for benchmarking of network businesses and to prepare regulatory determinations. We decided not to impose benchmarking or category analysis data requirements on interconnectors such as </w:t>
      </w:r>
      <w:proofErr w:type="spellStart"/>
      <w:r w:rsidRPr="00C9036A">
        <w:rPr>
          <w:rFonts w:cs="Arial"/>
        </w:rPr>
        <w:t>Murraylink</w:t>
      </w:r>
      <w:proofErr w:type="spellEnd"/>
      <w:r w:rsidRPr="00C9036A">
        <w:rPr>
          <w:rFonts w:cs="Arial"/>
        </w:rPr>
        <w:t xml:space="preserve"> and </w:t>
      </w:r>
      <w:proofErr w:type="spellStart"/>
      <w:r w:rsidRPr="00C9036A">
        <w:rPr>
          <w:rFonts w:cs="Arial"/>
        </w:rPr>
        <w:t>Directlink</w:t>
      </w:r>
      <w:proofErr w:type="spellEnd"/>
      <w:r w:rsidRPr="00C9036A">
        <w:rPr>
          <w:rFonts w:cs="Arial"/>
        </w:rPr>
        <w:t xml:space="preserve"> because we decided not to use their data in our benchmarking analysis.</w:t>
      </w:r>
      <w:r w:rsidRPr="00C9036A">
        <w:rPr>
          <w:rStyle w:val="AERsuperscript"/>
          <w:rFonts w:ascii="Arial" w:hAnsi="Arial" w:cs="Arial"/>
        </w:rPr>
        <w:footnoteReference w:id="13"/>
      </w:r>
      <w:r w:rsidRPr="00C9036A">
        <w:rPr>
          <w:rFonts w:cs="Arial"/>
        </w:rPr>
        <w:t xml:space="preserve"> </w:t>
      </w:r>
    </w:p>
    <w:p w:rsidR="00750D7E" w:rsidRPr="00C9036A" w:rsidRDefault="00750D7E" w:rsidP="00BF7D97">
      <w:pPr>
        <w:spacing w:before="0" w:after="240" w:line="288" w:lineRule="auto"/>
        <w:rPr>
          <w:rFonts w:cs="Arial"/>
        </w:rPr>
      </w:pPr>
      <w:r w:rsidRPr="00C9036A">
        <w:rPr>
          <w:rFonts w:cs="Arial"/>
        </w:rPr>
        <w:t xml:space="preserve">We </w:t>
      </w:r>
      <w:r w:rsidRPr="00C9036A">
        <w:rPr>
          <w:rFonts w:cs="Arial"/>
          <w:lang w:val="en-GB"/>
        </w:rPr>
        <w:t xml:space="preserve">issued the Economic Benchmarking RINs to all </w:t>
      </w:r>
      <w:r w:rsidRPr="00C9036A">
        <w:rPr>
          <w:rFonts w:cs="Arial"/>
          <w:lang w:val="en"/>
        </w:rPr>
        <w:t>electricity distribution and transmission businesses o</w:t>
      </w:r>
      <w:r w:rsidRPr="00C9036A">
        <w:rPr>
          <w:rFonts w:cs="Arial"/>
          <w:lang w:val="en-GB"/>
        </w:rPr>
        <w:t xml:space="preserve">n 28 November 2013. </w:t>
      </w:r>
      <w:r w:rsidRPr="00C9036A">
        <w:rPr>
          <w:rFonts w:cs="Arial"/>
          <w:lang w:val="en"/>
        </w:rPr>
        <w:t xml:space="preserve">Category Analysis RINs were issued to electricity businesses on 7 March 2014, except for those in the midst of a regulatory reset. </w:t>
      </w:r>
      <w:r w:rsidRPr="00C9036A">
        <w:rPr>
          <w:rFonts w:cs="Arial"/>
        </w:rPr>
        <w:t xml:space="preserve">Two TNSPs - </w:t>
      </w:r>
      <w:proofErr w:type="spellStart"/>
      <w:r w:rsidRPr="00C9036A">
        <w:rPr>
          <w:rFonts w:cs="Arial"/>
          <w:lang w:val="en-GB"/>
        </w:rPr>
        <w:t>Transend</w:t>
      </w:r>
      <w:proofErr w:type="spellEnd"/>
      <w:r w:rsidRPr="00C9036A">
        <w:rPr>
          <w:rFonts w:cs="Arial"/>
          <w:lang w:val="en-GB"/>
        </w:rPr>
        <w:t xml:space="preserve"> (which became TasNetworks on 1 July 2014)</w:t>
      </w:r>
      <w:r w:rsidRPr="00C9036A">
        <w:rPr>
          <w:rFonts w:cs="Arial"/>
        </w:rPr>
        <w:t xml:space="preserve"> and </w:t>
      </w:r>
      <w:r w:rsidRPr="00C9036A">
        <w:rPr>
          <w:rFonts w:cs="Arial"/>
          <w:lang w:val="en-GB"/>
        </w:rPr>
        <w:t>Trans</w:t>
      </w:r>
      <w:r w:rsidRPr="00C9036A">
        <w:rPr>
          <w:rFonts w:cs="Arial"/>
        </w:rPr>
        <w:t>G</w:t>
      </w:r>
      <w:r w:rsidRPr="00C9036A">
        <w:rPr>
          <w:rFonts w:cs="Arial"/>
          <w:lang w:val="en-GB"/>
        </w:rPr>
        <w:t xml:space="preserve">rid </w:t>
      </w:r>
      <w:r w:rsidRPr="00C9036A">
        <w:rPr>
          <w:rFonts w:cs="Arial"/>
        </w:rPr>
        <w:t xml:space="preserve">- </w:t>
      </w:r>
      <w:r w:rsidRPr="00C9036A">
        <w:rPr>
          <w:rFonts w:cs="Arial"/>
          <w:lang w:val="en-GB"/>
        </w:rPr>
        <w:t xml:space="preserve">had category analysis reporting requirements embedded in their Reset RINs. The </w:t>
      </w:r>
      <w:r w:rsidRPr="00C9036A">
        <w:rPr>
          <w:rFonts w:cs="Arial"/>
        </w:rPr>
        <w:t xml:space="preserve">Reset RINs were issued on 7 March 2014. </w:t>
      </w:r>
    </w:p>
    <w:p w:rsidR="00750D7E" w:rsidRPr="00C9036A" w:rsidRDefault="00750D7E" w:rsidP="00BF7D97">
      <w:pPr>
        <w:spacing w:before="0" w:after="240" w:line="288" w:lineRule="auto"/>
        <w:rPr>
          <w:rFonts w:cs="Arial"/>
        </w:rPr>
      </w:pPr>
      <w:r w:rsidRPr="00C9036A">
        <w:rPr>
          <w:rFonts w:cs="Arial"/>
        </w:rPr>
        <w:t>Under the Economic Benchmarking and Category Analysis RINs businesses are required to provide us with economic benchmarking and category analysis data on an annual basis until 2024. The Reset RINs also contain ongoing obligations to provide category analysis data until 2024.</w:t>
      </w:r>
    </w:p>
    <w:p w:rsidR="00750D7E" w:rsidRPr="00C9036A" w:rsidRDefault="00750D7E" w:rsidP="00434D4B">
      <w:pPr>
        <w:pStyle w:val="Guideline12"/>
        <w:spacing w:before="0" w:after="240" w:line="288" w:lineRule="auto"/>
        <w:rPr>
          <w:sz w:val="28"/>
          <w:szCs w:val="28"/>
        </w:rPr>
      </w:pPr>
      <w:bookmarkStart w:id="17" w:name="_Toc405896242"/>
      <w:bookmarkStart w:id="18" w:name="_Toc405965520"/>
      <w:r w:rsidRPr="00C9036A">
        <w:rPr>
          <w:sz w:val="28"/>
          <w:szCs w:val="28"/>
        </w:rPr>
        <w:t>2013-14 annual reporting</w:t>
      </w:r>
      <w:bookmarkEnd w:id="17"/>
      <w:bookmarkEnd w:id="18"/>
    </w:p>
    <w:p w:rsidR="00750D7E" w:rsidRPr="00C9036A" w:rsidRDefault="00750D7E" w:rsidP="00434D4B">
      <w:pPr>
        <w:spacing w:before="0" w:after="240" w:line="288" w:lineRule="auto"/>
        <w:rPr>
          <w:rFonts w:cs="Arial"/>
        </w:rPr>
      </w:pPr>
      <w:r w:rsidRPr="00C9036A">
        <w:rPr>
          <w:rFonts w:cs="Arial"/>
        </w:rPr>
        <w:t xml:space="preserve">Annual reporting for the 2013-14 regulatory year was completed by TNSPs in late October 2014 with the provision of the following: </w:t>
      </w:r>
    </w:p>
    <w:p w:rsidR="00750D7E" w:rsidRPr="00C9036A" w:rsidRDefault="00750D7E" w:rsidP="00434D4B">
      <w:pPr>
        <w:pStyle w:val="AERbulletlistfirststyle"/>
        <w:numPr>
          <w:ilvl w:val="0"/>
          <w:numId w:val="14"/>
        </w:numPr>
        <w:tabs>
          <w:tab w:val="left" w:pos="357"/>
        </w:tabs>
        <w:spacing w:before="0" w:after="240" w:line="288" w:lineRule="auto"/>
        <w:ind w:left="357" w:hanging="357"/>
        <w:jc w:val="both"/>
        <w:rPr>
          <w:rFonts w:cs="Arial"/>
        </w:rPr>
      </w:pPr>
      <w:r w:rsidRPr="00C9036A">
        <w:rPr>
          <w:rFonts w:cs="Arial"/>
          <w:lang w:val="en-GB"/>
        </w:rPr>
        <w:t xml:space="preserve">2013-14 response to </w:t>
      </w:r>
      <w:r w:rsidRPr="00C9036A">
        <w:rPr>
          <w:rFonts w:cs="Arial"/>
        </w:rPr>
        <w:t xml:space="preserve">Better Regulation </w:t>
      </w:r>
      <w:r w:rsidRPr="00C9036A">
        <w:rPr>
          <w:rFonts w:cs="Arial"/>
          <w:lang w:val="en-GB"/>
        </w:rPr>
        <w:t>RINs by 31 October 2014</w:t>
      </w:r>
      <w:r w:rsidRPr="00C9036A">
        <w:rPr>
          <w:rFonts w:cs="Arial"/>
        </w:rPr>
        <w:t xml:space="preserve"> (with the exception of </w:t>
      </w:r>
      <w:proofErr w:type="spellStart"/>
      <w:r w:rsidRPr="00C9036A">
        <w:rPr>
          <w:rFonts w:cs="Arial"/>
        </w:rPr>
        <w:t>Murraylink</w:t>
      </w:r>
      <w:proofErr w:type="spellEnd"/>
      <w:r w:rsidRPr="00C9036A">
        <w:rPr>
          <w:rFonts w:cs="Arial"/>
        </w:rPr>
        <w:t xml:space="preserve"> and </w:t>
      </w:r>
      <w:proofErr w:type="spellStart"/>
      <w:r w:rsidRPr="00C9036A">
        <w:rPr>
          <w:rFonts w:cs="Arial"/>
        </w:rPr>
        <w:t>Directlink</w:t>
      </w:r>
      <w:proofErr w:type="spellEnd"/>
      <w:r w:rsidRPr="00C9036A">
        <w:rPr>
          <w:rFonts w:cs="Arial"/>
        </w:rPr>
        <w:t>);</w:t>
      </w:r>
      <w:r w:rsidRPr="00C9036A">
        <w:rPr>
          <w:rFonts w:cs="Arial"/>
          <w:lang w:val="en-GB"/>
        </w:rPr>
        <w:t xml:space="preserve"> </w:t>
      </w:r>
      <w:r w:rsidRPr="00C9036A">
        <w:rPr>
          <w:rFonts w:cs="Arial"/>
        </w:rPr>
        <w:t xml:space="preserve">and </w:t>
      </w:r>
    </w:p>
    <w:p w:rsidR="00750D7E" w:rsidRPr="00434D4B" w:rsidRDefault="00750D7E" w:rsidP="008E712F">
      <w:pPr>
        <w:pStyle w:val="AERbulletlistfirststyle"/>
        <w:numPr>
          <w:ilvl w:val="0"/>
          <w:numId w:val="14"/>
        </w:numPr>
        <w:tabs>
          <w:tab w:val="left" w:pos="357"/>
        </w:tabs>
        <w:spacing w:before="0" w:after="240" w:line="288" w:lineRule="auto"/>
        <w:ind w:left="357" w:hanging="357"/>
        <w:jc w:val="both"/>
        <w:rPr>
          <w:rFonts w:cs="Arial"/>
          <w:lang w:val="en-GB"/>
        </w:rPr>
      </w:pPr>
      <w:r w:rsidRPr="00C9036A">
        <w:rPr>
          <w:rFonts w:cs="Arial"/>
        </w:rPr>
        <w:t>2013-14 annual statement in accordance with the Information Guideline.</w:t>
      </w:r>
      <w:r w:rsidRPr="00C9036A">
        <w:rPr>
          <w:rStyle w:val="AERsuperscript"/>
          <w:rFonts w:ascii="Arial" w:hAnsi="Arial" w:cs="Arial"/>
        </w:rPr>
        <w:footnoteReference w:id="14"/>
      </w:r>
    </w:p>
    <w:p w:rsidR="00434D4B" w:rsidRDefault="00434D4B" w:rsidP="00434D4B">
      <w:pPr>
        <w:pStyle w:val="AERbulletlistfirststyle"/>
        <w:numPr>
          <w:ilvl w:val="0"/>
          <w:numId w:val="0"/>
        </w:numPr>
        <w:tabs>
          <w:tab w:val="left" w:pos="357"/>
        </w:tabs>
        <w:spacing w:before="0" w:after="240" w:line="288" w:lineRule="auto"/>
        <w:ind w:left="360" w:hanging="360"/>
        <w:jc w:val="both"/>
        <w:rPr>
          <w:rFonts w:cs="Arial"/>
        </w:rPr>
      </w:pPr>
    </w:p>
    <w:p w:rsidR="00434D4B" w:rsidRDefault="00434D4B" w:rsidP="00434D4B">
      <w:pPr>
        <w:pStyle w:val="AERbulletlistfirststyle"/>
        <w:numPr>
          <w:ilvl w:val="0"/>
          <w:numId w:val="0"/>
        </w:numPr>
        <w:tabs>
          <w:tab w:val="left" w:pos="357"/>
        </w:tabs>
        <w:spacing w:before="0" w:after="240" w:line="288" w:lineRule="auto"/>
        <w:ind w:left="360" w:hanging="360"/>
        <w:jc w:val="both"/>
        <w:rPr>
          <w:rFonts w:cs="Arial"/>
        </w:rPr>
      </w:pPr>
    </w:p>
    <w:p w:rsidR="00434D4B" w:rsidRDefault="00434D4B" w:rsidP="00434D4B">
      <w:pPr>
        <w:pStyle w:val="AERbulletlistfirststyle"/>
        <w:numPr>
          <w:ilvl w:val="0"/>
          <w:numId w:val="0"/>
        </w:numPr>
        <w:tabs>
          <w:tab w:val="left" w:pos="357"/>
        </w:tabs>
        <w:spacing w:before="0" w:after="240" w:line="288" w:lineRule="auto"/>
        <w:ind w:left="360" w:hanging="360"/>
        <w:jc w:val="both"/>
        <w:rPr>
          <w:rFonts w:cs="Arial"/>
        </w:rPr>
      </w:pPr>
    </w:p>
    <w:p w:rsidR="00434D4B" w:rsidRDefault="00434D4B" w:rsidP="00434D4B">
      <w:pPr>
        <w:pStyle w:val="AERbulletlistfirststyle"/>
        <w:numPr>
          <w:ilvl w:val="0"/>
          <w:numId w:val="0"/>
        </w:numPr>
        <w:tabs>
          <w:tab w:val="left" w:pos="357"/>
        </w:tabs>
        <w:spacing w:before="0" w:after="240" w:line="288" w:lineRule="auto"/>
        <w:ind w:left="360" w:hanging="360"/>
        <w:jc w:val="both"/>
        <w:rPr>
          <w:rFonts w:cs="Arial"/>
        </w:rPr>
      </w:pPr>
    </w:p>
    <w:p w:rsidR="00434D4B" w:rsidRDefault="00434D4B" w:rsidP="00434D4B">
      <w:pPr>
        <w:pStyle w:val="AERbulletlistfirststyle"/>
        <w:numPr>
          <w:ilvl w:val="0"/>
          <w:numId w:val="0"/>
        </w:numPr>
        <w:tabs>
          <w:tab w:val="left" w:pos="357"/>
        </w:tabs>
        <w:spacing w:before="0" w:after="240" w:line="288" w:lineRule="auto"/>
        <w:ind w:left="360" w:hanging="360"/>
        <w:jc w:val="both"/>
        <w:rPr>
          <w:rFonts w:cs="Arial"/>
        </w:rPr>
      </w:pPr>
    </w:p>
    <w:p w:rsidR="00434D4B" w:rsidRDefault="00434D4B" w:rsidP="00434D4B">
      <w:pPr>
        <w:pStyle w:val="AERbulletlistfirststyle"/>
        <w:numPr>
          <w:ilvl w:val="0"/>
          <w:numId w:val="0"/>
        </w:numPr>
        <w:tabs>
          <w:tab w:val="left" w:pos="357"/>
        </w:tabs>
        <w:spacing w:before="0" w:after="240" w:line="288" w:lineRule="auto"/>
        <w:ind w:left="360" w:hanging="360"/>
        <w:jc w:val="both"/>
        <w:rPr>
          <w:rFonts w:cs="Arial"/>
        </w:rPr>
      </w:pPr>
    </w:p>
    <w:p w:rsidR="00434D4B" w:rsidRPr="00C9036A" w:rsidRDefault="00434D4B" w:rsidP="00434D4B">
      <w:pPr>
        <w:pStyle w:val="AERbulletlistfirststyle"/>
        <w:numPr>
          <w:ilvl w:val="0"/>
          <w:numId w:val="0"/>
        </w:numPr>
        <w:tabs>
          <w:tab w:val="left" w:pos="357"/>
        </w:tabs>
        <w:spacing w:before="0" w:after="240" w:line="288" w:lineRule="auto"/>
        <w:ind w:left="360" w:hanging="360"/>
        <w:jc w:val="both"/>
        <w:rPr>
          <w:rFonts w:cs="Arial"/>
          <w:lang w:val="en-GB"/>
        </w:rPr>
      </w:pPr>
    </w:p>
    <w:p w:rsidR="00750D7E" w:rsidRPr="00C9036A" w:rsidRDefault="00750D7E" w:rsidP="00750D7E">
      <w:pPr>
        <w:pStyle w:val="AERbulletlistfirststyle"/>
        <w:numPr>
          <w:ilvl w:val="0"/>
          <w:numId w:val="0"/>
        </w:numPr>
        <w:ind w:left="357" w:hanging="357"/>
        <w:rPr>
          <w:rFonts w:cs="Arial"/>
        </w:rPr>
      </w:pPr>
    </w:p>
    <w:p w:rsidR="00BF7D97" w:rsidRPr="00C9036A" w:rsidRDefault="00BF7D97" w:rsidP="00434D4B">
      <w:pPr>
        <w:pStyle w:val="Guidelineheading"/>
        <w:spacing w:before="0" w:after="240" w:line="288" w:lineRule="auto"/>
        <w:rPr>
          <w:rFonts w:ascii="Arial" w:hAnsi="Arial" w:cs="Arial"/>
        </w:rPr>
      </w:pPr>
      <w:bookmarkStart w:id="19" w:name="_Toc405896243"/>
      <w:bookmarkStart w:id="20" w:name="_Toc405965521"/>
      <w:r w:rsidRPr="00C9036A">
        <w:rPr>
          <w:rFonts w:ascii="Arial" w:hAnsi="Arial" w:cs="Arial"/>
        </w:rPr>
        <w:t>Review of Information Guideline</w:t>
      </w:r>
      <w:bookmarkEnd w:id="19"/>
      <w:bookmarkEnd w:id="20"/>
    </w:p>
    <w:p w:rsidR="00BF7D97" w:rsidRPr="00C9036A" w:rsidRDefault="00BF7D97" w:rsidP="00434D4B">
      <w:pPr>
        <w:spacing w:before="0" w:after="240" w:line="288" w:lineRule="auto"/>
        <w:rPr>
          <w:rFonts w:cs="Arial"/>
        </w:rPr>
      </w:pPr>
      <w:r w:rsidRPr="00C9036A">
        <w:rPr>
          <w:rFonts w:cs="Arial"/>
        </w:rPr>
        <w:t xml:space="preserve">All TNSPs are currently required to comply with the Information Guideline, as well as the Better Regulation RINs. However, the Information Guideline has not been revised since it was first developed and implemented in 2007. </w:t>
      </w:r>
    </w:p>
    <w:p w:rsidR="00BF7D97" w:rsidRPr="00C9036A" w:rsidRDefault="00BF7D97" w:rsidP="00BF7D97">
      <w:pPr>
        <w:spacing w:before="0" w:after="240" w:line="288" w:lineRule="auto"/>
        <w:rPr>
          <w:rFonts w:cs="Arial"/>
        </w:rPr>
      </w:pPr>
      <w:r w:rsidRPr="00C9036A">
        <w:rPr>
          <w:rFonts w:cs="Arial"/>
        </w:rPr>
        <w:t xml:space="preserve">We reviewed the Information Guideline (including the attached templates) to identify any information requirements which are now met by the Better Regulation RINs (duplicate information requirements). We also compared the Information Guideline against Annual Reporting RINs to identify any information or assurance obligations that are no longer required by us (redundant information requirements). </w:t>
      </w:r>
    </w:p>
    <w:p w:rsidR="00BF7D97" w:rsidRPr="00C9036A" w:rsidRDefault="00BF7D97" w:rsidP="00BF7D97">
      <w:pPr>
        <w:spacing w:before="0" w:after="240" w:line="288" w:lineRule="auto"/>
        <w:rPr>
          <w:rFonts w:cs="Arial"/>
        </w:rPr>
      </w:pPr>
      <w:r w:rsidRPr="00C9036A">
        <w:rPr>
          <w:rFonts w:cs="Arial"/>
        </w:rPr>
        <w:t>We found some reporting obligations are now duplicated (either directly or indirectly) in the Better Regulation RINs. As a result, TNSPs doubled up in the reporting of certain information when providing us with their 2013-14 annual reporting response. Further, other reporting requirements were found to be redundant or not aligned with the current regulatory framework and the AER’s approach to annual reporting for other electricity distribution and gas businesses. In conducting the review, we also identified a number of out of date references (consequential amendments).</w:t>
      </w:r>
    </w:p>
    <w:p w:rsidR="00BF7D97" w:rsidRPr="00434D4B" w:rsidRDefault="00BF7D97" w:rsidP="008E712F">
      <w:pPr>
        <w:pStyle w:val="AERbodytext"/>
        <w:numPr>
          <w:ilvl w:val="0"/>
          <w:numId w:val="11"/>
        </w:numPr>
        <w:spacing w:before="0" w:after="240" w:line="288" w:lineRule="auto"/>
        <w:jc w:val="both"/>
        <w:rPr>
          <w:rStyle w:val="AERsuperscript"/>
          <w:rFonts w:ascii="Arial" w:hAnsi="Arial" w:cs="Arial"/>
          <w:vertAlign w:val="baseline"/>
        </w:rPr>
      </w:pPr>
      <w:r w:rsidRPr="00C9036A">
        <w:rPr>
          <w:rFonts w:cs="Arial"/>
        </w:rPr>
        <w:t xml:space="preserve">We are concerned that duplicated or redundant reporting requirements impose an unnecessary compliance burden on TNSPs. To address this issue we are proposing to rationalise the annual reporting requirements for TNSPs. It is not possible under the existing regulatory framework for </w:t>
      </w:r>
      <w:proofErr w:type="gramStart"/>
      <w:r w:rsidRPr="00C9036A">
        <w:rPr>
          <w:rFonts w:cs="Arial"/>
        </w:rPr>
        <w:t>us  to</w:t>
      </w:r>
      <w:proofErr w:type="gramEnd"/>
      <w:r w:rsidRPr="00C9036A">
        <w:rPr>
          <w:rFonts w:cs="Arial"/>
        </w:rPr>
        <w:t xml:space="preserve"> waive the TNSPs' obligations under the Information Guideline.</w:t>
      </w:r>
      <w:r w:rsidRPr="00C9036A">
        <w:rPr>
          <w:rStyle w:val="AERsuperscript"/>
          <w:rFonts w:ascii="Arial" w:hAnsi="Arial" w:cs="Arial"/>
        </w:rPr>
        <w:footnoteReference w:id="15"/>
      </w:r>
      <w:r w:rsidRPr="00C9036A">
        <w:rPr>
          <w:rFonts w:cs="Arial"/>
        </w:rPr>
        <w:t xml:space="preserve"> Therefore, to change TNSPs' current reporting obligations we must amend the Information Guideline. </w:t>
      </w:r>
      <w:r w:rsidRPr="00C9036A">
        <w:rPr>
          <w:rFonts w:eastAsia="Calibri" w:cs="Arial"/>
          <w:lang w:eastAsia="en-AU"/>
        </w:rPr>
        <w:t>This will reduce the compliance burden on TNSPs and improve reporting efficiency, thereby contributing towards the achievement of the NEO.</w:t>
      </w:r>
      <w:r w:rsidRPr="00C9036A">
        <w:rPr>
          <w:rStyle w:val="AERsuperscript"/>
          <w:rFonts w:ascii="Arial" w:eastAsia="Calibri" w:hAnsi="Arial" w:cs="Arial"/>
          <w:lang w:eastAsia="en-AU"/>
        </w:rPr>
        <w:footnoteReference w:id="16"/>
      </w:r>
      <w:r w:rsidRPr="00C9036A">
        <w:rPr>
          <w:rStyle w:val="AERsuperscript"/>
          <w:rFonts w:ascii="Arial" w:eastAsia="Calibri" w:hAnsi="Arial" w:cs="Arial"/>
          <w:lang w:eastAsia="en-AU"/>
        </w:rPr>
        <w:t xml:space="preserve"> </w:t>
      </w:r>
    </w:p>
    <w:p w:rsidR="00434D4B" w:rsidRDefault="00434D4B" w:rsidP="00434D4B">
      <w:pPr>
        <w:pStyle w:val="AERbodytext"/>
        <w:spacing w:before="0" w:after="240" w:line="288" w:lineRule="auto"/>
        <w:jc w:val="both"/>
        <w:rPr>
          <w:rStyle w:val="AERsuperscript"/>
          <w:rFonts w:ascii="Arial" w:eastAsia="Calibri" w:hAnsi="Arial" w:cs="Arial"/>
          <w:lang w:eastAsia="en-AU"/>
        </w:rPr>
      </w:pPr>
    </w:p>
    <w:p w:rsidR="00434D4B" w:rsidRDefault="00434D4B" w:rsidP="00434D4B">
      <w:pPr>
        <w:pStyle w:val="AERbodytext"/>
        <w:spacing w:before="0" w:after="240" w:line="288" w:lineRule="auto"/>
        <w:jc w:val="both"/>
        <w:rPr>
          <w:rStyle w:val="AERsuperscript"/>
          <w:rFonts w:ascii="Arial" w:eastAsia="Calibri" w:hAnsi="Arial" w:cs="Arial"/>
          <w:lang w:eastAsia="en-AU"/>
        </w:rPr>
      </w:pPr>
    </w:p>
    <w:p w:rsidR="00434D4B" w:rsidRDefault="00434D4B" w:rsidP="00434D4B">
      <w:pPr>
        <w:pStyle w:val="AERbodytext"/>
        <w:spacing w:before="0" w:after="240" w:line="288" w:lineRule="auto"/>
        <w:jc w:val="both"/>
        <w:rPr>
          <w:rStyle w:val="AERsuperscript"/>
          <w:rFonts w:ascii="Arial" w:eastAsia="Calibri" w:hAnsi="Arial" w:cs="Arial"/>
          <w:lang w:eastAsia="en-AU"/>
        </w:rPr>
      </w:pPr>
    </w:p>
    <w:p w:rsidR="00434D4B" w:rsidRDefault="00434D4B" w:rsidP="00434D4B">
      <w:pPr>
        <w:pStyle w:val="AERbodytext"/>
        <w:spacing w:before="0" w:after="240" w:line="288" w:lineRule="auto"/>
        <w:jc w:val="both"/>
        <w:rPr>
          <w:rStyle w:val="AERsuperscript"/>
          <w:rFonts w:ascii="Arial" w:eastAsia="Calibri" w:hAnsi="Arial" w:cs="Arial"/>
          <w:lang w:eastAsia="en-AU"/>
        </w:rPr>
      </w:pPr>
    </w:p>
    <w:p w:rsidR="00434D4B" w:rsidRPr="00C9036A" w:rsidRDefault="00434D4B" w:rsidP="00434D4B">
      <w:pPr>
        <w:pStyle w:val="AERbodytext"/>
        <w:spacing w:before="0" w:after="240" w:line="288" w:lineRule="auto"/>
        <w:jc w:val="both"/>
        <w:rPr>
          <w:rFonts w:cs="Arial"/>
        </w:rPr>
      </w:pPr>
    </w:p>
    <w:p w:rsidR="00BF7D97" w:rsidRPr="00C9036A" w:rsidRDefault="00BF7D97" w:rsidP="008E712F">
      <w:pPr>
        <w:pStyle w:val="AERbodytext"/>
        <w:numPr>
          <w:ilvl w:val="0"/>
          <w:numId w:val="11"/>
        </w:numPr>
        <w:spacing w:before="0" w:after="240" w:line="288" w:lineRule="auto"/>
        <w:jc w:val="both"/>
        <w:rPr>
          <w:rFonts w:cs="Arial"/>
        </w:rPr>
      </w:pPr>
    </w:p>
    <w:p w:rsidR="00BF7D97" w:rsidRPr="00C9036A" w:rsidRDefault="00BF7D97" w:rsidP="00C73060">
      <w:pPr>
        <w:pStyle w:val="Guidelineheading"/>
        <w:spacing w:before="0" w:after="240" w:line="288" w:lineRule="auto"/>
        <w:rPr>
          <w:rFonts w:ascii="Arial" w:hAnsi="Arial" w:cs="Arial"/>
        </w:rPr>
      </w:pPr>
      <w:bookmarkStart w:id="21" w:name="_Toc405896244"/>
      <w:bookmarkStart w:id="22" w:name="_Toc405965522"/>
      <w:bookmarkStart w:id="23" w:name="_Toc371861731"/>
      <w:bookmarkStart w:id="24" w:name="_Ref372131085"/>
      <w:bookmarkStart w:id="25" w:name="_Ref372146568"/>
      <w:r w:rsidRPr="00C9036A">
        <w:rPr>
          <w:rFonts w:ascii="Arial" w:hAnsi="Arial" w:cs="Arial"/>
        </w:rPr>
        <w:lastRenderedPageBreak/>
        <w:t>Proposed amendments to the Information Guideline</w:t>
      </w:r>
      <w:bookmarkEnd w:id="21"/>
      <w:bookmarkEnd w:id="22"/>
    </w:p>
    <w:p w:rsidR="00BF7D97" w:rsidRPr="00C9036A" w:rsidRDefault="00BF7D97" w:rsidP="008E712F">
      <w:pPr>
        <w:pStyle w:val="AERbodytext"/>
        <w:numPr>
          <w:ilvl w:val="0"/>
          <w:numId w:val="17"/>
        </w:numPr>
        <w:spacing w:before="0" w:after="240" w:line="288" w:lineRule="auto"/>
        <w:jc w:val="both"/>
        <w:rPr>
          <w:rFonts w:cs="Arial"/>
        </w:rPr>
      </w:pPr>
      <w:r w:rsidRPr="00C9036A">
        <w:rPr>
          <w:rFonts w:cs="Arial"/>
        </w:rPr>
        <w:t>Our  proposed amendments fall into three categories:</w:t>
      </w:r>
    </w:p>
    <w:p w:rsidR="00BF7D97" w:rsidRPr="00C9036A" w:rsidRDefault="00BF7D97" w:rsidP="008E712F">
      <w:pPr>
        <w:pStyle w:val="AERbulletlistfirststyle"/>
        <w:numPr>
          <w:ilvl w:val="0"/>
          <w:numId w:val="14"/>
        </w:numPr>
        <w:tabs>
          <w:tab w:val="left" w:pos="357"/>
        </w:tabs>
        <w:spacing w:before="0" w:after="240" w:line="288" w:lineRule="auto"/>
        <w:ind w:left="357" w:hanging="357"/>
        <w:jc w:val="both"/>
        <w:rPr>
          <w:rFonts w:cs="Arial"/>
        </w:rPr>
      </w:pPr>
      <w:r w:rsidRPr="00C9036A">
        <w:rPr>
          <w:rFonts w:cs="Arial"/>
        </w:rPr>
        <w:t>Removal of reporting requirements duplicated in the Regulatory Information Instruments such as the Better Regulation RINs.</w:t>
      </w:r>
    </w:p>
    <w:p w:rsidR="00BF7D97" w:rsidRPr="00C9036A" w:rsidRDefault="00BF7D97" w:rsidP="008E712F">
      <w:pPr>
        <w:pStyle w:val="AERbulletlistfirststyle"/>
        <w:numPr>
          <w:ilvl w:val="0"/>
          <w:numId w:val="14"/>
        </w:numPr>
        <w:tabs>
          <w:tab w:val="left" w:pos="357"/>
        </w:tabs>
        <w:spacing w:before="0" w:after="240" w:line="288" w:lineRule="auto"/>
        <w:ind w:left="357" w:hanging="357"/>
        <w:jc w:val="both"/>
        <w:rPr>
          <w:rFonts w:cs="Arial"/>
        </w:rPr>
      </w:pPr>
      <w:r w:rsidRPr="00C9036A">
        <w:rPr>
          <w:rFonts w:cs="Arial"/>
        </w:rPr>
        <w:t>Removal of redundant reporting requirements</w:t>
      </w:r>
    </w:p>
    <w:p w:rsidR="00BF7D97" w:rsidRPr="00C9036A" w:rsidRDefault="00BF7D97" w:rsidP="008E712F">
      <w:pPr>
        <w:pStyle w:val="AERbulletlistfirststyle"/>
        <w:numPr>
          <w:ilvl w:val="0"/>
          <w:numId w:val="14"/>
        </w:numPr>
        <w:tabs>
          <w:tab w:val="left" w:pos="357"/>
        </w:tabs>
        <w:spacing w:before="0" w:after="240" w:line="288" w:lineRule="auto"/>
        <w:ind w:left="357" w:hanging="357"/>
        <w:jc w:val="both"/>
        <w:rPr>
          <w:rFonts w:cs="Arial"/>
        </w:rPr>
      </w:pPr>
      <w:r w:rsidRPr="00C9036A">
        <w:rPr>
          <w:rFonts w:cs="Arial"/>
        </w:rPr>
        <w:t>Consequential amendments reflecting changes to the regulatory framework and the AER's current approach towards reporting requirements for other gas and electricity businesses.</w:t>
      </w:r>
    </w:p>
    <w:p w:rsidR="00BF7D97" w:rsidRPr="00C9036A" w:rsidRDefault="00BF7D97" w:rsidP="008E712F">
      <w:pPr>
        <w:pStyle w:val="AERbodytext"/>
        <w:numPr>
          <w:ilvl w:val="0"/>
          <w:numId w:val="17"/>
        </w:numPr>
        <w:spacing w:before="0" w:after="240" w:line="288" w:lineRule="auto"/>
        <w:jc w:val="both"/>
        <w:rPr>
          <w:rFonts w:cs="Arial"/>
        </w:rPr>
      </w:pPr>
      <w:r w:rsidRPr="00C9036A">
        <w:rPr>
          <w:rFonts w:cs="Arial"/>
        </w:rPr>
        <w:t xml:space="preserve">Each of these categories is discussed in more detail below. </w:t>
      </w:r>
    </w:p>
    <w:p w:rsidR="00BF7D97" w:rsidRPr="00C9036A" w:rsidRDefault="00BF7D97" w:rsidP="00434D4B">
      <w:pPr>
        <w:pStyle w:val="Guideline12"/>
        <w:spacing w:before="0" w:after="240" w:line="288" w:lineRule="auto"/>
        <w:rPr>
          <w:sz w:val="28"/>
          <w:szCs w:val="28"/>
        </w:rPr>
      </w:pPr>
      <w:bookmarkStart w:id="26" w:name="_Toc405896245"/>
      <w:bookmarkStart w:id="27" w:name="_Toc405965523"/>
      <w:r w:rsidRPr="00C9036A">
        <w:rPr>
          <w:sz w:val="28"/>
          <w:szCs w:val="28"/>
        </w:rPr>
        <w:t>Removal of reporting requirements duplicated in Regulatory Information Instruments</w:t>
      </w:r>
      <w:bookmarkEnd w:id="26"/>
      <w:bookmarkEnd w:id="27"/>
    </w:p>
    <w:p w:rsidR="00BF7D97" w:rsidRPr="00C9036A" w:rsidRDefault="00BF7D97" w:rsidP="00434D4B">
      <w:pPr>
        <w:spacing w:before="0" w:after="240" w:line="288" w:lineRule="auto"/>
        <w:rPr>
          <w:rFonts w:cs="Arial"/>
        </w:rPr>
      </w:pPr>
      <w:r w:rsidRPr="00C9036A">
        <w:rPr>
          <w:rFonts w:cs="Arial"/>
        </w:rPr>
        <w:t xml:space="preserve">We are proposing to remove any obligation TNSPs may have to supply </w:t>
      </w:r>
      <w:proofErr w:type="gramStart"/>
      <w:r w:rsidRPr="00C9036A">
        <w:rPr>
          <w:rFonts w:cs="Arial"/>
        </w:rPr>
        <w:t>us  with</w:t>
      </w:r>
      <w:proofErr w:type="gramEnd"/>
      <w:r w:rsidRPr="00C9036A">
        <w:rPr>
          <w:rFonts w:cs="Arial"/>
        </w:rPr>
        <w:t xml:space="preserve"> data when the TNSP has already provided the same data in response to a Regulatory Information Instrument such as a Better Regulation RIN. </w:t>
      </w:r>
    </w:p>
    <w:p w:rsidR="00BF7D97" w:rsidRPr="00C9036A" w:rsidRDefault="00BF7D97" w:rsidP="008E712F">
      <w:pPr>
        <w:pStyle w:val="AERbodytext"/>
        <w:numPr>
          <w:ilvl w:val="0"/>
          <w:numId w:val="11"/>
        </w:numPr>
        <w:spacing w:before="0" w:after="240" w:line="288" w:lineRule="auto"/>
        <w:jc w:val="both"/>
        <w:rPr>
          <w:rFonts w:cs="Arial"/>
        </w:rPr>
      </w:pPr>
      <w:r w:rsidRPr="00C9036A">
        <w:rPr>
          <w:rFonts w:cs="Arial"/>
        </w:rPr>
        <w:t xml:space="preserve">Our proposed amendment is set out in Chapter 4, clause 4.17 of the draft Information Guideline. This clause states that if a TNSP provides information to the AER in response to a Regulatory Information Instrument it is not a requirement for this information to be provided to the AER in response to the Information Guideline. For example, we expect that TNSPs that are obliged to comply with the Better Regulation RINs will not be required to provide the data set out in table 4.1 below. </w:t>
      </w:r>
    </w:p>
    <w:p w:rsidR="00BF7D97" w:rsidRPr="00C9036A" w:rsidRDefault="00BF7D97" w:rsidP="00BF7D97">
      <w:pPr>
        <w:pStyle w:val="Caption"/>
        <w:rPr>
          <w:rFonts w:cs="Arial"/>
          <w:sz w:val="22"/>
          <w:szCs w:val="22"/>
        </w:rPr>
      </w:pPr>
      <w:r w:rsidRPr="00C9036A">
        <w:rPr>
          <w:rFonts w:cs="Arial"/>
          <w:sz w:val="22"/>
          <w:szCs w:val="22"/>
        </w:rPr>
        <w:t>Table 4.1: Duplicated requirements in the Information Guideline Financial Templates</w:t>
      </w:r>
    </w:p>
    <w:tbl>
      <w:tblPr>
        <w:tblW w:w="5000" w:type="pct"/>
        <w:tblBorders>
          <w:bottom w:val="single" w:sz="4" w:space="0" w:color="365F91"/>
        </w:tblBorders>
        <w:tblLook w:val="04A0" w:firstRow="1" w:lastRow="0" w:firstColumn="1" w:lastColumn="0" w:noHBand="0" w:noVBand="1"/>
      </w:tblPr>
      <w:tblGrid>
        <w:gridCol w:w="4264"/>
        <w:gridCol w:w="4264"/>
      </w:tblGrid>
      <w:tr w:rsidR="00F43C3B" w:rsidRPr="00C9036A" w:rsidTr="00F43C3B">
        <w:trPr>
          <w:tblHeader/>
        </w:trPr>
        <w:tc>
          <w:tcPr>
            <w:tcW w:w="2500" w:type="pct"/>
            <w:shd w:val="clear" w:color="auto" w:fill="365F91"/>
            <w:vAlign w:val="center"/>
          </w:tcPr>
          <w:p w:rsidR="00BF7D97" w:rsidRPr="00C9036A" w:rsidRDefault="00BF7D97" w:rsidP="008E712F">
            <w:pPr>
              <w:pStyle w:val="AERbodytext"/>
              <w:numPr>
                <w:ilvl w:val="0"/>
                <w:numId w:val="11"/>
              </w:numPr>
              <w:spacing w:before="120" w:after="240" w:line="288" w:lineRule="auto"/>
              <w:jc w:val="both"/>
              <w:rPr>
                <w:rFonts w:eastAsia="Calibri" w:cs="Arial"/>
                <w:b/>
                <w:color w:val="FFFFFF"/>
                <w:sz w:val="18"/>
                <w:szCs w:val="18"/>
              </w:rPr>
            </w:pPr>
            <w:r w:rsidRPr="00C9036A">
              <w:rPr>
                <w:rFonts w:eastAsia="Calibri" w:cs="Arial"/>
                <w:b/>
                <w:color w:val="FFFFFF"/>
                <w:sz w:val="18"/>
                <w:szCs w:val="18"/>
              </w:rPr>
              <w:t>Information guideline requirement in Appendix A (Financial templates)</w:t>
            </w:r>
          </w:p>
        </w:tc>
        <w:tc>
          <w:tcPr>
            <w:tcW w:w="2500" w:type="pct"/>
            <w:shd w:val="clear" w:color="auto" w:fill="365F91"/>
            <w:vAlign w:val="center"/>
          </w:tcPr>
          <w:p w:rsidR="00BF7D97" w:rsidRPr="00C9036A" w:rsidRDefault="00BF7D97" w:rsidP="008E712F">
            <w:pPr>
              <w:pStyle w:val="AERbodytext"/>
              <w:numPr>
                <w:ilvl w:val="0"/>
                <w:numId w:val="11"/>
              </w:numPr>
              <w:spacing w:before="120" w:after="240" w:line="288" w:lineRule="auto"/>
              <w:jc w:val="both"/>
              <w:rPr>
                <w:rFonts w:eastAsia="Calibri" w:cs="Arial"/>
                <w:b/>
                <w:color w:val="FFFFFF"/>
                <w:sz w:val="18"/>
                <w:szCs w:val="18"/>
              </w:rPr>
            </w:pPr>
            <w:r w:rsidRPr="00C9036A">
              <w:rPr>
                <w:rFonts w:eastAsia="Calibri" w:cs="Arial"/>
                <w:b/>
                <w:color w:val="FFFFFF"/>
                <w:sz w:val="18"/>
                <w:szCs w:val="18"/>
              </w:rPr>
              <w:t>Alternative RIN source for information</w:t>
            </w:r>
          </w:p>
        </w:tc>
      </w:tr>
      <w:tr w:rsidR="00F43C3B" w:rsidRPr="00C9036A" w:rsidTr="00F43C3B">
        <w:tc>
          <w:tcPr>
            <w:tcW w:w="2500" w:type="pct"/>
            <w:shd w:val="clear" w:color="auto" w:fill="auto"/>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Revenue analysis worksheet</w:t>
            </w:r>
          </w:p>
        </w:tc>
        <w:tc>
          <w:tcPr>
            <w:tcW w:w="2500" w:type="pct"/>
            <w:shd w:val="clear" w:color="auto" w:fill="auto"/>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Economic Benchmarking RIN, worksheet 3.1</w:t>
            </w:r>
          </w:p>
        </w:tc>
      </w:tr>
      <w:tr w:rsidR="00F43C3B" w:rsidRPr="00C9036A" w:rsidTr="00F43C3B">
        <w:tc>
          <w:tcPr>
            <w:tcW w:w="2500" w:type="pct"/>
            <w:shd w:val="clear" w:color="auto" w:fill="DBE5F1"/>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 xml:space="preserve">Asset aging schedule </w:t>
            </w:r>
          </w:p>
        </w:tc>
        <w:tc>
          <w:tcPr>
            <w:tcW w:w="2500" w:type="pct"/>
            <w:shd w:val="clear" w:color="auto" w:fill="DBE5F1"/>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Category Analysis RIN, worksheet 5.2</w:t>
            </w:r>
          </w:p>
        </w:tc>
      </w:tr>
      <w:tr w:rsidR="00F43C3B" w:rsidRPr="00C9036A" w:rsidTr="00F43C3B">
        <w:tc>
          <w:tcPr>
            <w:tcW w:w="2500" w:type="pct"/>
            <w:shd w:val="clear" w:color="auto" w:fill="auto"/>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Provisions schedules</w:t>
            </w:r>
          </w:p>
        </w:tc>
        <w:tc>
          <w:tcPr>
            <w:tcW w:w="2500" w:type="pct"/>
            <w:shd w:val="clear" w:color="auto" w:fill="auto"/>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Economic benchmarking RIN, worksheet 3.2</w:t>
            </w:r>
          </w:p>
        </w:tc>
      </w:tr>
      <w:tr w:rsidR="00F43C3B" w:rsidRPr="00C9036A" w:rsidTr="00F43C3B">
        <w:tc>
          <w:tcPr>
            <w:tcW w:w="2500" w:type="pct"/>
            <w:shd w:val="clear" w:color="auto" w:fill="DBE5F1"/>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 xml:space="preserve">Historic </w:t>
            </w:r>
            <w:proofErr w:type="spellStart"/>
            <w:r w:rsidRPr="00C9036A">
              <w:rPr>
                <w:rFonts w:eastAsia="Calibri" w:cs="Arial"/>
                <w:sz w:val="18"/>
                <w:szCs w:val="18"/>
              </w:rPr>
              <w:t>opex</w:t>
            </w:r>
            <w:proofErr w:type="spellEnd"/>
            <w:r w:rsidRPr="00C9036A">
              <w:rPr>
                <w:rFonts w:eastAsia="Calibri" w:cs="Arial"/>
                <w:sz w:val="18"/>
                <w:szCs w:val="18"/>
              </w:rPr>
              <w:t xml:space="preserve"> by expenditure category</w:t>
            </w:r>
          </w:p>
        </w:tc>
        <w:tc>
          <w:tcPr>
            <w:tcW w:w="2500" w:type="pct"/>
            <w:shd w:val="clear" w:color="auto" w:fill="DBE5F1"/>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Category Analysis RIN, worksheets 2.5-2.10</w:t>
            </w:r>
          </w:p>
        </w:tc>
      </w:tr>
      <w:tr w:rsidR="00F43C3B" w:rsidRPr="00C9036A" w:rsidTr="00F43C3B">
        <w:tc>
          <w:tcPr>
            <w:tcW w:w="2500" w:type="pct"/>
            <w:shd w:val="clear" w:color="auto" w:fill="auto"/>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 xml:space="preserve">Historical </w:t>
            </w:r>
            <w:proofErr w:type="spellStart"/>
            <w:r w:rsidRPr="00C9036A">
              <w:rPr>
                <w:rFonts w:eastAsia="Calibri" w:cs="Arial"/>
                <w:sz w:val="18"/>
                <w:szCs w:val="18"/>
              </w:rPr>
              <w:t>opex</w:t>
            </w:r>
            <w:proofErr w:type="spellEnd"/>
            <w:r w:rsidRPr="00C9036A">
              <w:rPr>
                <w:rFonts w:eastAsia="Calibri" w:cs="Arial"/>
                <w:sz w:val="18"/>
                <w:szCs w:val="18"/>
              </w:rPr>
              <w:t xml:space="preserve"> expenditure category, years 1-5</w:t>
            </w:r>
          </w:p>
        </w:tc>
        <w:tc>
          <w:tcPr>
            <w:tcW w:w="2500" w:type="pct"/>
            <w:shd w:val="clear" w:color="auto" w:fill="auto"/>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Economic Benchmarking RIN, worksheet 3.2</w:t>
            </w:r>
          </w:p>
        </w:tc>
      </w:tr>
      <w:tr w:rsidR="00F43C3B" w:rsidRPr="00C9036A" w:rsidTr="00F43C3B">
        <w:tc>
          <w:tcPr>
            <w:tcW w:w="2500" w:type="pct"/>
            <w:shd w:val="clear" w:color="auto" w:fill="DBE5F1"/>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lastRenderedPageBreak/>
              <w:t xml:space="preserve">Historic </w:t>
            </w:r>
            <w:proofErr w:type="spellStart"/>
            <w:r w:rsidRPr="00C9036A">
              <w:rPr>
                <w:rFonts w:eastAsia="Calibri" w:cs="Arial"/>
                <w:sz w:val="18"/>
                <w:szCs w:val="18"/>
              </w:rPr>
              <w:t>capex</w:t>
            </w:r>
            <w:proofErr w:type="spellEnd"/>
            <w:r w:rsidRPr="00C9036A">
              <w:rPr>
                <w:rFonts w:eastAsia="Calibri" w:cs="Arial"/>
                <w:sz w:val="18"/>
                <w:szCs w:val="18"/>
              </w:rPr>
              <w:t xml:space="preserve"> by project category</w:t>
            </w:r>
          </w:p>
        </w:tc>
        <w:tc>
          <w:tcPr>
            <w:tcW w:w="2500" w:type="pct"/>
            <w:shd w:val="clear" w:color="auto" w:fill="DBE5F1"/>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Category Analysis RIN, worksheets 2.2, 2.3, 2.4, 5.2</w:t>
            </w:r>
          </w:p>
        </w:tc>
      </w:tr>
      <w:tr w:rsidR="00F43C3B" w:rsidRPr="00C9036A" w:rsidTr="00F43C3B">
        <w:tc>
          <w:tcPr>
            <w:tcW w:w="2500" w:type="pct"/>
            <w:shd w:val="clear" w:color="auto" w:fill="auto"/>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 xml:space="preserve">Historic </w:t>
            </w:r>
            <w:proofErr w:type="spellStart"/>
            <w:r w:rsidRPr="00C9036A">
              <w:rPr>
                <w:rFonts w:eastAsia="Calibri" w:cs="Arial"/>
                <w:sz w:val="18"/>
                <w:szCs w:val="18"/>
              </w:rPr>
              <w:t>capex</w:t>
            </w:r>
            <w:proofErr w:type="spellEnd"/>
            <w:r w:rsidRPr="00C9036A">
              <w:rPr>
                <w:rFonts w:eastAsia="Calibri" w:cs="Arial"/>
                <w:sz w:val="18"/>
                <w:szCs w:val="18"/>
              </w:rPr>
              <w:t xml:space="preserve"> by asset class</w:t>
            </w:r>
          </w:p>
        </w:tc>
        <w:tc>
          <w:tcPr>
            <w:tcW w:w="2500" w:type="pct"/>
            <w:shd w:val="clear" w:color="auto" w:fill="auto"/>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Category Analysis RIN, worksheets 2.2, 2.3, 2.4, 5.2</w:t>
            </w:r>
          </w:p>
        </w:tc>
      </w:tr>
      <w:tr w:rsidR="00F43C3B" w:rsidRPr="00C9036A" w:rsidTr="00F43C3B">
        <w:tc>
          <w:tcPr>
            <w:tcW w:w="2500" w:type="pct"/>
            <w:shd w:val="clear" w:color="auto" w:fill="DBE5F1"/>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 xml:space="preserve">Historic </w:t>
            </w:r>
            <w:proofErr w:type="spellStart"/>
            <w:r w:rsidRPr="00C9036A">
              <w:rPr>
                <w:rFonts w:eastAsia="Calibri" w:cs="Arial"/>
                <w:sz w:val="18"/>
                <w:szCs w:val="18"/>
              </w:rPr>
              <w:t>capex</w:t>
            </w:r>
            <w:proofErr w:type="spellEnd"/>
            <w:r w:rsidRPr="00C9036A">
              <w:rPr>
                <w:rFonts w:eastAsia="Calibri" w:cs="Arial"/>
                <w:sz w:val="18"/>
                <w:szCs w:val="18"/>
              </w:rPr>
              <w:t xml:space="preserve"> – Network – by project</w:t>
            </w:r>
          </w:p>
        </w:tc>
        <w:tc>
          <w:tcPr>
            <w:tcW w:w="2500" w:type="pct"/>
            <w:shd w:val="clear" w:color="auto" w:fill="DBE5F1"/>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Category Analysis RIN, worksheets 2.2, 2.3, 2.4, 5.2</w:t>
            </w:r>
          </w:p>
        </w:tc>
      </w:tr>
      <w:tr w:rsidR="00F43C3B" w:rsidRPr="00C9036A" w:rsidTr="00F43C3B">
        <w:tc>
          <w:tcPr>
            <w:tcW w:w="2500" w:type="pct"/>
            <w:shd w:val="clear" w:color="auto" w:fill="auto"/>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 xml:space="preserve">Historic </w:t>
            </w:r>
            <w:proofErr w:type="spellStart"/>
            <w:r w:rsidRPr="00C9036A">
              <w:rPr>
                <w:rFonts w:eastAsia="Calibri" w:cs="Arial"/>
                <w:sz w:val="18"/>
                <w:szCs w:val="18"/>
              </w:rPr>
              <w:t>capex</w:t>
            </w:r>
            <w:proofErr w:type="spellEnd"/>
            <w:r w:rsidRPr="00C9036A">
              <w:rPr>
                <w:rFonts w:eastAsia="Calibri" w:cs="Arial"/>
                <w:sz w:val="18"/>
                <w:szCs w:val="18"/>
              </w:rPr>
              <w:t xml:space="preserve"> – Non-network – by project</w:t>
            </w:r>
          </w:p>
        </w:tc>
        <w:tc>
          <w:tcPr>
            <w:tcW w:w="2500" w:type="pct"/>
            <w:shd w:val="clear" w:color="auto" w:fill="auto"/>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Category Analysis RIN, worksheets 2.2, 2.3, 2.4, 5.2</w:t>
            </w:r>
          </w:p>
        </w:tc>
      </w:tr>
    </w:tbl>
    <w:p w:rsidR="00BF7D97" w:rsidRPr="00C9036A" w:rsidRDefault="00BF7D97" w:rsidP="00434D4B">
      <w:pPr>
        <w:pStyle w:val="Guideline12"/>
        <w:spacing w:before="0" w:after="240" w:line="288" w:lineRule="auto"/>
        <w:rPr>
          <w:sz w:val="28"/>
          <w:szCs w:val="28"/>
        </w:rPr>
      </w:pPr>
      <w:bookmarkStart w:id="28" w:name="_Toc405896246"/>
      <w:bookmarkStart w:id="29" w:name="_Toc405965524"/>
      <w:r w:rsidRPr="00C9036A">
        <w:rPr>
          <w:sz w:val="28"/>
          <w:szCs w:val="28"/>
        </w:rPr>
        <w:t>Removal of redundant reporting requirements</w:t>
      </w:r>
      <w:bookmarkEnd w:id="28"/>
      <w:bookmarkEnd w:id="29"/>
    </w:p>
    <w:p w:rsidR="00BF7D97" w:rsidRPr="00C9036A" w:rsidRDefault="00BF7D97" w:rsidP="00434D4B">
      <w:pPr>
        <w:spacing w:before="0" w:after="240" w:line="288" w:lineRule="auto"/>
        <w:rPr>
          <w:rFonts w:cs="Arial"/>
        </w:rPr>
      </w:pPr>
      <w:r w:rsidRPr="00C9036A">
        <w:rPr>
          <w:rFonts w:cs="Arial"/>
        </w:rPr>
        <w:t>We are proposing to remove any reporting requirements contained in the Information Guideline which are now no longer required by us. These amendments will ensure that TNSPs do not have to provide data that is already provided to us through some other mechanism, or which we no longer use.</w:t>
      </w:r>
    </w:p>
    <w:p w:rsidR="00BF7D97" w:rsidRPr="00C9036A" w:rsidRDefault="00BF7D97" w:rsidP="00C73060">
      <w:pPr>
        <w:spacing w:before="0" w:after="240" w:line="288" w:lineRule="auto"/>
        <w:rPr>
          <w:rFonts w:cs="Arial"/>
        </w:rPr>
      </w:pPr>
      <w:r w:rsidRPr="00C9036A">
        <w:rPr>
          <w:rFonts w:cs="Arial"/>
        </w:rPr>
        <w:t>We have deleted any references to the redundant requirements in the draft Information Guideline. The proposed amendments are set out in table 4.2 below.</w:t>
      </w:r>
    </w:p>
    <w:p w:rsidR="00BF7D97" w:rsidRPr="00C9036A" w:rsidRDefault="00BF7D97" w:rsidP="00BF7D97">
      <w:pPr>
        <w:pStyle w:val="Caption"/>
        <w:rPr>
          <w:rFonts w:cs="Arial"/>
          <w:sz w:val="22"/>
          <w:szCs w:val="22"/>
        </w:rPr>
      </w:pPr>
      <w:r w:rsidRPr="00C9036A">
        <w:rPr>
          <w:rFonts w:cs="Arial"/>
          <w:sz w:val="22"/>
          <w:szCs w:val="22"/>
        </w:rPr>
        <w:t>Table 4.2: Redundant information requirements</w:t>
      </w:r>
    </w:p>
    <w:tbl>
      <w:tblPr>
        <w:tblW w:w="0" w:type="auto"/>
        <w:tblBorders>
          <w:bottom w:val="single" w:sz="4" w:space="0" w:color="365F91"/>
        </w:tblBorders>
        <w:tblLook w:val="04A0" w:firstRow="1" w:lastRow="0" w:firstColumn="1" w:lastColumn="0" w:noHBand="0" w:noVBand="1"/>
      </w:tblPr>
      <w:tblGrid>
        <w:gridCol w:w="4265"/>
        <w:gridCol w:w="4263"/>
      </w:tblGrid>
      <w:tr w:rsidR="00F43C3B" w:rsidRPr="00C9036A" w:rsidTr="00F43C3B">
        <w:trPr>
          <w:tblHeader/>
        </w:trPr>
        <w:tc>
          <w:tcPr>
            <w:tcW w:w="4621" w:type="dxa"/>
            <w:shd w:val="clear" w:color="auto" w:fill="365F91"/>
            <w:vAlign w:val="center"/>
          </w:tcPr>
          <w:p w:rsidR="00BF7D97" w:rsidRPr="00C9036A" w:rsidRDefault="00BF7D97" w:rsidP="00A700BC">
            <w:pPr>
              <w:pStyle w:val="AERbodytext"/>
              <w:rPr>
                <w:rFonts w:eastAsia="Calibri" w:cs="Arial"/>
                <w:b/>
                <w:color w:val="FFFFFF"/>
                <w:sz w:val="18"/>
                <w:szCs w:val="18"/>
              </w:rPr>
            </w:pPr>
            <w:r w:rsidRPr="00C9036A">
              <w:rPr>
                <w:rFonts w:eastAsia="Calibri" w:cs="Arial"/>
                <w:b/>
                <w:color w:val="FFFFFF"/>
                <w:sz w:val="18"/>
                <w:szCs w:val="18"/>
              </w:rPr>
              <w:t>Information guideline requirement</w:t>
            </w:r>
          </w:p>
        </w:tc>
        <w:tc>
          <w:tcPr>
            <w:tcW w:w="4621" w:type="dxa"/>
            <w:shd w:val="clear" w:color="auto" w:fill="365F91"/>
            <w:vAlign w:val="center"/>
          </w:tcPr>
          <w:p w:rsidR="00BF7D97" w:rsidRPr="00C9036A" w:rsidRDefault="00BF7D97" w:rsidP="00434D4B">
            <w:pPr>
              <w:pStyle w:val="AERbodytext"/>
              <w:rPr>
                <w:rFonts w:eastAsia="Calibri" w:cs="Arial"/>
                <w:b/>
                <w:color w:val="FFFFFF"/>
                <w:sz w:val="18"/>
                <w:szCs w:val="18"/>
              </w:rPr>
            </w:pPr>
            <w:r w:rsidRPr="00C9036A">
              <w:rPr>
                <w:rFonts w:eastAsia="Calibri" w:cs="Arial"/>
                <w:b/>
                <w:color w:val="FFFFFF"/>
                <w:sz w:val="18"/>
                <w:szCs w:val="18"/>
              </w:rPr>
              <w:t>Reason for redundancy</w:t>
            </w:r>
          </w:p>
        </w:tc>
      </w:tr>
      <w:tr w:rsidR="00F43C3B" w:rsidRPr="00C9036A" w:rsidTr="00F43C3B">
        <w:tc>
          <w:tcPr>
            <w:tcW w:w="4621" w:type="dxa"/>
            <w:shd w:val="clear" w:color="auto" w:fill="auto"/>
            <w:vAlign w:val="center"/>
          </w:tcPr>
          <w:p w:rsidR="00BF7D97" w:rsidRPr="00C9036A" w:rsidRDefault="00BF7D97" w:rsidP="00A700BC">
            <w:pPr>
              <w:pStyle w:val="AERbodytext"/>
              <w:rPr>
                <w:rFonts w:eastAsia="Calibri" w:cs="Arial"/>
                <w:sz w:val="18"/>
                <w:szCs w:val="18"/>
              </w:rPr>
            </w:pPr>
            <w:r w:rsidRPr="00C9036A">
              <w:rPr>
                <w:rFonts w:eastAsia="Calibri" w:cs="Arial"/>
                <w:sz w:val="18"/>
                <w:szCs w:val="18"/>
              </w:rPr>
              <w:t>Clause 4.17 - Network support pass through</w:t>
            </w:r>
          </w:p>
        </w:tc>
        <w:tc>
          <w:tcPr>
            <w:tcW w:w="4621" w:type="dxa"/>
            <w:shd w:val="clear" w:color="auto" w:fill="auto"/>
            <w:vAlign w:val="center"/>
          </w:tcPr>
          <w:p w:rsidR="00BF7D97" w:rsidRPr="00C9036A" w:rsidRDefault="00BF7D97" w:rsidP="00F43C3B">
            <w:pPr>
              <w:pStyle w:val="AERbodytext"/>
              <w:jc w:val="right"/>
              <w:rPr>
                <w:rFonts w:eastAsia="Calibri" w:cs="Arial"/>
                <w:sz w:val="18"/>
                <w:szCs w:val="18"/>
              </w:rPr>
            </w:pPr>
            <w:r w:rsidRPr="00C9036A">
              <w:rPr>
                <w:rFonts w:eastAsia="Calibri" w:cs="Arial"/>
                <w:sz w:val="18"/>
                <w:szCs w:val="18"/>
              </w:rPr>
              <w:t>Information already provided to the AER.</w:t>
            </w:r>
          </w:p>
        </w:tc>
      </w:tr>
      <w:tr w:rsidR="00F43C3B" w:rsidRPr="00C9036A" w:rsidTr="00F43C3B">
        <w:tc>
          <w:tcPr>
            <w:tcW w:w="4621" w:type="dxa"/>
            <w:shd w:val="clear" w:color="auto" w:fill="DBE5F1"/>
            <w:vAlign w:val="center"/>
          </w:tcPr>
          <w:p w:rsidR="00BF7D97" w:rsidRPr="00C9036A" w:rsidRDefault="00BF7D97" w:rsidP="00A700BC">
            <w:pPr>
              <w:pStyle w:val="AERbodytext"/>
              <w:rPr>
                <w:rFonts w:eastAsia="Calibri" w:cs="Arial"/>
                <w:sz w:val="18"/>
                <w:szCs w:val="18"/>
              </w:rPr>
            </w:pPr>
            <w:r w:rsidRPr="00C9036A">
              <w:rPr>
                <w:rFonts w:eastAsia="Calibri" w:cs="Arial"/>
                <w:sz w:val="18"/>
                <w:szCs w:val="18"/>
              </w:rPr>
              <w:t>Clause 4.18  Cost pass through</w:t>
            </w:r>
          </w:p>
        </w:tc>
        <w:tc>
          <w:tcPr>
            <w:tcW w:w="4621" w:type="dxa"/>
            <w:shd w:val="clear" w:color="auto" w:fill="DBE5F1"/>
            <w:vAlign w:val="center"/>
          </w:tcPr>
          <w:p w:rsidR="00BF7D97" w:rsidRPr="00C9036A" w:rsidRDefault="00BF7D97" w:rsidP="00F43C3B">
            <w:pPr>
              <w:pStyle w:val="AERbodytext"/>
              <w:jc w:val="right"/>
              <w:rPr>
                <w:rFonts w:eastAsia="Calibri" w:cs="Arial"/>
                <w:sz w:val="18"/>
                <w:szCs w:val="18"/>
              </w:rPr>
            </w:pPr>
            <w:r w:rsidRPr="00C9036A">
              <w:rPr>
                <w:rFonts w:eastAsia="Calibri" w:cs="Arial"/>
                <w:sz w:val="18"/>
                <w:szCs w:val="18"/>
              </w:rPr>
              <w:t>Information already provided to the AER.</w:t>
            </w:r>
          </w:p>
        </w:tc>
      </w:tr>
      <w:tr w:rsidR="00F43C3B" w:rsidRPr="00C9036A" w:rsidTr="00F43C3B">
        <w:tc>
          <w:tcPr>
            <w:tcW w:w="4621" w:type="dxa"/>
            <w:shd w:val="clear" w:color="auto" w:fill="auto"/>
            <w:vAlign w:val="center"/>
          </w:tcPr>
          <w:p w:rsidR="00BF7D97" w:rsidRPr="00C9036A" w:rsidRDefault="00BF7D97" w:rsidP="00A700BC">
            <w:pPr>
              <w:pStyle w:val="AERbodytext"/>
              <w:rPr>
                <w:rFonts w:eastAsia="Calibri" w:cs="Arial"/>
                <w:sz w:val="18"/>
                <w:szCs w:val="18"/>
              </w:rPr>
            </w:pPr>
            <w:r w:rsidRPr="00C9036A">
              <w:rPr>
                <w:rFonts w:eastAsia="Calibri" w:cs="Arial"/>
                <w:sz w:val="18"/>
                <w:szCs w:val="18"/>
              </w:rPr>
              <w:t>Clause 4.19 Extension of statement of cash flow</w:t>
            </w:r>
          </w:p>
        </w:tc>
        <w:tc>
          <w:tcPr>
            <w:tcW w:w="4621" w:type="dxa"/>
            <w:shd w:val="clear" w:color="auto" w:fill="auto"/>
            <w:vAlign w:val="center"/>
          </w:tcPr>
          <w:p w:rsidR="00BF7D97" w:rsidRPr="00C9036A" w:rsidRDefault="00BF7D97" w:rsidP="00F43C3B">
            <w:pPr>
              <w:pStyle w:val="AERbodytext"/>
              <w:jc w:val="right"/>
              <w:rPr>
                <w:rFonts w:eastAsia="Calibri" w:cs="Arial"/>
                <w:sz w:val="18"/>
                <w:szCs w:val="18"/>
              </w:rPr>
            </w:pPr>
            <w:r w:rsidRPr="00C9036A">
              <w:rPr>
                <w:rFonts w:eastAsia="Calibri" w:cs="Arial"/>
                <w:sz w:val="18"/>
                <w:szCs w:val="18"/>
              </w:rPr>
              <w:t>Consistency with electricity distribution network service providers (DNSPs) and gas businesses.</w:t>
            </w:r>
          </w:p>
        </w:tc>
      </w:tr>
      <w:tr w:rsidR="00F43C3B" w:rsidRPr="00C9036A" w:rsidTr="00F43C3B">
        <w:tc>
          <w:tcPr>
            <w:tcW w:w="4621" w:type="dxa"/>
            <w:shd w:val="clear" w:color="auto" w:fill="DBE5F1"/>
            <w:vAlign w:val="center"/>
          </w:tcPr>
          <w:p w:rsidR="00BF7D97" w:rsidRPr="00C9036A" w:rsidRDefault="00BF7D97" w:rsidP="00A700BC">
            <w:pPr>
              <w:pStyle w:val="AERbodytext"/>
              <w:rPr>
                <w:rFonts w:eastAsia="Calibri" w:cs="Arial"/>
                <w:sz w:val="18"/>
                <w:szCs w:val="18"/>
              </w:rPr>
            </w:pPr>
            <w:r w:rsidRPr="00C9036A">
              <w:rPr>
                <w:rFonts w:eastAsia="Calibri" w:cs="Arial"/>
                <w:sz w:val="18"/>
                <w:szCs w:val="18"/>
              </w:rPr>
              <w:t>Appendix A - RFS BAL (Statement of financial position - balance sheet)</w:t>
            </w:r>
          </w:p>
        </w:tc>
        <w:tc>
          <w:tcPr>
            <w:tcW w:w="4621" w:type="dxa"/>
            <w:shd w:val="clear" w:color="auto" w:fill="DBE5F1"/>
            <w:vAlign w:val="center"/>
          </w:tcPr>
          <w:p w:rsidR="00BF7D97" w:rsidRPr="00C9036A" w:rsidRDefault="00BF7D97" w:rsidP="00F43C3B">
            <w:pPr>
              <w:pStyle w:val="AERbodytext"/>
              <w:jc w:val="right"/>
              <w:rPr>
                <w:rFonts w:eastAsia="Calibri" w:cs="Arial"/>
                <w:sz w:val="18"/>
                <w:szCs w:val="18"/>
              </w:rPr>
            </w:pPr>
            <w:r w:rsidRPr="00C9036A">
              <w:rPr>
                <w:rFonts w:eastAsia="Calibri" w:cs="Arial"/>
                <w:sz w:val="18"/>
                <w:szCs w:val="18"/>
              </w:rPr>
              <w:t>Consistency with electricity DNSPs and gas businesses.</w:t>
            </w:r>
          </w:p>
        </w:tc>
      </w:tr>
      <w:tr w:rsidR="00F43C3B" w:rsidRPr="00C9036A" w:rsidTr="00F43C3B">
        <w:tc>
          <w:tcPr>
            <w:tcW w:w="4621" w:type="dxa"/>
            <w:shd w:val="clear" w:color="auto" w:fill="auto"/>
            <w:vAlign w:val="center"/>
          </w:tcPr>
          <w:p w:rsidR="00BF7D97" w:rsidRPr="00C9036A" w:rsidRDefault="00BF7D97" w:rsidP="00A700BC">
            <w:pPr>
              <w:pStyle w:val="AERbodytext"/>
              <w:rPr>
                <w:rFonts w:eastAsia="Calibri" w:cs="Arial"/>
                <w:sz w:val="18"/>
                <w:szCs w:val="18"/>
              </w:rPr>
            </w:pPr>
            <w:r w:rsidRPr="00C9036A">
              <w:rPr>
                <w:rFonts w:eastAsia="Calibri" w:cs="Arial"/>
                <w:sz w:val="18"/>
                <w:szCs w:val="18"/>
              </w:rPr>
              <w:t>Appendix A - RFS CF (Statement of cash flows)</w:t>
            </w:r>
          </w:p>
        </w:tc>
        <w:tc>
          <w:tcPr>
            <w:tcW w:w="4621" w:type="dxa"/>
            <w:shd w:val="clear" w:color="auto" w:fill="auto"/>
            <w:vAlign w:val="center"/>
          </w:tcPr>
          <w:p w:rsidR="00BF7D97" w:rsidRPr="00C9036A" w:rsidRDefault="00BF7D97" w:rsidP="00F43C3B">
            <w:pPr>
              <w:pStyle w:val="AERbodytext"/>
              <w:jc w:val="right"/>
              <w:rPr>
                <w:rFonts w:eastAsia="Calibri" w:cs="Arial"/>
                <w:sz w:val="18"/>
                <w:szCs w:val="18"/>
              </w:rPr>
            </w:pPr>
            <w:r w:rsidRPr="00C9036A">
              <w:rPr>
                <w:rFonts w:eastAsia="Calibri" w:cs="Arial"/>
                <w:sz w:val="18"/>
                <w:szCs w:val="18"/>
              </w:rPr>
              <w:t>Consistency with electricity DNSPs and gas businesses.</w:t>
            </w:r>
          </w:p>
        </w:tc>
      </w:tr>
      <w:tr w:rsidR="00F43C3B" w:rsidRPr="00C9036A" w:rsidTr="00F43C3B">
        <w:tc>
          <w:tcPr>
            <w:tcW w:w="4621" w:type="dxa"/>
            <w:shd w:val="clear" w:color="auto" w:fill="DBE5F1"/>
            <w:vAlign w:val="center"/>
          </w:tcPr>
          <w:p w:rsidR="00BF7D97" w:rsidRPr="00C9036A" w:rsidRDefault="00BF7D97" w:rsidP="00A700BC">
            <w:pPr>
              <w:pStyle w:val="AERbodytext"/>
              <w:rPr>
                <w:rFonts w:eastAsia="Calibri" w:cs="Arial"/>
                <w:sz w:val="18"/>
                <w:szCs w:val="18"/>
              </w:rPr>
            </w:pPr>
            <w:r w:rsidRPr="00C9036A">
              <w:rPr>
                <w:rFonts w:eastAsia="Calibri" w:cs="Arial"/>
                <w:sz w:val="18"/>
                <w:szCs w:val="18"/>
              </w:rPr>
              <w:t>Appendix A - DISAGG BAL (Disaggregated statement of financial position - balance sheet)</w:t>
            </w:r>
          </w:p>
        </w:tc>
        <w:tc>
          <w:tcPr>
            <w:tcW w:w="4621" w:type="dxa"/>
            <w:shd w:val="clear" w:color="auto" w:fill="DBE5F1"/>
            <w:vAlign w:val="center"/>
          </w:tcPr>
          <w:p w:rsidR="00BF7D97" w:rsidRPr="00C9036A" w:rsidRDefault="00BF7D97" w:rsidP="00F43C3B">
            <w:pPr>
              <w:pStyle w:val="AERbodytext"/>
              <w:jc w:val="right"/>
              <w:rPr>
                <w:rFonts w:eastAsia="Calibri" w:cs="Arial"/>
                <w:sz w:val="18"/>
                <w:szCs w:val="18"/>
              </w:rPr>
            </w:pPr>
            <w:r w:rsidRPr="00C9036A">
              <w:rPr>
                <w:rFonts w:eastAsia="Calibri" w:cs="Arial"/>
                <w:sz w:val="18"/>
                <w:szCs w:val="18"/>
              </w:rPr>
              <w:t>Disaggregation not required if financial statements not required.</w:t>
            </w:r>
          </w:p>
        </w:tc>
      </w:tr>
      <w:tr w:rsidR="00F43C3B" w:rsidRPr="00C9036A" w:rsidTr="00F43C3B">
        <w:tc>
          <w:tcPr>
            <w:tcW w:w="4621" w:type="dxa"/>
            <w:shd w:val="clear" w:color="auto" w:fill="auto"/>
            <w:vAlign w:val="center"/>
          </w:tcPr>
          <w:p w:rsidR="00BF7D97" w:rsidRPr="00C9036A" w:rsidRDefault="00BF7D97" w:rsidP="00A700BC">
            <w:pPr>
              <w:pStyle w:val="AERbodytext"/>
              <w:rPr>
                <w:rFonts w:eastAsia="Calibri" w:cs="Arial"/>
                <w:sz w:val="18"/>
                <w:szCs w:val="18"/>
              </w:rPr>
            </w:pPr>
            <w:r w:rsidRPr="00C9036A">
              <w:rPr>
                <w:rFonts w:eastAsia="Calibri" w:cs="Arial"/>
                <w:sz w:val="18"/>
                <w:szCs w:val="18"/>
              </w:rPr>
              <w:t>Appendix A - DISAGG CF (Disaggregated statement of cash flow)</w:t>
            </w:r>
          </w:p>
        </w:tc>
        <w:tc>
          <w:tcPr>
            <w:tcW w:w="4621" w:type="dxa"/>
            <w:shd w:val="clear" w:color="auto" w:fill="auto"/>
            <w:vAlign w:val="center"/>
          </w:tcPr>
          <w:p w:rsidR="00BF7D97" w:rsidRPr="00C9036A" w:rsidRDefault="00BF7D97" w:rsidP="00F43C3B">
            <w:pPr>
              <w:pStyle w:val="AERbodytext"/>
              <w:jc w:val="right"/>
              <w:rPr>
                <w:rFonts w:eastAsia="Calibri" w:cs="Arial"/>
                <w:sz w:val="18"/>
                <w:szCs w:val="18"/>
              </w:rPr>
            </w:pPr>
            <w:r w:rsidRPr="00C9036A">
              <w:rPr>
                <w:rFonts w:eastAsia="Calibri" w:cs="Arial"/>
                <w:sz w:val="18"/>
                <w:szCs w:val="18"/>
              </w:rPr>
              <w:t>Disaggregation not required if financial statements not required.</w:t>
            </w:r>
          </w:p>
        </w:tc>
      </w:tr>
      <w:tr w:rsidR="00F43C3B" w:rsidRPr="00C9036A" w:rsidTr="00F43C3B">
        <w:tc>
          <w:tcPr>
            <w:tcW w:w="4621" w:type="dxa"/>
            <w:shd w:val="clear" w:color="auto" w:fill="DBE5F1"/>
            <w:vAlign w:val="center"/>
          </w:tcPr>
          <w:p w:rsidR="00BF7D97" w:rsidRPr="00C9036A" w:rsidRDefault="00BF7D97" w:rsidP="008E712F">
            <w:pPr>
              <w:pStyle w:val="AERbodytext"/>
              <w:numPr>
                <w:ilvl w:val="0"/>
                <w:numId w:val="17"/>
              </w:numPr>
              <w:spacing w:before="120" w:after="240" w:line="288" w:lineRule="auto"/>
              <w:jc w:val="both"/>
              <w:rPr>
                <w:rFonts w:eastAsia="Calibri" w:cs="Arial"/>
                <w:sz w:val="18"/>
                <w:szCs w:val="18"/>
              </w:rPr>
            </w:pPr>
            <w:r w:rsidRPr="00C9036A">
              <w:rPr>
                <w:rFonts w:eastAsia="Calibri" w:cs="Arial"/>
                <w:sz w:val="18"/>
                <w:szCs w:val="18"/>
              </w:rPr>
              <w:t xml:space="preserve">Appendix A - PTS </w:t>
            </w:r>
            <w:proofErr w:type="spellStart"/>
            <w:r w:rsidRPr="00C9036A">
              <w:rPr>
                <w:rFonts w:eastAsia="Calibri" w:cs="Arial"/>
                <w:sz w:val="18"/>
                <w:szCs w:val="18"/>
              </w:rPr>
              <w:t>Pthrough</w:t>
            </w:r>
            <w:proofErr w:type="spellEnd"/>
            <w:r w:rsidRPr="00C9036A">
              <w:rPr>
                <w:rFonts w:eastAsia="Calibri" w:cs="Arial"/>
                <w:sz w:val="18"/>
                <w:szCs w:val="18"/>
              </w:rPr>
              <w:t xml:space="preserve"> (Network support pass through)</w:t>
            </w:r>
          </w:p>
        </w:tc>
        <w:tc>
          <w:tcPr>
            <w:tcW w:w="4621" w:type="dxa"/>
            <w:shd w:val="clear" w:color="auto" w:fill="DBE5F1"/>
            <w:vAlign w:val="center"/>
          </w:tcPr>
          <w:p w:rsidR="00BF7D97" w:rsidRPr="00C9036A" w:rsidRDefault="00BF7D97" w:rsidP="008E712F">
            <w:pPr>
              <w:pStyle w:val="AERbodytext"/>
              <w:numPr>
                <w:ilvl w:val="0"/>
                <w:numId w:val="17"/>
              </w:numPr>
              <w:spacing w:before="120" w:after="240" w:line="288" w:lineRule="auto"/>
              <w:jc w:val="both"/>
              <w:rPr>
                <w:rFonts w:eastAsia="Calibri" w:cs="Arial"/>
                <w:sz w:val="18"/>
                <w:szCs w:val="18"/>
              </w:rPr>
            </w:pPr>
            <w:r w:rsidRPr="00C9036A">
              <w:rPr>
                <w:rFonts w:eastAsia="Calibri" w:cs="Arial"/>
                <w:sz w:val="18"/>
                <w:szCs w:val="18"/>
              </w:rPr>
              <w:t>Information already provided to the AER.</w:t>
            </w:r>
          </w:p>
        </w:tc>
      </w:tr>
      <w:tr w:rsidR="00F43C3B" w:rsidRPr="00C9036A" w:rsidTr="00F43C3B">
        <w:tc>
          <w:tcPr>
            <w:tcW w:w="4621" w:type="dxa"/>
            <w:shd w:val="clear" w:color="auto" w:fill="auto"/>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lastRenderedPageBreak/>
              <w:t xml:space="preserve">Appendix A - PTS </w:t>
            </w:r>
            <w:proofErr w:type="spellStart"/>
            <w:r w:rsidRPr="00C9036A">
              <w:rPr>
                <w:rFonts w:eastAsia="Calibri" w:cs="Arial"/>
                <w:sz w:val="18"/>
                <w:szCs w:val="18"/>
              </w:rPr>
              <w:t>CostPthrough</w:t>
            </w:r>
            <w:proofErr w:type="spellEnd"/>
            <w:r w:rsidRPr="00C9036A">
              <w:rPr>
                <w:rFonts w:eastAsia="Calibri" w:cs="Arial"/>
                <w:sz w:val="18"/>
                <w:szCs w:val="18"/>
              </w:rPr>
              <w:t xml:space="preserve"> (Cost pass through)</w:t>
            </w:r>
          </w:p>
        </w:tc>
        <w:tc>
          <w:tcPr>
            <w:tcW w:w="4621" w:type="dxa"/>
            <w:shd w:val="clear" w:color="auto" w:fill="auto"/>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Information already provided to the AER.</w:t>
            </w:r>
          </w:p>
        </w:tc>
      </w:tr>
      <w:tr w:rsidR="00F43C3B" w:rsidRPr="00C9036A" w:rsidTr="00F43C3B">
        <w:tc>
          <w:tcPr>
            <w:tcW w:w="4621" w:type="dxa"/>
            <w:shd w:val="clear" w:color="auto" w:fill="DBE5F1"/>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 xml:space="preserve">Glossary - Definition of 'regulatory financial statements' </w:t>
            </w:r>
          </w:p>
        </w:tc>
        <w:tc>
          <w:tcPr>
            <w:tcW w:w="4621" w:type="dxa"/>
            <w:shd w:val="clear" w:color="auto" w:fill="DBE5F1"/>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Consistency with electricity DNSPs and gas businesses</w:t>
            </w:r>
          </w:p>
        </w:tc>
      </w:tr>
    </w:tbl>
    <w:p w:rsidR="00BF7D97" w:rsidRPr="00C9036A" w:rsidRDefault="00BF7D97" w:rsidP="008A5C04">
      <w:pPr>
        <w:pStyle w:val="Guideline12"/>
        <w:spacing w:before="0" w:after="240" w:line="288" w:lineRule="auto"/>
        <w:rPr>
          <w:sz w:val="28"/>
          <w:szCs w:val="28"/>
        </w:rPr>
      </w:pPr>
      <w:bookmarkStart w:id="30" w:name="_Toc405896247"/>
      <w:bookmarkStart w:id="31" w:name="_Toc405965525"/>
      <w:r w:rsidRPr="00C9036A">
        <w:rPr>
          <w:sz w:val="28"/>
          <w:szCs w:val="28"/>
        </w:rPr>
        <w:t>Consequential amendments</w:t>
      </w:r>
      <w:bookmarkEnd w:id="30"/>
      <w:bookmarkEnd w:id="31"/>
      <w:r w:rsidRPr="00C9036A">
        <w:rPr>
          <w:sz w:val="28"/>
          <w:szCs w:val="28"/>
        </w:rPr>
        <w:t xml:space="preserve"> </w:t>
      </w:r>
    </w:p>
    <w:p w:rsidR="00BF7D97" w:rsidRPr="00C9036A" w:rsidRDefault="00BF7D97" w:rsidP="008A5C04">
      <w:pPr>
        <w:spacing w:before="0" w:after="240" w:line="288" w:lineRule="auto"/>
        <w:rPr>
          <w:rFonts w:cs="Arial"/>
        </w:rPr>
      </w:pPr>
      <w:r w:rsidRPr="00C9036A">
        <w:rPr>
          <w:rFonts w:cs="Arial"/>
        </w:rPr>
        <w:t xml:space="preserve">We </w:t>
      </w:r>
      <w:proofErr w:type="gramStart"/>
      <w:r w:rsidRPr="00C9036A">
        <w:rPr>
          <w:rFonts w:cs="Arial"/>
        </w:rPr>
        <w:t>are  proposing</w:t>
      </w:r>
      <w:proofErr w:type="gramEnd"/>
      <w:r w:rsidRPr="00C9036A">
        <w:rPr>
          <w:rFonts w:cs="Arial"/>
        </w:rPr>
        <w:t xml:space="preserve"> a number of consequential alterations to the Information Guideline to reflect both:</w:t>
      </w:r>
    </w:p>
    <w:p w:rsidR="00BF7D97" w:rsidRPr="00C9036A" w:rsidRDefault="00BF7D97" w:rsidP="008E712F">
      <w:pPr>
        <w:pStyle w:val="AERbulletlistfirststyle"/>
        <w:numPr>
          <w:ilvl w:val="0"/>
          <w:numId w:val="14"/>
        </w:numPr>
        <w:tabs>
          <w:tab w:val="left" w:pos="357"/>
        </w:tabs>
        <w:spacing w:before="0" w:after="240" w:line="288" w:lineRule="auto"/>
        <w:ind w:left="357" w:hanging="357"/>
        <w:jc w:val="both"/>
        <w:rPr>
          <w:rFonts w:cs="Arial"/>
        </w:rPr>
      </w:pPr>
      <w:r w:rsidRPr="00C9036A">
        <w:rPr>
          <w:rFonts w:cs="Arial"/>
        </w:rPr>
        <w:t xml:space="preserve">changes which have been made to the regulatory framework since the Information Guideline was first published in 2007, and </w:t>
      </w:r>
    </w:p>
    <w:p w:rsidR="00BF7D97" w:rsidRPr="00C9036A" w:rsidRDefault="00BF7D97" w:rsidP="008E712F">
      <w:pPr>
        <w:pStyle w:val="AERbulletlistfirststyle"/>
        <w:numPr>
          <w:ilvl w:val="0"/>
          <w:numId w:val="14"/>
        </w:numPr>
        <w:tabs>
          <w:tab w:val="left" w:pos="357"/>
        </w:tabs>
        <w:spacing w:before="0" w:after="240" w:line="288" w:lineRule="auto"/>
        <w:ind w:left="357" w:hanging="357"/>
        <w:jc w:val="both"/>
        <w:rPr>
          <w:rFonts w:cs="Arial"/>
        </w:rPr>
      </w:pPr>
      <w:proofErr w:type="gramStart"/>
      <w:r w:rsidRPr="00C9036A">
        <w:rPr>
          <w:rFonts w:cs="Arial"/>
        </w:rPr>
        <w:t>our</w:t>
      </w:r>
      <w:proofErr w:type="gramEnd"/>
      <w:r w:rsidRPr="00C9036A">
        <w:rPr>
          <w:rFonts w:cs="Arial"/>
        </w:rPr>
        <w:t xml:space="preserve"> current approach towards annual reporting requirements for other gas and electricity businesses.</w:t>
      </w:r>
    </w:p>
    <w:p w:rsidR="00BF7D97" w:rsidRPr="00C9036A" w:rsidRDefault="00BF7D97" w:rsidP="008E712F">
      <w:pPr>
        <w:pStyle w:val="AERbodytext"/>
        <w:numPr>
          <w:ilvl w:val="0"/>
          <w:numId w:val="17"/>
        </w:numPr>
        <w:spacing w:before="0" w:after="240" w:line="288" w:lineRule="auto"/>
        <w:jc w:val="both"/>
        <w:rPr>
          <w:rFonts w:cs="Arial"/>
        </w:rPr>
      </w:pPr>
      <w:r w:rsidRPr="00C9036A">
        <w:rPr>
          <w:rFonts w:cs="Arial"/>
        </w:rPr>
        <w:t xml:space="preserve">We consider that these consequential amendments are likely to reduce (or have no effect) on the compliance burden currently imposed upon TNSPs. In addition, they will improve the alignment of TNSP annual reporting requirements with those of other electricity distribution and gas businesses. </w:t>
      </w:r>
    </w:p>
    <w:p w:rsidR="00BF7D97" w:rsidRPr="00C9036A" w:rsidRDefault="00BF7D97" w:rsidP="00BF7D97">
      <w:pPr>
        <w:pStyle w:val="Caption"/>
        <w:rPr>
          <w:rFonts w:cs="Arial"/>
          <w:sz w:val="22"/>
          <w:szCs w:val="22"/>
        </w:rPr>
      </w:pPr>
      <w:r w:rsidRPr="00C9036A">
        <w:rPr>
          <w:rFonts w:cs="Arial"/>
          <w:sz w:val="22"/>
          <w:szCs w:val="22"/>
        </w:rPr>
        <w:t>Table 4.3: Consequential amendments</w:t>
      </w:r>
    </w:p>
    <w:tbl>
      <w:tblPr>
        <w:tblW w:w="0" w:type="auto"/>
        <w:tblBorders>
          <w:bottom w:val="single" w:sz="4" w:space="0" w:color="365F91"/>
        </w:tblBorders>
        <w:tblLook w:val="04A0" w:firstRow="1" w:lastRow="0" w:firstColumn="1" w:lastColumn="0" w:noHBand="0" w:noVBand="1"/>
      </w:tblPr>
      <w:tblGrid>
        <w:gridCol w:w="4264"/>
        <w:gridCol w:w="4264"/>
      </w:tblGrid>
      <w:tr w:rsidR="00F43C3B" w:rsidRPr="00C9036A" w:rsidTr="00F43C3B">
        <w:trPr>
          <w:tblHeader/>
        </w:trPr>
        <w:tc>
          <w:tcPr>
            <w:tcW w:w="4621" w:type="dxa"/>
            <w:shd w:val="clear" w:color="auto" w:fill="365F91"/>
            <w:vAlign w:val="center"/>
          </w:tcPr>
          <w:p w:rsidR="00BF7D97" w:rsidRPr="00C9036A" w:rsidRDefault="00BF7D97" w:rsidP="008E712F">
            <w:pPr>
              <w:pStyle w:val="AERbodytext"/>
              <w:numPr>
                <w:ilvl w:val="0"/>
                <w:numId w:val="11"/>
              </w:numPr>
              <w:spacing w:before="120" w:after="240" w:line="288" w:lineRule="auto"/>
              <w:jc w:val="both"/>
              <w:rPr>
                <w:rFonts w:eastAsia="Calibri" w:cs="Arial"/>
                <w:b/>
                <w:color w:val="FFFFFF"/>
                <w:sz w:val="18"/>
                <w:szCs w:val="18"/>
              </w:rPr>
            </w:pPr>
            <w:r w:rsidRPr="00C9036A">
              <w:rPr>
                <w:rFonts w:eastAsia="Calibri" w:cs="Arial"/>
                <w:b/>
                <w:color w:val="FFFFFF"/>
                <w:sz w:val="18"/>
                <w:szCs w:val="18"/>
              </w:rPr>
              <w:t>Information guideline requirement</w:t>
            </w:r>
          </w:p>
        </w:tc>
        <w:tc>
          <w:tcPr>
            <w:tcW w:w="4621" w:type="dxa"/>
            <w:shd w:val="clear" w:color="auto" w:fill="365F91"/>
            <w:vAlign w:val="center"/>
          </w:tcPr>
          <w:p w:rsidR="00BF7D97" w:rsidRPr="00C9036A" w:rsidRDefault="00BF7D97" w:rsidP="008E712F">
            <w:pPr>
              <w:pStyle w:val="AERbodytext"/>
              <w:numPr>
                <w:ilvl w:val="0"/>
                <w:numId w:val="11"/>
              </w:numPr>
              <w:spacing w:before="120" w:after="240" w:line="288" w:lineRule="auto"/>
              <w:jc w:val="both"/>
              <w:rPr>
                <w:rFonts w:eastAsia="Calibri" w:cs="Arial"/>
                <w:b/>
                <w:color w:val="FFFFFF"/>
                <w:sz w:val="18"/>
                <w:szCs w:val="18"/>
              </w:rPr>
            </w:pPr>
            <w:r w:rsidRPr="00C9036A">
              <w:rPr>
                <w:rFonts w:eastAsia="Calibri" w:cs="Arial"/>
                <w:b/>
                <w:color w:val="FFFFFF"/>
                <w:sz w:val="18"/>
                <w:szCs w:val="18"/>
              </w:rPr>
              <w:t>Reason for consequential amendment</w:t>
            </w:r>
          </w:p>
        </w:tc>
      </w:tr>
      <w:tr w:rsidR="00F43C3B" w:rsidRPr="00C9036A" w:rsidTr="00F43C3B">
        <w:tc>
          <w:tcPr>
            <w:tcW w:w="4621" w:type="dxa"/>
            <w:shd w:val="clear" w:color="auto" w:fill="auto"/>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Clause 1.3 – Role of these guidelines - reference to cl 6A.17.2.(f) of the NER</w:t>
            </w:r>
          </w:p>
        </w:tc>
        <w:tc>
          <w:tcPr>
            <w:tcW w:w="4621" w:type="dxa"/>
            <w:shd w:val="clear" w:color="auto" w:fill="auto"/>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Clause 6A.17.2</w:t>
            </w:r>
            <w:proofErr w:type="gramStart"/>
            <w:r w:rsidRPr="00C9036A">
              <w:rPr>
                <w:rFonts w:eastAsia="Calibri" w:cs="Arial"/>
                <w:sz w:val="18"/>
                <w:szCs w:val="18"/>
              </w:rPr>
              <w:t>.(</w:t>
            </w:r>
            <w:proofErr w:type="gramEnd"/>
            <w:r w:rsidRPr="00C9036A">
              <w:rPr>
                <w:rFonts w:eastAsia="Calibri" w:cs="Arial"/>
                <w:sz w:val="18"/>
                <w:szCs w:val="18"/>
              </w:rPr>
              <w:t>f) has been deleted from Chapter 6A of the NER.</w:t>
            </w:r>
          </w:p>
        </w:tc>
      </w:tr>
      <w:tr w:rsidR="00F43C3B" w:rsidRPr="00C9036A" w:rsidTr="00F43C3B">
        <w:tc>
          <w:tcPr>
            <w:tcW w:w="4621" w:type="dxa"/>
            <w:shd w:val="clear" w:color="auto" w:fill="DBE5F1"/>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Clause 1.4 - Confidentiality</w:t>
            </w:r>
          </w:p>
        </w:tc>
        <w:tc>
          <w:tcPr>
            <w:tcW w:w="4621" w:type="dxa"/>
            <w:shd w:val="clear" w:color="auto" w:fill="DBE5F1"/>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This clause does not reflect the AER’s approach to dealing with confidential information as set out in the AER’s Confidentiality Guideline.</w:t>
            </w:r>
          </w:p>
        </w:tc>
      </w:tr>
      <w:tr w:rsidR="00F43C3B" w:rsidRPr="00C9036A" w:rsidTr="00F43C3B">
        <w:tc>
          <w:tcPr>
            <w:tcW w:w="4621" w:type="dxa"/>
            <w:shd w:val="clear" w:color="auto" w:fill="auto"/>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Clause 1.6 – Process for revision - reference to cl.6A.17.2(b) of the NER</w:t>
            </w:r>
          </w:p>
        </w:tc>
        <w:tc>
          <w:tcPr>
            <w:tcW w:w="4621" w:type="dxa"/>
            <w:shd w:val="clear" w:color="auto" w:fill="auto"/>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 xml:space="preserve">Clause </w:t>
            </w:r>
            <w:proofErr w:type="gramStart"/>
            <w:r w:rsidRPr="00C9036A">
              <w:rPr>
                <w:rFonts w:eastAsia="Calibri" w:cs="Arial"/>
                <w:sz w:val="18"/>
                <w:szCs w:val="18"/>
              </w:rPr>
              <w:t>6A.17.2(</w:t>
            </w:r>
            <w:proofErr w:type="gramEnd"/>
            <w:r w:rsidRPr="00C9036A">
              <w:rPr>
                <w:rFonts w:eastAsia="Calibri" w:cs="Arial"/>
                <w:sz w:val="18"/>
                <w:szCs w:val="18"/>
              </w:rPr>
              <w:t>b) has been deleted from Chapter 6A of the NER.</w:t>
            </w:r>
          </w:p>
        </w:tc>
      </w:tr>
      <w:tr w:rsidR="00F43C3B" w:rsidRPr="00C9036A" w:rsidTr="00F43C3B">
        <w:tc>
          <w:tcPr>
            <w:tcW w:w="4621" w:type="dxa"/>
            <w:shd w:val="clear" w:color="auto" w:fill="DBE5F1"/>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Clause 2.1 - Compliance</w:t>
            </w:r>
          </w:p>
        </w:tc>
        <w:tc>
          <w:tcPr>
            <w:tcW w:w="4621" w:type="dxa"/>
            <w:shd w:val="clear" w:color="auto" w:fill="DBE5F1"/>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 xml:space="preserve">The binding nature of the Information Guideline is now also referred to in </w:t>
            </w:r>
            <w:proofErr w:type="gramStart"/>
            <w:r w:rsidRPr="00C9036A">
              <w:rPr>
                <w:rFonts w:eastAsia="Calibri" w:cs="Arial"/>
                <w:sz w:val="18"/>
                <w:szCs w:val="18"/>
              </w:rPr>
              <w:t>cl.6A.17.2(</w:t>
            </w:r>
            <w:proofErr w:type="spellStart"/>
            <w:proofErr w:type="gramEnd"/>
            <w:r w:rsidRPr="00C9036A">
              <w:rPr>
                <w:rFonts w:eastAsia="Calibri" w:cs="Arial"/>
                <w:sz w:val="18"/>
                <w:szCs w:val="18"/>
              </w:rPr>
              <w:t>i</w:t>
            </w:r>
            <w:proofErr w:type="spellEnd"/>
            <w:r w:rsidRPr="00C9036A">
              <w:rPr>
                <w:rFonts w:eastAsia="Calibri" w:cs="Arial"/>
                <w:sz w:val="18"/>
                <w:szCs w:val="18"/>
              </w:rPr>
              <w:t>) of the NER.</w:t>
            </w:r>
          </w:p>
        </w:tc>
      </w:tr>
      <w:tr w:rsidR="00F43C3B" w:rsidRPr="00C9036A" w:rsidTr="00F43C3B">
        <w:tc>
          <w:tcPr>
            <w:tcW w:w="4621" w:type="dxa"/>
            <w:shd w:val="clear" w:color="auto" w:fill="auto"/>
            <w:vAlign w:val="center"/>
          </w:tcPr>
          <w:p w:rsidR="00BF7D97" w:rsidRPr="00C9036A" w:rsidRDefault="00BF7D97" w:rsidP="00A700BC">
            <w:pPr>
              <w:rPr>
                <w:rFonts w:eastAsia="Calibri" w:cs="Arial"/>
                <w:sz w:val="18"/>
                <w:szCs w:val="18"/>
              </w:rPr>
            </w:pPr>
            <w:r w:rsidRPr="00C9036A">
              <w:rPr>
                <w:rFonts w:eastAsia="Calibri" w:cs="Arial"/>
                <w:sz w:val="18"/>
                <w:szCs w:val="18"/>
              </w:rPr>
              <w:t>Clause 2.4 – Director’s responsibility statement</w:t>
            </w:r>
          </w:p>
        </w:tc>
        <w:tc>
          <w:tcPr>
            <w:tcW w:w="4621" w:type="dxa"/>
            <w:shd w:val="clear" w:color="auto" w:fill="auto"/>
            <w:vAlign w:val="center"/>
          </w:tcPr>
          <w:p w:rsidR="00BF7D97" w:rsidRPr="00C9036A" w:rsidRDefault="00BF7D97" w:rsidP="008E712F">
            <w:pPr>
              <w:pStyle w:val="AERbodytext"/>
              <w:numPr>
                <w:ilvl w:val="0"/>
                <w:numId w:val="17"/>
              </w:numPr>
              <w:spacing w:before="120" w:after="240" w:line="288" w:lineRule="auto"/>
              <w:jc w:val="both"/>
              <w:rPr>
                <w:rFonts w:eastAsia="Calibri" w:cs="Arial"/>
                <w:sz w:val="18"/>
                <w:szCs w:val="18"/>
              </w:rPr>
            </w:pPr>
            <w:r w:rsidRPr="00C9036A">
              <w:rPr>
                <w:rFonts w:eastAsia="Calibri" w:cs="Arial"/>
                <w:sz w:val="18"/>
                <w:szCs w:val="18"/>
              </w:rPr>
              <w:t xml:space="preserve">Consistent with the AER's approach for electricity DNSPs and gas businesses only a statutory </w:t>
            </w:r>
            <w:r w:rsidRPr="00C9036A">
              <w:rPr>
                <w:rFonts w:eastAsia="Calibri" w:cs="Arial"/>
                <w:sz w:val="18"/>
                <w:szCs w:val="18"/>
              </w:rPr>
              <w:lastRenderedPageBreak/>
              <w:t>declaration by an ‘</w:t>
            </w:r>
            <w:r w:rsidRPr="00C9036A">
              <w:rPr>
                <w:rStyle w:val="AERtextitalic"/>
                <w:rFonts w:eastAsia="Calibri" w:cs="Arial"/>
                <w:sz w:val="18"/>
                <w:szCs w:val="18"/>
              </w:rPr>
              <w:t>officer</w:t>
            </w:r>
            <w:r w:rsidRPr="00C9036A">
              <w:rPr>
                <w:rFonts w:eastAsia="Calibri" w:cs="Arial"/>
                <w:sz w:val="18"/>
                <w:szCs w:val="18"/>
              </w:rPr>
              <w:t>’ (as defined under the NEL)</w:t>
            </w:r>
            <w:r w:rsidRPr="00C9036A">
              <w:rPr>
                <w:rStyle w:val="FootnoteReference"/>
                <w:rFonts w:eastAsia="Calibri" w:cs="Arial"/>
                <w:sz w:val="18"/>
                <w:szCs w:val="18"/>
              </w:rPr>
              <w:footnoteReference w:id="17"/>
            </w:r>
            <w:r w:rsidRPr="00C9036A">
              <w:rPr>
                <w:rFonts w:eastAsia="Calibri" w:cs="Arial"/>
                <w:sz w:val="18"/>
                <w:szCs w:val="18"/>
              </w:rPr>
              <w:t xml:space="preserve"> of the TNSP is required for annual reporting assurance purposes.</w:t>
            </w:r>
          </w:p>
        </w:tc>
      </w:tr>
      <w:tr w:rsidR="00F43C3B" w:rsidRPr="00C9036A" w:rsidTr="00F43C3B">
        <w:tc>
          <w:tcPr>
            <w:tcW w:w="4621" w:type="dxa"/>
            <w:shd w:val="clear" w:color="auto" w:fill="DBE5F1"/>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lastRenderedPageBreak/>
              <w:t>Clause 2.6 - Ad hoc information requirements</w:t>
            </w:r>
          </w:p>
        </w:tc>
        <w:tc>
          <w:tcPr>
            <w:tcW w:w="4621" w:type="dxa"/>
            <w:shd w:val="clear" w:color="auto" w:fill="DBE5F1"/>
            <w:vAlign w:val="center"/>
          </w:tcPr>
          <w:p w:rsidR="00BF7D97" w:rsidRPr="00C9036A" w:rsidRDefault="00BF7D97" w:rsidP="008E712F">
            <w:pPr>
              <w:pStyle w:val="AERbodytext"/>
              <w:numPr>
                <w:ilvl w:val="0"/>
                <w:numId w:val="17"/>
              </w:numPr>
              <w:spacing w:before="120" w:after="240" w:line="288" w:lineRule="auto"/>
              <w:jc w:val="both"/>
              <w:rPr>
                <w:rFonts w:eastAsia="Calibri" w:cs="Arial"/>
                <w:sz w:val="18"/>
                <w:szCs w:val="18"/>
              </w:rPr>
            </w:pPr>
            <w:r w:rsidRPr="00C9036A">
              <w:rPr>
                <w:rFonts w:eastAsia="Calibri" w:cs="Arial"/>
                <w:sz w:val="18"/>
                <w:szCs w:val="18"/>
              </w:rPr>
              <w:t xml:space="preserve">Consistent with the AER's approach for electricity DNSPs and gas businesses there is no need to specify the issues to be covered in any ad hoc information request. </w:t>
            </w:r>
          </w:p>
        </w:tc>
      </w:tr>
      <w:tr w:rsidR="00F43C3B" w:rsidRPr="00C9036A" w:rsidTr="00F43C3B">
        <w:tc>
          <w:tcPr>
            <w:tcW w:w="4621" w:type="dxa"/>
            <w:shd w:val="clear" w:color="auto" w:fill="auto"/>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 xml:space="preserve">Clause 2.8 - Audit assurance </w:t>
            </w:r>
          </w:p>
        </w:tc>
        <w:tc>
          <w:tcPr>
            <w:tcW w:w="4621" w:type="dxa"/>
            <w:shd w:val="clear" w:color="auto" w:fill="auto"/>
            <w:vAlign w:val="center"/>
          </w:tcPr>
          <w:p w:rsidR="00BF7D97" w:rsidRPr="00C9036A" w:rsidRDefault="00BF7D97" w:rsidP="008E712F">
            <w:pPr>
              <w:pStyle w:val="AERbodytext"/>
              <w:numPr>
                <w:ilvl w:val="0"/>
                <w:numId w:val="17"/>
              </w:numPr>
              <w:spacing w:before="120" w:after="240" w:line="288" w:lineRule="auto"/>
              <w:jc w:val="both"/>
              <w:rPr>
                <w:rFonts w:eastAsia="Calibri" w:cs="Arial"/>
                <w:sz w:val="18"/>
                <w:szCs w:val="18"/>
              </w:rPr>
            </w:pPr>
            <w:r w:rsidRPr="00C9036A">
              <w:rPr>
                <w:rFonts w:eastAsia="Calibri" w:cs="Arial"/>
                <w:sz w:val="18"/>
                <w:szCs w:val="18"/>
              </w:rPr>
              <w:t>Consistent with the AER's approach for electricity DNSPs and gas businesses the assurance requirements have been clarified and references to example audit reports have been removed.</w:t>
            </w:r>
          </w:p>
        </w:tc>
      </w:tr>
      <w:tr w:rsidR="00F43C3B" w:rsidRPr="00C9036A" w:rsidTr="00F43C3B">
        <w:tc>
          <w:tcPr>
            <w:tcW w:w="4621" w:type="dxa"/>
            <w:shd w:val="clear" w:color="auto" w:fill="DBE5F1"/>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Clause 2.9 - Disaggregation reporting by business segment</w:t>
            </w:r>
          </w:p>
        </w:tc>
        <w:tc>
          <w:tcPr>
            <w:tcW w:w="4621" w:type="dxa"/>
            <w:shd w:val="clear" w:color="auto" w:fill="DBE5F1"/>
            <w:vAlign w:val="center"/>
          </w:tcPr>
          <w:p w:rsidR="00BF7D97" w:rsidRPr="00C9036A" w:rsidRDefault="00BF7D97" w:rsidP="008E712F">
            <w:pPr>
              <w:pStyle w:val="AERbodytext"/>
              <w:numPr>
                <w:ilvl w:val="0"/>
                <w:numId w:val="17"/>
              </w:numPr>
              <w:spacing w:before="120" w:after="240" w:line="288" w:lineRule="auto"/>
              <w:jc w:val="both"/>
              <w:rPr>
                <w:rFonts w:eastAsia="Calibri" w:cs="Arial"/>
                <w:sz w:val="18"/>
                <w:szCs w:val="18"/>
              </w:rPr>
            </w:pPr>
            <w:r w:rsidRPr="00C9036A">
              <w:rPr>
                <w:rFonts w:eastAsia="Calibri" w:cs="Arial"/>
                <w:sz w:val="18"/>
                <w:szCs w:val="18"/>
              </w:rPr>
              <w:t>The diagram in this clause is replaced with a new diagram to reflect the AER's proposed amendments.</w:t>
            </w:r>
          </w:p>
        </w:tc>
      </w:tr>
      <w:tr w:rsidR="00F43C3B" w:rsidRPr="00C9036A" w:rsidTr="00F43C3B">
        <w:tc>
          <w:tcPr>
            <w:tcW w:w="4621" w:type="dxa"/>
            <w:shd w:val="clear" w:color="auto" w:fill="auto"/>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Clause 3.1 – Introduction to annual reporting - reference to the AER's purposes under cl.6A.17.1(d) of the NER</w:t>
            </w:r>
          </w:p>
        </w:tc>
        <w:tc>
          <w:tcPr>
            <w:tcW w:w="4621" w:type="dxa"/>
            <w:shd w:val="clear" w:color="auto" w:fill="auto"/>
            <w:vAlign w:val="center"/>
          </w:tcPr>
          <w:p w:rsidR="00BF7D97" w:rsidRPr="00C9036A" w:rsidRDefault="00BF7D97" w:rsidP="008E712F">
            <w:pPr>
              <w:pStyle w:val="AERbodytext"/>
              <w:numPr>
                <w:ilvl w:val="0"/>
                <w:numId w:val="17"/>
              </w:numPr>
              <w:spacing w:before="120" w:after="240" w:line="288" w:lineRule="auto"/>
              <w:jc w:val="both"/>
              <w:rPr>
                <w:rFonts w:eastAsia="Calibri" w:cs="Arial"/>
                <w:sz w:val="18"/>
                <w:szCs w:val="18"/>
              </w:rPr>
            </w:pPr>
            <w:r w:rsidRPr="00C9036A">
              <w:rPr>
                <w:rFonts w:eastAsia="Calibri" w:cs="Arial"/>
                <w:sz w:val="18"/>
                <w:szCs w:val="18"/>
              </w:rPr>
              <w:t xml:space="preserve">Clause </w:t>
            </w:r>
            <w:proofErr w:type="gramStart"/>
            <w:r w:rsidRPr="00C9036A">
              <w:rPr>
                <w:rFonts w:eastAsia="Calibri" w:cs="Arial"/>
                <w:sz w:val="18"/>
                <w:szCs w:val="18"/>
              </w:rPr>
              <w:t>6A.17.1(</w:t>
            </w:r>
            <w:proofErr w:type="gramEnd"/>
            <w:r w:rsidRPr="00C9036A">
              <w:rPr>
                <w:rFonts w:eastAsia="Calibri" w:cs="Arial"/>
                <w:sz w:val="18"/>
                <w:szCs w:val="18"/>
              </w:rPr>
              <w:t>d)(4) has been amended and now  also includes reference to the efficiency benefit sharing scheme, capital expenditure sharing scheme and small scale incentive scheme.</w:t>
            </w:r>
          </w:p>
        </w:tc>
      </w:tr>
      <w:tr w:rsidR="00F43C3B" w:rsidRPr="00C9036A" w:rsidTr="00F43C3B">
        <w:tc>
          <w:tcPr>
            <w:tcW w:w="4621" w:type="dxa"/>
            <w:shd w:val="clear" w:color="auto" w:fill="DBE5F1"/>
          </w:tcPr>
          <w:p w:rsidR="00BF7D97" w:rsidRPr="00C9036A" w:rsidRDefault="00BF7D97" w:rsidP="00A700BC">
            <w:pPr>
              <w:rPr>
                <w:rFonts w:eastAsia="Calibri" w:cs="Arial"/>
                <w:sz w:val="18"/>
                <w:szCs w:val="18"/>
              </w:rPr>
            </w:pPr>
            <w:r w:rsidRPr="00C9036A">
              <w:rPr>
                <w:rFonts w:eastAsia="Calibri" w:cs="Arial"/>
                <w:sz w:val="18"/>
                <w:szCs w:val="18"/>
              </w:rPr>
              <w:t xml:space="preserve">Clause 3.5 – Service performance information </w:t>
            </w:r>
          </w:p>
        </w:tc>
        <w:tc>
          <w:tcPr>
            <w:tcW w:w="4621" w:type="dxa"/>
            <w:shd w:val="clear" w:color="auto" w:fill="DBE5F1"/>
            <w:vAlign w:val="center"/>
          </w:tcPr>
          <w:p w:rsidR="00BF7D97" w:rsidRPr="00C9036A" w:rsidRDefault="00BF7D97" w:rsidP="00F43C3B">
            <w:pPr>
              <w:jc w:val="both"/>
              <w:rPr>
                <w:rFonts w:eastAsia="Calibri" w:cs="Arial"/>
                <w:sz w:val="18"/>
                <w:szCs w:val="18"/>
              </w:rPr>
            </w:pPr>
            <w:r w:rsidRPr="00C9036A">
              <w:rPr>
                <w:rFonts w:eastAsia="Calibri" w:cs="Arial"/>
                <w:sz w:val="18"/>
                <w:szCs w:val="18"/>
              </w:rPr>
              <w:t xml:space="preserve">Amended to reflect recent changes to the scheme such as the additional force majeure reporting obligations contained in the latest ‘Electricity transmission network service providers - Service target performance incentive scheme’ released by the AER in September 2014. </w:t>
            </w:r>
          </w:p>
          <w:p w:rsidR="00BF7D97" w:rsidRDefault="00BF7D97" w:rsidP="00F43C3B">
            <w:pPr>
              <w:jc w:val="both"/>
              <w:rPr>
                <w:rFonts w:eastAsia="Calibri" w:cs="Arial"/>
                <w:sz w:val="18"/>
                <w:szCs w:val="18"/>
              </w:rPr>
            </w:pPr>
            <w:r w:rsidRPr="00C9036A">
              <w:rPr>
                <w:rFonts w:eastAsia="Calibri" w:cs="Arial"/>
                <w:sz w:val="18"/>
                <w:szCs w:val="18"/>
              </w:rPr>
              <w:t xml:space="preserve">The specific clause reference in the compliance review section has also been removed to reflect the fact that different versions of the scheme currently apply to different TNSPs. </w:t>
            </w:r>
          </w:p>
          <w:p w:rsidR="00C9036A" w:rsidRPr="00C9036A" w:rsidRDefault="00C9036A" w:rsidP="00F43C3B">
            <w:pPr>
              <w:jc w:val="both"/>
              <w:rPr>
                <w:rFonts w:eastAsia="Calibri" w:cs="Arial"/>
                <w:sz w:val="18"/>
                <w:szCs w:val="18"/>
              </w:rPr>
            </w:pPr>
          </w:p>
          <w:p w:rsidR="00BF7D97" w:rsidRPr="00C9036A" w:rsidRDefault="00BF7D97" w:rsidP="00F43C3B">
            <w:pPr>
              <w:jc w:val="right"/>
              <w:rPr>
                <w:rFonts w:eastAsia="Calibri" w:cs="Arial"/>
                <w:sz w:val="18"/>
                <w:szCs w:val="18"/>
              </w:rPr>
            </w:pPr>
          </w:p>
        </w:tc>
      </w:tr>
      <w:tr w:rsidR="00F43C3B" w:rsidRPr="00C9036A" w:rsidTr="00F43C3B">
        <w:tc>
          <w:tcPr>
            <w:tcW w:w="4621" w:type="dxa"/>
            <w:shd w:val="clear" w:color="auto" w:fill="auto"/>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Clause 3.5 – Service performance information (publication and disclosure of information)</w:t>
            </w:r>
          </w:p>
        </w:tc>
        <w:tc>
          <w:tcPr>
            <w:tcW w:w="4621" w:type="dxa"/>
            <w:shd w:val="clear" w:color="auto" w:fill="auto"/>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This clause does not reflect the AER’s approach to dealing with confidential information as set out in the AER’s Confidentiality Guideline.</w:t>
            </w:r>
          </w:p>
        </w:tc>
      </w:tr>
      <w:tr w:rsidR="00F43C3B" w:rsidRPr="00C9036A" w:rsidTr="00F43C3B">
        <w:tc>
          <w:tcPr>
            <w:tcW w:w="4621" w:type="dxa"/>
            <w:shd w:val="clear" w:color="auto" w:fill="DBE5F1"/>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 xml:space="preserve">Clause 4.10 – (Customer contributions) - reference to Urgent Issues Group's Abstract 17 </w:t>
            </w:r>
            <w:r w:rsidRPr="00C9036A">
              <w:rPr>
                <w:rFonts w:eastAsia="Calibri" w:cs="Arial"/>
                <w:sz w:val="18"/>
                <w:szCs w:val="18"/>
              </w:rPr>
              <w:lastRenderedPageBreak/>
              <w:t>'</w:t>
            </w:r>
            <w:r w:rsidRPr="00C9036A">
              <w:rPr>
                <w:rStyle w:val="AERtextitalic"/>
                <w:rFonts w:eastAsia="Calibri" w:cs="Arial"/>
                <w:sz w:val="18"/>
                <w:szCs w:val="18"/>
              </w:rPr>
              <w:t>Developer and Customer Contributions in Price Regulated Industries</w:t>
            </w:r>
            <w:r w:rsidRPr="00C9036A">
              <w:rPr>
                <w:rFonts w:eastAsia="Calibri" w:cs="Arial"/>
                <w:sz w:val="18"/>
                <w:szCs w:val="18"/>
              </w:rPr>
              <w:t>'</w:t>
            </w:r>
          </w:p>
        </w:tc>
        <w:tc>
          <w:tcPr>
            <w:tcW w:w="4621" w:type="dxa"/>
            <w:shd w:val="clear" w:color="auto" w:fill="DBE5F1"/>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lastRenderedPageBreak/>
              <w:t xml:space="preserve">The Urgent Issues Group’s Abstract 17 was updated and replaced with Urgent Issues Group’s </w:t>
            </w:r>
            <w:r w:rsidRPr="00C9036A">
              <w:rPr>
                <w:rFonts w:eastAsia="Calibri" w:cs="Arial"/>
                <w:sz w:val="18"/>
                <w:szCs w:val="18"/>
              </w:rPr>
              <w:lastRenderedPageBreak/>
              <w:t>Interpretation 1017, ‘</w:t>
            </w:r>
            <w:r w:rsidRPr="00C9036A">
              <w:rPr>
                <w:rStyle w:val="AERtextitalic"/>
                <w:rFonts w:eastAsia="Calibri" w:cs="Arial"/>
                <w:sz w:val="18"/>
                <w:szCs w:val="18"/>
              </w:rPr>
              <w:t>Developer and Customer Contributions for Connection to a Price Regulated Network</w:t>
            </w:r>
            <w:r w:rsidRPr="00C9036A">
              <w:rPr>
                <w:rFonts w:eastAsia="Calibri" w:cs="Arial"/>
                <w:sz w:val="18"/>
                <w:szCs w:val="18"/>
              </w:rPr>
              <w:t>’ in November 2004.</w:t>
            </w:r>
          </w:p>
        </w:tc>
      </w:tr>
      <w:tr w:rsidR="00F43C3B" w:rsidRPr="00C9036A" w:rsidTr="00F43C3B">
        <w:tc>
          <w:tcPr>
            <w:tcW w:w="4621" w:type="dxa"/>
            <w:shd w:val="clear" w:color="auto" w:fill="auto"/>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lastRenderedPageBreak/>
              <w:t>Clause 4.14 – Related party transactions - reference to director’s responsibility statement</w:t>
            </w:r>
          </w:p>
        </w:tc>
        <w:tc>
          <w:tcPr>
            <w:tcW w:w="4621" w:type="dxa"/>
            <w:shd w:val="clear" w:color="auto" w:fill="auto"/>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Consistent with the AER's approach for electricity DNSPs and gas businesses only a statutory declaration by an ‘</w:t>
            </w:r>
            <w:r w:rsidRPr="00C9036A">
              <w:rPr>
                <w:rStyle w:val="AERtextitalic"/>
                <w:rFonts w:eastAsia="Calibri" w:cs="Arial"/>
                <w:sz w:val="18"/>
                <w:szCs w:val="18"/>
              </w:rPr>
              <w:t>officer</w:t>
            </w:r>
            <w:r w:rsidRPr="00C9036A">
              <w:rPr>
                <w:rFonts w:eastAsia="Calibri" w:cs="Arial"/>
                <w:sz w:val="18"/>
                <w:szCs w:val="18"/>
              </w:rPr>
              <w:t>’ (as defined under the NEL) of the TNSP is required for annual reporting assurance purposes.</w:t>
            </w:r>
          </w:p>
        </w:tc>
      </w:tr>
      <w:tr w:rsidR="00F43C3B" w:rsidRPr="00C9036A" w:rsidTr="00F43C3B">
        <w:tc>
          <w:tcPr>
            <w:tcW w:w="4621" w:type="dxa"/>
            <w:shd w:val="clear" w:color="auto" w:fill="DBE5F1"/>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Clause 4.15 – Third party benefits - reference to director’s responsibility statement</w:t>
            </w:r>
          </w:p>
        </w:tc>
        <w:tc>
          <w:tcPr>
            <w:tcW w:w="4621" w:type="dxa"/>
            <w:shd w:val="clear" w:color="auto" w:fill="DBE5F1"/>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Consistent with the AER's approach for electricity DNSPs and gas businesses only a statutory declaration by an ‘</w:t>
            </w:r>
            <w:r w:rsidRPr="00C9036A">
              <w:rPr>
                <w:rStyle w:val="AERtextitalic"/>
                <w:rFonts w:eastAsia="Calibri" w:cs="Arial"/>
                <w:sz w:val="18"/>
                <w:szCs w:val="18"/>
              </w:rPr>
              <w:t>officer</w:t>
            </w:r>
            <w:r w:rsidRPr="00C9036A">
              <w:rPr>
                <w:rFonts w:eastAsia="Calibri" w:cs="Arial"/>
                <w:sz w:val="18"/>
                <w:szCs w:val="18"/>
              </w:rPr>
              <w:t>’ (as defined under the NEL) of the TNSP is required for annual reporting assurance purposes.</w:t>
            </w:r>
          </w:p>
        </w:tc>
      </w:tr>
      <w:tr w:rsidR="00F43C3B" w:rsidRPr="00C9036A" w:rsidTr="00F43C3B">
        <w:tc>
          <w:tcPr>
            <w:tcW w:w="4621" w:type="dxa"/>
            <w:shd w:val="clear" w:color="auto" w:fill="auto"/>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Clause 4.16 – Financing transactions - reference to director’s responsibility statement</w:t>
            </w:r>
          </w:p>
        </w:tc>
        <w:tc>
          <w:tcPr>
            <w:tcW w:w="4621" w:type="dxa"/>
            <w:shd w:val="clear" w:color="auto" w:fill="auto"/>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Consistent with the AER's approach for electricity DNSPs and gas businesses only a statutory declaration by an ‘</w:t>
            </w:r>
            <w:r w:rsidRPr="00C9036A">
              <w:rPr>
                <w:rStyle w:val="AERtextitalic"/>
                <w:rFonts w:eastAsia="Calibri" w:cs="Arial"/>
                <w:sz w:val="18"/>
                <w:szCs w:val="18"/>
              </w:rPr>
              <w:t>officer</w:t>
            </w:r>
            <w:r w:rsidRPr="00C9036A">
              <w:rPr>
                <w:rFonts w:eastAsia="Calibri" w:cs="Arial"/>
                <w:sz w:val="18"/>
                <w:szCs w:val="18"/>
              </w:rPr>
              <w:t>’ (as defined under the NEL) of the TNSP is required for annual reporting assurance purposes.</w:t>
            </w:r>
          </w:p>
        </w:tc>
      </w:tr>
      <w:tr w:rsidR="00F43C3B" w:rsidRPr="00C9036A" w:rsidTr="00F43C3B">
        <w:tc>
          <w:tcPr>
            <w:tcW w:w="4621" w:type="dxa"/>
            <w:shd w:val="clear" w:color="auto" w:fill="DBE5F1"/>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Appendix C – Example of directors’ responsibility statement</w:t>
            </w:r>
          </w:p>
        </w:tc>
        <w:tc>
          <w:tcPr>
            <w:tcW w:w="4621" w:type="dxa"/>
            <w:shd w:val="clear" w:color="auto" w:fill="DBE5F1"/>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Consistent with the AER's approach for electricity DNSPs and gas businesses only a statutory declaration by an ‘</w:t>
            </w:r>
            <w:r w:rsidRPr="00C9036A">
              <w:rPr>
                <w:rStyle w:val="AERtextitalic"/>
                <w:rFonts w:eastAsia="Calibri" w:cs="Arial"/>
                <w:sz w:val="18"/>
                <w:szCs w:val="18"/>
              </w:rPr>
              <w:t>officer</w:t>
            </w:r>
            <w:r w:rsidRPr="00C9036A">
              <w:rPr>
                <w:rFonts w:eastAsia="Calibri" w:cs="Arial"/>
                <w:sz w:val="18"/>
                <w:szCs w:val="18"/>
              </w:rPr>
              <w:t xml:space="preserve">’ (as defined under the NEL) of the TNSP is required for annual reporting assurance purposes. </w:t>
            </w:r>
          </w:p>
        </w:tc>
      </w:tr>
      <w:tr w:rsidR="00F43C3B" w:rsidRPr="00C9036A" w:rsidTr="00F43C3B">
        <w:tc>
          <w:tcPr>
            <w:tcW w:w="4621" w:type="dxa"/>
            <w:shd w:val="clear" w:color="auto" w:fill="auto"/>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Appendix D – Example of regulatory audit reports</w:t>
            </w:r>
          </w:p>
        </w:tc>
        <w:tc>
          <w:tcPr>
            <w:tcW w:w="4621" w:type="dxa"/>
            <w:shd w:val="clear" w:color="auto" w:fill="auto"/>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 xml:space="preserve">Consistent with the AER's approach for electricity DNSPs and gas businesses no example audit reports are required to be included in the Information Guideline. </w:t>
            </w:r>
          </w:p>
        </w:tc>
      </w:tr>
      <w:tr w:rsidR="00F43C3B" w:rsidRPr="00C9036A" w:rsidTr="00F43C3B">
        <w:tc>
          <w:tcPr>
            <w:tcW w:w="4621" w:type="dxa"/>
            <w:shd w:val="clear" w:color="auto" w:fill="DBE5F1"/>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Glossary - Definition of 'Corporations Act'</w:t>
            </w:r>
          </w:p>
        </w:tc>
        <w:tc>
          <w:tcPr>
            <w:tcW w:w="4621" w:type="dxa"/>
            <w:shd w:val="clear" w:color="auto" w:fill="DBE5F1"/>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This term has been inserted into the glossary in order to more accurately reference the relevant legislation.</w:t>
            </w:r>
          </w:p>
        </w:tc>
      </w:tr>
      <w:tr w:rsidR="00F43C3B" w:rsidRPr="00C9036A" w:rsidTr="00F43C3B">
        <w:tc>
          <w:tcPr>
            <w:tcW w:w="4621" w:type="dxa"/>
            <w:shd w:val="clear" w:color="auto" w:fill="auto"/>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Glossary - Definition of 'Directors' responsibility statement'</w:t>
            </w:r>
          </w:p>
        </w:tc>
        <w:tc>
          <w:tcPr>
            <w:tcW w:w="4621" w:type="dxa"/>
            <w:shd w:val="clear" w:color="auto" w:fill="auto"/>
            <w:vAlign w:val="center"/>
          </w:tcPr>
          <w:p w:rsidR="00BF7D97"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Consistent with the AER's approach for electricity DNSPs and gas businesses only a statutory declaration by an ‘</w:t>
            </w:r>
            <w:r w:rsidRPr="00C9036A">
              <w:rPr>
                <w:rStyle w:val="AERtextitalic"/>
                <w:rFonts w:eastAsia="Calibri" w:cs="Arial"/>
                <w:sz w:val="18"/>
                <w:szCs w:val="18"/>
              </w:rPr>
              <w:t>officer</w:t>
            </w:r>
            <w:r w:rsidRPr="00C9036A">
              <w:rPr>
                <w:rFonts w:eastAsia="Calibri" w:cs="Arial"/>
                <w:sz w:val="18"/>
                <w:szCs w:val="18"/>
              </w:rPr>
              <w:t>’ (as defined under the NEL) of the TNSP is required for annual reporting assurance purposes.</w:t>
            </w:r>
          </w:p>
          <w:p w:rsidR="008A5C04" w:rsidRDefault="008A5C04" w:rsidP="008A5C04">
            <w:pPr>
              <w:pStyle w:val="AERbodytext"/>
              <w:spacing w:before="120" w:after="240" w:line="288" w:lineRule="auto"/>
              <w:jc w:val="both"/>
              <w:rPr>
                <w:rFonts w:eastAsia="Calibri" w:cs="Arial"/>
                <w:sz w:val="18"/>
                <w:szCs w:val="18"/>
              </w:rPr>
            </w:pPr>
          </w:p>
          <w:p w:rsidR="008A5C04" w:rsidRPr="00C9036A" w:rsidRDefault="008A5C04" w:rsidP="008A5C04">
            <w:pPr>
              <w:pStyle w:val="AERbodytext"/>
              <w:spacing w:before="120" w:after="240" w:line="288" w:lineRule="auto"/>
              <w:jc w:val="both"/>
              <w:rPr>
                <w:rFonts w:eastAsia="Calibri" w:cs="Arial"/>
                <w:sz w:val="18"/>
                <w:szCs w:val="18"/>
              </w:rPr>
            </w:pPr>
          </w:p>
        </w:tc>
      </w:tr>
      <w:tr w:rsidR="00F43C3B" w:rsidRPr="00C9036A" w:rsidTr="00F43C3B">
        <w:tc>
          <w:tcPr>
            <w:tcW w:w="4621" w:type="dxa"/>
            <w:shd w:val="clear" w:color="auto" w:fill="DBE5F1"/>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lastRenderedPageBreak/>
              <w:t>Glossary - Definition of 'Review of financial reports' reference to Australian Auditing Standard AUS 902</w:t>
            </w:r>
          </w:p>
          <w:p w:rsidR="00C73060" w:rsidRPr="00C9036A" w:rsidRDefault="00C73060" w:rsidP="00F43C3B">
            <w:pPr>
              <w:pStyle w:val="AERbodytext"/>
              <w:spacing w:before="120" w:after="240" w:line="288" w:lineRule="auto"/>
              <w:jc w:val="both"/>
              <w:rPr>
                <w:rFonts w:eastAsia="Calibri" w:cs="Arial"/>
                <w:sz w:val="18"/>
                <w:szCs w:val="18"/>
              </w:rPr>
            </w:pPr>
          </w:p>
          <w:p w:rsidR="00C73060" w:rsidRPr="00C9036A" w:rsidRDefault="00C73060" w:rsidP="00F43C3B">
            <w:pPr>
              <w:pStyle w:val="AERbodytext"/>
              <w:spacing w:before="120" w:after="240" w:line="288" w:lineRule="auto"/>
              <w:jc w:val="both"/>
              <w:rPr>
                <w:rFonts w:eastAsia="Calibri" w:cs="Arial"/>
                <w:sz w:val="18"/>
                <w:szCs w:val="18"/>
              </w:rPr>
            </w:pPr>
          </w:p>
        </w:tc>
        <w:tc>
          <w:tcPr>
            <w:tcW w:w="4621" w:type="dxa"/>
            <w:shd w:val="clear" w:color="auto" w:fill="DBE5F1"/>
            <w:vAlign w:val="center"/>
          </w:tcPr>
          <w:p w:rsidR="00C73060" w:rsidRPr="00C9036A" w:rsidRDefault="00BF7D97" w:rsidP="008A5C04">
            <w:pPr>
              <w:pStyle w:val="AERbodytext"/>
              <w:numPr>
                <w:ilvl w:val="0"/>
                <w:numId w:val="17"/>
              </w:numPr>
              <w:spacing w:before="120" w:after="240" w:line="288" w:lineRule="auto"/>
              <w:jc w:val="both"/>
              <w:rPr>
                <w:rStyle w:val="AERbody"/>
                <w:rFonts w:ascii="Arial" w:eastAsia="Calibri" w:hAnsi="Arial" w:cs="Arial"/>
                <w:sz w:val="18"/>
                <w:szCs w:val="18"/>
              </w:rPr>
            </w:pPr>
            <w:r w:rsidRPr="008A5C04">
              <w:rPr>
                <w:rStyle w:val="AERbody"/>
                <w:rFonts w:ascii="Arial" w:eastAsia="Calibri" w:hAnsi="Arial" w:cs="Arial"/>
                <w:sz w:val="18"/>
                <w:szCs w:val="18"/>
              </w:rPr>
              <w:t xml:space="preserve">The reference to the specific auditing standard has been replaced with a more generic reference. </w:t>
            </w:r>
          </w:p>
        </w:tc>
      </w:tr>
      <w:tr w:rsidR="00F43C3B" w:rsidRPr="00C9036A" w:rsidTr="00F43C3B">
        <w:tc>
          <w:tcPr>
            <w:tcW w:w="4621" w:type="dxa"/>
            <w:shd w:val="clear" w:color="auto" w:fill="auto"/>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References to certain terms contained in various clauses throughout the Information Guideline and minor typographical amendments.</w:t>
            </w:r>
          </w:p>
        </w:tc>
        <w:tc>
          <w:tcPr>
            <w:tcW w:w="4621" w:type="dxa"/>
            <w:shd w:val="clear" w:color="auto" w:fill="auto"/>
            <w:vAlign w:val="center"/>
          </w:tcPr>
          <w:p w:rsidR="00BF7D97" w:rsidRPr="00C9036A" w:rsidRDefault="00BF7D97" w:rsidP="008E712F">
            <w:pPr>
              <w:pStyle w:val="AERbodytext"/>
              <w:numPr>
                <w:ilvl w:val="0"/>
                <w:numId w:val="11"/>
              </w:numPr>
              <w:spacing w:before="120" w:after="240" w:line="288" w:lineRule="auto"/>
              <w:jc w:val="both"/>
              <w:rPr>
                <w:rFonts w:eastAsia="Calibri" w:cs="Arial"/>
                <w:sz w:val="18"/>
                <w:szCs w:val="18"/>
              </w:rPr>
            </w:pPr>
            <w:r w:rsidRPr="00C9036A">
              <w:rPr>
                <w:rFonts w:eastAsia="Calibri" w:cs="Arial"/>
                <w:sz w:val="18"/>
                <w:szCs w:val="18"/>
              </w:rPr>
              <w:t xml:space="preserve">Certain terms (e.g. NEMMCO, Trade Practices Act 1974, </w:t>
            </w:r>
            <w:proofErr w:type="gramStart"/>
            <w:r w:rsidRPr="00C9036A">
              <w:rPr>
                <w:rFonts w:eastAsia="Calibri" w:cs="Arial"/>
                <w:sz w:val="18"/>
                <w:szCs w:val="18"/>
              </w:rPr>
              <w:t>SP</w:t>
            </w:r>
            <w:proofErr w:type="gramEnd"/>
            <w:r w:rsidRPr="00C9036A">
              <w:rPr>
                <w:rFonts w:eastAsia="Calibri" w:cs="Arial"/>
                <w:sz w:val="18"/>
                <w:szCs w:val="18"/>
              </w:rPr>
              <w:t xml:space="preserve"> AusNet Services) are now out of date and have been updated.  New terms (e.g. Regulatory Information Instrument have also been inserted into various clauses consistent with the other proposed amendments. In addition, minor typographical amendments have been made.</w:t>
            </w:r>
          </w:p>
        </w:tc>
      </w:tr>
      <w:bookmarkEnd w:id="23"/>
      <w:bookmarkEnd w:id="24"/>
      <w:bookmarkEnd w:id="25"/>
    </w:tbl>
    <w:p w:rsidR="00BF7D97" w:rsidRPr="00C9036A" w:rsidRDefault="00BF7D97" w:rsidP="008E712F">
      <w:pPr>
        <w:pStyle w:val="AERbodytext"/>
        <w:numPr>
          <w:ilvl w:val="0"/>
          <w:numId w:val="17"/>
        </w:numPr>
        <w:spacing w:before="0" w:after="240" w:line="288" w:lineRule="auto"/>
        <w:jc w:val="both"/>
        <w:rPr>
          <w:rFonts w:cs="Arial"/>
        </w:rPr>
      </w:pPr>
    </w:p>
    <w:sectPr w:rsidR="00BF7D97" w:rsidRPr="00C9036A" w:rsidSect="00C73060">
      <w:headerReference w:type="even" r:id="rId22"/>
      <w:footerReference w:type="default" r:id="rId23"/>
      <w:pgSz w:w="11906" w:h="16838" w:code="9"/>
      <w:pgMar w:top="1440" w:right="1797" w:bottom="1134" w:left="179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D7E" w:rsidRDefault="00750D7E">
      <w:r>
        <w:separator/>
      </w:r>
    </w:p>
    <w:p w:rsidR="00750D7E" w:rsidRDefault="00750D7E"/>
    <w:p w:rsidR="00750D7E" w:rsidRDefault="00750D7E"/>
    <w:p w:rsidR="00750D7E" w:rsidRDefault="00750D7E"/>
    <w:p w:rsidR="00750D7E" w:rsidRDefault="00750D7E"/>
    <w:p w:rsidR="00750D7E" w:rsidRDefault="00750D7E"/>
  </w:endnote>
  <w:endnote w:type="continuationSeparator" w:id="0">
    <w:p w:rsidR="00750D7E" w:rsidRDefault="00750D7E">
      <w:r>
        <w:continuationSeparator/>
      </w:r>
    </w:p>
    <w:p w:rsidR="00750D7E" w:rsidRDefault="00750D7E"/>
    <w:p w:rsidR="00750D7E" w:rsidRDefault="00750D7E"/>
    <w:p w:rsidR="00750D7E" w:rsidRDefault="00750D7E"/>
    <w:p w:rsidR="00750D7E" w:rsidRDefault="00750D7E"/>
    <w:p w:rsidR="00750D7E" w:rsidRDefault="00750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NeueLTStd-Lt">
    <w:panose1 w:val="00000000000000000000"/>
    <w:charset w:val="00"/>
    <w:family w:val="auto"/>
    <w:notTrueType/>
    <w:pitch w:val="default"/>
    <w:sig w:usb0="00000003" w:usb1="00000000" w:usb2="00000000" w:usb3="00000000" w:csb0="00000001" w:csb1="00000000"/>
  </w:font>
  <w:font w:name="HelveticaNeueLTStd-Bd">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7E" w:rsidRDefault="00750D7E" w:rsidP="006868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7E" w:rsidRDefault="00750D7E" w:rsidP="00733A1D">
    <w:pPr>
      <w:pStyle w:val="Footer"/>
    </w:pPr>
    <w:r>
      <w:tab/>
    </w:r>
    <w:r>
      <w:rPr>
        <w:rStyle w:val="PageNumber"/>
      </w:rPr>
      <w:fldChar w:fldCharType="begin"/>
    </w:r>
    <w:r>
      <w:rPr>
        <w:rStyle w:val="PageNumber"/>
      </w:rPr>
      <w:instrText xml:space="preserve"> PAGE </w:instrText>
    </w:r>
    <w:r>
      <w:rPr>
        <w:rStyle w:val="PageNumber"/>
      </w:rPr>
      <w:fldChar w:fldCharType="separate"/>
    </w:r>
    <w:r w:rsidR="00DA56E3">
      <w:rPr>
        <w:rStyle w:val="PageNumber"/>
        <w:noProof/>
      </w:rPr>
      <w:t>iv</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7E" w:rsidRDefault="00750D7E" w:rsidP="00733A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C3B" w:rsidRPr="00F43C3B" w:rsidRDefault="00F43C3B" w:rsidP="00F43C3B">
    <w:pPr>
      <w:pStyle w:val="Footer"/>
      <w:rPr>
        <w:rFonts w:ascii="Gautami" w:eastAsia="Calibri" w:hAnsi="Gautami"/>
      </w:rPr>
    </w:pPr>
    <w:r>
      <w:fldChar w:fldCharType="begin"/>
    </w:r>
    <w:r>
      <w:instrText xml:space="preserve"> PAGE   \* MERGEFORMAT </w:instrText>
    </w:r>
    <w:r>
      <w:fldChar w:fldCharType="separate"/>
    </w:r>
    <w:r w:rsidR="00DA56E3">
      <w:rPr>
        <w:noProof/>
      </w:rPr>
      <w:t>14</w:t>
    </w:r>
    <w:r>
      <w:fldChar w:fldCharType="end"/>
    </w:r>
    <w:r>
      <w:t xml:space="preserve"> </w:t>
    </w:r>
    <w:r w:rsidRPr="00F43C3B">
      <w:rPr>
        <w:rFonts w:ascii="Gautami" w:eastAsia="Calibri" w:hAnsi="Gautami"/>
      </w:rPr>
      <w:t xml:space="preserve">Electricity Transmission Network Service Providers - Information Guideline </w:t>
    </w:r>
    <w:r w:rsidRPr="00F43C3B">
      <w:rPr>
        <w:rFonts w:ascii="Gautami" w:eastAsia="Calibri" w:hAnsi="Gautami"/>
        <w:color w:val="365F91"/>
      </w:rPr>
      <w:t>|</w:t>
    </w:r>
    <w:r w:rsidRPr="00F43C3B">
      <w:rPr>
        <w:rFonts w:ascii="Gautami" w:eastAsia="Calibri" w:hAnsi="Gautami"/>
        <w:color w:val="E36C0A"/>
      </w:rPr>
      <w:t xml:space="preserve"> Draft Explanatory Statement</w:t>
    </w:r>
    <w:r w:rsidRPr="00F43C3B">
      <w:rPr>
        <w:rFonts w:ascii="Gautami" w:eastAsia="Calibri" w:hAnsi="Gautami"/>
        <w:color w:val="365F91"/>
      </w:rPr>
      <w:t xml:space="preserve"> | </w:t>
    </w:r>
  </w:p>
  <w:p w:rsidR="00F43C3B" w:rsidRDefault="00F43C3B">
    <w:pPr>
      <w:pStyle w:val="Footer"/>
    </w:pPr>
  </w:p>
  <w:p w:rsidR="00750D7E" w:rsidRDefault="00750D7E" w:rsidP="00C406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D7E" w:rsidRDefault="00750D7E" w:rsidP="009D7E7E">
      <w:r>
        <w:separator/>
      </w:r>
    </w:p>
  </w:footnote>
  <w:footnote w:type="continuationSeparator" w:id="0">
    <w:p w:rsidR="00750D7E" w:rsidRDefault="00750D7E">
      <w:r>
        <w:continuationSeparator/>
      </w:r>
    </w:p>
    <w:p w:rsidR="00750D7E" w:rsidRDefault="00750D7E"/>
    <w:p w:rsidR="00750D7E" w:rsidRDefault="00750D7E"/>
    <w:p w:rsidR="00750D7E" w:rsidRDefault="00750D7E"/>
    <w:p w:rsidR="00750D7E" w:rsidRDefault="00750D7E"/>
    <w:p w:rsidR="00750D7E" w:rsidRDefault="00750D7E"/>
  </w:footnote>
  <w:footnote w:id="1">
    <w:p w:rsidR="00750D7E" w:rsidRDefault="00750D7E" w:rsidP="00750D7E">
      <w:pPr>
        <w:pStyle w:val="FootnoteText"/>
      </w:pPr>
      <w:r>
        <w:rPr>
          <w:rStyle w:val="FootnoteReference"/>
        </w:rPr>
        <w:footnoteRef/>
      </w:r>
      <w:r>
        <w:t xml:space="preserve"> </w:t>
      </w:r>
      <w:r>
        <w:tab/>
      </w:r>
      <w:proofErr w:type="gramStart"/>
      <w:r w:rsidRPr="00B3578D">
        <w:t>NEL, s.28F.</w:t>
      </w:r>
      <w:proofErr w:type="gramEnd"/>
    </w:p>
  </w:footnote>
  <w:footnote w:id="2">
    <w:p w:rsidR="00750D7E" w:rsidRDefault="00750D7E" w:rsidP="00750D7E">
      <w:pPr>
        <w:pStyle w:val="FootnoteText"/>
      </w:pPr>
      <w:r>
        <w:rPr>
          <w:rStyle w:val="FootnoteReference"/>
        </w:rPr>
        <w:footnoteRef/>
      </w:r>
      <w:r>
        <w:t xml:space="preserve"> </w:t>
      </w:r>
      <w:r>
        <w:tab/>
        <w:t xml:space="preserve">The guideline is available at </w:t>
      </w:r>
      <w:hyperlink r:id="rId1" w:history="1">
        <w:r w:rsidRPr="00145926">
          <w:rPr>
            <w:rStyle w:val="Hyperlink"/>
          </w:rPr>
          <w:t>http://www.aer.gov.au/node/10809</w:t>
        </w:r>
      </w:hyperlink>
      <w:r>
        <w:rPr>
          <w:rStyle w:val="Hyperlink"/>
        </w:rPr>
        <w:t>.</w:t>
      </w:r>
      <w:r>
        <w:t xml:space="preserve"> </w:t>
      </w:r>
    </w:p>
  </w:footnote>
  <w:footnote w:id="3">
    <w:p w:rsidR="00750D7E" w:rsidRDefault="00750D7E" w:rsidP="00750D7E">
      <w:pPr>
        <w:pStyle w:val="FootnoteText"/>
      </w:pPr>
      <w:r>
        <w:rPr>
          <w:rStyle w:val="FootnoteReference"/>
        </w:rPr>
        <w:footnoteRef/>
      </w:r>
      <w:r>
        <w:t xml:space="preserve"> </w:t>
      </w:r>
      <w:r>
        <w:tab/>
        <w:t xml:space="preserve">NER, cl. 6A.17.2(c), cl. </w:t>
      </w:r>
      <w:proofErr w:type="gramStart"/>
      <w:r>
        <w:t>6A.17.2(</w:t>
      </w:r>
      <w:proofErr w:type="spellStart"/>
      <w:proofErr w:type="gramEnd"/>
      <w:r>
        <w:t>i</w:t>
      </w:r>
      <w:proofErr w:type="spellEnd"/>
      <w:r>
        <w:t>).</w:t>
      </w:r>
    </w:p>
  </w:footnote>
  <w:footnote w:id="4">
    <w:p w:rsidR="00750D7E" w:rsidRDefault="00750D7E" w:rsidP="00750D7E">
      <w:pPr>
        <w:pStyle w:val="FootnoteText"/>
      </w:pPr>
      <w:r>
        <w:rPr>
          <w:rStyle w:val="FootnoteReference"/>
        </w:rPr>
        <w:footnoteRef/>
      </w:r>
      <w:r>
        <w:t xml:space="preserve"> </w:t>
      </w:r>
      <w:r>
        <w:tab/>
        <w:t xml:space="preserve">The Better Regulation program was aimed at enhancing the AER's approach to network regulation and occurred throughout 2013 resulting in the publication of a series of </w:t>
      </w:r>
      <w:r w:rsidRPr="00143355">
        <w:t>guidelines</w:t>
      </w:r>
      <w:r>
        <w:t xml:space="preserve">. More information about the Better Regulation program can be found on the AER's website at </w:t>
      </w:r>
      <w:hyperlink r:id="rId2" w:history="1">
        <w:r w:rsidRPr="002768C0">
          <w:rPr>
            <w:rStyle w:val="Hyperlink"/>
          </w:rPr>
          <w:t>http://www.aer.gov.au/Better-regulation-reform-program</w:t>
        </w:r>
      </w:hyperlink>
      <w:r>
        <w:t xml:space="preserve">. </w:t>
      </w:r>
    </w:p>
  </w:footnote>
  <w:footnote w:id="5">
    <w:p w:rsidR="00750D7E" w:rsidRDefault="00750D7E" w:rsidP="00750D7E">
      <w:pPr>
        <w:pStyle w:val="FootnoteText"/>
      </w:pPr>
      <w:r>
        <w:rPr>
          <w:rStyle w:val="FootnoteReference"/>
        </w:rPr>
        <w:footnoteRef/>
      </w:r>
      <w:r>
        <w:t xml:space="preserve"> </w:t>
      </w:r>
      <w:r>
        <w:tab/>
        <w:t xml:space="preserve">The guideline can be found here - </w:t>
      </w:r>
      <w:hyperlink r:id="rId3" w:history="1">
        <w:r w:rsidRPr="002768C0">
          <w:rPr>
            <w:rStyle w:val="Hyperlink"/>
          </w:rPr>
          <w:t>http://www.aer.gov.au/node/18864</w:t>
        </w:r>
      </w:hyperlink>
      <w:r>
        <w:t xml:space="preserve">. </w:t>
      </w:r>
    </w:p>
  </w:footnote>
  <w:footnote w:id="6">
    <w:p w:rsidR="00750D7E" w:rsidRDefault="00750D7E" w:rsidP="00750D7E">
      <w:pPr>
        <w:pStyle w:val="FootnoteText"/>
      </w:pPr>
      <w:r>
        <w:rPr>
          <w:rStyle w:val="FootnoteReference"/>
        </w:rPr>
        <w:footnoteRef/>
      </w:r>
      <w:r>
        <w:t xml:space="preserve"> </w:t>
      </w:r>
      <w:r>
        <w:tab/>
      </w:r>
      <w:proofErr w:type="gramStart"/>
      <w:r>
        <w:t>NEL, s.7.</w:t>
      </w:r>
      <w:proofErr w:type="gramEnd"/>
    </w:p>
  </w:footnote>
  <w:footnote w:id="7">
    <w:p w:rsidR="00750D7E" w:rsidRDefault="00750D7E" w:rsidP="00750D7E">
      <w:pPr>
        <w:pStyle w:val="FootnoteText"/>
      </w:pPr>
      <w:r>
        <w:rPr>
          <w:rStyle w:val="FootnoteReference"/>
        </w:rPr>
        <w:footnoteRef/>
      </w:r>
      <w:r>
        <w:t xml:space="preserve"> </w:t>
      </w:r>
      <w:r>
        <w:tab/>
        <w:t>Generally, this information must be provided to the AER by the end of October each year.</w:t>
      </w:r>
    </w:p>
  </w:footnote>
  <w:footnote w:id="8">
    <w:p w:rsidR="00750D7E" w:rsidRPr="00CD647B" w:rsidRDefault="00750D7E" w:rsidP="00750D7E">
      <w:pPr>
        <w:pStyle w:val="FootnoteText"/>
      </w:pPr>
      <w:r>
        <w:rPr>
          <w:rStyle w:val="FootnoteReference"/>
        </w:rPr>
        <w:footnoteRef/>
      </w:r>
      <w:r>
        <w:t xml:space="preserve"> </w:t>
      </w:r>
      <w:r>
        <w:tab/>
      </w:r>
      <w:r w:rsidRPr="00CD647B">
        <w:t>The guideline</w:t>
      </w:r>
      <w:r>
        <w:t xml:space="preserve"> is</w:t>
      </w:r>
      <w:r w:rsidRPr="00CD647B">
        <w:t xml:space="preserve"> available at </w:t>
      </w:r>
      <w:hyperlink r:id="rId4" w:history="1">
        <w:r w:rsidRPr="00CD647B">
          <w:rPr>
            <w:rStyle w:val="Hyperlink"/>
          </w:rPr>
          <w:t>http://www.aer.gov.au/node/10809</w:t>
        </w:r>
      </w:hyperlink>
      <w:r w:rsidRPr="00CD647B">
        <w:t xml:space="preserve"> </w:t>
      </w:r>
    </w:p>
  </w:footnote>
  <w:footnote w:id="9">
    <w:p w:rsidR="00750D7E" w:rsidRPr="00D22BB9" w:rsidRDefault="00750D7E" w:rsidP="00750D7E">
      <w:pPr>
        <w:pStyle w:val="FootnoteText"/>
      </w:pPr>
      <w:r>
        <w:rPr>
          <w:rStyle w:val="FootnoteReference"/>
        </w:rPr>
        <w:footnoteRef/>
      </w:r>
      <w:r>
        <w:t xml:space="preserve"> </w:t>
      </w:r>
      <w:r>
        <w:tab/>
      </w:r>
      <w:proofErr w:type="gramStart"/>
      <w:r>
        <w:t>NER, c</w:t>
      </w:r>
      <w:r w:rsidRPr="00D22BB9">
        <w:t>l. 6A.17.1 (a).</w:t>
      </w:r>
      <w:proofErr w:type="gramEnd"/>
    </w:p>
    <w:p w:rsidR="00750D7E" w:rsidRDefault="00750D7E" w:rsidP="00750D7E">
      <w:pPr>
        <w:pStyle w:val="FootnoteText"/>
      </w:pPr>
    </w:p>
  </w:footnote>
  <w:footnote w:id="10">
    <w:p w:rsidR="00750D7E" w:rsidRDefault="00750D7E" w:rsidP="00750D7E">
      <w:pPr>
        <w:pStyle w:val="FootnoteText"/>
      </w:pPr>
      <w:r>
        <w:rPr>
          <w:rStyle w:val="FootnoteReference"/>
        </w:rPr>
        <w:footnoteRef/>
      </w:r>
      <w:r>
        <w:t xml:space="preserve"> </w:t>
      </w:r>
      <w:r>
        <w:tab/>
        <w:t xml:space="preserve">NER, cl. </w:t>
      </w:r>
      <w:proofErr w:type="gramStart"/>
      <w:r>
        <w:t>6A.17.2(</w:t>
      </w:r>
      <w:proofErr w:type="spellStart"/>
      <w:proofErr w:type="gramEnd"/>
      <w:r>
        <w:t>i</w:t>
      </w:r>
      <w:proofErr w:type="spellEnd"/>
      <w:r>
        <w:t>).</w:t>
      </w:r>
    </w:p>
  </w:footnote>
  <w:footnote w:id="11">
    <w:p w:rsidR="00750D7E" w:rsidRPr="00CD647B" w:rsidRDefault="00750D7E" w:rsidP="00750D7E">
      <w:pPr>
        <w:pStyle w:val="FootnoteText"/>
      </w:pPr>
      <w:r>
        <w:rPr>
          <w:rStyle w:val="FootnoteReference"/>
        </w:rPr>
        <w:footnoteRef/>
      </w:r>
      <w:r>
        <w:t xml:space="preserve"> </w:t>
      </w:r>
      <w:r>
        <w:tab/>
      </w:r>
      <w:r w:rsidRPr="00CD647B">
        <w:t xml:space="preserve">NER, cl. </w:t>
      </w:r>
      <w:proofErr w:type="gramStart"/>
      <w:r w:rsidRPr="00CD647B">
        <w:t>6A.17.2(</w:t>
      </w:r>
      <w:proofErr w:type="gramEnd"/>
      <w:r w:rsidRPr="00CD647B">
        <w:t>d).</w:t>
      </w:r>
    </w:p>
  </w:footnote>
  <w:footnote w:id="12">
    <w:p w:rsidR="00750D7E" w:rsidRDefault="00750D7E" w:rsidP="00750D7E">
      <w:pPr>
        <w:pStyle w:val="FootnoteText"/>
      </w:pPr>
      <w:r>
        <w:rPr>
          <w:rStyle w:val="FootnoteReference"/>
        </w:rPr>
        <w:footnoteRef/>
      </w:r>
      <w:r>
        <w:t xml:space="preserve"> </w:t>
      </w:r>
      <w:r>
        <w:tab/>
        <w:t xml:space="preserve">See </w:t>
      </w:r>
      <w:hyperlink r:id="rId5" w:history="1">
        <w:r w:rsidRPr="00EE2177">
          <w:rPr>
            <w:rStyle w:val="Hyperlink"/>
            <w:rFonts w:cs="Gautami"/>
            <w:szCs w:val="16"/>
          </w:rPr>
          <w:t>https://www.aer.gov.au/node/21843</w:t>
        </w:r>
      </w:hyperlink>
      <w:r>
        <w:t xml:space="preserve">. </w:t>
      </w:r>
    </w:p>
  </w:footnote>
  <w:footnote w:id="13">
    <w:p w:rsidR="00750D7E" w:rsidRPr="00FD6E5C" w:rsidRDefault="00750D7E" w:rsidP="00750D7E">
      <w:pPr>
        <w:pStyle w:val="FootnoteText"/>
      </w:pPr>
      <w:r w:rsidRPr="00810150">
        <w:rPr>
          <w:rStyle w:val="FootnoteReference"/>
        </w:rPr>
        <w:footnoteRef/>
      </w:r>
      <w:r>
        <w:t xml:space="preserve"> </w:t>
      </w:r>
      <w:r>
        <w:tab/>
      </w:r>
      <w:r w:rsidRPr="00FA1724">
        <w:t xml:space="preserve">See AER, </w:t>
      </w:r>
      <w:r w:rsidRPr="00FA1724">
        <w:rPr>
          <w:i/>
        </w:rPr>
        <w:t xml:space="preserve">Explanatory </w:t>
      </w:r>
      <w:r w:rsidRPr="00DE7C43">
        <w:rPr>
          <w:i/>
        </w:rPr>
        <w:t>Statement to Expenditure Forecast Assessment Guideline</w:t>
      </w:r>
      <w:r w:rsidRPr="00DE7C43">
        <w:t xml:space="preserve">, November 2013, p.104 which noted that while </w:t>
      </w:r>
      <w:r w:rsidRPr="00936D17">
        <w:t xml:space="preserve">interconnectors </w:t>
      </w:r>
      <w:r w:rsidRPr="00AE3532">
        <w:t xml:space="preserve">would not be included in the AER’s </w:t>
      </w:r>
      <w:r w:rsidRPr="000373CE">
        <w:t>economic benchmarking dataset the AER would still be issuing RINs to gather data for resets when they arise.</w:t>
      </w:r>
    </w:p>
  </w:footnote>
  <w:footnote w:id="14">
    <w:p w:rsidR="00750D7E" w:rsidRPr="006901A5" w:rsidRDefault="00750D7E" w:rsidP="00750D7E">
      <w:pPr>
        <w:pStyle w:val="FootnoteText"/>
      </w:pPr>
      <w:r>
        <w:rPr>
          <w:rStyle w:val="FootnoteReference"/>
        </w:rPr>
        <w:footnoteRef/>
      </w:r>
      <w:r>
        <w:t xml:space="preserve"> </w:t>
      </w:r>
      <w:r>
        <w:tab/>
        <w:t xml:space="preserve">All TNSPs were required to provide this response by 31 October 2014 with the exception of </w:t>
      </w:r>
      <w:r w:rsidRPr="00750D7E">
        <w:t xml:space="preserve">AusNet Services. AusNet Services' financial year ends on 31 </w:t>
      </w:r>
      <w:proofErr w:type="gramStart"/>
      <w:r w:rsidRPr="00750D7E">
        <w:t>March,</w:t>
      </w:r>
      <w:proofErr w:type="gramEnd"/>
      <w:r w:rsidRPr="00750D7E">
        <w:t xml:space="preserve"> and their reporting date is 31 July each year. </w:t>
      </w:r>
    </w:p>
  </w:footnote>
  <w:footnote w:id="15">
    <w:p w:rsidR="00BF7D97" w:rsidRDefault="00BF7D97" w:rsidP="00BF7D97">
      <w:pPr>
        <w:pStyle w:val="FootnoteText"/>
      </w:pPr>
      <w:r>
        <w:rPr>
          <w:rStyle w:val="FootnoteReference"/>
        </w:rPr>
        <w:footnoteRef/>
      </w:r>
      <w:r>
        <w:t xml:space="preserve"> </w:t>
      </w:r>
      <w:r>
        <w:tab/>
        <w:t>NER, c</w:t>
      </w:r>
      <w:r w:rsidRPr="00D22BB9">
        <w:t>l. 6A.17.1 (a)</w:t>
      </w:r>
      <w:r>
        <w:t xml:space="preserve">, cl. </w:t>
      </w:r>
      <w:proofErr w:type="gramStart"/>
      <w:r>
        <w:t>6A.17.2(</w:t>
      </w:r>
      <w:proofErr w:type="spellStart"/>
      <w:proofErr w:type="gramEnd"/>
      <w:r>
        <w:t>i</w:t>
      </w:r>
      <w:proofErr w:type="spellEnd"/>
      <w:r>
        <w:t>).</w:t>
      </w:r>
    </w:p>
  </w:footnote>
  <w:footnote w:id="16">
    <w:p w:rsidR="00BF7D97" w:rsidRDefault="00BF7D97" w:rsidP="00BF7D97">
      <w:pPr>
        <w:pStyle w:val="FootnoteText"/>
      </w:pPr>
      <w:r>
        <w:rPr>
          <w:rStyle w:val="FootnoteReference"/>
        </w:rPr>
        <w:footnoteRef/>
      </w:r>
      <w:r>
        <w:t xml:space="preserve"> </w:t>
      </w:r>
      <w:r>
        <w:tab/>
      </w:r>
      <w:proofErr w:type="gramStart"/>
      <w:r>
        <w:t>NEL, s.7.</w:t>
      </w:r>
      <w:proofErr w:type="gramEnd"/>
    </w:p>
  </w:footnote>
  <w:footnote w:id="17">
    <w:p w:rsidR="00BF7D97" w:rsidRDefault="00BF7D97" w:rsidP="00BF7D97">
      <w:pPr>
        <w:pStyle w:val="FootnoteText"/>
      </w:pPr>
      <w:r>
        <w:rPr>
          <w:rStyle w:val="FootnoteReference"/>
        </w:rPr>
        <w:footnoteRef/>
      </w:r>
      <w:r>
        <w:t xml:space="preserve"> </w:t>
      </w:r>
      <w:r>
        <w:tab/>
      </w:r>
      <w:proofErr w:type="gramStart"/>
      <w:r>
        <w:t>NEL, s.2.</w:t>
      </w:r>
      <w:proofErr w:type="gramEnd"/>
      <w:r>
        <w:t xml:space="preserve"> </w:t>
      </w:r>
      <w:r w:rsidRPr="007552DC">
        <w:t xml:space="preserve">This term has the same meaning as s.9 of the </w:t>
      </w:r>
      <w:r w:rsidRPr="003D055B">
        <w:rPr>
          <w:rStyle w:val="AERtextitalic"/>
        </w:rPr>
        <w:t>Corporations Act 2001</w:t>
      </w:r>
      <w:r w:rsidRPr="007552DC">
        <w:t xml:space="preserve"> and includes a company director, company secretary, a person who makes (or participates in) decisions that affect the whole or substantial part of the corporation’s business; or a person who has the capacity to affect significant the corporation’s financial standing.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7E" w:rsidRDefault="00750D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7E" w:rsidRDefault="00750D7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7E" w:rsidRPr="00962097" w:rsidRDefault="00750D7E" w:rsidP="009620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7E" w:rsidRDefault="00750D7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7E" w:rsidRDefault="00750D7E"/>
  <w:p w:rsidR="00750D7E" w:rsidRDefault="00750D7E"/>
  <w:p w:rsidR="00750D7E" w:rsidRDefault="00750D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D31346"/>
    <w:multiLevelType w:val="multilevel"/>
    <w:tmpl w:val="0C09001D"/>
    <w:styleLink w:val="RomanNumeralBulletedList"/>
    <w:lvl w:ilvl="0">
      <w:start w:val="1"/>
      <w:numFmt w:val="lowerRoman"/>
      <w:lvlText w:val="%1)"/>
      <w:lvlJc w:val="left"/>
      <w:pPr>
        <w:ind w:left="360" w:hanging="360"/>
      </w:pPr>
      <w:rPr>
        <w:rFonts w:ascii="Arial" w:hAnsi="Arial"/>
        <w:sz w:val="22"/>
      </w:rPr>
    </w:lvl>
    <w:lvl w:ilvl="1">
      <w:start w:val="2"/>
      <w:numFmt w:val="lowerRoman"/>
      <w:lvlText w:val="%2)"/>
      <w:lvlJc w:val="left"/>
      <w:pPr>
        <w:ind w:left="720" w:hanging="360"/>
      </w:pPr>
      <w:rPr>
        <w:rFonts w:ascii="Arial" w:hAnsi="Arial"/>
        <w:sz w:val="22"/>
      </w:rPr>
    </w:lvl>
    <w:lvl w:ilvl="2">
      <w:start w:val="3"/>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10D220B"/>
    <w:multiLevelType w:val="hybridMultilevel"/>
    <w:tmpl w:val="1B1666FA"/>
    <w:lvl w:ilvl="0" w:tplc="B4DE2F56">
      <w:start w:val="1"/>
      <w:numFmt w:val="bullet"/>
      <w:pStyle w:val="AERbulletlistsecondstyle"/>
      <w:lvlText w:val=""/>
      <w:lvlJc w:val="left"/>
      <w:pPr>
        <w:tabs>
          <w:tab w:val="num" w:pos="513"/>
        </w:tabs>
        <w:ind w:left="513" w:hanging="360"/>
      </w:pPr>
      <w:rPr>
        <w:rFonts w:ascii="Wingdings" w:hAnsi="Wingdings" w:hint="default"/>
        <w:b w:val="0"/>
        <w:i w:val="0"/>
        <w:caps w:val="0"/>
        <w:strike w:val="0"/>
        <w:dstrike w:val="0"/>
        <w:outline w:val="0"/>
        <w:shadow w:val="0"/>
        <w:emboss w:val="0"/>
        <w:imprint w:val="0"/>
        <w:vanish w:val="0"/>
        <w:color w:val="auto"/>
        <w:sz w:val="24"/>
        <w:vertAlign w:val="baseline"/>
      </w:rPr>
    </w:lvl>
    <w:lvl w:ilvl="1" w:tplc="0C090003" w:tentative="1">
      <w:start w:val="1"/>
      <w:numFmt w:val="bullet"/>
      <w:lvlText w:val="o"/>
      <w:lvlJc w:val="left"/>
      <w:pPr>
        <w:tabs>
          <w:tab w:val="num" w:pos="1593"/>
        </w:tabs>
        <w:ind w:left="1593" w:hanging="360"/>
      </w:pPr>
      <w:rPr>
        <w:rFonts w:ascii="Courier New" w:hAnsi="Courier New" w:cs="Courier New" w:hint="default"/>
      </w:rPr>
    </w:lvl>
    <w:lvl w:ilvl="2" w:tplc="0C090005" w:tentative="1">
      <w:start w:val="1"/>
      <w:numFmt w:val="bullet"/>
      <w:lvlText w:val=""/>
      <w:lvlJc w:val="left"/>
      <w:pPr>
        <w:tabs>
          <w:tab w:val="num" w:pos="2313"/>
        </w:tabs>
        <w:ind w:left="2313" w:hanging="360"/>
      </w:pPr>
      <w:rPr>
        <w:rFonts w:ascii="Wingdings" w:hAnsi="Wingdings" w:hint="default"/>
      </w:rPr>
    </w:lvl>
    <w:lvl w:ilvl="3" w:tplc="0C090001" w:tentative="1">
      <w:start w:val="1"/>
      <w:numFmt w:val="bullet"/>
      <w:lvlText w:val=""/>
      <w:lvlJc w:val="left"/>
      <w:pPr>
        <w:tabs>
          <w:tab w:val="num" w:pos="3033"/>
        </w:tabs>
        <w:ind w:left="3033" w:hanging="360"/>
      </w:pPr>
      <w:rPr>
        <w:rFonts w:ascii="Symbol" w:hAnsi="Symbol" w:hint="default"/>
      </w:rPr>
    </w:lvl>
    <w:lvl w:ilvl="4" w:tplc="0C090003" w:tentative="1">
      <w:start w:val="1"/>
      <w:numFmt w:val="bullet"/>
      <w:lvlText w:val="o"/>
      <w:lvlJc w:val="left"/>
      <w:pPr>
        <w:tabs>
          <w:tab w:val="num" w:pos="3753"/>
        </w:tabs>
        <w:ind w:left="3753" w:hanging="360"/>
      </w:pPr>
      <w:rPr>
        <w:rFonts w:ascii="Courier New" w:hAnsi="Courier New" w:cs="Courier New" w:hint="default"/>
      </w:rPr>
    </w:lvl>
    <w:lvl w:ilvl="5" w:tplc="0C090005" w:tentative="1">
      <w:start w:val="1"/>
      <w:numFmt w:val="bullet"/>
      <w:lvlText w:val=""/>
      <w:lvlJc w:val="left"/>
      <w:pPr>
        <w:tabs>
          <w:tab w:val="num" w:pos="4473"/>
        </w:tabs>
        <w:ind w:left="4473" w:hanging="360"/>
      </w:pPr>
      <w:rPr>
        <w:rFonts w:ascii="Wingdings" w:hAnsi="Wingdings" w:hint="default"/>
      </w:rPr>
    </w:lvl>
    <w:lvl w:ilvl="6" w:tplc="0C090001" w:tentative="1">
      <w:start w:val="1"/>
      <w:numFmt w:val="bullet"/>
      <w:lvlText w:val=""/>
      <w:lvlJc w:val="left"/>
      <w:pPr>
        <w:tabs>
          <w:tab w:val="num" w:pos="5193"/>
        </w:tabs>
        <w:ind w:left="5193" w:hanging="360"/>
      </w:pPr>
      <w:rPr>
        <w:rFonts w:ascii="Symbol" w:hAnsi="Symbol" w:hint="default"/>
      </w:rPr>
    </w:lvl>
    <w:lvl w:ilvl="7" w:tplc="0C090003" w:tentative="1">
      <w:start w:val="1"/>
      <w:numFmt w:val="bullet"/>
      <w:lvlText w:val="o"/>
      <w:lvlJc w:val="left"/>
      <w:pPr>
        <w:tabs>
          <w:tab w:val="num" w:pos="5913"/>
        </w:tabs>
        <w:ind w:left="5913" w:hanging="360"/>
      </w:pPr>
      <w:rPr>
        <w:rFonts w:ascii="Courier New" w:hAnsi="Courier New" w:cs="Courier New" w:hint="default"/>
      </w:rPr>
    </w:lvl>
    <w:lvl w:ilvl="8" w:tplc="0C090005" w:tentative="1">
      <w:start w:val="1"/>
      <w:numFmt w:val="bullet"/>
      <w:lvlText w:val=""/>
      <w:lvlJc w:val="left"/>
      <w:pPr>
        <w:tabs>
          <w:tab w:val="num" w:pos="6633"/>
        </w:tabs>
        <w:ind w:left="6633" w:hanging="360"/>
      </w:pPr>
      <w:rPr>
        <w:rFonts w:ascii="Wingdings" w:hAnsi="Wingdings" w:hint="default"/>
      </w:rPr>
    </w:lvl>
  </w:abstractNum>
  <w:abstractNum w:abstractNumId="15">
    <w:nsid w:val="2B127A5F"/>
    <w:multiLevelType w:val="multilevel"/>
    <w:tmpl w:val="51E66EC8"/>
    <w:lvl w:ilvl="0">
      <w:start w:val="1"/>
      <w:numFmt w:val="lowerRoman"/>
      <w:pStyle w:val="AERnumberedlistthirdstyle"/>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01B31FF"/>
    <w:multiLevelType w:val="multilevel"/>
    <w:tmpl w:val="6A0A7C4E"/>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589124A"/>
    <w:multiLevelType w:val="hybridMultilevel"/>
    <w:tmpl w:val="90F2024E"/>
    <w:lvl w:ilvl="0" w:tplc="942020E6">
      <w:start w:val="1"/>
      <w:numFmt w:val="bullet"/>
      <w:pStyle w:val="AERbulletlistthirdstyle"/>
      <w:lvlText w:val="—"/>
      <w:lvlJc w:val="left"/>
      <w:pPr>
        <w:tabs>
          <w:tab w:val="num" w:pos="1080"/>
        </w:tabs>
        <w:ind w:left="1080" w:hanging="360"/>
      </w:pPr>
      <w:rPr>
        <w:rFonts w:ascii="Times New Roman" w:hAnsi="Times New Roman" w:cs="Times New Roman" w:hint="default"/>
        <w:b w:val="0"/>
        <w:i w:val="0"/>
        <w:caps w:val="0"/>
        <w:strike w:val="0"/>
        <w:dstrike w:val="0"/>
        <w:outline w:val="0"/>
        <w:shadow w:val="0"/>
        <w:emboss w:val="0"/>
        <w:imprint w:val="0"/>
        <w:vanish w:val="0"/>
        <w:color w:val="auto"/>
        <w:sz w:val="24"/>
        <w:vertAlign w:val="baseline"/>
      </w:rPr>
    </w:lvl>
    <w:lvl w:ilvl="1" w:tplc="0C090003" w:tentative="1">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0214FA"/>
    <w:multiLevelType w:val="multilevel"/>
    <w:tmpl w:val="13C6FBBE"/>
    <w:lvl w:ilvl="0">
      <w:start w:val="1"/>
      <w:numFmt w:val="decimal"/>
      <w:pStyle w:val="AERheading1"/>
      <w:lvlText w:val="%1."/>
      <w:lvlJc w:val="left"/>
      <w:pPr>
        <w:tabs>
          <w:tab w:val="num" w:pos="720"/>
        </w:tabs>
        <w:ind w:left="720" w:hanging="720"/>
      </w:pPr>
      <w:rPr>
        <w:rFonts w:hint="default"/>
      </w:rPr>
    </w:lvl>
    <w:lvl w:ilvl="1">
      <w:start w:val="1"/>
      <w:numFmt w:val="decimal"/>
      <w:pStyle w:val="AERheading2"/>
      <w:isLgl/>
      <w:lvlText w:val="%1.%2"/>
      <w:lvlJc w:val="left"/>
      <w:pPr>
        <w:tabs>
          <w:tab w:val="num" w:pos="720"/>
        </w:tabs>
        <w:ind w:left="720" w:hanging="720"/>
      </w:pPr>
      <w:rPr>
        <w:rFonts w:hint="default"/>
      </w:rPr>
    </w:lvl>
    <w:lvl w:ilvl="2">
      <w:start w:val="1"/>
      <w:numFmt w:val="decimal"/>
      <w:pStyle w:val="AERheading3"/>
      <w:isLgl/>
      <w:lvlText w:val="%1.%2.%3"/>
      <w:lvlJc w:val="left"/>
      <w:pPr>
        <w:tabs>
          <w:tab w:val="num" w:pos="720"/>
        </w:tabs>
        <w:ind w:left="720" w:hanging="720"/>
      </w:pPr>
      <w:rPr>
        <w:rFonts w:hint="default"/>
      </w:rPr>
    </w:lvl>
    <w:lvl w:ilvl="3">
      <w:start w:val="1"/>
      <w:numFmt w:val="decimal"/>
      <w:lvlText w:val="%1.%2.%3.%4"/>
      <w:lvlJc w:val="left"/>
      <w:pPr>
        <w:tabs>
          <w:tab w:val="num" w:pos="1080"/>
        </w:tabs>
        <w:ind w:left="720" w:hanging="720"/>
      </w:pPr>
      <w:rPr>
        <w:rFonts w:hint="default"/>
      </w:rPr>
    </w:lvl>
    <w:lvl w:ilvl="4">
      <w:start w:val="1"/>
      <w:numFmt w:val="decimal"/>
      <w:isLgl/>
      <w:lvlText w:val="%1.%2.%3.%4.%5"/>
      <w:lvlJc w:val="left"/>
      <w:pPr>
        <w:tabs>
          <w:tab w:val="num" w:pos="144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2">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463813"/>
    <w:multiLevelType w:val="hybridMultilevel"/>
    <w:tmpl w:val="28ACD8E0"/>
    <w:lvl w:ilvl="0" w:tplc="A9BC1C2E">
      <w:start w:val="1"/>
      <w:numFmt w:val="lowerLetter"/>
      <w:pStyle w:val="Tabletextalpha-bullet"/>
      <w:lvlText w:val="%1)"/>
      <w:lvlJc w:val="left"/>
      <w:pPr>
        <w:tabs>
          <w:tab w:val="num" w:pos="360"/>
        </w:tabs>
        <w:ind w:left="360" w:hanging="360"/>
      </w:pPr>
      <w:rPr>
        <w:rFonts w:ascii="Times New Roman" w:eastAsia="Times New Roman" w:hAnsi="Times New Roman" w:cs="Times New Roman"/>
        <w:b w:val="0"/>
        <w:i w:val="0"/>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1131CDC"/>
    <w:multiLevelType w:val="hybridMultilevel"/>
    <w:tmpl w:val="1C369E70"/>
    <w:lvl w:ilvl="0" w:tplc="54F480C6">
      <w:start w:val="1"/>
      <w:numFmt w:val="decimal"/>
      <w:pStyle w:val="AERnumberedlistfirststyl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2E5737D"/>
    <w:multiLevelType w:val="hybridMultilevel"/>
    <w:tmpl w:val="9FC498A4"/>
    <w:lvl w:ilvl="0" w:tplc="E26026E6">
      <w:start w:val="1"/>
      <w:numFmt w:val="bullet"/>
      <w:pStyle w:val="Tabletextbullet"/>
      <w:lvlText w:val=""/>
      <w:lvlJc w:val="left"/>
      <w:pPr>
        <w:tabs>
          <w:tab w:val="num" w:pos="360"/>
        </w:tabs>
        <w:ind w:left="360" w:hanging="360"/>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3A47082"/>
    <w:multiLevelType w:val="hybridMultilevel"/>
    <w:tmpl w:val="005AF0DE"/>
    <w:lvl w:ilvl="0" w:tplc="6C160A54">
      <w:start w:val="1"/>
      <w:numFmt w:val="bullet"/>
      <w:pStyle w:val="AERbulletlistfirststyle"/>
      <w:lvlText w:val=""/>
      <w:lvlJc w:val="left"/>
      <w:pPr>
        <w:tabs>
          <w:tab w:val="num" w:pos="360"/>
        </w:tabs>
        <w:ind w:left="360" w:hanging="360"/>
      </w:pPr>
      <w:rPr>
        <w:rFonts w:ascii="Wingdings" w:hAnsi="Wingdings" w:hint="default"/>
        <w:b w:val="0"/>
        <w:i w:val="0"/>
        <w:caps w:val="0"/>
        <w:strike w:val="0"/>
        <w:dstrike w:val="0"/>
        <w:outline w:val="0"/>
        <w:shadow w:val="0"/>
        <w:emboss w:val="0"/>
        <w:imprint w:val="0"/>
        <w:vanish w:val="0"/>
        <w:color w:val="auto"/>
        <w:sz w:val="28"/>
        <w:vertAlign w:val="baseline"/>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9">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26"/>
  </w:num>
  <w:num w:numId="3">
    <w:abstractNumId w:val="6"/>
  </w:num>
  <w:num w:numId="4">
    <w:abstractNumId w:val="8"/>
  </w:num>
  <w:num w:numId="5">
    <w:abstractNumId w:val="17"/>
  </w:num>
  <w:num w:numId="6">
    <w:abstractNumId w:val="15"/>
  </w:num>
  <w:num w:numId="7">
    <w:abstractNumId w:val="27"/>
  </w:num>
  <w:num w:numId="8">
    <w:abstractNumId w:val="19"/>
  </w:num>
  <w:num w:numId="9">
    <w:abstractNumId w:val="14"/>
  </w:num>
  <w:num w:numId="10">
    <w:abstractNumId w:val="24"/>
  </w:num>
  <w:num w:numId="11">
    <w:abstractNumId w:val="25"/>
  </w:num>
  <w:num w:numId="12">
    <w:abstractNumId w:val="21"/>
  </w:num>
  <w:num w:numId="13">
    <w:abstractNumId w:val="16"/>
  </w:num>
  <w:num w:numId="14">
    <w:abstractNumId w:val="22"/>
  </w:num>
  <w:num w:numId="15">
    <w:abstractNumId w:val="13"/>
  </w:num>
  <w:num w:numId="16">
    <w:abstractNumId w:val="18"/>
  </w:num>
  <w:num w:numId="17">
    <w:abstractNumId w:val="11"/>
  </w:num>
  <w:num w:numId="18">
    <w:abstractNumId w:val="5"/>
  </w:num>
  <w:num w:numId="19">
    <w:abstractNumId w:val="10"/>
  </w:num>
  <w:num w:numId="20">
    <w:abstractNumId w:val="29"/>
  </w:num>
  <w:num w:numId="21">
    <w:abstractNumId w:val="7"/>
  </w:num>
  <w:num w:numId="22">
    <w:abstractNumId w:val="4"/>
  </w:num>
  <w:num w:numId="23">
    <w:abstractNumId w:val="3"/>
  </w:num>
  <w:num w:numId="24">
    <w:abstractNumId w:val="2"/>
  </w:num>
  <w:num w:numId="25">
    <w:abstractNumId w:val="1"/>
  </w:num>
  <w:num w:numId="26">
    <w:abstractNumId w:val="0"/>
  </w:num>
  <w:num w:numId="27">
    <w:abstractNumId w:val="28"/>
  </w:num>
  <w:num w:numId="28">
    <w:abstractNumId w:val="20"/>
  </w:num>
  <w:num w:numId="29">
    <w:abstractNumId w:val="9"/>
  </w:num>
  <w:num w:numId="30">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noPunctuationKerning/>
  <w:characterSpacingControl w:val="doNotCompress"/>
  <w:hdrShapeDefaults>
    <o:shapedefaults v:ext="edit" spidmax="5836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dchnas-evs02\home$\jpick\Transmission Reporting Framework\Web - Draft\AER Draft explanatory statement for electricity transmission information guideline - December 2014.DOCX"/>
  </w:docVars>
  <w:rsids>
    <w:rsidRoot w:val="00F3093C"/>
    <w:rsid w:val="0002086F"/>
    <w:rsid w:val="00030D00"/>
    <w:rsid w:val="0003470A"/>
    <w:rsid w:val="000605F3"/>
    <w:rsid w:val="0006282B"/>
    <w:rsid w:val="000716FD"/>
    <w:rsid w:val="000824D5"/>
    <w:rsid w:val="00087318"/>
    <w:rsid w:val="00087570"/>
    <w:rsid w:val="00087854"/>
    <w:rsid w:val="00096397"/>
    <w:rsid w:val="000965BE"/>
    <w:rsid w:val="00096901"/>
    <w:rsid w:val="000A086A"/>
    <w:rsid w:val="000B1F8C"/>
    <w:rsid w:val="000B358B"/>
    <w:rsid w:val="000C0A1D"/>
    <w:rsid w:val="000C183D"/>
    <w:rsid w:val="000D7645"/>
    <w:rsid w:val="000E40B5"/>
    <w:rsid w:val="000E72BE"/>
    <w:rsid w:val="000F148F"/>
    <w:rsid w:val="000F7AEE"/>
    <w:rsid w:val="00112F8C"/>
    <w:rsid w:val="001228CA"/>
    <w:rsid w:val="00124229"/>
    <w:rsid w:val="0013201E"/>
    <w:rsid w:val="00136900"/>
    <w:rsid w:val="0015283D"/>
    <w:rsid w:val="001540C2"/>
    <w:rsid w:val="00163C18"/>
    <w:rsid w:val="00164F40"/>
    <w:rsid w:val="00167333"/>
    <w:rsid w:val="001747FC"/>
    <w:rsid w:val="00176896"/>
    <w:rsid w:val="001803BD"/>
    <w:rsid w:val="0018539B"/>
    <w:rsid w:val="0019223B"/>
    <w:rsid w:val="00194840"/>
    <w:rsid w:val="001A23AB"/>
    <w:rsid w:val="001A477E"/>
    <w:rsid w:val="001A6C1E"/>
    <w:rsid w:val="001B4929"/>
    <w:rsid w:val="001C229B"/>
    <w:rsid w:val="001C3551"/>
    <w:rsid w:val="001C5F5A"/>
    <w:rsid w:val="001C6108"/>
    <w:rsid w:val="001E7DD3"/>
    <w:rsid w:val="001F0675"/>
    <w:rsid w:val="00217C4B"/>
    <w:rsid w:val="00220158"/>
    <w:rsid w:val="0022065F"/>
    <w:rsid w:val="002524D0"/>
    <w:rsid w:val="00256B7F"/>
    <w:rsid w:val="00260885"/>
    <w:rsid w:val="00265763"/>
    <w:rsid w:val="00265D26"/>
    <w:rsid w:val="002705CD"/>
    <w:rsid w:val="00272450"/>
    <w:rsid w:val="0027766A"/>
    <w:rsid w:val="002B0F2C"/>
    <w:rsid w:val="002B2AE9"/>
    <w:rsid w:val="002C2927"/>
    <w:rsid w:val="002C59D0"/>
    <w:rsid w:val="002D0980"/>
    <w:rsid w:val="002D67D5"/>
    <w:rsid w:val="002E2A4D"/>
    <w:rsid w:val="002F4B16"/>
    <w:rsid w:val="002F6C67"/>
    <w:rsid w:val="00304532"/>
    <w:rsid w:val="00307B09"/>
    <w:rsid w:val="00321E3D"/>
    <w:rsid w:val="00322394"/>
    <w:rsid w:val="00324296"/>
    <w:rsid w:val="00351EDB"/>
    <w:rsid w:val="0035723A"/>
    <w:rsid w:val="00376FF3"/>
    <w:rsid w:val="00390E83"/>
    <w:rsid w:val="00393A3B"/>
    <w:rsid w:val="003B64B5"/>
    <w:rsid w:val="003C1601"/>
    <w:rsid w:val="003C1AB5"/>
    <w:rsid w:val="003C32B8"/>
    <w:rsid w:val="003C41EF"/>
    <w:rsid w:val="003D370B"/>
    <w:rsid w:val="003E2593"/>
    <w:rsid w:val="0042124F"/>
    <w:rsid w:val="00424601"/>
    <w:rsid w:val="00430453"/>
    <w:rsid w:val="00431267"/>
    <w:rsid w:val="004343E8"/>
    <w:rsid w:val="00434D4B"/>
    <w:rsid w:val="0043548D"/>
    <w:rsid w:val="00441582"/>
    <w:rsid w:val="0045006C"/>
    <w:rsid w:val="00454877"/>
    <w:rsid w:val="004570FF"/>
    <w:rsid w:val="0047657B"/>
    <w:rsid w:val="004A1E39"/>
    <w:rsid w:val="004A4A4F"/>
    <w:rsid w:val="004C1328"/>
    <w:rsid w:val="004D2C81"/>
    <w:rsid w:val="004D7512"/>
    <w:rsid w:val="004E1085"/>
    <w:rsid w:val="004E5CCF"/>
    <w:rsid w:val="004F1C79"/>
    <w:rsid w:val="004F721B"/>
    <w:rsid w:val="00510132"/>
    <w:rsid w:val="00516F38"/>
    <w:rsid w:val="00522655"/>
    <w:rsid w:val="00542378"/>
    <w:rsid w:val="00551814"/>
    <w:rsid w:val="00553D45"/>
    <w:rsid w:val="00564F81"/>
    <w:rsid w:val="005871EC"/>
    <w:rsid w:val="005A125D"/>
    <w:rsid w:val="005A228E"/>
    <w:rsid w:val="005A47BF"/>
    <w:rsid w:val="005B1024"/>
    <w:rsid w:val="005B18CC"/>
    <w:rsid w:val="005B4148"/>
    <w:rsid w:val="005C0A61"/>
    <w:rsid w:val="005D376A"/>
    <w:rsid w:val="005E5612"/>
    <w:rsid w:val="005F64A1"/>
    <w:rsid w:val="0062379E"/>
    <w:rsid w:val="006261A1"/>
    <w:rsid w:val="00641727"/>
    <w:rsid w:val="00644A89"/>
    <w:rsid w:val="00645030"/>
    <w:rsid w:val="00661110"/>
    <w:rsid w:val="00666172"/>
    <w:rsid w:val="00686895"/>
    <w:rsid w:val="006A6A68"/>
    <w:rsid w:val="006B2747"/>
    <w:rsid w:val="006C39D8"/>
    <w:rsid w:val="006D6A68"/>
    <w:rsid w:val="006E0326"/>
    <w:rsid w:val="006E4990"/>
    <w:rsid w:val="007018B0"/>
    <w:rsid w:val="007075E6"/>
    <w:rsid w:val="007114A8"/>
    <w:rsid w:val="00711C3B"/>
    <w:rsid w:val="00713BE4"/>
    <w:rsid w:val="007153F2"/>
    <w:rsid w:val="0072070B"/>
    <w:rsid w:val="00720C87"/>
    <w:rsid w:val="007273B6"/>
    <w:rsid w:val="00730D3F"/>
    <w:rsid w:val="00733A1D"/>
    <w:rsid w:val="007349F0"/>
    <w:rsid w:val="00750D7E"/>
    <w:rsid w:val="00765E0D"/>
    <w:rsid w:val="0077396E"/>
    <w:rsid w:val="00792C4F"/>
    <w:rsid w:val="00793119"/>
    <w:rsid w:val="00795806"/>
    <w:rsid w:val="0079684D"/>
    <w:rsid w:val="00796986"/>
    <w:rsid w:val="007A4D40"/>
    <w:rsid w:val="007A50D9"/>
    <w:rsid w:val="007C1D8F"/>
    <w:rsid w:val="007C20B7"/>
    <w:rsid w:val="007D28A7"/>
    <w:rsid w:val="007D2EBC"/>
    <w:rsid w:val="007D652C"/>
    <w:rsid w:val="007E3CC4"/>
    <w:rsid w:val="007E42B9"/>
    <w:rsid w:val="007E645D"/>
    <w:rsid w:val="007F25D5"/>
    <w:rsid w:val="007F3AF7"/>
    <w:rsid w:val="007F4347"/>
    <w:rsid w:val="007F5FF5"/>
    <w:rsid w:val="0080300C"/>
    <w:rsid w:val="00804122"/>
    <w:rsid w:val="00804DAB"/>
    <w:rsid w:val="008216CF"/>
    <w:rsid w:val="00823651"/>
    <w:rsid w:val="00824B5F"/>
    <w:rsid w:val="0082540A"/>
    <w:rsid w:val="00831674"/>
    <w:rsid w:val="00836688"/>
    <w:rsid w:val="0084608D"/>
    <w:rsid w:val="008619D3"/>
    <w:rsid w:val="008747B4"/>
    <w:rsid w:val="00875A38"/>
    <w:rsid w:val="00885757"/>
    <w:rsid w:val="00891CFE"/>
    <w:rsid w:val="00896AB4"/>
    <w:rsid w:val="008A5700"/>
    <w:rsid w:val="008A5C04"/>
    <w:rsid w:val="008A7E51"/>
    <w:rsid w:val="008B1FA7"/>
    <w:rsid w:val="008B2D07"/>
    <w:rsid w:val="008B3144"/>
    <w:rsid w:val="008B3A22"/>
    <w:rsid w:val="008D1207"/>
    <w:rsid w:val="008D46B8"/>
    <w:rsid w:val="008E712F"/>
    <w:rsid w:val="008E7F06"/>
    <w:rsid w:val="008F42F5"/>
    <w:rsid w:val="00910403"/>
    <w:rsid w:val="0091646E"/>
    <w:rsid w:val="00916E34"/>
    <w:rsid w:val="00923E34"/>
    <w:rsid w:val="00926503"/>
    <w:rsid w:val="00951160"/>
    <w:rsid w:val="00954B87"/>
    <w:rsid w:val="00957175"/>
    <w:rsid w:val="00962097"/>
    <w:rsid w:val="009624A5"/>
    <w:rsid w:val="00970E05"/>
    <w:rsid w:val="00972D35"/>
    <w:rsid w:val="00975648"/>
    <w:rsid w:val="00994812"/>
    <w:rsid w:val="009A1436"/>
    <w:rsid w:val="009A3F46"/>
    <w:rsid w:val="009A4787"/>
    <w:rsid w:val="009B55E5"/>
    <w:rsid w:val="009C26B8"/>
    <w:rsid w:val="009C2780"/>
    <w:rsid w:val="009C407D"/>
    <w:rsid w:val="009D7E7E"/>
    <w:rsid w:val="00A05291"/>
    <w:rsid w:val="00A1169A"/>
    <w:rsid w:val="00A14B63"/>
    <w:rsid w:val="00A150B7"/>
    <w:rsid w:val="00A20421"/>
    <w:rsid w:val="00A23CA0"/>
    <w:rsid w:val="00A300A1"/>
    <w:rsid w:val="00A365F9"/>
    <w:rsid w:val="00A42ED6"/>
    <w:rsid w:val="00A522DA"/>
    <w:rsid w:val="00A77A59"/>
    <w:rsid w:val="00AA0722"/>
    <w:rsid w:val="00AA3758"/>
    <w:rsid w:val="00AA5162"/>
    <w:rsid w:val="00AB77C2"/>
    <w:rsid w:val="00AD48E8"/>
    <w:rsid w:val="00AE48A5"/>
    <w:rsid w:val="00AE6E52"/>
    <w:rsid w:val="00AF6CD7"/>
    <w:rsid w:val="00B03B25"/>
    <w:rsid w:val="00B15900"/>
    <w:rsid w:val="00B26648"/>
    <w:rsid w:val="00B27A03"/>
    <w:rsid w:val="00B306F1"/>
    <w:rsid w:val="00B4446B"/>
    <w:rsid w:val="00B52436"/>
    <w:rsid w:val="00B64036"/>
    <w:rsid w:val="00B730BB"/>
    <w:rsid w:val="00B73A96"/>
    <w:rsid w:val="00B853FD"/>
    <w:rsid w:val="00B9221F"/>
    <w:rsid w:val="00B94952"/>
    <w:rsid w:val="00B95B7F"/>
    <w:rsid w:val="00B97E0E"/>
    <w:rsid w:val="00BB09D1"/>
    <w:rsid w:val="00BB0F0C"/>
    <w:rsid w:val="00BB7309"/>
    <w:rsid w:val="00BC16E2"/>
    <w:rsid w:val="00BC3D79"/>
    <w:rsid w:val="00BD05F7"/>
    <w:rsid w:val="00BF7D97"/>
    <w:rsid w:val="00C04079"/>
    <w:rsid w:val="00C044C9"/>
    <w:rsid w:val="00C07496"/>
    <w:rsid w:val="00C11796"/>
    <w:rsid w:val="00C17787"/>
    <w:rsid w:val="00C20B53"/>
    <w:rsid w:val="00C247EC"/>
    <w:rsid w:val="00C25526"/>
    <w:rsid w:val="00C4068D"/>
    <w:rsid w:val="00C47011"/>
    <w:rsid w:val="00C72E18"/>
    <w:rsid w:val="00C73060"/>
    <w:rsid w:val="00C75CFF"/>
    <w:rsid w:val="00C76117"/>
    <w:rsid w:val="00C9036A"/>
    <w:rsid w:val="00CB385A"/>
    <w:rsid w:val="00CB7BBF"/>
    <w:rsid w:val="00CC1D40"/>
    <w:rsid w:val="00CC6E9A"/>
    <w:rsid w:val="00CE3740"/>
    <w:rsid w:val="00CF1F87"/>
    <w:rsid w:val="00D0264F"/>
    <w:rsid w:val="00D149F0"/>
    <w:rsid w:val="00D1723F"/>
    <w:rsid w:val="00D21138"/>
    <w:rsid w:val="00D2490E"/>
    <w:rsid w:val="00D2722F"/>
    <w:rsid w:val="00D31433"/>
    <w:rsid w:val="00D326F7"/>
    <w:rsid w:val="00D4541C"/>
    <w:rsid w:val="00D525DE"/>
    <w:rsid w:val="00D5314A"/>
    <w:rsid w:val="00D53A60"/>
    <w:rsid w:val="00D56C7E"/>
    <w:rsid w:val="00D573C0"/>
    <w:rsid w:val="00D70763"/>
    <w:rsid w:val="00D82780"/>
    <w:rsid w:val="00D83281"/>
    <w:rsid w:val="00D861BF"/>
    <w:rsid w:val="00D8646A"/>
    <w:rsid w:val="00D92635"/>
    <w:rsid w:val="00D97517"/>
    <w:rsid w:val="00DA56E3"/>
    <w:rsid w:val="00DA771C"/>
    <w:rsid w:val="00DB0C02"/>
    <w:rsid w:val="00DD0944"/>
    <w:rsid w:val="00DD37A1"/>
    <w:rsid w:val="00DF38DE"/>
    <w:rsid w:val="00DF3B58"/>
    <w:rsid w:val="00DF51CF"/>
    <w:rsid w:val="00E0032C"/>
    <w:rsid w:val="00E01AD3"/>
    <w:rsid w:val="00E057C0"/>
    <w:rsid w:val="00E11559"/>
    <w:rsid w:val="00E14920"/>
    <w:rsid w:val="00E17011"/>
    <w:rsid w:val="00E217A0"/>
    <w:rsid w:val="00E219BB"/>
    <w:rsid w:val="00E22BF8"/>
    <w:rsid w:val="00E24C2D"/>
    <w:rsid w:val="00E32B24"/>
    <w:rsid w:val="00E430B1"/>
    <w:rsid w:val="00E613D9"/>
    <w:rsid w:val="00E8212A"/>
    <w:rsid w:val="00EA1A0A"/>
    <w:rsid w:val="00EA44C5"/>
    <w:rsid w:val="00EA6222"/>
    <w:rsid w:val="00EB2219"/>
    <w:rsid w:val="00EC6E02"/>
    <w:rsid w:val="00ED5E35"/>
    <w:rsid w:val="00EE29D0"/>
    <w:rsid w:val="00EE349B"/>
    <w:rsid w:val="00EE4088"/>
    <w:rsid w:val="00EE6E90"/>
    <w:rsid w:val="00EF5A02"/>
    <w:rsid w:val="00F04EC4"/>
    <w:rsid w:val="00F24B97"/>
    <w:rsid w:val="00F2625E"/>
    <w:rsid w:val="00F26BBE"/>
    <w:rsid w:val="00F3093C"/>
    <w:rsid w:val="00F33789"/>
    <w:rsid w:val="00F33B94"/>
    <w:rsid w:val="00F43C3B"/>
    <w:rsid w:val="00F44422"/>
    <w:rsid w:val="00F450ED"/>
    <w:rsid w:val="00F526DA"/>
    <w:rsid w:val="00F64999"/>
    <w:rsid w:val="00F750B5"/>
    <w:rsid w:val="00F8398D"/>
    <w:rsid w:val="00F979AE"/>
    <w:rsid w:val="00FA51BD"/>
    <w:rsid w:val="00FA790F"/>
    <w:rsid w:val="00FB047E"/>
    <w:rsid w:val="00FB4D19"/>
    <w:rsid w:val="00FC0CB8"/>
    <w:rsid w:val="00FC7A2B"/>
    <w:rsid w:val="00FD2699"/>
    <w:rsid w:val="00FD2881"/>
    <w:rsid w:val="00FD473B"/>
    <w:rsid w:val="00FD60DD"/>
    <w:rsid w:val="00FF2DAE"/>
    <w:rsid w:val="00FF424D"/>
    <w:rsid w:val="00FF63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2"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uiPriority="2" w:qFormat="1"/>
    <w:lsdException w:name="header" w:uiPriority="99" w:qFormat="1"/>
    <w:lsdException w:name="footer" w:uiPriority="99" w:qFormat="1"/>
    <w:lsdException w:name="caption" w:uiPriority="35" w:qFormat="1"/>
    <w:lsdException w:name="table of figures" w:uiPriority="99"/>
    <w:lsdException w:name="footnote reference" w:uiPriority="99"/>
    <w:lsdException w:name="endnote reference" w:uiPriority="99"/>
    <w:lsdException w:name="endnote text"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qFormat="1"/>
    <w:lsdException w:name="Default Paragraph Font" w:uiPriority="1"/>
    <w:lsdException w:name="List Continue" w:uiPriority="99"/>
    <w:lsdException w:name="List Continue 2" w:uiPriority="99"/>
    <w:lsdException w:name="List Continue 3" w:uiPriority="99"/>
    <w:lsdException w:name="List Continue 4" w:uiPriority="99"/>
    <w:lsdException w:name="Subtitle" w:uiPriority="11" w:qFormat="1"/>
    <w:lsdException w:name="Body Text 3" w:uiPriority="99"/>
    <w:lsdException w:name="Hyperlink" w:uiPriority="99" w:qFormat="1"/>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56E3"/>
    <w:pPr>
      <w:spacing w:before="200"/>
    </w:pPr>
    <w:rPr>
      <w:rFonts w:ascii="Arial" w:eastAsia="Arial" w:hAnsi="Arial"/>
      <w:sz w:val="22"/>
      <w:szCs w:val="22"/>
      <w:lang w:eastAsia="en-US"/>
    </w:rPr>
  </w:style>
  <w:style w:type="paragraph" w:styleId="Heading1">
    <w:name w:val="heading 1"/>
    <w:basedOn w:val="Normal"/>
    <w:next w:val="Normal"/>
    <w:link w:val="Heading1Char"/>
    <w:qFormat/>
    <w:rsid w:val="00DA56E3"/>
    <w:pPr>
      <w:spacing w:before="240"/>
      <w:outlineLvl w:val="0"/>
    </w:pPr>
    <w:rPr>
      <w:rFonts w:ascii="Lucida Fax" w:eastAsia="Times New Roman" w:hAnsi="Lucida Fax"/>
      <w:bCs/>
      <w:color w:val="51626F"/>
      <w:sz w:val="32"/>
      <w:szCs w:val="28"/>
    </w:rPr>
  </w:style>
  <w:style w:type="paragraph" w:styleId="Heading2">
    <w:name w:val="heading 2"/>
    <w:next w:val="Normal"/>
    <w:link w:val="Heading2Char"/>
    <w:qFormat/>
    <w:rsid w:val="00DA56E3"/>
    <w:pPr>
      <w:spacing w:before="200" w:line="240" w:lineRule="atLeast"/>
      <w:outlineLvl w:val="1"/>
    </w:pPr>
    <w:rPr>
      <w:rFonts w:ascii="Arial" w:hAnsi="Arial"/>
      <w:b/>
      <w:bCs/>
      <w:color w:val="51626F"/>
      <w:sz w:val="28"/>
      <w:szCs w:val="26"/>
      <w:lang w:eastAsia="en-US"/>
    </w:rPr>
  </w:style>
  <w:style w:type="paragraph" w:styleId="Heading3">
    <w:name w:val="heading 3"/>
    <w:basedOn w:val="Normal"/>
    <w:next w:val="Normal"/>
    <w:link w:val="Heading3Char"/>
    <w:qFormat/>
    <w:rsid w:val="00DA56E3"/>
    <w:pPr>
      <w:spacing w:before="240"/>
      <w:outlineLvl w:val="2"/>
    </w:pPr>
    <w:rPr>
      <w:rFonts w:eastAsia="Times New Roman"/>
      <w:b/>
      <w:bCs/>
      <w:color w:val="000000"/>
      <w:sz w:val="24"/>
    </w:rPr>
  </w:style>
  <w:style w:type="paragraph" w:styleId="Heading4">
    <w:name w:val="heading 4"/>
    <w:basedOn w:val="Normal"/>
    <w:next w:val="Normal"/>
    <w:link w:val="Heading4Char"/>
    <w:qFormat/>
    <w:rsid w:val="00DA56E3"/>
    <w:pPr>
      <w:spacing w:before="240"/>
      <w:outlineLvl w:val="3"/>
    </w:pPr>
    <w:rPr>
      <w:rFonts w:eastAsia="Times New Roman"/>
      <w:b/>
      <w:bCs/>
      <w:i/>
      <w:iCs/>
      <w:color w:val="51626F"/>
      <w:sz w:val="24"/>
    </w:rPr>
  </w:style>
  <w:style w:type="paragraph" w:styleId="Heading5">
    <w:name w:val="heading 5"/>
    <w:next w:val="Normal"/>
    <w:link w:val="Heading5Char"/>
    <w:uiPriority w:val="2"/>
    <w:qFormat/>
    <w:rsid w:val="00DA56E3"/>
    <w:pPr>
      <w:spacing w:before="200" w:line="240" w:lineRule="atLeast"/>
      <w:outlineLvl w:val="4"/>
    </w:pPr>
    <w:rPr>
      <w:rFonts w:ascii="Arial" w:hAnsi="Arial"/>
      <w:b/>
      <w:color w:val="283037"/>
      <w:sz w:val="22"/>
      <w:szCs w:val="22"/>
      <w:lang w:eastAsia="en-US"/>
    </w:rPr>
  </w:style>
  <w:style w:type="paragraph" w:styleId="Heading6">
    <w:name w:val="heading 6"/>
    <w:basedOn w:val="Normal"/>
    <w:next w:val="Normal"/>
    <w:link w:val="Heading6Char"/>
    <w:uiPriority w:val="2"/>
    <w:qFormat/>
    <w:rsid w:val="00DA56E3"/>
    <w:pPr>
      <w:spacing w:before="240"/>
      <w:outlineLvl w:val="5"/>
    </w:pPr>
    <w:rPr>
      <w:rFonts w:eastAsia="Times New Roman"/>
      <w:b/>
      <w:i/>
      <w:iCs/>
    </w:rPr>
  </w:style>
  <w:style w:type="paragraph" w:styleId="Heading7">
    <w:name w:val="heading 7"/>
    <w:basedOn w:val="Normal"/>
    <w:next w:val="Normal"/>
    <w:link w:val="Heading7Char"/>
    <w:uiPriority w:val="2"/>
    <w:qFormat/>
    <w:rsid w:val="00DA56E3"/>
    <w:pPr>
      <w:spacing w:before="240"/>
      <w:outlineLvl w:val="6"/>
    </w:pPr>
    <w:rPr>
      <w:rFonts w:eastAsia="Times New Roman"/>
      <w:i/>
      <w:iCs/>
      <w:color w:val="404040"/>
    </w:rPr>
  </w:style>
  <w:style w:type="paragraph" w:styleId="Heading8">
    <w:name w:val="heading 8"/>
    <w:basedOn w:val="Normal"/>
    <w:next w:val="Normal"/>
    <w:link w:val="Heading8Char"/>
    <w:uiPriority w:val="2"/>
    <w:qFormat/>
    <w:rsid w:val="00DA56E3"/>
    <w:pPr>
      <w:spacing w:before="240"/>
      <w:outlineLvl w:val="7"/>
    </w:pPr>
    <w:rPr>
      <w:rFonts w:eastAsia="Times New Roman"/>
      <w:color w:val="51626F"/>
      <w:szCs w:val="20"/>
    </w:rPr>
  </w:style>
  <w:style w:type="paragraph" w:styleId="Heading9">
    <w:name w:val="heading 9"/>
    <w:basedOn w:val="Normal"/>
    <w:next w:val="Normal"/>
    <w:link w:val="Heading9Char"/>
    <w:uiPriority w:val="2"/>
    <w:qFormat/>
    <w:rsid w:val="00DA56E3"/>
    <w:pPr>
      <w:spacing w:before="240"/>
      <w:outlineLvl w:val="8"/>
    </w:pPr>
    <w:rPr>
      <w:rFonts w:eastAsia="Times New Roman"/>
      <w:i/>
      <w:iCs/>
      <w:color w:val="51626F"/>
      <w:szCs w:val="20"/>
    </w:rPr>
  </w:style>
  <w:style w:type="character" w:default="1" w:styleId="DefaultParagraphFont">
    <w:name w:val="Default Paragraph Font"/>
    <w:uiPriority w:val="1"/>
    <w:semiHidden/>
    <w:unhideWhenUsed/>
    <w:rsid w:val="00DA56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56E3"/>
  </w:style>
  <w:style w:type="paragraph" w:styleId="Caption">
    <w:name w:val="caption"/>
    <w:basedOn w:val="Normal"/>
    <w:next w:val="Normal"/>
    <w:uiPriority w:val="35"/>
    <w:unhideWhenUsed/>
    <w:qFormat/>
    <w:rsid w:val="00DA56E3"/>
    <w:pPr>
      <w:spacing w:before="240" w:after="120"/>
    </w:pPr>
    <w:rPr>
      <w:b/>
      <w:bCs/>
      <w:sz w:val="24"/>
      <w:szCs w:val="18"/>
    </w:rPr>
  </w:style>
  <w:style w:type="paragraph" w:styleId="Quote">
    <w:name w:val="Quote"/>
    <w:basedOn w:val="Normal"/>
    <w:next w:val="Normal"/>
    <w:link w:val="QuoteChar"/>
    <w:uiPriority w:val="29"/>
    <w:rsid w:val="00DA56E3"/>
    <w:pPr>
      <w:ind w:left="737"/>
    </w:pPr>
    <w:rPr>
      <w:i/>
      <w:iCs/>
      <w:color w:val="000000"/>
    </w:rPr>
  </w:style>
  <w:style w:type="paragraph" w:customStyle="1" w:styleId="Tabletext">
    <w:name w:val="Table text"/>
    <w:basedOn w:val="Normal"/>
    <w:link w:val="TabletextChar"/>
    <w:uiPriority w:val="1"/>
    <w:qFormat/>
    <w:rsid w:val="00DA56E3"/>
    <w:pPr>
      <w:spacing w:before="120" w:after="60"/>
    </w:pPr>
    <w:rPr>
      <w:sz w:val="20"/>
    </w:rPr>
  </w:style>
  <w:style w:type="paragraph" w:styleId="ListBullet">
    <w:name w:val="List Bullet"/>
    <w:basedOn w:val="Normal"/>
    <w:uiPriority w:val="99"/>
    <w:unhideWhenUsed/>
    <w:rsid w:val="00DA56E3"/>
    <w:pPr>
      <w:numPr>
        <w:numId w:val="28"/>
      </w:numPr>
      <w:spacing w:before="120"/>
      <w:ind w:left="357" w:hanging="357"/>
    </w:pPr>
  </w:style>
  <w:style w:type="paragraph" w:styleId="ListBullet2">
    <w:name w:val="List Bullet 2"/>
    <w:basedOn w:val="Normal"/>
    <w:uiPriority w:val="99"/>
    <w:unhideWhenUsed/>
    <w:rsid w:val="00DA56E3"/>
    <w:pPr>
      <w:numPr>
        <w:numId w:val="21"/>
      </w:numPr>
      <w:spacing w:before="120"/>
      <w:ind w:left="641" w:hanging="357"/>
    </w:pPr>
  </w:style>
  <w:style w:type="paragraph" w:customStyle="1" w:styleId="Tabletextbullet">
    <w:name w:val="Table text bullet"/>
    <w:basedOn w:val="Tabletext"/>
    <w:rsid w:val="00EF5A02"/>
    <w:pPr>
      <w:widowControl w:val="0"/>
      <w:numPr>
        <w:numId w:val="2"/>
      </w:numPr>
      <w:spacing w:before="60"/>
    </w:pPr>
  </w:style>
  <w:style w:type="paragraph" w:customStyle="1" w:styleId="Tabletextalpha-bullet">
    <w:name w:val="Table text alpha-bullet"/>
    <w:basedOn w:val="Tabletextbullet"/>
    <w:rsid w:val="00EF5A02"/>
    <w:pPr>
      <w:numPr>
        <w:numId w:val="1"/>
      </w:numPr>
    </w:pPr>
    <w:rPr>
      <w:sz w:val="24"/>
    </w:rPr>
  </w:style>
  <w:style w:type="paragraph" w:customStyle="1" w:styleId="NormalIndent1">
    <w:name w:val="Normal Indent1"/>
    <w:basedOn w:val="Normal"/>
    <w:rsid w:val="00EF5A02"/>
    <w:pPr>
      <w:ind w:left="360"/>
    </w:pPr>
  </w:style>
  <w:style w:type="paragraph" w:customStyle="1" w:styleId="listarrow">
    <w:name w:val="list arrow"/>
    <w:basedOn w:val="Normal"/>
    <w:autoRedefine/>
    <w:rsid w:val="00EF5A02"/>
    <w:pPr>
      <w:ind w:left="1260" w:hanging="540"/>
    </w:pPr>
    <w:rPr>
      <w:szCs w:val="20"/>
    </w:rPr>
  </w:style>
  <w:style w:type="paragraph" w:styleId="BalloonText">
    <w:name w:val="Balloon Text"/>
    <w:basedOn w:val="Normal"/>
    <w:link w:val="BalloonTextChar"/>
    <w:uiPriority w:val="99"/>
    <w:semiHidden/>
    <w:unhideWhenUsed/>
    <w:rsid w:val="00DA56E3"/>
    <w:pPr>
      <w:spacing w:before="0"/>
    </w:pPr>
    <w:rPr>
      <w:rFonts w:ascii="Tahoma" w:hAnsi="Tahoma" w:cs="Tahoma"/>
      <w:sz w:val="16"/>
      <w:szCs w:val="16"/>
    </w:rPr>
  </w:style>
  <w:style w:type="character" w:styleId="CommentReference">
    <w:name w:val="annotation reference"/>
    <w:semiHidden/>
    <w:rsid w:val="00EF5A02"/>
    <w:rPr>
      <w:sz w:val="16"/>
      <w:szCs w:val="16"/>
    </w:rPr>
  </w:style>
  <w:style w:type="paragraph" w:styleId="CommentText">
    <w:name w:val="annotation text"/>
    <w:basedOn w:val="Normal"/>
    <w:link w:val="CommentTextChar"/>
    <w:rsid w:val="00EF5A02"/>
    <w:pPr>
      <w:spacing w:before="120"/>
    </w:pPr>
    <w:rPr>
      <w:sz w:val="20"/>
      <w:szCs w:val="20"/>
    </w:rPr>
  </w:style>
  <w:style w:type="paragraph" w:styleId="CommentSubject">
    <w:name w:val="annotation subject"/>
    <w:basedOn w:val="CommentText"/>
    <w:next w:val="CommentText"/>
    <w:semiHidden/>
    <w:rsid w:val="00EF5A02"/>
    <w:rPr>
      <w:b/>
      <w:bCs/>
    </w:rPr>
  </w:style>
  <w:style w:type="paragraph" w:customStyle="1" w:styleId="Default">
    <w:name w:val="Default"/>
    <w:rsid w:val="00EF5A02"/>
    <w:pPr>
      <w:autoSpaceDE w:val="0"/>
      <w:autoSpaceDN w:val="0"/>
      <w:adjustRightInd w:val="0"/>
    </w:pPr>
    <w:rPr>
      <w:color w:val="000000"/>
      <w:sz w:val="24"/>
      <w:szCs w:val="24"/>
      <w:lang w:val="en-US" w:eastAsia="en-US"/>
    </w:rPr>
  </w:style>
  <w:style w:type="paragraph" w:styleId="Footer">
    <w:name w:val="footer"/>
    <w:basedOn w:val="Normal"/>
    <w:link w:val="FooterChar"/>
    <w:uiPriority w:val="99"/>
    <w:unhideWhenUsed/>
    <w:qFormat/>
    <w:rsid w:val="00DA56E3"/>
    <w:pPr>
      <w:tabs>
        <w:tab w:val="center" w:pos="4513"/>
        <w:tab w:val="right" w:pos="9026"/>
      </w:tabs>
      <w:spacing w:after="120"/>
    </w:pPr>
    <w:rPr>
      <w:color w:val="51626F"/>
      <w:sz w:val="18"/>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uiPriority w:val="99"/>
    <w:unhideWhenUsed/>
    <w:rsid w:val="00DA56E3"/>
    <w:rPr>
      <w:vertAlign w:val="superscript"/>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rsid w:val="00DA56E3"/>
    <w:pPr>
      <w:spacing w:before="60"/>
    </w:pPr>
    <w:rPr>
      <w:sz w:val="16"/>
      <w:szCs w:val="20"/>
    </w:rPr>
  </w:style>
  <w:style w:type="paragraph" w:styleId="Header">
    <w:name w:val="header"/>
    <w:basedOn w:val="Normal"/>
    <w:link w:val="HeaderChar"/>
    <w:uiPriority w:val="99"/>
    <w:unhideWhenUsed/>
    <w:qFormat/>
    <w:rsid w:val="00DA56E3"/>
    <w:pPr>
      <w:tabs>
        <w:tab w:val="center" w:pos="4513"/>
        <w:tab w:val="right" w:pos="9026"/>
      </w:tabs>
      <w:spacing w:after="120"/>
    </w:pPr>
    <w:rPr>
      <w:color w:val="51626F"/>
      <w:sz w:val="18"/>
    </w:rPr>
  </w:style>
  <w:style w:type="character" w:styleId="Hyperlink">
    <w:name w:val="Hyperlink"/>
    <w:uiPriority w:val="99"/>
    <w:qFormat/>
    <w:rsid w:val="00DA56E3"/>
    <w:rPr>
      <w:rFonts w:ascii="Arial" w:hAnsi="Arial"/>
      <w:color w:val="0000FF"/>
      <w:sz w:val="22"/>
      <w:u w:val="single"/>
    </w:rPr>
  </w:style>
  <w:style w:type="paragraph" w:customStyle="1" w:styleId="listindent">
    <w:name w:val="list indent"/>
    <w:basedOn w:val="listarrow"/>
    <w:rsid w:val="00EF5A02"/>
    <w:pPr>
      <w:ind w:left="720" w:firstLine="0"/>
    </w:pPr>
  </w:style>
  <w:style w:type="paragraph" w:styleId="NormalWeb">
    <w:name w:val="Normal (Web)"/>
    <w:basedOn w:val="Normal"/>
    <w:uiPriority w:val="99"/>
    <w:rsid w:val="00EF5A02"/>
    <w:pPr>
      <w:spacing w:before="100" w:beforeAutospacing="1" w:after="100" w:afterAutospacing="1"/>
    </w:pPr>
    <w:rPr>
      <w:lang w:eastAsia="en-AU"/>
    </w:rPr>
  </w:style>
  <w:style w:type="character" w:styleId="PageNumber">
    <w:name w:val="page number"/>
    <w:rsid w:val="00EF5A02"/>
    <w:rPr>
      <w:rFonts w:ascii="Arial" w:hAnsi="Arial"/>
      <w:sz w:val="20"/>
    </w:rPr>
  </w:style>
  <w:style w:type="table" w:styleId="TableGrid">
    <w:name w:val="Table Grid"/>
    <w:aliases w:val="ACCC Table"/>
    <w:basedOn w:val="TableNormal"/>
    <w:uiPriority w:val="59"/>
    <w:rsid w:val="00DA56E3"/>
    <w:pPr>
      <w:spacing w:before="60" w:after="60"/>
    </w:pPr>
    <w:rPr>
      <w:rFonts w:ascii="Arial" w:eastAsia="Arial" w:hAnsi="Arial"/>
      <w:szCs w:val="22"/>
      <w:lang w:eastAsia="en-US"/>
    </w:rPr>
    <w:tblPr>
      <w:tblInd w:w="0" w:type="dxa"/>
      <w:tblBorders>
        <w:top w:val="single" w:sz="4" w:space="0" w:color="BFBFBF"/>
        <w:bottom w:val="single" w:sz="4" w:space="0" w:color="BFBF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left w:val="nil"/>
          <w:bottom w:val="single" w:sz="4" w:space="0" w:color="BFBF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paragraph" w:styleId="Title">
    <w:name w:val="Title"/>
    <w:basedOn w:val="Normal"/>
    <w:next w:val="Normal"/>
    <w:link w:val="TitleChar"/>
    <w:uiPriority w:val="10"/>
    <w:qFormat/>
    <w:rsid w:val="00DA56E3"/>
    <w:pPr>
      <w:spacing w:before="720" w:after="120"/>
      <w:contextualSpacing/>
      <w:outlineLvl w:val="0"/>
    </w:pPr>
    <w:rPr>
      <w:rFonts w:ascii="Lucida Fax" w:eastAsia="Times New Roman" w:hAnsi="Lucida Fax"/>
      <w:color w:val="4F2D7D"/>
      <w:spacing w:val="5"/>
      <w:kern w:val="28"/>
      <w:sz w:val="72"/>
      <w:szCs w:val="52"/>
    </w:rPr>
  </w:style>
  <w:style w:type="paragraph" w:styleId="TOC1">
    <w:name w:val="toc 1"/>
    <w:basedOn w:val="Normal"/>
    <w:next w:val="Normal"/>
    <w:autoRedefine/>
    <w:uiPriority w:val="39"/>
    <w:qFormat/>
    <w:rsid w:val="00DA56E3"/>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DA56E3"/>
    <w:pPr>
      <w:tabs>
        <w:tab w:val="left" w:pos="880"/>
        <w:tab w:val="right" w:leader="dot" w:pos="9016"/>
      </w:tabs>
      <w:spacing w:after="100"/>
      <w:ind w:left="425"/>
    </w:pPr>
    <w:rPr>
      <w:noProof/>
    </w:rPr>
  </w:style>
  <w:style w:type="paragraph" w:styleId="TOC3">
    <w:name w:val="toc 3"/>
    <w:basedOn w:val="Normal"/>
    <w:next w:val="Normal"/>
    <w:uiPriority w:val="39"/>
    <w:qFormat/>
    <w:rsid w:val="00DA56E3"/>
    <w:pPr>
      <w:tabs>
        <w:tab w:val="left" w:pos="1760"/>
        <w:tab w:val="right" w:leader="dot" w:pos="9016"/>
      </w:tabs>
      <w:spacing w:after="100"/>
      <w:ind w:left="851"/>
    </w:pPr>
    <w:rPr>
      <w:noProof/>
    </w:rPr>
  </w:style>
  <w:style w:type="paragraph" w:styleId="TOC4">
    <w:name w:val="toc 4"/>
    <w:basedOn w:val="Normal"/>
    <w:next w:val="Normal"/>
    <w:uiPriority w:val="39"/>
    <w:rsid w:val="00DA56E3"/>
    <w:pPr>
      <w:tabs>
        <w:tab w:val="right" w:leader="dot" w:pos="9016"/>
      </w:tabs>
      <w:spacing w:after="100"/>
      <w:ind w:left="1276"/>
    </w:pPr>
    <w:rPr>
      <w:noProof/>
    </w:rPr>
  </w:style>
  <w:style w:type="paragraph" w:styleId="TOC5">
    <w:name w:val="toc 5"/>
    <w:basedOn w:val="Normal"/>
    <w:next w:val="Normal"/>
    <w:uiPriority w:val="39"/>
    <w:rsid w:val="00DA56E3"/>
    <w:pPr>
      <w:tabs>
        <w:tab w:val="right" w:leader="dot" w:pos="9016"/>
      </w:tabs>
      <w:spacing w:after="100"/>
      <w:ind w:left="1701"/>
    </w:pPr>
    <w:rPr>
      <w:noProof/>
    </w:rPr>
  </w:style>
  <w:style w:type="paragraph" w:styleId="TOC6">
    <w:name w:val="toc 6"/>
    <w:basedOn w:val="Normal"/>
    <w:next w:val="Normal"/>
    <w:uiPriority w:val="39"/>
    <w:rsid w:val="00DA56E3"/>
    <w:pPr>
      <w:tabs>
        <w:tab w:val="right" w:leader="dot" w:pos="9016"/>
      </w:tabs>
      <w:spacing w:after="100"/>
      <w:ind w:left="2127"/>
    </w:pPr>
    <w:rPr>
      <w:noProof/>
    </w:rPr>
  </w:style>
  <w:style w:type="paragraph" w:styleId="TOC7">
    <w:name w:val="toc 7"/>
    <w:basedOn w:val="Normal"/>
    <w:next w:val="Normal"/>
    <w:uiPriority w:val="39"/>
    <w:rsid w:val="00DA56E3"/>
    <w:pPr>
      <w:tabs>
        <w:tab w:val="right" w:leader="dot" w:pos="9016"/>
      </w:tabs>
      <w:spacing w:after="100"/>
      <w:ind w:left="2552"/>
    </w:pPr>
    <w:rPr>
      <w:noProof/>
    </w:rPr>
  </w:style>
  <w:style w:type="paragraph" w:styleId="TOC8">
    <w:name w:val="toc 8"/>
    <w:basedOn w:val="Normal"/>
    <w:next w:val="Normal"/>
    <w:uiPriority w:val="39"/>
    <w:rsid w:val="00DA56E3"/>
    <w:pPr>
      <w:tabs>
        <w:tab w:val="right" w:leader="dot" w:pos="9016"/>
      </w:tabs>
      <w:spacing w:after="100"/>
      <w:ind w:left="2977"/>
    </w:pPr>
    <w:rPr>
      <w:noProof/>
    </w:rPr>
  </w:style>
  <w:style w:type="paragraph" w:styleId="TOC9">
    <w:name w:val="toc 9"/>
    <w:basedOn w:val="Normal"/>
    <w:next w:val="Normal"/>
    <w:uiPriority w:val="39"/>
    <w:rsid w:val="00DA56E3"/>
    <w:pPr>
      <w:tabs>
        <w:tab w:val="right" w:leader="dot" w:pos="9016"/>
      </w:tabs>
      <w:spacing w:after="100"/>
      <w:ind w:left="3402"/>
    </w:pPr>
    <w:rPr>
      <w:noProof/>
    </w:rPr>
  </w:style>
  <w:style w:type="paragraph" w:customStyle="1" w:styleId="Listnormalindent">
    <w:name w:val="List normal indent"/>
    <w:rsid w:val="00EF5A02"/>
    <w:pPr>
      <w:spacing w:before="120" w:after="120"/>
      <w:ind w:left="539"/>
    </w:pPr>
    <w:rPr>
      <w:sz w:val="24"/>
      <w:szCs w:val="24"/>
      <w:lang w:eastAsia="en-US"/>
    </w:rPr>
  </w:style>
  <w:style w:type="paragraph" w:customStyle="1" w:styleId="listindentalpha">
    <w:name w:val="list indent alpha"/>
    <w:basedOn w:val="NormalIndent1"/>
    <w:rsid w:val="00EF5A02"/>
    <w:pPr>
      <w:ind w:left="1080" w:hanging="540"/>
    </w:pPr>
  </w:style>
  <w:style w:type="paragraph" w:customStyle="1" w:styleId="StyleNormalindentLeft063cmBefore12ptAfter12pt">
    <w:name w:val="Style Normal indent + Left:  0.63 cm Before:  12 pt After:  12 pt"/>
    <w:basedOn w:val="NormalIndent1"/>
    <w:rsid w:val="00EF5A02"/>
    <w:pPr>
      <w:spacing w:after="240"/>
      <w:ind w:left="357"/>
    </w:pPr>
    <w:rPr>
      <w:szCs w:val="20"/>
    </w:rPr>
  </w:style>
  <w:style w:type="table" w:styleId="TableClassic1">
    <w:name w:val="Table Classic 1"/>
    <w:basedOn w:val="TableNormal"/>
    <w:rsid w:val="00EF5A02"/>
    <w:pPr>
      <w:spacing w:before="60" w:after="60"/>
    </w:pPr>
    <w:rPr>
      <w:sz w:val="22"/>
    </w:rPr>
    <w:tblPr>
      <w:tblInd w:w="0" w:type="dxa"/>
      <w:tblBorders>
        <w:bottom w:val="single" w:sz="6" w:space="0" w:color="000000"/>
      </w:tblBorders>
      <w:tblCellMar>
        <w:top w:w="0" w:type="dxa"/>
        <w:left w:w="108" w:type="dxa"/>
        <w:bottom w:w="0" w:type="dxa"/>
        <w:right w:w="108" w:type="dxa"/>
      </w:tblCellMar>
    </w:tblPr>
    <w:trPr>
      <w:cantSplit/>
    </w:trPr>
    <w:tcPr>
      <w:shd w:val="clear" w:color="auto" w:fill="auto"/>
      <w:vAlign w:val="center"/>
    </w:tcPr>
    <w:tblStylePr w:type="firstRow">
      <w:pPr>
        <w:jc w:val="left"/>
      </w:pPr>
      <w:rPr>
        <w:rFonts w:ascii="Times New Roman" w:hAnsi="Times New Roman"/>
        <w:b/>
        <w:i w:val="0"/>
        <w:iCs/>
        <w:sz w:val="22"/>
      </w:rPr>
      <w:tblPr/>
      <w:tcPr>
        <w:tcBorders>
          <w:top w:val="single" w:sz="12" w:space="0" w:color="000000"/>
          <w:left w:val="nil"/>
          <w:bottom w:val="single" w:sz="4" w:space="0" w:color="000000"/>
          <w:right w:val="nil"/>
          <w:insideH w:val="nil"/>
          <w:insideV w:val="nil"/>
          <w:tl2br w:val="nil"/>
          <w:tr2bl w:val="nil"/>
        </w:tcBorders>
      </w:tcPr>
    </w:tblStylePr>
    <w:tblStylePr w:type="lastRow">
      <w:rPr>
        <w:rFonts w:ascii="Times New Roman" w:hAnsi="Times New Roman"/>
        <w:color w:val="auto"/>
        <w:sz w:val="22"/>
      </w:rPr>
      <w:tblPr/>
      <w:tcPr>
        <w:tcBorders>
          <w:top w:val="nil"/>
          <w:bottom w:val="single" w:sz="12" w:space="0" w:color="000000"/>
        </w:tcBorders>
        <w:shd w:val="clear" w:color="auto" w:fill="auto"/>
      </w:tcPr>
    </w:tblStylePr>
    <w:tblStylePr w:type="fir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ootnote">
    <w:name w:val="A Footnote"/>
    <w:basedOn w:val="Normal"/>
    <w:autoRedefine/>
    <w:rsid w:val="00EF5A02"/>
    <w:pPr>
      <w:tabs>
        <w:tab w:val="left" w:pos="567"/>
      </w:tabs>
      <w:suppressAutoHyphens/>
      <w:autoSpaceDE w:val="0"/>
      <w:autoSpaceDN w:val="0"/>
      <w:adjustRightInd w:val="0"/>
      <w:spacing w:before="0" w:after="57" w:line="220" w:lineRule="atLeast"/>
      <w:ind w:left="567" w:hanging="567"/>
      <w:textAlignment w:val="center"/>
    </w:pPr>
    <w:rPr>
      <w:rFonts w:ascii="HelveticaNeueLTStd-Lt" w:hAnsi="HelveticaNeueLTStd-Lt" w:cs="HelveticaNeueLTStd-Lt"/>
      <w:color w:val="000000"/>
      <w:sz w:val="18"/>
      <w:szCs w:val="14"/>
      <w:lang w:eastAsia="en-AU"/>
    </w:rPr>
  </w:style>
  <w:style w:type="paragraph" w:customStyle="1" w:styleId="StyleHelveticaNeueLTStd-Lt8ptBlackLeft2cmRight2cm">
    <w:name w:val="Style HelveticaNeueLTStd-Lt 8 pt Black Left:  2 cm Right:  2 cm..."/>
    <w:basedOn w:val="Normal"/>
    <w:rsid w:val="001C229B"/>
    <w:pPr>
      <w:spacing w:before="120" w:line="220" w:lineRule="atLeast"/>
      <w:ind w:left="1134" w:right="1134"/>
    </w:pPr>
    <w:rPr>
      <w:rFonts w:ascii="HelveticaNeueLTStd-Lt" w:hAnsi="HelveticaNeueLTStd-Lt"/>
      <w:color w:val="000000"/>
      <w:sz w:val="20"/>
      <w:szCs w:val="20"/>
    </w:rPr>
  </w:style>
  <w:style w:type="character" w:customStyle="1" w:styleId="StyleHelveticaNeueLTStd-Bd95ptBoldBlack">
    <w:name w:val="Style HelveticaNeueLTStd-Bd 9.5 pt Bold Black"/>
    <w:rsid w:val="001C229B"/>
    <w:rPr>
      <w:rFonts w:ascii="HelveticaNeueLTStd-Bd" w:hAnsi="HelveticaNeueLTStd-Bd"/>
      <w:b/>
      <w:bCs/>
      <w:color w:val="000000"/>
      <w:sz w:val="22"/>
    </w:rPr>
  </w:style>
  <w:style w:type="paragraph" w:customStyle="1" w:styleId="StyleHelveticaNeueLTStd-Lt95ptBoldCustomColorRGB15022">
    <w:name w:val="Style HelveticaNeueLTStd-Lt 9.5 pt Bold Custom Color(RGB(15022..."/>
    <w:basedOn w:val="Normal"/>
    <w:rsid w:val="00BB09D1"/>
    <w:pPr>
      <w:keepNext/>
      <w:spacing w:line="260" w:lineRule="atLeast"/>
      <w:ind w:left="567" w:hanging="567"/>
    </w:pPr>
    <w:rPr>
      <w:rFonts w:ascii="HelveticaNeueLTStd-Lt" w:hAnsi="HelveticaNeueLTStd-Lt"/>
      <w:b/>
      <w:bCs/>
      <w:color w:val="0F00E0"/>
      <w:szCs w:val="20"/>
    </w:rPr>
  </w:style>
  <w:style w:type="paragraph" w:customStyle="1" w:styleId="StyleHelveticaNeueLTStd-Lt95ptBlackLeft05cmBefore1">
    <w:name w:val="Style HelveticaNeueLTStd-Lt 9.5 pt Black Left:  0.5 cm Before: ...1"/>
    <w:basedOn w:val="Normal"/>
    <w:rsid w:val="00BB09D1"/>
    <w:pPr>
      <w:spacing w:before="120" w:after="57" w:line="260" w:lineRule="atLeast"/>
      <w:ind w:left="284"/>
    </w:pPr>
    <w:rPr>
      <w:rFonts w:ascii="HelveticaNeueLTStd-Lt" w:hAnsi="HelveticaNeueLTStd-Lt"/>
      <w:color w:val="000000"/>
      <w:szCs w:val="20"/>
    </w:rPr>
  </w:style>
  <w:style w:type="paragraph" w:customStyle="1" w:styleId="StyleHelveticaNeueLTStd-Lt8ptBlackLeft23cmRight2">
    <w:name w:val="Style HelveticaNeueLTStd-Lt 8 pt Black Left:  2.3 cm Right:  2 ..."/>
    <w:basedOn w:val="Normal"/>
    <w:rsid w:val="00FA51BD"/>
    <w:pPr>
      <w:spacing w:before="57" w:after="57" w:line="220" w:lineRule="atLeast"/>
      <w:ind w:left="1304" w:right="1134"/>
    </w:pPr>
    <w:rPr>
      <w:rFonts w:ascii="HelveticaNeueLTStd-Lt" w:hAnsi="HelveticaNeueLTStd-Lt"/>
      <w:color w:val="000000"/>
      <w:sz w:val="18"/>
      <w:szCs w:val="20"/>
    </w:rPr>
  </w:style>
  <w:style w:type="paragraph" w:customStyle="1" w:styleId="Contentsheading">
    <w:name w:val="Contents heading"/>
    <w:basedOn w:val="Normal"/>
    <w:next w:val="TOC1"/>
    <w:rsid w:val="00EF5A02"/>
    <w:pPr>
      <w:spacing w:after="360"/>
    </w:pPr>
    <w:rPr>
      <w:rFonts w:ascii="Arial Bold" w:hAnsi="Arial Bold"/>
      <w:sz w:val="28"/>
    </w:rPr>
  </w:style>
  <w:style w:type="paragraph" w:styleId="Subtitle">
    <w:name w:val="Subtitle"/>
    <w:next w:val="Normal"/>
    <w:link w:val="SubtitleChar"/>
    <w:uiPriority w:val="11"/>
    <w:qFormat/>
    <w:rsid w:val="00DA56E3"/>
    <w:pPr>
      <w:spacing w:before="360" w:after="120"/>
    </w:pPr>
    <w:rPr>
      <w:rFonts w:ascii="Lucida Fax" w:eastAsia="Arial" w:hAnsi="Lucida Fax"/>
      <w:color w:val="4F2D7F"/>
      <w:sz w:val="52"/>
      <w:szCs w:val="52"/>
      <w:lang w:eastAsia="en-US"/>
    </w:rPr>
  </w:style>
  <w:style w:type="paragraph" w:customStyle="1" w:styleId="Copyrighttext">
    <w:name w:val="Copyright text"/>
    <w:basedOn w:val="Normal"/>
    <w:link w:val="CopyrighttextChar"/>
    <w:uiPriority w:val="2"/>
    <w:qFormat/>
    <w:rsid w:val="00DA56E3"/>
    <w:pPr>
      <w:spacing w:line="360" w:lineRule="auto"/>
      <w:contextualSpacing/>
    </w:pPr>
    <w:rPr>
      <w:color w:val="51626F"/>
      <w:sz w:val="16"/>
      <w:szCs w:val="16"/>
    </w:rPr>
  </w:style>
  <w:style w:type="paragraph" w:customStyle="1" w:styleId="AERbodytext">
    <w:name w:val="AER body text"/>
    <w:basedOn w:val="Normal"/>
    <w:link w:val="AERbodytextChar"/>
    <w:qFormat/>
    <w:rsid w:val="00EF5A02"/>
  </w:style>
  <w:style w:type="paragraph" w:customStyle="1" w:styleId="AERheading1">
    <w:name w:val="AER heading 1"/>
    <w:basedOn w:val="Heading1"/>
    <w:next w:val="AERbodytext"/>
    <w:rsid w:val="00EF5A02"/>
    <w:pPr>
      <w:numPr>
        <w:numId w:val="12"/>
      </w:numPr>
    </w:pPr>
  </w:style>
  <w:style w:type="paragraph" w:styleId="ListNumber">
    <w:name w:val="List Number"/>
    <w:basedOn w:val="Normal"/>
    <w:uiPriority w:val="99"/>
    <w:rsid w:val="00DA56E3"/>
    <w:pPr>
      <w:numPr>
        <w:numId w:val="4"/>
      </w:numPr>
      <w:spacing w:before="120"/>
      <w:ind w:left="357" w:hanging="357"/>
    </w:pPr>
    <w:rPr>
      <w:color w:val="000000"/>
    </w:rPr>
  </w:style>
  <w:style w:type="paragraph" w:customStyle="1" w:styleId="AERheading2">
    <w:name w:val="AER heading 2"/>
    <w:basedOn w:val="Normal"/>
    <w:next w:val="AERbodytext"/>
    <w:link w:val="AERheading2Char"/>
    <w:rsid w:val="00EF5A02"/>
    <w:pPr>
      <w:keepNext/>
      <w:numPr>
        <w:ilvl w:val="1"/>
        <w:numId w:val="12"/>
      </w:numPr>
    </w:pPr>
    <w:rPr>
      <w:rFonts w:ascii="Arial Bold" w:hAnsi="Arial Bold"/>
      <w:sz w:val="30"/>
    </w:rPr>
  </w:style>
  <w:style w:type="paragraph" w:customStyle="1" w:styleId="AERheading3">
    <w:name w:val="AER heading 3"/>
    <w:basedOn w:val="Normal"/>
    <w:next w:val="AERbodytext"/>
    <w:rsid w:val="00EF5A02"/>
    <w:pPr>
      <w:keepNext/>
      <w:numPr>
        <w:ilvl w:val="2"/>
        <w:numId w:val="12"/>
      </w:numPr>
    </w:pPr>
    <w:rPr>
      <w:rFonts w:ascii="Arial Bold" w:hAnsi="Arial Bold"/>
    </w:rPr>
  </w:style>
  <w:style w:type="paragraph" w:customStyle="1" w:styleId="AERnumberedlistfirststyle">
    <w:name w:val="AER numbered list (first style)"/>
    <w:basedOn w:val="ListNumber"/>
    <w:qFormat/>
    <w:rsid w:val="00EF5A02"/>
    <w:pPr>
      <w:numPr>
        <w:numId w:val="10"/>
      </w:numPr>
    </w:pPr>
  </w:style>
  <w:style w:type="paragraph" w:customStyle="1" w:styleId="AERnumberedlistsecondstyle">
    <w:name w:val="AER numbered list (second style)"/>
    <w:basedOn w:val="ListNumber"/>
    <w:qFormat/>
    <w:rsid w:val="00EF5A02"/>
    <w:pPr>
      <w:numPr>
        <w:numId w:val="5"/>
      </w:numPr>
    </w:pPr>
  </w:style>
  <w:style w:type="paragraph" w:customStyle="1" w:styleId="AERnumberedlistthirdstyle">
    <w:name w:val="AER numbered list (third style)"/>
    <w:basedOn w:val="ListNumber"/>
    <w:qFormat/>
    <w:rsid w:val="00EF5A02"/>
    <w:pPr>
      <w:numPr>
        <w:numId w:val="6"/>
      </w:numPr>
    </w:pPr>
  </w:style>
  <w:style w:type="paragraph" w:customStyle="1" w:styleId="AERbulletlistfirststyle">
    <w:name w:val="AER bullet list (first style)"/>
    <w:basedOn w:val="Normal"/>
    <w:link w:val="AERbulletlistfirststyleChar"/>
    <w:qFormat/>
    <w:rsid w:val="00EF5A02"/>
    <w:pPr>
      <w:numPr>
        <w:numId w:val="7"/>
      </w:numPr>
    </w:pPr>
  </w:style>
  <w:style w:type="paragraph" w:customStyle="1" w:styleId="AERbulletlistsecondstyle">
    <w:name w:val="AER bullet list (second style)"/>
    <w:basedOn w:val="AERbulletlistfirststyle"/>
    <w:link w:val="AERbulletlistsecondstyleChar"/>
    <w:rsid w:val="00EF5A02"/>
    <w:pPr>
      <w:numPr>
        <w:numId w:val="9"/>
      </w:numPr>
    </w:pPr>
  </w:style>
  <w:style w:type="paragraph" w:customStyle="1" w:styleId="AERbulletlistthirdstyle">
    <w:name w:val="AER bullet list (third style)"/>
    <w:basedOn w:val="AERbulletlistsecondstyle"/>
    <w:rsid w:val="00EF5A02"/>
    <w:pPr>
      <w:numPr>
        <w:numId w:val="8"/>
      </w:numPr>
    </w:pPr>
  </w:style>
  <w:style w:type="paragraph" w:customStyle="1" w:styleId="StyleAERbulletlistsecondstyleKernat18pt">
    <w:name w:val="Style AER bullet list (second style) + Kern at 18 pt"/>
    <w:basedOn w:val="AERbulletlistsecondstyle"/>
    <w:rsid w:val="00430453"/>
    <w:rPr>
      <w:kern w:val="36"/>
    </w:rPr>
  </w:style>
  <w:style w:type="paragraph" w:styleId="BodyText">
    <w:name w:val="Body Text"/>
    <w:basedOn w:val="Normal"/>
    <w:rsid w:val="00EF5A02"/>
  </w:style>
  <w:style w:type="paragraph" w:styleId="BodyTextFirstIndent">
    <w:name w:val="Body Text First Indent"/>
    <w:basedOn w:val="BodyText"/>
    <w:rsid w:val="00EF5A02"/>
    <w:pPr>
      <w:ind w:firstLine="210"/>
    </w:pPr>
  </w:style>
  <w:style w:type="paragraph" w:styleId="BlockText">
    <w:name w:val="Block Text"/>
    <w:basedOn w:val="Normal"/>
    <w:rsid w:val="00EF5A02"/>
    <w:pPr>
      <w:ind w:left="1440" w:right="1440"/>
    </w:pPr>
  </w:style>
  <w:style w:type="paragraph" w:styleId="BodyTextIndent">
    <w:name w:val="Body Text Indent"/>
    <w:basedOn w:val="Normal"/>
    <w:link w:val="BodyTextIndentChar"/>
    <w:rsid w:val="00EF5A02"/>
    <w:pPr>
      <w:ind w:left="284" w:right="851"/>
    </w:pPr>
  </w:style>
  <w:style w:type="paragraph" w:customStyle="1" w:styleId="StyleBodyTextIndentKernat18pt">
    <w:name w:val="Style Body Text Indent + Kern at 18 pt"/>
    <w:basedOn w:val="BodyTextIndent"/>
    <w:link w:val="StyleBodyTextIndentKernat18ptChar"/>
    <w:rsid w:val="00FD2881"/>
    <w:pPr>
      <w:ind w:right="1021"/>
    </w:pPr>
    <w:rPr>
      <w:kern w:val="36"/>
    </w:rPr>
  </w:style>
  <w:style w:type="character" w:customStyle="1" w:styleId="BodyTextIndentChar">
    <w:name w:val="Body Text Indent Char"/>
    <w:link w:val="BodyTextIndent"/>
    <w:rsid w:val="00FD2881"/>
    <w:rPr>
      <w:sz w:val="24"/>
      <w:szCs w:val="24"/>
      <w:lang w:val="en-AU" w:eastAsia="en-US" w:bidi="ar-SA"/>
    </w:rPr>
  </w:style>
  <w:style w:type="character" w:customStyle="1" w:styleId="StyleBodyTextIndentKernat18ptChar">
    <w:name w:val="Style Body Text Indent + Kern at 18 pt Char"/>
    <w:link w:val="StyleBodyTextIndentKernat18pt"/>
    <w:rsid w:val="00FD2881"/>
    <w:rPr>
      <w:kern w:val="36"/>
      <w:sz w:val="24"/>
      <w:szCs w:val="24"/>
      <w:lang w:val="en-AU" w:eastAsia="en-US" w:bidi="ar-SA"/>
    </w:rPr>
  </w:style>
  <w:style w:type="paragraph" w:styleId="NormalIndent">
    <w:name w:val="Normal Indent"/>
    <w:basedOn w:val="Normal"/>
    <w:uiPriority w:val="1"/>
    <w:rsid w:val="00DA56E3"/>
    <w:pPr>
      <w:ind w:left="720"/>
    </w:pPr>
  </w:style>
  <w:style w:type="paragraph" w:styleId="BodyTextFirstIndent2">
    <w:name w:val="Body Text First Indent 2"/>
    <w:basedOn w:val="BodyTextIndent"/>
    <w:rsid w:val="00EF5A02"/>
    <w:pPr>
      <w:ind w:left="283" w:right="0" w:firstLine="210"/>
    </w:pPr>
  </w:style>
  <w:style w:type="paragraph" w:customStyle="1" w:styleId="StyleAERbulletlistsecondstyleKernat18pt1">
    <w:name w:val="Style AER bullet list (second style) + Kern at 18 pt1"/>
    <w:basedOn w:val="AERbulletlistsecondstyle"/>
    <w:autoRedefine/>
    <w:rsid w:val="00896AB4"/>
    <w:pPr>
      <w:tabs>
        <w:tab w:val="clear" w:pos="513"/>
        <w:tab w:val="left" w:pos="357"/>
      </w:tabs>
      <w:ind w:left="714"/>
    </w:pPr>
    <w:rPr>
      <w:kern w:val="36"/>
    </w:rPr>
  </w:style>
  <w:style w:type="character" w:customStyle="1" w:styleId="AERbulletlistfirststyleChar">
    <w:name w:val="AER bullet list (first style) Char"/>
    <w:link w:val="AERbulletlistfirststyle"/>
    <w:rsid w:val="001F0675"/>
    <w:rPr>
      <w:rFonts w:ascii="Arial" w:eastAsia="Arial" w:hAnsi="Arial"/>
      <w:sz w:val="22"/>
      <w:szCs w:val="22"/>
      <w:lang w:eastAsia="en-US"/>
    </w:rPr>
  </w:style>
  <w:style w:type="character" w:customStyle="1" w:styleId="AERbulletlistsecondstyleChar">
    <w:name w:val="AER bullet list (second style) Char"/>
    <w:link w:val="AERbulletlistsecondstyle"/>
    <w:rsid w:val="001F0675"/>
    <w:rPr>
      <w:rFonts w:ascii="Arial" w:eastAsia="Arial" w:hAnsi="Arial"/>
      <w:sz w:val="22"/>
      <w:szCs w:val="22"/>
      <w:lang w:eastAsia="en-US"/>
    </w:rPr>
  </w:style>
  <w:style w:type="character" w:customStyle="1" w:styleId="AERheading2Char">
    <w:name w:val="AER heading 2 Char"/>
    <w:link w:val="AERheading2"/>
    <w:rsid w:val="00896AB4"/>
    <w:rPr>
      <w:rFonts w:ascii="Arial Bold" w:eastAsia="Arial" w:hAnsi="Arial Bold"/>
      <w:sz w:val="30"/>
      <w:szCs w:val="22"/>
      <w:lang w:eastAsia="en-US"/>
    </w:rPr>
  </w:style>
  <w:style w:type="paragraph" w:customStyle="1" w:styleId="StyleAERbulletlistsecondstyleKernat18pt2">
    <w:name w:val="Style AER bullet list (second style) + Kern at 18 pt2"/>
    <w:basedOn w:val="AERbulletlistsecondstyle"/>
    <w:link w:val="StyleAERbulletlistsecondstyleKernat18pt2Char"/>
    <w:autoRedefine/>
    <w:rsid w:val="00EF5A02"/>
    <w:pPr>
      <w:numPr>
        <w:numId w:val="0"/>
      </w:numPr>
      <w:tabs>
        <w:tab w:val="left" w:pos="170"/>
      </w:tabs>
    </w:pPr>
    <w:rPr>
      <w:kern w:val="36"/>
    </w:rPr>
  </w:style>
  <w:style w:type="character" w:customStyle="1" w:styleId="StyleAERbulletlistsecondstyleKernat18pt2Char">
    <w:name w:val="Style AER bullet list (second style) + Kern at 18 pt2 Char"/>
    <w:link w:val="StyleAERbulletlistsecondstyleKernat18pt2"/>
    <w:rsid w:val="00733A1D"/>
    <w:rPr>
      <w:kern w:val="36"/>
      <w:sz w:val="24"/>
      <w:szCs w:val="24"/>
      <w:lang w:val="en-AU" w:eastAsia="en-US" w:bidi="ar-SA"/>
    </w:rPr>
  </w:style>
  <w:style w:type="paragraph" w:customStyle="1" w:styleId="StyleHeading3Kernat18pt">
    <w:name w:val="Style Heading 3 + Kern at 18 pt"/>
    <w:basedOn w:val="Heading3"/>
    <w:rsid w:val="00896AB4"/>
    <w:rPr>
      <w:kern w:val="36"/>
    </w:rPr>
  </w:style>
  <w:style w:type="paragraph" w:customStyle="1" w:styleId="StyleAERbulletlistsecondstyleKernat18pt3">
    <w:name w:val="Style AER bullet list (second style) + Kern at 18 pt3"/>
    <w:basedOn w:val="AERbulletlistsecondstyle"/>
    <w:autoRedefine/>
    <w:rsid w:val="00EF5A02"/>
    <w:pPr>
      <w:numPr>
        <w:numId w:val="0"/>
      </w:numPr>
      <w:spacing w:before="120"/>
    </w:pPr>
    <w:rPr>
      <w:kern w:val="36"/>
    </w:rPr>
  </w:style>
  <w:style w:type="character" w:customStyle="1" w:styleId="AERbodytextChar">
    <w:name w:val="AER body text Char"/>
    <w:link w:val="AERbodytext"/>
    <w:rsid w:val="00B64036"/>
    <w:rPr>
      <w:sz w:val="24"/>
      <w:szCs w:val="24"/>
      <w:lang w:val="en-AU" w:eastAsia="en-US" w:bidi="ar-SA"/>
    </w:rPr>
  </w:style>
  <w:style w:type="character" w:customStyle="1" w:styleId="AERtextitalic">
    <w:name w:val="AER text italic"/>
    <w:qFormat/>
    <w:rsid w:val="00A77A59"/>
    <w:rPr>
      <w:i/>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link w:val="FootnoteText"/>
    <w:uiPriority w:val="2"/>
    <w:rsid w:val="00DA56E3"/>
    <w:rPr>
      <w:rFonts w:ascii="Arial" w:eastAsia="Arial" w:hAnsi="Arial"/>
      <w:sz w:val="16"/>
      <w:lang w:eastAsia="en-US"/>
    </w:rPr>
  </w:style>
  <w:style w:type="numbering" w:customStyle="1" w:styleId="AERnumberedlist">
    <w:name w:val="AER numbered list"/>
    <w:uiPriority w:val="99"/>
    <w:rsid w:val="00A77A59"/>
    <w:pPr>
      <w:numPr>
        <w:numId w:val="11"/>
      </w:numPr>
    </w:pPr>
  </w:style>
  <w:style w:type="paragraph" w:customStyle="1" w:styleId="AERnumberedlist2first">
    <w:name w:val="AER numbered list 2 first"/>
    <w:basedOn w:val="AERbodytext"/>
    <w:qFormat/>
    <w:rsid w:val="00A77A59"/>
    <w:pPr>
      <w:tabs>
        <w:tab w:val="num" w:pos="454"/>
      </w:tabs>
      <w:spacing w:before="0" w:after="240" w:line="288" w:lineRule="auto"/>
      <w:ind w:left="454" w:hanging="454"/>
      <w:jc w:val="both"/>
    </w:pPr>
    <w:rPr>
      <w:rFonts w:ascii="Gautami" w:hAnsi="Gautami"/>
      <w:sz w:val="20"/>
    </w:rPr>
  </w:style>
  <w:style w:type="paragraph" w:customStyle="1" w:styleId="AERnumberedlist2second">
    <w:name w:val="AER numbered list 2 second"/>
    <w:basedOn w:val="AERnumberedlist2first"/>
    <w:qFormat/>
    <w:rsid w:val="00A77A59"/>
    <w:pPr>
      <w:tabs>
        <w:tab w:val="clear" w:pos="454"/>
        <w:tab w:val="num" w:pos="811"/>
      </w:tabs>
      <w:ind w:left="811" w:hanging="357"/>
    </w:pPr>
  </w:style>
  <w:style w:type="paragraph" w:customStyle="1" w:styleId="AERnumberedlist2third">
    <w:name w:val="AER numbered list 2 third"/>
    <w:basedOn w:val="AERnumberedlist2second"/>
    <w:qFormat/>
    <w:rsid w:val="00A77A59"/>
    <w:pPr>
      <w:tabs>
        <w:tab w:val="clear" w:pos="811"/>
        <w:tab w:val="num" w:pos="1446"/>
      </w:tabs>
      <w:ind w:left="1446" w:hanging="635"/>
    </w:pPr>
  </w:style>
  <w:style w:type="character" w:styleId="Emphasis">
    <w:name w:val="Emphasis"/>
    <w:uiPriority w:val="20"/>
    <w:qFormat/>
    <w:rsid w:val="00DA56E3"/>
    <w:rPr>
      <w:i/>
      <w:iCs/>
    </w:rPr>
  </w:style>
  <w:style w:type="character" w:customStyle="1" w:styleId="FooterChar">
    <w:name w:val="Footer Char"/>
    <w:link w:val="Footer"/>
    <w:uiPriority w:val="99"/>
    <w:rsid w:val="00DA56E3"/>
    <w:rPr>
      <w:rFonts w:ascii="Arial" w:eastAsia="Arial" w:hAnsi="Arial"/>
      <w:color w:val="51626F"/>
      <w:sz w:val="18"/>
      <w:szCs w:val="22"/>
      <w:lang w:eastAsia="en-US"/>
    </w:rPr>
  </w:style>
  <w:style w:type="paragraph" w:styleId="ListParagraph">
    <w:name w:val="List Paragraph"/>
    <w:basedOn w:val="Normal"/>
    <w:uiPriority w:val="34"/>
    <w:qFormat/>
    <w:rsid w:val="00DA56E3"/>
    <w:pPr>
      <w:numPr>
        <w:numId w:val="29"/>
      </w:numPr>
      <w:spacing w:before="120"/>
      <w:ind w:left="714" w:hanging="357"/>
    </w:pPr>
  </w:style>
  <w:style w:type="paragraph" w:customStyle="1" w:styleId="AERTitle1">
    <w:name w:val="AER Title 1"/>
    <w:basedOn w:val="Normal"/>
    <w:rsid w:val="0047657B"/>
    <w:pPr>
      <w:keepNext/>
      <w:spacing w:before="0" w:after="240"/>
      <w:jc w:val="center"/>
    </w:pPr>
    <w:rPr>
      <w:rFonts w:ascii="Gautami" w:hAnsi="Gautami" w:cs="Arial"/>
      <w:b/>
      <w:bCs/>
      <w:kern w:val="32"/>
      <w:sz w:val="40"/>
    </w:rPr>
  </w:style>
  <w:style w:type="paragraph" w:customStyle="1" w:styleId="AERTitle2">
    <w:name w:val="AER Title 2"/>
    <w:basedOn w:val="AERTitle1"/>
    <w:rsid w:val="0047657B"/>
    <w:pPr>
      <w:spacing w:before="1680"/>
    </w:pPr>
    <w:rPr>
      <w:b w:val="0"/>
      <w:sz w:val="32"/>
    </w:rPr>
  </w:style>
  <w:style w:type="table" w:customStyle="1" w:styleId="AERtable-numbers">
    <w:name w:val="AER table - numbers"/>
    <w:basedOn w:val="TableNormal"/>
    <w:uiPriority w:val="99"/>
    <w:rsid w:val="00FB047E"/>
    <w:pPr>
      <w:spacing w:before="120" w:after="80"/>
      <w:jc w:val="right"/>
    </w:pPr>
    <w:rPr>
      <w:rFonts w:ascii="Gautami" w:eastAsia="Calibri" w:hAnsi="Gautami"/>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paragraph" w:customStyle="1" w:styleId="NER-Rule-Title-Lvl-3">
    <w:name w:val="NER-Rule-Title-Lvl-3"/>
    <w:basedOn w:val="Normal"/>
    <w:uiPriority w:val="99"/>
    <w:rsid w:val="00FB047E"/>
    <w:pPr>
      <w:keepNext/>
      <w:keepLines/>
      <w:tabs>
        <w:tab w:val="left" w:pos="1134"/>
      </w:tabs>
      <w:autoSpaceDE w:val="0"/>
      <w:autoSpaceDN w:val="0"/>
      <w:adjustRightInd w:val="0"/>
      <w:spacing w:after="60"/>
      <w:ind w:left="1134" w:hanging="1134"/>
      <w:outlineLvl w:val="2"/>
    </w:pPr>
    <w:rPr>
      <w:rFonts w:ascii="Arial Bold" w:hAnsi="Arial Bold" w:cs="Arial Bold"/>
      <w:b/>
      <w:bCs/>
      <w:color w:val="000000"/>
      <w:sz w:val="26"/>
      <w:szCs w:val="26"/>
      <w:lang w:eastAsia="en-AU"/>
    </w:rPr>
  </w:style>
  <w:style w:type="character" w:styleId="FollowedHyperlink">
    <w:name w:val="FollowedHyperlink"/>
    <w:uiPriority w:val="99"/>
    <w:rsid w:val="00641727"/>
    <w:rPr>
      <w:color w:val="800080"/>
      <w:u w:val="single"/>
    </w:rPr>
  </w:style>
  <w:style w:type="character" w:customStyle="1" w:styleId="Heading7Char">
    <w:name w:val="Heading 7 Char"/>
    <w:link w:val="Heading7"/>
    <w:uiPriority w:val="2"/>
    <w:rsid w:val="00DA56E3"/>
    <w:rPr>
      <w:rFonts w:ascii="Arial" w:hAnsi="Arial"/>
      <w:i/>
      <w:iCs/>
      <w:color w:val="404040"/>
      <w:sz w:val="22"/>
      <w:szCs w:val="22"/>
      <w:lang w:eastAsia="en-US"/>
    </w:rPr>
  </w:style>
  <w:style w:type="character" w:customStyle="1" w:styleId="Heading8Char">
    <w:name w:val="Heading 8 Char"/>
    <w:link w:val="Heading8"/>
    <w:uiPriority w:val="2"/>
    <w:rsid w:val="00DA56E3"/>
    <w:rPr>
      <w:rFonts w:ascii="Arial" w:hAnsi="Arial"/>
      <w:color w:val="51626F"/>
      <w:sz w:val="22"/>
      <w:lang w:eastAsia="en-US"/>
    </w:rPr>
  </w:style>
  <w:style w:type="character" w:customStyle="1" w:styleId="Heading9Char">
    <w:name w:val="Heading 9 Char"/>
    <w:link w:val="Heading9"/>
    <w:uiPriority w:val="2"/>
    <w:rsid w:val="00DA56E3"/>
    <w:rPr>
      <w:rFonts w:ascii="Arial" w:hAnsi="Arial"/>
      <w:i/>
      <w:iCs/>
      <w:color w:val="51626F"/>
      <w:sz w:val="22"/>
      <w:lang w:eastAsia="en-US"/>
    </w:rPr>
  </w:style>
  <w:style w:type="numbering" w:customStyle="1" w:styleId="AERHeadings">
    <w:name w:val="AER Headings"/>
    <w:uiPriority w:val="99"/>
    <w:rsid w:val="007018B0"/>
    <w:pPr>
      <w:numPr>
        <w:numId w:val="13"/>
      </w:numPr>
    </w:pPr>
  </w:style>
  <w:style w:type="paragraph" w:customStyle="1" w:styleId="UnnumberedHeading">
    <w:name w:val="Unnumbered Heading"/>
    <w:basedOn w:val="Heading1"/>
    <w:next w:val="AERbodytext"/>
    <w:link w:val="UnnumberedHeadingChar"/>
    <w:qFormat/>
    <w:rsid w:val="007018B0"/>
    <w:pPr>
      <w:keepNext/>
      <w:keepLines/>
      <w:tabs>
        <w:tab w:val="num" w:pos="0"/>
      </w:tabs>
      <w:spacing w:before="120" w:line="288" w:lineRule="auto"/>
    </w:pPr>
    <w:rPr>
      <w:rFonts w:ascii="Gautami" w:hAnsi="Gautami"/>
      <w:color w:val="E36C0A"/>
    </w:rPr>
  </w:style>
  <w:style w:type="table" w:customStyle="1" w:styleId="AERtable-numbers1">
    <w:name w:val="AER table - numbers1"/>
    <w:basedOn w:val="TableNormal"/>
    <w:uiPriority w:val="99"/>
    <w:rsid w:val="007018B0"/>
    <w:pPr>
      <w:spacing w:before="120" w:after="80"/>
      <w:jc w:val="right"/>
    </w:pPr>
    <w:rPr>
      <w:rFonts w:ascii="Gautami" w:eastAsia="Calibri" w:hAnsi="Gautami"/>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character" w:customStyle="1" w:styleId="UnnumberedHeadingChar">
    <w:name w:val="Unnumbered Heading Char"/>
    <w:link w:val="UnnumberedHeading"/>
    <w:rsid w:val="007018B0"/>
    <w:rPr>
      <w:rFonts w:ascii="Gautami" w:hAnsi="Gautami"/>
      <w:b/>
      <w:bCs/>
      <w:color w:val="E36C0A"/>
      <w:sz w:val="36"/>
      <w:szCs w:val="28"/>
      <w:lang w:eastAsia="en-US"/>
    </w:rPr>
  </w:style>
  <w:style w:type="paragraph" w:customStyle="1" w:styleId="HeadingNumbered">
    <w:name w:val="Heading Numbered"/>
    <w:qFormat/>
    <w:rsid w:val="001747FC"/>
    <w:rPr>
      <w:rFonts w:ascii="Arial" w:hAnsi="Arial" w:cs="Arial"/>
      <w:color w:val="FABF8F"/>
      <w:sz w:val="36"/>
      <w:szCs w:val="24"/>
      <w:lang w:eastAsia="en-US"/>
    </w:rPr>
  </w:style>
  <w:style w:type="paragraph" w:customStyle="1" w:styleId="Guidelineheading">
    <w:name w:val="Guideline heading"/>
    <w:basedOn w:val="AERheading1"/>
    <w:qFormat/>
    <w:rsid w:val="001747FC"/>
    <w:rPr>
      <w:color w:val="E36C0A"/>
    </w:rPr>
  </w:style>
  <w:style w:type="paragraph" w:customStyle="1" w:styleId="Guideline12">
    <w:name w:val="Guideline 1.2"/>
    <w:basedOn w:val="AERheading2"/>
    <w:qFormat/>
    <w:rsid w:val="001747FC"/>
    <w:rPr>
      <w:rFonts w:ascii="Arial" w:hAnsi="Arial" w:cs="Arial"/>
      <w:color w:val="E36C0A"/>
      <w:kern w:val="36"/>
    </w:rPr>
  </w:style>
  <w:style w:type="paragraph" w:customStyle="1" w:styleId="HeadingBoldBlue">
    <w:name w:val="Heading Bold Blue"/>
    <w:basedOn w:val="AERbodytext"/>
    <w:next w:val="AERbodytext"/>
    <w:link w:val="HeadingBoldBlueChar"/>
    <w:uiPriority w:val="99"/>
    <w:qFormat/>
    <w:rsid w:val="002B0F2C"/>
    <w:pPr>
      <w:keepNext/>
      <w:tabs>
        <w:tab w:val="num" w:pos="926"/>
      </w:tabs>
      <w:spacing w:before="120" w:line="288" w:lineRule="auto"/>
      <w:ind w:left="926" w:hanging="360"/>
    </w:pPr>
    <w:rPr>
      <w:rFonts w:ascii="Gautami" w:hAnsi="Gautami"/>
      <w:b/>
      <w:color w:val="365F91"/>
    </w:rPr>
  </w:style>
  <w:style w:type="character" w:customStyle="1" w:styleId="HeadingBoldBlueChar">
    <w:name w:val="Heading Bold Blue Char"/>
    <w:link w:val="HeadingBoldBlue"/>
    <w:uiPriority w:val="99"/>
    <w:rsid w:val="002B0F2C"/>
    <w:rPr>
      <w:rFonts w:ascii="Gautami" w:eastAsia="Arial" w:hAnsi="Gautami"/>
      <w:b/>
      <w:color w:val="365F91"/>
      <w:sz w:val="22"/>
      <w:szCs w:val="22"/>
      <w:lang w:eastAsia="en-US"/>
    </w:rPr>
  </w:style>
  <w:style w:type="table" w:customStyle="1" w:styleId="AERTable-Text">
    <w:name w:val="AER Table - Text"/>
    <w:basedOn w:val="TableNormal"/>
    <w:uiPriority w:val="99"/>
    <w:rsid w:val="00A05291"/>
    <w:pPr>
      <w:spacing w:before="120" w:after="120"/>
    </w:pPr>
    <w:rPr>
      <w:rFonts w:ascii="Arial" w:eastAsia="Calibri" w:hAnsi="Arial"/>
      <w:szCs w:val="22"/>
      <w:lang w:eastAsia="en-US"/>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sz w:val="24"/>
      </w:rPr>
      <w:tblPr/>
      <w:tcPr>
        <w:shd w:val="clear" w:color="auto" w:fill="076A92"/>
      </w:tcPr>
    </w:tblStylePr>
    <w:tblStylePr w:type="band2Horz">
      <w:rPr>
        <w:rFonts w:ascii="Arial" w:hAnsi="Arial"/>
        <w:sz w:val="20"/>
      </w:rPr>
      <w:tblPr/>
      <w:tcPr>
        <w:shd w:val="clear" w:color="auto" w:fill="DBE5F1"/>
      </w:tcPr>
    </w:tblStylePr>
  </w:style>
  <w:style w:type="numbering" w:customStyle="1" w:styleId="RomanNumeralBulletedList">
    <w:name w:val="Roman Numeral Bulleted List"/>
    <w:uiPriority w:val="99"/>
    <w:rsid w:val="00A05291"/>
    <w:pPr>
      <w:numPr>
        <w:numId w:val="15"/>
      </w:numPr>
    </w:pPr>
  </w:style>
  <w:style w:type="numbering" w:customStyle="1" w:styleId="OldAERheadings">
    <w:name w:val="Old AER headings"/>
    <w:uiPriority w:val="99"/>
    <w:locked/>
    <w:rsid w:val="00750D7E"/>
    <w:pPr>
      <w:numPr>
        <w:numId w:val="16"/>
      </w:numPr>
    </w:pPr>
  </w:style>
  <w:style w:type="paragraph" w:customStyle="1" w:styleId="AERtitle10">
    <w:name w:val="AER title 1"/>
    <w:qFormat/>
    <w:rsid w:val="00750D7E"/>
    <w:pPr>
      <w:spacing w:after="240" w:line="288" w:lineRule="auto"/>
      <w:jc w:val="center"/>
    </w:pPr>
    <w:rPr>
      <w:rFonts w:ascii="Gautami" w:hAnsi="Gautami"/>
      <w:b/>
      <w:sz w:val="40"/>
      <w:szCs w:val="24"/>
    </w:rPr>
  </w:style>
  <w:style w:type="table" w:customStyle="1" w:styleId="AERtable-text0">
    <w:name w:val="AER table - text"/>
    <w:basedOn w:val="TableNormal"/>
    <w:uiPriority w:val="99"/>
    <w:rsid w:val="00750D7E"/>
    <w:pPr>
      <w:spacing w:before="120" w:after="80"/>
    </w:pPr>
    <w:rPr>
      <w:rFonts w:ascii="Gautami" w:eastAsia="Calibri" w:hAnsi="Gautami"/>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750D7E"/>
    <w:pPr>
      <w:spacing w:before="80" w:after="120" w:line="288" w:lineRule="auto"/>
    </w:pPr>
    <w:rPr>
      <w:rFonts w:ascii="Gautami" w:hAnsi="Gautami"/>
      <w:sz w:val="16"/>
      <w:szCs w:val="24"/>
      <w:lang w:eastAsia="en-US"/>
    </w:rPr>
  </w:style>
  <w:style w:type="character" w:styleId="PlaceholderText">
    <w:name w:val="Placeholder Text"/>
    <w:uiPriority w:val="99"/>
    <w:unhideWhenUsed/>
    <w:rsid w:val="00750D7E"/>
    <w:rPr>
      <w:color w:val="808080"/>
    </w:rPr>
  </w:style>
  <w:style w:type="character" w:customStyle="1" w:styleId="AERbody">
    <w:name w:val="AER body"/>
    <w:qFormat/>
    <w:rsid w:val="00750D7E"/>
    <w:rPr>
      <w:rFonts w:ascii="Gautami" w:hAnsi="Gautami"/>
      <w:color w:val="auto"/>
      <w:sz w:val="20"/>
    </w:rPr>
  </w:style>
  <w:style w:type="character" w:customStyle="1" w:styleId="CommentTextChar">
    <w:name w:val="Comment Text Char"/>
    <w:link w:val="CommentText"/>
    <w:uiPriority w:val="99"/>
    <w:rsid w:val="00750D7E"/>
    <w:rPr>
      <w:lang w:eastAsia="en-US"/>
    </w:rPr>
  </w:style>
  <w:style w:type="character" w:customStyle="1" w:styleId="AERtextbold">
    <w:name w:val="AER text bold"/>
    <w:qFormat/>
    <w:rsid w:val="00750D7E"/>
    <w:rPr>
      <w:b/>
    </w:rPr>
  </w:style>
  <w:style w:type="paragraph" w:customStyle="1" w:styleId="AERbodytextnospace">
    <w:name w:val="AER body text no space"/>
    <w:basedOn w:val="AERbodytext"/>
    <w:qFormat/>
    <w:rsid w:val="00750D7E"/>
    <w:pPr>
      <w:tabs>
        <w:tab w:val="num" w:pos="1440"/>
      </w:tabs>
      <w:spacing w:before="0" w:line="288" w:lineRule="auto"/>
      <w:ind w:left="1440" w:hanging="360"/>
      <w:jc w:val="both"/>
    </w:pPr>
    <w:rPr>
      <w:rFonts w:ascii="Gautami" w:hAnsi="Gautami"/>
      <w:sz w:val="20"/>
    </w:rPr>
  </w:style>
  <w:style w:type="character" w:customStyle="1" w:styleId="AERsuperscript">
    <w:name w:val="AER superscript"/>
    <w:qFormat/>
    <w:rsid w:val="00750D7E"/>
    <w:rPr>
      <w:rFonts w:ascii="Gautami" w:hAnsi="Gautami"/>
      <w:vertAlign w:val="superscript"/>
    </w:rPr>
  </w:style>
  <w:style w:type="paragraph" w:customStyle="1" w:styleId="Style1">
    <w:name w:val="Style1"/>
    <w:basedOn w:val="Guideline12"/>
    <w:qFormat/>
    <w:rsid w:val="00BF7D97"/>
    <w:pPr>
      <w:numPr>
        <w:ilvl w:val="0"/>
        <w:numId w:val="0"/>
      </w:numPr>
    </w:pPr>
    <w:rPr>
      <w:sz w:val="28"/>
      <w:szCs w:val="28"/>
    </w:rPr>
  </w:style>
  <w:style w:type="paragraph" w:customStyle="1" w:styleId="AERtablesource">
    <w:name w:val="AER table source"/>
    <w:next w:val="AERbodytext"/>
    <w:qFormat/>
    <w:rsid w:val="00BF7D97"/>
    <w:pPr>
      <w:tabs>
        <w:tab w:val="left" w:pos="794"/>
      </w:tabs>
      <w:spacing w:before="40" w:after="240"/>
      <w:ind w:left="794" w:hanging="794"/>
      <w:contextualSpacing/>
      <w:jc w:val="both"/>
    </w:pPr>
    <w:rPr>
      <w:rFonts w:ascii="Gautami" w:hAnsi="Gautami"/>
      <w:sz w:val="16"/>
      <w:szCs w:val="24"/>
      <w:lang w:eastAsia="en-US"/>
    </w:rPr>
  </w:style>
  <w:style w:type="character" w:customStyle="1" w:styleId="Heading6Char">
    <w:name w:val="Heading 6 Char"/>
    <w:link w:val="Heading6"/>
    <w:uiPriority w:val="2"/>
    <w:rsid w:val="00DA56E3"/>
    <w:rPr>
      <w:rFonts w:ascii="Arial" w:hAnsi="Arial"/>
      <w:b/>
      <w:i/>
      <w:iCs/>
      <w:sz w:val="22"/>
      <w:szCs w:val="22"/>
      <w:lang w:eastAsia="en-US"/>
    </w:rPr>
  </w:style>
  <w:style w:type="character" w:customStyle="1" w:styleId="Heading1Char">
    <w:name w:val="Heading 1 Char"/>
    <w:link w:val="Heading1"/>
    <w:rsid w:val="00DA56E3"/>
    <w:rPr>
      <w:rFonts w:ascii="Lucida Fax" w:hAnsi="Lucida Fax"/>
      <w:bCs/>
      <w:color w:val="51626F"/>
      <w:sz w:val="32"/>
      <w:szCs w:val="28"/>
      <w:lang w:eastAsia="en-US"/>
    </w:rPr>
  </w:style>
  <w:style w:type="character" w:customStyle="1" w:styleId="Heading2Char">
    <w:name w:val="Heading 2 Char"/>
    <w:link w:val="Heading2"/>
    <w:rsid w:val="00DA56E3"/>
    <w:rPr>
      <w:rFonts w:ascii="Arial" w:hAnsi="Arial"/>
      <w:b/>
      <w:bCs/>
      <w:color w:val="51626F"/>
      <w:sz w:val="28"/>
      <w:szCs w:val="26"/>
      <w:lang w:eastAsia="en-US"/>
    </w:rPr>
  </w:style>
  <w:style w:type="character" w:customStyle="1" w:styleId="Heading3Char">
    <w:name w:val="Heading 3 Char"/>
    <w:link w:val="Heading3"/>
    <w:rsid w:val="00DA56E3"/>
    <w:rPr>
      <w:rFonts w:ascii="Arial" w:hAnsi="Arial"/>
      <w:b/>
      <w:bCs/>
      <w:color w:val="000000"/>
      <w:sz w:val="24"/>
      <w:szCs w:val="22"/>
      <w:lang w:eastAsia="en-US"/>
    </w:rPr>
  </w:style>
  <w:style w:type="character" w:customStyle="1" w:styleId="Heading4Char">
    <w:name w:val="Heading 4 Char"/>
    <w:link w:val="Heading4"/>
    <w:rsid w:val="00DA56E3"/>
    <w:rPr>
      <w:rFonts w:ascii="Arial" w:hAnsi="Arial"/>
      <w:b/>
      <w:bCs/>
      <w:i/>
      <w:iCs/>
      <w:color w:val="51626F"/>
      <w:sz w:val="24"/>
      <w:szCs w:val="22"/>
      <w:lang w:eastAsia="en-US"/>
    </w:rPr>
  </w:style>
  <w:style w:type="character" w:customStyle="1" w:styleId="Heading5Char">
    <w:name w:val="Heading 5 Char"/>
    <w:link w:val="Heading5"/>
    <w:uiPriority w:val="2"/>
    <w:rsid w:val="00DA56E3"/>
    <w:rPr>
      <w:rFonts w:ascii="Arial" w:hAnsi="Arial"/>
      <w:b/>
      <w:color w:val="283037"/>
      <w:sz w:val="22"/>
      <w:szCs w:val="22"/>
      <w:lang w:eastAsia="en-US"/>
    </w:rPr>
  </w:style>
  <w:style w:type="paragraph" w:customStyle="1" w:styleId="Reporttitle">
    <w:name w:val="Report title"/>
    <w:basedOn w:val="Normal"/>
    <w:link w:val="ReporttitleChar"/>
    <w:qFormat/>
    <w:rsid w:val="00DA56E3"/>
    <w:pPr>
      <w:spacing w:before="520" w:after="120"/>
    </w:pPr>
    <w:rPr>
      <w:rFonts w:ascii="Lucida Fax" w:hAnsi="Lucida Fax"/>
      <w:color w:val="4F2D7F"/>
      <w:sz w:val="72"/>
      <w:szCs w:val="56"/>
    </w:rPr>
  </w:style>
  <w:style w:type="character" w:customStyle="1" w:styleId="ReporttitleChar">
    <w:name w:val="Report title Char"/>
    <w:link w:val="Reporttitle"/>
    <w:rsid w:val="00DA56E3"/>
    <w:rPr>
      <w:rFonts w:ascii="Lucida Fax" w:eastAsia="Arial" w:hAnsi="Lucida Fax"/>
      <w:color w:val="4F2D7F"/>
      <w:sz w:val="72"/>
      <w:szCs w:val="56"/>
      <w:lang w:eastAsia="en-US"/>
    </w:rPr>
  </w:style>
  <w:style w:type="paragraph" w:customStyle="1" w:styleId="Chaptertitle">
    <w:name w:val="Chapter title"/>
    <w:basedOn w:val="Reporttitle"/>
    <w:link w:val="ChaptertitleChar"/>
    <w:qFormat/>
    <w:rsid w:val="00DA56E3"/>
    <w:rPr>
      <w:sz w:val="52"/>
      <w:szCs w:val="52"/>
    </w:rPr>
  </w:style>
  <w:style w:type="character" w:customStyle="1" w:styleId="ChaptertitleChar">
    <w:name w:val="Chapter title Char"/>
    <w:link w:val="Chaptertitle"/>
    <w:rsid w:val="00DA56E3"/>
    <w:rPr>
      <w:rFonts w:ascii="Lucida Fax" w:eastAsia="Arial" w:hAnsi="Lucida Fax"/>
      <w:color w:val="4F2D7F"/>
      <w:sz w:val="52"/>
      <w:szCs w:val="52"/>
      <w:lang w:eastAsia="en-US"/>
    </w:rPr>
  </w:style>
  <w:style w:type="character" w:customStyle="1" w:styleId="CopyrighttextChar">
    <w:name w:val="Copyright text Char"/>
    <w:link w:val="Copyrighttext"/>
    <w:uiPriority w:val="2"/>
    <w:rsid w:val="00DA56E3"/>
    <w:rPr>
      <w:rFonts w:ascii="Arial" w:eastAsia="Arial" w:hAnsi="Arial"/>
      <w:color w:val="51626F"/>
      <w:sz w:val="16"/>
      <w:szCs w:val="16"/>
      <w:lang w:eastAsia="en-US"/>
    </w:rPr>
  </w:style>
  <w:style w:type="paragraph" w:customStyle="1" w:styleId="Numbered1">
    <w:name w:val="Numbered 1"/>
    <w:basedOn w:val="Heading1"/>
    <w:next w:val="Normal"/>
    <w:link w:val="Numbered1Char"/>
    <w:qFormat/>
    <w:rsid w:val="00DA56E3"/>
    <w:pPr>
      <w:numPr>
        <w:numId w:val="30"/>
      </w:numPr>
      <w:ind w:left="680" w:hanging="680"/>
    </w:pPr>
  </w:style>
  <w:style w:type="paragraph" w:customStyle="1" w:styleId="Numbered11">
    <w:name w:val="Numbered 1.1"/>
    <w:basedOn w:val="Heading2"/>
    <w:next w:val="Normal"/>
    <w:qFormat/>
    <w:rsid w:val="00DA56E3"/>
    <w:pPr>
      <w:numPr>
        <w:ilvl w:val="1"/>
        <w:numId w:val="30"/>
      </w:numPr>
      <w:ind w:left="1021" w:hanging="1021"/>
    </w:pPr>
    <w:rPr>
      <w:rFonts w:cs="Arial"/>
      <w:b w:val="0"/>
    </w:rPr>
  </w:style>
  <w:style w:type="paragraph" w:customStyle="1" w:styleId="Numbered111">
    <w:name w:val="Numbered 1.1.1"/>
    <w:basedOn w:val="Heading3"/>
    <w:next w:val="Normal"/>
    <w:qFormat/>
    <w:rsid w:val="00DA56E3"/>
    <w:pPr>
      <w:numPr>
        <w:ilvl w:val="2"/>
        <w:numId w:val="30"/>
      </w:numPr>
      <w:ind w:left="1247" w:hanging="1247"/>
      <w:contextualSpacing/>
    </w:pPr>
  </w:style>
  <w:style w:type="paragraph" w:customStyle="1" w:styleId="Numbered1111">
    <w:name w:val="Numbered 1.1.1.1"/>
    <w:basedOn w:val="Heading4"/>
    <w:next w:val="Normal"/>
    <w:rsid w:val="00DA56E3"/>
    <w:pPr>
      <w:numPr>
        <w:ilvl w:val="3"/>
        <w:numId w:val="30"/>
      </w:numPr>
      <w:ind w:left="1474" w:hanging="1474"/>
    </w:pPr>
  </w:style>
  <w:style w:type="paragraph" w:customStyle="1" w:styleId="Numbered11111">
    <w:name w:val="Numbered 1.1.1.1.1"/>
    <w:basedOn w:val="Heading5"/>
    <w:next w:val="Normal"/>
    <w:uiPriority w:val="2"/>
    <w:rsid w:val="00DA56E3"/>
    <w:pPr>
      <w:numPr>
        <w:ilvl w:val="4"/>
        <w:numId w:val="30"/>
      </w:numPr>
      <w:ind w:left="1701" w:hanging="1701"/>
    </w:pPr>
  </w:style>
  <w:style w:type="paragraph" w:customStyle="1" w:styleId="Numbered111111">
    <w:name w:val="Numbered 1.1.1.1.1.1"/>
    <w:basedOn w:val="Heading6"/>
    <w:next w:val="Normal"/>
    <w:uiPriority w:val="2"/>
    <w:rsid w:val="00DA56E3"/>
    <w:pPr>
      <w:numPr>
        <w:ilvl w:val="5"/>
        <w:numId w:val="30"/>
      </w:numPr>
      <w:ind w:left="2155" w:hanging="2155"/>
    </w:pPr>
  </w:style>
  <w:style w:type="character" w:customStyle="1" w:styleId="HeaderChar">
    <w:name w:val="Header Char"/>
    <w:link w:val="Header"/>
    <w:uiPriority w:val="99"/>
    <w:rsid w:val="00DA56E3"/>
    <w:rPr>
      <w:rFonts w:ascii="Arial" w:eastAsia="Arial" w:hAnsi="Arial"/>
      <w:color w:val="51626F"/>
      <w:sz w:val="18"/>
      <w:szCs w:val="22"/>
      <w:lang w:eastAsia="en-US"/>
    </w:rPr>
  </w:style>
  <w:style w:type="paragraph" w:styleId="NoSpacing">
    <w:name w:val="No Spacing"/>
    <w:uiPriority w:val="1"/>
    <w:qFormat/>
    <w:rsid w:val="00DA56E3"/>
    <w:rPr>
      <w:rFonts w:ascii="Arial" w:eastAsia="Arial" w:hAnsi="Arial"/>
      <w:sz w:val="22"/>
      <w:szCs w:val="22"/>
      <w:lang w:eastAsia="en-US"/>
    </w:rPr>
  </w:style>
  <w:style w:type="paragraph" w:customStyle="1" w:styleId="Tabletitle">
    <w:name w:val="Table title"/>
    <w:basedOn w:val="Normal"/>
    <w:link w:val="TabletitleChar"/>
    <w:qFormat/>
    <w:rsid w:val="00DA56E3"/>
    <w:pPr>
      <w:spacing w:before="240" w:after="120"/>
    </w:pPr>
    <w:rPr>
      <w:b/>
      <w:szCs w:val="20"/>
    </w:rPr>
  </w:style>
  <w:style w:type="character" w:customStyle="1" w:styleId="TabletitleChar">
    <w:name w:val="Table title Char"/>
    <w:link w:val="Tabletitle"/>
    <w:rsid w:val="00DA56E3"/>
    <w:rPr>
      <w:rFonts w:ascii="Arial" w:eastAsia="Arial" w:hAnsi="Arial"/>
      <w:b/>
      <w:sz w:val="22"/>
      <w:lang w:eastAsia="en-US"/>
    </w:rPr>
  </w:style>
  <w:style w:type="paragraph" w:customStyle="1" w:styleId="Charttitle">
    <w:name w:val="Chart title"/>
    <w:basedOn w:val="Tabletitle"/>
    <w:qFormat/>
    <w:rsid w:val="00DA56E3"/>
    <w:rPr>
      <w:sz w:val="24"/>
    </w:rPr>
  </w:style>
  <w:style w:type="paragraph" w:styleId="EndnoteText">
    <w:name w:val="endnote text"/>
    <w:basedOn w:val="Normal"/>
    <w:link w:val="EndnoteTextChar"/>
    <w:uiPriority w:val="99"/>
    <w:rsid w:val="00DA56E3"/>
    <w:pPr>
      <w:spacing w:before="0"/>
    </w:pPr>
    <w:rPr>
      <w:sz w:val="20"/>
      <w:szCs w:val="20"/>
    </w:rPr>
  </w:style>
  <w:style w:type="character" w:customStyle="1" w:styleId="EndnoteTextChar">
    <w:name w:val="Endnote Text Char"/>
    <w:link w:val="EndnoteText"/>
    <w:uiPriority w:val="99"/>
    <w:rsid w:val="00DA56E3"/>
    <w:rPr>
      <w:rFonts w:ascii="Arial" w:eastAsia="Arial" w:hAnsi="Arial"/>
      <w:lang w:eastAsia="en-US"/>
    </w:rPr>
  </w:style>
  <w:style w:type="paragraph" w:customStyle="1" w:styleId="Boxedtext">
    <w:name w:val="Boxed text"/>
    <w:basedOn w:val="Normal"/>
    <w:link w:val="BoxedtextChar"/>
    <w:uiPriority w:val="1"/>
    <w:rsid w:val="00DA56E3"/>
    <w:pPr>
      <w:pBdr>
        <w:top w:val="single" w:sz="4" w:space="1" w:color="FFFFFF"/>
        <w:left w:val="single" w:sz="4" w:space="4" w:color="FFFFFF"/>
        <w:bottom w:val="single" w:sz="4" w:space="1" w:color="FFFFFF"/>
        <w:right w:val="single" w:sz="4" w:space="4" w:color="FFFFFF"/>
      </w:pBdr>
      <w:shd w:val="clear" w:color="auto" w:fill="F2F2F2"/>
      <w:spacing w:after="240"/>
    </w:pPr>
    <w:rPr>
      <w:szCs w:val="20"/>
    </w:rPr>
  </w:style>
  <w:style w:type="character" w:customStyle="1" w:styleId="BoxedtextChar">
    <w:name w:val="Boxed text Char"/>
    <w:link w:val="Boxedtext"/>
    <w:uiPriority w:val="1"/>
    <w:rsid w:val="00DA56E3"/>
    <w:rPr>
      <w:rFonts w:ascii="Arial" w:eastAsia="Arial" w:hAnsi="Arial"/>
      <w:sz w:val="22"/>
      <w:shd w:val="clear" w:color="auto" w:fill="F2F2F2"/>
      <w:lang w:eastAsia="en-US"/>
    </w:rPr>
  </w:style>
  <w:style w:type="paragraph" w:customStyle="1" w:styleId="Pullquoteheading">
    <w:name w:val="Pull quote heading"/>
    <w:basedOn w:val="Normal"/>
    <w:link w:val="PullquoteheadingChar"/>
    <w:uiPriority w:val="1"/>
    <w:rsid w:val="00DA56E3"/>
    <w:pPr>
      <w:spacing w:after="120"/>
      <w:contextualSpacing/>
    </w:pPr>
    <w:rPr>
      <w:rFonts w:ascii="Lucida Fax" w:hAnsi="Lucida Fax"/>
      <w:b/>
      <w:color w:val="DC5034"/>
      <w:sz w:val="24"/>
      <w:szCs w:val="24"/>
    </w:rPr>
  </w:style>
  <w:style w:type="character" w:customStyle="1" w:styleId="PullquoteheadingChar">
    <w:name w:val="Pull quote heading Char"/>
    <w:link w:val="Pullquoteheading"/>
    <w:uiPriority w:val="1"/>
    <w:rsid w:val="00DA56E3"/>
    <w:rPr>
      <w:rFonts w:ascii="Lucida Fax" w:eastAsia="Arial" w:hAnsi="Lucida Fax"/>
      <w:b/>
      <w:color w:val="DC5034"/>
      <w:sz w:val="24"/>
      <w:szCs w:val="24"/>
      <w:lang w:eastAsia="en-US"/>
    </w:rPr>
  </w:style>
  <w:style w:type="paragraph" w:customStyle="1" w:styleId="Pullquotetext">
    <w:name w:val="Pull quote text"/>
    <w:link w:val="PullquotetextChar"/>
    <w:uiPriority w:val="1"/>
    <w:rsid w:val="00DA56E3"/>
    <w:pPr>
      <w:spacing w:before="120"/>
    </w:pPr>
    <w:rPr>
      <w:rFonts w:ascii="Lucida Fax" w:eastAsia="Arial" w:hAnsi="Lucida Fax"/>
      <w:color w:val="DC5034"/>
      <w:sz w:val="22"/>
      <w:szCs w:val="24"/>
      <w:lang w:eastAsia="en-US"/>
    </w:rPr>
  </w:style>
  <w:style w:type="character" w:customStyle="1" w:styleId="PullquotetextChar">
    <w:name w:val="Pull quote text Char"/>
    <w:link w:val="Pullquotetext"/>
    <w:uiPriority w:val="1"/>
    <w:rsid w:val="00DA56E3"/>
    <w:rPr>
      <w:rFonts w:ascii="Lucida Fax" w:eastAsia="Arial" w:hAnsi="Lucida Fax"/>
      <w:color w:val="DC5034"/>
      <w:sz w:val="22"/>
      <w:szCs w:val="24"/>
      <w:lang w:eastAsia="en-US"/>
    </w:rPr>
  </w:style>
  <w:style w:type="paragraph" w:customStyle="1" w:styleId="Note">
    <w:name w:val="Note"/>
    <w:basedOn w:val="Normal"/>
    <w:link w:val="NoteChar"/>
    <w:qFormat/>
    <w:rsid w:val="00DA56E3"/>
    <w:pPr>
      <w:spacing w:after="120"/>
    </w:pPr>
    <w:rPr>
      <w:i/>
      <w:sz w:val="16"/>
      <w:szCs w:val="16"/>
    </w:rPr>
  </w:style>
  <w:style w:type="character" w:customStyle="1" w:styleId="NoteChar">
    <w:name w:val="Note Char"/>
    <w:link w:val="Note"/>
    <w:rsid w:val="00DA56E3"/>
    <w:rPr>
      <w:rFonts w:ascii="Arial" w:eastAsia="Arial" w:hAnsi="Arial"/>
      <w:i/>
      <w:sz w:val="16"/>
      <w:szCs w:val="16"/>
      <w:lang w:eastAsia="en-US"/>
    </w:rPr>
  </w:style>
  <w:style w:type="paragraph" w:customStyle="1" w:styleId="Source">
    <w:name w:val="Source"/>
    <w:basedOn w:val="Normal"/>
    <w:link w:val="SourceChar"/>
    <w:rsid w:val="00DA56E3"/>
    <w:pPr>
      <w:spacing w:after="60"/>
    </w:pPr>
    <w:rPr>
      <w:sz w:val="16"/>
      <w:szCs w:val="16"/>
    </w:rPr>
  </w:style>
  <w:style w:type="character" w:customStyle="1" w:styleId="SourceChar">
    <w:name w:val="Source Char"/>
    <w:link w:val="Source"/>
    <w:rsid w:val="00DA56E3"/>
    <w:rPr>
      <w:rFonts w:ascii="Arial" w:eastAsia="Arial" w:hAnsi="Arial"/>
      <w:sz w:val="16"/>
      <w:szCs w:val="16"/>
      <w:lang w:eastAsia="en-US"/>
    </w:rPr>
  </w:style>
  <w:style w:type="paragraph" w:customStyle="1" w:styleId="Footnotes">
    <w:name w:val="Footnotes"/>
    <w:basedOn w:val="FootnoteText"/>
    <w:link w:val="FootnotesChar"/>
    <w:uiPriority w:val="4"/>
    <w:semiHidden/>
    <w:qFormat/>
    <w:rsid w:val="00DA56E3"/>
  </w:style>
  <w:style w:type="character" w:customStyle="1" w:styleId="FootnotesChar">
    <w:name w:val="Footnotes Char"/>
    <w:link w:val="Footnotes"/>
    <w:uiPriority w:val="4"/>
    <w:semiHidden/>
    <w:rsid w:val="00DA56E3"/>
    <w:rPr>
      <w:rFonts w:ascii="Arial" w:eastAsia="Arial" w:hAnsi="Arial"/>
      <w:sz w:val="16"/>
      <w:lang w:eastAsia="en-US"/>
    </w:rPr>
  </w:style>
  <w:style w:type="character" w:customStyle="1" w:styleId="QuoteChar">
    <w:name w:val="Quote Char"/>
    <w:link w:val="Quote"/>
    <w:uiPriority w:val="29"/>
    <w:rsid w:val="00DA56E3"/>
    <w:rPr>
      <w:rFonts w:ascii="Arial" w:eastAsia="Arial" w:hAnsi="Arial"/>
      <w:i/>
      <w:iCs/>
      <w:color w:val="000000"/>
      <w:sz w:val="22"/>
      <w:szCs w:val="22"/>
      <w:lang w:eastAsia="en-US"/>
    </w:rPr>
  </w:style>
  <w:style w:type="paragraph" w:customStyle="1" w:styleId="Bulletpoint">
    <w:name w:val="Bullet point"/>
    <w:basedOn w:val="ListBullet"/>
    <w:qFormat/>
    <w:rsid w:val="00DA56E3"/>
    <w:pPr>
      <w:numPr>
        <w:numId w:val="20"/>
      </w:numPr>
      <w:ind w:left="357" w:hanging="357"/>
    </w:pPr>
  </w:style>
  <w:style w:type="paragraph" w:customStyle="1" w:styleId="Bulletpoint2">
    <w:name w:val="Bullet point 2"/>
    <w:basedOn w:val="ListBullet2"/>
    <w:uiPriority w:val="1"/>
    <w:qFormat/>
    <w:rsid w:val="00DA56E3"/>
    <w:pPr>
      <w:numPr>
        <w:numId w:val="27"/>
      </w:numPr>
      <w:ind w:left="998" w:hanging="357"/>
    </w:pPr>
  </w:style>
  <w:style w:type="paragraph" w:styleId="TOCHeading">
    <w:name w:val="TOC Heading"/>
    <w:basedOn w:val="Normal"/>
    <w:next w:val="Normal"/>
    <w:uiPriority w:val="39"/>
    <w:qFormat/>
    <w:rsid w:val="00DA56E3"/>
    <w:pPr>
      <w:spacing w:before="480" w:after="120" w:line="276" w:lineRule="auto"/>
    </w:pPr>
    <w:rPr>
      <w:rFonts w:ascii="Lucida Fax" w:eastAsia="Times New Roman" w:hAnsi="Lucida Fax"/>
      <w:bCs/>
      <w:color w:val="51626F"/>
      <w:sz w:val="32"/>
      <w:szCs w:val="28"/>
      <w:lang w:val="en-US" w:eastAsia="ja-JP"/>
    </w:rPr>
  </w:style>
  <w:style w:type="paragraph" w:styleId="ListNumber2">
    <w:name w:val="List Number 2"/>
    <w:aliases w:val="List alphabet"/>
    <w:next w:val="Normal"/>
    <w:uiPriority w:val="99"/>
    <w:rsid w:val="00DA56E3"/>
    <w:pPr>
      <w:numPr>
        <w:numId w:val="23"/>
      </w:numPr>
      <w:spacing w:before="120"/>
      <w:ind w:left="357" w:hanging="357"/>
    </w:pPr>
    <w:rPr>
      <w:rFonts w:ascii="Arial" w:eastAsia="Arial" w:hAnsi="Arial"/>
      <w:sz w:val="22"/>
      <w:szCs w:val="22"/>
      <w:lang w:eastAsia="en-US"/>
    </w:rPr>
  </w:style>
  <w:style w:type="character" w:customStyle="1" w:styleId="BalloonTextChar">
    <w:name w:val="Balloon Text Char"/>
    <w:link w:val="BalloonText"/>
    <w:uiPriority w:val="99"/>
    <w:semiHidden/>
    <w:rsid w:val="00DA56E3"/>
    <w:rPr>
      <w:rFonts w:ascii="Tahoma" w:eastAsia="Arial" w:hAnsi="Tahoma" w:cs="Tahoma"/>
      <w:sz w:val="16"/>
      <w:szCs w:val="16"/>
      <w:lang w:eastAsia="en-US"/>
    </w:rPr>
  </w:style>
  <w:style w:type="paragraph" w:customStyle="1" w:styleId="Numbered1111111">
    <w:name w:val="Numbered 1.1.1.1.1.1.1"/>
    <w:basedOn w:val="Heading7"/>
    <w:next w:val="Normal"/>
    <w:uiPriority w:val="2"/>
    <w:rsid w:val="00DA56E3"/>
    <w:pPr>
      <w:numPr>
        <w:ilvl w:val="6"/>
        <w:numId w:val="30"/>
      </w:numPr>
      <w:ind w:left="2381" w:hanging="2381"/>
    </w:pPr>
  </w:style>
  <w:style w:type="paragraph" w:customStyle="1" w:styleId="Numbered11111111">
    <w:name w:val="Numbered 1.1.1.1.1.1.1.1"/>
    <w:basedOn w:val="Heading8"/>
    <w:next w:val="Normal"/>
    <w:uiPriority w:val="2"/>
    <w:rsid w:val="00DA56E3"/>
    <w:pPr>
      <w:numPr>
        <w:ilvl w:val="7"/>
        <w:numId w:val="30"/>
      </w:numPr>
      <w:ind w:left="2608" w:hanging="2608"/>
    </w:pPr>
  </w:style>
  <w:style w:type="table" w:styleId="LightShading">
    <w:name w:val="Light Shading"/>
    <w:basedOn w:val="TableNormal"/>
    <w:uiPriority w:val="60"/>
    <w:rsid w:val="00DA56E3"/>
    <w:pPr>
      <w:spacing w:before="120" w:after="120"/>
    </w:pPr>
    <w:rPr>
      <w:rFonts w:ascii="Arial" w:eastAsia="Arial" w:hAnsi="Arial"/>
      <w:szCs w:val="22"/>
      <w:lang w:eastAsia="en-US"/>
    </w:rPr>
    <w:tblPr>
      <w:tblInd w:w="0" w:type="dxa"/>
      <w:tblBorders>
        <w:top w:val="single" w:sz="4" w:space="0" w:color="D5D6D2"/>
        <w:left w:val="single" w:sz="4" w:space="0" w:color="D5D6D2"/>
        <w:bottom w:val="single" w:sz="4" w:space="0" w:color="D5D6D2"/>
        <w:right w:val="single" w:sz="4" w:space="0" w:color="D5D6D2"/>
        <w:insideH w:val="single" w:sz="4" w:space="0" w:color="D5D6D2"/>
        <w:insideV w:val="single" w:sz="4" w:space="0" w:color="D5D6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Arial" w:hAnsi="Arial"/>
        <w:b/>
        <w:bCs/>
        <w:sz w:val="20"/>
      </w:rPr>
      <w:tblPr/>
      <w:tcPr>
        <w:tcBorders>
          <w:top w:val="single" w:sz="4" w:space="0" w:color="D5D6D2"/>
          <w:left w:val="single" w:sz="4" w:space="0" w:color="D5D6D2"/>
          <w:bottom w:val="single" w:sz="4" w:space="0" w:color="D5D6D2"/>
          <w:right w:val="single" w:sz="4" w:space="0" w:color="D5D6D2"/>
          <w:insideH w:val="single" w:sz="4" w:space="0" w:color="D5D6D2"/>
          <w:insideV w:val="single" w:sz="4" w:space="0" w:color="D5D6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left w:val="single" w:sz="4" w:space="0" w:color="D5D6D2"/>
          <w:bottom w:val="single" w:sz="4" w:space="0" w:color="D5D6D2"/>
          <w:right w:val="single" w:sz="4" w:space="0" w:color="D5D6D2"/>
          <w:insideH w:val="single" w:sz="4" w:space="0" w:color="D5D6D2"/>
          <w:insideV w:val="single" w:sz="4" w:space="0" w:color="D5D6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DA56E3"/>
    <w:rPr>
      <w:rFonts w:ascii="Arial" w:eastAsia="Arial" w:hAnsi="Arial"/>
      <w:color w:val="3C4953"/>
      <w:sz w:val="22"/>
      <w:szCs w:val="22"/>
      <w:lang w:eastAsia="en-US"/>
    </w:rPr>
    <w:tblPr>
      <w:tblStyleRowBandSize w:val="1"/>
      <w:tblStyleColBandSize w:val="1"/>
      <w:tblInd w:w="0" w:type="dxa"/>
      <w:tblBorders>
        <w:top w:val="single" w:sz="8" w:space="0" w:color="51626F"/>
        <w:bottom w:val="single" w:sz="8" w:space="0" w:color="51626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left w:val="nil"/>
          <w:bottom w:val="single" w:sz="8" w:space="0" w:color="51626F"/>
          <w:right w:val="nil"/>
          <w:insideH w:val="nil"/>
          <w:insideV w:val="nil"/>
        </w:tcBorders>
      </w:tcPr>
    </w:tblStylePr>
    <w:tblStylePr w:type="lastRow">
      <w:pPr>
        <w:spacing w:before="0" w:after="0" w:line="240" w:lineRule="auto"/>
      </w:pPr>
      <w:rPr>
        <w:b/>
        <w:bCs/>
      </w:rPr>
      <w:tblPr/>
      <w:tcPr>
        <w:tcBorders>
          <w:top w:val="single" w:sz="8" w:space="0" w:color="51626F"/>
          <w:left w:val="nil"/>
          <w:bottom w:val="single" w:sz="8" w:space="0" w:color="5162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cPr>
    </w:tblStylePr>
    <w:tblStylePr w:type="band1Horz">
      <w:tblPr/>
      <w:tcPr>
        <w:tcBorders>
          <w:left w:val="nil"/>
          <w:right w:val="nil"/>
          <w:insideH w:val="nil"/>
          <w:insideV w:val="nil"/>
        </w:tcBorders>
        <w:shd w:val="clear" w:color="auto" w:fill="D1D8DD"/>
      </w:tcPr>
    </w:tblStylePr>
  </w:style>
  <w:style w:type="table" w:styleId="LightShading-Accent2">
    <w:name w:val="Light Shading Accent 2"/>
    <w:basedOn w:val="TableNormal"/>
    <w:uiPriority w:val="60"/>
    <w:rsid w:val="00DA56E3"/>
    <w:rPr>
      <w:rFonts w:ascii="Arial" w:eastAsia="Arial" w:hAnsi="Arial"/>
      <w:color w:val="000000"/>
      <w:sz w:val="22"/>
      <w:szCs w:val="22"/>
      <w:lang w:eastAsia="en-US"/>
    </w:rPr>
    <w:tblPr>
      <w:tblInd w:w="0" w:type="dxa"/>
      <w:tblBorders>
        <w:top w:val="single" w:sz="4" w:space="0" w:color="B71202"/>
        <w:left w:val="single" w:sz="4" w:space="0" w:color="B71202"/>
        <w:bottom w:val="single" w:sz="4" w:space="0" w:color="B71202"/>
        <w:right w:val="single" w:sz="4" w:space="0" w:color="B71202"/>
        <w:insideH w:val="single" w:sz="4" w:space="0" w:color="B71202"/>
        <w:insideV w:val="single" w:sz="4" w:space="0" w:color="B71202"/>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left w:val="single" w:sz="4" w:space="0" w:color="B71202"/>
          <w:bottom w:val="single" w:sz="4" w:space="0" w:color="B71202"/>
          <w:right w:val="single" w:sz="4" w:space="0" w:color="B71202"/>
          <w:insideH w:val="single" w:sz="4" w:space="0" w:color="B71202"/>
          <w:insideV w:val="single" w:sz="4" w:space="0" w:color="B71202"/>
          <w:tl2br w:val="nil"/>
          <w:tr2bl w:val="nil"/>
        </w:tcBorders>
      </w:tcPr>
    </w:tblStylePr>
    <w:tblStylePr w:type="lastRow">
      <w:pPr>
        <w:spacing w:before="0" w:after="0" w:line="240" w:lineRule="auto"/>
      </w:pPr>
      <w:rPr>
        <w:b w:val="0"/>
        <w:bCs/>
      </w:rPr>
      <w:tblPr/>
      <w:tcPr>
        <w:tcBorders>
          <w:top w:val="single" w:sz="4" w:space="0" w:color="B71202"/>
          <w:left w:val="single" w:sz="4" w:space="0" w:color="B71202"/>
          <w:bottom w:val="single" w:sz="4" w:space="0" w:color="B71202"/>
          <w:right w:val="single" w:sz="4" w:space="0" w:color="B71202"/>
          <w:insideH w:val="single" w:sz="4" w:space="0" w:color="B71202"/>
          <w:insideV w:val="single" w:sz="4" w:space="0" w:color="B71202"/>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DA56E3"/>
    <w:rPr>
      <w:rFonts w:ascii="Arial" w:eastAsia="Arial" w:hAnsi="Arial"/>
      <w:color w:val="007192"/>
      <w:sz w:val="22"/>
      <w:szCs w:val="22"/>
      <w:lang w:eastAsia="en-US"/>
    </w:rPr>
    <w:tblPr>
      <w:tblStyleRowBandSize w:val="1"/>
      <w:tblStyleColBandSize w:val="1"/>
      <w:tblInd w:w="0" w:type="dxa"/>
      <w:tblBorders>
        <w:top w:val="single" w:sz="8" w:space="0" w:color="0098C3"/>
        <w:bottom w:val="single" w:sz="8" w:space="0" w:color="0098C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left w:val="nil"/>
          <w:bottom w:val="single" w:sz="8" w:space="0" w:color="0098C3"/>
          <w:right w:val="nil"/>
          <w:insideH w:val="nil"/>
          <w:insideV w:val="nil"/>
        </w:tcBorders>
      </w:tcPr>
    </w:tblStylePr>
    <w:tblStylePr w:type="lastRow">
      <w:pPr>
        <w:spacing w:before="0" w:after="0" w:line="240" w:lineRule="auto"/>
      </w:pPr>
      <w:rPr>
        <w:b/>
        <w:bCs/>
      </w:rPr>
      <w:tblPr/>
      <w:tcPr>
        <w:tcBorders>
          <w:top w:val="single" w:sz="8" w:space="0" w:color="0098C3"/>
          <w:left w:val="nil"/>
          <w:bottom w:val="single" w:sz="8" w:space="0" w:color="0098C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cPr>
    </w:tblStylePr>
    <w:tblStylePr w:type="band1Horz">
      <w:tblPr/>
      <w:tcPr>
        <w:tcBorders>
          <w:left w:val="nil"/>
          <w:right w:val="nil"/>
          <w:insideH w:val="nil"/>
          <w:insideV w:val="nil"/>
        </w:tcBorders>
        <w:shd w:val="clear" w:color="auto" w:fill="B1EDFF"/>
      </w:tcPr>
    </w:tblStylePr>
  </w:style>
  <w:style w:type="table" w:styleId="LightGrid-Accent6">
    <w:name w:val="Light Grid Accent 6"/>
    <w:basedOn w:val="TableNormal"/>
    <w:uiPriority w:val="62"/>
    <w:rsid w:val="00DA56E3"/>
    <w:rPr>
      <w:rFonts w:ascii="Arial" w:eastAsia="Arial" w:hAnsi="Arial"/>
      <w:sz w:val="22"/>
      <w:szCs w:val="22"/>
      <w:lang w:eastAsia="en-US"/>
    </w:rPr>
    <w:tblPr>
      <w:tblStyleRowBandSize w:val="1"/>
      <w:tblStyleColBandSize w:val="1"/>
      <w:tblInd w:w="0" w:type="dxa"/>
      <w:tblBorders>
        <w:top w:val="single" w:sz="8" w:space="0" w:color="DC5034"/>
        <w:left w:val="single" w:sz="8" w:space="0" w:color="DC5034"/>
        <w:bottom w:val="single" w:sz="8" w:space="0" w:color="DC5034"/>
        <w:right w:val="single" w:sz="8" w:space="0" w:color="DC5034"/>
        <w:insideH w:val="single" w:sz="8" w:space="0" w:color="DC5034"/>
        <w:insideV w:val="single" w:sz="8" w:space="0" w:color="DC5034"/>
      </w:tblBorders>
      <w:tblCellMar>
        <w:top w:w="0" w:type="dxa"/>
        <w:left w:w="108" w:type="dxa"/>
        <w:bottom w:w="0" w:type="dxa"/>
        <w:right w:w="108" w:type="dxa"/>
      </w:tblCellMar>
    </w:tblPr>
    <w:tblStylePr w:type="firstRow">
      <w:pPr>
        <w:spacing w:before="0" w:after="0" w:line="240" w:lineRule="auto"/>
      </w:pPr>
      <w:rPr>
        <w:rFonts w:ascii="Lucida Fax" w:eastAsia="Times New Roman" w:hAnsi="Lucida Fax" w:cs="Times New Roman"/>
        <w:b/>
        <w:bCs/>
      </w:rPr>
      <w:tblPr/>
      <w:tcPr>
        <w:tcBorders>
          <w:top w:val="single" w:sz="8" w:space="0" w:color="DC5034"/>
          <w:left w:val="single" w:sz="8" w:space="0" w:color="DC5034"/>
          <w:bottom w:val="single" w:sz="18" w:space="0" w:color="DC5034"/>
          <w:right w:val="single" w:sz="8" w:space="0" w:color="DC5034"/>
          <w:insideH w:val="nil"/>
          <w:insideV w:val="single" w:sz="8" w:space="0" w:color="DC5034"/>
        </w:tcBorders>
      </w:tcPr>
    </w:tblStylePr>
    <w:tblStylePr w:type="lastRow">
      <w:pPr>
        <w:spacing w:before="0" w:after="0" w:line="240" w:lineRule="auto"/>
      </w:pPr>
      <w:rPr>
        <w:rFonts w:ascii="Lucida Fax" w:eastAsia="Times New Roman" w:hAnsi="Lucida Fax" w:cs="Times New Roman"/>
        <w:b/>
        <w:bCs/>
      </w:rPr>
      <w:tblPr/>
      <w:tcPr>
        <w:tcBorders>
          <w:top w:val="double" w:sz="6" w:space="0" w:color="DC5034"/>
          <w:left w:val="single" w:sz="8" w:space="0" w:color="DC5034"/>
          <w:bottom w:val="single" w:sz="8" w:space="0" w:color="DC5034"/>
          <w:right w:val="single" w:sz="8" w:space="0" w:color="DC5034"/>
          <w:insideH w:val="nil"/>
          <w:insideV w:val="single" w:sz="8" w:space="0" w:color="DC5034"/>
        </w:tcBorders>
      </w:tcPr>
    </w:tblStylePr>
    <w:tblStylePr w:type="firstCol">
      <w:rPr>
        <w:rFonts w:ascii="Lucida Fax" w:eastAsia="Times New Roman" w:hAnsi="Lucida Fax" w:cs="Times New Roman"/>
        <w:b/>
        <w:bCs/>
      </w:rPr>
    </w:tblStylePr>
    <w:tblStylePr w:type="lastCol">
      <w:rPr>
        <w:rFonts w:ascii="Lucida Fax" w:eastAsia="Times New Roman" w:hAnsi="Lucida Fax" w:cs="Times New Roman"/>
        <w:b/>
        <w:bCs/>
      </w:rPr>
      <w:tblPr/>
      <w:tcPr>
        <w:tcBorders>
          <w:top w:val="single" w:sz="8" w:space="0" w:color="DC5034"/>
          <w:left w:val="single" w:sz="8" w:space="0" w:color="DC5034"/>
          <w:bottom w:val="single" w:sz="8" w:space="0" w:color="DC5034"/>
          <w:right w:val="single" w:sz="8" w:space="0" w:color="DC5034"/>
        </w:tcBorders>
      </w:tcPr>
    </w:tblStylePr>
    <w:tblStylePr w:type="band1Vert">
      <w:tblPr/>
      <w:tcPr>
        <w:tcBorders>
          <w:top w:val="single" w:sz="8" w:space="0" w:color="DC5034"/>
          <w:left w:val="single" w:sz="8" w:space="0" w:color="DC5034"/>
          <w:bottom w:val="single" w:sz="8" w:space="0" w:color="DC5034"/>
          <w:right w:val="single" w:sz="8" w:space="0" w:color="DC5034"/>
        </w:tcBorders>
        <w:shd w:val="clear" w:color="auto" w:fill="F6D3CC"/>
      </w:tcPr>
    </w:tblStylePr>
    <w:tblStylePr w:type="band1Horz">
      <w:tblPr/>
      <w:tcPr>
        <w:tcBorders>
          <w:top w:val="single" w:sz="8" w:space="0" w:color="DC5034"/>
          <w:left w:val="single" w:sz="8" w:space="0" w:color="DC5034"/>
          <w:bottom w:val="single" w:sz="8" w:space="0" w:color="DC5034"/>
          <w:right w:val="single" w:sz="8" w:space="0" w:color="DC5034"/>
          <w:insideV w:val="single" w:sz="8" w:space="0" w:color="DC5034"/>
        </w:tcBorders>
        <w:shd w:val="clear" w:color="auto" w:fill="F6D3CC"/>
      </w:tcPr>
    </w:tblStylePr>
    <w:tblStylePr w:type="band2Horz">
      <w:tblPr/>
      <w:tcPr>
        <w:tcBorders>
          <w:top w:val="single" w:sz="8" w:space="0" w:color="DC5034"/>
          <w:left w:val="single" w:sz="8" w:space="0" w:color="DC5034"/>
          <w:bottom w:val="single" w:sz="8" w:space="0" w:color="DC5034"/>
          <w:right w:val="single" w:sz="8" w:space="0" w:color="DC5034"/>
          <w:insideV w:val="single" w:sz="8" w:space="0" w:color="DC5034"/>
        </w:tcBorders>
      </w:tcPr>
    </w:tblStylePr>
  </w:style>
  <w:style w:type="table" w:styleId="MediumShading1">
    <w:name w:val="Medium Shading 1"/>
    <w:basedOn w:val="TableNormal"/>
    <w:uiPriority w:val="63"/>
    <w:rsid w:val="00DA56E3"/>
    <w:rPr>
      <w:rFonts w:ascii="Arial" w:eastAsia="Arial" w:hAnsi="Arial"/>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56E3"/>
    <w:rPr>
      <w:rFonts w:ascii="Arial" w:eastAsia="Arial" w:hAnsi="Arial"/>
      <w:sz w:val="22"/>
      <w:szCs w:val="22"/>
      <w:lang w:eastAsia="en-US"/>
    </w:rPr>
    <w:tblPr>
      <w:tblStyleRowBandSize w:val="1"/>
      <w:tblStyleColBandSize w:val="1"/>
      <w:tblInd w:w="0" w:type="dxa"/>
      <w:tblBorders>
        <w:top w:val="single" w:sz="8" w:space="0" w:color="758A9A"/>
        <w:left w:val="single" w:sz="8" w:space="0" w:color="758A9A"/>
        <w:bottom w:val="single" w:sz="8" w:space="0" w:color="758A9A"/>
        <w:right w:val="single" w:sz="8" w:space="0" w:color="758A9A"/>
        <w:insideH w:val="single" w:sz="8" w:space="0" w:color="758A9A"/>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58A9A"/>
          <w:left w:val="single" w:sz="8" w:space="0" w:color="758A9A"/>
          <w:bottom w:val="single" w:sz="8" w:space="0" w:color="758A9A"/>
          <w:right w:val="single" w:sz="8" w:space="0" w:color="758A9A"/>
          <w:insideH w:val="nil"/>
          <w:insideV w:val="nil"/>
        </w:tcBorders>
        <w:shd w:val="clear" w:color="auto" w:fill="51626F"/>
      </w:tcPr>
    </w:tblStylePr>
    <w:tblStylePr w:type="lastRow">
      <w:pPr>
        <w:spacing w:before="0" w:after="0" w:line="240" w:lineRule="auto"/>
      </w:pPr>
      <w:rPr>
        <w:b/>
        <w:bCs/>
      </w:rPr>
      <w:tblPr/>
      <w:tcPr>
        <w:tcBorders>
          <w:top w:val="double" w:sz="6" w:space="0" w:color="758A9A"/>
          <w:left w:val="single" w:sz="8" w:space="0" w:color="758A9A"/>
          <w:bottom w:val="single" w:sz="8" w:space="0" w:color="758A9A"/>
          <w:right w:val="single" w:sz="8" w:space="0" w:color="758A9A"/>
          <w:insideH w:val="nil"/>
          <w:insideV w:val="nil"/>
        </w:tcBorders>
      </w:tcPr>
    </w:tblStylePr>
    <w:tblStylePr w:type="firstCol">
      <w:rPr>
        <w:b/>
        <w:bCs/>
      </w:rPr>
    </w:tblStylePr>
    <w:tblStylePr w:type="lastCol">
      <w:rPr>
        <w:b/>
        <w:bCs/>
      </w:rPr>
    </w:tblStylePr>
    <w:tblStylePr w:type="band1Vert">
      <w:tblPr/>
      <w:tcPr>
        <w:shd w:val="clear" w:color="auto" w:fill="D1D8DD"/>
      </w:tcPr>
    </w:tblStylePr>
    <w:tblStylePr w:type="band1Horz">
      <w:tblPr/>
      <w:tcPr>
        <w:tcBorders>
          <w:insideH w:val="nil"/>
          <w:insideV w:val="nil"/>
        </w:tcBorders>
        <w:shd w:val="clear" w:color="auto" w:fill="D1D8DD"/>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56E3"/>
    <w:rPr>
      <w:rFonts w:ascii="Arial" w:eastAsia="Arial" w:hAnsi="Arial"/>
      <w:sz w:val="22"/>
      <w:szCs w:val="22"/>
      <w:lang w:eastAsia="en-US"/>
    </w:rPr>
    <w:tblPr>
      <w:tblStyleRowBandSize w:val="1"/>
      <w:tblStyleColBandSize w:val="1"/>
      <w:tblInd w:w="0" w:type="dxa"/>
      <w:tblBorders>
        <w:top w:val="single" w:sz="8" w:space="0" w:color="7643BB"/>
        <w:left w:val="single" w:sz="8" w:space="0" w:color="7643BB"/>
        <w:bottom w:val="single" w:sz="8" w:space="0" w:color="7643BB"/>
        <w:right w:val="single" w:sz="8" w:space="0" w:color="7643BB"/>
        <w:insideH w:val="single" w:sz="8" w:space="0" w:color="7643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643BB"/>
          <w:left w:val="single" w:sz="8" w:space="0" w:color="7643BB"/>
          <w:bottom w:val="single" w:sz="8" w:space="0" w:color="7643BB"/>
          <w:right w:val="single" w:sz="8" w:space="0" w:color="7643BB"/>
          <w:insideH w:val="nil"/>
          <w:insideV w:val="nil"/>
        </w:tcBorders>
        <w:shd w:val="clear" w:color="auto" w:fill="4F2D7D"/>
      </w:tcPr>
    </w:tblStylePr>
    <w:tblStylePr w:type="lastRow">
      <w:pPr>
        <w:spacing w:before="0" w:after="0" w:line="240" w:lineRule="auto"/>
      </w:pPr>
      <w:rPr>
        <w:b/>
        <w:bCs/>
      </w:rPr>
      <w:tblPr/>
      <w:tcPr>
        <w:tcBorders>
          <w:top w:val="double" w:sz="6" w:space="0" w:color="7643BB"/>
          <w:left w:val="single" w:sz="8" w:space="0" w:color="7643BB"/>
          <w:bottom w:val="single" w:sz="8" w:space="0" w:color="7643BB"/>
          <w:right w:val="single" w:sz="8" w:space="0" w:color="7643BB"/>
          <w:insideH w:val="nil"/>
          <w:insideV w:val="nil"/>
        </w:tcBorders>
      </w:tcPr>
    </w:tblStylePr>
    <w:tblStylePr w:type="firstCol">
      <w:rPr>
        <w:b/>
        <w:bCs/>
      </w:rPr>
    </w:tblStylePr>
    <w:tblStylePr w:type="lastCol">
      <w:rPr>
        <w:b/>
        <w:bCs/>
      </w:rPr>
    </w:tblStylePr>
    <w:tblStylePr w:type="band1Vert">
      <w:tblPr/>
      <w:tcPr>
        <w:shd w:val="clear" w:color="auto" w:fill="D1C1E8"/>
      </w:tcPr>
    </w:tblStylePr>
    <w:tblStylePr w:type="band1Horz">
      <w:tblPr/>
      <w:tcPr>
        <w:tcBorders>
          <w:insideH w:val="nil"/>
          <w:insideV w:val="nil"/>
        </w:tcBorders>
        <w:shd w:val="clear" w:color="auto" w:fill="D1C1E8"/>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56E3"/>
    <w:rPr>
      <w:rFonts w:ascii="Arial" w:eastAsia="Arial" w:hAnsi="Arial"/>
      <w:sz w:val="22"/>
      <w:szCs w:val="22"/>
      <w:lang w:eastAsia="en-US"/>
    </w:rPr>
    <w:tblPr>
      <w:tblStyleRowBandSize w:val="1"/>
      <w:tblStyleColBandSize w:val="1"/>
      <w:tblInd w:w="0" w:type="dxa"/>
      <w:tblBorders>
        <w:top w:val="single" w:sz="8" w:space="0" w:color="13CAFF"/>
        <w:left w:val="single" w:sz="8" w:space="0" w:color="13CAFF"/>
        <w:bottom w:val="single" w:sz="8" w:space="0" w:color="13CAFF"/>
        <w:right w:val="single" w:sz="8" w:space="0" w:color="13CAFF"/>
        <w:insideH w:val="single" w:sz="8" w:space="0" w:color="13CAF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13CAFF"/>
          <w:left w:val="single" w:sz="8" w:space="0" w:color="13CAFF"/>
          <w:bottom w:val="single" w:sz="8" w:space="0" w:color="13CAFF"/>
          <w:right w:val="single" w:sz="8" w:space="0" w:color="13CAFF"/>
          <w:insideH w:val="nil"/>
          <w:insideV w:val="nil"/>
        </w:tcBorders>
        <w:shd w:val="clear" w:color="auto" w:fill="0098C3"/>
      </w:tcPr>
    </w:tblStylePr>
    <w:tblStylePr w:type="lastRow">
      <w:pPr>
        <w:spacing w:before="0" w:after="0" w:line="240" w:lineRule="auto"/>
      </w:pPr>
      <w:rPr>
        <w:b/>
        <w:bCs/>
      </w:rPr>
      <w:tblPr/>
      <w:tcPr>
        <w:tcBorders>
          <w:top w:val="double" w:sz="6" w:space="0" w:color="13CAFF"/>
          <w:left w:val="single" w:sz="8" w:space="0" w:color="13CAFF"/>
          <w:bottom w:val="single" w:sz="8" w:space="0" w:color="13CAFF"/>
          <w:right w:val="single" w:sz="8" w:space="0" w:color="13CAFF"/>
          <w:insideH w:val="nil"/>
          <w:insideV w:val="nil"/>
        </w:tcBorders>
      </w:tcPr>
    </w:tblStylePr>
    <w:tblStylePr w:type="firstCol">
      <w:rPr>
        <w:b/>
        <w:bCs/>
      </w:rPr>
    </w:tblStylePr>
    <w:tblStylePr w:type="lastCol">
      <w:rPr>
        <w:b/>
        <w:bCs/>
      </w:rPr>
    </w:tblStylePr>
    <w:tblStylePr w:type="band1Vert">
      <w:tblPr/>
      <w:tcPr>
        <w:shd w:val="clear" w:color="auto" w:fill="B1EDFF"/>
      </w:tcPr>
    </w:tblStylePr>
    <w:tblStylePr w:type="band1Horz">
      <w:tblPr/>
      <w:tcPr>
        <w:tcBorders>
          <w:insideH w:val="nil"/>
          <w:insideV w:val="nil"/>
        </w:tcBorders>
        <w:shd w:val="clear" w:color="auto" w:fill="B1EDF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56E3"/>
    <w:rPr>
      <w:rFonts w:ascii="Arial" w:eastAsia="Arial" w:hAnsi="Arial"/>
      <w:sz w:val="22"/>
      <w:szCs w:val="22"/>
      <w:lang w:eastAsia="en-US"/>
    </w:rPr>
    <w:tblPr>
      <w:tblStyleRowBandSize w:val="1"/>
      <w:tblStyleColBandSize w:val="1"/>
      <w:tblInd w:w="0" w:type="dxa"/>
      <w:tblBorders>
        <w:top w:val="single" w:sz="8" w:space="0" w:color="B7DAF0"/>
        <w:left w:val="single" w:sz="8" w:space="0" w:color="B7DAF0"/>
        <w:bottom w:val="single" w:sz="8" w:space="0" w:color="B7DAF0"/>
        <w:right w:val="single" w:sz="8" w:space="0" w:color="B7DAF0"/>
        <w:insideH w:val="single" w:sz="8" w:space="0" w:color="B7DAF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7DAF0"/>
          <w:left w:val="single" w:sz="8" w:space="0" w:color="B7DAF0"/>
          <w:bottom w:val="single" w:sz="8" w:space="0" w:color="B7DAF0"/>
          <w:right w:val="single" w:sz="8" w:space="0" w:color="B7DAF0"/>
          <w:insideH w:val="nil"/>
          <w:insideV w:val="nil"/>
        </w:tcBorders>
        <w:shd w:val="clear" w:color="auto" w:fill="A0CFEB"/>
      </w:tcPr>
    </w:tblStylePr>
    <w:tblStylePr w:type="lastRow">
      <w:pPr>
        <w:spacing w:before="0" w:after="0" w:line="240" w:lineRule="auto"/>
      </w:pPr>
      <w:rPr>
        <w:b/>
        <w:bCs/>
      </w:rPr>
      <w:tblPr/>
      <w:tcPr>
        <w:tcBorders>
          <w:top w:val="double" w:sz="6" w:space="0" w:color="B7DAF0"/>
          <w:left w:val="single" w:sz="8" w:space="0" w:color="B7DAF0"/>
          <w:bottom w:val="single" w:sz="8" w:space="0" w:color="B7DAF0"/>
          <w:right w:val="single" w:sz="8" w:space="0" w:color="B7DAF0"/>
          <w:insideH w:val="nil"/>
          <w:insideV w:val="nil"/>
        </w:tcBorders>
      </w:tcPr>
    </w:tblStylePr>
    <w:tblStylePr w:type="firstCol">
      <w:rPr>
        <w:b/>
        <w:bCs/>
      </w:rPr>
    </w:tblStylePr>
    <w:tblStylePr w:type="lastCol">
      <w:rPr>
        <w:b/>
        <w:bCs/>
      </w:rPr>
    </w:tblStylePr>
    <w:tblStylePr w:type="band1Vert">
      <w:tblPr/>
      <w:tcPr>
        <w:shd w:val="clear" w:color="auto" w:fill="E7F3FA"/>
      </w:tcPr>
    </w:tblStylePr>
    <w:tblStylePr w:type="band1Horz">
      <w:tblPr/>
      <w:tcPr>
        <w:tcBorders>
          <w:insideH w:val="nil"/>
          <w:insideV w:val="nil"/>
        </w:tcBorders>
        <w:shd w:val="clear" w:color="auto" w:fill="E7F3FA"/>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56E3"/>
    <w:rPr>
      <w:rFonts w:ascii="Arial" w:eastAsia="Arial" w:hAnsi="Arial"/>
      <w:sz w:val="22"/>
      <w:szCs w:val="22"/>
      <w:lang w:eastAsia="en-US"/>
    </w:rPr>
    <w:tblPr>
      <w:tblStyleRowBandSize w:val="1"/>
      <w:tblStyleColBandSize w:val="1"/>
      <w:tblInd w:w="0" w:type="dxa"/>
      <w:tblBorders>
        <w:top w:val="single" w:sz="8" w:space="0" w:color="FC220E"/>
        <w:left w:val="single" w:sz="8" w:space="0" w:color="FC220E"/>
        <w:bottom w:val="single" w:sz="8" w:space="0" w:color="FC220E"/>
        <w:right w:val="single" w:sz="8" w:space="0" w:color="FC220E"/>
        <w:insideH w:val="single" w:sz="8" w:space="0" w:color="FC220E"/>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C220E"/>
          <w:left w:val="single" w:sz="8" w:space="0" w:color="FC220E"/>
          <w:bottom w:val="single" w:sz="8" w:space="0" w:color="FC220E"/>
          <w:right w:val="single" w:sz="8" w:space="0" w:color="FC220E"/>
          <w:insideH w:val="nil"/>
          <w:insideV w:val="nil"/>
        </w:tcBorders>
        <w:shd w:val="clear" w:color="auto" w:fill="B71202"/>
      </w:tcPr>
    </w:tblStylePr>
    <w:tblStylePr w:type="lastRow">
      <w:pPr>
        <w:spacing w:before="0" w:after="0" w:line="240" w:lineRule="auto"/>
      </w:pPr>
      <w:rPr>
        <w:b/>
        <w:bCs/>
      </w:rPr>
      <w:tblPr/>
      <w:tcPr>
        <w:tcBorders>
          <w:top w:val="double" w:sz="6" w:space="0" w:color="FC220E"/>
          <w:left w:val="single" w:sz="8" w:space="0" w:color="FC220E"/>
          <w:bottom w:val="single" w:sz="8" w:space="0" w:color="FC220E"/>
          <w:right w:val="single" w:sz="8" w:space="0" w:color="FC220E"/>
          <w:insideH w:val="nil"/>
          <w:insideV w:val="nil"/>
        </w:tcBorders>
      </w:tcPr>
    </w:tblStylePr>
    <w:tblStylePr w:type="firstCol">
      <w:rPr>
        <w:b/>
        <w:bCs/>
      </w:rPr>
    </w:tblStylePr>
    <w:tblStylePr w:type="lastCol">
      <w:rPr>
        <w:b/>
        <w:bCs/>
      </w:rPr>
    </w:tblStylePr>
    <w:tblStylePr w:type="band1Vert">
      <w:tblPr/>
      <w:tcPr>
        <w:shd w:val="clear" w:color="auto" w:fill="FEB6AF"/>
      </w:tcPr>
    </w:tblStylePr>
    <w:tblStylePr w:type="band1Horz">
      <w:tblPr/>
      <w:tcPr>
        <w:tcBorders>
          <w:insideH w:val="nil"/>
          <w:insideV w:val="nil"/>
        </w:tcBorders>
        <w:shd w:val="clear" w:color="auto" w:fill="FEB6AF"/>
      </w:tcPr>
    </w:tblStylePr>
    <w:tblStylePr w:type="band2Horz">
      <w:tblPr/>
      <w:tcPr>
        <w:tcBorders>
          <w:insideH w:val="nil"/>
          <w:insideV w:val="nil"/>
        </w:tcBorders>
      </w:tcPr>
    </w:tblStylePr>
  </w:style>
  <w:style w:type="table" w:styleId="LightList">
    <w:name w:val="Light List"/>
    <w:basedOn w:val="TableNormal"/>
    <w:uiPriority w:val="61"/>
    <w:rsid w:val="00DA56E3"/>
    <w:rPr>
      <w:rFonts w:ascii="Arial" w:eastAsia="Arial" w:hAnsi="Arial"/>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5">
    <w:name w:val="Light Shading Accent 5"/>
    <w:basedOn w:val="TableNormal"/>
    <w:uiPriority w:val="60"/>
    <w:rsid w:val="00DA56E3"/>
    <w:rPr>
      <w:rFonts w:ascii="Arial" w:eastAsia="Arial" w:hAnsi="Arial"/>
      <w:color w:val="880D01"/>
      <w:sz w:val="22"/>
      <w:szCs w:val="22"/>
      <w:lang w:eastAsia="en-US"/>
    </w:rPr>
    <w:tblPr>
      <w:tblStyleRowBandSize w:val="1"/>
      <w:tblStyleColBandSize w:val="1"/>
      <w:tblInd w:w="0" w:type="dxa"/>
      <w:tblBorders>
        <w:top w:val="single" w:sz="8" w:space="0" w:color="B71202"/>
        <w:bottom w:val="single" w:sz="8" w:space="0" w:color="B7120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left w:val="nil"/>
          <w:bottom w:val="single" w:sz="8" w:space="0" w:color="B71202"/>
          <w:right w:val="nil"/>
          <w:insideH w:val="nil"/>
          <w:insideV w:val="nil"/>
        </w:tcBorders>
      </w:tcPr>
    </w:tblStylePr>
    <w:tblStylePr w:type="lastRow">
      <w:pPr>
        <w:spacing w:before="0" w:after="0" w:line="240" w:lineRule="auto"/>
      </w:pPr>
      <w:rPr>
        <w:b/>
        <w:bCs/>
      </w:rPr>
      <w:tblPr/>
      <w:tcPr>
        <w:tcBorders>
          <w:top w:val="single" w:sz="8" w:space="0" w:color="B71202"/>
          <w:left w:val="nil"/>
          <w:bottom w:val="single" w:sz="8" w:space="0" w:color="B7120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cPr>
    </w:tblStylePr>
    <w:tblStylePr w:type="band1Horz">
      <w:tblPr/>
      <w:tcPr>
        <w:tcBorders>
          <w:left w:val="nil"/>
          <w:right w:val="nil"/>
          <w:insideH w:val="nil"/>
          <w:insideV w:val="nil"/>
        </w:tcBorders>
        <w:shd w:val="clear" w:color="auto" w:fill="FEB6AF"/>
      </w:tcPr>
    </w:tblStylePr>
  </w:style>
  <w:style w:type="table" w:styleId="LightGrid-Accent3">
    <w:name w:val="Light Grid Accent 3"/>
    <w:basedOn w:val="TableNormal"/>
    <w:uiPriority w:val="62"/>
    <w:rsid w:val="00DA56E3"/>
    <w:rPr>
      <w:rFonts w:ascii="Arial" w:eastAsia="Arial" w:hAnsi="Arial"/>
      <w:sz w:val="22"/>
      <w:szCs w:val="22"/>
      <w:lang w:eastAsia="en-US"/>
    </w:rPr>
    <w:tblPr>
      <w:tblStyleRowBandSize w:val="1"/>
      <w:tblStyleColBandSize w:val="1"/>
      <w:tblInd w:w="0" w:type="dxa"/>
      <w:tblBorders>
        <w:top w:val="single" w:sz="8" w:space="0" w:color="0098C3"/>
        <w:left w:val="single" w:sz="8" w:space="0" w:color="0098C3"/>
        <w:bottom w:val="single" w:sz="8" w:space="0" w:color="0098C3"/>
        <w:right w:val="single" w:sz="8" w:space="0" w:color="0098C3"/>
        <w:insideH w:val="single" w:sz="8" w:space="0" w:color="0098C3"/>
        <w:insideV w:val="single" w:sz="8" w:space="0" w:color="0098C3"/>
      </w:tblBorders>
      <w:tblCellMar>
        <w:top w:w="0" w:type="dxa"/>
        <w:left w:w="108" w:type="dxa"/>
        <w:bottom w:w="0" w:type="dxa"/>
        <w:right w:w="108" w:type="dxa"/>
      </w:tblCellMar>
    </w:tblPr>
    <w:tblStylePr w:type="firstRow">
      <w:pPr>
        <w:spacing w:before="0" w:after="0" w:line="240" w:lineRule="auto"/>
      </w:pPr>
      <w:rPr>
        <w:rFonts w:ascii="Lucida Fax" w:eastAsia="Times New Roman" w:hAnsi="Lucida Fax" w:cs="Times New Roman"/>
        <w:b/>
        <w:bCs/>
      </w:rPr>
      <w:tblPr/>
      <w:tcPr>
        <w:tcBorders>
          <w:top w:val="single" w:sz="8" w:space="0" w:color="0098C3"/>
          <w:left w:val="single" w:sz="8" w:space="0" w:color="0098C3"/>
          <w:bottom w:val="single" w:sz="18" w:space="0" w:color="0098C3"/>
          <w:right w:val="single" w:sz="8" w:space="0" w:color="0098C3"/>
          <w:insideH w:val="nil"/>
          <w:insideV w:val="single" w:sz="8" w:space="0" w:color="0098C3"/>
        </w:tcBorders>
      </w:tcPr>
    </w:tblStylePr>
    <w:tblStylePr w:type="lastRow">
      <w:pPr>
        <w:spacing w:before="0" w:after="0" w:line="240" w:lineRule="auto"/>
      </w:pPr>
      <w:rPr>
        <w:rFonts w:ascii="Lucida Fax" w:eastAsia="Times New Roman" w:hAnsi="Lucida Fax" w:cs="Times New Roman"/>
        <w:b/>
        <w:bCs/>
      </w:rPr>
      <w:tblPr/>
      <w:tcPr>
        <w:tcBorders>
          <w:top w:val="double" w:sz="6" w:space="0" w:color="0098C3"/>
          <w:left w:val="single" w:sz="8" w:space="0" w:color="0098C3"/>
          <w:bottom w:val="single" w:sz="8" w:space="0" w:color="0098C3"/>
          <w:right w:val="single" w:sz="8" w:space="0" w:color="0098C3"/>
          <w:insideH w:val="nil"/>
          <w:insideV w:val="single" w:sz="8" w:space="0" w:color="0098C3"/>
        </w:tcBorders>
      </w:tcPr>
    </w:tblStylePr>
    <w:tblStylePr w:type="firstCol">
      <w:rPr>
        <w:rFonts w:ascii="Lucida Fax" w:eastAsia="Times New Roman" w:hAnsi="Lucida Fax" w:cs="Times New Roman"/>
        <w:b/>
        <w:bCs/>
      </w:rPr>
    </w:tblStylePr>
    <w:tblStylePr w:type="lastCol">
      <w:rPr>
        <w:rFonts w:ascii="Lucida Fax" w:eastAsia="Times New Roman" w:hAnsi="Lucida Fax" w:cs="Times New Roman"/>
        <w:b/>
        <w:bCs/>
      </w:rPr>
      <w:tblPr/>
      <w:tcPr>
        <w:tcBorders>
          <w:top w:val="single" w:sz="8" w:space="0" w:color="0098C3"/>
          <w:left w:val="single" w:sz="8" w:space="0" w:color="0098C3"/>
          <w:bottom w:val="single" w:sz="8" w:space="0" w:color="0098C3"/>
          <w:right w:val="single" w:sz="8" w:space="0" w:color="0098C3"/>
        </w:tcBorders>
      </w:tcPr>
    </w:tblStylePr>
    <w:tblStylePr w:type="band1Vert">
      <w:tblPr/>
      <w:tcPr>
        <w:tcBorders>
          <w:top w:val="single" w:sz="8" w:space="0" w:color="0098C3"/>
          <w:left w:val="single" w:sz="8" w:space="0" w:color="0098C3"/>
          <w:bottom w:val="single" w:sz="8" w:space="0" w:color="0098C3"/>
          <w:right w:val="single" w:sz="8" w:space="0" w:color="0098C3"/>
        </w:tcBorders>
        <w:shd w:val="clear" w:color="auto" w:fill="B1EDFF"/>
      </w:tcPr>
    </w:tblStylePr>
    <w:tblStylePr w:type="band1Horz">
      <w:tblPr/>
      <w:tcPr>
        <w:tcBorders>
          <w:top w:val="single" w:sz="8" w:space="0" w:color="0098C3"/>
          <w:left w:val="single" w:sz="8" w:space="0" w:color="0098C3"/>
          <w:bottom w:val="single" w:sz="8" w:space="0" w:color="0098C3"/>
          <w:right w:val="single" w:sz="8" w:space="0" w:color="0098C3"/>
          <w:insideV w:val="single" w:sz="8" w:space="0" w:color="0098C3"/>
        </w:tcBorders>
        <w:shd w:val="clear" w:color="auto" w:fill="B1EDFF"/>
      </w:tcPr>
    </w:tblStylePr>
    <w:tblStylePr w:type="band2Horz">
      <w:tblPr/>
      <w:tcPr>
        <w:tcBorders>
          <w:top w:val="single" w:sz="8" w:space="0" w:color="0098C3"/>
          <w:left w:val="single" w:sz="8" w:space="0" w:color="0098C3"/>
          <w:bottom w:val="single" w:sz="8" w:space="0" w:color="0098C3"/>
          <w:right w:val="single" w:sz="8" w:space="0" w:color="0098C3"/>
          <w:insideV w:val="single" w:sz="8" w:space="0" w:color="0098C3"/>
        </w:tcBorders>
      </w:tcPr>
    </w:tblStylePr>
  </w:style>
  <w:style w:type="paragraph" w:styleId="Bibliography">
    <w:name w:val="Bibliography"/>
    <w:basedOn w:val="Normal"/>
    <w:next w:val="Normal"/>
    <w:uiPriority w:val="37"/>
    <w:semiHidden/>
    <w:rsid w:val="00DA56E3"/>
  </w:style>
  <w:style w:type="paragraph" w:styleId="BodyText3">
    <w:name w:val="Body Text 3"/>
    <w:basedOn w:val="Normal"/>
    <w:link w:val="BodyText3Char"/>
    <w:uiPriority w:val="99"/>
    <w:unhideWhenUsed/>
    <w:rsid w:val="00DA56E3"/>
    <w:pPr>
      <w:spacing w:after="120"/>
    </w:pPr>
    <w:rPr>
      <w:szCs w:val="16"/>
    </w:rPr>
  </w:style>
  <w:style w:type="character" w:customStyle="1" w:styleId="BodyText3Char">
    <w:name w:val="Body Text 3 Char"/>
    <w:link w:val="BodyText3"/>
    <w:uiPriority w:val="99"/>
    <w:rsid w:val="00DA56E3"/>
    <w:rPr>
      <w:rFonts w:ascii="Arial" w:eastAsia="Arial" w:hAnsi="Arial"/>
      <w:sz w:val="22"/>
      <w:szCs w:val="16"/>
      <w:lang w:eastAsia="en-US"/>
    </w:rPr>
  </w:style>
  <w:style w:type="character" w:customStyle="1" w:styleId="TitleChar">
    <w:name w:val="Title Char"/>
    <w:link w:val="Title"/>
    <w:uiPriority w:val="10"/>
    <w:rsid w:val="00DA56E3"/>
    <w:rPr>
      <w:rFonts w:ascii="Lucida Fax" w:hAnsi="Lucida Fax"/>
      <w:color w:val="4F2D7D"/>
      <w:spacing w:val="5"/>
      <w:kern w:val="28"/>
      <w:sz w:val="72"/>
      <w:szCs w:val="52"/>
      <w:lang w:eastAsia="en-US"/>
    </w:rPr>
  </w:style>
  <w:style w:type="paragraph" w:customStyle="1" w:styleId="CoverDate">
    <w:name w:val="Cover Date"/>
    <w:qFormat/>
    <w:rsid w:val="00DA56E3"/>
    <w:pPr>
      <w:spacing w:before="200"/>
    </w:pPr>
    <w:rPr>
      <w:rFonts w:ascii="Lucida Fax" w:eastAsia="Arial" w:hAnsi="Lucida Fax"/>
      <w:color w:val="DC5034"/>
      <w:sz w:val="22"/>
      <w:szCs w:val="24"/>
      <w:lang w:eastAsia="en-US"/>
    </w:rPr>
  </w:style>
  <w:style w:type="character" w:styleId="BookTitle">
    <w:name w:val="Book Title"/>
    <w:uiPriority w:val="33"/>
    <w:rsid w:val="00DA56E3"/>
    <w:rPr>
      <w:rFonts w:ascii="Arial" w:hAnsi="Arial"/>
      <w:bCs/>
      <w:i/>
      <w:caps w:val="0"/>
      <w:smallCaps w:val="0"/>
      <w:spacing w:val="0"/>
      <w:sz w:val="22"/>
    </w:rPr>
  </w:style>
  <w:style w:type="table" w:styleId="LightList-Accent1">
    <w:name w:val="Light List Accent 1"/>
    <w:basedOn w:val="TableNormal"/>
    <w:uiPriority w:val="61"/>
    <w:rsid w:val="00DA56E3"/>
    <w:rPr>
      <w:rFonts w:ascii="Arial" w:eastAsia="Arial" w:hAnsi="Arial"/>
      <w:sz w:val="22"/>
      <w:szCs w:val="22"/>
      <w:lang w:eastAsia="en-US"/>
    </w:rPr>
    <w:tblPr>
      <w:tblStyleRowBandSize w:val="1"/>
      <w:tblStyleColBandSize w:val="1"/>
      <w:tblInd w:w="0" w:type="dxa"/>
      <w:tblBorders>
        <w:top w:val="single" w:sz="8" w:space="0" w:color="51626F"/>
        <w:left w:val="single" w:sz="8" w:space="0" w:color="51626F"/>
        <w:bottom w:val="single" w:sz="8" w:space="0" w:color="51626F"/>
        <w:right w:val="single" w:sz="8" w:space="0" w:color="51626F"/>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1626F"/>
      </w:tcPr>
    </w:tblStylePr>
    <w:tblStylePr w:type="lastRow">
      <w:pPr>
        <w:spacing w:before="0" w:after="0" w:line="240" w:lineRule="auto"/>
      </w:pPr>
      <w:rPr>
        <w:b/>
        <w:bCs/>
      </w:rPr>
      <w:tblPr/>
      <w:tcPr>
        <w:tcBorders>
          <w:top w:val="double" w:sz="6" w:space="0" w:color="51626F"/>
          <w:left w:val="single" w:sz="8" w:space="0" w:color="51626F"/>
          <w:bottom w:val="single" w:sz="8" w:space="0" w:color="51626F"/>
          <w:right w:val="single" w:sz="8" w:space="0" w:color="51626F"/>
        </w:tcBorders>
      </w:tcPr>
    </w:tblStylePr>
    <w:tblStylePr w:type="firstCol">
      <w:rPr>
        <w:b/>
        <w:bCs/>
      </w:rPr>
    </w:tblStylePr>
    <w:tblStylePr w:type="lastCol">
      <w:rPr>
        <w:b/>
        <w:bCs/>
      </w:rPr>
    </w:tblStylePr>
    <w:tblStylePr w:type="band1Vert">
      <w:tblPr/>
      <w:tcPr>
        <w:tcBorders>
          <w:top w:val="single" w:sz="8" w:space="0" w:color="51626F"/>
          <w:left w:val="single" w:sz="8" w:space="0" w:color="51626F"/>
          <w:bottom w:val="single" w:sz="8" w:space="0" w:color="51626F"/>
          <w:right w:val="single" w:sz="8" w:space="0" w:color="51626F"/>
        </w:tcBorders>
      </w:tcPr>
    </w:tblStylePr>
    <w:tblStylePr w:type="band1Horz">
      <w:tblPr/>
      <w:tcPr>
        <w:tcBorders>
          <w:top w:val="single" w:sz="8" w:space="0" w:color="51626F"/>
          <w:left w:val="single" w:sz="8" w:space="0" w:color="51626F"/>
          <w:bottom w:val="single" w:sz="8" w:space="0" w:color="51626F"/>
          <w:right w:val="single" w:sz="8" w:space="0" w:color="51626F"/>
        </w:tcBorders>
      </w:tcPr>
    </w:tblStylePr>
  </w:style>
  <w:style w:type="table" w:styleId="LightList-Accent3">
    <w:name w:val="Light List Accent 3"/>
    <w:basedOn w:val="TableNormal"/>
    <w:uiPriority w:val="61"/>
    <w:rsid w:val="00DA56E3"/>
    <w:rPr>
      <w:rFonts w:ascii="Arial" w:eastAsia="Arial" w:hAnsi="Arial"/>
      <w:sz w:val="22"/>
      <w:szCs w:val="22"/>
      <w:lang w:eastAsia="en-US"/>
    </w:rPr>
    <w:tblPr>
      <w:tblStyleRowBandSize w:val="1"/>
      <w:tblStyleColBandSize w:val="1"/>
      <w:tblInd w:w="0" w:type="dxa"/>
      <w:tblBorders>
        <w:top w:val="single" w:sz="8" w:space="0" w:color="0098C3"/>
        <w:left w:val="single" w:sz="8" w:space="0" w:color="0098C3"/>
        <w:bottom w:val="single" w:sz="8" w:space="0" w:color="0098C3"/>
        <w:right w:val="single" w:sz="8" w:space="0" w:color="0098C3"/>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98C3"/>
      </w:tcPr>
    </w:tblStylePr>
    <w:tblStylePr w:type="lastRow">
      <w:pPr>
        <w:spacing w:before="0" w:after="0" w:line="240" w:lineRule="auto"/>
      </w:pPr>
      <w:rPr>
        <w:b/>
        <w:bCs/>
      </w:rPr>
      <w:tblPr/>
      <w:tcPr>
        <w:tcBorders>
          <w:top w:val="double" w:sz="6" w:space="0" w:color="0098C3"/>
          <w:left w:val="single" w:sz="8" w:space="0" w:color="0098C3"/>
          <w:bottom w:val="single" w:sz="8" w:space="0" w:color="0098C3"/>
          <w:right w:val="single" w:sz="8" w:space="0" w:color="0098C3"/>
        </w:tcBorders>
      </w:tcPr>
    </w:tblStylePr>
    <w:tblStylePr w:type="firstCol">
      <w:rPr>
        <w:b/>
        <w:bCs/>
      </w:rPr>
    </w:tblStylePr>
    <w:tblStylePr w:type="lastCol">
      <w:rPr>
        <w:b/>
        <w:bCs/>
      </w:rPr>
    </w:tblStylePr>
    <w:tblStylePr w:type="band1Vert">
      <w:tblPr/>
      <w:tcPr>
        <w:tcBorders>
          <w:top w:val="single" w:sz="8" w:space="0" w:color="0098C3"/>
          <w:left w:val="single" w:sz="8" w:space="0" w:color="0098C3"/>
          <w:bottom w:val="single" w:sz="8" w:space="0" w:color="0098C3"/>
          <w:right w:val="single" w:sz="8" w:space="0" w:color="0098C3"/>
        </w:tcBorders>
      </w:tcPr>
    </w:tblStylePr>
    <w:tblStylePr w:type="band1Horz">
      <w:tblPr/>
      <w:tcPr>
        <w:tcBorders>
          <w:top w:val="single" w:sz="8" w:space="0" w:color="0098C3"/>
          <w:left w:val="single" w:sz="8" w:space="0" w:color="0098C3"/>
          <w:bottom w:val="single" w:sz="8" w:space="0" w:color="0098C3"/>
          <w:right w:val="single" w:sz="8" w:space="0" w:color="0098C3"/>
        </w:tcBorders>
      </w:tcPr>
    </w:tblStylePr>
  </w:style>
  <w:style w:type="table" w:styleId="LightList-Accent5">
    <w:name w:val="Light List Accent 5"/>
    <w:basedOn w:val="TableNormal"/>
    <w:uiPriority w:val="61"/>
    <w:rsid w:val="00DA56E3"/>
    <w:rPr>
      <w:rFonts w:ascii="Arial" w:eastAsia="Arial" w:hAnsi="Arial"/>
      <w:sz w:val="22"/>
      <w:szCs w:val="22"/>
      <w:lang w:eastAsia="en-US"/>
    </w:rPr>
    <w:tblPr>
      <w:tblStyleRowBandSize w:val="1"/>
      <w:tblStyleColBandSize w:val="1"/>
      <w:tblInd w:w="0" w:type="dxa"/>
      <w:tblBorders>
        <w:top w:val="single" w:sz="8" w:space="0" w:color="B71202"/>
        <w:left w:val="single" w:sz="8" w:space="0" w:color="B71202"/>
        <w:bottom w:val="single" w:sz="8" w:space="0" w:color="B71202"/>
        <w:right w:val="single" w:sz="8" w:space="0" w:color="B71202"/>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cPr>
    </w:tblStylePr>
    <w:tblStylePr w:type="lastRow">
      <w:pPr>
        <w:spacing w:before="0" w:after="0" w:line="240" w:lineRule="auto"/>
      </w:pPr>
      <w:rPr>
        <w:b/>
        <w:bCs/>
      </w:rPr>
      <w:tblPr/>
      <w:tcPr>
        <w:tcBorders>
          <w:top w:val="double" w:sz="6" w:space="0" w:color="B71202"/>
          <w:left w:val="single" w:sz="8" w:space="0" w:color="B71202"/>
          <w:bottom w:val="single" w:sz="8" w:space="0" w:color="B71202"/>
          <w:right w:val="single" w:sz="8" w:space="0" w:color="B71202"/>
        </w:tcBorders>
      </w:tcPr>
    </w:tblStylePr>
    <w:tblStylePr w:type="firstCol">
      <w:rPr>
        <w:b/>
        <w:bCs/>
      </w:rPr>
    </w:tblStylePr>
    <w:tblStylePr w:type="lastCol">
      <w:rPr>
        <w:b/>
        <w:bCs/>
      </w:rPr>
    </w:tblStylePr>
    <w:tblStylePr w:type="band1Vert">
      <w:tblPr/>
      <w:tcPr>
        <w:tcBorders>
          <w:top w:val="single" w:sz="8" w:space="0" w:color="B71202"/>
          <w:left w:val="single" w:sz="8" w:space="0" w:color="B71202"/>
          <w:bottom w:val="single" w:sz="8" w:space="0" w:color="B71202"/>
          <w:right w:val="single" w:sz="8" w:space="0" w:color="B71202"/>
        </w:tcBorders>
      </w:tcPr>
    </w:tblStylePr>
    <w:tblStylePr w:type="band1Horz">
      <w:tblPr/>
      <w:tcPr>
        <w:tcBorders>
          <w:top w:val="single" w:sz="8" w:space="0" w:color="B71202"/>
          <w:left w:val="single" w:sz="8" w:space="0" w:color="B71202"/>
          <w:bottom w:val="single" w:sz="8" w:space="0" w:color="B71202"/>
          <w:right w:val="single" w:sz="8" w:space="0" w:color="B71202"/>
        </w:tcBorders>
      </w:tcPr>
    </w:tblStylePr>
  </w:style>
  <w:style w:type="character" w:styleId="Strong">
    <w:name w:val="Strong"/>
    <w:uiPriority w:val="22"/>
    <w:qFormat/>
    <w:rsid w:val="00DA56E3"/>
    <w:rPr>
      <w:b/>
      <w:bCs/>
    </w:rPr>
  </w:style>
  <w:style w:type="character" w:customStyle="1" w:styleId="SubtitleChar">
    <w:name w:val="Subtitle Char"/>
    <w:link w:val="Subtitle"/>
    <w:uiPriority w:val="11"/>
    <w:rsid w:val="00DA56E3"/>
    <w:rPr>
      <w:rFonts w:ascii="Lucida Fax" w:eastAsia="Arial" w:hAnsi="Lucida Fax"/>
      <w:color w:val="4F2D7F"/>
      <w:sz w:val="52"/>
      <w:szCs w:val="52"/>
      <w:lang w:eastAsia="en-US"/>
    </w:rPr>
  </w:style>
  <w:style w:type="table" w:styleId="LightShading-Accent4">
    <w:name w:val="Light Shading Accent 4"/>
    <w:basedOn w:val="TableNormal"/>
    <w:uiPriority w:val="60"/>
    <w:rsid w:val="00DA56E3"/>
    <w:rPr>
      <w:rFonts w:ascii="Arial" w:eastAsia="Arial" w:hAnsi="Arial"/>
      <w:color w:val="4DA5D9"/>
      <w:sz w:val="22"/>
      <w:szCs w:val="22"/>
      <w:lang w:eastAsia="en-US"/>
    </w:rPr>
    <w:tblPr>
      <w:tblStyleRowBandSize w:val="1"/>
      <w:tblStyleColBandSize w:val="1"/>
      <w:tblInd w:w="0" w:type="dxa"/>
      <w:tblBorders>
        <w:top w:val="single" w:sz="8" w:space="0" w:color="A0CFEB"/>
        <w:bottom w:val="single" w:sz="8" w:space="0" w:color="A0CFEB"/>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left w:val="nil"/>
          <w:bottom w:val="single" w:sz="8" w:space="0" w:color="A0CFEB"/>
          <w:right w:val="nil"/>
          <w:insideH w:val="nil"/>
          <w:insideV w:val="nil"/>
        </w:tcBorders>
      </w:tcPr>
    </w:tblStylePr>
    <w:tblStylePr w:type="lastRow">
      <w:pPr>
        <w:spacing w:before="0" w:after="0" w:line="240" w:lineRule="auto"/>
      </w:pPr>
      <w:rPr>
        <w:b/>
        <w:bCs/>
      </w:rPr>
      <w:tblPr/>
      <w:tcPr>
        <w:tcBorders>
          <w:top w:val="single" w:sz="8" w:space="0" w:color="A0CFEB"/>
          <w:left w:val="nil"/>
          <w:bottom w:val="single" w:sz="8" w:space="0" w:color="A0CFE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cPr>
    </w:tblStylePr>
    <w:tblStylePr w:type="band1Horz">
      <w:tblPr/>
      <w:tcPr>
        <w:tcBorders>
          <w:left w:val="nil"/>
          <w:right w:val="nil"/>
          <w:insideH w:val="nil"/>
          <w:insideV w:val="nil"/>
        </w:tcBorders>
        <w:shd w:val="clear" w:color="auto" w:fill="E7F3FA"/>
      </w:tcPr>
    </w:tblStylePr>
  </w:style>
  <w:style w:type="table" w:styleId="LightShading-Accent6">
    <w:name w:val="Light Shading Accent 6"/>
    <w:basedOn w:val="TableNormal"/>
    <w:uiPriority w:val="60"/>
    <w:rsid w:val="00DA56E3"/>
    <w:rPr>
      <w:rFonts w:ascii="Arial" w:eastAsia="Arial" w:hAnsi="Arial"/>
      <w:color w:val="AD351E"/>
      <w:sz w:val="22"/>
      <w:szCs w:val="22"/>
      <w:lang w:eastAsia="en-US"/>
    </w:rPr>
    <w:tblPr>
      <w:tblStyleRowBandSize w:val="1"/>
      <w:tblStyleColBandSize w:val="1"/>
      <w:tblInd w:w="0" w:type="dxa"/>
      <w:tblBorders>
        <w:top w:val="single" w:sz="8" w:space="0" w:color="DC5034"/>
        <w:bottom w:val="single" w:sz="8" w:space="0" w:color="DC503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left w:val="nil"/>
          <w:bottom w:val="single" w:sz="8" w:space="0" w:color="DC5034"/>
          <w:right w:val="nil"/>
          <w:insideH w:val="nil"/>
          <w:insideV w:val="nil"/>
        </w:tcBorders>
      </w:tcPr>
    </w:tblStylePr>
    <w:tblStylePr w:type="lastRow">
      <w:pPr>
        <w:spacing w:before="0" w:after="0" w:line="240" w:lineRule="auto"/>
      </w:pPr>
      <w:rPr>
        <w:b/>
        <w:bCs/>
      </w:rPr>
      <w:tblPr/>
      <w:tcPr>
        <w:tcBorders>
          <w:top w:val="single" w:sz="8" w:space="0" w:color="DC5034"/>
          <w:left w:val="nil"/>
          <w:bottom w:val="single" w:sz="8" w:space="0" w:color="DC503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cPr>
    </w:tblStylePr>
    <w:tblStylePr w:type="band1Horz">
      <w:tblPr/>
      <w:tcPr>
        <w:tcBorders>
          <w:left w:val="nil"/>
          <w:right w:val="nil"/>
          <w:insideH w:val="nil"/>
          <w:insideV w:val="nil"/>
        </w:tcBorders>
        <w:shd w:val="clear" w:color="auto" w:fill="F6D3CC"/>
      </w:tcPr>
    </w:tblStylePr>
  </w:style>
  <w:style w:type="paragraph" w:customStyle="1" w:styleId="Numberedlist">
    <w:name w:val="Numbered list"/>
    <w:basedOn w:val="ListNumber"/>
    <w:rsid w:val="00DA56E3"/>
    <w:pPr>
      <w:numPr>
        <w:numId w:val="19"/>
      </w:numPr>
      <w:ind w:left="357" w:hanging="357"/>
    </w:pPr>
  </w:style>
  <w:style w:type="table" w:customStyle="1" w:styleId="LightShading1">
    <w:name w:val="Light Shading1"/>
    <w:basedOn w:val="TableNormal"/>
    <w:next w:val="LightShading"/>
    <w:uiPriority w:val="60"/>
    <w:rsid w:val="00DA56E3"/>
    <w:pPr>
      <w:spacing w:before="120" w:after="120"/>
    </w:pPr>
    <w:rPr>
      <w:rFonts w:ascii="Arial" w:eastAsia="Arial" w:hAnsi="Arial"/>
      <w:color w:val="000000"/>
      <w:szCs w:val="22"/>
      <w:lang w:eastAsia="en-US"/>
    </w:rPr>
    <w:tblPr>
      <w:tblInd w:w="0" w:type="dxa"/>
      <w:tblBorders>
        <w:top w:val="single" w:sz="4" w:space="0" w:color="D5D6D2"/>
        <w:bottom w:val="single" w:sz="4" w:space="0" w:color="D5D6D2"/>
        <w:insideH w:val="single" w:sz="4" w:space="0" w:color="D5D6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left w:val="nil"/>
          <w:bottom w:val="single" w:sz="8" w:space="0" w:color="000000"/>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left w:val="nil"/>
          <w:bottom w:val="single" w:sz="8" w:space="0" w:color="000000"/>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DA56E3"/>
    <w:rPr>
      <w:rFonts w:ascii="Arial" w:eastAsia="Arial" w:hAnsi="Arial"/>
      <w:sz w:val="22"/>
      <w:szCs w:val="22"/>
      <w:lang w:eastAsia="en-US"/>
    </w:rPr>
    <w:tblPr>
      <w:tblStyleRowBandSize w:val="1"/>
      <w:tblStyleColBandSize w:val="1"/>
      <w:tblInd w:w="0" w:type="dxa"/>
      <w:tblBorders>
        <w:top w:val="single" w:sz="8" w:space="0" w:color="4F2D7D"/>
        <w:left w:val="single" w:sz="8" w:space="0" w:color="4F2D7D"/>
        <w:bottom w:val="single" w:sz="8" w:space="0" w:color="4F2D7D"/>
        <w:right w:val="single" w:sz="8" w:space="0" w:color="4F2D7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2D7D"/>
      </w:tcPr>
    </w:tblStylePr>
    <w:tblStylePr w:type="lastRow">
      <w:pPr>
        <w:spacing w:before="0" w:after="0" w:line="240" w:lineRule="auto"/>
      </w:pPr>
      <w:rPr>
        <w:b/>
        <w:bCs/>
      </w:rPr>
      <w:tblPr/>
      <w:tcPr>
        <w:tcBorders>
          <w:top w:val="double" w:sz="6" w:space="0" w:color="4F2D7D"/>
          <w:left w:val="single" w:sz="8" w:space="0" w:color="4F2D7D"/>
          <w:bottom w:val="single" w:sz="8" w:space="0" w:color="4F2D7D"/>
          <w:right w:val="single" w:sz="8" w:space="0" w:color="4F2D7D"/>
        </w:tcBorders>
      </w:tcPr>
    </w:tblStylePr>
    <w:tblStylePr w:type="firstCol">
      <w:rPr>
        <w:b/>
        <w:bCs/>
      </w:rPr>
    </w:tblStylePr>
    <w:tblStylePr w:type="lastCol">
      <w:rPr>
        <w:b/>
        <w:bCs/>
      </w:rPr>
    </w:tblStylePr>
    <w:tblStylePr w:type="band1Vert">
      <w:tblPr/>
      <w:tcPr>
        <w:tcBorders>
          <w:top w:val="single" w:sz="8" w:space="0" w:color="4F2D7D"/>
          <w:left w:val="single" w:sz="8" w:space="0" w:color="4F2D7D"/>
          <w:bottom w:val="single" w:sz="8" w:space="0" w:color="4F2D7D"/>
          <w:right w:val="single" w:sz="8" w:space="0" w:color="4F2D7D"/>
        </w:tcBorders>
      </w:tcPr>
    </w:tblStylePr>
    <w:tblStylePr w:type="band1Horz">
      <w:tblPr/>
      <w:tcPr>
        <w:tcBorders>
          <w:top w:val="single" w:sz="8" w:space="0" w:color="4F2D7D"/>
          <w:left w:val="single" w:sz="8" w:space="0" w:color="4F2D7D"/>
          <w:bottom w:val="single" w:sz="8" w:space="0" w:color="4F2D7D"/>
          <w:right w:val="single" w:sz="8" w:space="0" w:color="4F2D7D"/>
        </w:tcBorders>
      </w:tcPr>
    </w:tblStylePr>
  </w:style>
  <w:style w:type="table" w:styleId="LightList-Accent4">
    <w:name w:val="Light List Accent 4"/>
    <w:basedOn w:val="TableNormal"/>
    <w:uiPriority w:val="61"/>
    <w:rsid w:val="00DA56E3"/>
    <w:rPr>
      <w:rFonts w:ascii="Arial" w:eastAsia="Arial" w:hAnsi="Arial"/>
      <w:sz w:val="22"/>
      <w:szCs w:val="22"/>
      <w:lang w:eastAsia="en-US"/>
    </w:rPr>
    <w:tblPr>
      <w:tblStyleRowBandSize w:val="1"/>
      <w:tblStyleColBandSize w:val="1"/>
      <w:tblInd w:w="0" w:type="dxa"/>
      <w:tblBorders>
        <w:top w:val="single" w:sz="8" w:space="0" w:color="A0CFEB"/>
        <w:left w:val="single" w:sz="8" w:space="0" w:color="A0CFEB"/>
        <w:bottom w:val="single" w:sz="8" w:space="0" w:color="A0CFEB"/>
        <w:right w:val="single" w:sz="8" w:space="0" w:color="A0CFEB"/>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0CFEB"/>
      </w:tcPr>
    </w:tblStylePr>
    <w:tblStylePr w:type="lastRow">
      <w:pPr>
        <w:spacing w:before="0" w:after="0" w:line="240" w:lineRule="auto"/>
      </w:pPr>
      <w:rPr>
        <w:b/>
        <w:bCs/>
      </w:rPr>
      <w:tblPr/>
      <w:tcPr>
        <w:tcBorders>
          <w:top w:val="double" w:sz="6" w:space="0" w:color="A0CFEB"/>
          <w:left w:val="single" w:sz="8" w:space="0" w:color="A0CFEB"/>
          <w:bottom w:val="single" w:sz="8" w:space="0" w:color="A0CFEB"/>
          <w:right w:val="single" w:sz="8" w:space="0" w:color="A0CFEB"/>
        </w:tcBorders>
      </w:tcPr>
    </w:tblStylePr>
    <w:tblStylePr w:type="firstCol">
      <w:rPr>
        <w:b/>
        <w:bCs/>
      </w:rPr>
    </w:tblStylePr>
    <w:tblStylePr w:type="lastCol">
      <w:rPr>
        <w:b/>
        <w:bCs/>
      </w:rPr>
    </w:tblStylePr>
    <w:tblStylePr w:type="band1Vert">
      <w:tblPr/>
      <w:tcPr>
        <w:tcBorders>
          <w:top w:val="single" w:sz="8" w:space="0" w:color="A0CFEB"/>
          <w:left w:val="single" w:sz="8" w:space="0" w:color="A0CFEB"/>
          <w:bottom w:val="single" w:sz="8" w:space="0" w:color="A0CFEB"/>
          <w:right w:val="single" w:sz="8" w:space="0" w:color="A0CFEB"/>
        </w:tcBorders>
      </w:tcPr>
    </w:tblStylePr>
    <w:tblStylePr w:type="band1Horz">
      <w:tblPr/>
      <w:tcPr>
        <w:tcBorders>
          <w:top w:val="single" w:sz="8" w:space="0" w:color="A0CFEB"/>
          <w:left w:val="single" w:sz="8" w:space="0" w:color="A0CFEB"/>
          <w:bottom w:val="single" w:sz="8" w:space="0" w:color="A0CFEB"/>
          <w:right w:val="single" w:sz="8" w:space="0" w:color="A0CFEB"/>
        </w:tcBorders>
      </w:tcPr>
    </w:tblStylePr>
  </w:style>
  <w:style w:type="table" w:styleId="LightList-Accent6">
    <w:name w:val="Light List Accent 6"/>
    <w:basedOn w:val="TableNormal"/>
    <w:uiPriority w:val="61"/>
    <w:rsid w:val="00DA56E3"/>
    <w:rPr>
      <w:rFonts w:ascii="Arial" w:eastAsia="Arial" w:hAnsi="Arial"/>
      <w:sz w:val="22"/>
      <w:szCs w:val="22"/>
      <w:lang w:eastAsia="en-US"/>
    </w:rPr>
    <w:tblPr>
      <w:tblStyleRowBandSize w:val="1"/>
      <w:tblStyleColBandSize w:val="1"/>
      <w:tblInd w:w="0" w:type="dxa"/>
      <w:tblBorders>
        <w:top w:val="single" w:sz="8" w:space="0" w:color="DC5034"/>
        <w:left w:val="single" w:sz="8" w:space="0" w:color="DC5034"/>
        <w:bottom w:val="single" w:sz="8" w:space="0" w:color="DC5034"/>
        <w:right w:val="single" w:sz="8" w:space="0" w:color="DC503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DC5034"/>
      </w:tcPr>
    </w:tblStylePr>
    <w:tblStylePr w:type="lastRow">
      <w:pPr>
        <w:spacing w:before="0" w:after="0" w:line="240" w:lineRule="auto"/>
      </w:pPr>
      <w:rPr>
        <w:b/>
        <w:bCs/>
      </w:rPr>
      <w:tblPr/>
      <w:tcPr>
        <w:tcBorders>
          <w:top w:val="double" w:sz="6" w:space="0" w:color="DC5034"/>
          <w:left w:val="single" w:sz="8" w:space="0" w:color="DC5034"/>
          <w:bottom w:val="single" w:sz="8" w:space="0" w:color="DC5034"/>
          <w:right w:val="single" w:sz="8" w:space="0" w:color="DC5034"/>
        </w:tcBorders>
      </w:tcPr>
    </w:tblStylePr>
    <w:tblStylePr w:type="firstCol">
      <w:rPr>
        <w:b/>
        <w:bCs/>
      </w:rPr>
    </w:tblStylePr>
    <w:tblStylePr w:type="lastCol">
      <w:rPr>
        <w:b/>
        <w:bCs/>
      </w:rPr>
    </w:tblStylePr>
    <w:tblStylePr w:type="band1Vert">
      <w:tblPr/>
      <w:tcPr>
        <w:tcBorders>
          <w:top w:val="single" w:sz="8" w:space="0" w:color="DC5034"/>
          <w:left w:val="single" w:sz="8" w:space="0" w:color="DC5034"/>
          <w:bottom w:val="single" w:sz="8" w:space="0" w:color="DC5034"/>
          <w:right w:val="single" w:sz="8" w:space="0" w:color="DC5034"/>
        </w:tcBorders>
      </w:tcPr>
    </w:tblStylePr>
    <w:tblStylePr w:type="band1Horz">
      <w:tblPr/>
      <w:tcPr>
        <w:tcBorders>
          <w:top w:val="single" w:sz="8" w:space="0" w:color="DC5034"/>
          <w:left w:val="single" w:sz="8" w:space="0" w:color="DC5034"/>
          <w:bottom w:val="single" w:sz="8" w:space="0" w:color="DC5034"/>
          <w:right w:val="single" w:sz="8" w:space="0" w:color="DC5034"/>
        </w:tcBorders>
      </w:tcPr>
    </w:tblStylePr>
  </w:style>
  <w:style w:type="table" w:styleId="LightGrid">
    <w:name w:val="Light Grid"/>
    <w:basedOn w:val="TableNormal"/>
    <w:uiPriority w:val="62"/>
    <w:rsid w:val="00DA56E3"/>
    <w:rPr>
      <w:rFonts w:ascii="Arial" w:eastAsia="Arial" w:hAnsi="Arial"/>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Lucida Fax" w:eastAsia="Times New Roman" w:hAnsi="Lucida Fax"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Lucida Fax" w:eastAsia="Times New Roman" w:hAnsi="Lucida Fax"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Lucida Fax" w:eastAsia="Times New Roman" w:hAnsi="Lucida Fax" w:cs="Times New Roman"/>
        <w:b/>
        <w:bCs/>
      </w:rPr>
    </w:tblStylePr>
    <w:tblStylePr w:type="lastCol">
      <w:rPr>
        <w:rFonts w:ascii="Lucida Fax" w:eastAsia="Times New Roman" w:hAnsi="Lucida Fax"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56E3"/>
    <w:rPr>
      <w:rFonts w:ascii="Arial" w:eastAsia="Arial" w:hAnsi="Arial"/>
      <w:sz w:val="22"/>
      <w:szCs w:val="22"/>
      <w:lang w:eastAsia="en-US"/>
    </w:rPr>
    <w:tblPr>
      <w:tblStyleRowBandSize w:val="1"/>
      <w:tblStyleColBandSize w:val="1"/>
      <w:tblInd w:w="0" w:type="dxa"/>
      <w:tblBorders>
        <w:top w:val="single" w:sz="8" w:space="0" w:color="51626F"/>
        <w:left w:val="single" w:sz="8" w:space="0" w:color="51626F"/>
        <w:bottom w:val="single" w:sz="8" w:space="0" w:color="51626F"/>
        <w:right w:val="single" w:sz="8" w:space="0" w:color="51626F"/>
        <w:insideH w:val="single" w:sz="8" w:space="0" w:color="51626F"/>
        <w:insideV w:val="single" w:sz="8" w:space="0" w:color="51626F"/>
      </w:tblBorders>
      <w:tblCellMar>
        <w:top w:w="0" w:type="dxa"/>
        <w:left w:w="108" w:type="dxa"/>
        <w:bottom w:w="0" w:type="dxa"/>
        <w:right w:w="108" w:type="dxa"/>
      </w:tblCellMar>
    </w:tblPr>
    <w:tblStylePr w:type="firstRow">
      <w:pPr>
        <w:spacing w:before="0" w:after="0" w:line="240" w:lineRule="auto"/>
      </w:pPr>
      <w:rPr>
        <w:rFonts w:ascii="Lucida Fax" w:eastAsia="Times New Roman" w:hAnsi="Lucida Fax" w:cs="Times New Roman"/>
        <w:b/>
        <w:bCs/>
      </w:rPr>
      <w:tblPr/>
      <w:tcPr>
        <w:tcBorders>
          <w:top w:val="single" w:sz="8" w:space="0" w:color="51626F"/>
          <w:left w:val="single" w:sz="8" w:space="0" w:color="51626F"/>
          <w:bottom w:val="single" w:sz="18" w:space="0" w:color="51626F"/>
          <w:right w:val="single" w:sz="8" w:space="0" w:color="51626F"/>
          <w:insideH w:val="nil"/>
          <w:insideV w:val="single" w:sz="8" w:space="0" w:color="51626F"/>
        </w:tcBorders>
      </w:tcPr>
    </w:tblStylePr>
    <w:tblStylePr w:type="lastRow">
      <w:pPr>
        <w:spacing w:before="0" w:after="0" w:line="240" w:lineRule="auto"/>
      </w:pPr>
      <w:rPr>
        <w:rFonts w:ascii="Lucida Fax" w:eastAsia="Times New Roman" w:hAnsi="Lucida Fax" w:cs="Times New Roman"/>
        <w:b/>
        <w:bCs/>
      </w:rPr>
      <w:tblPr/>
      <w:tcPr>
        <w:tcBorders>
          <w:top w:val="double" w:sz="6" w:space="0" w:color="51626F"/>
          <w:left w:val="single" w:sz="8" w:space="0" w:color="51626F"/>
          <w:bottom w:val="single" w:sz="8" w:space="0" w:color="51626F"/>
          <w:right w:val="single" w:sz="8" w:space="0" w:color="51626F"/>
          <w:insideH w:val="nil"/>
          <w:insideV w:val="single" w:sz="8" w:space="0" w:color="51626F"/>
        </w:tcBorders>
      </w:tcPr>
    </w:tblStylePr>
    <w:tblStylePr w:type="firstCol">
      <w:rPr>
        <w:rFonts w:ascii="Lucida Fax" w:eastAsia="Times New Roman" w:hAnsi="Lucida Fax" w:cs="Times New Roman"/>
        <w:b/>
        <w:bCs/>
      </w:rPr>
    </w:tblStylePr>
    <w:tblStylePr w:type="lastCol">
      <w:rPr>
        <w:rFonts w:ascii="Lucida Fax" w:eastAsia="Times New Roman" w:hAnsi="Lucida Fax" w:cs="Times New Roman"/>
        <w:b/>
        <w:bCs/>
      </w:rPr>
      <w:tblPr/>
      <w:tcPr>
        <w:tcBorders>
          <w:top w:val="single" w:sz="8" w:space="0" w:color="51626F"/>
          <w:left w:val="single" w:sz="8" w:space="0" w:color="51626F"/>
          <w:bottom w:val="single" w:sz="8" w:space="0" w:color="51626F"/>
          <w:right w:val="single" w:sz="8" w:space="0" w:color="51626F"/>
        </w:tcBorders>
      </w:tcPr>
    </w:tblStylePr>
    <w:tblStylePr w:type="band1Vert">
      <w:tblPr/>
      <w:tcPr>
        <w:tcBorders>
          <w:top w:val="single" w:sz="8" w:space="0" w:color="51626F"/>
          <w:left w:val="single" w:sz="8" w:space="0" w:color="51626F"/>
          <w:bottom w:val="single" w:sz="8" w:space="0" w:color="51626F"/>
          <w:right w:val="single" w:sz="8" w:space="0" w:color="51626F"/>
        </w:tcBorders>
        <w:shd w:val="clear" w:color="auto" w:fill="D1D8DD"/>
      </w:tcPr>
    </w:tblStylePr>
    <w:tblStylePr w:type="band1Horz">
      <w:tblPr/>
      <w:tcPr>
        <w:tcBorders>
          <w:top w:val="single" w:sz="8" w:space="0" w:color="51626F"/>
          <w:left w:val="single" w:sz="8" w:space="0" w:color="51626F"/>
          <w:bottom w:val="single" w:sz="8" w:space="0" w:color="51626F"/>
          <w:right w:val="single" w:sz="8" w:space="0" w:color="51626F"/>
          <w:insideV w:val="single" w:sz="8" w:space="0" w:color="51626F"/>
        </w:tcBorders>
        <w:shd w:val="clear" w:color="auto" w:fill="D1D8DD"/>
      </w:tcPr>
    </w:tblStylePr>
    <w:tblStylePr w:type="band2Horz">
      <w:tblPr/>
      <w:tcPr>
        <w:tcBorders>
          <w:top w:val="single" w:sz="8" w:space="0" w:color="51626F"/>
          <w:left w:val="single" w:sz="8" w:space="0" w:color="51626F"/>
          <w:bottom w:val="single" w:sz="8" w:space="0" w:color="51626F"/>
          <w:right w:val="single" w:sz="8" w:space="0" w:color="51626F"/>
          <w:insideV w:val="single" w:sz="8" w:space="0" w:color="51626F"/>
        </w:tcBorders>
      </w:tcPr>
    </w:tblStylePr>
  </w:style>
  <w:style w:type="table" w:styleId="LightGrid-Accent2">
    <w:name w:val="Light Grid Accent 2"/>
    <w:basedOn w:val="TableNormal"/>
    <w:uiPriority w:val="62"/>
    <w:rsid w:val="00DA56E3"/>
    <w:rPr>
      <w:rFonts w:ascii="Arial" w:eastAsia="Arial" w:hAnsi="Arial"/>
      <w:sz w:val="22"/>
      <w:szCs w:val="22"/>
      <w:lang w:eastAsia="en-US"/>
    </w:rPr>
    <w:tblPr>
      <w:tblStyleRowBandSize w:val="1"/>
      <w:tblStyleColBandSize w:val="1"/>
      <w:tblInd w:w="0" w:type="dxa"/>
      <w:tblBorders>
        <w:top w:val="single" w:sz="8" w:space="0" w:color="4F2D7D"/>
        <w:left w:val="single" w:sz="8" w:space="0" w:color="4F2D7D"/>
        <w:bottom w:val="single" w:sz="8" w:space="0" w:color="4F2D7D"/>
        <w:right w:val="single" w:sz="8" w:space="0" w:color="4F2D7D"/>
        <w:insideH w:val="single" w:sz="8" w:space="0" w:color="4F2D7D"/>
        <w:insideV w:val="single" w:sz="8" w:space="0" w:color="4F2D7D"/>
      </w:tblBorders>
      <w:tblCellMar>
        <w:top w:w="0" w:type="dxa"/>
        <w:left w:w="108" w:type="dxa"/>
        <w:bottom w:w="0" w:type="dxa"/>
        <w:right w:w="108" w:type="dxa"/>
      </w:tblCellMar>
    </w:tblPr>
    <w:tblStylePr w:type="firstRow">
      <w:pPr>
        <w:spacing w:before="0" w:after="0" w:line="240" w:lineRule="auto"/>
      </w:pPr>
      <w:rPr>
        <w:rFonts w:ascii="Lucida Fax" w:eastAsia="Times New Roman" w:hAnsi="Lucida Fax" w:cs="Times New Roman"/>
        <w:b/>
        <w:bCs/>
      </w:rPr>
      <w:tblPr/>
      <w:tcPr>
        <w:tcBorders>
          <w:top w:val="single" w:sz="8" w:space="0" w:color="4F2D7D"/>
          <w:left w:val="single" w:sz="8" w:space="0" w:color="4F2D7D"/>
          <w:bottom w:val="single" w:sz="18" w:space="0" w:color="4F2D7D"/>
          <w:right w:val="single" w:sz="8" w:space="0" w:color="4F2D7D"/>
          <w:insideH w:val="nil"/>
          <w:insideV w:val="single" w:sz="8" w:space="0" w:color="4F2D7D"/>
        </w:tcBorders>
      </w:tcPr>
    </w:tblStylePr>
    <w:tblStylePr w:type="lastRow">
      <w:pPr>
        <w:spacing w:before="0" w:after="0" w:line="240" w:lineRule="auto"/>
      </w:pPr>
      <w:rPr>
        <w:rFonts w:ascii="Lucida Fax" w:eastAsia="Times New Roman" w:hAnsi="Lucida Fax" w:cs="Times New Roman"/>
        <w:b/>
        <w:bCs/>
      </w:rPr>
      <w:tblPr/>
      <w:tcPr>
        <w:tcBorders>
          <w:top w:val="double" w:sz="6" w:space="0" w:color="4F2D7D"/>
          <w:left w:val="single" w:sz="8" w:space="0" w:color="4F2D7D"/>
          <w:bottom w:val="single" w:sz="8" w:space="0" w:color="4F2D7D"/>
          <w:right w:val="single" w:sz="8" w:space="0" w:color="4F2D7D"/>
          <w:insideH w:val="nil"/>
          <w:insideV w:val="single" w:sz="8" w:space="0" w:color="4F2D7D"/>
        </w:tcBorders>
      </w:tcPr>
    </w:tblStylePr>
    <w:tblStylePr w:type="firstCol">
      <w:rPr>
        <w:rFonts w:ascii="Lucida Fax" w:eastAsia="Times New Roman" w:hAnsi="Lucida Fax" w:cs="Times New Roman"/>
        <w:b/>
        <w:bCs/>
      </w:rPr>
    </w:tblStylePr>
    <w:tblStylePr w:type="lastCol">
      <w:rPr>
        <w:rFonts w:ascii="Lucida Fax" w:eastAsia="Times New Roman" w:hAnsi="Lucida Fax" w:cs="Times New Roman"/>
        <w:b/>
        <w:bCs/>
      </w:rPr>
      <w:tblPr/>
      <w:tcPr>
        <w:tcBorders>
          <w:top w:val="single" w:sz="8" w:space="0" w:color="4F2D7D"/>
          <w:left w:val="single" w:sz="8" w:space="0" w:color="4F2D7D"/>
          <w:bottom w:val="single" w:sz="8" w:space="0" w:color="4F2D7D"/>
          <w:right w:val="single" w:sz="8" w:space="0" w:color="4F2D7D"/>
        </w:tcBorders>
      </w:tcPr>
    </w:tblStylePr>
    <w:tblStylePr w:type="band1Vert">
      <w:tblPr/>
      <w:tcPr>
        <w:tcBorders>
          <w:top w:val="single" w:sz="8" w:space="0" w:color="4F2D7D"/>
          <w:left w:val="single" w:sz="8" w:space="0" w:color="4F2D7D"/>
          <w:bottom w:val="single" w:sz="8" w:space="0" w:color="4F2D7D"/>
          <w:right w:val="single" w:sz="8" w:space="0" w:color="4F2D7D"/>
        </w:tcBorders>
        <w:shd w:val="clear" w:color="auto" w:fill="D1C1E8"/>
      </w:tcPr>
    </w:tblStylePr>
    <w:tblStylePr w:type="band1Horz">
      <w:tblPr/>
      <w:tcPr>
        <w:tcBorders>
          <w:top w:val="single" w:sz="8" w:space="0" w:color="4F2D7D"/>
          <w:left w:val="single" w:sz="8" w:space="0" w:color="4F2D7D"/>
          <w:bottom w:val="single" w:sz="8" w:space="0" w:color="4F2D7D"/>
          <w:right w:val="single" w:sz="8" w:space="0" w:color="4F2D7D"/>
          <w:insideV w:val="single" w:sz="8" w:space="0" w:color="4F2D7D"/>
        </w:tcBorders>
        <w:shd w:val="clear" w:color="auto" w:fill="D1C1E8"/>
      </w:tcPr>
    </w:tblStylePr>
    <w:tblStylePr w:type="band2Horz">
      <w:tblPr/>
      <w:tcPr>
        <w:tcBorders>
          <w:top w:val="single" w:sz="8" w:space="0" w:color="4F2D7D"/>
          <w:left w:val="single" w:sz="8" w:space="0" w:color="4F2D7D"/>
          <w:bottom w:val="single" w:sz="8" w:space="0" w:color="4F2D7D"/>
          <w:right w:val="single" w:sz="8" w:space="0" w:color="4F2D7D"/>
          <w:insideV w:val="single" w:sz="8" w:space="0" w:color="4F2D7D"/>
        </w:tcBorders>
      </w:tcPr>
    </w:tblStylePr>
  </w:style>
  <w:style w:type="table" w:styleId="LightGrid-Accent4">
    <w:name w:val="Light Grid Accent 4"/>
    <w:basedOn w:val="TableNormal"/>
    <w:uiPriority w:val="62"/>
    <w:rsid w:val="00DA56E3"/>
    <w:rPr>
      <w:rFonts w:ascii="Arial" w:eastAsia="Arial" w:hAnsi="Arial"/>
      <w:sz w:val="22"/>
      <w:szCs w:val="22"/>
      <w:lang w:eastAsia="en-US"/>
    </w:rPr>
    <w:tblPr>
      <w:tblStyleRowBandSize w:val="1"/>
      <w:tblStyleColBandSize w:val="1"/>
      <w:tblInd w:w="0" w:type="dxa"/>
      <w:tblBorders>
        <w:top w:val="single" w:sz="8" w:space="0" w:color="A0CFEB"/>
        <w:left w:val="single" w:sz="8" w:space="0" w:color="A0CFEB"/>
        <w:bottom w:val="single" w:sz="8" w:space="0" w:color="A0CFEB"/>
        <w:right w:val="single" w:sz="8" w:space="0" w:color="A0CFEB"/>
        <w:insideH w:val="single" w:sz="8" w:space="0" w:color="A0CFEB"/>
        <w:insideV w:val="single" w:sz="8" w:space="0" w:color="A0CFEB"/>
      </w:tblBorders>
      <w:tblCellMar>
        <w:top w:w="0" w:type="dxa"/>
        <w:left w:w="108" w:type="dxa"/>
        <w:bottom w:w="0" w:type="dxa"/>
        <w:right w:w="108" w:type="dxa"/>
      </w:tblCellMar>
    </w:tblPr>
    <w:tblStylePr w:type="firstRow">
      <w:pPr>
        <w:spacing w:before="0" w:after="0" w:line="240" w:lineRule="auto"/>
      </w:pPr>
      <w:rPr>
        <w:rFonts w:ascii="Lucida Fax" w:eastAsia="Times New Roman" w:hAnsi="Lucida Fax" w:cs="Times New Roman"/>
        <w:b/>
        <w:bCs/>
      </w:rPr>
      <w:tblPr/>
      <w:tcPr>
        <w:tcBorders>
          <w:top w:val="single" w:sz="8" w:space="0" w:color="A0CFEB"/>
          <w:left w:val="single" w:sz="8" w:space="0" w:color="A0CFEB"/>
          <w:bottom w:val="single" w:sz="18" w:space="0" w:color="A0CFEB"/>
          <w:right w:val="single" w:sz="8" w:space="0" w:color="A0CFEB"/>
          <w:insideH w:val="nil"/>
          <w:insideV w:val="single" w:sz="8" w:space="0" w:color="A0CFEB"/>
        </w:tcBorders>
      </w:tcPr>
    </w:tblStylePr>
    <w:tblStylePr w:type="lastRow">
      <w:pPr>
        <w:spacing w:before="0" w:after="0" w:line="240" w:lineRule="auto"/>
      </w:pPr>
      <w:rPr>
        <w:rFonts w:ascii="Lucida Fax" w:eastAsia="Times New Roman" w:hAnsi="Lucida Fax" w:cs="Times New Roman"/>
        <w:b/>
        <w:bCs/>
      </w:rPr>
      <w:tblPr/>
      <w:tcPr>
        <w:tcBorders>
          <w:top w:val="double" w:sz="6" w:space="0" w:color="A0CFEB"/>
          <w:left w:val="single" w:sz="8" w:space="0" w:color="A0CFEB"/>
          <w:bottom w:val="single" w:sz="8" w:space="0" w:color="A0CFEB"/>
          <w:right w:val="single" w:sz="8" w:space="0" w:color="A0CFEB"/>
          <w:insideH w:val="nil"/>
          <w:insideV w:val="single" w:sz="8" w:space="0" w:color="A0CFEB"/>
        </w:tcBorders>
      </w:tcPr>
    </w:tblStylePr>
    <w:tblStylePr w:type="firstCol">
      <w:rPr>
        <w:rFonts w:ascii="Lucida Fax" w:eastAsia="Times New Roman" w:hAnsi="Lucida Fax" w:cs="Times New Roman"/>
        <w:b/>
        <w:bCs/>
      </w:rPr>
    </w:tblStylePr>
    <w:tblStylePr w:type="lastCol">
      <w:rPr>
        <w:rFonts w:ascii="Lucida Fax" w:eastAsia="Times New Roman" w:hAnsi="Lucida Fax" w:cs="Times New Roman"/>
        <w:b/>
        <w:bCs/>
      </w:rPr>
      <w:tblPr/>
      <w:tcPr>
        <w:tcBorders>
          <w:top w:val="single" w:sz="8" w:space="0" w:color="A0CFEB"/>
          <w:left w:val="single" w:sz="8" w:space="0" w:color="A0CFEB"/>
          <w:bottom w:val="single" w:sz="8" w:space="0" w:color="A0CFEB"/>
          <w:right w:val="single" w:sz="8" w:space="0" w:color="A0CFEB"/>
        </w:tcBorders>
      </w:tcPr>
    </w:tblStylePr>
    <w:tblStylePr w:type="band1Vert">
      <w:tblPr/>
      <w:tcPr>
        <w:tcBorders>
          <w:top w:val="single" w:sz="8" w:space="0" w:color="A0CFEB"/>
          <w:left w:val="single" w:sz="8" w:space="0" w:color="A0CFEB"/>
          <w:bottom w:val="single" w:sz="8" w:space="0" w:color="A0CFEB"/>
          <w:right w:val="single" w:sz="8" w:space="0" w:color="A0CFEB"/>
        </w:tcBorders>
        <w:shd w:val="clear" w:color="auto" w:fill="E7F3FA"/>
      </w:tcPr>
    </w:tblStylePr>
    <w:tblStylePr w:type="band1Horz">
      <w:tblPr/>
      <w:tcPr>
        <w:tcBorders>
          <w:top w:val="single" w:sz="8" w:space="0" w:color="A0CFEB"/>
          <w:left w:val="single" w:sz="8" w:space="0" w:color="A0CFEB"/>
          <w:bottom w:val="single" w:sz="8" w:space="0" w:color="A0CFEB"/>
          <w:right w:val="single" w:sz="8" w:space="0" w:color="A0CFEB"/>
          <w:insideV w:val="single" w:sz="8" w:space="0" w:color="A0CFEB"/>
        </w:tcBorders>
        <w:shd w:val="clear" w:color="auto" w:fill="E7F3FA"/>
      </w:tcPr>
    </w:tblStylePr>
    <w:tblStylePr w:type="band2Horz">
      <w:tblPr/>
      <w:tcPr>
        <w:tcBorders>
          <w:top w:val="single" w:sz="8" w:space="0" w:color="A0CFEB"/>
          <w:left w:val="single" w:sz="8" w:space="0" w:color="A0CFEB"/>
          <w:bottom w:val="single" w:sz="8" w:space="0" w:color="A0CFEB"/>
          <w:right w:val="single" w:sz="8" w:space="0" w:color="A0CFEB"/>
          <w:insideV w:val="single" w:sz="8" w:space="0" w:color="A0CFEB"/>
        </w:tcBorders>
      </w:tcPr>
    </w:tblStylePr>
  </w:style>
  <w:style w:type="table" w:styleId="LightGrid-Accent5">
    <w:name w:val="Light Grid Accent 5"/>
    <w:basedOn w:val="TableNormal"/>
    <w:uiPriority w:val="62"/>
    <w:rsid w:val="00DA56E3"/>
    <w:rPr>
      <w:rFonts w:ascii="Arial" w:eastAsia="Arial" w:hAnsi="Arial"/>
      <w:sz w:val="22"/>
      <w:szCs w:val="22"/>
      <w:lang w:eastAsia="en-US"/>
    </w:rPr>
    <w:tblPr>
      <w:tblStyleRowBandSize w:val="1"/>
      <w:tblStyleColBandSize w:val="1"/>
      <w:tblInd w:w="0" w:type="dxa"/>
      <w:tblBorders>
        <w:top w:val="single" w:sz="8" w:space="0" w:color="B71202"/>
        <w:left w:val="single" w:sz="8" w:space="0" w:color="B71202"/>
        <w:bottom w:val="single" w:sz="8" w:space="0" w:color="B71202"/>
        <w:right w:val="single" w:sz="8" w:space="0" w:color="B71202"/>
        <w:insideH w:val="single" w:sz="8" w:space="0" w:color="B71202"/>
        <w:insideV w:val="single" w:sz="8" w:space="0" w:color="B71202"/>
      </w:tblBorders>
      <w:tblCellMar>
        <w:top w:w="0" w:type="dxa"/>
        <w:left w:w="108" w:type="dxa"/>
        <w:bottom w:w="0" w:type="dxa"/>
        <w:right w:w="108" w:type="dxa"/>
      </w:tblCellMar>
    </w:tblPr>
    <w:tblStylePr w:type="firstRow">
      <w:pPr>
        <w:spacing w:before="0" w:after="0" w:line="240" w:lineRule="auto"/>
      </w:pPr>
      <w:rPr>
        <w:rFonts w:ascii="Lucida Fax" w:eastAsia="Times New Roman" w:hAnsi="Lucida Fax" w:cs="Times New Roman"/>
        <w:b/>
        <w:bCs/>
      </w:rPr>
      <w:tblPr/>
      <w:tcPr>
        <w:tcBorders>
          <w:top w:val="single" w:sz="8" w:space="0" w:color="B71202"/>
          <w:left w:val="single" w:sz="8" w:space="0" w:color="B71202"/>
          <w:bottom w:val="single" w:sz="18" w:space="0" w:color="B71202"/>
          <w:right w:val="single" w:sz="8" w:space="0" w:color="B71202"/>
          <w:insideH w:val="nil"/>
          <w:insideV w:val="single" w:sz="8" w:space="0" w:color="B71202"/>
        </w:tcBorders>
      </w:tcPr>
    </w:tblStylePr>
    <w:tblStylePr w:type="lastRow">
      <w:pPr>
        <w:spacing w:before="0" w:after="0" w:line="240" w:lineRule="auto"/>
      </w:pPr>
      <w:rPr>
        <w:rFonts w:ascii="Lucida Fax" w:eastAsia="Times New Roman" w:hAnsi="Lucida Fax" w:cs="Times New Roman"/>
        <w:b/>
        <w:bCs/>
      </w:rPr>
      <w:tblPr/>
      <w:tcPr>
        <w:tcBorders>
          <w:top w:val="double" w:sz="6" w:space="0" w:color="B71202"/>
          <w:left w:val="single" w:sz="8" w:space="0" w:color="B71202"/>
          <w:bottom w:val="single" w:sz="8" w:space="0" w:color="B71202"/>
          <w:right w:val="single" w:sz="8" w:space="0" w:color="B71202"/>
          <w:insideH w:val="nil"/>
          <w:insideV w:val="single" w:sz="8" w:space="0" w:color="B71202"/>
        </w:tcBorders>
      </w:tcPr>
    </w:tblStylePr>
    <w:tblStylePr w:type="firstCol">
      <w:rPr>
        <w:rFonts w:ascii="Lucida Fax" w:eastAsia="Times New Roman" w:hAnsi="Lucida Fax" w:cs="Times New Roman"/>
        <w:b/>
        <w:bCs/>
      </w:rPr>
    </w:tblStylePr>
    <w:tblStylePr w:type="lastCol">
      <w:rPr>
        <w:rFonts w:ascii="Lucida Fax" w:eastAsia="Times New Roman" w:hAnsi="Lucida Fax" w:cs="Times New Roman"/>
        <w:b/>
        <w:bCs/>
      </w:rPr>
      <w:tblPr/>
      <w:tcPr>
        <w:tcBorders>
          <w:top w:val="single" w:sz="8" w:space="0" w:color="B71202"/>
          <w:left w:val="single" w:sz="8" w:space="0" w:color="B71202"/>
          <w:bottom w:val="single" w:sz="8" w:space="0" w:color="B71202"/>
          <w:right w:val="single" w:sz="8" w:space="0" w:color="B71202"/>
        </w:tcBorders>
      </w:tcPr>
    </w:tblStylePr>
    <w:tblStylePr w:type="band1Vert">
      <w:tblPr/>
      <w:tcPr>
        <w:tcBorders>
          <w:top w:val="single" w:sz="8" w:space="0" w:color="B71202"/>
          <w:left w:val="single" w:sz="8" w:space="0" w:color="B71202"/>
          <w:bottom w:val="single" w:sz="8" w:space="0" w:color="B71202"/>
          <w:right w:val="single" w:sz="8" w:space="0" w:color="B71202"/>
        </w:tcBorders>
        <w:shd w:val="clear" w:color="auto" w:fill="FEB6AF"/>
      </w:tcPr>
    </w:tblStylePr>
    <w:tblStylePr w:type="band1Horz">
      <w:tblPr/>
      <w:tcPr>
        <w:tcBorders>
          <w:top w:val="single" w:sz="8" w:space="0" w:color="B71202"/>
          <w:left w:val="single" w:sz="8" w:space="0" w:color="B71202"/>
          <w:bottom w:val="single" w:sz="8" w:space="0" w:color="B71202"/>
          <w:right w:val="single" w:sz="8" w:space="0" w:color="B71202"/>
          <w:insideV w:val="single" w:sz="8" w:space="0" w:color="B71202"/>
        </w:tcBorders>
        <w:shd w:val="clear" w:color="auto" w:fill="FEB6AF"/>
      </w:tcPr>
    </w:tblStylePr>
    <w:tblStylePr w:type="band2Horz">
      <w:tblPr/>
      <w:tcPr>
        <w:tcBorders>
          <w:top w:val="single" w:sz="8" w:space="0" w:color="B71202"/>
          <w:left w:val="single" w:sz="8" w:space="0" w:color="B71202"/>
          <w:bottom w:val="single" w:sz="8" w:space="0" w:color="B71202"/>
          <w:right w:val="single" w:sz="8" w:space="0" w:color="B71202"/>
          <w:insideV w:val="single" w:sz="8" w:space="0" w:color="B71202"/>
        </w:tcBorders>
      </w:tcPr>
    </w:tblStylePr>
  </w:style>
  <w:style w:type="paragraph" w:customStyle="1" w:styleId="HeaderRight">
    <w:name w:val="Header Right"/>
    <w:basedOn w:val="Header"/>
    <w:uiPriority w:val="35"/>
    <w:qFormat/>
    <w:rsid w:val="00DA56E3"/>
    <w:pPr>
      <w:tabs>
        <w:tab w:val="clear" w:pos="4513"/>
        <w:tab w:val="clear" w:pos="9026"/>
        <w:tab w:val="center" w:pos="4320"/>
        <w:tab w:val="right" w:pos="8640"/>
      </w:tabs>
      <w:spacing w:before="0" w:after="200"/>
      <w:jc w:val="right"/>
    </w:pPr>
    <w:rPr>
      <w:szCs w:val="20"/>
      <w:lang w:val="en-US" w:eastAsia="ja-JP"/>
    </w:rPr>
  </w:style>
  <w:style w:type="paragraph" w:customStyle="1" w:styleId="Numbered111111111">
    <w:name w:val="Numbered 1.1.1.1.1.1.1.1.1"/>
    <w:basedOn w:val="Heading9"/>
    <w:next w:val="Normal"/>
    <w:uiPriority w:val="2"/>
    <w:rsid w:val="00DA56E3"/>
    <w:pPr>
      <w:numPr>
        <w:ilvl w:val="8"/>
        <w:numId w:val="30"/>
      </w:numPr>
      <w:ind w:left="2948" w:hanging="2948"/>
    </w:pPr>
  </w:style>
  <w:style w:type="paragraph" w:styleId="List">
    <w:name w:val="List"/>
    <w:basedOn w:val="Normal"/>
    <w:uiPriority w:val="99"/>
    <w:unhideWhenUsed/>
    <w:rsid w:val="00DA56E3"/>
    <w:pPr>
      <w:spacing w:before="120"/>
      <w:ind w:left="284" w:hanging="284"/>
    </w:pPr>
  </w:style>
  <w:style w:type="paragraph" w:styleId="List2">
    <w:name w:val="List 2"/>
    <w:basedOn w:val="Normal"/>
    <w:uiPriority w:val="99"/>
    <w:unhideWhenUsed/>
    <w:rsid w:val="00DA56E3"/>
    <w:pPr>
      <w:spacing w:before="120"/>
      <w:ind w:left="568" w:hanging="284"/>
    </w:pPr>
  </w:style>
  <w:style w:type="paragraph" w:styleId="List3">
    <w:name w:val="List 3"/>
    <w:basedOn w:val="Normal"/>
    <w:uiPriority w:val="99"/>
    <w:unhideWhenUsed/>
    <w:rsid w:val="00DA56E3"/>
    <w:pPr>
      <w:spacing w:before="120"/>
      <w:ind w:left="851" w:hanging="284"/>
    </w:pPr>
  </w:style>
  <w:style w:type="paragraph" w:styleId="List4">
    <w:name w:val="List 4"/>
    <w:basedOn w:val="Normal"/>
    <w:uiPriority w:val="99"/>
    <w:unhideWhenUsed/>
    <w:rsid w:val="00DA56E3"/>
    <w:pPr>
      <w:spacing w:before="120"/>
      <w:ind w:left="1135" w:hanging="284"/>
    </w:pPr>
  </w:style>
  <w:style w:type="paragraph" w:styleId="List5">
    <w:name w:val="List 5"/>
    <w:basedOn w:val="Normal"/>
    <w:uiPriority w:val="99"/>
    <w:unhideWhenUsed/>
    <w:rsid w:val="00DA56E3"/>
    <w:pPr>
      <w:spacing w:before="120"/>
      <w:ind w:left="1418" w:hanging="284"/>
    </w:pPr>
  </w:style>
  <w:style w:type="paragraph" w:styleId="ListBullet3">
    <w:name w:val="List Bullet 3"/>
    <w:basedOn w:val="Normal"/>
    <w:uiPriority w:val="99"/>
    <w:unhideWhenUsed/>
    <w:rsid w:val="00DA56E3"/>
    <w:pPr>
      <w:numPr>
        <w:numId w:val="3"/>
      </w:numPr>
      <w:spacing w:before="120"/>
      <w:ind w:left="924" w:hanging="357"/>
    </w:pPr>
  </w:style>
  <w:style w:type="paragraph" w:styleId="ListBullet4">
    <w:name w:val="List Bullet 4"/>
    <w:basedOn w:val="Normal"/>
    <w:uiPriority w:val="99"/>
    <w:unhideWhenUsed/>
    <w:rsid w:val="00DA56E3"/>
    <w:pPr>
      <w:numPr>
        <w:numId w:val="18"/>
      </w:numPr>
      <w:spacing w:before="120"/>
      <w:ind w:left="1208" w:hanging="357"/>
    </w:pPr>
  </w:style>
  <w:style w:type="paragraph" w:styleId="ListBullet5">
    <w:name w:val="List Bullet 5"/>
    <w:basedOn w:val="Normal"/>
    <w:uiPriority w:val="99"/>
    <w:unhideWhenUsed/>
    <w:rsid w:val="00DA56E3"/>
    <w:pPr>
      <w:numPr>
        <w:numId w:val="22"/>
      </w:numPr>
      <w:spacing w:before="120"/>
      <w:ind w:left="1491" w:hanging="357"/>
    </w:pPr>
  </w:style>
  <w:style w:type="paragraph" w:styleId="ListContinue">
    <w:name w:val="List Continue"/>
    <w:basedOn w:val="Normal"/>
    <w:uiPriority w:val="99"/>
    <w:unhideWhenUsed/>
    <w:rsid w:val="00DA56E3"/>
    <w:pPr>
      <w:spacing w:before="120"/>
      <w:ind w:left="284"/>
    </w:pPr>
  </w:style>
  <w:style w:type="paragraph" w:styleId="ListContinue2">
    <w:name w:val="List Continue 2"/>
    <w:basedOn w:val="Normal"/>
    <w:uiPriority w:val="99"/>
    <w:unhideWhenUsed/>
    <w:rsid w:val="00DA56E3"/>
    <w:pPr>
      <w:spacing w:before="120"/>
      <w:ind w:left="567"/>
    </w:pPr>
  </w:style>
  <w:style w:type="paragraph" w:styleId="ListContinue3">
    <w:name w:val="List Continue 3"/>
    <w:basedOn w:val="Normal"/>
    <w:uiPriority w:val="99"/>
    <w:unhideWhenUsed/>
    <w:rsid w:val="00DA56E3"/>
    <w:pPr>
      <w:spacing w:before="120"/>
      <w:ind w:left="851"/>
    </w:pPr>
  </w:style>
  <w:style w:type="paragraph" w:styleId="ListContinue4">
    <w:name w:val="List Continue 4"/>
    <w:basedOn w:val="Normal"/>
    <w:uiPriority w:val="99"/>
    <w:unhideWhenUsed/>
    <w:rsid w:val="00DA56E3"/>
    <w:pPr>
      <w:spacing w:before="120"/>
      <w:ind w:left="1134"/>
    </w:pPr>
  </w:style>
  <w:style w:type="paragraph" w:styleId="ListNumber3">
    <w:name w:val="List Number 3"/>
    <w:basedOn w:val="Normal"/>
    <w:uiPriority w:val="99"/>
    <w:unhideWhenUsed/>
    <w:rsid w:val="00DA56E3"/>
    <w:pPr>
      <w:numPr>
        <w:numId w:val="24"/>
      </w:numPr>
      <w:spacing w:before="120"/>
      <w:ind w:left="924" w:hanging="357"/>
    </w:pPr>
  </w:style>
  <w:style w:type="paragraph" w:styleId="ListNumber4">
    <w:name w:val="List Number 4"/>
    <w:basedOn w:val="Normal"/>
    <w:uiPriority w:val="99"/>
    <w:unhideWhenUsed/>
    <w:rsid w:val="00DA56E3"/>
    <w:pPr>
      <w:numPr>
        <w:numId w:val="25"/>
      </w:numPr>
      <w:spacing w:before="120"/>
      <w:ind w:left="1208" w:hanging="357"/>
    </w:pPr>
  </w:style>
  <w:style w:type="paragraph" w:styleId="ListNumber5">
    <w:name w:val="List Number 5"/>
    <w:basedOn w:val="Normal"/>
    <w:uiPriority w:val="99"/>
    <w:unhideWhenUsed/>
    <w:rsid w:val="00DA56E3"/>
    <w:pPr>
      <w:numPr>
        <w:numId w:val="26"/>
      </w:numPr>
      <w:spacing w:before="120"/>
      <w:ind w:left="1491" w:hanging="357"/>
    </w:pPr>
  </w:style>
  <w:style w:type="paragraph" w:customStyle="1" w:styleId="TableHeading">
    <w:name w:val="Table Heading"/>
    <w:basedOn w:val="Tabletext"/>
    <w:link w:val="TableHeadingChar"/>
    <w:qFormat/>
    <w:rsid w:val="00DA56E3"/>
    <w:pPr>
      <w:spacing w:before="60"/>
    </w:pPr>
    <w:rPr>
      <w:b/>
      <w:sz w:val="22"/>
    </w:rPr>
  </w:style>
  <w:style w:type="paragraph" w:customStyle="1" w:styleId="Tabletext-right">
    <w:name w:val="Table text - right"/>
    <w:basedOn w:val="Tabletext"/>
    <w:link w:val="Tabletext-rightChar"/>
    <w:rsid w:val="00DA56E3"/>
    <w:pPr>
      <w:jc w:val="right"/>
    </w:pPr>
    <w:rPr>
      <w:rFonts w:eastAsia="Times New Roman"/>
      <w:szCs w:val="20"/>
    </w:rPr>
  </w:style>
  <w:style w:type="paragraph" w:customStyle="1" w:styleId="Tabletext-centred">
    <w:name w:val="Table text - centred"/>
    <w:basedOn w:val="Tabletext-right"/>
    <w:link w:val="Tabletext-centredChar"/>
    <w:rsid w:val="00DA56E3"/>
    <w:pPr>
      <w:jc w:val="center"/>
    </w:pPr>
  </w:style>
  <w:style w:type="paragraph" w:customStyle="1" w:styleId="TableHeading-right">
    <w:name w:val="Table Heading - right"/>
    <w:basedOn w:val="TableHeading"/>
    <w:link w:val="TableHeading-rightChar"/>
    <w:rsid w:val="00DA56E3"/>
    <w:pPr>
      <w:jc w:val="right"/>
    </w:pPr>
    <w:rPr>
      <w:rFonts w:eastAsia="Times New Roman"/>
      <w:bCs/>
      <w:szCs w:val="20"/>
    </w:rPr>
  </w:style>
  <w:style w:type="character" w:customStyle="1" w:styleId="Tabletext-rightChar">
    <w:name w:val="Table text - right Char"/>
    <w:link w:val="Tabletext-right"/>
    <w:rsid w:val="00DA56E3"/>
    <w:rPr>
      <w:rFonts w:ascii="Arial" w:hAnsi="Arial"/>
      <w:lang w:eastAsia="en-US"/>
    </w:rPr>
  </w:style>
  <w:style w:type="character" w:customStyle="1" w:styleId="TabletextChar">
    <w:name w:val="Table text Char"/>
    <w:link w:val="Tabletext"/>
    <w:uiPriority w:val="1"/>
    <w:rsid w:val="00DA56E3"/>
    <w:rPr>
      <w:rFonts w:ascii="Arial" w:eastAsia="Arial" w:hAnsi="Arial"/>
      <w:szCs w:val="22"/>
      <w:lang w:eastAsia="en-US"/>
    </w:rPr>
  </w:style>
  <w:style w:type="character" w:customStyle="1" w:styleId="TableHeadingChar">
    <w:name w:val="Table Heading Char"/>
    <w:link w:val="TableHeading"/>
    <w:rsid w:val="00DA56E3"/>
    <w:rPr>
      <w:rFonts w:ascii="Arial" w:eastAsia="Arial" w:hAnsi="Arial"/>
      <w:b/>
      <w:sz w:val="22"/>
      <w:szCs w:val="22"/>
      <w:lang w:eastAsia="en-US"/>
    </w:rPr>
  </w:style>
  <w:style w:type="character" w:customStyle="1" w:styleId="TableHeading-rightChar">
    <w:name w:val="Table Heading - right Char"/>
    <w:link w:val="TableHeading-right"/>
    <w:rsid w:val="00DA56E3"/>
    <w:rPr>
      <w:rFonts w:ascii="Arial" w:hAnsi="Arial"/>
      <w:b/>
      <w:bCs/>
      <w:sz w:val="22"/>
      <w:lang w:eastAsia="en-US"/>
    </w:rPr>
  </w:style>
  <w:style w:type="character" w:customStyle="1" w:styleId="Tabletext-centredChar">
    <w:name w:val="Table text - centred Char"/>
    <w:link w:val="Tabletext-centred"/>
    <w:rsid w:val="00DA56E3"/>
    <w:rPr>
      <w:rFonts w:ascii="Arial" w:hAnsi="Arial"/>
      <w:lang w:eastAsia="en-US"/>
    </w:rPr>
  </w:style>
  <w:style w:type="paragraph" w:customStyle="1" w:styleId="TableHeading-centred">
    <w:name w:val="Table Heading - centred"/>
    <w:basedOn w:val="TableHeading"/>
    <w:rsid w:val="00DA56E3"/>
    <w:pPr>
      <w:jc w:val="center"/>
    </w:pPr>
    <w:rPr>
      <w:rFonts w:eastAsia="Times New Roman"/>
      <w:bCs/>
      <w:szCs w:val="20"/>
    </w:rPr>
  </w:style>
  <w:style w:type="paragraph" w:styleId="TableofFigures">
    <w:name w:val="table of figures"/>
    <w:basedOn w:val="Normal"/>
    <w:next w:val="Normal"/>
    <w:uiPriority w:val="99"/>
    <w:unhideWhenUsed/>
    <w:rsid w:val="00DA56E3"/>
    <w:pPr>
      <w:spacing w:before="240" w:after="120"/>
    </w:pPr>
  </w:style>
  <w:style w:type="table" w:customStyle="1" w:styleId="ACCCTable3">
    <w:name w:val="ACCC Table 3"/>
    <w:basedOn w:val="TableNormal"/>
    <w:uiPriority w:val="99"/>
    <w:rsid w:val="00DA56E3"/>
    <w:rPr>
      <w:rFonts w:ascii="Arial" w:eastAsia="Arial" w:hAnsi="Arial"/>
      <w:szCs w:val="22"/>
      <w:lang w:eastAsia="en-US"/>
    </w:rPr>
    <w:tblPr>
      <w:tblInd w:w="0" w:type="dxa"/>
      <w:tblBorders>
        <w:insideV w:val="single" w:sz="4" w:space="0" w:color="D5D6D2"/>
      </w:tblBorders>
      <w:tblCellMar>
        <w:top w:w="0" w:type="dxa"/>
        <w:left w:w="108" w:type="dxa"/>
        <w:bottom w:w="0" w:type="dxa"/>
        <w:right w:w="108" w:type="dxa"/>
      </w:tblCellMar>
    </w:tblPr>
    <w:tblStylePr w:type="firstRow">
      <w:rPr>
        <w:rFonts w:ascii="Arial" w:hAnsi="Arial"/>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uiPriority w:val="99"/>
    <w:rsid w:val="00DA56E3"/>
    <w:rPr>
      <w:vertAlign w:val="superscript"/>
    </w:rPr>
  </w:style>
  <w:style w:type="paragraph" w:customStyle="1" w:styleId="Numberedparagraph11">
    <w:name w:val="Numbered paragraph 1.1"/>
    <w:basedOn w:val="Numbered11"/>
    <w:rsid w:val="00DA56E3"/>
    <w:pPr>
      <w:ind w:left="680" w:hanging="680"/>
      <w:outlineLvl w:val="9"/>
    </w:pPr>
    <w:rPr>
      <w:bCs w:val="0"/>
      <w:color w:val="auto"/>
      <w:sz w:val="22"/>
    </w:rPr>
  </w:style>
  <w:style w:type="character" w:customStyle="1" w:styleId="Numbered1Char">
    <w:name w:val="Numbered 1 Char"/>
    <w:link w:val="Numbered1"/>
    <w:rsid w:val="00DA56E3"/>
    <w:rPr>
      <w:rFonts w:ascii="Lucida Fax" w:hAnsi="Lucida Fax"/>
      <w:bCs/>
      <w:color w:val="51626F"/>
      <w:sz w:val="32"/>
      <w:szCs w:val="28"/>
      <w:lang w:eastAsia="en-US"/>
    </w:rPr>
  </w:style>
  <w:style w:type="paragraph" w:customStyle="1" w:styleId="Numberedparagraph">
    <w:name w:val="Numbered paragraph"/>
    <w:basedOn w:val="Numberedlist"/>
    <w:rsid w:val="00DA56E3"/>
    <w:pPr>
      <w:spacing w:before="200"/>
      <w:ind w:left="680" w:hanging="680"/>
    </w:pPr>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aption">
    <w:name w:val="AERnumberedlist"/>
    <w:pPr>
      <w:numPr>
        <w:numId w:val="11"/>
      </w:numPr>
    </w:pPr>
  </w:style>
  <w:style w:type="numbering" w:customStyle="1" w:styleId="Quote">
    <w:name w:val="AERHeadings"/>
    <w:pPr>
      <w:numPr>
        <w:numId w:val="13"/>
      </w:numPr>
    </w:pPr>
  </w:style>
  <w:style w:type="numbering" w:customStyle="1" w:styleId="Tabletext">
    <w:name w:val="RomanNumeralBulletedList"/>
    <w:pPr>
      <w:numPr>
        <w:numId w:val="15"/>
      </w:numPr>
    </w:pPr>
  </w:style>
  <w:style w:type="numbering" w:customStyle="1" w:styleId="ListBullet">
    <w:name w:val="OldAERheadings"/>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427082">
      <w:bodyDiv w:val="1"/>
      <w:marLeft w:val="0"/>
      <w:marRight w:val="0"/>
      <w:marTop w:val="0"/>
      <w:marBottom w:val="0"/>
      <w:divBdr>
        <w:top w:val="none" w:sz="0" w:space="0" w:color="auto"/>
        <w:left w:val="none" w:sz="0" w:space="0" w:color="auto"/>
        <w:bottom w:val="none" w:sz="0" w:space="0" w:color="auto"/>
        <w:right w:val="none" w:sz="0" w:space="0" w:color="auto"/>
      </w:divBdr>
    </w:div>
    <w:div w:id="2146121662">
      <w:bodyDiv w:val="1"/>
      <w:marLeft w:val="0"/>
      <w:marRight w:val="0"/>
      <w:marTop w:val="0"/>
      <w:marBottom w:val="0"/>
      <w:divBdr>
        <w:top w:val="none" w:sz="0" w:space="0" w:color="auto"/>
        <w:left w:val="none" w:sz="0" w:space="0" w:color="auto"/>
        <w:bottom w:val="none" w:sz="0" w:space="0" w:color="auto"/>
        <w:right w:val="none" w:sz="0" w:space="0" w:color="auto"/>
      </w:divBdr>
      <w:divsChild>
        <w:div w:id="1413626360">
          <w:marLeft w:val="0"/>
          <w:marRight w:val="0"/>
          <w:marTop w:val="0"/>
          <w:marBottom w:val="0"/>
          <w:divBdr>
            <w:top w:val="none" w:sz="0" w:space="0" w:color="auto"/>
            <w:left w:val="none" w:sz="0" w:space="0" w:color="auto"/>
            <w:bottom w:val="none" w:sz="0" w:space="0" w:color="auto"/>
            <w:right w:val="none" w:sz="0" w:space="0" w:color="auto"/>
          </w:divBdr>
          <w:divsChild>
            <w:div w:id="1902406535">
              <w:marLeft w:val="0"/>
              <w:marRight w:val="0"/>
              <w:marTop w:val="0"/>
              <w:marBottom w:val="0"/>
              <w:divBdr>
                <w:top w:val="none" w:sz="0" w:space="0" w:color="auto"/>
                <w:left w:val="none" w:sz="0" w:space="0" w:color="auto"/>
                <w:bottom w:val="none" w:sz="0" w:space="0" w:color="auto"/>
                <w:right w:val="none" w:sz="0" w:space="0" w:color="auto"/>
              </w:divBdr>
              <w:divsChild>
                <w:div w:id="1099332002">
                  <w:marLeft w:val="0"/>
                  <w:marRight w:val="0"/>
                  <w:marTop w:val="0"/>
                  <w:marBottom w:val="0"/>
                  <w:divBdr>
                    <w:top w:val="none" w:sz="0" w:space="0" w:color="auto"/>
                    <w:left w:val="none" w:sz="0" w:space="0" w:color="auto"/>
                    <w:bottom w:val="none" w:sz="0" w:space="0" w:color="auto"/>
                    <w:right w:val="none" w:sz="0" w:space="0" w:color="auto"/>
                  </w:divBdr>
                  <w:divsChild>
                    <w:div w:id="1053195007">
                      <w:marLeft w:val="0"/>
                      <w:marRight w:val="0"/>
                      <w:marTop w:val="0"/>
                      <w:marBottom w:val="0"/>
                      <w:divBdr>
                        <w:top w:val="none" w:sz="0" w:space="0" w:color="auto"/>
                        <w:left w:val="none" w:sz="0" w:space="0" w:color="auto"/>
                        <w:bottom w:val="none" w:sz="0" w:space="0" w:color="auto"/>
                        <w:right w:val="none" w:sz="0" w:space="0" w:color="auto"/>
                      </w:divBdr>
                      <w:divsChild>
                        <w:div w:id="1546329375">
                          <w:marLeft w:val="0"/>
                          <w:marRight w:val="0"/>
                          <w:marTop w:val="0"/>
                          <w:marBottom w:val="0"/>
                          <w:divBdr>
                            <w:top w:val="none" w:sz="0" w:space="0" w:color="auto"/>
                            <w:left w:val="none" w:sz="0" w:space="0" w:color="auto"/>
                            <w:bottom w:val="none" w:sz="0" w:space="0" w:color="auto"/>
                            <w:right w:val="none" w:sz="0" w:space="0" w:color="auto"/>
                          </w:divBdr>
                          <w:divsChild>
                            <w:div w:id="1803038625">
                              <w:marLeft w:val="0"/>
                              <w:marRight w:val="0"/>
                              <w:marTop w:val="0"/>
                              <w:marBottom w:val="0"/>
                              <w:divBdr>
                                <w:top w:val="none" w:sz="0" w:space="0" w:color="auto"/>
                                <w:left w:val="none" w:sz="0" w:space="0" w:color="auto"/>
                                <w:bottom w:val="none" w:sz="0" w:space="0" w:color="auto"/>
                                <w:right w:val="none" w:sz="0" w:space="0" w:color="auto"/>
                              </w:divBdr>
                              <w:divsChild>
                                <w:div w:id="648284317">
                                  <w:marLeft w:val="0"/>
                                  <w:marRight w:val="0"/>
                                  <w:marTop w:val="0"/>
                                  <w:marBottom w:val="0"/>
                                  <w:divBdr>
                                    <w:top w:val="none" w:sz="0" w:space="0" w:color="auto"/>
                                    <w:left w:val="none" w:sz="0" w:space="0" w:color="auto"/>
                                    <w:bottom w:val="none" w:sz="0" w:space="0" w:color="auto"/>
                                    <w:right w:val="none" w:sz="0" w:space="0" w:color="auto"/>
                                  </w:divBdr>
                                  <w:divsChild>
                                    <w:div w:id="634868716">
                                      <w:marLeft w:val="240"/>
                                      <w:marRight w:val="240"/>
                                      <w:marTop w:val="240"/>
                                      <w:marBottom w:val="0"/>
                                      <w:divBdr>
                                        <w:top w:val="none" w:sz="0" w:space="0" w:color="auto"/>
                                        <w:left w:val="none" w:sz="0" w:space="0" w:color="auto"/>
                                        <w:bottom w:val="none" w:sz="0" w:space="0" w:color="auto"/>
                                        <w:right w:val="none" w:sz="0" w:space="0" w:color="auto"/>
                                      </w:divBdr>
                                      <w:divsChild>
                                        <w:div w:id="1900163567">
                                          <w:marLeft w:val="0"/>
                                          <w:marRight w:val="0"/>
                                          <w:marTop w:val="0"/>
                                          <w:marBottom w:val="0"/>
                                          <w:divBdr>
                                            <w:top w:val="none" w:sz="0" w:space="0" w:color="auto"/>
                                            <w:left w:val="none" w:sz="0" w:space="0" w:color="auto"/>
                                            <w:bottom w:val="none" w:sz="0" w:space="0" w:color="auto"/>
                                            <w:right w:val="none" w:sz="0" w:space="0" w:color="auto"/>
                                          </w:divBdr>
                                          <w:divsChild>
                                            <w:div w:id="386996629">
                                              <w:marLeft w:val="0"/>
                                              <w:marRight w:val="0"/>
                                              <w:marTop w:val="0"/>
                                              <w:marBottom w:val="0"/>
                                              <w:divBdr>
                                                <w:top w:val="none" w:sz="0" w:space="0" w:color="auto"/>
                                                <w:left w:val="none" w:sz="0" w:space="0" w:color="auto"/>
                                                <w:bottom w:val="none" w:sz="0" w:space="0" w:color="auto"/>
                                                <w:right w:val="none" w:sz="0" w:space="0" w:color="auto"/>
                                              </w:divBdr>
                                              <w:divsChild>
                                                <w:div w:id="6097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AERInquiry@aer.gov.au" TargetMode="External"/><Relationship Id="rId3" Type="http://schemas.openxmlformats.org/officeDocument/2006/relationships/styles" Target="styles.xml"/><Relationship Id="rId21" Type="http://schemas.openxmlformats.org/officeDocument/2006/relationships/hyperlink" Target="http://www.aer.gov.au/node/18888"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aer.gov.au/publications/corporate-documen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mailto:publishing.unit@accc.gov.au" TargetMode="External"/><Relationship Id="rId19" Type="http://schemas.openxmlformats.org/officeDocument/2006/relationships/hyperlink" Target="http://www.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node/18864" TargetMode="External"/><Relationship Id="rId2" Type="http://schemas.openxmlformats.org/officeDocument/2006/relationships/hyperlink" Target="http://www.aer.gov.au/Better-regulation-reform-program" TargetMode="External"/><Relationship Id="rId1" Type="http://schemas.openxmlformats.org/officeDocument/2006/relationships/hyperlink" Target="http://www.aer.gov.au/node/10809" TargetMode="External"/><Relationship Id="rId5" Type="http://schemas.openxmlformats.org/officeDocument/2006/relationships/hyperlink" Target="https://www.aer.gov.au/node/21843" TargetMode="External"/><Relationship Id="rId4" Type="http://schemas.openxmlformats.org/officeDocument/2006/relationships/hyperlink" Target="http://www.aer.gov.au/node/108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C4F10-FF24-4692-9312-3C6E70135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4F5EA697.dotm</Template>
  <TotalTime>0</TotalTime>
  <Pages>18</Pages>
  <Words>3656</Words>
  <Characters>22299</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25904</CharactersWithSpaces>
  <SharedDoc>false</SharedDoc>
  <HLinks>
    <vt:vector size="6" baseType="variant">
      <vt:variant>
        <vt:i4>2555972</vt:i4>
      </vt:variant>
      <vt:variant>
        <vt:i4>0</vt:i4>
      </vt:variant>
      <vt:variant>
        <vt:i4>0</vt:i4>
      </vt:variant>
      <vt:variant>
        <vt:i4>5</vt:i4>
      </vt:variant>
      <vt:variant>
        <vt:lpwstr>mailto:AERInquiry@aer.gov.au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explanatory statement for electricity transmission information guideline (Version 2) -December 2014</dc:title>
  <dc:subject/>
  <dc:creator/>
  <cp:keywords/>
  <cp:lastModifiedBy/>
  <cp:revision>1</cp:revision>
  <dcterms:created xsi:type="dcterms:W3CDTF">2014-12-09T21:55:00Z</dcterms:created>
  <dcterms:modified xsi:type="dcterms:W3CDTF">2014-12-09T23:10:00Z</dcterms:modified>
</cp:coreProperties>
</file>